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B2709" w14:textId="7C5C893A" w:rsidR="002E6710" w:rsidRDefault="00AD4B2D" w:rsidP="002E6710">
      <w:pPr>
        <w:pStyle w:val="BodyText"/>
        <w:rPr>
          <w:b/>
          <w:szCs w:val="26"/>
        </w:rPr>
      </w:pPr>
      <w:bookmarkStart w:id="0" w:name="ChapterTitle"/>
      <w:r>
        <w:rPr>
          <w:noProof/>
        </w:rPr>
        <w:drawing>
          <wp:anchor distT="0" distB="0" distL="114300" distR="114300" simplePos="0" relativeHeight="251658240" behindDoc="0" locked="0" layoutInCell="1" allowOverlap="1" wp14:anchorId="1DB11635" wp14:editId="6DC01117">
            <wp:simplePos x="829310" y="1447800"/>
            <wp:positionH relativeFrom="page">
              <wp:align>center</wp:align>
            </wp:positionH>
            <wp:positionV relativeFrom="page">
              <wp:align>center</wp:align>
            </wp:positionV>
            <wp:extent cx="7567200" cy="10702800"/>
            <wp:effectExtent l="0" t="0" r="0" b="3810"/>
            <wp:wrapNone/>
            <wp:docPr id="6" name="Picture 6" descr="Cover for: Productivity Commission 2017, Developing an Index of Regional Adaptive Capacity, Transitioning Regional Economies – Technical Supplement to the Initial Report, Canber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technical-supplement-regional.png"/>
                    <pic:cNvPicPr/>
                  </pic:nvPicPr>
                  <pic:blipFill>
                    <a:blip r:embed="rId14">
                      <a:extLst>
                        <a:ext uri="{28A0092B-C50C-407E-A947-70E740481C1C}">
                          <a14:useLocalDpi xmlns:a14="http://schemas.microsoft.com/office/drawing/2010/main" val="0"/>
                        </a:ext>
                      </a:extLst>
                    </a:blip>
                    <a:stretch>
                      <a:fillRect/>
                    </a:stretch>
                  </pic:blipFill>
                  <pic:spPr>
                    <a:xfrm>
                      <a:off x="0" y="0"/>
                      <a:ext cx="7567200" cy="10702800"/>
                    </a:xfrm>
                    <a:prstGeom prst="rect">
                      <a:avLst/>
                    </a:prstGeom>
                  </pic:spPr>
                </pic:pic>
              </a:graphicData>
            </a:graphic>
            <wp14:sizeRelH relativeFrom="margin">
              <wp14:pctWidth>0</wp14:pctWidth>
            </wp14:sizeRelH>
            <wp14:sizeRelV relativeFrom="margin">
              <wp14:pctHeight>0</wp14:pctHeight>
            </wp14:sizeRelV>
          </wp:anchor>
        </w:drawing>
      </w:r>
      <w:r w:rsidR="002E6710">
        <w:br w:type="page"/>
      </w:r>
    </w:p>
    <w:p w14:paraId="552572CA" w14:textId="77777777" w:rsidR="002E6710" w:rsidRDefault="002E6710" w:rsidP="002E6710">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2017</w:t>
      </w:r>
    </w:p>
    <w:p w14:paraId="18B18627" w14:textId="77777777" w:rsidR="002E6710" w:rsidRDefault="002E6710" w:rsidP="002E6710">
      <w:pPr>
        <w:pStyle w:val="BodyText"/>
        <w:spacing w:after="120"/>
      </w:pPr>
      <w:bookmarkStart w:id="1" w:name="ISSN"/>
      <w:bookmarkEnd w:id="1"/>
      <w:r w:rsidRPr="00862D8F">
        <w:rPr>
          <w:noProof/>
          <w:sz w:val="22"/>
          <w:szCs w:val="22"/>
        </w:rPr>
        <w:drawing>
          <wp:inline distT="0" distB="0" distL="0" distR="0" wp14:anchorId="3426B03E" wp14:editId="4B440B25">
            <wp:extent cx="843280" cy="295043"/>
            <wp:effectExtent l="0" t="0" r="0" b="0"/>
            <wp:docPr id="3" name="Picture 3"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6D7446AE" w14:textId="77777777" w:rsidR="002E6710" w:rsidRPr="008A3857" w:rsidRDefault="002E6710" w:rsidP="002E6710">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6" w:history="1">
        <w:hyperlink r:id="rId17"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20C86A1D" w14:textId="77777777" w:rsidR="002E6710" w:rsidRPr="008A3857" w:rsidRDefault="002E6710" w:rsidP="002E6710">
      <w:pPr>
        <w:pStyle w:val="Copyrightsubtitle"/>
      </w:pPr>
      <w:r w:rsidRPr="008A3857">
        <w:t>Use of the Commonwealth Coat of Arms</w:t>
      </w:r>
    </w:p>
    <w:p w14:paraId="439B9966" w14:textId="77777777" w:rsidR="002E6710" w:rsidRPr="008A3857" w:rsidRDefault="002E6710" w:rsidP="002E6710">
      <w:pPr>
        <w:pStyle w:val="Copyrightbodytext"/>
      </w:pPr>
      <w:r w:rsidRPr="008A3857">
        <w:t>For terms of use of the Coat of Arms visit the ‘</w:t>
      </w:r>
      <w:hyperlink r:id="rId18" w:history="1">
        <w:r w:rsidRPr="00805FD7">
          <w:t>It’s an Honour</w:t>
        </w:r>
      </w:hyperlink>
      <w:r w:rsidRPr="008A3857">
        <w:t>’ website</w:t>
      </w:r>
      <w:r w:rsidRPr="00BA0B81">
        <w:t xml:space="preserve">: </w:t>
      </w:r>
      <w:hyperlink r:id="rId19" w:history="1">
        <w:r w:rsidRPr="00805FD7">
          <w:t>http://</w:t>
        </w:r>
        <w:proofErr w:type="spellStart"/>
        <w:r w:rsidRPr="00805FD7">
          <w:t>www.itsanhonour.gov.au</w:t>
        </w:r>
        <w:proofErr w:type="spellEnd"/>
      </w:hyperlink>
    </w:p>
    <w:p w14:paraId="4358C71B" w14:textId="77777777" w:rsidR="002E6710" w:rsidRPr="008A3857" w:rsidRDefault="002E6710" w:rsidP="002E6710">
      <w:pPr>
        <w:pStyle w:val="Copyrightsubtitle"/>
      </w:pPr>
      <w:r w:rsidRPr="008A3857">
        <w:t>Third party copyright</w:t>
      </w:r>
    </w:p>
    <w:p w14:paraId="3FDB239C" w14:textId="77777777" w:rsidR="002E6710" w:rsidRPr="008A3857" w:rsidRDefault="002E6710" w:rsidP="002E6710">
      <w:pPr>
        <w:pStyle w:val="Copyrightbodytext"/>
      </w:pPr>
      <w:r w:rsidRPr="008A3857">
        <w:t>Wherever a third party holds copyright in this material, the copyright remains with that party. Their permission may be required to use the material, please contact them directly.</w:t>
      </w:r>
    </w:p>
    <w:p w14:paraId="54F1F87A" w14:textId="77777777" w:rsidR="002E6710" w:rsidRPr="008A3857" w:rsidRDefault="002E6710" w:rsidP="002E6710">
      <w:pPr>
        <w:pStyle w:val="Copyrightsubtitle"/>
      </w:pPr>
      <w:r w:rsidRPr="008A3857">
        <w:t>Attribution</w:t>
      </w:r>
    </w:p>
    <w:p w14:paraId="61D6543C" w14:textId="1249348B" w:rsidR="002E6710" w:rsidRPr="008A3857" w:rsidRDefault="002E6710" w:rsidP="002E6710">
      <w:pPr>
        <w:pStyle w:val="Copyrightbodytext"/>
      </w:pPr>
      <w:r w:rsidRPr="008A3857">
        <w:t xml:space="preserve">This work should be attributed as follows, </w:t>
      </w:r>
      <w:r w:rsidRPr="008E242D">
        <w:rPr>
          <w:i/>
        </w:rPr>
        <w:t xml:space="preserve">Source: Productivity Commission, </w:t>
      </w:r>
      <w:r w:rsidR="00491BAF" w:rsidRPr="00491BAF">
        <w:rPr>
          <w:i/>
        </w:rPr>
        <w:t xml:space="preserve">Developing an </w:t>
      </w:r>
      <w:r w:rsidR="00491BAF">
        <w:rPr>
          <w:i/>
        </w:rPr>
        <w:t>I</w:t>
      </w:r>
      <w:r w:rsidR="00491BAF" w:rsidRPr="00491BAF">
        <w:rPr>
          <w:i/>
        </w:rPr>
        <w:t xml:space="preserve">ndex of </w:t>
      </w:r>
      <w:r w:rsidR="00491BAF">
        <w:rPr>
          <w:i/>
        </w:rPr>
        <w:t>R</w:t>
      </w:r>
      <w:r w:rsidR="00491BAF" w:rsidRPr="00491BAF">
        <w:rPr>
          <w:i/>
        </w:rPr>
        <w:t xml:space="preserve">egional </w:t>
      </w:r>
      <w:r w:rsidR="00491BAF">
        <w:rPr>
          <w:i/>
        </w:rPr>
        <w:t>A</w:t>
      </w:r>
      <w:r w:rsidR="00491BAF" w:rsidRPr="00491BAF">
        <w:rPr>
          <w:i/>
        </w:rPr>
        <w:t xml:space="preserve">daptive </w:t>
      </w:r>
      <w:r w:rsidR="00491BAF">
        <w:rPr>
          <w:i/>
        </w:rPr>
        <w:t>C</w:t>
      </w:r>
      <w:r w:rsidR="00491BAF" w:rsidRPr="00491BAF">
        <w:rPr>
          <w:i/>
        </w:rPr>
        <w:t>apacity</w:t>
      </w:r>
      <w:r w:rsidRPr="008A3857">
        <w:t>.</w:t>
      </w:r>
    </w:p>
    <w:p w14:paraId="766A5B8F" w14:textId="3693ABB6" w:rsidR="002E6710" w:rsidRPr="008A3857" w:rsidRDefault="002E6710" w:rsidP="002E6710">
      <w:pPr>
        <w:pStyle w:val="Copyrightbodytext"/>
        <w:spacing w:before="120"/>
      </w:pPr>
      <w:r w:rsidRPr="008A3857">
        <w:t xml:space="preserve">If you have adapted, modified or transformed this work in anyway, please use the following, </w:t>
      </w:r>
      <w:r w:rsidRPr="008E242D">
        <w:rPr>
          <w:i/>
        </w:rPr>
        <w:t>Source: based on Productivity Commission</w:t>
      </w:r>
      <w:r>
        <w:rPr>
          <w:i/>
        </w:rPr>
        <w:t xml:space="preserve"> </w:t>
      </w:r>
      <w:r w:rsidRPr="008E242D">
        <w:rPr>
          <w:i/>
        </w:rPr>
        <w:t xml:space="preserve">data, </w:t>
      </w:r>
      <w:r w:rsidR="00491BAF" w:rsidRPr="00491BAF">
        <w:rPr>
          <w:i/>
        </w:rPr>
        <w:t xml:space="preserve">Developing an </w:t>
      </w:r>
      <w:r w:rsidR="00491BAF">
        <w:rPr>
          <w:i/>
        </w:rPr>
        <w:t>I</w:t>
      </w:r>
      <w:r w:rsidR="00491BAF" w:rsidRPr="00491BAF">
        <w:rPr>
          <w:i/>
        </w:rPr>
        <w:t xml:space="preserve">ndex of </w:t>
      </w:r>
      <w:r w:rsidR="00491BAF">
        <w:rPr>
          <w:i/>
        </w:rPr>
        <w:t>R</w:t>
      </w:r>
      <w:r w:rsidR="00491BAF" w:rsidRPr="00491BAF">
        <w:rPr>
          <w:i/>
        </w:rPr>
        <w:t xml:space="preserve">egional </w:t>
      </w:r>
      <w:r w:rsidR="00491BAF">
        <w:rPr>
          <w:i/>
        </w:rPr>
        <w:t>A</w:t>
      </w:r>
      <w:r w:rsidR="00491BAF" w:rsidRPr="00491BAF">
        <w:rPr>
          <w:i/>
        </w:rPr>
        <w:t xml:space="preserve">daptive </w:t>
      </w:r>
      <w:r w:rsidR="00491BAF">
        <w:rPr>
          <w:i/>
        </w:rPr>
        <w:t>C</w:t>
      </w:r>
      <w:r w:rsidR="00491BAF" w:rsidRPr="00491BAF">
        <w:rPr>
          <w:i/>
        </w:rPr>
        <w:t>apacity</w:t>
      </w:r>
      <w:r w:rsidRPr="008A3857">
        <w:t>.</w:t>
      </w:r>
    </w:p>
    <w:p w14:paraId="69476E04" w14:textId="77777777" w:rsidR="002E6710" w:rsidRPr="008A3857" w:rsidRDefault="002E6710" w:rsidP="002E6710">
      <w:pPr>
        <w:pStyle w:val="Copyrightsubtitle"/>
      </w:pPr>
      <w:r w:rsidRPr="008A3857">
        <w:t xml:space="preserve">An appropriate </w:t>
      </w:r>
      <w:r>
        <w:t>reference</w:t>
      </w:r>
      <w:r w:rsidRPr="008A3857">
        <w:t xml:space="preserve"> for this publication is:</w:t>
      </w:r>
    </w:p>
    <w:p w14:paraId="74546D09" w14:textId="347EAABA" w:rsidR="002E6710" w:rsidRPr="008A3857" w:rsidRDefault="00491BAF" w:rsidP="002E6710">
      <w:pPr>
        <w:pStyle w:val="Copyrightbodytext"/>
      </w:pPr>
      <w:r>
        <w:t xml:space="preserve">Productivity Commission 2017, </w:t>
      </w:r>
      <w:r w:rsidR="003B3B40" w:rsidRPr="003B3B40">
        <w:t>‘</w:t>
      </w:r>
      <w:r w:rsidRPr="003B3B40">
        <w:t>Developing an Index of Regional Adaptive Capacity</w:t>
      </w:r>
      <w:r w:rsidR="003B3B40" w:rsidRPr="003B3B40">
        <w:t>’</w:t>
      </w:r>
      <w:r>
        <w:t xml:space="preserve">, </w:t>
      </w:r>
      <w:r>
        <w:rPr>
          <w:rFonts w:cs="Arial"/>
        </w:rPr>
        <w:t xml:space="preserve">Technical Supplement to the Initial Report, </w:t>
      </w:r>
      <w:r w:rsidR="003B3B40" w:rsidRPr="003B3B40">
        <w:rPr>
          <w:rFonts w:cs="Arial"/>
          <w:i/>
        </w:rPr>
        <w:t>Transitioning Regional Economies</w:t>
      </w:r>
      <w:r w:rsidR="003B3B40">
        <w:rPr>
          <w:rFonts w:cs="Arial"/>
        </w:rPr>
        <w:t xml:space="preserve">, </w:t>
      </w:r>
      <w:r>
        <w:rPr>
          <w:rFonts w:cs="Arial"/>
        </w:rPr>
        <w:t>Canberra.</w:t>
      </w:r>
      <w:r w:rsidRPr="00491BAF">
        <w:t xml:space="preserve"> </w:t>
      </w:r>
    </w:p>
    <w:p w14:paraId="65E7ED73" w14:textId="77777777" w:rsidR="002E6710" w:rsidRPr="008A3857" w:rsidRDefault="002E6710" w:rsidP="002E6710">
      <w:pPr>
        <w:pStyle w:val="Copyrightsubtitle"/>
      </w:pPr>
      <w:bookmarkStart w:id="2" w:name="JEL"/>
      <w:bookmarkEnd w:id="2"/>
      <w:r w:rsidRPr="008A3857">
        <w:t>Publications enquiries</w:t>
      </w:r>
    </w:p>
    <w:p w14:paraId="0D8D464C" w14:textId="77777777" w:rsidR="002E6710" w:rsidRDefault="002E6710" w:rsidP="002E6710">
      <w:pPr>
        <w:pStyle w:val="Copyrightbodytext"/>
      </w:pPr>
      <w:r w:rsidRPr="008A3857">
        <w:t xml:space="preserve">Media and Publications, </w:t>
      </w:r>
      <w:r>
        <w:rPr>
          <w:szCs w:val="24"/>
        </w:rPr>
        <w:t>phone:</w:t>
      </w:r>
      <w:r w:rsidRPr="00BB5DCF">
        <w:rPr>
          <w:szCs w:val="24"/>
        </w:rPr>
        <w:t xml:space="preserve"> (03) 9653 2244 or email: </w:t>
      </w:r>
      <w:proofErr w:type="spellStart"/>
      <w:r w:rsidRPr="00BB5DCF">
        <w:rPr>
          <w:szCs w:val="24"/>
        </w:rPr>
        <w:t>maps@pc.gov.au</w:t>
      </w:r>
      <w:proofErr w:type="spellEnd"/>
    </w:p>
    <w:p w14:paraId="7FCE8C33" w14:textId="77777777" w:rsidR="002E6710" w:rsidRDefault="002E6710" w:rsidP="002E671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E6710" w14:paraId="4CC794D6" w14:textId="77777777" w:rsidTr="00A23812">
        <w:tc>
          <w:tcPr>
            <w:tcW w:w="5000" w:type="pct"/>
            <w:tcBorders>
              <w:top w:val="single" w:sz="6" w:space="0" w:color="78A22F"/>
              <w:left w:val="nil"/>
              <w:bottom w:val="nil"/>
              <w:right w:val="nil"/>
            </w:tcBorders>
            <w:shd w:val="clear" w:color="auto" w:fill="F2F2F2" w:themeFill="background1" w:themeFillShade="F2"/>
          </w:tcPr>
          <w:p w14:paraId="31E58261" w14:textId="77777777" w:rsidR="002E6710" w:rsidRPr="008A3857" w:rsidRDefault="002E6710" w:rsidP="002C5599">
            <w:pPr>
              <w:pStyle w:val="BoxTitle"/>
              <w:rPr>
                <w:sz w:val="22"/>
                <w:szCs w:val="22"/>
              </w:rPr>
            </w:pPr>
            <w:r w:rsidRPr="008A3857">
              <w:rPr>
                <w:sz w:val="22"/>
                <w:szCs w:val="22"/>
              </w:rPr>
              <w:t>The Productivity Commission</w:t>
            </w:r>
          </w:p>
        </w:tc>
      </w:tr>
      <w:tr w:rsidR="002E6710" w14:paraId="52E20D70" w14:textId="77777777" w:rsidTr="00A23812">
        <w:tc>
          <w:tcPr>
            <w:tcW w:w="5000" w:type="pct"/>
            <w:tcBorders>
              <w:top w:val="nil"/>
              <w:left w:val="nil"/>
              <w:bottom w:val="nil"/>
              <w:right w:val="nil"/>
            </w:tcBorders>
            <w:shd w:val="clear" w:color="auto" w:fill="F2F2F2" w:themeFill="background1" w:themeFillShade="F2"/>
          </w:tcPr>
          <w:p w14:paraId="1FA5A82A" w14:textId="77777777" w:rsidR="002E6710" w:rsidRDefault="002E6710" w:rsidP="002C5599">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131259B" w14:textId="77777777" w:rsidR="002E6710" w:rsidRDefault="002E6710" w:rsidP="002C5599">
            <w:pPr>
              <w:pStyle w:val="Box"/>
            </w:pPr>
            <w:r w:rsidRPr="00BB5DCF">
              <w:t>The Commission’s independence is underpinned by an Act of Parliament. Its processes and outputs are open to public scrutiny and are driven by concern for the wellbeing of the community as a whole.</w:t>
            </w:r>
          </w:p>
          <w:p w14:paraId="457C76B0" w14:textId="77777777" w:rsidR="002E6710" w:rsidRDefault="002E6710" w:rsidP="002C5599">
            <w:pPr>
              <w:pStyle w:val="Box"/>
            </w:pPr>
            <w:r w:rsidRPr="00BB5DCF">
              <w:rPr>
                <w:szCs w:val="24"/>
              </w:rPr>
              <w:t>Further information on the Productivity Commission can be obtained from the Commission’s website (</w:t>
            </w:r>
            <w:proofErr w:type="spellStart"/>
            <w:r>
              <w:fldChar w:fldCharType="begin"/>
            </w:r>
            <w:r>
              <w:instrText xml:space="preserve"> HYPERLINK "http://www.pc.gov.au/" </w:instrText>
            </w:r>
            <w:r>
              <w:fldChar w:fldCharType="separate"/>
            </w:r>
            <w:r w:rsidRPr="00805FD7">
              <w:t>www.pc.gov.au</w:t>
            </w:r>
            <w:proofErr w:type="spellEnd"/>
            <w:r>
              <w:fldChar w:fldCharType="end"/>
            </w:r>
            <w:r w:rsidRPr="00BB5DCF">
              <w:rPr>
                <w:szCs w:val="24"/>
              </w:rPr>
              <w:t>)</w:t>
            </w:r>
            <w:r>
              <w:rPr>
                <w:szCs w:val="24"/>
              </w:rPr>
              <w:t>.</w:t>
            </w:r>
          </w:p>
        </w:tc>
      </w:tr>
      <w:tr w:rsidR="002E6710" w14:paraId="036B0E36" w14:textId="77777777" w:rsidTr="00A23812">
        <w:tc>
          <w:tcPr>
            <w:tcW w:w="5000" w:type="pct"/>
            <w:tcBorders>
              <w:top w:val="nil"/>
              <w:left w:val="nil"/>
              <w:bottom w:val="single" w:sz="6" w:space="0" w:color="78A22F"/>
              <w:right w:val="nil"/>
            </w:tcBorders>
            <w:shd w:val="clear" w:color="auto" w:fill="F2F2F2" w:themeFill="background1" w:themeFillShade="F2"/>
          </w:tcPr>
          <w:p w14:paraId="452A50D0" w14:textId="77777777" w:rsidR="002E6710" w:rsidRDefault="002E6710" w:rsidP="002C5599">
            <w:pPr>
              <w:pStyle w:val="Box"/>
              <w:spacing w:before="0" w:line="120" w:lineRule="exact"/>
            </w:pPr>
          </w:p>
        </w:tc>
      </w:tr>
    </w:tbl>
    <w:p w14:paraId="1ECA8375" w14:textId="77777777" w:rsidR="00CF7537" w:rsidRDefault="00CF7537" w:rsidP="007A5A97">
      <w:pPr>
        <w:pStyle w:val="Heading1"/>
        <w:ind w:left="0" w:firstLine="0"/>
        <w:sectPr w:rsidR="00CF7537" w:rsidSect="00F0512B">
          <w:pgSz w:w="11907" w:h="16840" w:code="9"/>
          <w:pgMar w:top="1985" w:right="1304" w:bottom="1247" w:left="1814" w:header="1701" w:footer="397" w:gutter="0"/>
          <w:pgNumType w:start="1" w:chapStyle="1" w:chapSep="period"/>
          <w:cols w:space="720"/>
        </w:sectPr>
      </w:pPr>
      <w:bookmarkStart w:id="3" w:name="cov"/>
      <w:bookmarkEnd w:id="3"/>
    </w:p>
    <w:p w14:paraId="228B82CD" w14:textId="19BDBB63" w:rsidR="00A33DFF" w:rsidRDefault="0034604A" w:rsidP="007A5A97">
      <w:pPr>
        <w:pStyle w:val="Heading1"/>
        <w:ind w:left="0" w:firstLine="0"/>
      </w:pPr>
      <w:r>
        <w:lastRenderedPageBreak/>
        <w:t>Developing an index of regional adaptive capacity</w:t>
      </w:r>
      <w:bookmarkEnd w:id="0"/>
    </w:p>
    <w:p w14:paraId="79CFF0B8" w14:textId="25AA579D" w:rsidR="009824BA" w:rsidRDefault="00640EE1" w:rsidP="00F0512B">
      <w:pPr>
        <w:pStyle w:val="BodyText"/>
      </w:pPr>
      <w:r>
        <w:t>Described in t</w:t>
      </w:r>
      <w:r w:rsidR="00F0512B">
        <w:t xml:space="preserve">his </w:t>
      </w:r>
      <w:r w:rsidR="008E284D">
        <w:t xml:space="preserve">technical supplement </w:t>
      </w:r>
      <w:r w:rsidR="002B7D1D">
        <w:t xml:space="preserve">to the initial report on Transitioning Regional Economies </w:t>
      </w:r>
      <w:r>
        <w:t xml:space="preserve">are </w:t>
      </w:r>
      <w:r w:rsidR="00F0512B">
        <w:t xml:space="preserve">the data and techniques used to construct </w:t>
      </w:r>
      <w:r w:rsidR="007A5AE6">
        <w:t>th</w:t>
      </w:r>
      <w:r w:rsidR="0037108A">
        <w:t xml:space="preserve">e </w:t>
      </w:r>
      <w:r w:rsidR="00F0512B">
        <w:t xml:space="preserve">single metric of regional adaptive capacity. The approach </w:t>
      </w:r>
      <w:r w:rsidR="00C85F9C">
        <w:t xml:space="preserve">is based on </w:t>
      </w:r>
      <w:r w:rsidR="00480FE3">
        <w:t>a</w:t>
      </w:r>
      <w:r w:rsidR="00C85F9C">
        <w:t xml:space="preserve"> </w:t>
      </w:r>
      <w:r w:rsidR="00F0512B">
        <w:t>statistical technique called principal component analys</w:t>
      </w:r>
      <w:r w:rsidR="00250ECE">
        <w:t>is (</w:t>
      </w:r>
      <w:proofErr w:type="spellStart"/>
      <w:r w:rsidR="00250ECE">
        <w:t>PCA</w:t>
      </w:r>
      <w:proofErr w:type="spellEnd"/>
      <w:r w:rsidR="00250ECE">
        <w:t>)</w:t>
      </w:r>
      <w:r w:rsidR="001E3108">
        <w:t xml:space="preserve">, which has been </w:t>
      </w:r>
      <w:r w:rsidR="003C1325">
        <w:t xml:space="preserve">widely </w:t>
      </w:r>
      <w:r w:rsidR="001E3108">
        <w:t xml:space="preserve">used to create </w:t>
      </w:r>
      <w:r w:rsidR="00480FE3">
        <w:t xml:space="preserve">regional </w:t>
      </w:r>
      <w:r w:rsidR="001E3108">
        <w:t>indexes of socioeconomic disadvantage, vulnerability, resilience and adaptive capacity (chapter</w:t>
      </w:r>
      <w:r w:rsidR="00E94B47">
        <w:t> </w:t>
      </w:r>
      <w:r w:rsidR="001E3108">
        <w:t>2)</w:t>
      </w:r>
      <w:r w:rsidR="008B271E">
        <w:t xml:space="preserve">. </w:t>
      </w:r>
      <w:r w:rsidR="001E3108">
        <w:t>Section</w:t>
      </w:r>
      <w:r w:rsidR="008B66ED">
        <w:t> </w:t>
      </w:r>
      <w:r w:rsidR="001E3108">
        <w:t xml:space="preserve">1 </w:t>
      </w:r>
      <w:r w:rsidR="00B9625E">
        <w:t xml:space="preserve">explains </w:t>
      </w:r>
      <w:r w:rsidR="009824BA">
        <w:t xml:space="preserve">the method </w:t>
      </w:r>
      <w:r w:rsidR="001E3108">
        <w:t xml:space="preserve">and the decisions made in using </w:t>
      </w:r>
      <w:proofErr w:type="spellStart"/>
      <w:r w:rsidR="00B9625E">
        <w:t>PCA</w:t>
      </w:r>
      <w:proofErr w:type="spellEnd"/>
      <w:r w:rsidR="00B9625E">
        <w:t xml:space="preserve"> </w:t>
      </w:r>
      <w:r w:rsidR="001E3108">
        <w:t xml:space="preserve">to </w:t>
      </w:r>
      <w:r w:rsidR="00643A91">
        <w:t>construct</w:t>
      </w:r>
      <w:r w:rsidR="001E3108">
        <w:t xml:space="preserve"> the index of </w:t>
      </w:r>
      <w:r w:rsidR="00275ACA">
        <w:t xml:space="preserve">regional </w:t>
      </w:r>
      <w:r w:rsidR="001E3108">
        <w:t>adaptive capacity</w:t>
      </w:r>
      <w:r w:rsidR="008B271E">
        <w:t>.</w:t>
      </w:r>
      <w:r w:rsidR="001E3108">
        <w:t xml:space="preserve"> </w:t>
      </w:r>
      <w:r>
        <w:t>The i</w:t>
      </w:r>
      <w:r w:rsidR="00BD3E9B">
        <w:t xml:space="preserve">ndicators </w:t>
      </w:r>
      <w:r>
        <w:t xml:space="preserve">included </w:t>
      </w:r>
      <w:r w:rsidR="00BD3E9B">
        <w:t xml:space="preserve">in the index were grouped according to the five capitals framework </w:t>
      </w:r>
      <w:r w:rsidR="00605E9D">
        <w:t xml:space="preserve">outlined in </w:t>
      </w:r>
      <w:r w:rsidR="00BD3E9B">
        <w:t>chapter</w:t>
      </w:r>
      <w:r w:rsidR="00E94B47">
        <w:t> </w:t>
      </w:r>
      <w:r w:rsidR="00BD3E9B">
        <w:t>2</w:t>
      </w:r>
      <w:r w:rsidR="008E284D">
        <w:t xml:space="preserve"> of the initial report</w:t>
      </w:r>
      <w:r w:rsidR="001A29C3">
        <w:t>,</w:t>
      </w:r>
      <w:r w:rsidR="00BD3E9B">
        <w:t xml:space="preserve"> and t</w:t>
      </w:r>
      <w:r w:rsidR="00C85F9C">
        <w:t xml:space="preserve">he data </w:t>
      </w:r>
      <w:r>
        <w:t xml:space="preserve">sourced </w:t>
      </w:r>
      <w:r w:rsidR="00D06AF7">
        <w:t>are</w:t>
      </w:r>
      <w:r w:rsidR="00C85F9C">
        <w:t xml:space="preserve"> largely </w:t>
      </w:r>
      <w:r w:rsidR="00F0512B">
        <w:t>from the ABS 2011 Census of Population and Housing.</w:t>
      </w:r>
      <w:r w:rsidR="00717220">
        <w:t xml:space="preserve"> </w:t>
      </w:r>
      <w:r w:rsidR="00BD3E9B">
        <w:t>D</w:t>
      </w:r>
      <w:r w:rsidR="001D6A8C">
        <w:t xml:space="preserve">ata </w:t>
      </w:r>
      <w:r w:rsidR="00BD3E9B">
        <w:t xml:space="preserve">sources and data </w:t>
      </w:r>
      <w:r w:rsidR="001D6A8C">
        <w:t>transformations are described in section</w:t>
      </w:r>
      <w:r w:rsidR="008B66ED">
        <w:t> </w:t>
      </w:r>
      <w:r w:rsidR="001D6A8C">
        <w:t xml:space="preserve">2. </w:t>
      </w:r>
    </w:p>
    <w:p w14:paraId="228B82CE" w14:textId="1CAB1EA0" w:rsidR="00F0512B" w:rsidRDefault="005C4FFE" w:rsidP="00F0512B">
      <w:pPr>
        <w:pStyle w:val="BodyText"/>
      </w:pPr>
      <w:r>
        <w:t>Section</w:t>
      </w:r>
      <w:r w:rsidR="008B66ED">
        <w:t> </w:t>
      </w:r>
      <w:r>
        <w:t xml:space="preserve">3 contains the results from the </w:t>
      </w:r>
      <w:proofErr w:type="spellStart"/>
      <w:r w:rsidR="00F0512B">
        <w:t>PCA</w:t>
      </w:r>
      <w:proofErr w:type="spellEnd"/>
      <w:r w:rsidR="00F0512B">
        <w:t xml:space="preserve">. The sensitivity of each region’s index value </w:t>
      </w:r>
      <w:r w:rsidR="00833E4A">
        <w:t xml:space="preserve">was tested </w:t>
      </w:r>
      <w:r w:rsidR="00717220">
        <w:t xml:space="preserve">using </w:t>
      </w:r>
      <w:r w:rsidR="00F0512B">
        <w:t>bootstrapping</w:t>
      </w:r>
      <w:r w:rsidR="00F52EE7">
        <w:t xml:space="preserve"> and </w:t>
      </w:r>
      <w:r w:rsidR="00B63F70">
        <w:t xml:space="preserve">by </w:t>
      </w:r>
      <w:r w:rsidR="0048221E">
        <w:t xml:space="preserve">examining the effect of </w:t>
      </w:r>
      <w:r w:rsidR="00B63F70">
        <w:t xml:space="preserve">excluding </w:t>
      </w:r>
      <w:r w:rsidR="00717220">
        <w:t xml:space="preserve">variables </w:t>
      </w:r>
      <w:r w:rsidR="009E24CC">
        <w:t xml:space="preserve">in </w:t>
      </w:r>
      <w:r w:rsidR="00B63F70">
        <w:t xml:space="preserve">the index </w:t>
      </w:r>
      <w:r w:rsidR="00F0512B">
        <w:t>(section 4).</w:t>
      </w:r>
      <w:r w:rsidR="002E1DD6">
        <w:t xml:space="preserve"> An overview of the results is </w:t>
      </w:r>
      <w:r w:rsidR="00A57AC3">
        <w:t>provided</w:t>
      </w:r>
      <w:r w:rsidR="002E1DD6">
        <w:t xml:space="preserve"> in section</w:t>
      </w:r>
      <w:r w:rsidR="008B66ED">
        <w:t> </w:t>
      </w:r>
      <w:r w:rsidR="002E1DD6">
        <w:t xml:space="preserve">5, with a </w:t>
      </w:r>
      <w:r w:rsidR="008F61A9">
        <w:t>detailed</w:t>
      </w:r>
      <w:r w:rsidR="002E1DD6">
        <w:t xml:space="preserve"> discussion</w:t>
      </w:r>
      <w:r w:rsidR="00F0512B">
        <w:t xml:space="preserve"> in chapter</w:t>
      </w:r>
      <w:r w:rsidR="00E94B47">
        <w:t> </w:t>
      </w:r>
      <w:r w:rsidR="00F0512B">
        <w:t>4.</w:t>
      </w:r>
      <w:r w:rsidR="001D6A8C">
        <w:t xml:space="preserve"> Attachment A contains a spreadsheet of index scores </w:t>
      </w:r>
      <w:r w:rsidR="00815EB6">
        <w:t>for each region</w:t>
      </w:r>
      <w:r w:rsidR="00997C63">
        <w:t xml:space="preserve">, </w:t>
      </w:r>
      <w:r w:rsidR="00117CFC">
        <w:t xml:space="preserve">including </w:t>
      </w:r>
      <w:r w:rsidR="00997C63">
        <w:t>a breakdown of the factors that contribute to each region’s index score,</w:t>
      </w:r>
      <w:r w:rsidR="00815EB6">
        <w:t xml:space="preserve"> </w:t>
      </w:r>
      <w:r w:rsidR="001D6A8C">
        <w:t xml:space="preserve">and </w:t>
      </w:r>
      <w:r w:rsidR="00815EB6">
        <w:t xml:space="preserve">the </w:t>
      </w:r>
      <w:r w:rsidR="001D6A8C">
        <w:t>90 per cent confidence intervals</w:t>
      </w:r>
      <w:r w:rsidR="00815EB6">
        <w:t xml:space="preserve"> </w:t>
      </w:r>
      <w:r w:rsidR="00640EE1">
        <w:t>of the region’s score</w:t>
      </w:r>
      <w:r w:rsidR="001D6A8C">
        <w:t xml:space="preserve">. </w:t>
      </w:r>
    </w:p>
    <w:p w14:paraId="2D5B6677" w14:textId="4B4B93A8" w:rsidR="00463428" w:rsidRPr="00F0512B" w:rsidRDefault="009377C6" w:rsidP="00F0512B">
      <w:pPr>
        <w:pStyle w:val="BodyText"/>
      </w:pPr>
      <w:r>
        <w:t xml:space="preserve">Although the index of adaptive capacity has been used to rank regions according to their risk of failing to adjust to transitional pressures, it should not be used as a predictor of actual outcomes. These outcomes are the result of many decisions made by individual workers and businesses, as well as the type and magnitude of disruptions that occur, which have not been captured in the index </w:t>
      </w:r>
      <w:r w:rsidR="00463428">
        <w:t>(chapter</w:t>
      </w:r>
      <w:r w:rsidR="008B66ED">
        <w:t> </w:t>
      </w:r>
      <w:r w:rsidR="00463428">
        <w:t xml:space="preserve">2). </w:t>
      </w:r>
    </w:p>
    <w:bookmarkStart w:id="4" w:name="begin"/>
    <w:bookmarkEnd w:id="4"/>
    <w:p w14:paraId="228B82CF" w14:textId="718E3E23" w:rsidR="00D434A0" w:rsidRDefault="00F0512B" w:rsidP="00F0512B">
      <w:pPr>
        <w:pStyle w:val="Heading2"/>
      </w:pPr>
      <w:r>
        <w:fldChar w:fldCharType="begin"/>
      </w:r>
      <w:r>
        <w:instrText xml:space="preserve"> COMMENTS  \* MERGEFORMAT </w:instrText>
      </w:r>
      <w:r>
        <w:fldChar w:fldCharType="end"/>
      </w:r>
      <w:r w:rsidR="002D2773">
        <w:fldChar w:fldCharType="begin"/>
      </w:r>
      <w:r w:rsidR="002D2773">
        <w:instrText xml:space="preserve"> SEQ Heading2 </w:instrText>
      </w:r>
      <w:r w:rsidR="002D2773">
        <w:fldChar w:fldCharType="separate"/>
      </w:r>
      <w:r w:rsidR="002D2773">
        <w:rPr>
          <w:noProof/>
        </w:rPr>
        <w:t>1</w:t>
      </w:r>
      <w:r w:rsidR="002D2773">
        <w:rPr>
          <w:noProof/>
        </w:rPr>
        <w:fldChar w:fldCharType="end"/>
      </w:r>
      <w:r>
        <w:tab/>
        <w:t>Index methodology</w:t>
      </w:r>
    </w:p>
    <w:p w14:paraId="612ADC5E" w14:textId="566CE2BF" w:rsidR="00763494" w:rsidRPr="00763494" w:rsidRDefault="00763494" w:rsidP="006175AE">
      <w:pPr>
        <w:pStyle w:val="BodyText"/>
      </w:pPr>
      <w:proofErr w:type="spellStart"/>
      <w:r w:rsidRPr="000946DB">
        <w:t>PCA</w:t>
      </w:r>
      <w:proofErr w:type="spellEnd"/>
      <w:r w:rsidRPr="000946DB">
        <w:t xml:space="preserve"> is a method </w:t>
      </w:r>
      <w:r>
        <w:t>of summarising</w:t>
      </w:r>
      <w:r w:rsidRPr="000946DB">
        <w:t xml:space="preserve"> data by reducing the number of variables in a dataset into </w:t>
      </w:r>
      <w:r>
        <w:t xml:space="preserve">a new dataset </w:t>
      </w:r>
      <w:r w:rsidRPr="000946DB">
        <w:t>with fewer variables</w:t>
      </w:r>
      <w:r>
        <w:t xml:space="preserve"> </w:t>
      </w:r>
      <w:r w:rsidRPr="002D68F5">
        <w:rPr>
          <w:szCs w:val="24"/>
        </w:rPr>
        <w:t>(O’Rourke and Hatcher </w:t>
      </w:r>
      <w:r w:rsidRPr="00D57205">
        <w:rPr>
          <w:szCs w:val="24"/>
        </w:rPr>
        <w:t>2013)</w:t>
      </w:r>
      <w:r w:rsidRPr="000946DB">
        <w:t>.</w:t>
      </w:r>
      <w:r>
        <w:t xml:space="preserve"> The smaller set of variables </w:t>
      </w:r>
      <w:r w:rsidR="005E5610">
        <w:t>can be</w:t>
      </w:r>
      <w:r>
        <w:t xml:space="preserve"> used to </w:t>
      </w:r>
      <w:r w:rsidR="00643A91">
        <w:t xml:space="preserve">construct </w:t>
      </w:r>
      <w:r>
        <w:t>index</w:t>
      </w:r>
      <w:r w:rsidR="005E5610">
        <w:t>es</w:t>
      </w:r>
      <w:r>
        <w:t xml:space="preserve">. This section begins by first providing a brief introduction to </w:t>
      </w:r>
      <w:proofErr w:type="spellStart"/>
      <w:r>
        <w:t>PCA</w:t>
      </w:r>
      <w:proofErr w:type="spellEnd"/>
      <w:r>
        <w:t>,</w:t>
      </w:r>
      <w:r w:rsidR="00776F43">
        <w:t xml:space="preserve"> including a simple hypothetical example,</w:t>
      </w:r>
      <w:r>
        <w:t xml:space="preserve"> and then explains how the technique </w:t>
      </w:r>
      <w:r w:rsidR="00FF32DC">
        <w:t xml:space="preserve">was </w:t>
      </w:r>
      <w:r>
        <w:t xml:space="preserve">applied in creating the </w:t>
      </w:r>
      <w:r w:rsidR="00643A91">
        <w:t>index</w:t>
      </w:r>
      <w:r w:rsidR="005E5610">
        <w:t xml:space="preserve"> of regional adaptive capacity</w:t>
      </w:r>
      <w:r>
        <w:t xml:space="preserve">. </w:t>
      </w:r>
    </w:p>
    <w:p w14:paraId="228B82D1" w14:textId="15CCE261" w:rsidR="00F0512B" w:rsidRPr="00F0512B" w:rsidRDefault="00F52EE7" w:rsidP="006175AE">
      <w:pPr>
        <w:pStyle w:val="Heading3"/>
      </w:pPr>
      <w:r>
        <w:lastRenderedPageBreak/>
        <w:t>P</w:t>
      </w:r>
      <w:r w:rsidR="00F0512B">
        <w:t>rincipal component analysis</w:t>
      </w:r>
    </w:p>
    <w:p w14:paraId="0FB075E6" w14:textId="6C99DD99" w:rsidR="006E2181" w:rsidRDefault="00763494" w:rsidP="00F0512B">
      <w:pPr>
        <w:pStyle w:val="BodyText"/>
      </w:pPr>
      <w:proofErr w:type="spellStart"/>
      <w:r>
        <w:t>PCA</w:t>
      </w:r>
      <w:proofErr w:type="spellEnd"/>
      <w:r w:rsidR="00B117F9" w:rsidRPr="000946DB">
        <w:t xml:space="preserve"> </w:t>
      </w:r>
      <w:r w:rsidR="00726BC6">
        <w:t>summarises data by creating</w:t>
      </w:r>
      <w:r w:rsidR="00B117F9" w:rsidRPr="000946DB">
        <w:t xml:space="preserve"> a</w:t>
      </w:r>
      <w:r w:rsidR="00B117F9">
        <w:t xml:space="preserve"> new</w:t>
      </w:r>
      <w:r w:rsidR="00B117F9" w:rsidRPr="000946DB">
        <w:t xml:space="preserve"> set of </w:t>
      </w:r>
      <w:r w:rsidR="00B117F9">
        <w:t xml:space="preserve">variables called </w:t>
      </w:r>
      <w:r w:rsidR="00B117F9" w:rsidRPr="000946DB">
        <w:t xml:space="preserve">‘principal components’. </w:t>
      </w:r>
      <w:r w:rsidR="000946DB" w:rsidRPr="000946DB">
        <w:t>These are linear combinations of the original variables</w:t>
      </w:r>
      <w:r w:rsidR="005249E4">
        <w:t xml:space="preserve"> that</w:t>
      </w:r>
      <w:r w:rsidR="000946DB" w:rsidRPr="000946DB">
        <w:t xml:space="preserve"> are uncorrelated with each other and capture the </w:t>
      </w:r>
      <w:r w:rsidR="004F7AB5">
        <w:t>total</w:t>
      </w:r>
      <w:r w:rsidR="000946DB" w:rsidRPr="000946DB">
        <w:t xml:space="preserve"> variation </w:t>
      </w:r>
      <w:r w:rsidR="004F7AB5">
        <w:t xml:space="preserve">in </w:t>
      </w:r>
      <w:r w:rsidR="000946DB" w:rsidRPr="000946DB">
        <w:t>the original dataset. The total number of principal components created is the same as the original number of variables</w:t>
      </w:r>
      <w:r w:rsidR="004F7AB5">
        <w:t>. However,</w:t>
      </w:r>
      <w:r w:rsidR="000946DB" w:rsidRPr="000946DB">
        <w:t xml:space="preserve"> the first principal component accounts for the largest amount of variation in the original dataset, the second principal component accounts for the next largest amount, and so on.</w:t>
      </w:r>
      <w:r w:rsidR="00F80346">
        <w:t xml:space="preserve"> </w:t>
      </w:r>
    </w:p>
    <w:p w14:paraId="4CB8706A" w14:textId="6B5D4361" w:rsidR="00776F43" w:rsidRDefault="004F7AB5" w:rsidP="00FD2A34">
      <w:pPr>
        <w:pStyle w:val="BodyText"/>
      </w:pPr>
      <w:r>
        <w:t>Although</w:t>
      </w:r>
      <w:r w:rsidR="003F2390">
        <w:t xml:space="preserve"> </w:t>
      </w:r>
      <w:r w:rsidR="004A657C">
        <w:t xml:space="preserve">the principal components </w:t>
      </w:r>
      <w:r w:rsidR="003F2390">
        <w:t>created through the technique</w:t>
      </w:r>
      <w:r w:rsidR="004A657C">
        <w:t xml:space="preserve"> </w:t>
      </w:r>
      <w:r>
        <w:t>are</w:t>
      </w:r>
      <w:r w:rsidR="003F2390">
        <w:t xml:space="preserve"> </w:t>
      </w:r>
      <w:r w:rsidR="004A657C">
        <w:t xml:space="preserve">uncorrelated with each other, they </w:t>
      </w:r>
      <w:r w:rsidR="00262500">
        <w:t>are</w:t>
      </w:r>
      <w:r w:rsidR="004A657C">
        <w:t xml:space="preserve"> correlated with the original variables. </w:t>
      </w:r>
      <w:r w:rsidR="0034465D">
        <w:t>An interpretation of a p</w:t>
      </w:r>
      <w:r w:rsidR="001A1B74">
        <w:t xml:space="preserve">rincipal component can be </w:t>
      </w:r>
      <w:r w:rsidR="0034465D">
        <w:t xml:space="preserve">formed </w:t>
      </w:r>
      <w:r w:rsidR="004E75FC">
        <w:t xml:space="preserve">based on </w:t>
      </w:r>
      <w:r w:rsidR="0034465D">
        <w:t>the</w:t>
      </w:r>
      <w:r w:rsidR="00394419">
        <w:t xml:space="preserve"> original</w:t>
      </w:r>
      <w:r w:rsidR="0034465D">
        <w:t xml:space="preserve"> </w:t>
      </w:r>
      <w:r w:rsidR="001A1B74">
        <w:t xml:space="preserve">variables </w:t>
      </w:r>
      <w:r w:rsidR="0034465D">
        <w:t>it</w:t>
      </w:r>
      <w:r w:rsidR="007456EA">
        <w:t xml:space="preserve"> is</w:t>
      </w:r>
      <w:r w:rsidR="0034465D">
        <w:t xml:space="preserve"> </w:t>
      </w:r>
      <w:r w:rsidR="001A1B74">
        <w:t xml:space="preserve">most strongly </w:t>
      </w:r>
      <w:r w:rsidR="00DF4726">
        <w:t>correlate</w:t>
      </w:r>
      <w:r w:rsidR="007456EA">
        <w:t>d</w:t>
      </w:r>
      <w:r w:rsidR="001A1B74">
        <w:t xml:space="preserve"> with. </w:t>
      </w:r>
      <w:r w:rsidR="00FD2A34">
        <w:t xml:space="preserve">Insight into which variables are most relevant in explaining the variation in the data can be gained by examining </w:t>
      </w:r>
      <w:r w:rsidR="000E7F98">
        <w:t>the proportion of variance explained by a principal component, along with its interpretation.</w:t>
      </w:r>
    </w:p>
    <w:p w14:paraId="3094F2B4" w14:textId="67AB3554" w:rsidR="00FB68E8" w:rsidRDefault="00776F43" w:rsidP="00F0512B">
      <w:pPr>
        <w:pStyle w:val="BodyText"/>
      </w:pPr>
      <w:r>
        <w:t xml:space="preserve">Provided that </w:t>
      </w:r>
      <w:r w:rsidR="006E2181">
        <w:t xml:space="preserve">the first few principal components capture a sufficient amount of variation in the original data and can be interpreted in a meaningful way, </w:t>
      </w:r>
      <w:r w:rsidR="003804AE">
        <w:t xml:space="preserve">an analyst can choose to retain just </w:t>
      </w:r>
      <w:r w:rsidR="00726BC6">
        <w:t xml:space="preserve">these </w:t>
      </w:r>
      <w:r w:rsidR="003029C4" w:rsidRPr="00855742">
        <w:t xml:space="preserve">principal components </w:t>
      </w:r>
      <w:r w:rsidR="00F80346">
        <w:t>for further analysis (rather than the full set of variables in the original data)</w:t>
      </w:r>
      <w:r w:rsidR="006E2181">
        <w:t xml:space="preserve"> </w:t>
      </w:r>
      <w:r w:rsidR="002E2957" w:rsidRPr="002E2957">
        <w:rPr>
          <w:szCs w:val="24"/>
        </w:rPr>
        <w:t>(O’</w:t>
      </w:r>
      <w:r w:rsidR="002E2957" w:rsidRPr="002D68F5">
        <w:rPr>
          <w:szCs w:val="24"/>
        </w:rPr>
        <w:t>Rourke and Hatcher 2013, p. 3)</w:t>
      </w:r>
      <w:r w:rsidR="003029C4" w:rsidRPr="00855742">
        <w:t>.</w:t>
      </w:r>
      <w:r w:rsidR="0075758F">
        <w:t xml:space="preserve"> The decision of how many principal components to retain is discussed further below.</w:t>
      </w:r>
    </w:p>
    <w:p w14:paraId="228B82D4" w14:textId="3428E6DF" w:rsidR="00855742" w:rsidRDefault="00E75C13" w:rsidP="00F0512B">
      <w:pPr>
        <w:pStyle w:val="BodyText"/>
      </w:pPr>
      <w:proofErr w:type="spellStart"/>
      <w:r>
        <w:t>PCA</w:t>
      </w:r>
      <w:proofErr w:type="spellEnd"/>
      <w:r>
        <w:t xml:space="preserve"> </w:t>
      </w:r>
      <w:r w:rsidR="00D71B18">
        <w:t>produces</w:t>
      </w:r>
      <w:r>
        <w:t xml:space="preserve"> </w:t>
      </w:r>
      <w:r w:rsidR="008B484B">
        <w:t xml:space="preserve">a score for </w:t>
      </w:r>
      <w:r>
        <w:t>e</w:t>
      </w:r>
      <w:r w:rsidR="003029C4">
        <w:t xml:space="preserve">ach observation in the dataset </w:t>
      </w:r>
      <w:r w:rsidR="00163FB8">
        <w:t xml:space="preserve">on </w:t>
      </w:r>
      <w:r w:rsidR="003029C4">
        <w:t>each principal component</w:t>
      </w:r>
      <w:r w:rsidR="00F80346">
        <w:t xml:space="preserve"> created</w:t>
      </w:r>
      <w:r w:rsidR="003029C4">
        <w:t xml:space="preserve">. </w:t>
      </w:r>
      <w:r w:rsidR="00855742">
        <w:t xml:space="preserve">For a </w:t>
      </w:r>
      <w:proofErr w:type="spellStart"/>
      <w:r w:rsidR="003029C4">
        <w:t>PCA</w:t>
      </w:r>
      <w:proofErr w:type="spellEnd"/>
      <w:r w:rsidR="003029C4">
        <w:t xml:space="preserve"> </w:t>
      </w:r>
      <w:r w:rsidR="00A76637">
        <w:t xml:space="preserve">with </w:t>
      </w:r>
      <m:oMath>
        <m:r>
          <w:rPr>
            <w:rFonts w:ascii="Cambria Math" w:hAnsi="Cambria Math"/>
          </w:rPr>
          <m:t>K</m:t>
        </m:r>
      </m:oMath>
      <w:r w:rsidR="00855742">
        <w:t xml:space="preserve"> </w:t>
      </w:r>
      <w:r w:rsidR="00BA637A">
        <w:t>observed</w:t>
      </w:r>
      <w:r w:rsidR="003029C4">
        <w:t xml:space="preserve"> </w:t>
      </w:r>
      <w:r w:rsidR="00855742">
        <w:t xml:space="preserve">variables, the formula for </w:t>
      </w:r>
      <w:r w:rsidR="003029C4">
        <w:t xml:space="preserve">calculating </w:t>
      </w:r>
      <w:r w:rsidR="00A76637">
        <w:t xml:space="preserve">observation </w:t>
      </w:r>
      <m:oMath>
        <m:r>
          <w:rPr>
            <w:rFonts w:ascii="Cambria Math" w:hAnsi="Cambria Math"/>
          </w:rPr>
          <m:t>i</m:t>
        </m:r>
      </m:oMath>
      <w:r w:rsidR="00A76637">
        <w:t xml:space="preserve">’s score on the </w:t>
      </w:r>
      <m:oMath>
        <m:sSup>
          <m:sSupPr>
            <m:ctrlPr>
              <w:rPr>
                <w:rFonts w:ascii="Cambria Math" w:hAnsi="Cambria Math"/>
                <w:i/>
              </w:rPr>
            </m:ctrlPr>
          </m:sSupPr>
          <m:e>
            <m:r>
              <w:rPr>
                <w:rFonts w:ascii="Cambria Math" w:hAnsi="Cambria Math"/>
              </w:rPr>
              <m:t>p</m:t>
            </m:r>
          </m:e>
          <m:sup>
            <m:r>
              <w:rPr>
                <w:rFonts w:ascii="Cambria Math" w:hAnsi="Cambria Math"/>
              </w:rPr>
              <m:t>th</m:t>
            </m:r>
          </m:sup>
        </m:sSup>
      </m:oMath>
      <w:r w:rsidR="00F80346">
        <w:t xml:space="preserve"> </w:t>
      </w:r>
      <w:r w:rsidR="00855742">
        <w:t>principal component is:</w:t>
      </w:r>
    </w:p>
    <w:p w14:paraId="0CE09BC8" w14:textId="293ACC22" w:rsidR="002D68F5" w:rsidRPr="008D5382" w:rsidRDefault="00F80346" w:rsidP="00F0512B">
      <w:pPr>
        <w:pStyle w:val="BodyText"/>
      </w:pPr>
      <m:oMathPara>
        <m:oMathParaPr>
          <m:jc m:val="left"/>
        </m:oMathParaPr>
        <m:oMath>
          <m:r>
            <w:rPr>
              <w:rFonts w:ascii="Cambria Math" w:hAnsi="Cambria Math"/>
            </w:rPr>
            <m:t>P</m:t>
          </m:r>
          <m:sSub>
            <m:sSubPr>
              <m:ctrlPr>
                <w:rPr>
                  <w:rFonts w:ascii="Cambria Math" w:hAnsi="Cambria Math"/>
                  <w:i/>
                </w:rPr>
              </m:ctrlPr>
            </m:sSubPr>
            <m:e>
              <m:r>
                <w:rPr>
                  <w:rFonts w:ascii="Cambria Math" w:hAnsi="Cambria Math"/>
                </w:rPr>
                <m:t>C</m:t>
              </m:r>
            </m:e>
            <m:sub>
              <m:r>
                <w:rPr>
                  <w:rFonts w:ascii="Cambria Math" w:hAnsi="Cambria Math"/>
                </w:rPr>
                <m:t>pi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1p</m:t>
              </m:r>
            </m:sub>
          </m:sSub>
          <m:sSub>
            <m:sSubPr>
              <m:ctrlPr>
                <w:rPr>
                  <w:rFonts w:ascii="Cambria Math" w:hAnsi="Cambria Math"/>
                  <w:i/>
                </w:rPr>
              </m:ctrlPr>
            </m:sSubPr>
            <m:e>
              <m:r>
                <w:rPr>
                  <w:rFonts w:ascii="Cambria Math" w:hAnsi="Cambria Math"/>
                </w:rPr>
                <m:t>X</m:t>
              </m:r>
            </m:e>
            <m:sub>
              <m:r>
                <w:rPr>
                  <w:rFonts w:ascii="Cambria Math" w:hAnsi="Cambria Math"/>
                </w:rPr>
                <m:t>1i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2p</m:t>
              </m:r>
            </m:sub>
          </m:sSub>
          <m:sSub>
            <m:sSubPr>
              <m:ctrlPr>
                <w:rPr>
                  <w:rFonts w:ascii="Cambria Math" w:hAnsi="Cambria Math"/>
                  <w:i/>
                </w:rPr>
              </m:ctrlPr>
            </m:sSubPr>
            <m:e>
              <m:r>
                <w:rPr>
                  <w:rFonts w:ascii="Cambria Math" w:hAnsi="Cambria Math"/>
                </w:rPr>
                <m:t>X</m:t>
              </m:r>
            </m:e>
            <m:sub>
              <m:r>
                <w:rPr>
                  <w:rFonts w:ascii="Cambria Math" w:hAnsi="Cambria Math"/>
                </w:rPr>
                <m:t>2i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Kp</m:t>
              </m:r>
            </m:sub>
          </m:sSub>
          <m:sSub>
            <m:sSubPr>
              <m:ctrlPr>
                <w:rPr>
                  <w:rFonts w:ascii="Cambria Math" w:hAnsi="Cambria Math"/>
                  <w:i/>
                </w:rPr>
              </m:ctrlPr>
            </m:sSubPr>
            <m:e>
              <m:r>
                <w:rPr>
                  <w:rFonts w:ascii="Cambria Math" w:hAnsi="Cambria Math"/>
                </w:rPr>
                <m:t>X</m:t>
              </m:r>
            </m:e>
            <m:sub>
              <m:r>
                <w:rPr>
                  <w:rFonts w:ascii="Cambria Math" w:hAnsi="Cambria Math"/>
                </w:rPr>
                <m:t>Ki</m:t>
              </m:r>
            </m:sub>
          </m:sSub>
        </m:oMath>
      </m:oMathPara>
    </w:p>
    <w:p w14:paraId="228B82D6" w14:textId="77777777" w:rsidR="00F80346" w:rsidRDefault="00F80346" w:rsidP="00F0512B">
      <w:pPr>
        <w:pStyle w:val="BodyText"/>
      </w:pPr>
      <w:r>
        <w:t>where:</w:t>
      </w:r>
    </w:p>
    <w:p w14:paraId="228B82D7" w14:textId="37D86DD8" w:rsidR="00F80346" w:rsidRDefault="006672AD" w:rsidP="00F80346">
      <w:pPr>
        <w:pStyle w:val="ListBullet"/>
      </w:pPr>
      <m:oMath>
        <m:r>
          <w:rPr>
            <w:rFonts w:ascii="Cambria Math" w:hAnsi="Cambria Math"/>
          </w:rPr>
          <m:t>P</m:t>
        </m:r>
        <m:sSub>
          <m:sSubPr>
            <m:ctrlPr>
              <w:rPr>
                <w:rFonts w:ascii="Cambria Math" w:hAnsi="Cambria Math"/>
                <w:i/>
              </w:rPr>
            </m:ctrlPr>
          </m:sSubPr>
          <m:e>
            <m:r>
              <w:rPr>
                <w:rFonts w:ascii="Cambria Math" w:hAnsi="Cambria Math"/>
              </w:rPr>
              <m:t>C</m:t>
            </m:r>
          </m:e>
          <m:sub>
            <m:r>
              <w:rPr>
                <w:rFonts w:ascii="Cambria Math" w:hAnsi="Cambria Math"/>
              </w:rPr>
              <m:t>pi</m:t>
            </m:r>
          </m:sub>
        </m:sSub>
      </m:oMath>
      <w:r w:rsidR="00F80346">
        <w:t xml:space="preserve"> is </w:t>
      </w:r>
      <w:r w:rsidR="00BA08A4">
        <w:t xml:space="preserve">observation </w:t>
      </w:r>
      <m:oMath>
        <m:r>
          <w:rPr>
            <w:rFonts w:ascii="Cambria Math" w:hAnsi="Cambria Math"/>
          </w:rPr>
          <m:t>i</m:t>
        </m:r>
      </m:oMath>
      <w:r w:rsidR="00BA08A4">
        <w:t xml:space="preserve">’s score on the </w:t>
      </w:r>
      <m:oMath>
        <m:sSup>
          <m:sSupPr>
            <m:ctrlPr>
              <w:rPr>
                <w:rFonts w:ascii="Cambria Math" w:hAnsi="Cambria Math"/>
                <w:i/>
              </w:rPr>
            </m:ctrlPr>
          </m:sSupPr>
          <m:e>
            <m:r>
              <w:rPr>
                <w:rFonts w:ascii="Cambria Math" w:hAnsi="Cambria Math"/>
              </w:rPr>
              <m:t>p</m:t>
            </m:r>
          </m:e>
          <m:sup>
            <m:r>
              <w:rPr>
                <w:rFonts w:ascii="Cambria Math" w:hAnsi="Cambria Math"/>
              </w:rPr>
              <m:t>th</m:t>
            </m:r>
          </m:sup>
        </m:sSup>
      </m:oMath>
      <w:r w:rsidR="00BA08A4">
        <w:t xml:space="preserve"> principal component</w:t>
      </w:r>
    </w:p>
    <w:p w14:paraId="228B82D8" w14:textId="64D32541" w:rsidR="006672AD" w:rsidRDefault="002D2773" w:rsidP="00F80346">
      <w:pPr>
        <w:pStyle w:val="ListBullet"/>
      </w:pPr>
      <m:oMath>
        <m:sSub>
          <m:sSubPr>
            <m:ctrlPr>
              <w:rPr>
                <w:rFonts w:ascii="Cambria Math" w:hAnsi="Cambria Math"/>
                <w:i/>
              </w:rPr>
            </m:ctrlPr>
          </m:sSubPr>
          <m:e>
            <m:r>
              <w:rPr>
                <w:rFonts w:ascii="Cambria Math" w:hAnsi="Cambria Math"/>
              </w:rPr>
              <m:t>X</m:t>
            </m:r>
          </m:e>
          <m:sub>
            <m:r>
              <w:rPr>
                <w:rFonts w:ascii="Cambria Math" w:hAnsi="Cambria Math"/>
              </w:rPr>
              <m:t>ki</m:t>
            </m:r>
          </m:sub>
        </m:sSub>
      </m:oMath>
      <w:r w:rsidR="00A76637">
        <w:t xml:space="preserve"> is</w:t>
      </w:r>
      <w:r w:rsidR="00BA08A4">
        <w:t xml:space="preserve"> observation </w:t>
      </w:r>
      <m:oMath>
        <m:r>
          <w:rPr>
            <w:rFonts w:ascii="Cambria Math" w:hAnsi="Cambria Math"/>
          </w:rPr>
          <m:t>i</m:t>
        </m:r>
      </m:oMath>
      <w:r w:rsidR="00BA08A4">
        <w:t>’s</w:t>
      </w:r>
      <w:r w:rsidR="00A76637">
        <w:t xml:space="preserve"> </w:t>
      </w:r>
      <w:r w:rsidR="00C04A8B">
        <w:t xml:space="preserve">standardised </w:t>
      </w:r>
      <w:r w:rsidR="00BA08A4">
        <w:t xml:space="preserve">value of the </w:t>
      </w:r>
      <m:oMath>
        <m:sSup>
          <m:sSupPr>
            <m:ctrlPr>
              <w:rPr>
                <w:rFonts w:ascii="Cambria Math" w:hAnsi="Cambria Math"/>
                <w:i/>
              </w:rPr>
            </m:ctrlPr>
          </m:sSupPr>
          <m:e>
            <m:r>
              <w:rPr>
                <w:rFonts w:ascii="Cambria Math" w:hAnsi="Cambria Math"/>
              </w:rPr>
              <m:t>k</m:t>
            </m:r>
          </m:e>
          <m:sup>
            <m:r>
              <w:rPr>
                <w:rFonts w:ascii="Cambria Math" w:hAnsi="Cambria Math"/>
              </w:rPr>
              <m:t>th</m:t>
            </m:r>
          </m:sup>
        </m:sSup>
      </m:oMath>
      <w:r w:rsidR="00BA08A4">
        <w:t xml:space="preserve"> observed variable</w:t>
      </w:r>
    </w:p>
    <w:p w14:paraId="228B82D9" w14:textId="7D31D03C" w:rsidR="006672AD" w:rsidRDefault="002D2773" w:rsidP="00BA08A4">
      <w:pPr>
        <w:pStyle w:val="ListBullet"/>
      </w:pPr>
      <m:oMath>
        <m:sSub>
          <m:sSubPr>
            <m:ctrlPr>
              <w:rPr>
                <w:rFonts w:ascii="Cambria Math" w:hAnsi="Cambria Math"/>
                <w:i/>
              </w:rPr>
            </m:ctrlPr>
          </m:sSubPr>
          <m:e>
            <m:r>
              <w:rPr>
                <w:rFonts w:ascii="Cambria Math" w:hAnsi="Cambria Math"/>
              </w:rPr>
              <m:t>w</m:t>
            </m:r>
          </m:e>
          <m:sub>
            <m:r>
              <w:rPr>
                <w:rFonts w:ascii="Cambria Math" w:hAnsi="Cambria Math"/>
              </w:rPr>
              <m:t>kp</m:t>
            </m:r>
          </m:sub>
        </m:sSub>
      </m:oMath>
      <w:r w:rsidR="006672AD">
        <w:t xml:space="preserve"> is the </w:t>
      </w:r>
      <w:r w:rsidR="00BA08A4">
        <w:t xml:space="preserve">weight attached to the </w:t>
      </w:r>
      <m:oMath>
        <m:sSup>
          <m:sSupPr>
            <m:ctrlPr>
              <w:rPr>
                <w:rFonts w:ascii="Cambria Math" w:hAnsi="Cambria Math"/>
                <w:i/>
              </w:rPr>
            </m:ctrlPr>
          </m:sSupPr>
          <m:e>
            <m:r>
              <w:rPr>
                <w:rFonts w:ascii="Cambria Math" w:hAnsi="Cambria Math"/>
              </w:rPr>
              <m:t>k</m:t>
            </m:r>
          </m:e>
          <m:sup>
            <m:r>
              <w:rPr>
                <w:rFonts w:ascii="Cambria Math" w:hAnsi="Cambria Math"/>
              </w:rPr>
              <m:t>th</m:t>
            </m:r>
          </m:sup>
        </m:sSup>
      </m:oMath>
      <w:r w:rsidR="00BA08A4">
        <w:t xml:space="preserve"> observed variable for the </w:t>
      </w:r>
      <m:oMath>
        <m:sSup>
          <m:sSupPr>
            <m:ctrlPr>
              <w:rPr>
                <w:rFonts w:ascii="Cambria Math" w:hAnsi="Cambria Math"/>
                <w:i/>
              </w:rPr>
            </m:ctrlPr>
          </m:sSupPr>
          <m:e>
            <m:r>
              <w:rPr>
                <w:rFonts w:ascii="Cambria Math" w:hAnsi="Cambria Math"/>
              </w:rPr>
              <m:t>p</m:t>
            </m:r>
          </m:e>
          <m:sup>
            <m:r>
              <w:rPr>
                <w:rFonts w:ascii="Cambria Math" w:hAnsi="Cambria Math"/>
              </w:rPr>
              <m:t>th</m:t>
            </m:r>
          </m:sup>
        </m:sSup>
      </m:oMath>
      <w:r w:rsidR="00BA08A4">
        <w:t xml:space="preserve"> principal component, obtained from the PCA</w:t>
      </w:r>
      <w:r w:rsidR="00F51D84">
        <w:t>.</w:t>
      </w:r>
    </w:p>
    <w:p w14:paraId="3E2CCDE7" w14:textId="5CE9A698" w:rsidR="00776F43" w:rsidRDefault="00776F43" w:rsidP="006175AE">
      <w:pPr>
        <w:pStyle w:val="Heading4"/>
      </w:pPr>
      <w:r>
        <w:t>A simple illustration</w:t>
      </w:r>
    </w:p>
    <w:p w14:paraId="76226C00" w14:textId="130A20FF" w:rsidR="00B81C90" w:rsidRDefault="007171B3" w:rsidP="00F0512B">
      <w:pPr>
        <w:pStyle w:val="BodyText"/>
      </w:pPr>
      <w:r>
        <w:t>A</w:t>
      </w:r>
      <w:r w:rsidR="00F03940">
        <w:t>n</w:t>
      </w:r>
      <w:r w:rsidR="00F51D84">
        <w:t xml:space="preserve"> example of </w:t>
      </w:r>
      <w:r w:rsidR="009338C8">
        <w:t xml:space="preserve">how </w:t>
      </w:r>
      <w:proofErr w:type="spellStart"/>
      <w:r w:rsidR="00F51D84">
        <w:t>PCA</w:t>
      </w:r>
      <w:proofErr w:type="spellEnd"/>
      <w:r w:rsidR="00F51D84">
        <w:t xml:space="preserve"> </w:t>
      </w:r>
      <w:r w:rsidR="009338C8">
        <w:t>transforms data</w:t>
      </w:r>
      <w:r>
        <w:t xml:space="preserve"> </w:t>
      </w:r>
      <w:r w:rsidR="00437DC5">
        <w:t>is</w:t>
      </w:r>
      <w:r>
        <w:t xml:space="preserve"> illustrated</w:t>
      </w:r>
      <w:r w:rsidR="009338C8">
        <w:t xml:space="preserve"> </w:t>
      </w:r>
      <w:r w:rsidR="00F51D84">
        <w:t xml:space="preserve">using a </w:t>
      </w:r>
      <w:r w:rsidR="00F03940">
        <w:t xml:space="preserve">hypothetical </w:t>
      </w:r>
      <w:r w:rsidR="00F51D84">
        <w:t>dataset on employment and year 12 attainment rates</w:t>
      </w:r>
      <w:r w:rsidR="00B81C90">
        <w:t xml:space="preserve"> for six regions</w:t>
      </w:r>
      <w:r>
        <w:t xml:space="preserve"> (table</w:t>
      </w:r>
      <w:r w:rsidR="008B66ED">
        <w:t> </w:t>
      </w:r>
      <w:r>
        <w:t>1)</w:t>
      </w:r>
      <w:r w:rsidR="00F51D84">
        <w:t xml:space="preserve">. </w:t>
      </w:r>
      <w:r w:rsidR="008F24AF">
        <w:t xml:space="preserve">The first step </w:t>
      </w:r>
      <w:r w:rsidR="00F47A08">
        <w:t xml:space="preserve">illustrates </w:t>
      </w:r>
      <w:r w:rsidR="008F24AF">
        <w:t xml:space="preserve">the standardisation of the </w:t>
      </w:r>
      <w:r w:rsidR="00A57FC7">
        <w:t xml:space="preserve">original variables </w:t>
      </w:r>
      <w:r w:rsidR="000A1273">
        <w:t>(</w:t>
      </w:r>
      <w:r w:rsidR="00831083">
        <w:t xml:space="preserve">by subtracting the mean </w:t>
      </w:r>
      <w:r w:rsidR="000A1273">
        <w:t xml:space="preserve">of the variable </w:t>
      </w:r>
      <w:r w:rsidR="00831083">
        <w:t xml:space="preserve">and dividing by </w:t>
      </w:r>
      <w:r w:rsidR="00E072D3">
        <w:t xml:space="preserve">its </w:t>
      </w:r>
      <w:r w:rsidR="00831083">
        <w:t>standard deviation</w:t>
      </w:r>
      <w:r w:rsidR="000A1273">
        <w:t>)</w:t>
      </w:r>
      <w:r w:rsidR="00F47A08">
        <w:t>.</w:t>
      </w:r>
      <w:r w:rsidR="007F1215">
        <w:t xml:space="preserve"> </w:t>
      </w:r>
      <w:r w:rsidR="00F47A08">
        <w:t>S</w:t>
      </w:r>
      <w:r w:rsidR="007F1215">
        <w:t xml:space="preserve">tandardised variables </w:t>
      </w:r>
      <w:r w:rsidR="002F5CBE">
        <w:t xml:space="preserve">have </w:t>
      </w:r>
      <w:r w:rsidR="007F1215">
        <w:t>mean</w:t>
      </w:r>
      <w:r w:rsidR="004F5D51">
        <w:t>s</w:t>
      </w:r>
      <w:r w:rsidR="007F1215">
        <w:t xml:space="preserve"> of zero and standard deviation</w:t>
      </w:r>
      <w:r w:rsidR="004F5D51">
        <w:t>s</w:t>
      </w:r>
      <w:r w:rsidR="007F1215">
        <w:t xml:space="preserve"> of one</w:t>
      </w:r>
      <w:r w:rsidR="00A57FC7">
        <w:t>.</w:t>
      </w:r>
      <w:r w:rsidR="007E762B">
        <w:rPr>
          <w:rStyle w:val="FootnoteReference"/>
        </w:rPr>
        <w:footnoteReference w:id="1"/>
      </w:r>
      <w:r w:rsidR="00A57FC7">
        <w:t xml:space="preserve"> </w:t>
      </w:r>
      <w:proofErr w:type="spellStart"/>
      <w:r w:rsidR="00A57FC7">
        <w:t>PCA</w:t>
      </w:r>
      <w:proofErr w:type="spellEnd"/>
      <w:r w:rsidR="00A57FC7">
        <w:t xml:space="preserve"> is </w:t>
      </w:r>
      <w:r w:rsidR="00293295">
        <w:t xml:space="preserve">then </w:t>
      </w:r>
      <w:r w:rsidR="001B6059">
        <w:t xml:space="preserve">applied </w:t>
      </w:r>
      <w:r w:rsidR="00A57FC7">
        <w:t xml:space="preserve">to </w:t>
      </w:r>
      <w:r w:rsidR="001B6059">
        <w:t xml:space="preserve">generate </w:t>
      </w:r>
      <w:r w:rsidR="00A57FC7">
        <w:t xml:space="preserve">the weights on each variable for each </w:t>
      </w:r>
      <w:r w:rsidR="00A57FC7">
        <w:lastRenderedPageBreak/>
        <w:t xml:space="preserve">principal component, </w:t>
      </w:r>
      <w:r w:rsidR="00C65B12">
        <w:t>as well as</w:t>
      </w:r>
      <w:r w:rsidR="00A57FC7">
        <w:t xml:space="preserve"> the principal components themselves.</w:t>
      </w:r>
      <w:r w:rsidR="00367375">
        <w:t xml:space="preserve"> </w:t>
      </w:r>
      <w:r w:rsidR="00051BBE">
        <w:t xml:space="preserve">In this example, </w:t>
      </w:r>
      <w:r w:rsidR="00B81C90">
        <w:t xml:space="preserve">most of the variation in the data can be represented by the first principal component, which accounts for 97 per cent of the total variation in the data. </w:t>
      </w:r>
      <w:r w:rsidR="00C65B12">
        <w:t xml:space="preserve">Therefore, this component summarises most of the </w:t>
      </w:r>
      <w:r w:rsidR="004C5CD6">
        <w:t>variation in</w:t>
      </w:r>
      <w:r w:rsidR="00C65B12">
        <w:t xml:space="preserve"> year 12 attainment and employment rates</w:t>
      </w:r>
      <w:r w:rsidR="00725512">
        <w:t>. It</w:t>
      </w:r>
      <w:r w:rsidR="00C65B12">
        <w:t xml:space="preserve"> </w:t>
      </w:r>
      <w:r w:rsidR="00E52EA5">
        <w:t xml:space="preserve">is highly correlated with both variables, </w:t>
      </w:r>
      <w:r w:rsidR="00C65B12">
        <w:t>and could be interpreted as a simple human capital index.</w:t>
      </w:r>
      <w:r w:rsidR="00C02A7E">
        <w:t xml:space="preserve"> A</w:t>
      </w:r>
      <w:r w:rsidR="00FB68E8">
        <w:t>n analyst could choose to retain just this principal component and capture most of the variation in the original data.</w:t>
      </w:r>
    </w:p>
    <w:p w14:paraId="337B30AC" w14:textId="6C9EFC28" w:rsidR="00C02A7E" w:rsidRDefault="00C02A7E" w:rsidP="00F0512B">
      <w:pPr>
        <w:pStyle w:val="BodyText"/>
      </w:pPr>
      <w:r>
        <w:t xml:space="preserve">The transformation </w:t>
      </w:r>
      <w:r w:rsidR="00AE2A21">
        <w:t xml:space="preserve">of data points </w:t>
      </w:r>
      <w:r w:rsidR="00E52EA5">
        <w:t xml:space="preserve">from the original variables to the principal components </w:t>
      </w:r>
      <w:r>
        <w:t>is illustrated diagrammatically in figure</w:t>
      </w:r>
      <w:r w:rsidR="008B66ED">
        <w:t> </w:t>
      </w:r>
      <w:r>
        <w:t>1.</w:t>
      </w:r>
    </w:p>
    <w:p w14:paraId="5944FC06" w14:textId="298F3377" w:rsidR="00B04912" w:rsidRPr="008B66ED" w:rsidRDefault="00B04912" w:rsidP="005C4E8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04912" w14:paraId="4E936C9A" w14:textId="77777777" w:rsidTr="00A23812">
        <w:tc>
          <w:tcPr>
            <w:tcW w:w="5000" w:type="pct"/>
            <w:tcBorders>
              <w:top w:val="single" w:sz="6" w:space="0" w:color="78A22F"/>
              <w:left w:val="nil"/>
              <w:bottom w:val="nil"/>
              <w:right w:val="nil"/>
            </w:tcBorders>
            <w:shd w:val="clear" w:color="auto" w:fill="auto"/>
          </w:tcPr>
          <w:p w14:paraId="7260B58F" w14:textId="33ACD831" w:rsidR="00B04912" w:rsidRDefault="00B04912" w:rsidP="006175AE">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D2773">
              <w:rPr>
                <w:b w:val="0"/>
                <w:noProof/>
              </w:rPr>
              <w:t>1</w:t>
            </w:r>
            <w:r>
              <w:rPr>
                <w:b w:val="0"/>
              </w:rPr>
              <w:fldChar w:fldCharType="end"/>
            </w:r>
            <w:r>
              <w:tab/>
            </w:r>
            <w:r w:rsidR="003E1CA9">
              <w:t>Principal component analysis — illustrative transformation</w:t>
            </w:r>
          </w:p>
          <w:p w14:paraId="0451BB84" w14:textId="1659992E" w:rsidR="006A2AAA" w:rsidRPr="006A2AAA" w:rsidRDefault="006A2AAA" w:rsidP="006A2AAA">
            <w:pPr>
              <w:pStyle w:val="Subtitle"/>
            </w:pPr>
            <w:r>
              <w:t>Hypothetical dataset on year 12 attainment and employment rates</w:t>
            </w:r>
          </w:p>
        </w:tc>
      </w:tr>
      <w:tr w:rsidR="00B04912" w14:paraId="18936599"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103"/>
              <w:gridCol w:w="1849"/>
              <w:gridCol w:w="1852"/>
              <w:gridCol w:w="1852"/>
              <w:gridCol w:w="1849"/>
            </w:tblGrid>
            <w:tr w:rsidR="00706761" w14:paraId="5657D920" w14:textId="77777777" w:rsidTr="00E322F7">
              <w:trPr>
                <w:tblHeader/>
              </w:trPr>
              <w:tc>
                <w:tcPr>
                  <w:tcW w:w="5000" w:type="pct"/>
                  <w:gridSpan w:val="5"/>
                  <w:tcBorders>
                    <w:top w:val="single" w:sz="6" w:space="0" w:color="BFBFBF"/>
                    <w:bottom w:val="single" w:sz="6" w:space="0" w:color="BFBFBF"/>
                  </w:tcBorders>
                  <w:shd w:val="clear" w:color="auto" w:fill="auto"/>
                  <w:tcMar>
                    <w:top w:w="28" w:type="dxa"/>
                  </w:tcMar>
                </w:tcPr>
                <w:p w14:paraId="2B78DA34" w14:textId="66F26B33" w:rsidR="00706761" w:rsidRPr="00706761" w:rsidRDefault="00706761" w:rsidP="00706761">
                  <w:pPr>
                    <w:pStyle w:val="TableColumnHeading"/>
                    <w:jc w:val="left"/>
                    <w:rPr>
                      <w:b/>
                      <w:i w:val="0"/>
                    </w:rPr>
                  </w:pPr>
                  <w:r>
                    <w:rPr>
                      <w:b/>
                      <w:i w:val="0"/>
                    </w:rPr>
                    <w:t>S</w:t>
                  </w:r>
                  <w:r w:rsidR="00655B63">
                    <w:rPr>
                      <w:b/>
                      <w:i w:val="0"/>
                    </w:rPr>
                    <w:t>tep 1: S</w:t>
                  </w:r>
                  <w:r>
                    <w:rPr>
                      <w:b/>
                      <w:i w:val="0"/>
                    </w:rPr>
                    <w:t>tandardisation</w:t>
                  </w:r>
                </w:p>
              </w:tc>
            </w:tr>
            <w:tr w:rsidR="00706761" w14:paraId="4CB3E96E" w14:textId="77777777" w:rsidTr="00E322F7">
              <w:trPr>
                <w:tblHeader/>
              </w:trPr>
              <w:tc>
                <w:tcPr>
                  <w:tcW w:w="648" w:type="pct"/>
                  <w:tcBorders>
                    <w:top w:val="single" w:sz="6" w:space="0" w:color="BFBFBF"/>
                  </w:tcBorders>
                </w:tcPr>
                <w:p w14:paraId="03319179" w14:textId="717946B6" w:rsidR="00706761" w:rsidRPr="006A2AAA" w:rsidRDefault="00706761" w:rsidP="00706761">
                  <w:pPr>
                    <w:pStyle w:val="TableUnitsRow"/>
                    <w:jc w:val="left"/>
                    <w:rPr>
                      <w:i/>
                    </w:rPr>
                  </w:pPr>
                  <w:r w:rsidRPr="006A2AAA">
                    <w:rPr>
                      <w:i/>
                    </w:rPr>
                    <w:t>Region</w:t>
                  </w:r>
                  <w:r w:rsidR="00571EE8">
                    <w:rPr>
                      <w:i/>
                    </w:rPr>
                    <w:t xml:space="preserve"> </w:t>
                  </w:r>
                  <m:oMath>
                    <m:r>
                      <w:rPr>
                        <w:rFonts w:ascii="Cambria Math" w:hAnsi="Cambria Math"/>
                      </w:rPr>
                      <m:t>(i)</m:t>
                    </m:r>
                  </m:oMath>
                </w:p>
              </w:tc>
              <w:tc>
                <w:tcPr>
                  <w:tcW w:w="2176" w:type="pct"/>
                  <w:gridSpan w:val="2"/>
                  <w:tcBorders>
                    <w:top w:val="single" w:sz="6" w:space="0" w:color="BFBFBF"/>
                  </w:tcBorders>
                </w:tcPr>
                <w:p w14:paraId="67F57A2C" w14:textId="1A560968" w:rsidR="00706761" w:rsidRPr="006A2AAA" w:rsidRDefault="00706761" w:rsidP="00F077FD">
                  <w:pPr>
                    <w:pStyle w:val="TableUnitsRow"/>
                    <w:ind w:left="1570"/>
                    <w:jc w:val="left"/>
                    <w:rPr>
                      <w:i/>
                    </w:rPr>
                  </w:pPr>
                  <w:r w:rsidRPr="006A2AAA">
                    <w:rPr>
                      <w:i/>
                    </w:rPr>
                    <w:t>Original variables (%)</w:t>
                  </w:r>
                </w:p>
              </w:tc>
              <w:tc>
                <w:tcPr>
                  <w:tcW w:w="2176" w:type="pct"/>
                  <w:gridSpan w:val="2"/>
                  <w:tcBorders>
                    <w:top w:val="single" w:sz="6" w:space="0" w:color="BFBFBF"/>
                  </w:tcBorders>
                </w:tcPr>
                <w:p w14:paraId="066ADD2E" w14:textId="549A9CA6" w:rsidR="00706761" w:rsidRPr="006A2AAA" w:rsidRDefault="00706761" w:rsidP="00F077FD">
                  <w:pPr>
                    <w:pStyle w:val="TableUnitsRow"/>
                    <w:ind w:left="1138"/>
                    <w:jc w:val="left"/>
                    <w:rPr>
                      <w:i/>
                    </w:rPr>
                  </w:pPr>
                  <w:r w:rsidRPr="006A2AAA">
                    <w:rPr>
                      <w:i/>
                    </w:rPr>
                    <w:t>Standardised variables</w:t>
                  </w:r>
                  <w:r w:rsidR="005E0B48">
                    <w:rPr>
                      <w:i/>
                    </w:rPr>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ki</m:t>
                            </m:r>
                          </m:sub>
                        </m:sSub>
                      </m:e>
                    </m:d>
                  </m:oMath>
                </w:p>
              </w:tc>
            </w:tr>
            <w:tr w:rsidR="00655B63" w14:paraId="53D36E26" w14:textId="77777777" w:rsidTr="00E322F7">
              <w:trPr>
                <w:tblHeader/>
              </w:trPr>
              <w:tc>
                <w:tcPr>
                  <w:tcW w:w="648" w:type="pct"/>
                </w:tcPr>
                <w:p w14:paraId="2D0EF1E3" w14:textId="5899D3B1" w:rsidR="00706761" w:rsidRDefault="00706761" w:rsidP="005C4E84">
                  <w:pPr>
                    <w:pStyle w:val="TableBodyText"/>
                    <w:jc w:val="left"/>
                  </w:pPr>
                </w:p>
              </w:tc>
              <w:tc>
                <w:tcPr>
                  <w:tcW w:w="1087" w:type="pct"/>
                </w:tcPr>
                <w:p w14:paraId="31624B89" w14:textId="3B450AE2" w:rsidR="00706761" w:rsidRPr="00706761" w:rsidRDefault="00706761" w:rsidP="006A2AAA">
                  <w:pPr>
                    <w:pStyle w:val="TableBodyText"/>
                    <w:rPr>
                      <w:i/>
                    </w:rPr>
                  </w:pPr>
                  <w:r w:rsidRPr="00706761">
                    <w:rPr>
                      <w:i/>
                    </w:rPr>
                    <w:t>Y</w:t>
                  </w:r>
                  <w:r w:rsidR="006A2AAA">
                    <w:rPr>
                      <w:i/>
                    </w:rPr>
                    <w:t>ear 12</w:t>
                  </w:r>
                </w:p>
              </w:tc>
              <w:tc>
                <w:tcPr>
                  <w:tcW w:w="1089" w:type="pct"/>
                </w:tcPr>
                <w:p w14:paraId="06318B47" w14:textId="51E1BFB8" w:rsidR="00706761" w:rsidRPr="00706761" w:rsidRDefault="00706761" w:rsidP="00706761">
                  <w:pPr>
                    <w:pStyle w:val="TableBodyText"/>
                    <w:rPr>
                      <w:i/>
                    </w:rPr>
                  </w:pPr>
                  <w:r w:rsidRPr="00706761">
                    <w:rPr>
                      <w:i/>
                    </w:rPr>
                    <w:t xml:space="preserve">Employment </w:t>
                  </w:r>
                </w:p>
              </w:tc>
              <w:tc>
                <w:tcPr>
                  <w:tcW w:w="1089" w:type="pct"/>
                </w:tcPr>
                <w:p w14:paraId="22F897D8" w14:textId="15B60952" w:rsidR="00706761" w:rsidRPr="00706761" w:rsidRDefault="00706761" w:rsidP="006A2AAA">
                  <w:pPr>
                    <w:pStyle w:val="TableBodyText"/>
                    <w:rPr>
                      <w:i/>
                    </w:rPr>
                  </w:pPr>
                  <w:r w:rsidRPr="00706761">
                    <w:rPr>
                      <w:i/>
                    </w:rPr>
                    <w:t>Y</w:t>
                  </w:r>
                  <w:r w:rsidR="006A2AAA">
                    <w:rPr>
                      <w:i/>
                    </w:rPr>
                    <w:t>ear 12</w:t>
                  </w:r>
                </w:p>
              </w:tc>
              <w:tc>
                <w:tcPr>
                  <w:tcW w:w="1088" w:type="pct"/>
                </w:tcPr>
                <w:p w14:paraId="35E6017A" w14:textId="0F5FB429" w:rsidR="00706761" w:rsidRPr="00706761" w:rsidRDefault="00706761" w:rsidP="00706761">
                  <w:pPr>
                    <w:pStyle w:val="TableBodyText"/>
                    <w:ind w:right="28"/>
                    <w:rPr>
                      <w:i/>
                    </w:rPr>
                  </w:pPr>
                  <w:r w:rsidRPr="00706761">
                    <w:rPr>
                      <w:i/>
                    </w:rPr>
                    <w:t xml:space="preserve">Employment </w:t>
                  </w:r>
                </w:p>
              </w:tc>
            </w:tr>
            <w:tr w:rsidR="00655B63" w14:paraId="190C2B55" w14:textId="77777777" w:rsidTr="006A2AAA">
              <w:tc>
                <w:tcPr>
                  <w:tcW w:w="648" w:type="pct"/>
                </w:tcPr>
                <w:p w14:paraId="12BB7563" w14:textId="0957A614" w:rsidR="00655B63" w:rsidRDefault="00655B63" w:rsidP="00706761">
                  <w:pPr>
                    <w:pStyle w:val="TableBodyText"/>
                    <w:jc w:val="left"/>
                  </w:pPr>
                  <w:r>
                    <w:t>1</w:t>
                  </w:r>
                </w:p>
              </w:tc>
              <w:tc>
                <w:tcPr>
                  <w:tcW w:w="1087" w:type="pct"/>
                </w:tcPr>
                <w:p w14:paraId="3C930100" w14:textId="7EEBBBD7" w:rsidR="00655B63" w:rsidRDefault="00655B63" w:rsidP="005C4E84">
                  <w:pPr>
                    <w:pStyle w:val="TableBodyText"/>
                  </w:pPr>
                  <w:r w:rsidRPr="001F2579">
                    <w:t>34</w:t>
                  </w:r>
                </w:p>
              </w:tc>
              <w:tc>
                <w:tcPr>
                  <w:tcW w:w="1089" w:type="pct"/>
                </w:tcPr>
                <w:p w14:paraId="6E9A3304" w14:textId="34922AE8" w:rsidR="00655B63" w:rsidRDefault="00655B63" w:rsidP="005C4E84">
                  <w:pPr>
                    <w:pStyle w:val="TableBodyText"/>
                  </w:pPr>
                  <w:r w:rsidRPr="001F2579">
                    <w:t>22</w:t>
                  </w:r>
                </w:p>
              </w:tc>
              <w:tc>
                <w:tcPr>
                  <w:tcW w:w="1089" w:type="pct"/>
                </w:tcPr>
                <w:p w14:paraId="2CA40E60" w14:textId="7E383D84" w:rsidR="00655B63" w:rsidRDefault="00E94B47" w:rsidP="005C4E84">
                  <w:pPr>
                    <w:pStyle w:val="TableBodyText"/>
                  </w:pPr>
                  <w:r>
                    <w:noBreakHyphen/>
                  </w:r>
                  <w:r w:rsidR="00655B63" w:rsidRPr="00BA37FD">
                    <w:t>1.43</w:t>
                  </w:r>
                </w:p>
              </w:tc>
              <w:tc>
                <w:tcPr>
                  <w:tcW w:w="1088" w:type="pct"/>
                </w:tcPr>
                <w:p w14:paraId="2CC83E56" w14:textId="19FFA4EF" w:rsidR="00655B63" w:rsidRDefault="00E94B47" w:rsidP="005C4E84">
                  <w:pPr>
                    <w:pStyle w:val="TableBodyText"/>
                    <w:ind w:right="28"/>
                  </w:pPr>
                  <w:r>
                    <w:noBreakHyphen/>
                  </w:r>
                  <w:r w:rsidR="00655B63" w:rsidRPr="00BA37FD">
                    <w:t>1.53</w:t>
                  </w:r>
                </w:p>
              </w:tc>
            </w:tr>
            <w:tr w:rsidR="00655B63" w14:paraId="47C8BBA4" w14:textId="77777777" w:rsidTr="006A2AAA">
              <w:tc>
                <w:tcPr>
                  <w:tcW w:w="648" w:type="pct"/>
                </w:tcPr>
                <w:p w14:paraId="2C816501" w14:textId="28C23218" w:rsidR="00655B63" w:rsidRDefault="00655B63" w:rsidP="005C4E84">
                  <w:pPr>
                    <w:pStyle w:val="TableBodyText"/>
                    <w:jc w:val="left"/>
                  </w:pPr>
                  <w:r>
                    <w:t>2</w:t>
                  </w:r>
                </w:p>
              </w:tc>
              <w:tc>
                <w:tcPr>
                  <w:tcW w:w="1087" w:type="pct"/>
                </w:tcPr>
                <w:p w14:paraId="7B0CA5DE" w14:textId="6684CD3C" w:rsidR="00655B63" w:rsidRDefault="00655B63" w:rsidP="005C4E84">
                  <w:pPr>
                    <w:pStyle w:val="TableBodyText"/>
                  </w:pPr>
                  <w:r w:rsidRPr="001F2579">
                    <w:t>47</w:t>
                  </w:r>
                </w:p>
              </w:tc>
              <w:tc>
                <w:tcPr>
                  <w:tcW w:w="1089" w:type="pct"/>
                </w:tcPr>
                <w:p w14:paraId="2F442525" w14:textId="0FC27787" w:rsidR="00655B63" w:rsidRDefault="00655B63" w:rsidP="005C4E84">
                  <w:pPr>
                    <w:pStyle w:val="TableBodyText"/>
                  </w:pPr>
                  <w:r w:rsidRPr="001F2579">
                    <w:t>50</w:t>
                  </w:r>
                </w:p>
              </w:tc>
              <w:tc>
                <w:tcPr>
                  <w:tcW w:w="1089" w:type="pct"/>
                </w:tcPr>
                <w:p w14:paraId="6451BAB4" w14:textId="1DE9E653" w:rsidR="00655B63" w:rsidRDefault="00E94B47" w:rsidP="005C4E84">
                  <w:pPr>
                    <w:pStyle w:val="TableBodyText"/>
                  </w:pPr>
                  <w:r>
                    <w:noBreakHyphen/>
                  </w:r>
                  <w:r w:rsidR="00655B63" w:rsidRPr="00BA37FD">
                    <w:t>0.74</w:t>
                  </w:r>
                </w:p>
              </w:tc>
              <w:tc>
                <w:tcPr>
                  <w:tcW w:w="1088" w:type="pct"/>
                </w:tcPr>
                <w:p w14:paraId="2E74896C" w14:textId="0872A118" w:rsidR="00655B63" w:rsidRDefault="00E94B47" w:rsidP="005C4E84">
                  <w:pPr>
                    <w:pStyle w:val="TableBodyText"/>
                    <w:ind w:right="28"/>
                  </w:pPr>
                  <w:r>
                    <w:noBreakHyphen/>
                  </w:r>
                  <w:r w:rsidR="00655B63" w:rsidRPr="00BA37FD">
                    <w:t>0.16</w:t>
                  </w:r>
                </w:p>
              </w:tc>
            </w:tr>
            <w:tr w:rsidR="00655B63" w14:paraId="36019A48" w14:textId="77777777" w:rsidTr="006A2AAA">
              <w:tc>
                <w:tcPr>
                  <w:tcW w:w="648" w:type="pct"/>
                </w:tcPr>
                <w:p w14:paraId="347C64EE" w14:textId="0029809F" w:rsidR="00655B63" w:rsidRDefault="00655B63" w:rsidP="005C4E84">
                  <w:pPr>
                    <w:pStyle w:val="TableBodyText"/>
                    <w:jc w:val="left"/>
                  </w:pPr>
                  <w:r>
                    <w:t>3</w:t>
                  </w:r>
                </w:p>
              </w:tc>
              <w:tc>
                <w:tcPr>
                  <w:tcW w:w="1087" w:type="pct"/>
                </w:tcPr>
                <w:p w14:paraId="2338C14D" w14:textId="32702BC5" w:rsidR="00655B63" w:rsidRDefault="00655B63" w:rsidP="005C4E84">
                  <w:pPr>
                    <w:pStyle w:val="TableBodyText"/>
                  </w:pPr>
                  <w:r w:rsidRPr="001F2579">
                    <w:t>55</w:t>
                  </w:r>
                </w:p>
              </w:tc>
              <w:tc>
                <w:tcPr>
                  <w:tcW w:w="1089" w:type="pct"/>
                </w:tcPr>
                <w:p w14:paraId="535C5B59" w14:textId="144BE11D" w:rsidR="00655B63" w:rsidRDefault="00655B63" w:rsidP="005C4E84">
                  <w:pPr>
                    <w:pStyle w:val="TableBodyText"/>
                  </w:pPr>
                  <w:r w:rsidRPr="001F2579">
                    <w:t>45</w:t>
                  </w:r>
                </w:p>
              </w:tc>
              <w:tc>
                <w:tcPr>
                  <w:tcW w:w="1089" w:type="pct"/>
                </w:tcPr>
                <w:p w14:paraId="19293DE6" w14:textId="382D2630" w:rsidR="00655B63" w:rsidRDefault="00E94B47" w:rsidP="005C4E84">
                  <w:pPr>
                    <w:pStyle w:val="TableBodyText"/>
                  </w:pPr>
                  <w:r>
                    <w:noBreakHyphen/>
                  </w:r>
                  <w:r w:rsidR="00655B63" w:rsidRPr="00BA37FD">
                    <w:t>0.32</w:t>
                  </w:r>
                </w:p>
              </w:tc>
              <w:tc>
                <w:tcPr>
                  <w:tcW w:w="1088" w:type="pct"/>
                </w:tcPr>
                <w:p w14:paraId="5E386EDA" w14:textId="3731B797" w:rsidR="00655B63" w:rsidRDefault="00E94B47" w:rsidP="005C4E84">
                  <w:pPr>
                    <w:pStyle w:val="TableBodyText"/>
                    <w:ind w:right="28"/>
                  </w:pPr>
                  <w:r>
                    <w:noBreakHyphen/>
                  </w:r>
                  <w:r w:rsidR="00655B63" w:rsidRPr="00BA37FD">
                    <w:t>0.41</w:t>
                  </w:r>
                </w:p>
              </w:tc>
            </w:tr>
            <w:tr w:rsidR="00655B63" w14:paraId="6DBB7633" w14:textId="77777777" w:rsidTr="006A2AAA">
              <w:tc>
                <w:tcPr>
                  <w:tcW w:w="648" w:type="pct"/>
                  <w:shd w:val="clear" w:color="auto" w:fill="auto"/>
                </w:tcPr>
                <w:p w14:paraId="713596EC" w14:textId="66C2020B" w:rsidR="00655B63" w:rsidRDefault="00655B63" w:rsidP="005C4E84">
                  <w:pPr>
                    <w:pStyle w:val="TableBodyText"/>
                    <w:jc w:val="left"/>
                  </w:pPr>
                  <w:r>
                    <w:t>4</w:t>
                  </w:r>
                </w:p>
              </w:tc>
              <w:tc>
                <w:tcPr>
                  <w:tcW w:w="1087" w:type="pct"/>
                </w:tcPr>
                <w:p w14:paraId="2FEBC3E3" w14:textId="3E07C005" w:rsidR="00655B63" w:rsidRDefault="00655B63" w:rsidP="005C4E84">
                  <w:pPr>
                    <w:pStyle w:val="TableBodyText"/>
                  </w:pPr>
                  <w:r w:rsidRPr="001F2579">
                    <w:t>69</w:t>
                  </w:r>
                </w:p>
              </w:tc>
              <w:tc>
                <w:tcPr>
                  <w:tcW w:w="1089" w:type="pct"/>
                </w:tcPr>
                <w:p w14:paraId="794F57D9" w14:textId="4A5E5948" w:rsidR="00655B63" w:rsidRDefault="00655B63" w:rsidP="005C4E84">
                  <w:pPr>
                    <w:pStyle w:val="TableBodyText"/>
                  </w:pPr>
                  <w:r w:rsidRPr="001F2579">
                    <w:t>51</w:t>
                  </w:r>
                </w:p>
              </w:tc>
              <w:tc>
                <w:tcPr>
                  <w:tcW w:w="1089" w:type="pct"/>
                  <w:shd w:val="clear" w:color="auto" w:fill="auto"/>
                </w:tcPr>
                <w:p w14:paraId="02C6A161" w14:textId="56B7D8B6" w:rsidR="00655B63" w:rsidRDefault="00655B63" w:rsidP="005C4E84">
                  <w:pPr>
                    <w:pStyle w:val="TableBodyText"/>
                  </w:pPr>
                  <w:r w:rsidRPr="00BA37FD">
                    <w:t>0.42</w:t>
                  </w:r>
                </w:p>
              </w:tc>
              <w:tc>
                <w:tcPr>
                  <w:tcW w:w="1088" w:type="pct"/>
                  <w:shd w:val="clear" w:color="auto" w:fill="auto"/>
                </w:tcPr>
                <w:p w14:paraId="1929A569" w14:textId="75625F60" w:rsidR="00655B63" w:rsidRDefault="00E94B47" w:rsidP="005C4E84">
                  <w:pPr>
                    <w:pStyle w:val="TableBodyText"/>
                    <w:ind w:right="28"/>
                  </w:pPr>
                  <w:r>
                    <w:noBreakHyphen/>
                  </w:r>
                  <w:r w:rsidR="00655B63" w:rsidRPr="00BA37FD">
                    <w:t>0.11</w:t>
                  </w:r>
                </w:p>
              </w:tc>
            </w:tr>
            <w:tr w:rsidR="00655B63" w14:paraId="6F1F2F37" w14:textId="77777777" w:rsidTr="006A2AAA">
              <w:tc>
                <w:tcPr>
                  <w:tcW w:w="648" w:type="pct"/>
                  <w:shd w:val="clear" w:color="auto" w:fill="auto"/>
                </w:tcPr>
                <w:p w14:paraId="4A2F162B" w14:textId="077258E6" w:rsidR="00655B63" w:rsidRDefault="00655B63" w:rsidP="005C4E84">
                  <w:pPr>
                    <w:pStyle w:val="TableBodyText"/>
                    <w:jc w:val="left"/>
                  </w:pPr>
                  <w:r>
                    <w:t>5</w:t>
                  </w:r>
                </w:p>
              </w:tc>
              <w:tc>
                <w:tcPr>
                  <w:tcW w:w="1087" w:type="pct"/>
                </w:tcPr>
                <w:p w14:paraId="0B723F59" w14:textId="2093F45A" w:rsidR="00655B63" w:rsidRDefault="00655B63" w:rsidP="005C4E84">
                  <w:pPr>
                    <w:pStyle w:val="TableBodyText"/>
                  </w:pPr>
                  <w:r w:rsidRPr="001F2579">
                    <w:t>80</w:t>
                  </w:r>
                </w:p>
              </w:tc>
              <w:tc>
                <w:tcPr>
                  <w:tcW w:w="1089" w:type="pct"/>
                </w:tcPr>
                <w:p w14:paraId="38F4F700" w14:textId="6711E853" w:rsidR="00655B63" w:rsidRDefault="00655B63" w:rsidP="005C4E84">
                  <w:pPr>
                    <w:pStyle w:val="TableBodyText"/>
                  </w:pPr>
                  <w:r w:rsidRPr="001F2579">
                    <w:t>77</w:t>
                  </w:r>
                </w:p>
              </w:tc>
              <w:tc>
                <w:tcPr>
                  <w:tcW w:w="1089" w:type="pct"/>
                  <w:shd w:val="clear" w:color="auto" w:fill="auto"/>
                </w:tcPr>
                <w:p w14:paraId="28B48149" w14:textId="0BBDDCA3" w:rsidR="00655B63" w:rsidRDefault="00655B63" w:rsidP="005C4E84">
                  <w:pPr>
                    <w:pStyle w:val="TableBodyText"/>
                  </w:pPr>
                  <w:r w:rsidRPr="00BA37FD">
                    <w:t>1.01</w:t>
                  </w:r>
                </w:p>
              </w:tc>
              <w:tc>
                <w:tcPr>
                  <w:tcW w:w="1088" w:type="pct"/>
                  <w:shd w:val="clear" w:color="auto" w:fill="auto"/>
                </w:tcPr>
                <w:p w14:paraId="2FD08F88" w14:textId="2BCA357A" w:rsidR="00655B63" w:rsidRDefault="00655B63" w:rsidP="005C4E84">
                  <w:pPr>
                    <w:pStyle w:val="TableBodyText"/>
                    <w:ind w:right="28"/>
                  </w:pPr>
                  <w:r w:rsidRPr="00BA37FD">
                    <w:t>1.16</w:t>
                  </w:r>
                </w:p>
              </w:tc>
            </w:tr>
            <w:tr w:rsidR="00655B63" w14:paraId="49C854BD" w14:textId="77777777" w:rsidTr="000E4A47">
              <w:tc>
                <w:tcPr>
                  <w:tcW w:w="648" w:type="pct"/>
                  <w:tcBorders>
                    <w:bottom w:val="single" w:sz="4" w:space="0" w:color="BFBFBF" w:themeColor="background2"/>
                  </w:tcBorders>
                  <w:shd w:val="clear" w:color="auto" w:fill="auto"/>
                </w:tcPr>
                <w:p w14:paraId="608F13D5" w14:textId="08010FDD" w:rsidR="00655B63" w:rsidRDefault="00655B63" w:rsidP="005C4E84">
                  <w:pPr>
                    <w:pStyle w:val="TableBodyText"/>
                    <w:jc w:val="left"/>
                  </w:pPr>
                  <w:r>
                    <w:t>6</w:t>
                  </w:r>
                </w:p>
              </w:tc>
              <w:tc>
                <w:tcPr>
                  <w:tcW w:w="1087" w:type="pct"/>
                  <w:tcBorders>
                    <w:bottom w:val="single" w:sz="4" w:space="0" w:color="BFBFBF" w:themeColor="background2"/>
                  </w:tcBorders>
                </w:tcPr>
                <w:p w14:paraId="6BF8BAE7" w14:textId="350AAADE" w:rsidR="00655B63" w:rsidRDefault="00655B63" w:rsidP="005C4E84">
                  <w:pPr>
                    <w:pStyle w:val="TableBodyText"/>
                  </w:pPr>
                  <w:r w:rsidRPr="001F2579">
                    <w:t>81</w:t>
                  </w:r>
                </w:p>
              </w:tc>
              <w:tc>
                <w:tcPr>
                  <w:tcW w:w="1089" w:type="pct"/>
                  <w:tcBorders>
                    <w:bottom w:val="single" w:sz="4" w:space="0" w:color="BFBFBF" w:themeColor="background2"/>
                  </w:tcBorders>
                </w:tcPr>
                <w:p w14:paraId="402718AB" w14:textId="7549E402" w:rsidR="00655B63" w:rsidRDefault="00655B63" w:rsidP="005C4E84">
                  <w:pPr>
                    <w:pStyle w:val="TableBodyText"/>
                  </w:pPr>
                  <w:r w:rsidRPr="001F2579">
                    <w:t>75</w:t>
                  </w:r>
                </w:p>
              </w:tc>
              <w:tc>
                <w:tcPr>
                  <w:tcW w:w="1089" w:type="pct"/>
                  <w:tcBorders>
                    <w:bottom w:val="single" w:sz="4" w:space="0" w:color="BFBFBF" w:themeColor="background2"/>
                  </w:tcBorders>
                  <w:shd w:val="clear" w:color="auto" w:fill="auto"/>
                </w:tcPr>
                <w:p w14:paraId="36EA2F6A" w14:textId="64B2E8BE" w:rsidR="00655B63" w:rsidRDefault="00655B63" w:rsidP="005C4E84">
                  <w:pPr>
                    <w:pStyle w:val="TableBodyText"/>
                  </w:pPr>
                  <w:r w:rsidRPr="00BA37FD">
                    <w:t>1.06</w:t>
                  </w:r>
                </w:p>
              </w:tc>
              <w:tc>
                <w:tcPr>
                  <w:tcW w:w="1088" w:type="pct"/>
                  <w:tcBorders>
                    <w:bottom w:val="single" w:sz="4" w:space="0" w:color="BFBFBF" w:themeColor="background2"/>
                  </w:tcBorders>
                  <w:shd w:val="clear" w:color="auto" w:fill="auto"/>
                </w:tcPr>
                <w:p w14:paraId="5129C06F" w14:textId="252E9B1B" w:rsidR="00655B63" w:rsidRDefault="00655B63" w:rsidP="005C4E84">
                  <w:pPr>
                    <w:pStyle w:val="TableBodyText"/>
                    <w:ind w:right="28"/>
                  </w:pPr>
                  <w:r w:rsidRPr="00BA37FD">
                    <w:t>1.06</w:t>
                  </w:r>
                </w:p>
              </w:tc>
            </w:tr>
            <w:tr w:rsidR="004855F4" w14:paraId="28C4F8C5" w14:textId="77777777" w:rsidTr="000E4A47">
              <w:tc>
                <w:tcPr>
                  <w:tcW w:w="648" w:type="pct"/>
                  <w:tcBorders>
                    <w:top w:val="single" w:sz="4" w:space="0" w:color="BFBFBF" w:themeColor="background2"/>
                  </w:tcBorders>
                  <w:shd w:val="clear" w:color="auto" w:fill="auto"/>
                </w:tcPr>
                <w:p w14:paraId="0AC1605B" w14:textId="08155CA9" w:rsidR="004855F4" w:rsidRPr="000E4A47" w:rsidRDefault="004855F4" w:rsidP="005C4E84">
                  <w:pPr>
                    <w:pStyle w:val="TableBodyText"/>
                    <w:jc w:val="left"/>
                    <w:rPr>
                      <w:i/>
                    </w:rPr>
                  </w:pPr>
                  <w:r>
                    <w:rPr>
                      <w:i/>
                    </w:rPr>
                    <w:t>Mean</w:t>
                  </w:r>
                </w:p>
              </w:tc>
              <w:tc>
                <w:tcPr>
                  <w:tcW w:w="1087" w:type="pct"/>
                  <w:tcBorders>
                    <w:top w:val="single" w:sz="4" w:space="0" w:color="BFBFBF" w:themeColor="background2"/>
                  </w:tcBorders>
                </w:tcPr>
                <w:p w14:paraId="379A4CB7" w14:textId="1A2F362F" w:rsidR="004855F4" w:rsidRPr="001F2579" w:rsidRDefault="004855F4" w:rsidP="005C4E84">
                  <w:pPr>
                    <w:pStyle w:val="TableBodyText"/>
                  </w:pPr>
                  <w:r>
                    <w:t>61.00</w:t>
                  </w:r>
                </w:p>
              </w:tc>
              <w:tc>
                <w:tcPr>
                  <w:tcW w:w="1089" w:type="pct"/>
                  <w:tcBorders>
                    <w:top w:val="single" w:sz="4" w:space="0" w:color="BFBFBF" w:themeColor="background2"/>
                  </w:tcBorders>
                </w:tcPr>
                <w:p w14:paraId="357DD129" w14:textId="3089D77F" w:rsidR="004855F4" w:rsidRPr="001F2579" w:rsidRDefault="004855F4" w:rsidP="005C4E84">
                  <w:pPr>
                    <w:pStyle w:val="TableBodyText"/>
                  </w:pPr>
                  <w:r>
                    <w:t>53.33</w:t>
                  </w:r>
                </w:p>
              </w:tc>
              <w:tc>
                <w:tcPr>
                  <w:tcW w:w="1089" w:type="pct"/>
                  <w:tcBorders>
                    <w:top w:val="single" w:sz="4" w:space="0" w:color="BFBFBF" w:themeColor="background2"/>
                  </w:tcBorders>
                  <w:shd w:val="clear" w:color="auto" w:fill="auto"/>
                </w:tcPr>
                <w:p w14:paraId="36CDF314" w14:textId="1A16A31F" w:rsidR="004855F4" w:rsidRPr="00BA37FD" w:rsidRDefault="004855F4" w:rsidP="005C4E84">
                  <w:pPr>
                    <w:pStyle w:val="TableBodyText"/>
                  </w:pPr>
                  <w:r>
                    <w:t>0.00</w:t>
                  </w:r>
                </w:p>
              </w:tc>
              <w:tc>
                <w:tcPr>
                  <w:tcW w:w="1088" w:type="pct"/>
                  <w:tcBorders>
                    <w:top w:val="single" w:sz="4" w:space="0" w:color="BFBFBF" w:themeColor="background2"/>
                  </w:tcBorders>
                  <w:shd w:val="clear" w:color="auto" w:fill="auto"/>
                </w:tcPr>
                <w:p w14:paraId="15F3104C" w14:textId="50E4350F" w:rsidR="004855F4" w:rsidRPr="00BA37FD" w:rsidRDefault="004855F4" w:rsidP="005C4E84">
                  <w:pPr>
                    <w:pStyle w:val="TableBodyText"/>
                    <w:ind w:right="28"/>
                  </w:pPr>
                  <w:r>
                    <w:t>0.00</w:t>
                  </w:r>
                </w:p>
              </w:tc>
            </w:tr>
            <w:tr w:rsidR="004855F4" w14:paraId="7AD773BF" w14:textId="77777777" w:rsidTr="006A2AAA">
              <w:tc>
                <w:tcPr>
                  <w:tcW w:w="648" w:type="pct"/>
                  <w:tcBorders>
                    <w:bottom w:val="single" w:sz="4" w:space="0" w:color="BFBFBF" w:themeColor="background2"/>
                  </w:tcBorders>
                  <w:shd w:val="clear" w:color="auto" w:fill="auto"/>
                </w:tcPr>
                <w:p w14:paraId="1133C9A7" w14:textId="3C2EDC38" w:rsidR="004855F4" w:rsidRPr="000E4A47" w:rsidRDefault="004855F4" w:rsidP="004855F4">
                  <w:pPr>
                    <w:pStyle w:val="TableBodyText"/>
                    <w:jc w:val="left"/>
                    <w:rPr>
                      <w:i/>
                    </w:rPr>
                  </w:pPr>
                  <w:proofErr w:type="spellStart"/>
                  <w:r w:rsidRPr="000E4A47">
                    <w:rPr>
                      <w:i/>
                    </w:rPr>
                    <w:t>Std</w:t>
                  </w:r>
                  <w:proofErr w:type="spellEnd"/>
                  <w:r w:rsidRPr="000E4A47">
                    <w:rPr>
                      <w:i/>
                    </w:rPr>
                    <w:t xml:space="preserve"> dev.</w:t>
                  </w:r>
                </w:p>
              </w:tc>
              <w:tc>
                <w:tcPr>
                  <w:tcW w:w="1087" w:type="pct"/>
                  <w:tcBorders>
                    <w:bottom w:val="single" w:sz="4" w:space="0" w:color="BFBFBF" w:themeColor="background2"/>
                  </w:tcBorders>
                </w:tcPr>
                <w:p w14:paraId="0ACBBF86" w14:textId="661A3A3B" w:rsidR="004855F4" w:rsidRPr="001F2579" w:rsidRDefault="004855F4" w:rsidP="005C4E84">
                  <w:pPr>
                    <w:pStyle w:val="TableBodyText"/>
                  </w:pPr>
                  <w:r>
                    <w:t>18.90</w:t>
                  </w:r>
                </w:p>
              </w:tc>
              <w:tc>
                <w:tcPr>
                  <w:tcW w:w="1089" w:type="pct"/>
                  <w:tcBorders>
                    <w:bottom w:val="single" w:sz="4" w:space="0" w:color="BFBFBF" w:themeColor="background2"/>
                  </w:tcBorders>
                </w:tcPr>
                <w:p w14:paraId="457F1F77" w14:textId="0235C0D2" w:rsidR="004855F4" w:rsidRPr="001F2579" w:rsidRDefault="004855F4" w:rsidP="005C4E84">
                  <w:pPr>
                    <w:pStyle w:val="TableBodyText"/>
                  </w:pPr>
                  <w:r>
                    <w:t>20.48</w:t>
                  </w:r>
                </w:p>
              </w:tc>
              <w:tc>
                <w:tcPr>
                  <w:tcW w:w="1089" w:type="pct"/>
                  <w:tcBorders>
                    <w:bottom w:val="single" w:sz="4" w:space="0" w:color="BFBFBF" w:themeColor="background2"/>
                  </w:tcBorders>
                  <w:shd w:val="clear" w:color="auto" w:fill="auto"/>
                </w:tcPr>
                <w:p w14:paraId="38E70361" w14:textId="537FBBBA" w:rsidR="004855F4" w:rsidRPr="00BA37FD" w:rsidRDefault="004855F4" w:rsidP="005C4E84">
                  <w:pPr>
                    <w:pStyle w:val="TableBodyText"/>
                  </w:pPr>
                  <w:r>
                    <w:t>1.00</w:t>
                  </w:r>
                </w:p>
              </w:tc>
              <w:tc>
                <w:tcPr>
                  <w:tcW w:w="1088" w:type="pct"/>
                  <w:tcBorders>
                    <w:bottom w:val="single" w:sz="4" w:space="0" w:color="BFBFBF" w:themeColor="background2"/>
                  </w:tcBorders>
                  <w:shd w:val="clear" w:color="auto" w:fill="auto"/>
                </w:tcPr>
                <w:p w14:paraId="11797057" w14:textId="21CED129" w:rsidR="004855F4" w:rsidRDefault="004855F4" w:rsidP="005C4E84">
                  <w:pPr>
                    <w:pStyle w:val="TableBodyText"/>
                    <w:ind w:right="28"/>
                  </w:pPr>
                  <w:r>
                    <w:t>1.00</w:t>
                  </w:r>
                </w:p>
              </w:tc>
            </w:tr>
          </w:tbl>
          <w:p w14:paraId="7386873B" w14:textId="6B7925C6" w:rsidR="006A2AAA" w:rsidRPr="00726BC6" w:rsidRDefault="006A2AAA"/>
          <w:tbl>
            <w:tblPr>
              <w:tblW w:w="5000" w:type="pct"/>
              <w:tblCellMar>
                <w:top w:w="28" w:type="dxa"/>
                <w:left w:w="0" w:type="dxa"/>
                <w:right w:w="0" w:type="dxa"/>
              </w:tblCellMar>
              <w:tblLook w:val="0000" w:firstRow="0" w:lastRow="0" w:firstColumn="0" w:lastColumn="0" w:noHBand="0" w:noVBand="0"/>
            </w:tblPr>
            <w:tblGrid>
              <w:gridCol w:w="1684"/>
              <w:gridCol w:w="1208"/>
              <w:gridCol w:w="1209"/>
              <w:gridCol w:w="1208"/>
              <w:gridCol w:w="1209"/>
              <w:gridCol w:w="1987"/>
            </w:tblGrid>
            <w:tr w:rsidR="006A2AAA" w14:paraId="6539C752" w14:textId="77777777" w:rsidTr="006A2AAA">
              <w:tc>
                <w:tcPr>
                  <w:tcW w:w="5000" w:type="pct"/>
                  <w:gridSpan w:val="6"/>
                  <w:tcBorders>
                    <w:top w:val="single" w:sz="4" w:space="0" w:color="BFBFBF" w:themeColor="background2"/>
                    <w:bottom w:val="single" w:sz="4" w:space="0" w:color="BFBFBF" w:themeColor="background2"/>
                  </w:tcBorders>
                </w:tcPr>
                <w:p w14:paraId="0CF31A04" w14:textId="6CFA1F3D" w:rsidR="006A2AAA" w:rsidRPr="00655B63" w:rsidRDefault="006A2AAA" w:rsidP="00655B63">
                  <w:pPr>
                    <w:pStyle w:val="TableColumnHeading"/>
                    <w:jc w:val="left"/>
                    <w:rPr>
                      <w:i w:val="0"/>
                    </w:rPr>
                  </w:pPr>
                  <w:r w:rsidRPr="00655B63">
                    <w:rPr>
                      <w:b/>
                      <w:i w:val="0"/>
                    </w:rPr>
                    <w:t xml:space="preserve">Step </w:t>
                  </w:r>
                  <w:proofErr w:type="spellStart"/>
                  <w:r w:rsidRPr="00655B63">
                    <w:rPr>
                      <w:b/>
                      <w:i w:val="0"/>
                    </w:rPr>
                    <w:t>2a</w:t>
                  </w:r>
                  <w:proofErr w:type="spellEnd"/>
                  <w:r w:rsidRPr="00655B63">
                    <w:rPr>
                      <w:b/>
                      <w:i w:val="0"/>
                    </w:rPr>
                    <w:t xml:space="preserve">: </w:t>
                  </w:r>
                  <w:proofErr w:type="spellStart"/>
                  <w:r w:rsidRPr="00655B63">
                    <w:rPr>
                      <w:b/>
                      <w:i w:val="0"/>
                    </w:rPr>
                    <w:t>PCA</w:t>
                  </w:r>
                  <w:proofErr w:type="spellEnd"/>
                  <w:r w:rsidRPr="00655B63">
                    <w:rPr>
                      <w:b/>
                      <w:i w:val="0"/>
                    </w:rPr>
                    <w:t xml:space="preserve"> weights</w:t>
                  </w:r>
                </w:p>
              </w:tc>
            </w:tr>
            <w:tr w:rsidR="006A2AAA" w14:paraId="027F7F64" w14:textId="77777777" w:rsidTr="006A2AAA">
              <w:tc>
                <w:tcPr>
                  <w:tcW w:w="990" w:type="pct"/>
                  <w:vMerge w:val="restart"/>
                  <w:tcBorders>
                    <w:top w:val="single" w:sz="4" w:space="0" w:color="BFBFBF" w:themeColor="background2"/>
                  </w:tcBorders>
                  <w:shd w:val="clear" w:color="auto" w:fill="auto"/>
                </w:tcPr>
                <w:p w14:paraId="5A99A41C" w14:textId="6B36351F" w:rsidR="006A2AAA" w:rsidRPr="006A2AAA" w:rsidRDefault="006A2AAA" w:rsidP="000055E4">
                  <w:pPr>
                    <w:pStyle w:val="TableUnitsRow"/>
                    <w:jc w:val="left"/>
                    <w:rPr>
                      <w:i/>
                    </w:rPr>
                  </w:pPr>
                  <w:r>
                    <w:rPr>
                      <w:i/>
                    </w:rPr>
                    <w:t>Principal components (PCs)</w:t>
                  </w:r>
                </w:p>
              </w:tc>
              <w:tc>
                <w:tcPr>
                  <w:tcW w:w="1421" w:type="pct"/>
                  <w:gridSpan w:val="2"/>
                  <w:tcBorders>
                    <w:top w:val="single" w:sz="4" w:space="0" w:color="BFBFBF" w:themeColor="background2"/>
                  </w:tcBorders>
                </w:tcPr>
                <w:p w14:paraId="644969EF" w14:textId="38E07161" w:rsidR="006A2AAA" w:rsidRPr="006A2AAA" w:rsidRDefault="006A2AAA" w:rsidP="00F077FD">
                  <w:pPr>
                    <w:pStyle w:val="TableUnitsRow"/>
                    <w:ind w:left="850"/>
                    <w:jc w:val="left"/>
                    <w:rPr>
                      <w:i/>
                    </w:rPr>
                  </w:pPr>
                  <w:r w:rsidRPr="006A2AAA">
                    <w:rPr>
                      <w:i/>
                    </w:rPr>
                    <w:t>Weights</w:t>
                  </w:r>
                  <w:r w:rsidR="0029242A">
                    <w:rPr>
                      <w:i/>
                    </w:rPr>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kp</m:t>
                            </m:r>
                          </m:sub>
                        </m:sSub>
                      </m:e>
                    </m:d>
                  </m:oMath>
                </w:p>
              </w:tc>
              <w:tc>
                <w:tcPr>
                  <w:tcW w:w="1421" w:type="pct"/>
                  <w:gridSpan w:val="2"/>
                  <w:tcBorders>
                    <w:top w:val="single" w:sz="4" w:space="0" w:color="BFBFBF" w:themeColor="background2"/>
                  </w:tcBorders>
                  <w:shd w:val="clear" w:color="auto" w:fill="auto"/>
                </w:tcPr>
                <w:p w14:paraId="7B041FD6" w14:textId="2B7F6546" w:rsidR="006A2AAA" w:rsidRPr="006A2AAA" w:rsidRDefault="006A2AAA" w:rsidP="00F077FD">
                  <w:pPr>
                    <w:pStyle w:val="TableUnitsRow"/>
                    <w:ind w:left="847"/>
                    <w:jc w:val="left"/>
                    <w:rPr>
                      <w:i/>
                    </w:rPr>
                  </w:pPr>
                  <w:r w:rsidRPr="006A2AAA">
                    <w:rPr>
                      <w:i/>
                    </w:rPr>
                    <w:t>Correlations</w:t>
                  </w:r>
                </w:p>
              </w:tc>
              <w:tc>
                <w:tcPr>
                  <w:tcW w:w="1168" w:type="pct"/>
                  <w:vMerge w:val="restart"/>
                  <w:tcBorders>
                    <w:top w:val="single" w:sz="4" w:space="0" w:color="BFBFBF" w:themeColor="background2"/>
                  </w:tcBorders>
                  <w:shd w:val="clear" w:color="auto" w:fill="auto"/>
                </w:tcPr>
                <w:p w14:paraId="7DDC2B8B" w14:textId="6D04BC68" w:rsidR="006A2AAA" w:rsidRPr="006A2AAA" w:rsidRDefault="006A2AAA" w:rsidP="0002021C">
                  <w:pPr>
                    <w:pStyle w:val="TableBodyText"/>
                    <w:spacing w:before="40"/>
                    <w:ind w:right="28"/>
                    <w:rPr>
                      <w:i/>
                    </w:rPr>
                  </w:pPr>
                  <w:r w:rsidRPr="006A2AAA">
                    <w:rPr>
                      <w:i/>
                    </w:rPr>
                    <w:t>Cumulative proportion</w:t>
                  </w:r>
                  <w:r w:rsidR="009F11C8">
                    <w:rPr>
                      <w:i/>
                    </w:rPr>
                    <w:br/>
                  </w:r>
                  <w:r w:rsidRPr="006A2AAA">
                    <w:rPr>
                      <w:i/>
                    </w:rPr>
                    <w:t>of variance explained</w:t>
                  </w:r>
                </w:p>
              </w:tc>
            </w:tr>
            <w:tr w:rsidR="006A2AAA" w14:paraId="6EBCC326" w14:textId="77777777" w:rsidTr="00E51477">
              <w:tc>
                <w:tcPr>
                  <w:tcW w:w="990" w:type="pct"/>
                  <w:vMerge/>
                  <w:shd w:val="clear" w:color="auto" w:fill="auto"/>
                </w:tcPr>
                <w:p w14:paraId="1285E591" w14:textId="334DAF35" w:rsidR="006A2AAA" w:rsidRDefault="006A2AAA" w:rsidP="005C4E84">
                  <w:pPr>
                    <w:pStyle w:val="TableBodyText"/>
                    <w:jc w:val="left"/>
                  </w:pPr>
                </w:p>
              </w:tc>
              <w:tc>
                <w:tcPr>
                  <w:tcW w:w="710" w:type="pct"/>
                </w:tcPr>
                <w:p w14:paraId="35C4B841" w14:textId="11895F83" w:rsidR="006A2AAA" w:rsidRDefault="006A2AAA" w:rsidP="0029242A">
                  <w:pPr>
                    <w:pStyle w:val="TableBodyText"/>
                  </w:pPr>
                  <w:r w:rsidRPr="00706761">
                    <w:rPr>
                      <w:i/>
                    </w:rPr>
                    <w:t>Y</w:t>
                  </w:r>
                  <w:r>
                    <w:rPr>
                      <w:i/>
                    </w:rPr>
                    <w:t>ear 12</w:t>
                  </w:r>
                </w:p>
              </w:tc>
              <w:tc>
                <w:tcPr>
                  <w:tcW w:w="711" w:type="pct"/>
                </w:tcPr>
                <w:p w14:paraId="56DD6184" w14:textId="2A95CF0B" w:rsidR="006A2AAA" w:rsidRDefault="006A2AAA" w:rsidP="0029242A">
                  <w:pPr>
                    <w:pStyle w:val="TableBodyText"/>
                  </w:pPr>
                  <w:r w:rsidRPr="00706761">
                    <w:rPr>
                      <w:i/>
                    </w:rPr>
                    <w:t>Employment</w:t>
                  </w:r>
                </w:p>
              </w:tc>
              <w:tc>
                <w:tcPr>
                  <w:tcW w:w="710" w:type="pct"/>
                  <w:shd w:val="clear" w:color="auto" w:fill="auto"/>
                </w:tcPr>
                <w:p w14:paraId="05F2DEDF" w14:textId="0E173DC5" w:rsidR="006A2AAA" w:rsidRDefault="006A2AAA" w:rsidP="006A2AAA">
                  <w:pPr>
                    <w:pStyle w:val="TableBodyText"/>
                  </w:pPr>
                  <w:r w:rsidRPr="00706761">
                    <w:rPr>
                      <w:i/>
                    </w:rPr>
                    <w:t>Y</w:t>
                  </w:r>
                  <w:r>
                    <w:rPr>
                      <w:i/>
                    </w:rPr>
                    <w:t>ear 12</w:t>
                  </w:r>
                </w:p>
              </w:tc>
              <w:tc>
                <w:tcPr>
                  <w:tcW w:w="711" w:type="pct"/>
                </w:tcPr>
                <w:p w14:paraId="20FE8ECF" w14:textId="3D2A68D3" w:rsidR="006A2AAA" w:rsidRDefault="006A2AAA" w:rsidP="005C4E84">
                  <w:pPr>
                    <w:pStyle w:val="TableBodyText"/>
                    <w:ind w:right="28"/>
                  </w:pPr>
                  <w:r w:rsidRPr="00706761">
                    <w:rPr>
                      <w:i/>
                    </w:rPr>
                    <w:t xml:space="preserve">Employment </w:t>
                  </w:r>
                </w:p>
              </w:tc>
              <w:tc>
                <w:tcPr>
                  <w:tcW w:w="1168" w:type="pct"/>
                  <w:vMerge/>
                  <w:shd w:val="clear" w:color="auto" w:fill="auto"/>
                </w:tcPr>
                <w:p w14:paraId="515CC34A" w14:textId="727C7AD9" w:rsidR="006A2AAA" w:rsidRDefault="006A2AAA" w:rsidP="005C4E84">
                  <w:pPr>
                    <w:pStyle w:val="TableBodyText"/>
                    <w:ind w:right="28"/>
                  </w:pPr>
                </w:p>
              </w:tc>
            </w:tr>
            <w:tr w:rsidR="006A2AAA" w14:paraId="745B5F1E" w14:textId="77777777" w:rsidTr="00E51477">
              <w:tc>
                <w:tcPr>
                  <w:tcW w:w="990" w:type="pct"/>
                  <w:shd w:val="clear" w:color="auto" w:fill="auto"/>
                </w:tcPr>
                <w:p w14:paraId="5E053013" w14:textId="72A78665" w:rsidR="006A2AAA" w:rsidRDefault="006A2AAA" w:rsidP="005C4E84">
                  <w:pPr>
                    <w:pStyle w:val="TableBodyText"/>
                    <w:jc w:val="left"/>
                  </w:pPr>
                  <w:proofErr w:type="spellStart"/>
                  <w:r>
                    <w:t>PC</w:t>
                  </w:r>
                  <w:r w:rsidRPr="002D4A10">
                    <w:rPr>
                      <w:vertAlign w:val="subscript"/>
                    </w:rPr>
                    <w:t>1</w:t>
                  </w:r>
                  <w:proofErr w:type="spellEnd"/>
                </w:p>
              </w:tc>
              <w:tc>
                <w:tcPr>
                  <w:tcW w:w="710" w:type="pct"/>
                </w:tcPr>
                <w:p w14:paraId="0812284A" w14:textId="04246A8E" w:rsidR="006A2AAA" w:rsidRDefault="00307EBB" w:rsidP="005C4E84">
                  <w:pPr>
                    <w:pStyle w:val="TableBodyText"/>
                  </w:pPr>
                  <w:r>
                    <w:t>0.71</w:t>
                  </w:r>
                </w:p>
              </w:tc>
              <w:tc>
                <w:tcPr>
                  <w:tcW w:w="711" w:type="pct"/>
                </w:tcPr>
                <w:p w14:paraId="3BA05B20" w14:textId="0C59BD57" w:rsidR="006A2AAA" w:rsidRDefault="00307EBB" w:rsidP="005C4E84">
                  <w:pPr>
                    <w:pStyle w:val="TableBodyText"/>
                  </w:pPr>
                  <w:r>
                    <w:t>0.71</w:t>
                  </w:r>
                </w:p>
              </w:tc>
              <w:tc>
                <w:tcPr>
                  <w:tcW w:w="710" w:type="pct"/>
                  <w:shd w:val="clear" w:color="auto" w:fill="auto"/>
                </w:tcPr>
                <w:p w14:paraId="11D4B5F7" w14:textId="79E298C7" w:rsidR="006A2AAA" w:rsidRDefault="00307EBB" w:rsidP="005C4E84">
                  <w:pPr>
                    <w:pStyle w:val="TableBodyText"/>
                  </w:pPr>
                  <w:r w:rsidRPr="00307EBB">
                    <w:t>0.98</w:t>
                  </w:r>
                </w:p>
              </w:tc>
              <w:tc>
                <w:tcPr>
                  <w:tcW w:w="711" w:type="pct"/>
                </w:tcPr>
                <w:p w14:paraId="0CA58D76" w14:textId="20A15776" w:rsidR="006A2AAA" w:rsidRDefault="00307EBB" w:rsidP="005C4E84">
                  <w:pPr>
                    <w:pStyle w:val="TableBodyText"/>
                    <w:ind w:right="28"/>
                  </w:pPr>
                  <w:r w:rsidRPr="00307EBB">
                    <w:t>0.98</w:t>
                  </w:r>
                </w:p>
              </w:tc>
              <w:tc>
                <w:tcPr>
                  <w:tcW w:w="1168" w:type="pct"/>
                  <w:shd w:val="clear" w:color="auto" w:fill="auto"/>
                </w:tcPr>
                <w:p w14:paraId="28558851" w14:textId="41431660" w:rsidR="006A2AAA" w:rsidRDefault="00307EBB" w:rsidP="005C4E84">
                  <w:pPr>
                    <w:pStyle w:val="TableBodyText"/>
                    <w:ind w:right="28"/>
                  </w:pPr>
                  <w:r>
                    <w:t>0.97</w:t>
                  </w:r>
                </w:p>
              </w:tc>
            </w:tr>
            <w:tr w:rsidR="006A2AAA" w14:paraId="6D50380B" w14:textId="77777777" w:rsidTr="00E51477">
              <w:tc>
                <w:tcPr>
                  <w:tcW w:w="990" w:type="pct"/>
                  <w:tcBorders>
                    <w:bottom w:val="single" w:sz="6" w:space="0" w:color="BFBFBF"/>
                  </w:tcBorders>
                  <w:shd w:val="clear" w:color="auto" w:fill="auto"/>
                </w:tcPr>
                <w:p w14:paraId="3CDE15DB" w14:textId="07EAD9DB" w:rsidR="006A2AAA" w:rsidRDefault="006A2AAA" w:rsidP="005C4E84">
                  <w:pPr>
                    <w:pStyle w:val="TableBodyText"/>
                    <w:jc w:val="left"/>
                  </w:pPr>
                  <w:proofErr w:type="spellStart"/>
                  <w:r>
                    <w:t>PC</w:t>
                  </w:r>
                  <w:r w:rsidRPr="00C65D33">
                    <w:rPr>
                      <w:vertAlign w:val="subscript"/>
                    </w:rPr>
                    <w:t>2</w:t>
                  </w:r>
                  <w:proofErr w:type="spellEnd"/>
                </w:p>
              </w:tc>
              <w:tc>
                <w:tcPr>
                  <w:tcW w:w="710" w:type="pct"/>
                  <w:tcBorders>
                    <w:bottom w:val="single" w:sz="6" w:space="0" w:color="BFBFBF"/>
                  </w:tcBorders>
                </w:tcPr>
                <w:p w14:paraId="2EF93B17" w14:textId="25DCFE22" w:rsidR="006A2AAA" w:rsidRDefault="00E94B47" w:rsidP="005C4E84">
                  <w:pPr>
                    <w:pStyle w:val="TableBodyText"/>
                  </w:pPr>
                  <w:r>
                    <w:noBreakHyphen/>
                  </w:r>
                  <w:r w:rsidR="00307EBB">
                    <w:t>0.71</w:t>
                  </w:r>
                </w:p>
              </w:tc>
              <w:tc>
                <w:tcPr>
                  <w:tcW w:w="711" w:type="pct"/>
                  <w:tcBorders>
                    <w:bottom w:val="single" w:sz="6" w:space="0" w:color="BFBFBF"/>
                  </w:tcBorders>
                </w:tcPr>
                <w:p w14:paraId="2A5CB49A" w14:textId="5BAE4344" w:rsidR="006A2AAA" w:rsidRDefault="00307EBB" w:rsidP="005C4E84">
                  <w:pPr>
                    <w:pStyle w:val="TableBodyText"/>
                  </w:pPr>
                  <w:r>
                    <w:t>0.71</w:t>
                  </w:r>
                </w:p>
              </w:tc>
              <w:tc>
                <w:tcPr>
                  <w:tcW w:w="710" w:type="pct"/>
                  <w:tcBorders>
                    <w:bottom w:val="single" w:sz="6" w:space="0" w:color="BFBFBF"/>
                  </w:tcBorders>
                  <w:shd w:val="clear" w:color="auto" w:fill="auto"/>
                </w:tcPr>
                <w:p w14:paraId="41894A38" w14:textId="3CCC9BA7" w:rsidR="006A2AAA" w:rsidRDefault="00E94B47" w:rsidP="005C4E84">
                  <w:pPr>
                    <w:pStyle w:val="TableBodyText"/>
                  </w:pPr>
                  <w:r>
                    <w:noBreakHyphen/>
                  </w:r>
                  <w:r w:rsidR="00307EBB" w:rsidRPr="00307EBB">
                    <w:t>0.18</w:t>
                  </w:r>
                </w:p>
              </w:tc>
              <w:tc>
                <w:tcPr>
                  <w:tcW w:w="711" w:type="pct"/>
                  <w:tcBorders>
                    <w:bottom w:val="single" w:sz="6" w:space="0" w:color="BFBFBF"/>
                  </w:tcBorders>
                </w:tcPr>
                <w:p w14:paraId="4AF10AC1" w14:textId="439BCBB0" w:rsidR="006A2AAA" w:rsidRDefault="00307EBB" w:rsidP="005C4E84">
                  <w:pPr>
                    <w:pStyle w:val="TableBodyText"/>
                    <w:ind w:right="28"/>
                  </w:pPr>
                  <w:r>
                    <w:t>0.18</w:t>
                  </w:r>
                </w:p>
              </w:tc>
              <w:tc>
                <w:tcPr>
                  <w:tcW w:w="1168" w:type="pct"/>
                  <w:tcBorders>
                    <w:bottom w:val="single" w:sz="6" w:space="0" w:color="BFBFBF"/>
                  </w:tcBorders>
                  <w:shd w:val="clear" w:color="auto" w:fill="auto"/>
                </w:tcPr>
                <w:p w14:paraId="1C3661BC" w14:textId="086FAF6A" w:rsidR="006A2AAA" w:rsidRDefault="00307EBB" w:rsidP="005C4E84">
                  <w:pPr>
                    <w:pStyle w:val="TableBodyText"/>
                    <w:ind w:right="28"/>
                  </w:pPr>
                  <w:r>
                    <w:t>1.00</w:t>
                  </w:r>
                </w:p>
              </w:tc>
            </w:tr>
          </w:tbl>
          <w:p w14:paraId="339CC4A7" w14:textId="77777777" w:rsidR="00E51477" w:rsidRPr="00726BC6" w:rsidRDefault="00E51477"/>
          <w:tbl>
            <w:tblPr>
              <w:tblW w:w="5000" w:type="pct"/>
              <w:tblCellMar>
                <w:top w:w="28" w:type="dxa"/>
                <w:left w:w="0" w:type="dxa"/>
                <w:right w:w="0" w:type="dxa"/>
              </w:tblCellMar>
              <w:tblLook w:val="0000" w:firstRow="0" w:lastRow="0" w:firstColumn="0" w:lastColumn="0" w:noHBand="0" w:noVBand="0"/>
            </w:tblPr>
            <w:tblGrid>
              <w:gridCol w:w="1114"/>
              <w:gridCol w:w="3695"/>
              <w:gridCol w:w="3696"/>
            </w:tblGrid>
            <w:tr w:rsidR="00E51477" w14:paraId="0BA39B85" w14:textId="77777777" w:rsidTr="00E322F7">
              <w:trPr>
                <w:tblHeader/>
              </w:trPr>
              <w:tc>
                <w:tcPr>
                  <w:tcW w:w="5000" w:type="pct"/>
                  <w:gridSpan w:val="3"/>
                  <w:tcBorders>
                    <w:top w:val="single" w:sz="6" w:space="0" w:color="BFBFBF"/>
                    <w:bottom w:val="single" w:sz="6" w:space="0" w:color="BFBFBF"/>
                  </w:tcBorders>
                  <w:shd w:val="clear" w:color="auto" w:fill="auto"/>
                </w:tcPr>
                <w:p w14:paraId="4FEB297E" w14:textId="71B1FB1B" w:rsidR="00E51477" w:rsidRPr="00E51477" w:rsidRDefault="00EB4AB4" w:rsidP="00E51477">
                  <w:pPr>
                    <w:pStyle w:val="TableColumnHeading"/>
                    <w:jc w:val="left"/>
                    <w:rPr>
                      <w:b/>
                      <w:i w:val="0"/>
                    </w:rPr>
                  </w:pPr>
                  <w:r>
                    <w:rPr>
                      <w:b/>
                      <w:i w:val="0"/>
                    </w:rPr>
                    <w:t xml:space="preserve">Step </w:t>
                  </w:r>
                  <w:proofErr w:type="spellStart"/>
                  <w:r>
                    <w:rPr>
                      <w:b/>
                      <w:i w:val="0"/>
                    </w:rPr>
                    <w:t>2b</w:t>
                  </w:r>
                  <w:proofErr w:type="spellEnd"/>
                  <w:r>
                    <w:rPr>
                      <w:b/>
                      <w:i w:val="0"/>
                    </w:rPr>
                    <w:t xml:space="preserve">: </w:t>
                  </w:r>
                  <w:proofErr w:type="spellStart"/>
                  <w:r>
                    <w:rPr>
                      <w:b/>
                      <w:i w:val="0"/>
                    </w:rPr>
                    <w:t>PCA</w:t>
                  </w:r>
                  <w:proofErr w:type="spellEnd"/>
                  <w:r w:rsidR="00E51477" w:rsidRPr="00E51477">
                    <w:rPr>
                      <w:b/>
                      <w:i w:val="0"/>
                    </w:rPr>
                    <w:t xml:space="preserve"> scores</w:t>
                  </w:r>
                  <w:r w:rsidR="0029242A">
                    <w:rPr>
                      <w:b/>
                      <w:i w:val="0"/>
                    </w:rPr>
                    <w:t xml:space="preserve"> </w:t>
                  </w:r>
                  <m:oMath>
                    <m:d>
                      <m:dPr>
                        <m:ctrlPr>
                          <w:rPr>
                            <w:rFonts w:ascii="Cambria Math" w:hAnsi="Cambria Math"/>
                            <w:b/>
                          </w:rPr>
                        </m:ctrlPr>
                      </m:dPr>
                      <m:e>
                        <m:r>
                          <w:rPr>
                            <w:rFonts w:ascii="Cambria Math" w:hAnsi="Cambria Math"/>
                          </w:rPr>
                          <m:t>P</m:t>
                        </m:r>
                        <m:sSub>
                          <m:sSubPr>
                            <m:ctrlPr>
                              <w:rPr>
                                <w:rFonts w:ascii="Cambria Math" w:hAnsi="Cambria Math"/>
                              </w:rPr>
                            </m:ctrlPr>
                          </m:sSubPr>
                          <m:e>
                            <m:r>
                              <w:rPr>
                                <w:rFonts w:ascii="Cambria Math" w:hAnsi="Cambria Math"/>
                              </w:rPr>
                              <m:t>C</m:t>
                            </m:r>
                          </m:e>
                          <m:sub>
                            <m:r>
                              <w:rPr>
                                <w:rFonts w:ascii="Cambria Math" w:hAnsi="Cambria Math"/>
                              </w:rPr>
                              <m:t>pi</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1p</m:t>
                            </m:r>
                          </m:sub>
                        </m:sSub>
                        <m:sSub>
                          <m:sSubPr>
                            <m:ctrlPr>
                              <w:rPr>
                                <w:rFonts w:ascii="Cambria Math" w:hAnsi="Cambria Math"/>
                              </w:rPr>
                            </m:ctrlPr>
                          </m:sSubPr>
                          <m:e>
                            <m:r>
                              <w:rPr>
                                <w:rFonts w:ascii="Cambria Math" w:hAnsi="Cambria Math"/>
                              </w:rPr>
                              <m:t>X</m:t>
                            </m:r>
                          </m:e>
                          <m:sub>
                            <m:r>
                              <w:rPr>
                                <w:rFonts w:ascii="Cambria Math" w:hAnsi="Cambria Math"/>
                              </w:rPr>
                              <m:t>1i</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2p</m:t>
                            </m:r>
                          </m:sub>
                        </m:sSub>
                        <m:sSub>
                          <m:sSubPr>
                            <m:ctrlPr>
                              <w:rPr>
                                <w:rFonts w:ascii="Cambria Math" w:hAnsi="Cambria Math"/>
                              </w:rPr>
                            </m:ctrlPr>
                          </m:sSubPr>
                          <m:e>
                            <m:r>
                              <w:rPr>
                                <w:rFonts w:ascii="Cambria Math" w:hAnsi="Cambria Math"/>
                              </w:rPr>
                              <m:t>X</m:t>
                            </m:r>
                          </m:e>
                          <m:sub>
                            <m:r>
                              <w:rPr>
                                <w:rFonts w:ascii="Cambria Math" w:hAnsi="Cambria Math"/>
                              </w:rPr>
                              <m:t>2i</m:t>
                            </m:r>
                          </m:sub>
                        </m:sSub>
                      </m:e>
                    </m:d>
                  </m:oMath>
                </w:p>
              </w:tc>
            </w:tr>
            <w:tr w:rsidR="000055E4" w14:paraId="0C34697F" w14:textId="77777777" w:rsidTr="00E322F7">
              <w:trPr>
                <w:tblHeader/>
              </w:trPr>
              <w:tc>
                <w:tcPr>
                  <w:tcW w:w="655" w:type="pct"/>
                  <w:tcBorders>
                    <w:top w:val="single" w:sz="6" w:space="0" w:color="BFBFBF"/>
                  </w:tcBorders>
                  <w:shd w:val="clear" w:color="auto" w:fill="auto"/>
                </w:tcPr>
                <w:p w14:paraId="7371FB78" w14:textId="378E720C" w:rsidR="000055E4" w:rsidRPr="000055E4" w:rsidRDefault="000055E4" w:rsidP="000055E4">
                  <w:pPr>
                    <w:pStyle w:val="TableUnitsRow"/>
                    <w:jc w:val="left"/>
                    <w:rPr>
                      <w:i/>
                    </w:rPr>
                  </w:pPr>
                  <w:r w:rsidRPr="006A2AAA">
                    <w:rPr>
                      <w:i/>
                    </w:rPr>
                    <w:t>Region</w:t>
                  </w:r>
                </w:p>
              </w:tc>
              <w:tc>
                <w:tcPr>
                  <w:tcW w:w="4345" w:type="pct"/>
                  <w:gridSpan w:val="2"/>
                  <w:tcBorders>
                    <w:top w:val="single" w:sz="6" w:space="0" w:color="BFBFBF"/>
                  </w:tcBorders>
                </w:tcPr>
                <w:p w14:paraId="6F28D305" w14:textId="486FECC4" w:rsidR="000055E4" w:rsidRPr="00E51477" w:rsidRDefault="000055E4" w:rsidP="004C7102">
                  <w:pPr>
                    <w:pStyle w:val="TableUnitsRow"/>
                    <w:ind w:left="4253"/>
                    <w:jc w:val="left"/>
                    <w:rPr>
                      <w:i/>
                    </w:rPr>
                  </w:pPr>
                  <w:r>
                    <w:rPr>
                      <w:i/>
                    </w:rPr>
                    <w:t>Principal components</w:t>
                  </w:r>
                  <w:r w:rsidR="004C7102">
                    <w:rPr>
                      <w:i/>
                    </w:rPr>
                    <w:t xml:space="preserve"> </w:t>
                  </w:r>
                  <m:oMath>
                    <m:d>
                      <m:dPr>
                        <m:ctrlPr>
                          <w:rPr>
                            <w:rFonts w:ascii="Cambria Math" w:hAnsi="Cambria Math"/>
                            <w:i/>
                          </w:rPr>
                        </m:ctrlPr>
                      </m:dPr>
                      <m:e>
                        <m:r>
                          <w:rPr>
                            <w:rFonts w:ascii="Cambria Math" w:hAnsi="Cambria Math"/>
                          </w:rPr>
                          <m:t>P</m:t>
                        </m:r>
                        <m:sSub>
                          <m:sSubPr>
                            <m:ctrlPr>
                              <w:rPr>
                                <w:rFonts w:ascii="Cambria Math" w:hAnsi="Cambria Math"/>
                              </w:rPr>
                            </m:ctrlPr>
                          </m:sSubPr>
                          <m:e>
                            <m:r>
                              <w:rPr>
                                <w:rFonts w:ascii="Cambria Math" w:hAnsi="Cambria Math"/>
                              </w:rPr>
                              <m:t>C</m:t>
                            </m:r>
                          </m:e>
                          <m:sub>
                            <m:r>
                              <w:rPr>
                                <w:rFonts w:ascii="Cambria Math" w:hAnsi="Cambria Math"/>
                              </w:rPr>
                              <m:t>pi</m:t>
                            </m:r>
                          </m:sub>
                        </m:sSub>
                      </m:e>
                    </m:d>
                  </m:oMath>
                </w:p>
              </w:tc>
            </w:tr>
            <w:tr w:rsidR="000055E4" w14:paraId="51CC0BA5" w14:textId="77777777" w:rsidTr="000055E4">
              <w:tc>
                <w:tcPr>
                  <w:tcW w:w="655" w:type="pct"/>
                  <w:shd w:val="clear" w:color="auto" w:fill="auto"/>
                </w:tcPr>
                <w:p w14:paraId="2AE72334" w14:textId="4C8E56BA" w:rsidR="000055E4" w:rsidRPr="006A2AAA" w:rsidRDefault="000055E4" w:rsidP="005C4E84">
                  <w:pPr>
                    <w:pStyle w:val="TableBodyText"/>
                    <w:jc w:val="left"/>
                    <w:rPr>
                      <w:i/>
                    </w:rPr>
                  </w:pPr>
                </w:p>
              </w:tc>
              <w:tc>
                <w:tcPr>
                  <w:tcW w:w="2172" w:type="pct"/>
                </w:tcPr>
                <w:p w14:paraId="003E4B53" w14:textId="0C10000D" w:rsidR="000055E4" w:rsidRDefault="009C1D07" w:rsidP="009C1D07">
                  <w:pPr>
                    <w:pStyle w:val="TableBodyText"/>
                    <w:rPr>
                      <w:i/>
                    </w:rPr>
                  </w:pPr>
                  <w:proofErr w:type="spellStart"/>
                  <w:r>
                    <w:rPr>
                      <w:i/>
                    </w:rPr>
                    <w:t>PC</w:t>
                  </w:r>
                  <w:r w:rsidRPr="00C65D33">
                    <w:rPr>
                      <w:i/>
                      <w:vertAlign w:val="subscript"/>
                    </w:rPr>
                    <w:t>1</w:t>
                  </w:r>
                  <w:proofErr w:type="spellEnd"/>
                </w:p>
              </w:tc>
              <w:tc>
                <w:tcPr>
                  <w:tcW w:w="2173" w:type="pct"/>
                </w:tcPr>
                <w:p w14:paraId="70DC62ED" w14:textId="5594EA20" w:rsidR="000055E4" w:rsidRPr="00E51477" w:rsidRDefault="009C1D07" w:rsidP="005C4E84">
                  <w:pPr>
                    <w:pStyle w:val="TableBodyText"/>
                    <w:ind w:right="28"/>
                    <w:rPr>
                      <w:i/>
                    </w:rPr>
                  </w:pPr>
                  <w:proofErr w:type="spellStart"/>
                  <w:r>
                    <w:rPr>
                      <w:i/>
                    </w:rPr>
                    <w:t>PC</w:t>
                  </w:r>
                  <w:r w:rsidRPr="00C65D33">
                    <w:rPr>
                      <w:i/>
                      <w:vertAlign w:val="subscript"/>
                    </w:rPr>
                    <w:t>2</w:t>
                  </w:r>
                  <w:proofErr w:type="spellEnd"/>
                </w:p>
              </w:tc>
            </w:tr>
            <w:tr w:rsidR="000055E4" w14:paraId="0BF6F0C4" w14:textId="77777777" w:rsidTr="00EB4AB4">
              <w:tc>
                <w:tcPr>
                  <w:tcW w:w="655" w:type="pct"/>
                  <w:shd w:val="clear" w:color="auto" w:fill="auto"/>
                </w:tcPr>
                <w:p w14:paraId="2AD13237" w14:textId="3A76280C" w:rsidR="000055E4" w:rsidRDefault="000055E4" w:rsidP="005C4E84">
                  <w:pPr>
                    <w:pStyle w:val="TableBodyText"/>
                    <w:jc w:val="left"/>
                  </w:pPr>
                  <w:r>
                    <w:t>1</w:t>
                  </w:r>
                </w:p>
              </w:tc>
              <w:tc>
                <w:tcPr>
                  <w:tcW w:w="2172" w:type="pct"/>
                </w:tcPr>
                <w:p w14:paraId="0ABB29FF" w14:textId="2483641C" w:rsidR="000055E4" w:rsidRDefault="00E94B47" w:rsidP="005C4E84">
                  <w:pPr>
                    <w:pStyle w:val="TableBodyText"/>
                  </w:pPr>
                  <w:r>
                    <w:noBreakHyphen/>
                  </w:r>
                  <w:r w:rsidR="000055E4" w:rsidRPr="00206E8B">
                    <w:t>2.09</w:t>
                  </w:r>
                </w:p>
              </w:tc>
              <w:tc>
                <w:tcPr>
                  <w:tcW w:w="2173" w:type="pct"/>
                </w:tcPr>
                <w:p w14:paraId="3B2B6CBA" w14:textId="18EE07D8" w:rsidR="000055E4" w:rsidRDefault="00E94B47" w:rsidP="005C4E84">
                  <w:pPr>
                    <w:pStyle w:val="TableBodyText"/>
                    <w:ind w:right="28"/>
                  </w:pPr>
                  <w:r>
                    <w:noBreakHyphen/>
                  </w:r>
                  <w:r w:rsidR="000055E4" w:rsidRPr="00DA46EE">
                    <w:t>0.07</w:t>
                  </w:r>
                </w:p>
              </w:tc>
            </w:tr>
            <w:tr w:rsidR="000055E4" w14:paraId="2AEFE70B" w14:textId="77777777" w:rsidTr="00EB4AB4">
              <w:tc>
                <w:tcPr>
                  <w:tcW w:w="655" w:type="pct"/>
                  <w:shd w:val="clear" w:color="auto" w:fill="auto"/>
                </w:tcPr>
                <w:p w14:paraId="377A815C" w14:textId="3ABB7FCD" w:rsidR="000055E4" w:rsidRDefault="000055E4" w:rsidP="005C4E84">
                  <w:pPr>
                    <w:pStyle w:val="TableBodyText"/>
                    <w:jc w:val="left"/>
                  </w:pPr>
                  <w:r>
                    <w:t>2</w:t>
                  </w:r>
                </w:p>
              </w:tc>
              <w:tc>
                <w:tcPr>
                  <w:tcW w:w="2172" w:type="pct"/>
                </w:tcPr>
                <w:p w14:paraId="71C17BC3" w14:textId="697F9634" w:rsidR="000055E4" w:rsidRDefault="00E94B47" w:rsidP="005C4E84">
                  <w:pPr>
                    <w:pStyle w:val="TableBodyText"/>
                  </w:pPr>
                  <w:r>
                    <w:noBreakHyphen/>
                  </w:r>
                  <w:r w:rsidR="000055E4" w:rsidRPr="00206E8B">
                    <w:t>0.64</w:t>
                  </w:r>
                </w:p>
              </w:tc>
              <w:tc>
                <w:tcPr>
                  <w:tcW w:w="2173" w:type="pct"/>
                </w:tcPr>
                <w:p w14:paraId="26B5E3C6" w14:textId="5CAED8AE" w:rsidR="000055E4" w:rsidRDefault="000055E4" w:rsidP="005C4E84">
                  <w:pPr>
                    <w:pStyle w:val="TableBodyText"/>
                    <w:ind w:right="28"/>
                  </w:pPr>
                  <w:r w:rsidRPr="00DA46EE">
                    <w:t>0.41</w:t>
                  </w:r>
                </w:p>
              </w:tc>
            </w:tr>
            <w:tr w:rsidR="000055E4" w14:paraId="4BAEEAA8" w14:textId="77777777" w:rsidTr="00EB4AB4">
              <w:tc>
                <w:tcPr>
                  <w:tcW w:w="655" w:type="pct"/>
                  <w:shd w:val="clear" w:color="auto" w:fill="auto"/>
                </w:tcPr>
                <w:p w14:paraId="382C3621" w14:textId="5B5811C7" w:rsidR="000055E4" w:rsidRDefault="000055E4" w:rsidP="005C4E84">
                  <w:pPr>
                    <w:pStyle w:val="TableBodyText"/>
                    <w:jc w:val="left"/>
                  </w:pPr>
                  <w:r>
                    <w:t>3</w:t>
                  </w:r>
                </w:p>
              </w:tc>
              <w:tc>
                <w:tcPr>
                  <w:tcW w:w="2172" w:type="pct"/>
                </w:tcPr>
                <w:p w14:paraId="1325699B" w14:textId="609BD45E" w:rsidR="000055E4" w:rsidRDefault="00E94B47" w:rsidP="005C4E84">
                  <w:pPr>
                    <w:pStyle w:val="TableBodyText"/>
                  </w:pPr>
                  <w:r>
                    <w:noBreakHyphen/>
                  </w:r>
                  <w:r w:rsidR="000055E4" w:rsidRPr="00206E8B">
                    <w:t>0.51</w:t>
                  </w:r>
                </w:p>
              </w:tc>
              <w:tc>
                <w:tcPr>
                  <w:tcW w:w="2173" w:type="pct"/>
                </w:tcPr>
                <w:p w14:paraId="1D511C14" w14:textId="05222D3E" w:rsidR="000055E4" w:rsidRDefault="00E94B47" w:rsidP="005C4E84">
                  <w:pPr>
                    <w:pStyle w:val="TableBodyText"/>
                    <w:ind w:right="28"/>
                  </w:pPr>
                  <w:r>
                    <w:noBreakHyphen/>
                  </w:r>
                  <w:r w:rsidR="000055E4" w:rsidRPr="00DA46EE">
                    <w:t>0.06</w:t>
                  </w:r>
                </w:p>
              </w:tc>
            </w:tr>
            <w:tr w:rsidR="000055E4" w14:paraId="4D534BCF" w14:textId="77777777" w:rsidTr="00EB4AB4">
              <w:tc>
                <w:tcPr>
                  <w:tcW w:w="655" w:type="pct"/>
                  <w:shd w:val="clear" w:color="auto" w:fill="auto"/>
                </w:tcPr>
                <w:p w14:paraId="2386707C" w14:textId="1C161B01" w:rsidR="000055E4" w:rsidRDefault="000055E4" w:rsidP="005C4E84">
                  <w:pPr>
                    <w:pStyle w:val="TableBodyText"/>
                    <w:jc w:val="left"/>
                  </w:pPr>
                  <w:r>
                    <w:t>4</w:t>
                  </w:r>
                </w:p>
              </w:tc>
              <w:tc>
                <w:tcPr>
                  <w:tcW w:w="2172" w:type="pct"/>
                </w:tcPr>
                <w:p w14:paraId="77960A94" w14:textId="7569BE8B" w:rsidR="000055E4" w:rsidRDefault="000055E4" w:rsidP="005C4E84">
                  <w:pPr>
                    <w:pStyle w:val="TableBodyText"/>
                  </w:pPr>
                  <w:r w:rsidRPr="00206E8B">
                    <w:t>0.22</w:t>
                  </w:r>
                </w:p>
              </w:tc>
              <w:tc>
                <w:tcPr>
                  <w:tcW w:w="2173" w:type="pct"/>
                </w:tcPr>
                <w:p w14:paraId="5220BF2F" w14:textId="3A6EDB23" w:rsidR="000055E4" w:rsidRDefault="00E94B47" w:rsidP="005C4E84">
                  <w:pPr>
                    <w:pStyle w:val="TableBodyText"/>
                    <w:ind w:right="28"/>
                  </w:pPr>
                  <w:r>
                    <w:noBreakHyphen/>
                  </w:r>
                  <w:r w:rsidR="000055E4" w:rsidRPr="00DA46EE">
                    <w:t>0.38</w:t>
                  </w:r>
                </w:p>
              </w:tc>
            </w:tr>
            <w:tr w:rsidR="000055E4" w14:paraId="7D23D615" w14:textId="77777777" w:rsidTr="00EB4AB4">
              <w:tc>
                <w:tcPr>
                  <w:tcW w:w="655" w:type="pct"/>
                  <w:shd w:val="clear" w:color="auto" w:fill="auto"/>
                </w:tcPr>
                <w:p w14:paraId="21832DD1" w14:textId="378853B7" w:rsidR="000055E4" w:rsidRDefault="000055E4" w:rsidP="005C4E84">
                  <w:pPr>
                    <w:pStyle w:val="TableBodyText"/>
                    <w:jc w:val="left"/>
                  </w:pPr>
                  <w:r>
                    <w:t>5</w:t>
                  </w:r>
                </w:p>
              </w:tc>
              <w:tc>
                <w:tcPr>
                  <w:tcW w:w="2172" w:type="pct"/>
                </w:tcPr>
                <w:p w14:paraId="40817627" w14:textId="74BFCFAE" w:rsidR="000055E4" w:rsidRDefault="000055E4" w:rsidP="005C4E84">
                  <w:pPr>
                    <w:pStyle w:val="TableBodyText"/>
                  </w:pPr>
                  <w:r w:rsidRPr="00206E8B">
                    <w:t>1.53</w:t>
                  </w:r>
                </w:p>
              </w:tc>
              <w:tc>
                <w:tcPr>
                  <w:tcW w:w="2173" w:type="pct"/>
                </w:tcPr>
                <w:p w14:paraId="419E9E18" w14:textId="7F213201" w:rsidR="000055E4" w:rsidRDefault="000055E4" w:rsidP="005C4E84">
                  <w:pPr>
                    <w:pStyle w:val="TableBodyText"/>
                    <w:ind w:right="28"/>
                  </w:pPr>
                  <w:r w:rsidRPr="00DA46EE">
                    <w:t>0.11</w:t>
                  </w:r>
                </w:p>
              </w:tc>
            </w:tr>
            <w:tr w:rsidR="000055E4" w14:paraId="5F1A49AD" w14:textId="77777777" w:rsidTr="00EB4AB4">
              <w:tc>
                <w:tcPr>
                  <w:tcW w:w="655" w:type="pct"/>
                  <w:tcBorders>
                    <w:bottom w:val="single" w:sz="6" w:space="0" w:color="BFBFBF"/>
                  </w:tcBorders>
                  <w:shd w:val="clear" w:color="auto" w:fill="auto"/>
                </w:tcPr>
                <w:p w14:paraId="19034DCF" w14:textId="041D9D1E" w:rsidR="000055E4" w:rsidRDefault="000055E4" w:rsidP="00E51477">
                  <w:pPr>
                    <w:pStyle w:val="TableBodyText"/>
                    <w:jc w:val="left"/>
                  </w:pPr>
                  <w:r>
                    <w:t>6</w:t>
                  </w:r>
                </w:p>
              </w:tc>
              <w:tc>
                <w:tcPr>
                  <w:tcW w:w="2172" w:type="pct"/>
                  <w:tcBorders>
                    <w:bottom w:val="single" w:sz="6" w:space="0" w:color="BFBFBF"/>
                  </w:tcBorders>
                </w:tcPr>
                <w:p w14:paraId="5D68F9D7" w14:textId="7D8F49B5" w:rsidR="000055E4" w:rsidRDefault="000055E4" w:rsidP="005C4E84">
                  <w:pPr>
                    <w:pStyle w:val="TableBodyText"/>
                  </w:pPr>
                  <w:r w:rsidRPr="00206E8B">
                    <w:t>1.50</w:t>
                  </w:r>
                </w:p>
              </w:tc>
              <w:tc>
                <w:tcPr>
                  <w:tcW w:w="2173" w:type="pct"/>
                  <w:tcBorders>
                    <w:bottom w:val="single" w:sz="6" w:space="0" w:color="BFBFBF"/>
                  </w:tcBorders>
                </w:tcPr>
                <w:p w14:paraId="4AEC1CD1" w14:textId="2585410F" w:rsidR="000055E4" w:rsidRDefault="000055E4" w:rsidP="005C4E84">
                  <w:pPr>
                    <w:pStyle w:val="TableBodyText"/>
                    <w:ind w:right="28"/>
                  </w:pPr>
                  <w:r w:rsidRPr="00DA46EE">
                    <w:t>0.00</w:t>
                  </w:r>
                </w:p>
              </w:tc>
            </w:tr>
          </w:tbl>
          <w:p w14:paraId="4BB27731" w14:textId="77777777" w:rsidR="00B04912" w:rsidRDefault="00B04912" w:rsidP="005C4E84">
            <w:pPr>
              <w:pStyle w:val="Box"/>
            </w:pPr>
          </w:p>
        </w:tc>
      </w:tr>
      <w:tr w:rsidR="00B04912" w14:paraId="4A136CBF" w14:textId="77777777" w:rsidTr="00A23812">
        <w:tc>
          <w:tcPr>
            <w:tcW w:w="5000" w:type="pct"/>
            <w:tcBorders>
              <w:top w:val="nil"/>
              <w:left w:val="nil"/>
              <w:bottom w:val="single" w:sz="6" w:space="0" w:color="78A22F"/>
              <w:right w:val="nil"/>
            </w:tcBorders>
            <w:shd w:val="clear" w:color="auto" w:fill="auto"/>
          </w:tcPr>
          <w:p w14:paraId="478B67A1" w14:textId="77777777" w:rsidR="00B04912" w:rsidRDefault="00B04912" w:rsidP="005C4E84">
            <w:pPr>
              <w:pStyle w:val="Box"/>
              <w:spacing w:before="0" w:line="120" w:lineRule="exact"/>
            </w:pPr>
          </w:p>
        </w:tc>
      </w:tr>
      <w:tr w:rsidR="00B04912" w:rsidRPr="000863A5" w14:paraId="33C51301" w14:textId="77777777" w:rsidTr="00A23812">
        <w:tc>
          <w:tcPr>
            <w:tcW w:w="5000" w:type="pct"/>
            <w:tcBorders>
              <w:top w:val="single" w:sz="6" w:space="0" w:color="78A22F"/>
              <w:left w:val="nil"/>
              <w:bottom w:val="nil"/>
              <w:right w:val="nil"/>
            </w:tcBorders>
          </w:tcPr>
          <w:p w14:paraId="663FAC62" w14:textId="7FADA5D6" w:rsidR="00B04912" w:rsidRPr="008B66ED" w:rsidRDefault="00B04912" w:rsidP="005C4E84">
            <w:pPr>
              <w:pStyle w:val="BoxSpaceBelow"/>
            </w:pPr>
          </w:p>
        </w:tc>
      </w:tr>
    </w:tbl>
    <w:p w14:paraId="53A39949" w14:textId="3857880E" w:rsidR="00F51D84" w:rsidRDefault="00F51D84" w:rsidP="006367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51D84" w14:paraId="4BA32286" w14:textId="77777777" w:rsidTr="00A23812">
        <w:trPr>
          <w:tblHeader/>
        </w:trPr>
        <w:tc>
          <w:tcPr>
            <w:tcW w:w="5000" w:type="pct"/>
            <w:tcBorders>
              <w:top w:val="single" w:sz="6" w:space="0" w:color="78A22F"/>
              <w:left w:val="nil"/>
              <w:bottom w:val="nil"/>
              <w:right w:val="nil"/>
            </w:tcBorders>
            <w:shd w:val="clear" w:color="auto" w:fill="auto"/>
          </w:tcPr>
          <w:p w14:paraId="2621A556" w14:textId="0A083CD2" w:rsidR="00F51D84" w:rsidRDefault="00F51D84" w:rsidP="003A4439">
            <w:pPr>
              <w:pStyle w:val="FigureTitle"/>
              <w:rPr>
                <w:rStyle w:val="NoteLabel"/>
                <w:b/>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D2773">
              <w:rPr>
                <w:b w:val="0"/>
                <w:noProof/>
              </w:rPr>
              <w:t>1</w:t>
            </w:r>
            <w:r w:rsidRPr="00784A05">
              <w:rPr>
                <w:b w:val="0"/>
              </w:rPr>
              <w:fldChar w:fldCharType="end"/>
            </w:r>
            <w:r>
              <w:tab/>
            </w:r>
            <w:r w:rsidR="005421D7">
              <w:t>P</w:t>
            </w:r>
            <w:r>
              <w:t xml:space="preserve">rincipal component analysis </w:t>
            </w:r>
            <w:r w:rsidR="006A2AAA">
              <w:t>— illustrative visualisation</w:t>
            </w:r>
          </w:p>
          <w:p w14:paraId="17C3BFD6" w14:textId="1F885281" w:rsidR="006A2AAA" w:rsidRPr="006A2AAA" w:rsidRDefault="006A2AAA" w:rsidP="006A2AAA">
            <w:pPr>
              <w:pStyle w:val="Subtitle"/>
            </w:pPr>
            <w:r>
              <w:t>Hypothetical dataset on year 12 attainment and employment rates</w:t>
            </w:r>
          </w:p>
        </w:tc>
      </w:tr>
      <w:tr w:rsidR="00F51D84" w14:paraId="70F6BC5F" w14:textId="77777777" w:rsidTr="00A2381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F51D84" w:rsidRPr="00B1465D" w14:paraId="0A810928" w14:textId="77777777" w:rsidTr="00A23812">
              <w:trPr>
                <w:tblHeader/>
                <w:jc w:val="center"/>
              </w:trPr>
              <w:tc>
                <w:tcPr>
                  <w:tcW w:w="5000" w:type="pct"/>
                  <w:tcBorders>
                    <w:top w:val="nil"/>
                    <w:bottom w:val="nil"/>
                  </w:tcBorders>
                </w:tcPr>
                <w:p w14:paraId="4C7047D8" w14:textId="0A2CB460" w:rsidR="00F51D84" w:rsidRPr="00B1465D" w:rsidRDefault="009338C8" w:rsidP="006367E2">
                  <w:pPr>
                    <w:pStyle w:val="Figure"/>
                    <w:spacing w:before="60" w:after="60"/>
                    <w:rPr>
                      <w:rFonts w:ascii="Arial" w:hAnsi="Arial" w:cs="Arial"/>
                      <w:sz w:val="18"/>
                      <w:szCs w:val="18"/>
                    </w:rPr>
                  </w:pPr>
                  <w:r>
                    <w:rPr>
                      <w:rFonts w:ascii="Arial" w:hAnsi="Arial" w:cs="Arial"/>
                      <w:noProof/>
                      <w:sz w:val="18"/>
                      <w:szCs w:val="18"/>
                    </w:rPr>
                    <w:drawing>
                      <wp:inline distT="0" distB="0" distL="0" distR="0" wp14:anchorId="0ABD2F34" wp14:editId="2D80049C">
                        <wp:extent cx="5401945" cy="2734945"/>
                        <wp:effectExtent l="0" t="0" r="0" b="0"/>
                        <wp:docPr id="7" name="Picture 7" descr="This chart shows how data points in a hypothetical dataset on year 12 attainment and employment rates appear as scatterplots of the original variables and of the principal components. The plot on the left is a scatterplot of the original variables. Intersecting lines labelled PC1 and PC2 show where the axes of the principal components lie. The plot on the right is a scatterplot of the principal components, which summarise the original variables to show as much variation across data points as possible in the first principal component. " title="Principal component analysis — illustrative visu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01945" cy="2734945"/>
                                </a:xfrm>
                                <a:prstGeom prst="rect">
                                  <a:avLst/>
                                </a:prstGeom>
                                <a:noFill/>
                                <a:ln>
                                  <a:noFill/>
                                </a:ln>
                              </pic:spPr>
                            </pic:pic>
                          </a:graphicData>
                        </a:graphic>
                      </wp:inline>
                    </w:drawing>
                  </w:r>
                </w:p>
              </w:tc>
            </w:tr>
          </w:tbl>
          <w:p w14:paraId="1348F549" w14:textId="77777777" w:rsidR="00F51D84" w:rsidRDefault="00F51D84" w:rsidP="006367E2">
            <w:pPr>
              <w:pStyle w:val="Figure"/>
            </w:pPr>
          </w:p>
        </w:tc>
      </w:tr>
      <w:tr w:rsidR="00F51D84" w14:paraId="07BD8558" w14:textId="77777777" w:rsidTr="00A23812">
        <w:tc>
          <w:tcPr>
            <w:tcW w:w="5000" w:type="pct"/>
            <w:tcBorders>
              <w:top w:val="nil"/>
              <w:left w:val="nil"/>
              <w:bottom w:val="single" w:sz="6" w:space="0" w:color="78A22F"/>
              <w:right w:val="nil"/>
            </w:tcBorders>
            <w:shd w:val="clear" w:color="auto" w:fill="auto"/>
          </w:tcPr>
          <w:p w14:paraId="33D183E4" w14:textId="77777777" w:rsidR="00F51D84" w:rsidRDefault="00F51D84" w:rsidP="006367E2">
            <w:pPr>
              <w:pStyle w:val="Figurespace"/>
            </w:pPr>
          </w:p>
        </w:tc>
      </w:tr>
      <w:tr w:rsidR="00F51D84" w:rsidRPr="000863A5" w14:paraId="033EC1B9" w14:textId="77777777" w:rsidTr="00A23812">
        <w:tc>
          <w:tcPr>
            <w:tcW w:w="5000" w:type="pct"/>
            <w:tcBorders>
              <w:top w:val="single" w:sz="6" w:space="0" w:color="78A22F"/>
              <w:left w:val="nil"/>
              <w:bottom w:val="nil"/>
              <w:right w:val="nil"/>
            </w:tcBorders>
          </w:tcPr>
          <w:p w14:paraId="0CB12756" w14:textId="572ED2C1" w:rsidR="00F51D84" w:rsidRPr="00626D32" w:rsidRDefault="00F51D84" w:rsidP="006367E2">
            <w:pPr>
              <w:pStyle w:val="BoxSpaceBelow"/>
            </w:pPr>
          </w:p>
        </w:tc>
      </w:tr>
    </w:tbl>
    <w:p w14:paraId="522E7E2D" w14:textId="58066B35" w:rsidR="0026496A" w:rsidRDefault="0026496A" w:rsidP="0026496A">
      <w:pPr>
        <w:pStyle w:val="Heading4"/>
      </w:pPr>
      <w:r>
        <w:t>Determining the number of principal components to retain</w:t>
      </w:r>
    </w:p>
    <w:p w14:paraId="5CAB6EAB" w14:textId="37E895BD" w:rsidR="0026496A" w:rsidRDefault="0026496A" w:rsidP="0026496A">
      <w:pPr>
        <w:pStyle w:val="BodyText"/>
      </w:pPr>
      <w:r>
        <w:t xml:space="preserve">Choosing the number of principal components to retain from a </w:t>
      </w:r>
      <w:proofErr w:type="spellStart"/>
      <w:r>
        <w:t>PCA</w:t>
      </w:r>
      <w:proofErr w:type="spellEnd"/>
      <w:r>
        <w:t xml:space="preserve"> requires a degree of judgment. Although there are some guidelines, there are no strict rules on how to make this decision. Drawing on O’Rourke and Hatcher </w:t>
      </w:r>
      <w:r w:rsidRPr="001D3E8D">
        <w:t>(2013)</w:t>
      </w:r>
      <w:r>
        <w:t>, four criteria are commonly used.</w:t>
      </w:r>
    </w:p>
    <w:p w14:paraId="1B22A4A3" w14:textId="4ECC4535" w:rsidR="00DF37CD" w:rsidRDefault="00DF37CD" w:rsidP="006175AE">
      <w:pPr>
        <w:pStyle w:val="Heading5"/>
      </w:pPr>
      <w:r>
        <w:t>Scree test</w:t>
      </w:r>
    </w:p>
    <w:p w14:paraId="228B82DC" w14:textId="45946B86" w:rsidR="000946DB" w:rsidRDefault="00D03272" w:rsidP="00DF37CD">
      <w:pPr>
        <w:pStyle w:val="BodyText"/>
      </w:pPr>
      <w:r>
        <w:t>T</w:t>
      </w:r>
      <w:r w:rsidR="006975D5">
        <w:t xml:space="preserve">he </w:t>
      </w:r>
      <w:r w:rsidR="002C0958">
        <w:t xml:space="preserve">first criterion </w:t>
      </w:r>
      <w:r w:rsidR="00A31EFB">
        <w:t xml:space="preserve">is </w:t>
      </w:r>
      <w:r w:rsidR="002C0958">
        <w:t xml:space="preserve">the </w:t>
      </w:r>
      <w:proofErr w:type="spellStart"/>
      <w:r w:rsidR="006975D5">
        <w:t>scree</w:t>
      </w:r>
      <w:proofErr w:type="spellEnd"/>
      <w:r w:rsidR="006975D5">
        <w:t xml:space="preserve"> test</w:t>
      </w:r>
      <w:r w:rsidR="002C0958">
        <w:t>, which</w:t>
      </w:r>
      <w:r w:rsidR="006975D5">
        <w:t xml:space="preserve"> involve</w:t>
      </w:r>
      <w:r w:rsidR="00A31EFB">
        <w:t>s</w:t>
      </w:r>
      <w:r w:rsidR="006975D5">
        <w:t xml:space="preserve"> plotting the eigenvalues (</w:t>
      </w:r>
      <w:r w:rsidR="003C2AB0">
        <w:t xml:space="preserve">amounts of </w:t>
      </w:r>
      <w:r w:rsidR="006975D5">
        <w:t xml:space="preserve">variance </w:t>
      </w:r>
      <w:r w:rsidR="00F15576">
        <w:t xml:space="preserve">explained by </w:t>
      </w:r>
      <w:r w:rsidR="006975D5">
        <w:t>the principal components</w:t>
      </w:r>
      <w:r w:rsidR="00FA040A">
        <w:t xml:space="preserve"> respectively</w:t>
      </w:r>
      <w:r w:rsidR="006975D5">
        <w:t xml:space="preserve">) </w:t>
      </w:r>
      <w:r w:rsidR="001A4055">
        <w:t>in order</w:t>
      </w:r>
      <w:r w:rsidR="008A5C95">
        <w:t>. This plot</w:t>
      </w:r>
      <w:r w:rsidR="001C4AAC">
        <w:t xml:space="preserve"> is</w:t>
      </w:r>
      <w:r w:rsidR="00D57205">
        <w:t xml:space="preserve"> </w:t>
      </w:r>
      <w:r w:rsidR="00C45083">
        <w:t>known as a scree plot</w:t>
      </w:r>
      <w:r w:rsidR="00D57205">
        <w:t xml:space="preserve">, and </w:t>
      </w:r>
      <w:r w:rsidR="007E1DBB">
        <w:t>a hypothetical</w:t>
      </w:r>
      <w:r w:rsidR="00D57205">
        <w:t xml:space="preserve"> example is provided in figure</w:t>
      </w:r>
      <w:r w:rsidR="008B66ED">
        <w:t> </w:t>
      </w:r>
      <w:r w:rsidR="00D57205">
        <w:t>2</w:t>
      </w:r>
      <w:r w:rsidR="00655E26">
        <w:t xml:space="preserve">. If there </w:t>
      </w:r>
      <w:r w:rsidR="00707562">
        <w:t xml:space="preserve">is </w:t>
      </w:r>
      <w:r w:rsidR="00655E26">
        <w:t>a</w:t>
      </w:r>
      <w:r w:rsidR="00D37E87">
        <w:t>n</w:t>
      </w:r>
      <w:r w:rsidR="00655E26">
        <w:t xml:space="preserve"> </w:t>
      </w:r>
      <w:r w:rsidR="00D37E87">
        <w:t>elbow</w:t>
      </w:r>
      <w:r w:rsidR="00E94B47">
        <w:noBreakHyphen/>
      </w:r>
      <w:r w:rsidR="00D37E87">
        <w:t xml:space="preserve">like </w:t>
      </w:r>
      <w:r w:rsidR="00FA7DDC">
        <w:t xml:space="preserve">bend </w:t>
      </w:r>
      <w:r w:rsidR="00655E26">
        <w:t xml:space="preserve">in the plot, with </w:t>
      </w:r>
      <w:r w:rsidR="00022FA3">
        <w:t xml:space="preserve">the first </w:t>
      </w:r>
      <w:r w:rsidR="00655E26">
        <w:t xml:space="preserve">set of </w:t>
      </w:r>
      <w:r w:rsidR="004252E4">
        <w:t xml:space="preserve">components </w:t>
      </w:r>
      <w:r w:rsidR="00CA7F6A">
        <w:t xml:space="preserve">before the bend </w:t>
      </w:r>
      <w:r w:rsidR="00655E26">
        <w:t>having large</w:t>
      </w:r>
      <w:r w:rsidR="004252E4">
        <w:t xml:space="preserve"> eigenvalues </w:t>
      </w:r>
      <w:r w:rsidR="00B65FCB">
        <w:t xml:space="preserve">(explaining a large amount of the variation) </w:t>
      </w:r>
      <w:r w:rsidR="004252E4">
        <w:t xml:space="preserve">and the </w:t>
      </w:r>
      <w:r w:rsidR="00655E26">
        <w:t>other set</w:t>
      </w:r>
      <w:r w:rsidR="00CA7F6A">
        <w:t xml:space="preserve"> from the bend onwards</w:t>
      </w:r>
      <w:r w:rsidR="00655E26">
        <w:t xml:space="preserve"> having </w:t>
      </w:r>
      <w:r w:rsidR="004252E4">
        <w:t>relatively small eigenvalues</w:t>
      </w:r>
      <w:r w:rsidR="00B65FCB">
        <w:t xml:space="preserve"> (explaining little variation)</w:t>
      </w:r>
      <w:r w:rsidR="00655E26">
        <w:t>, then</w:t>
      </w:r>
      <w:r w:rsidR="004252E4">
        <w:t xml:space="preserve"> </w:t>
      </w:r>
      <w:r w:rsidR="00655E26">
        <w:t>t</w:t>
      </w:r>
      <w:r w:rsidR="004252E4">
        <w:t xml:space="preserve">he </w:t>
      </w:r>
      <w:r w:rsidR="00022FA3">
        <w:t xml:space="preserve">components in the first set </w:t>
      </w:r>
      <w:r w:rsidR="00A551BE">
        <w:t xml:space="preserve">are </w:t>
      </w:r>
      <w:r w:rsidR="00655E26">
        <w:t>retained.</w:t>
      </w:r>
      <w:r w:rsidR="00672425">
        <w:t xml:space="preserve"> In figure</w:t>
      </w:r>
      <w:r w:rsidR="008B66ED">
        <w:t> </w:t>
      </w:r>
      <w:r w:rsidR="00672425">
        <w:t>2, the first principal component (the only component before the bend) would be retained.</w:t>
      </w:r>
      <w:r w:rsidR="00655E26">
        <w:t xml:space="preserve"> </w:t>
      </w:r>
      <w:r w:rsidR="000577B6">
        <w:t>Unlike in figure</w:t>
      </w:r>
      <w:r w:rsidR="008B66ED">
        <w:t> </w:t>
      </w:r>
      <w:r w:rsidR="000577B6">
        <w:t>2, i</w:t>
      </w:r>
      <w:r w:rsidR="00655E26">
        <w:t xml:space="preserve">n </w:t>
      </w:r>
      <w:r w:rsidR="00A551BE">
        <w:t xml:space="preserve">many </w:t>
      </w:r>
      <w:r w:rsidR="00655E26">
        <w:t xml:space="preserve">cases, there </w:t>
      </w:r>
      <w:r w:rsidR="00A551BE">
        <w:t xml:space="preserve">is </w:t>
      </w:r>
      <w:r w:rsidR="007D5570">
        <w:t xml:space="preserve">no </w:t>
      </w:r>
      <w:r w:rsidR="00655E26">
        <w:t xml:space="preserve">clear </w:t>
      </w:r>
      <w:r w:rsidR="00D37E87">
        <w:t xml:space="preserve">bend </w:t>
      </w:r>
      <w:r w:rsidR="00655E26">
        <w:t xml:space="preserve">in the plot </w:t>
      </w:r>
      <w:r w:rsidR="00FB68E8">
        <w:t xml:space="preserve">and other </w:t>
      </w:r>
      <w:r w:rsidR="00C45083">
        <w:t xml:space="preserve">criteria </w:t>
      </w:r>
      <w:r w:rsidR="00A551BE">
        <w:t xml:space="preserve">must be </w:t>
      </w:r>
      <w:r w:rsidR="00C45083">
        <w:t>considered</w:t>
      </w:r>
      <w:r w:rsidR="00655E26">
        <w:t>.</w:t>
      </w:r>
    </w:p>
    <w:p w14:paraId="6AD715B2" w14:textId="0C2B3060" w:rsidR="00D57205" w:rsidRDefault="00D57205" w:rsidP="0000588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57205" w14:paraId="4C2F8671" w14:textId="77777777" w:rsidTr="00A23812">
        <w:trPr>
          <w:tblHeader/>
        </w:trPr>
        <w:tc>
          <w:tcPr>
            <w:tcW w:w="5000" w:type="pct"/>
            <w:tcBorders>
              <w:top w:val="single" w:sz="6" w:space="0" w:color="78A22F"/>
              <w:left w:val="nil"/>
              <w:bottom w:val="nil"/>
              <w:right w:val="nil"/>
            </w:tcBorders>
            <w:shd w:val="clear" w:color="auto" w:fill="auto"/>
          </w:tcPr>
          <w:p w14:paraId="2FF103E7" w14:textId="4C7864AD" w:rsidR="00D57205" w:rsidRPr="00176D3F" w:rsidRDefault="00D57205" w:rsidP="003A0D21">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D2773">
              <w:rPr>
                <w:b w:val="0"/>
                <w:noProof/>
              </w:rPr>
              <w:t>2</w:t>
            </w:r>
            <w:r w:rsidRPr="00784A05">
              <w:rPr>
                <w:b w:val="0"/>
              </w:rPr>
              <w:fldChar w:fldCharType="end"/>
            </w:r>
            <w:r>
              <w:tab/>
              <w:t xml:space="preserve">Scree plot </w:t>
            </w:r>
            <w:r w:rsidR="003A0D21">
              <w:t>example</w:t>
            </w:r>
          </w:p>
        </w:tc>
      </w:tr>
      <w:tr w:rsidR="00D57205" w14:paraId="7F1A871E" w14:textId="77777777" w:rsidTr="00A2381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D57205" w:rsidRPr="00B1465D" w14:paraId="3FC6F355" w14:textId="77777777" w:rsidTr="00A23812">
              <w:trPr>
                <w:tblHeader/>
                <w:jc w:val="center"/>
              </w:trPr>
              <w:tc>
                <w:tcPr>
                  <w:tcW w:w="5000" w:type="pct"/>
                  <w:tcBorders>
                    <w:top w:val="nil"/>
                    <w:bottom w:val="nil"/>
                  </w:tcBorders>
                </w:tcPr>
                <w:p w14:paraId="56456881" w14:textId="00B0ACCA" w:rsidR="00D57205" w:rsidRPr="00B1465D" w:rsidRDefault="00401907" w:rsidP="00E72E44">
                  <w:pPr>
                    <w:pStyle w:val="Figure"/>
                    <w:spacing w:before="0" w:after="60"/>
                    <w:rPr>
                      <w:rFonts w:ascii="Arial" w:hAnsi="Arial" w:cs="Arial"/>
                      <w:sz w:val="18"/>
                      <w:szCs w:val="18"/>
                    </w:rPr>
                  </w:pPr>
                  <w:r>
                    <w:rPr>
                      <w:rFonts w:ascii="Arial" w:hAnsi="Arial" w:cs="Arial"/>
                      <w:noProof/>
                      <w:sz w:val="18"/>
                      <w:szCs w:val="18"/>
                    </w:rPr>
                    <w:drawing>
                      <wp:inline distT="0" distB="0" distL="0" distR="0" wp14:anchorId="14E168B9" wp14:editId="2D139D3C">
                        <wp:extent cx="5400361" cy="2879910"/>
                        <wp:effectExtent l="0" t="0" r="0" b="0"/>
                        <wp:docPr id="9" name="Picture 9" descr="This chart shows an example of a scree plot, which is a line chart with the horizontal axis showing the principal component number and the y axis showing the eigenvalue. The first principal component has an eigenvalue of close to 5, and then drops sharply to just over 1 for the second principal component. The remaining principal components all have eigenvalues less than 1. Therefore the ‘bend’ occurs just after the first principal component, and this would be the only component that would be retained in the analysis according to the scree test." title="Scree plot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scree.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00361" cy="2879910"/>
                                </a:xfrm>
                                <a:prstGeom prst="rect">
                                  <a:avLst/>
                                </a:prstGeom>
                              </pic:spPr>
                            </pic:pic>
                          </a:graphicData>
                        </a:graphic>
                      </wp:inline>
                    </w:drawing>
                  </w:r>
                </w:p>
              </w:tc>
            </w:tr>
          </w:tbl>
          <w:p w14:paraId="4E71CEE2" w14:textId="77777777" w:rsidR="00D57205" w:rsidRDefault="00D57205" w:rsidP="00005882">
            <w:pPr>
              <w:pStyle w:val="Figure"/>
            </w:pPr>
          </w:p>
        </w:tc>
      </w:tr>
      <w:tr w:rsidR="00D57205" w14:paraId="39343E18" w14:textId="77777777" w:rsidTr="00A23812">
        <w:tc>
          <w:tcPr>
            <w:tcW w:w="5000" w:type="pct"/>
            <w:tcBorders>
              <w:top w:val="nil"/>
              <w:left w:val="nil"/>
              <w:bottom w:val="single" w:sz="6" w:space="0" w:color="78A22F"/>
              <w:right w:val="nil"/>
            </w:tcBorders>
            <w:shd w:val="clear" w:color="auto" w:fill="auto"/>
          </w:tcPr>
          <w:p w14:paraId="7AEEE0D5" w14:textId="77777777" w:rsidR="00D57205" w:rsidRDefault="00D57205" w:rsidP="00005882">
            <w:pPr>
              <w:pStyle w:val="Figurespace"/>
            </w:pPr>
          </w:p>
        </w:tc>
      </w:tr>
      <w:tr w:rsidR="00D57205" w:rsidRPr="000863A5" w14:paraId="1F5C516A" w14:textId="77777777" w:rsidTr="00A23812">
        <w:tc>
          <w:tcPr>
            <w:tcW w:w="5000" w:type="pct"/>
            <w:tcBorders>
              <w:top w:val="single" w:sz="6" w:space="0" w:color="78A22F"/>
              <w:left w:val="nil"/>
              <w:bottom w:val="nil"/>
              <w:right w:val="nil"/>
            </w:tcBorders>
          </w:tcPr>
          <w:p w14:paraId="243EFC28" w14:textId="45D4E31C" w:rsidR="00D57205" w:rsidRPr="00626D32" w:rsidRDefault="00D57205" w:rsidP="00005882">
            <w:pPr>
              <w:pStyle w:val="BoxSpaceBelow"/>
            </w:pPr>
          </w:p>
        </w:tc>
      </w:tr>
    </w:tbl>
    <w:p w14:paraId="7087945D" w14:textId="416251C9" w:rsidR="00707562" w:rsidRDefault="00707562" w:rsidP="006175AE">
      <w:pPr>
        <w:pStyle w:val="Heading5"/>
      </w:pPr>
      <w:r>
        <w:t>Eigenvalue</w:t>
      </w:r>
      <w:r w:rsidR="00E94B47">
        <w:noBreakHyphen/>
      </w:r>
      <w:r>
        <w:t>one</w:t>
      </w:r>
    </w:p>
    <w:p w14:paraId="7C49AB40" w14:textId="61430C63" w:rsidR="00655E26" w:rsidRDefault="00691DDB" w:rsidP="00F0512B">
      <w:pPr>
        <w:pStyle w:val="BodyText"/>
      </w:pPr>
      <w:r>
        <w:t>The second criterion</w:t>
      </w:r>
      <w:r w:rsidR="00022FA3">
        <w:t xml:space="preserve"> </w:t>
      </w:r>
      <w:r w:rsidR="00D04209">
        <w:t xml:space="preserve">is to </w:t>
      </w:r>
      <w:r>
        <w:t xml:space="preserve">retain components with eigenvalues greater than one. Each </w:t>
      </w:r>
      <w:r w:rsidR="00831083">
        <w:t xml:space="preserve">standardised </w:t>
      </w:r>
      <w:r>
        <w:t xml:space="preserve">observed variable contributes </w:t>
      </w:r>
      <w:r w:rsidR="00BA637A">
        <w:t xml:space="preserve">a unit of variance to the total variance in the dataset, so any principal component that has an eigenvalue greater than one contributes more than an observed variable. </w:t>
      </w:r>
      <w:r w:rsidR="007D44BA">
        <w:t>Applying this criterion to the example used for figure</w:t>
      </w:r>
      <w:r w:rsidR="008B66ED">
        <w:t> </w:t>
      </w:r>
      <w:r w:rsidR="007D44BA">
        <w:t>2, the first two principal components would be retained</w:t>
      </w:r>
      <w:r w:rsidR="008423F0">
        <w:t xml:space="preserve"> because they have eigenvalues </w:t>
      </w:r>
      <w:r w:rsidR="003E77BD">
        <w:t>greater than one (</w:t>
      </w:r>
      <w:r w:rsidR="0041314D">
        <w:t xml:space="preserve">as shown by </w:t>
      </w:r>
      <w:r w:rsidR="008423F0">
        <w:t>the dashed line</w:t>
      </w:r>
      <w:r w:rsidR="003E77BD">
        <w:t>)</w:t>
      </w:r>
      <w:r w:rsidR="007D44BA">
        <w:t>.</w:t>
      </w:r>
    </w:p>
    <w:p w14:paraId="7776C0E4" w14:textId="6DED1736" w:rsidR="008361A0" w:rsidRDefault="008361A0" w:rsidP="006175AE">
      <w:pPr>
        <w:pStyle w:val="Heading5"/>
      </w:pPr>
      <w:r>
        <w:t xml:space="preserve">Cumulative proportion of variance explained </w:t>
      </w:r>
    </w:p>
    <w:p w14:paraId="62701A8C" w14:textId="666F2015" w:rsidR="000A2017" w:rsidRDefault="00BA637A" w:rsidP="00F0512B">
      <w:pPr>
        <w:pStyle w:val="BodyText"/>
      </w:pPr>
      <w:r>
        <w:t xml:space="preserve">The third criterion </w:t>
      </w:r>
      <w:r w:rsidR="00022FA3">
        <w:t>involve</w:t>
      </w:r>
      <w:r w:rsidR="008361A0">
        <w:t>s</w:t>
      </w:r>
      <w:r w:rsidR="00022FA3">
        <w:t xml:space="preserve"> retaining components </w:t>
      </w:r>
      <w:r w:rsidR="000A2017">
        <w:t>until</w:t>
      </w:r>
      <w:r w:rsidR="00022FA3">
        <w:t xml:space="preserve"> the cumulative proportion of variance explained </w:t>
      </w:r>
      <w:r w:rsidR="000A2017">
        <w:t xml:space="preserve">is </w:t>
      </w:r>
      <w:r w:rsidR="00022FA3">
        <w:t>greater than a given threshold</w:t>
      </w:r>
      <w:r w:rsidR="00784377">
        <w:t>, usually 70 or 80 per cent</w:t>
      </w:r>
      <w:r w:rsidR="00106FB2">
        <w:t xml:space="preserve"> </w:t>
      </w:r>
      <w:r w:rsidR="00106FB2" w:rsidRPr="00106FB2">
        <w:rPr>
          <w:szCs w:val="24"/>
        </w:rPr>
        <w:t>(O</w:t>
      </w:r>
      <w:r w:rsidR="00106FB2" w:rsidRPr="005D12D9">
        <w:rPr>
          <w:szCs w:val="24"/>
        </w:rPr>
        <w:t>’Rourke and Hatcher 2013, p.</w:t>
      </w:r>
      <w:r w:rsidR="00106FB2" w:rsidRPr="00000CDD">
        <w:rPr>
          <w:szCs w:val="24"/>
        </w:rPr>
        <w:t> 19)</w:t>
      </w:r>
      <w:r w:rsidR="001A4055">
        <w:t xml:space="preserve">. </w:t>
      </w:r>
      <w:r w:rsidR="00CE3E2E">
        <w:t>Applying this to the example in table</w:t>
      </w:r>
      <w:r w:rsidR="008B66ED">
        <w:t> </w:t>
      </w:r>
      <w:r w:rsidR="00CE3E2E">
        <w:t xml:space="preserve">1, the first principal component </w:t>
      </w:r>
      <w:r w:rsidR="006767F8">
        <w:t>would be retained</w:t>
      </w:r>
      <w:r w:rsidR="000F6474">
        <w:t xml:space="preserve"> because it </w:t>
      </w:r>
      <w:r w:rsidR="001103A8">
        <w:t xml:space="preserve">alone </w:t>
      </w:r>
      <w:r w:rsidR="000F6474">
        <w:t xml:space="preserve">captures </w:t>
      </w:r>
      <w:r w:rsidR="003000E8">
        <w:t>97</w:t>
      </w:r>
      <w:r w:rsidR="000F6474">
        <w:t xml:space="preserve"> per cent of the total variation</w:t>
      </w:r>
      <w:r w:rsidR="006767F8">
        <w:t>.</w:t>
      </w:r>
    </w:p>
    <w:p w14:paraId="2E53DC06" w14:textId="4C7A4C57" w:rsidR="00BA637A" w:rsidRDefault="000A2017" w:rsidP="006175AE">
      <w:pPr>
        <w:pStyle w:val="Heading5"/>
      </w:pPr>
      <w:r>
        <w:t>Interpretability</w:t>
      </w:r>
    </w:p>
    <w:p w14:paraId="75DCC5B1" w14:textId="11AE111B" w:rsidR="00D03272" w:rsidRDefault="00D03272" w:rsidP="00F0512B">
      <w:pPr>
        <w:pStyle w:val="BodyText"/>
      </w:pPr>
      <w:r>
        <w:t xml:space="preserve">Finally, </w:t>
      </w:r>
      <w:r w:rsidR="001C1BC4">
        <w:t xml:space="preserve">the interpretability of components </w:t>
      </w:r>
      <w:r w:rsidR="000A2017">
        <w:t xml:space="preserve">needs to be </w:t>
      </w:r>
      <w:r w:rsidR="001C1BC4">
        <w:t xml:space="preserve">considered. </w:t>
      </w:r>
      <w:r w:rsidR="00C04A8B">
        <w:t xml:space="preserve">Principal components </w:t>
      </w:r>
      <w:r w:rsidR="00CE3E2E">
        <w:t xml:space="preserve">are </w:t>
      </w:r>
      <w:r w:rsidR="00C04A8B">
        <w:t xml:space="preserve">retained if the main factors </w:t>
      </w:r>
      <w:r w:rsidR="00522D6F">
        <w:t xml:space="preserve">contributing </w:t>
      </w:r>
      <w:r w:rsidR="00C04A8B">
        <w:t xml:space="preserve">to those components (the </w:t>
      </w:r>
      <w:r w:rsidR="00B44CD4">
        <w:t>variables</w:t>
      </w:r>
      <w:r w:rsidR="00C04A8B">
        <w:t xml:space="preserve"> with the largest weights</w:t>
      </w:r>
      <w:r w:rsidR="0068737A">
        <w:t xml:space="preserve"> or correlations</w:t>
      </w:r>
      <w:r w:rsidR="00C04A8B">
        <w:t xml:space="preserve">) </w:t>
      </w:r>
      <w:r w:rsidR="004321E7">
        <w:t xml:space="preserve">can </w:t>
      </w:r>
      <w:r w:rsidR="00C04A8B">
        <w:t xml:space="preserve">be interpreted in a meaningful way. </w:t>
      </w:r>
      <w:r w:rsidR="006C17E0">
        <w:t>As in the example in table</w:t>
      </w:r>
      <w:r w:rsidR="008B66ED">
        <w:t> </w:t>
      </w:r>
      <w:r w:rsidR="006C17E0">
        <w:t xml:space="preserve">1, the first principal component is highly correlated with both year 12 attainment and employment, and </w:t>
      </w:r>
      <w:r w:rsidR="007F5161">
        <w:t>could</w:t>
      </w:r>
      <w:r w:rsidR="006C17E0">
        <w:t xml:space="preserve"> be interpreted as a simple measure of human capital.</w:t>
      </w:r>
    </w:p>
    <w:p w14:paraId="2DB113D3" w14:textId="77777777" w:rsidR="001C1BC4" w:rsidRDefault="001C1BC4" w:rsidP="001C1BC4">
      <w:pPr>
        <w:pStyle w:val="Heading3"/>
      </w:pPr>
      <w:r>
        <w:lastRenderedPageBreak/>
        <w:t xml:space="preserve">Nested </w:t>
      </w:r>
      <w:proofErr w:type="spellStart"/>
      <w:r>
        <w:t>PCA</w:t>
      </w:r>
      <w:proofErr w:type="spellEnd"/>
      <w:r>
        <w:t xml:space="preserve"> and index construction</w:t>
      </w:r>
    </w:p>
    <w:p w14:paraId="3708111E" w14:textId="61C91257" w:rsidR="00725CBE" w:rsidRDefault="00F970A9" w:rsidP="00F0512B">
      <w:pPr>
        <w:pStyle w:val="BodyText"/>
      </w:pPr>
      <w:r>
        <w:t xml:space="preserve">A </w:t>
      </w:r>
      <w:r w:rsidR="004C3DF2">
        <w:t xml:space="preserve">nested </w:t>
      </w:r>
      <w:r w:rsidR="004B1111">
        <w:t>approach</w:t>
      </w:r>
      <w:r w:rsidR="004C3DF2">
        <w:t xml:space="preserve"> </w:t>
      </w:r>
      <w:r>
        <w:t xml:space="preserve">was used </w:t>
      </w:r>
      <w:r w:rsidR="004C3DF2">
        <w:t>to create</w:t>
      </w:r>
      <w:r w:rsidR="004B1111">
        <w:t xml:space="preserve"> the index of regional </w:t>
      </w:r>
      <w:r w:rsidR="00250ECE">
        <w:t>adaptive</w:t>
      </w:r>
      <w:r w:rsidR="004B1111">
        <w:t xml:space="preserve"> capacity. </w:t>
      </w:r>
      <w:proofErr w:type="spellStart"/>
      <w:r w:rsidR="00725CBE">
        <w:t>PCA</w:t>
      </w:r>
      <w:proofErr w:type="spellEnd"/>
      <w:r w:rsidR="00725CBE">
        <w:t xml:space="preserve"> </w:t>
      </w:r>
      <w:r w:rsidR="00720AF1">
        <w:t xml:space="preserve">was applied repeatedly to separate </w:t>
      </w:r>
      <w:r w:rsidR="00725CBE">
        <w:t xml:space="preserve">groups of variables, and </w:t>
      </w:r>
      <w:r w:rsidR="004D0D64">
        <w:t xml:space="preserve">a weighted sum of </w:t>
      </w:r>
      <w:r w:rsidR="00725CBE">
        <w:t xml:space="preserve">the retained components </w:t>
      </w:r>
      <w:r w:rsidR="004D0D64">
        <w:t xml:space="preserve">was used </w:t>
      </w:r>
      <w:r w:rsidR="00725CBE">
        <w:t>to form the index</w:t>
      </w:r>
      <w:r w:rsidR="00CD0364">
        <w:t xml:space="preserve">, </w:t>
      </w:r>
      <w:r w:rsidR="008B65CB">
        <w:t>resulting in</w:t>
      </w:r>
      <w:r w:rsidR="00720AF1">
        <w:t xml:space="preserve"> a score</w:t>
      </w:r>
      <w:r w:rsidR="00FB3FF4">
        <w:t xml:space="preserve"> for each region</w:t>
      </w:r>
      <w:r w:rsidR="00725CBE">
        <w:t>.</w:t>
      </w:r>
    </w:p>
    <w:p w14:paraId="26047A33" w14:textId="313040D9" w:rsidR="001C1BC4" w:rsidRDefault="00725CBE" w:rsidP="00F0512B">
      <w:pPr>
        <w:pStyle w:val="BodyText"/>
      </w:pPr>
      <w:r>
        <w:t xml:space="preserve">In particular, </w:t>
      </w:r>
      <w:proofErr w:type="spellStart"/>
      <w:r w:rsidR="005421D7">
        <w:t>PCAs</w:t>
      </w:r>
      <w:proofErr w:type="spellEnd"/>
      <w:r w:rsidR="005421D7">
        <w:t xml:space="preserve"> were conducted on </w:t>
      </w:r>
      <w:r w:rsidR="00800EA7">
        <w:t xml:space="preserve">groups of </w:t>
      </w:r>
      <w:r w:rsidR="005421D7">
        <w:t xml:space="preserve">variables </w:t>
      </w:r>
      <w:r w:rsidR="003B0369">
        <w:t>considered important to</w:t>
      </w:r>
      <w:r w:rsidR="005421D7">
        <w:t xml:space="preserve"> adaptive capacity,</w:t>
      </w:r>
      <w:r w:rsidR="004135A1">
        <w:t xml:space="preserve"> where variables were</w:t>
      </w:r>
      <w:r w:rsidR="005421D7">
        <w:t xml:space="preserve"> </w:t>
      </w:r>
      <w:r w:rsidR="00800EA7">
        <w:t>categorised</w:t>
      </w:r>
      <w:r w:rsidR="005421D7">
        <w:t xml:space="preserve"> </w:t>
      </w:r>
      <w:r w:rsidR="007C5643">
        <w:t>based on</w:t>
      </w:r>
      <w:r w:rsidR="005421D7">
        <w:t xml:space="preserve"> the five capitals framework described in chapter</w:t>
      </w:r>
      <w:r w:rsidR="00E94B47">
        <w:t> </w:t>
      </w:r>
      <w:r w:rsidR="005421D7">
        <w:t xml:space="preserve">2. </w:t>
      </w:r>
      <w:r>
        <w:t>S</w:t>
      </w:r>
      <w:r w:rsidR="004135A1">
        <w:t xml:space="preserve">eparate </w:t>
      </w:r>
      <w:proofErr w:type="spellStart"/>
      <w:r w:rsidR="004135A1">
        <w:t>PCAs</w:t>
      </w:r>
      <w:proofErr w:type="spellEnd"/>
      <w:r w:rsidR="004135A1">
        <w:t xml:space="preserve"> were performed on</w:t>
      </w:r>
      <w:r w:rsidR="0026632B">
        <w:t xml:space="preserve"> variables in each capital domain </w:t>
      </w:r>
      <w:r w:rsidR="00E7652D">
        <w:t xml:space="preserve">that consisted of more </w:t>
      </w:r>
      <w:r w:rsidR="00405324">
        <w:t xml:space="preserve">than one variable </w:t>
      </w:r>
      <w:r w:rsidR="0026632B">
        <w:t>—</w:t>
      </w:r>
      <w:r w:rsidR="004135A1">
        <w:t xml:space="preserve"> human, financial, natural and physical</w:t>
      </w:r>
      <w:r w:rsidR="0026632B">
        <w:t>.</w:t>
      </w:r>
      <w:r w:rsidR="00532BC0">
        <w:t xml:space="preserve"> </w:t>
      </w:r>
      <w:r w:rsidR="0026632B">
        <w:t>A</w:t>
      </w:r>
      <w:r w:rsidR="008D1306">
        <w:t xml:space="preserve"> number of </w:t>
      </w:r>
      <w:r w:rsidR="00532BC0">
        <w:t>principal components from these were retained (based on the criteria</w:t>
      </w:r>
      <w:r w:rsidR="005D12D9">
        <w:t xml:space="preserve"> described above</w:t>
      </w:r>
      <w:r w:rsidR="00532BC0">
        <w:t>)</w:t>
      </w:r>
      <w:r w:rsidR="0026632B">
        <w:t>.</w:t>
      </w:r>
      <w:r w:rsidR="00F4033C" w:rsidRPr="0012146C">
        <w:rPr>
          <w:rStyle w:val="FootnoteReference"/>
        </w:rPr>
        <w:footnoteReference w:id="2"/>
      </w:r>
      <w:r w:rsidR="004135A1">
        <w:t xml:space="preserve"> </w:t>
      </w:r>
      <w:r w:rsidR="008B0AB0">
        <w:t>In addition to the retained principal components, two other indicators were separately included in the index</w:t>
      </w:r>
      <w:r w:rsidR="00841DD6">
        <w:t xml:space="preserve"> — </w:t>
      </w:r>
      <w:r w:rsidR="00CB0BE9">
        <w:t>an</w:t>
      </w:r>
      <w:r w:rsidR="00841DD6">
        <w:t xml:space="preserve"> </w:t>
      </w:r>
      <w:r w:rsidR="004135A1">
        <w:t xml:space="preserve">indicator of social capital </w:t>
      </w:r>
      <w:r w:rsidR="00841DD6">
        <w:t>(measured by the rate of volunteering) and a measure of industry diversity.</w:t>
      </w:r>
      <w:r w:rsidR="00405324">
        <w:t xml:space="preserve"> Both of these indicators were </w:t>
      </w:r>
      <w:r w:rsidR="00841DD6">
        <w:t xml:space="preserve">also </w:t>
      </w:r>
      <w:r w:rsidR="00405324">
        <w:t>standardised.</w:t>
      </w:r>
      <w:r w:rsidR="00A7585F">
        <w:t xml:space="preserve"> </w:t>
      </w:r>
      <w:r w:rsidR="00E747A4">
        <w:t>T</w:t>
      </w:r>
      <w:r w:rsidR="009011F9">
        <w:t xml:space="preserve">he signs on </w:t>
      </w:r>
      <w:r w:rsidR="00E747A4">
        <w:t xml:space="preserve">these indicators and each retained principal </w:t>
      </w:r>
      <w:r w:rsidR="009011F9">
        <w:t xml:space="preserve">component were flipped where necessary so that </w:t>
      </w:r>
      <w:r w:rsidR="00496503">
        <w:t>a higher value indicated</w:t>
      </w:r>
      <w:r w:rsidR="00802328">
        <w:t xml:space="preserve"> greater adaptive capacity. </w:t>
      </w:r>
      <w:r w:rsidR="00AD5E20">
        <w:t>T</w:t>
      </w:r>
      <w:r w:rsidR="00405324">
        <w:t>he index</w:t>
      </w:r>
      <w:r w:rsidR="00072999">
        <w:t xml:space="preserve"> of adaptive capacity</w:t>
      </w:r>
      <w:r w:rsidR="00AD5E20">
        <w:t xml:space="preserve"> was a weighted sum of these</w:t>
      </w:r>
      <w:r w:rsidR="008C17F1">
        <w:t xml:space="preserve"> indicators and principal</w:t>
      </w:r>
      <w:r w:rsidR="00AD5E20">
        <w:t xml:space="preserve"> components</w:t>
      </w:r>
      <w:r w:rsidR="00E747A4">
        <w:t>.</w:t>
      </w:r>
    </w:p>
    <w:p w14:paraId="57A73888" w14:textId="774D1B52" w:rsidR="006120AD" w:rsidRDefault="002D7334" w:rsidP="008E2DED">
      <w:pPr>
        <w:pStyle w:val="BodyText"/>
      </w:pPr>
      <w:r>
        <w:t>Two</w:t>
      </w:r>
      <w:r w:rsidR="00CA15D7">
        <w:t xml:space="preserve"> </w:t>
      </w:r>
      <w:r>
        <w:t>judgments</w:t>
      </w:r>
      <w:r w:rsidR="001739B8">
        <w:t xml:space="preserve"> </w:t>
      </w:r>
      <w:r w:rsidR="00A83EBB">
        <w:t xml:space="preserve">were made in constructing the index. </w:t>
      </w:r>
    </w:p>
    <w:p w14:paraId="50F9A745" w14:textId="4949FF4E" w:rsidR="008E2DED" w:rsidRDefault="00A83EBB" w:rsidP="003E4366">
      <w:pPr>
        <w:pStyle w:val="BodyText"/>
      </w:pPr>
      <w:r>
        <w:t xml:space="preserve">The </w:t>
      </w:r>
      <w:r w:rsidR="008E2DED">
        <w:t xml:space="preserve">first concerned the weighting of each retained component within each capital domain. These were weighted according to the relative shares of variance explained by the components in the relevant </w:t>
      </w:r>
      <w:proofErr w:type="spellStart"/>
      <w:r w:rsidR="008E2DED">
        <w:t>PCA</w:t>
      </w:r>
      <w:proofErr w:type="spellEnd"/>
      <w:r w:rsidR="008E2DED">
        <w:t xml:space="preserve">. For example, if the first two </w:t>
      </w:r>
      <w:r w:rsidR="008E2DED" w:rsidRPr="00043AF9">
        <w:t xml:space="preserve">human capital components were retained for the index, and these accounted for 60 and 20 per cent of the total variance in human capital factors respectively, then the first component was given a weight of </w:t>
      </w:r>
      <m:oMath>
        <m:r>
          <w:rPr>
            <w:rFonts w:ascii="Cambria Math" w:hAnsi="Cambria Math"/>
          </w:rPr>
          <m:t>0.6/(0.6+0.2)=0.75</m:t>
        </m:r>
      </m:oMath>
      <w:r w:rsidR="008E2DED" w:rsidRPr="00043AF9">
        <w:t xml:space="preserve">, and the second component was given a weight of </w:t>
      </w:r>
      <m:oMath>
        <m:r>
          <w:rPr>
            <w:rFonts w:ascii="Cambria Math" w:hAnsi="Cambria Math"/>
          </w:rPr>
          <m:t>0.25</m:t>
        </m:r>
      </m:oMath>
      <w:r w:rsidR="008E2DED" w:rsidRPr="00043AF9">
        <w:t xml:space="preserve"> for the human capital domain. </w:t>
      </w:r>
      <w:r w:rsidR="003A51E9">
        <w:t>(The actual weights are presented in section</w:t>
      </w:r>
      <w:r w:rsidR="008B66ED">
        <w:t> </w:t>
      </w:r>
      <w:r w:rsidR="003A51E9">
        <w:t>3</w:t>
      </w:r>
      <w:r w:rsidR="00DC73AC">
        <w:t>.</w:t>
      </w:r>
      <w:r w:rsidR="003A51E9">
        <w:t xml:space="preserve">) </w:t>
      </w:r>
      <w:r w:rsidR="008E2DED" w:rsidRPr="00043AF9">
        <w:t xml:space="preserve">This weighting approach ensures that the factors that </w:t>
      </w:r>
      <w:r w:rsidR="008E2DED">
        <w:t>were</w:t>
      </w:r>
      <w:r w:rsidR="008E2DED" w:rsidRPr="00043AF9">
        <w:t xml:space="preserve"> more</w:t>
      </w:r>
      <w:r w:rsidR="008E2DED">
        <w:t xml:space="preserve"> important to a particular domain (represented by the first principal component) made a greater contribution to the index than other factors within that domain (represented in other retained components).</w:t>
      </w:r>
    </w:p>
    <w:p w14:paraId="5568B4B5" w14:textId="4AA58E39" w:rsidR="00D1431C" w:rsidRDefault="008E2DED" w:rsidP="003E4366">
      <w:pPr>
        <w:pStyle w:val="BodyText"/>
      </w:pPr>
      <w:r>
        <w:t xml:space="preserve">The second decision </w:t>
      </w:r>
      <w:r w:rsidR="00A83EBB">
        <w:t xml:space="preserve">involved weighting each of the five capitals and industry diversity in the index. </w:t>
      </w:r>
      <w:r w:rsidR="00EE4404">
        <w:t xml:space="preserve">Noble et al. </w:t>
      </w:r>
      <w:r w:rsidR="00C5621B" w:rsidRPr="00C5621B">
        <w:t>(2003)</w:t>
      </w:r>
      <w:r w:rsidR="00EE4404">
        <w:t xml:space="preserve"> describe </w:t>
      </w:r>
      <w:r w:rsidR="0065376C">
        <w:t xml:space="preserve">various </w:t>
      </w:r>
      <w:r w:rsidR="00EE4404">
        <w:t xml:space="preserve">possible approaches to weighting </w:t>
      </w:r>
      <w:r w:rsidR="00C13F31">
        <w:t>scores</w:t>
      </w:r>
      <w:r w:rsidR="00EE4404">
        <w:t xml:space="preserve"> across different domains to form an aggregate index</w:t>
      </w:r>
      <w:r w:rsidR="00802328">
        <w:t>. These</w:t>
      </w:r>
      <w:r w:rsidR="00EE4404">
        <w:t xml:space="preserve"> </w:t>
      </w:r>
      <w:r w:rsidR="00802328">
        <w:t>include</w:t>
      </w:r>
      <w:r w:rsidR="00EE4404">
        <w:t xml:space="preserve"> approaches </w:t>
      </w:r>
      <w:r w:rsidR="00D1431C">
        <w:t xml:space="preserve">driven </w:t>
      </w:r>
      <w:r w:rsidR="00EE4404">
        <w:t>by theory, empirics, policy relevance and consensus</w:t>
      </w:r>
      <w:r w:rsidR="0020712B">
        <w:t xml:space="preserve"> of opinion</w:t>
      </w:r>
      <w:r w:rsidR="00EE4404">
        <w:t xml:space="preserve">. </w:t>
      </w:r>
      <w:r w:rsidR="00D36124">
        <w:t xml:space="preserve">The relative importance of a type of capital to </w:t>
      </w:r>
      <w:r w:rsidR="0048221E">
        <w:t xml:space="preserve">a region’s adaptive capacity </w:t>
      </w:r>
      <w:r w:rsidR="00D36124">
        <w:t>is likely to differ depending on the type of shock that it is adjusting to.</w:t>
      </w:r>
      <w:r w:rsidR="00B2111A">
        <w:t xml:space="preserve"> </w:t>
      </w:r>
      <w:r w:rsidR="00DF402D">
        <w:t>B</w:t>
      </w:r>
      <w:r w:rsidR="00B2111A">
        <w:t xml:space="preserve">alance between the five capitals </w:t>
      </w:r>
      <w:r w:rsidR="000016C0">
        <w:t>is</w:t>
      </w:r>
      <w:r w:rsidR="004E090A">
        <w:t xml:space="preserve"> also</w:t>
      </w:r>
      <w:r w:rsidR="000016C0">
        <w:t xml:space="preserve"> </w:t>
      </w:r>
      <w:r w:rsidR="00A506DD">
        <w:t xml:space="preserve">an </w:t>
      </w:r>
      <w:r w:rsidR="000016C0">
        <w:t xml:space="preserve">important </w:t>
      </w:r>
      <w:r w:rsidR="00A506DD">
        <w:t xml:space="preserve">consideration </w:t>
      </w:r>
      <w:r w:rsidR="00794D82">
        <w:t xml:space="preserve">because minimum levels of one capital type might be </w:t>
      </w:r>
      <w:r w:rsidR="000016C0">
        <w:t>needed</w:t>
      </w:r>
      <w:r w:rsidR="00794D82">
        <w:t xml:space="preserve"> to effective</w:t>
      </w:r>
      <w:r w:rsidR="00F55CE3">
        <w:t>ly</w:t>
      </w:r>
      <w:r w:rsidR="00794D82">
        <w:t xml:space="preserve"> use another type </w:t>
      </w:r>
      <w:r w:rsidR="00DE6020" w:rsidRPr="00DE6020">
        <w:rPr>
          <w:szCs w:val="24"/>
        </w:rPr>
        <w:t>(Nelson et al. </w:t>
      </w:r>
      <w:r w:rsidR="00DE6020" w:rsidRPr="000016C0">
        <w:rPr>
          <w:szCs w:val="24"/>
        </w:rPr>
        <w:t>2009, p. 20)</w:t>
      </w:r>
      <w:r w:rsidR="00794D82">
        <w:t>.</w:t>
      </w:r>
      <w:r w:rsidR="00B2111A">
        <w:t xml:space="preserve"> </w:t>
      </w:r>
      <w:r w:rsidR="004E090A">
        <w:t xml:space="preserve">For these reasons, each domain was equally weighted. In effect, this means that each domain was summed. </w:t>
      </w:r>
      <w:r w:rsidR="00D1431C">
        <w:t xml:space="preserve">Equal weighting approaches have been used in many other studies </w:t>
      </w:r>
      <w:r w:rsidR="003D0744">
        <w:t xml:space="preserve">that construct </w:t>
      </w:r>
      <w:r w:rsidR="00D1431C">
        <w:t>indexes</w:t>
      </w:r>
      <w:r w:rsidR="003D0744">
        <w:t xml:space="preserve"> of similar concepts (for example</w:t>
      </w:r>
      <w:r w:rsidR="002760EB">
        <w:t xml:space="preserve">, </w:t>
      </w:r>
      <w:r w:rsidR="002055A5">
        <w:lastRenderedPageBreak/>
        <w:t xml:space="preserve">in creating </w:t>
      </w:r>
      <w:r w:rsidR="002760EB">
        <w:t xml:space="preserve">an index of </w:t>
      </w:r>
      <w:r w:rsidR="00B3558A">
        <w:t>potential community economic resilience</w:t>
      </w:r>
      <w:r w:rsidR="002760EB">
        <w:t xml:space="preserve"> </w:t>
      </w:r>
      <w:r w:rsidR="002760EB" w:rsidRPr="002760EB">
        <w:rPr>
          <w:szCs w:val="24"/>
        </w:rPr>
        <w:t>(</w:t>
      </w:r>
      <w:proofErr w:type="spellStart"/>
      <w:r w:rsidR="002760EB" w:rsidRPr="002760EB">
        <w:rPr>
          <w:szCs w:val="24"/>
        </w:rPr>
        <w:t>Dinh</w:t>
      </w:r>
      <w:proofErr w:type="spellEnd"/>
      <w:r w:rsidR="002760EB" w:rsidRPr="002760EB">
        <w:rPr>
          <w:szCs w:val="24"/>
        </w:rPr>
        <w:t xml:space="preserve"> et al. 2016)</w:t>
      </w:r>
      <w:r w:rsidR="002760EB">
        <w:t xml:space="preserve"> and </w:t>
      </w:r>
      <w:r w:rsidR="00B3558A">
        <w:t xml:space="preserve">an index of community vulnerability </w:t>
      </w:r>
      <w:r w:rsidR="009544A2" w:rsidRPr="009544A2">
        <w:rPr>
          <w:szCs w:val="24"/>
        </w:rPr>
        <w:t>(</w:t>
      </w:r>
      <w:proofErr w:type="spellStart"/>
      <w:r w:rsidR="009544A2" w:rsidRPr="009544A2">
        <w:rPr>
          <w:szCs w:val="24"/>
        </w:rPr>
        <w:t>ABARE</w:t>
      </w:r>
      <w:proofErr w:type="spellEnd"/>
      <w:r w:rsidR="009544A2" w:rsidRPr="009544A2">
        <w:rPr>
          <w:szCs w:val="24"/>
        </w:rPr>
        <w:t>–</w:t>
      </w:r>
      <w:proofErr w:type="spellStart"/>
      <w:r w:rsidR="009544A2" w:rsidRPr="009544A2">
        <w:rPr>
          <w:szCs w:val="24"/>
        </w:rPr>
        <w:t>BRS</w:t>
      </w:r>
      <w:proofErr w:type="spellEnd"/>
      <w:r w:rsidR="009544A2" w:rsidRPr="009544A2">
        <w:rPr>
          <w:szCs w:val="24"/>
        </w:rPr>
        <w:t> 2010)</w:t>
      </w:r>
      <w:r w:rsidR="003D0744" w:rsidRPr="003D0744">
        <w:t>)</w:t>
      </w:r>
      <w:r w:rsidR="00D1431C">
        <w:t xml:space="preserve">. </w:t>
      </w:r>
    </w:p>
    <w:p w14:paraId="26C2FE53" w14:textId="2B31C07F" w:rsidR="009011F9" w:rsidRDefault="009011F9" w:rsidP="009011F9">
      <w:pPr>
        <w:pStyle w:val="BodyText"/>
      </w:pPr>
      <w:r>
        <w:t xml:space="preserve">The separate </w:t>
      </w:r>
      <w:r w:rsidR="00150DE3">
        <w:t>domains and weight</w:t>
      </w:r>
      <w:r w:rsidR="006F7C1C">
        <w:t>ing approaches</w:t>
      </w:r>
      <w:r w:rsidR="00150DE3">
        <w:t xml:space="preserve"> used </w:t>
      </w:r>
      <w:r w:rsidR="001B595D">
        <w:t>in the adaptive capacity</w:t>
      </w:r>
      <w:r>
        <w:t xml:space="preserve"> </w:t>
      </w:r>
      <w:r w:rsidR="001B595D">
        <w:t xml:space="preserve">index </w:t>
      </w:r>
      <w:r>
        <w:t xml:space="preserve">are summarised in </w:t>
      </w:r>
      <w:r w:rsidR="001B595D">
        <w:t>figure</w:t>
      </w:r>
      <w:r w:rsidR="00D7479F">
        <w:t> </w:t>
      </w:r>
      <w:r w:rsidR="00D318D3">
        <w:t>3</w:t>
      </w:r>
      <w:r>
        <w:t>.</w:t>
      </w:r>
    </w:p>
    <w:p w14:paraId="2C17315B" w14:textId="06FCA96E" w:rsidR="00D53154" w:rsidRDefault="00D53154" w:rsidP="00D5315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53154" w14:paraId="2AE438E8" w14:textId="77777777" w:rsidTr="00A23812">
        <w:trPr>
          <w:tblHeader/>
        </w:trPr>
        <w:tc>
          <w:tcPr>
            <w:tcW w:w="5000" w:type="pct"/>
            <w:tcBorders>
              <w:top w:val="single" w:sz="6" w:space="0" w:color="78A22F"/>
              <w:left w:val="nil"/>
              <w:bottom w:val="nil"/>
              <w:right w:val="nil"/>
            </w:tcBorders>
            <w:shd w:val="clear" w:color="auto" w:fill="auto"/>
          </w:tcPr>
          <w:p w14:paraId="10CD312D" w14:textId="2EB2923E" w:rsidR="00D53154" w:rsidRPr="00176D3F" w:rsidRDefault="00D53154" w:rsidP="00703415">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D2773">
              <w:rPr>
                <w:b w:val="0"/>
                <w:noProof/>
              </w:rPr>
              <w:t>3</w:t>
            </w:r>
            <w:r w:rsidRPr="00784A05">
              <w:rPr>
                <w:b w:val="0"/>
              </w:rPr>
              <w:fldChar w:fldCharType="end"/>
            </w:r>
            <w:r>
              <w:tab/>
              <w:t xml:space="preserve">Weighting </w:t>
            </w:r>
            <w:r w:rsidR="00703415">
              <w:t xml:space="preserve">factors </w:t>
            </w:r>
            <w:r>
              <w:t>in the adaptive capacity index</w:t>
            </w:r>
          </w:p>
        </w:tc>
      </w:tr>
      <w:tr w:rsidR="00D53154" w14:paraId="7A3007E1" w14:textId="77777777" w:rsidTr="00A2381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D53154" w:rsidRPr="00B1465D" w14:paraId="7C1DFA2D" w14:textId="77777777" w:rsidTr="00A23812">
              <w:trPr>
                <w:tblHeader/>
                <w:jc w:val="center"/>
              </w:trPr>
              <w:tc>
                <w:tcPr>
                  <w:tcW w:w="5000" w:type="pct"/>
                  <w:tcBorders>
                    <w:top w:val="nil"/>
                    <w:bottom w:val="nil"/>
                  </w:tcBorders>
                </w:tcPr>
                <w:p w14:paraId="1067E08B" w14:textId="77777777" w:rsidR="00D53154" w:rsidRPr="00B1465D" w:rsidRDefault="00D53154" w:rsidP="006367E2">
                  <w:pPr>
                    <w:pStyle w:val="Figure"/>
                    <w:spacing w:before="60" w:after="60"/>
                    <w:rPr>
                      <w:rFonts w:ascii="Arial" w:hAnsi="Arial" w:cs="Arial"/>
                      <w:sz w:val="18"/>
                      <w:szCs w:val="18"/>
                    </w:rPr>
                  </w:pPr>
                  <w:r>
                    <w:rPr>
                      <w:rFonts w:ascii="Arial" w:hAnsi="Arial" w:cs="Arial"/>
                      <w:noProof/>
                      <w:sz w:val="18"/>
                      <w:szCs w:val="18"/>
                    </w:rPr>
                    <w:drawing>
                      <wp:inline distT="0" distB="0" distL="0" distR="0" wp14:anchorId="429A35B5" wp14:editId="33B2625F">
                        <wp:extent cx="5394960" cy="1889760"/>
                        <wp:effectExtent l="0" t="0" r="0" b="0"/>
                        <wp:docPr id="5" name="Picture 5" descr="This diagram shows how factors are weighted in the adaptive capacity index. For human capital, financial capital, natural capital and physical capital, the retained principal components are weighted by their respective proportions of variance explained. Then each of the capital domains (including social capital) and industry diversity are equally weighted to form the adaptive capacity index." title="Weighting factors in the adaptive capacity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94960" cy="1889760"/>
                                </a:xfrm>
                                <a:prstGeom prst="rect">
                                  <a:avLst/>
                                </a:prstGeom>
                                <a:noFill/>
                                <a:ln>
                                  <a:noFill/>
                                </a:ln>
                              </pic:spPr>
                            </pic:pic>
                          </a:graphicData>
                        </a:graphic>
                      </wp:inline>
                    </w:drawing>
                  </w:r>
                </w:p>
              </w:tc>
            </w:tr>
          </w:tbl>
          <w:p w14:paraId="25138DB4" w14:textId="77777777" w:rsidR="00D53154" w:rsidRDefault="00D53154" w:rsidP="006367E2">
            <w:pPr>
              <w:pStyle w:val="Figure"/>
            </w:pPr>
          </w:p>
        </w:tc>
      </w:tr>
      <w:tr w:rsidR="00D53154" w14:paraId="62E93C76" w14:textId="77777777" w:rsidTr="00A23812">
        <w:tc>
          <w:tcPr>
            <w:tcW w:w="5000" w:type="pct"/>
            <w:tcBorders>
              <w:top w:val="nil"/>
              <w:left w:val="nil"/>
              <w:bottom w:val="single" w:sz="6" w:space="0" w:color="78A22F"/>
              <w:right w:val="nil"/>
            </w:tcBorders>
            <w:shd w:val="clear" w:color="auto" w:fill="auto"/>
          </w:tcPr>
          <w:p w14:paraId="5C0264FE" w14:textId="77777777" w:rsidR="00D53154" w:rsidRDefault="00D53154" w:rsidP="006367E2">
            <w:pPr>
              <w:pStyle w:val="Figurespace"/>
            </w:pPr>
          </w:p>
        </w:tc>
      </w:tr>
      <w:tr w:rsidR="00D53154" w:rsidRPr="000863A5" w14:paraId="2067A10D" w14:textId="77777777" w:rsidTr="00A23812">
        <w:tc>
          <w:tcPr>
            <w:tcW w:w="5000" w:type="pct"/>
            <w:tcBorders>
              <w:top w:val="single" w:sz="6" w:space="0" w:color="78A22F"/>
              <w:left w:val="nil"/>
              <w:bottom w:val="nil"/>
              <w:right w:val="nil"/>
            </w:tcBorders>
          </w:tcPr>
          <w:p w14:paraId="28C1730E" w14:textId="2E2364C7" w:rsidR="00D53154" w:rsidRPr="00626D32" w:rsidRDefault="00D53154" w:rsidP="006367E2">
            <w:pPr>
              <w:pStyle w:val="BoxSpaceBelow"/>
            </w:pPr>
          </w:p>
        </w:tc>
      </w:tr>
    </w:tbl>
    <w:p w14:paraId="567E3115" w14:textId="13A120A7" w:rsidR="00D53154" w:rsidRDefault="009A4E87" w:rsidP="00477CB9">
      <w:pPr>
        <w:pStyle w:val="Heading2"/>
      </w:pPr>
      <w:r>
        <w:fldChar w:fldCharType="begin"/>
      </w:r>
      <w:r>
        <w:instrText xml:space="preserve"> COMMENTS  \* MERGEFORMAT </w:instrText>
      </w:r>
      <w:r>
        <w:fldChar w:fldCharType="end"/>
      </w:r>
      <w:r w:rsidR="002D2773">
        <w:fldChar w:fldCharType="begin"/>
      </w:r>
      <w:r w:rsidR="002D2773">
        <w:instrText xml:space="preserve"> SEQ Heading2 </w:instrText>
      </w:r>
      <w:r w:rsidR="002D2773">
        <w:fldChar w:fldCharType="separate"/>
      </w:r>
      <w:r w:rsidR="002D2773">
        <w:rPr>
          <w:noProof/>
        </w:rPr>
        <w:t>2</w:t>
      </w:r>
      <w:r w:rsidR="002D2773">
        <w:rPr>
          <w:noProof/>
        </w:rPr>
        <w:fldChar w:fldCharType="end"/>
      </w:r>
      <w:r w:rsidR="00477CB9">
        <w:tab/>
        <w:t>Regional data and adaptive capacity indicators</w:t>
      </w:r>
    </w:p>
    <w:p w14:paraId="5EDDC2F7" w14:textId="101DA14D" w:rsidR="00AF6833" w:rsidRDefault="00AF6833" w:rsidP="00AF6833">
      <w:pPr>
        <w:pStyle w:val="BodyText"/>
      </w:pPr>
      <w:r>
        <w:t xml:space="preserve">In constructing the index, data </w:t>
      </w:r>
      <w:r w:rsidR="00814550">
        <w:t xml:space="preserve">were used </w:t>
      </w:r>
      <w:r>
        <w:t>that:</w:t>
      </w:r>
    </w:p>
    <w:p w14:paraId="241B4882" w14:textId="46D05C9D" w:rsidR="007E508A" w:rsidRDefault="007E508A" w:rsidP="00AF6833">
      <w:pPr>
        <w:pStyle w:val="ListBullet"/>
      </w:pPr>
      <w:r>
        <w:t>included indicators that were a measure or proxy measure of factors considered relevant to adaptive capacity</w:t>
      </w:r>
    </w:p>
    <w:p w14:paraId="5A72D383" w14:textId="096A780D" w:rsidR="00AF6833" w:rsidRDefault="00AF6833" w:rsidP="00AF6833">
      <w:pPr>
        <w:pStyle w:val="ListBullet"/>
      </w:pPr>
      <w:r>
        <w:t>covered all regions of Australia</w:t>
      </w:r>
    </w:p>
    <w:p w14:paraId="4F9FC423" w14:textId="4B75967F" w:rsidR="00AF6833" w:rsidRDefault="00AF6833" w:rsidP="00AF6833">
      <w:pPr>
        <w:pStyle w:val="ListBullet"/>
      </w:pPr>
      <w:r>
        <w:t>were sufficiently granular to enable the analysis of small</w:t>
      </w:r>
      <w:r w:rsidR="00CB0036">
        <w:t>er</w:t>
      </w:r>
      <w:r>
        <w:t xml:space="preserve"> regions (including those with small populations that might not be adequately captured in survey data)</w:t>
      </w:r>
    </w:p>
    <w:p w14:paraId="02293B4F" w14:textId="2EAD88FA" w:rsidR="00AF6833" w:rsidRDefault="00E417BD" w:rsidP="007E508A">
      <w:pPr>
        <w:pStyle w:val="ListBullet"/>
      </w:pPr>
      <w:r>
        <w:t>include</w:t>
      </w:r>
      <w:r w:rsidR="00CD6AE1">
        <w:t>d</w:t>
      </w:r>
      <w:r>
        <w:t xml:space="preserve"> indicators that were </w:t>
      </w:r>
      <w:r w:rsidR="00AF6833">
        <w:t xml:space="preserve">consistently defined </w:t>
      </w:r>
      <w:r>
        <w:t>across the regions.</w:t>
      </w:r>
    </w:p>
    <w:p w14:paraId="1D5605FD" w14:textId="020107FC" w:rsidR="00AA30FE" w:rsidRDefault="00AA30FE" w:rsidP="00AF6833">
      <w:pPr>
        <w:pStyle w:val="BodyText"/>
      </w:pPr>
      <w:r>
        <w:t xml:space="preserve">There are challenges in obtaining </w:t>
      </w:r>
      <w:r w:rsidR="00BB4C7B">
        <w:t xml:space="preserve">suitable </w:t>
      </w:r>
      <w:r w:rsidR="007848F0">
        <w:t xml:space="preserve">data on </w:t>
      </w:r>
      <w:r w:rsidR="004D1B0F">
        <w:t>regional</w:t>
      </w:r>
      <w:r w:rsidR="004D1B0F">
        <w:noBreakHyphen/>
        <w:t xml:space="preserve">level </w:t>
      </w:r>
      <w:r>
        <w:t>i</w:t>
      </w:r>
      <w:r w:rsidR="004D1B0F">
        <w:t>ndicators</w:t>
      </w:r>
      <w:r w:rsidR="00E417BD">
        <w:t xml:space="preserve"> that meet these criteria</w:t>
      </w:r>
      <w:r>
        <w:t xml:space="preserve">. Although various organisations and </w:t>
      </w:r>
      <w:r w:rsidR="00041842">
        <w:t xml:space="preserve">government </w:t>
      </w:r>
      <w:r>
        <w:t xml:space="preserve">departments collect data at a regional level, </w:t>
      </w:r>
      <w:r w:rsidR="00735160">
        <w:t>the</w:t>
      </w:r>
      <w:r w:rsidR="0002086D">
        <w:t>se</w:t>
      </w:r>
      <w:r w:rsidR="00735160">
        <w:t xml:space="preserve"> data </w:t>
      </w:r>
      <w:r>
        <w:t>are not necessarily consistent, both in terms of the geographical boundaries of regions and in the definition</w:t>
      </w:r>
      <w:r w:rsidR="005F784A">
        <w:t>s</w:t>
      </w:r>
      <w:r>
        <w:t xml:space="preserve"> of particular indicator</w:t>
      </w:r>
      <w:r w:rsidR="005F784A">
        <w:t>s</w:t>
      </w:r>
      <w:r>
        <w:t xml:space="preserve">. This limits the </w:t>
      </w:r>
      <w:r w:rsidR="00B66DC2">
        <w:t xml:space="preserve">data that can be included </w:t>
      </w:r>
      <w:r w:rsidR="006A2910">
        <w:t>with</w:t>
      </w:r>
      <w:r w:rsidR="00B66DC2">
        <w:t xml:space="preserve">in a single metric </w:t>
      </w:r>
      <w:r w:rsidR="00AC6AE0">
        <w:t>for</w:t>
      </w:r>
      <w:r w:rsidR="00B66DC2">
        <w:t xml:space="preserve"> </w:t>
      </w:r>
      <w:r w:rsidR="005657BB">
        <w:t xml:space="preserve">all </w:t>
      </w:r>
      <w:r w:rsidR="00B66DC2">
        <w:t xml:space="preserve">regions in Australia. </w:t>
      </w:r>
    </w:p>
    <w:p w14:paraId="1F2A204C" w14:textId="59BAC675" w:rsidR="00073E2B" w:rsidRDefault="00073E2B" w:rsidP="00B1313F">
      <w:pPr>
        <w:pStyle w:val="BodyText"/>
      </w:pPr>
      <w:r>
        <w:t xml:space="preserve">A key source of data that do meet these criteria </w:t>
      </w:r>
      <w:r w:rsidR="00F527CA">
        <w:t xml:space="preserve">is the ABS Census of Population and Housing. </w:t>
      </w:r>
      <w:r w:rsidR="00494053">
        <w:t xml:space="preserve">The most recently available </w:t>
      </w:r>
      <w:r w:rsidR="008B55A8">
        <w:t xml:space="preserve">Census data </w:t>
      </w:r>
      <w:r w:rsidR="001B5D09">
        <w:t xml:space="preserve">are </w:t>
      </w:r>
      <w:r w:rsidR="008B55A8">
        <w:t>from 2011</w:t>
      </w:r>
      <w:r w:rsidR="00E64128">
        <w:t xml:space="preserve">. </w:t>
      </w:r>
      <w:r w:rsidR="00F527CA">
        <w:t xml:space="preserve">A number of other data sources were also used to obtain </w:t>
      </w:r>
      <w:r w:rsidR="00CB6E52">
        <w:t>measures</w:t>
      </w:r>
      <w:r w:rsidR="00F527CA">
        <w:t xml:space="preserve"> of </w:t>
      </w:r>
      <w:r w:rsidR="0055377F">
        <w:t xml:space="preserve">factors considered relevant to </w:t>
      </w:r>
      <w:r w:rsidR="00F527CA">
        <w:t xml:space="preserve">adaptive capacity. These data sources </w:t>
      </w:r>
      <w:r w:rsidR="001442B2">
        <w:t xml:space="preserve">and the indicators included in the </w:t>
      </w:r>
      <w:r w:rsidR="008265CB">
        <w:t>index</w:t>
      </w:r>
      <w:r w:rsidR="001442B2">
        <w:t xml:space="preserve"> </w:t>
      </w:r>
      <w:r w:rsidR="00F527CA">
        <w:t>are discussed below</w:t>
      </w:r>
      <w:r w:rsidR="006658A9">
        <w:t xml:space="preserve">, following a description of the </w:t>
      </w:r>
      <w:r w:rsidR="00057AF0">
        <w:t xml:space="preserve">regions included in the </w:t>
      </w:r>
      <w:r w:rsidR="006658A9">
        <w:t>analysis</w:t>
      </w:r>
      <w:r w:rsidR="00F527CA">
        <w:t xml:space="preserve">. </w:t>
      </w:r>
    </w:p>
    <w:p w14:paraId="4C3EA5BC" w14:textId="2B38034F" w:rsidR="00D8544E" w:rsidRDefault="00D8544E" w:rsidP="00D8544E">
      <w:pPr>
        <w:pStyle w:val="Heading3"/>
      </w:pPr>
      <w:r>
        <w:lastRenderedPageBreak/>
        <w:t xml:space="preserve">Regions included in the </w:t>
      </w:r>
      <w:r w:rsidR="00D7598C">
        <w:t>index</w:t>
      </w:r>
    </w:p>
    <w:p w14:paraId="76F7D8E9" w14:textId="19CF9B2D" w:rsidR="00D8544E" w:rsidRDefault="00FF6E87" w:rsidP="00477CB9">
      <w:pPr>
        <w:pStyle w:val="BodyText"/>
      </w:pPr>
      <w:r>
        <w:t>T</w:t>
      </w:r>
      <w:r w:rsidR="00D7598C">
        <w:t xml:space="preserve">he analysis </w:t>
      </w:r>
      <w:r>
        <w:t xml:space="preserve">was conducted </w:t>
      </w:r>
      <w:r w:rsidR="00D7598C">
        <w:t>at the Statistical Area Level 2 (</w:t>
      </w:r>
      <w:proofErr w:type="spellStart"/>
      <w:r w:rsidR="00D7598C">
        <w:t>SA2</w:t>
      </w:r>
      <w:proofErr w:type="spellEnd"/>
      <w:r w:rsidR="00D7598C">
        <w:t xml:space="preserve">), </w:t>
      </w:r>
      <w:r w:rsidR="002B4C19">
        <w:t>which is part of</w:t>
      </w:r>
      <w:r w:rsidR="003C61D6">
        <w:t xml:space="preserve"> the </w:t>
      </w:r>
      <w:r w:rsidR="00D7598C">
        <w:t xml:space="preserve">Australian Statistical Geography Standard. </w:t>
      </w:r>
      <w:r w:rsidR="00FF2163">
        <w:t xml:space="preserve">Key sources of nationally consistent data, such as the Census of Population and Housing, are available at this level. </w:t>
      </w:r>
      <w:proofErr w:type="spellStart"/>
      <w:r w:rsidR="004D6672">
        <w:t>SA2s</w:t>
      </w:r>
      <w:proofErr w:type="spellEnd"/>
      <w:r w:rsidR="003C61D6">
        <w:t xml:space="preserve"> aim</w:t>
      </w:r>
      <w:r w:rsidR="00D7598C">
        <w:t xml:space="preserve"> to represent a community that interacts together socially and economically</w:t>
      </w:r>
      <w:r w:rsidR="007C031C">
        <w:t>, and have an average population of about 10 000</w:t>
      </w:r>
      <w:r w:rsidR="00D7598C">
        <w:t xml:space="preserve"> </w:t>
      </w:r>
      <w:r w:rsidR="007271F6" w:rsidRPr="007271F6">
        <w:rPr>
          <w:szCs w:val="24"/>
        </w:rPr>
        <w:t>(ABS </w:t>
      </w:r>
      <w:proofErr w:type="spellStart"/>
      <w:r w:rsidR="007271F6" w:rsidRPr="007271F6">
        <w:rPr>
          <w:szCs w:val="24"/>
        </w:rPr>
        <w:t>2011a</w:t>
      </w:r>
      <w:proofErr w:type="spellEnd"/>
      <w:r w:rsidR="007271F6" w:rsidRPr="007271F6">
        <w:rPr>
          <w:szCs w:val="24"/>
        </w:rPr>
        <w:t>)</w:t>
      </w:r>
      <w:r w:rsidR="007C031C">
        <w:t>.</w:t>
      </w:r>
      <w:r w:rsidR="00D7598C">
        <w:t xml:space="preserve"> </w:t>
      </w:r>
      <w:r w:rsidR="007C031C">
        <w:t xml:space="preserve">In urban areas, an </w:t>
      </w:r>
      <w:proofErr w:type="spellStart"/>
      <w:r w:rsidR="007C031C">
        <w:t>SA2</w:t>
      </w:r>
      <w:proofErr w:type="spellEnd"/>
      <w:r w:rsidR="007C031C">
        <w:t xml:space="preserve"> </w:t>
      </w:r>
      <w:r w:rsidR="0015469E">
        <w:t>could</w:t>
      </w:r>
      <w:r w:rsidR="007C031C">
        <w:t xml:space="preserve"> cover a single suburb (such as Surry Hills or Darlinghurst in Sydney), whereas in </w:t>
      </w:r>
      <w:r w:rsidR="00AC1373">
        <w:t>sparsely populated</w:t>
      </w:r>
      <w:r w:rsidR="007C031C">
        <w:t xml:space="preserve"> </w:t>
      </w:r>
      <w:r w:rsidR="00A20E44">
        <w:t xml:space="preserve">and </w:t>
      </w:r>
      <w:r w:rsidR="007C031C">
        <w:t xml:space="preserve">remote areas, an </w:t>
      </w:r>
      <w:proofErr w:type="spellStart"/>
      <w:r w:rsidR="007C031C">
        <w:t>SA2</w:t>
      </w:r>
      <w:proofErr w:type="spellEnd"/>
      <w:r w:rsidR="007C031C">
        <w:t xml:space="preserve"> </w:t>
      </w:r>
      <w:r w:rsidR="005575EB">
        <w:t>could</w:t>
      </w:r>
      <w:r w:rsidR="007C031C">
        <w:t xml:space="preserve"> cover a</w:t>
      </w:r>
      <w:r w:rsidR="0015469E">
        <w:t xml:space="preserve"> much</w:t>
      </w:r>
      <w:r w:rsidR="007C031C">
        <w:t xml:space="preserve"> large</w:t>
      </w:r>
      <w:r w:rsidR="0015469E">
        <w:t>r</w:t>
      </w:r>
      <w:r w:rsidR="007C031C">
        <w:t xml:space="preserve"> geographic area (for example</w:t>
      </w:r>
      <w:r w:rsidR="0015469E">
        <w:t>,</w:t>
      </w:r>
      <w:r w:rsidR="00AC1373">
        <w:t xml:space="preserve"> East Pilbara in Western Australia</w:t>
      </w:r>
      <w:r w:rsidR="005C49D9">
        <w:t xml:space="preserve"> </w:t>
      </w:r>
      <w:r w:rsidR="00740AD2">
        <w:t>has</w:t>
      </w:r>
      <w:r w:rsidR="005C49D9">
        <w:t xml:space="preserve"> a land area of nearly 40 million hectares</w:t>
      </w:r>
      <w:r w:rsidR="007C031C">
        <w:t xml:space="preserve">). </w:t>
      </w:r>
      <w:r w:rsidR="00CB6E52" w:rsidRPr="00CB6E52">
        <w:t xml:space="preserve">There </w:t>
      </w:r>
      <w:r w:rsidR="00E64128">
        <w:t xml:space="preserve">were </w:t>
      </w:r>
      <w:r w:rsidR="00BF144F">
        <w:t>2214</w:t>
      </w:r>
      <w:r w:rsidR="00CB6E52" w:rsidRPr="00CB6E52">
        <w:t xml:space="preserve"> </w:t>
      </w:r>
      <w:proofErr w:type="spellStart"/>
      <w:r w:rsidR="00CB6E52" w:rsidRPr="00CB6E52">
        <w:t>SA2s</w:t>
      </w:r>
      <w:proofErr w:type="spellEnd"/>
      <w:r w:rsidR="00CB6E52" w:rsidRPr="00CB6E52">
        <w:t xml:space="preserve"> </w:t>
      </w:r>
      <w:r w:rsidR="00E64128">
        <w:t xml:space="preserve">in 2011, </w:t>
      </w:r>
      <w:r w:rsidR="007C031C">
        <w:t>h</w:t>
      </w:r>
      <w:r w:rsidR="002B4C19">
        <w:t xml:space="preserve">owever, some </w:t>
      </w:r>
      <w:proofErr w:type="spellStart"/>
      <w:r w:rsidR="002B4C19">
        <w:t>SA2s</w:t>
      </w:r>
      <w:proofErr w:type="spellEnd"/>
      <w:r w:rsidR="002B4C19">
        <w:t xml:space="preserve"> were excluded from the analysis for the following reasons.</w:t>
      </w:r>
    </w:p>
    <w:p w14:paraId="7590BEBF" w14:textId="7C6A7B36" w:rsidR="002B4C19" w:rsidRPr="004E3800" w:rsidRDefault="002B4C19" w:rsidP="00FF240F">
      <w:pPr>
        <w:pStyle w:val="ListBullet"/>
      </w:pPr>
      <w:r w:rsidRPr="004E3800">
        <w:t xml:space="preserve">18 </w:t>
      </w:r>
      <w:r w:rsidR="004D6672" w:rsidRPr="004E3800">
        <w:t xml:space="preserve">special purpose </w:t>
      </w:r>
      <w:proofErr w:type="spellStart"/>
      <w:r w:rsidRPr="004E3800">
        <w:t>SA2s</w:t>
      </w:r>
      <w:proofErr w:type="spellEnd"/>
      <w:r w:rsidRPr="004E3800">
        <w:t xml:space="preserve"> </w:t>
      </w:r>
      <w:r w:rsidR="004D6672" w:rsidRPr="004E3800">
        <w:t>represent</w:t>
      </w:r>
      <w:r w:rsidR="00B62BBB">
        <w:t>ed</w:t>
      </w:r>
      <w:r w:rsidR="004D6672" w:rsidRPr="004E3800">
        <w:t xml:space="preserve"> non</w:t>
      </w:r>
      <w:r w:rsidR="00E94B47">
        <w:noBreakHyphen/>
      </w:r>
      <w:r w:rsidR="006C7BF5">
        <w:t>geographic</w:t>
      </w:r>
      <w:r w:rsidR="006C7BF5" w:rsidRPr="004E3800">
        <w:t xml:space="preserve"> </w:t>
      </w:r>
      <w:r w:rsidR="004D6672" w:rsidRPr="004E3800">
        <w:t>categories</w:t>
      </w:r>
      <w:r w:rsidR="00BC4AAB">
        <w:t xml:space="preserve">. Specifically, for each of </w:t>
      </w:r>
      <w:r w:rsidR="00CD6FB1">
        <w:t xml:space="preserve">the </w:t>
      </w:r>
      <w:r w:rsidR="00BC4AAB">
        <w:t xml:space="preserve">nine state and territory </w:t>
      </w:r>
      <w:r w:rsidR="003E6DD7">
        <w:t xml:space="preserve">groups </w:t>
      </w:r>
      <w:r w:rsidR="00BC4AAB">
        <w:t>(including ‘other territories’), there were two non</w:t>
      </w:r>
      <w:r w:rsidR="00BC4AAB">
        <w:noBreakHyphen/>
        <w:t xml:space="preserve">geographic categories — one that represented </w:t>
      </w:r>
      <w:r w:rsidR="004D6672" w:rsidRPr="004E3800">
        <w:t xml:space="preserve">people who </w:t>
      </w:r>
      <w:r w:rsidR="009655F0" w:rsidRPr="004E3800">
        <w:t xml:space="preserve">were </w:t>
      </w:r>
      <w:r w:rsidR="004D6672" w:rsidRPr="004E3800">
        <w:t>in transit, offshore or on board vessels</w:t>
      </w:r>
      <w:r w:rsidR="001F328F" w:rsidRPr="004E3800">
        <w:t xml:space="preserve"> on Census night</w:t>
      </w:r>
      <w:r w:rsidR="004D6672" w:rsidRPr="004E3800">
        <w:t xml:space="preserve">, and </w:t>
      </w:r>
      <w:r w:rsidR="00BC4AAB">
        <w:t xml:space="preserve">one for </w:t>
      </w:r>
      <w:r w:rsidR="00410C51" w:rsidRPr="004E3800">
        <w:t xml:space="preserve">people </w:t>
      </w:r>
      <w:r w:rsidR="009655F0" w:rsidRPr="004E3800">
        <w:t>who had</w:t>
      </w:r>
      <w:r w:rsidR="004D6672" w:rsidRPr="004E3800">
        <w:t xml:space="preserve"> no usual address.</w:t>
      </w:r>
      <w:r w:rsidR="00BC4AAB">
        <w:t xml:space="preserve"> </w:t>
      </w:r>
    </w:p>
    <w:p w14:paraId="0B3DE0AA" w14:textId="1C05BDA0" w:rsidR="004D6672" w:rsidRPr="004E3800" w:rsidRDefault="00075F2D" w:rsidP="00FF240F">
      <w:pPr>
        <w:pStyle w:val="ListBullet"/>
      </w:pPr>
      <w:r w:rsidRPr="004E3800">
        <w:t xml:space="preserve">3 </w:t>
      </w:r>
      <w:proofErr w:type="spellStart"/>
      <w:r w:rsidRPr="004E3800">
        <w:t>SA2s</w:t>
      </w:r>
      <w:proofErr w:type="spellEnd"/>
      <w:r w:rsidRPr="004E3800">
        <w:t xml:space="preserve"> represent</w:t>
      </w:r>
      <w:r w:rsidR="00B62BBB">
        <w:t>ed</w:t>
      </w:r>
      <w:r w:rsidR="004D6672" w:rsidRPr="004E3800">
        <w:t xml:space="preserve"> </w:t>
      </w:r>
      <w:r w:rsidR="00F042C8">
        <w:t xml:space="preserve">Australian </w:t>
      </w:r>
      <w:r w:rsidR="00D7039B" w:rsidRPr="004E3800">
        <w:t xml:space="preserve">territories </w:t>
      </w:r>
      <w:r w:rsidR="004D6672" w:rsidRPr="004E3800">
        <w:t>other than the</w:t>
      </w:r>
      <w:r w:rsidR="00835767" w:rsidRPr="004E3800">
        <w:t xml:space="preserve"> Northern Territory and the ACT</w:t>
      </w:r>
      <w:r w:rsidR="004D6672" w:rsidRPr="004E3800">
        <w:t>.</w:t>
      </w:r>
      <w:r w:rsidR="00BC4AAB">
        <w:t xml:space="preserve"> These were </w:t>
      </w:r>
      <w:r w:rsidR="007E3269">
        <w:t>Cocos (Keeling) Islands, Christmas Island and Jervis Bay.</w:t>
      </w:r>
    </w:p>
    <w:p w14:paraId="55DAEBD9" w14:textId="23485FE5" w:rsidR="004D6672" w:rsidRPr="00FF240F" w:rsidRDefault="00835767" w:rsidP="00FF240F">
      <w:pPr>
        <w:pStyle w:val="ListBullet"/>
      </w:pPr>
      <w:r w:rsidRPr="00FF240F">
        <w:t>1</w:t>
      </w:r>
      <w:r w:rsidR="00243823" w:rsidRPr="00FF240F">
        <w:t>04</w:t>
      </w:r>
      <w:r w:rsidR="00F042C8" w:rsidRPr="00FF240F">
        <w:t xml:space="preserve"> additional </w:t>
      </w:r>
      <w:proofErr w:type="spellStart"/>
      <w:r w:rsidR="00F042C8" w:rsidRPr="00FF240F">
        <w:t>SA2s</w:t>
      </w:r>
      <w:proofErr w:type="spellEnd"/>
      <w:r w:rsidR="00F042C8" w:rsidRPr="00FF240F">
        <w:t xml:space="preserve"> </w:t>
      </w:r>
      <w:r w:rsidR="00D7039B" w:rsidRPr="00FF240F">
        <w:t>had fewer than 10 dwellings and/or l</w:t>
      </w:r>
      <w:r w:rsidR="00CA4C09" w:rsidRPr="00FF240F">
        <w:t>ess than 100 working</w:t>
      </w:r>
      <w:r w:rsidR="00CA4C09" w:rsidRPr="00FF240F">
        <w:noBreakHyphen/>
      </w:r>
      <w:r w:rsidR="007637F2" w:rsidRPr="00FF240F">
        <w:t xml:space="preserve">age </w:t>
      </w:r>
      <w:r w:rsidR="00672496" w:rsidRPr="00FF240F">
        <w:t>residents</w:t>
      </w:r>
      <w:r w:rsidR="007637F2" w:rsidRPr="00FF240F">
        <w:t>.</w:t>
      </w:r>
      <w:r w:rsidR="00316118" w:rsidRPr="00FF240F">
        <w:t xml:space="preserve"> These </w:t>
      </w:r>
      <w:r w:rsidR="0067167C" w:rsidRPr="00FF240F">
        <w:t xml:space="preserve">regions </w:t>
      </w:r>
      <w:r w:rsidR="00316118" w:rsidRPr="00FF240F">
        <w:t xml:space="preserve">include large national parks, airports and industrial areas. </w:t>
      </w:r>
    </w:p>
    <w:p w14:paraId="791E1C4F" w14:textId="307118D3" w:rsidR="00D7039B" w:rsidRPr="004E3800" w:rsidRDefault="00F042C8" w:rsidP="00FF240F">
      <w:pPr>
        <w:pStyle w:val="ListBullet"/>
      </w:pPr>
      <w:r>
        <w:t xml:space="preserve">4 additional </w:t>
      </w:r>
      <w:proofErr w:type="spellStart"/>
      <w:r>
        <w:t>SA2s</w:t>
      </w:r>
      <w:proofErr w:type="spellEnd"/>
      <w:r>
        <w:t xml:space="preserve"> </w:t>
      </w:r>
      <w:r w:rsidR="008F1947">
        <w:t>had</w:t>
      </w:r>
      <w:r w:rsidR="008F1947" w:rsidRPr="004E3800">
        <w:t xml:space="preserve"> </w:t>
      </w:r>
      <w:r w:rsidR="00243823" w:rsidRPr="004E3800">
        <w:t>missing data on property prices (an indicator used in the index</w:t>
      </w:r>
      <w:r w:rsidR="00F3507E">
        <w:t>, described below</w:t>
      </w:r>
      <w:r w:rsidR="00243823" w:rsidRPr="004E3800">
        <w:t>).</w:t>
      </w:r>
      <w:r w:rsidR="008F1947">
        <w:t xml:space="preserve"> These </w:t>
      </w:r>
      <w:r w:rsidR="00F35FB0">
        <w:t xml:space="preserve">regions </w:t>
      </w:r>
      <w:r w:rsidR="008F1947">
        <w:t xml:space="preserve">were </w:t>
      </w:r>
      <w:r w:rsidR="004611DF">
        <w:t xml:space="preserve">Lord Howe Island in New South Wales, and Nhulunbuy, East Arnhem and </w:t>
      </w:r>
      <w:proofErr w:type="spellStart"/>
      <w:r w:rsidR="004611DF">
        <w:t>Anindilyakwa</w:t>
      </w:r>
      <w:proofErr w:type="spellEnd"/>
      <w:r w:rsidR="004611DF">
        <w:t xml:space="preserve"> in the Northern Territory.</w:t>
      </w:r>
    </w:p>
    <w:p w14:paraId="29DE0FC3" w14:textId="027CEF1B" w:rsidR="00243823" w:rsidRDefault="00812ABD" w:rsidP="00243823">
      <w:pPr>
        <w:pStyle w:val="BodyText"/>
      </w:pPr>
      <w:r>
        <w:t xml:space="preserve">A list of all excluded </w:t>
      </w:r>
      <w:r w:rsidR="007B4918">
        <w:t xml:space="preserve">geographical </w:t>
      </w:r>
      <w:r>
        <w:t>regions can be found in appendix</w:t>
      </w:r>
      <w:r w:rsidR="00E94B47">
        <w:t> </w:t>
      </w:r>
      <w:r>
        <w:t xml:space="preserve">B. </w:t>
      </w:r>
      <w:r w:rsidR="004A23CD">
        <w:t>T</w:t>
      </w:r>
      <w:r w:rsidR="004E3800">
        <w:t xml:space="preserve">he analysis was conducted on the remaining 2085 </w:t>
      </w:r>
      <w:proofErr w:type="spellStart"/>
      <w:r w:rsidR="004E3800">
        <w:t>SA2</w:t>
      </w:r>
      <w:proofErr w:type="spellEnd"/>
      <w:r w:rsidR="004E3800">
        <w:t xml:space="preserve"> regions.</w:t>
      </w:r>
    </w:p>
    <w:p w14:paraId="3E293748" w14:textId="77777777" w:rsidR="004E3800" w:rsidRDefault="004E3800" w:rsidP="004E3800">
      <w:pPr>
        <w:pStyle w:val="Heading3"/>
      </w:pPr>
      <w:r>
        <w:t>Data sources</w:t>
      </w:r>
    </w:p>
    <w:p w14:paraId="5C6C46CC" w14:textId="5EE30408" w:rsidR="004E3800" w:rsidRDefault="002C3B25" w:rsidP="009326C2">
      <w:pPr>
        <w:pStyle w:val="BodyText"/>
      </w:pPr>
      <w:r>
        <w:t>A</w:t>
      </w:r>
      <w:r w:rsidR="00793004">
        <w:t xml:space="preserve">ccess to the </w:t>
      </w:r>
      <w:r w:rsidR="004E3800">
        <w:t xml:space="preserve">2011 Census of Population and Housing </w:t>
      </w:r>
      <w:r w:rsidR="00793004">
        <w:t xml:space="preserve">was crucial to obtaining consistent data on many of the indicators included in the index of adaptive capacity. </w:t>
      </w:r>
      <w:r>
        <w:t>T</w:t>
      </w:r>
      <w:r w:rsidR="000C0382">
        <w:t xml:space="preserve">he Commission </w:t>
      </w:r>
      <w:r>
        <w:t>had an</w:t>
      </w:r>
      <w:r w:rsidR="000C0382">
        <w:t xml:space="preserve"> in</w:t>
      </w:r>
      <w:r w:rsidR="00E94B47">
        <w:noBreakHyphen/>
      </w:r>
      <w:r w:rsidR="000C0382">
        <w:t xml:space="preserve">posted </w:t>
      </w:r>
      <w:r>
        <w:t xml:space="preserve">staff member at </w:t>
      </w:r>
      <w:r w:rsidR="000C0382">
        <w:t>the ABS</w:t>
      </w:r>
      <w:r w:rsidR="00DB2B3A">
        <w:t xml:space="preserve"> to </w:t>
      </w:r>
      <w:r w:rsidR="00A10454">
        <w:t xml:space="preserve">access </w:t>
      </w:r>
      <w:r w:rsidR="009326C2">
        <w:t xml:space="preserve">Census data on particular indicators of adaptive capacity at the </w:t>
      </w:r>
      <w:proofErr w:type="spellStart"/>
      <w:r w:rsidR="009326C2">
        <w:t>SA2</w:t>
      </w:r>
      <w:proofErr w:type="spellEnd"/>
      <w:r w:rsidR="009326C2">
        <w:t xml:space="preserve"> level </w:t>
      </w:r>
      <w:r w:rsidR="00DB2B3A">
        <w:t xml:space="preserve">for </w:t>
      </w:r>
      <w:r w:rsidR="00845D6B">
        <w:t xml:space="preserve">the </w:t>
      </w:r>
      <w:r w:rsidR="00DB2B3A">
        <w:t>analysis</w:t>
      </w:r>
      <w:r w:rsidR="000C0382">
        <w:t xml:space="preserve"> </w:t>
      </w:r>
      <w:r w:rsidR="00845D6B">
        <w:t xml:space="preserve">in </w:t>
      </w:r>
      <w:r w:rsidR="00644F04">
        <w:t>the initial report</w:t>
      </w:r>
      <w:r w:rsidR="00DB2B3A">
        <w:t>.</w:t>
      </w:r>
      <w:r w:rsidR="00227490">
        <w:t xml:space="preserve"> </w:t>
      </w:r>
      <w:r w:rsidR="00941C72">
        <w:t>T</w:t>
      </w:r>
      <w:r w:rsidR="00227490">
        <w:t xml:space="preserve">he 2016 Census of Population and Housing </w:t>
      </w:r>
      <w:r w:rsidR="00941C72">
        <w:t xml:space="preserve">data were not available for the initial report, but </w:t>
      </w:r>
      <w:r w:rsidR="006401AB">
        <w:t xml:space="preserve">the Commission plans to incorporate that Census </w:t>
      </w:r>
      <w:r w:rsidR="00941C72">
        <w:t xml:space="preserve">into an updated version of the index for the final report. </w:t>
      </w:r>
    </w:p>
    <w:p w14:paraId="40547486" w14:textId="1D06CFB2" w:rsidR="00941C72" w:rsidRDefault="00F6374F" w:rsidP="00243823">
      <w:pPr>
        <w:pStyle w:val="BodyText"/>
      </w:pPr>
      <w:r>
        <w:t xml:space="preserve">Other sources of data used to </w:t>
      </w:r>
      <w:r w:rsidR="00625D67">
        <w:t>obtain</w:t>
      </w:r>
      <w:r>
        <w:t xml:space="preserve"> indicators include:</w:t>
      </w:r>
    </w:p>
    <w:p w14:paraId="72C92B51" w14:textId="528EA78B" w:rsidR="00F6374F" w:rsidRDefault="00F2100F" w:rsidP="00F6374F">
      <w:pPr>
        <w:pStyle w:val="ListBullet"/>
      </w:pPr>
      <w:r>
        <w:t>ABS National Regional Profile</w:t>
      </w:r>
    </w:p>
    <w:p w14:paraId="64C6914C" w14:textId="45BE58F6" w:rsidR="00F2100F" w:rsidRDefault="00F2100F" w:rsidP="00F6374F">
      <w:pPr>
        <w:pStyle w:val="ListBullet"/>
      </w:pPr>
      <w:r>
        <w:t>ABS Remoteness Structure and the Accessibility/Remoteness Index of Australia</w:t>
      </w:r>
    </w:p>
    <w:p w14:paraId="73E26221" w14:textId="4E16D2E9" w:rsidR="00F2100F" w:rsidRDefault="00F2100F" w:rsidP="00F6374F">
      <w:pPr>
        <w:pStyle w:val="ListBullet"/>
      </w:pPr>
      <w:r>
        <w:t>ABS Building Approvals</w:t>
      </w:r>
    </w:p>
    <w:p w14:paraId="6B9BABB3" w14:textId="4E071DF2" w:rsidR="00F2100F" w:rsidRDefault="00F2100F" w:rsidP="00F6374F">
      <w:pPr>
        <w:pStyle w:val="ListBullet"/>
      </w:pPr>
      <w:r>
        <w:t>ABS Selected Government Pensions and Allowances</w:t>
      </w:r>
    </w:p>
    <w:p w14:paraId="3267AA90" w14:textId="23A802F5" w:rsidR="00F2100F" w:rsidRDefault="00F2100F" w:rsidP="00F6374F">
      <w:pPr>
        <w:pStyle w:val="ListBullet"/>
      </w:pPr>
      <w:proofErr w:type="spellStart"/>
      <w:r>
        <w:t>CoreLogic</w:t>
      </w:r>
      <w:proofErr w:type="spellEnd"/>
      <w:r>
        <w:t xml:space="preserve"> property price data.</w:t>
      </w:r>
    </w:p>
    <w:p w14:paraId="6C087279" w14:textId="033208E9" w:rsidR="0000456B" w:rsidRDefault="0000456B" w:rsidP="0000456B">
      <w:pPr>
        <w:pStyle w:val="BodyText"/>
      </w:pPr>
      <w:r>
        <w:lastRenderedPageBreak/>
        <w:t xml:space="preserve">To ensure consistency with the 2011 Census data, 2011 </w:t>
      </w:r>
      <w:r w:rsidR="00D262A5">
        <w:t xml:space="preserve">data </w:t>
      </w:r>
      <w:r>
        <w:t>from other sources were also used where</w:t>
      </w:r>
      <w:r w:rsidR="0034606D">
        <w:t>ver</w:t>
      </w:r>
      <w:r>
        <w:t xml:space="preserve"> possible.</w:t>
      </w:r>
      <w:r w:rsidR="002C7698">
        <w:t xml:space="preserve"> </w:t>
      </w:r>
      <w:r w:rsidR="00D74934">
        <w:t xml:space="preserve">Due to </w:t>
      </w:r>
      <w:r w:rsidR="00BD34F7">
        <w:t>limited data availability</w:t>
      </w:r>
      <w:r w:rsidR="00D74934">
        <w:t>, 2012 data were used for one variable (</w:t>
      </w:r>
      <w:r w:rsidR="002C7698">
        <w:t>land used as natio</w:t>
      </w:r>
      <w:r w:rsidR="00D74934">
        <w:t xml:space="preserve">nal parks or nature reserves, </w:t>
      </w:r>
      <w:r w:rsidR="002C7698">
        <w:t xml:space="preserve">an indicator under </w:t>
      </w:r>
      <w:r w:rsidR="00D74934">
        <w:t>natural capital)</w:t>
      </w:r>
      <w:r w:rsidR="002C7698">
        <w:t>.</w:t>
      </w:r>
    </w:p>
    <w:p w14:paraId="45450CD7" w14:textId="77777777" w:rsidR="00D1209C" w:rsidRDefault="00D1209C" w:rsidP="00D1209C">
      <w:pPr>
        <w:pStyle w:val="Heading3"/>
      </w:pPr>
      <w:r>
        <w:t>Adaptive capacity indicators</w:t>
      </w:r>
    </w:p>
    <w:p w14:paraId="60D09200" w14:textId="2618DBAF" w:rsidR="00BE0F3D" w:rsidRDefault="000B36F2" w:rsidP="00067128">
      <w:pPr>
        <w:pStyle w:val="BodyText"/>
      </w:pPr>
      <w:r>
        <w:t xml:space="preserve">Adaptive capacity </w:t>
      </w:r>
      <w:r w:rsidR="003400BC">
        <w:t xml:space="preserve">summarises </w:t>
      </w:r>
      <w:r>
        <w:t xml:space="preserve">the endowments that a community can draw upon to respond to </w:t>
      </w:r>
      <w:r w:rsidR="003174A4">
        <w:t>a change in</w:t>
      </w:r>
      <w:r>
        <w:t xml:space="preserve"> economic </w:t>
      </w:r>
      <w:r w:rsidR="003174A4">
        <w:t>conditions</w:t>
      </w:r>
      <w:r>
        <w:t xml:space="preserve">. </w:t>
      </w:r>
      <w:r w:rsidR="00E067E8">
        <w:t>In the index of adaptive capacity, t</w:t>
      </w:r>
      <w:r w:rsidR="00614C47">
        <w:t>hese endowments are</w:t>
      </w:r>
      <w:r w:rsidR="00562CE0">
        <w:t xml:space="preserve"> grouped under human, financial, natural, physical and social capital categories, </w:t>
      </w:r>
      <w:r w:rsidR="008B55A8">
        <w:t xml:space="preserve">as well as </w:t>
      </w:r>
      <w:r w:rsidR="00562CE0">
        <w:t>a separate indicator of industry diversity</w:t>
      </w:r>
      <w:r w:rsidR="00F61244">
        <w:t xml:space="preserve"> </w:t>
      </w:r>
      <w:r w:rsidR="002B1E3A">
        <w:t>(chapter</w:t>
      </w:r>
      <w:r w:rsidR="00E94B47">
        <w:t> </w:t>
      </w:r>
      <w:r w:rsidR="002B1E3A">
        <w:t>2)</w:t>
      </w:r>
      <w:r w:rsidR="00562CE0">
        <w:t xml:space="preserve">. </w:t>
      </w:r>
    </w:p>
    <w:p w14:paraId="2168254D" w14:textId="7F54B2FA" w:rsidR="00716F9F" w:rsidRDefault="00716F9F" w:rsidP="00067128">
      <w:pPr>
        <w:pStyle w:val="BodyText"/>
      </w:pPr>
      <w:r>
        <w:t xml:space="preserve">Indicators sourced from the Census </w:t>
      </w:r>
      <w:r w:rsidR="004B6825">
        <w:t xml:space="preserve">were </w:t>
      </w:r>
      <w:r>
        <w:t>based on proportions of people</w:t>
      </w:r>
      <w:r w:rsidR="00B30DEF">
        <w:t xml:space="preserve"> living in a region</w:t>
      </w:r>
      <w:r w:rsidR="00C50338">
        <w:t xml:space="preserve"> who me</w:t>
      </w:r>
      <w:r>
        <w:t xml:space="preserve">t </w:t>
      </w:r>
      <w:r w:rsidR="0077109E">
        <w:t>the criteria of the particular indicator</w:t>
      </w:r>
      <w:r>
        <w:t>.</w:t>
      </w:r>
      <w:r w:rsidR="00596C43">
        <w:t xml:space="preserve"> </w:t>
      </w:r>
      <w:r w:rsidR="00312F55">
        <w:t>For exa</w:t>
      </w:r>
      <w:r w:rsidR="00CA4C09">
        <w:t>mple, the proportion of working</w:t>
      </w:r>
      <w:r w:rsidR="00CA4C09">
        <w:noBreakHyphen/>
      </w:r>
      <w:r w:rsidR="00312F55">
        <w:t xml:space="preserve">age people who </w:t>
      </w:r>
      <w:r w:rsidR="00D00A40">
        <w:t xml:space="preserve">had </w:t>
      </w:r>
      <w:r w:rsidR="00312F55">
        <w:t>completed year 12 in each region was used as the indicator of year 12 attainment.</w:t>
      </w:r>
      <w:r w:rsidR="00BD636F">
        <w:t xml:space="preserve"> </w:t>
      </w:r>
      <w:r w:rsidR="00596C43">
        <w:t xml:space="preserve">Basing the analyses on proportions </w:t>
      </w:r>
      <w:r w:rsidR="00C74C5A">
        <w:t>of people</w:t>
      </w:r>
      <w:r w:rsidR="00A472C6">
        <w:t xml:space="preserve"> (rather than numbers of people)</w:t>
      </w:r>
      <w:r w:rsidR="00C74C5A">
        <w:t xml:space="preserve"> </w:t>
      </w:r>
      <w:r w:rsidR="00596C43">
        <w:t>ensure</w:t>
      </w:r>
      <w:r w:rsidR="00582BC0">
        <w:t>d</w:t>
      </w:r>
      <w:r w:rsidR="00596C43">
        <w:t xml:space="preserve"> that </w:t>
      </w:r>
      <w:r w:rsidR="00E36EE7">
        <w:t xml:space="preserve">regions with different population sizes </w:t>
      </w:r>
      <w:r w:rsidR="00287CA7">
        <w:t>were</w:t>
      </w:r>
      <w:r w:rsidR="00E36EE7">
        <w:t xml:space="preserve"> analysed on a comparable basis</w:t>
      </w:r>
      <w:r w:rsidR="00596C43">
        <w:t xml:space="preserve">. </w:t>
      </w:r>
      <w:r>
        <w:t xml:space="preserve">People who did not answer the </w:t>
      </w:r>
      <w:r w:rsidR="00DD26DD">
        <w:t xml:space="preserve">relevant </w:t>
      </w:r>
      <w:r>
        <w:t xml:space="preserve">question in the Census were excluded from both the numerator and denominator in the calculation of proportions. </w:t>
      </w:r>
    </w:p>
    <w:p w14:paraId="6B450A1F" w14:textId="16118835" w:rsidR="00221821" w:rsidRDefault="008269CB" w:rsidP="00067128">
      <w:pPr>
        <w:pStyle w:val="BodyText"/>
      </w:pPr>
      <w:r>
        <w:t>T</w:t>
      </w:r>
      <w:r w:rsidR="00562CE0">
        <w:t xml:space="preserve">he </w:t>
      </w:r>
      <w:r w:rsidR="00F61244">
        <w:t xml:space="preserve">initial set of </w:t>
      </w:r>
      <w:r>
        <w:t xml:space="preserve">available indicators </w:t>
      </w:r>
      <w:r w:rsidR="00354AA6">
        <w:t>was</w:t>
      </w:r>
      <w:r w:rsidR="00F61244">
        <w:t xml:space="preserve"> </w:t>
      </w:r>
      <w:r>
        <w:t xml:space="preserve">refined following an examination of correlations and initial </w:t>
      </w:r>
      <w:proofErr w:type="spellStart"/>
      <w:r>
        <w:t>PCAs</w:t>
      </w:r>
      <w:proofErr w:type="spellEnd"/>
      <w:r w:rsidR="00F61244">
        <w:t xml:space="preserve">. </w:t>
      </w:r>
      <w:r>
        <w:t xml:space="preserve">Variables were excluded if they were </w:t>
      </w:r>
      <w:r w:rsidR="00DF1030">
        <w:t xml:space="preserve">reasonably </w:t>
      </w:r>
      <w:r>
        <w:t>highly correlated with</w:t>
      </w:r>
      <w:r w:rsidR="00B12F73">
        <w:t xml:space="preserve">, and captured similar concepts to, </w:t>
      </w:r>
      <w:r>
        <w:t xml:space="preserve">other variables </w:t>
      </w:r>
      <w:r w:rsidR="00B12F73">
        <w:t>in the same capital domain</w:t>
      </w:r>
      <w:r>
        <w:t>.</w:t>
      </w:r>
      <w:r w:rsidR="00DF1030">
        <w:t xml:space="preserve"> This was based on judgment, rather than a </w:t>
      </w:r>
      <w:r w:rsidR="008666F1">
        <w:t>specific</w:t>
      </w:r>
      <w:r w:rsidR="00DF1030">
        <w:t xml:space="preserve"> correlation threshold.</w:t>
      </w:r>
      <w:r>
        <w:t xml:space="preserve"> </w:t>
      </w:r>
      <w:r w:rsidR="00BE0F3D">
        <w:t xml:space="preserve">For example, </w:t>
      </w:r>
      <w:r w:rsidR="00BF2574">
        <w:t>year </w:t>
      </w:r>
      <w:r w:rsidR="006778EA">
        <w:t xml:space="preserve">12 attainment rates and </w:t>
      </w:r>
      <w:r w:rsidR="00BE0F3D">
        <w:t xml:space="preserve">tertiary </w:t>
      </w:r>
      <w:r w:rsidR="006778EA">
        <w:t>qualification</w:t>
      </w:r>
      <w:r w:rsidR="00BE0F3D">
        <w:t xml:space="preserve"> attainment rates </w:t>
      </w:r>
      <w:r w:rsidR="005620FD">
        <w:t>both capture</w:t>
      </w:r>
      <w:r w:rsidR="00221821">
        <w:t>d</w:t>
      </w:r>
      <w:r w:rsidR="005620FD">
        <w:t xml:space="preserve"> education under the human capital </w:t>
      </w:r>
      <w:r w:rsidR="00FC30C7">
        <w:t xml:space="preserve">domain </w:t>
      </w:r>
      <w:r w:rsidR="005620FD">
        <w:t xml:space="preserve">and </w:t>
      </w:r>
      <w:r w:rsidR="00354AA6">
        <w:t>had a correlation of over 0.9</w:t>
      </w:r>
      <w:r w:rsidR="00BE0F3D">
        <w:t xml:space="preserve">, </w:t>
      </w:r>
      <w:r w:rsidR="006778EA">
        <w:t>so only year 12 attainment was included in the analysis.</w:t>
      </w:r>
      <w:r w:rsidR="00894AC7">
        <w:t xml:space="preserve"> </w:t>
      </w:r>
      <w:r w:rsidR="00221821">
        <w:t xml:space="preserve">As another example, </w:t>
      </w:r>
      <w:r w:rsidR="00FC30C7">
        <w:t xml:space="preserve">year 12 attainment rates </w:t>
      </w:r>
      <w:r w:rsidR="00464915">
        <w:t>had reasonably high</w:t>
      </w:r>
      <w:r w:rsidR="00FC30C7">
        <w:t xml:space="preserve"> </w:t>
      </w:r>
      <w:r w:rsidR="00464915">
        <w:t>correlations (of about 0.7)</w:t>
      </w:r>
      <w:r w:rsidR="00FC30C7">
        <w:t xml:space="preserve"> with the proportion of people working in high</w:t>
      </w:r>
      <w:r w:rsidR="00FC30C7">
        <w:noBreakHyphen/>
        <w:t>skilled occupations and the proportion of people working in relatively low</w:t>
      </w:r>
      <w:r w:rsidR="00FC30C7">
        <w:noBreakHyphen/>
      </w:r>
      <w:r w:rsidR="00F63752">
        <w:t>skilled occupations.</w:t>
      </w:r>
      <w:r w:rsidR="00802341">
        <w:t xml:space="preserve"> Although they are related, </w:t>
      </w:r>
      <w:r w:rsidR="00332383">
        <w:t xml:space="preserve">the </w:t>
      </w:r>
      <w:r w:rsidR="00802341">
        <w:t xml:space="preserve">year 12 attainment </w:t>
      </w:r>
      <w:r w:rsidR="00332383">
        <w:t xml:space="preserve">variable </w:t>
      </w:r>
      <w:r w:rsidR="00802341">
        <w:t xml:space="preserve">is intended to capture education while the latter two variables </w:t>
      </w:r>
      <w:r w:rsidR="00CC16CF">
        <w:t xml:space="preserve">also </w:t>
      </w:r>
      <w:r w:rsidR="00802341">
        <w:t>capture skill</w:t>
      </w:r>
      <w:r w:rsidR="00CC16CF">
        <w:t>s and experience</w:t>
      </w:r>
      <w:r w:rsidR="00802341">
        <w:t xml:space="preserve">. </w:t>
      </w:r>
      <w:r w:rsidR="008666F1">
        <w:t>Of the skill</w:t>
      </w:r>
      <w:r w:rsidR="00E94B47">
        <w:noBreakHyphen/>
      </w:r>
      <w:r w:rsidR="008666F1">
        <w:t>related variables, only the proportion of people in high</w:t>
      </w:r>
      <w:r w:rsidR="00E94B47">
        <w:noBreakHyphen/>
      </w:r>
      <w:r w:rsidR="008666F1">
        <w:t>skilled occupations was included in the analysis, while the proportion in low</w:t>
      </w:r>
      <w:r w:rsidR="00E94B47">
        <w:noBreakHyphen/>
      </w:r>
      <w:r w:rsidR="008666F1">
        <w:t xml:space="preserve">skilled occupations was dropped. </w:t>
      </w:r>
      <w:r w:rsidR="005E64B8">
        <w:t>Both year 12 attainment and high</w:t>
      </w:r>
      <w:r w:rsidR="005E64B8">
        <w:noBreakHyphen/>
        <w:t xml:space="preserve">skilled </w:t>
      </w:r>
      <w:r w:rsidR="004B66BE">
        <w:t xml:space="preserve">occupation </w:t>
      </w:r>
      <w:r w:rsidR="005E64B8">
        <w:t>variables were kept in order to capture both these aspects of human capital.</w:t>
      </w:r>
    </w:p>
    <w:p w14:paraId="11BCEBFD" w14:textId="00D19EEE" w:rsidR="00F63752" w:rsidRDefault="00B12F73" w:rsidP="00067128">
      <w:pPr>
        <w:pStyle w:val="BodyText"/>
      </w:pPr>
      <w:r>
        <w:t xml:space="preserve">Variables were also excluded if they explained relatively little variation in the capital grouping according to initial investigations using </w:t>
      </w:r>
      <w:proofErr w:type="spellStart"/>
      <w:r>
        <w:t>PCA</w:t>
      </w:r>
      <w:proofErr w:type="spellEnd"/>
      <w:r>
        <w:t xml:space="preserve">. For example, </w:t>
      </w:r>
      <w:r w:rsidR="005E64B8">
        <w:t xml:space="preserve">a measure of the proportion of the population that was Indigenous was initially included under human capital. </w:t>
      </w:r>
      <w:r w:rsidR="001D383B">
        <w:t xml:space="preserve">However, in examinations of early </w:t>
      </w:r>
      <w:proofErr w:type="spellStart"/>
      <w:r w:rsidR="001D383B">
        <w:t>PCA</w:t>
      </w:r>
      <w:proofErr w:type="spellEnd"/>
      <w:r w:rsidR="001D383B">
        <w:t xml:space="preserve"> results, </w:t>
      </w:r>
      <w:r w:rsidR="00B36680">
        <w:t>this variable was only reasonably highly correlated with the fourth principal component, which would not have been retained according to the rule of retaining principal components until the cumulative proportion of variance explained is at least 70 per cent. Therefore, it was dropped from the index.</w:t>
      </w:r>
    </w:p>
    <w:p w14:paraId="20689E7E" w14:textId="70E2F6FB" w:rsidR="00BE0F3D" w:rsidRDefault="00A27EE9" w:rsidP="00067128">
      <w:pPr>
        <w:pStyle w:val="BodyText"/>
      </w:pPr>
      <w:r>
        <w:t xml:space="preserve">The refinement of indicators included in the metric mainly focused </w:t>
      </w:r>
      <w:r w:rsidR="00CB60F4">
        <w:t>on those under the</w:t>
      </w:r>
      <w:r>
        <w:t xml:space="preserve"> human capital</w:t>
      </w:r>
      <w:r w:rsidR="00CB60F4">
        <w:t xml:space="preserve"> domain</w:t>
      </w:r>
      <w:r>
        <w:t xml:space="preserve">. </w:t>
      </w:r>
      <w:r w:rsidR="00BE0F3D">
        <w:t>For some types of capital</w:t>
      </w:r>
      <w:r w:rsidR="00894AC7">
        <w:t xml:space="preserve"> (such as physical capital)</w:t>
      </w:r>
      <w:r w:rsidR="00BE0F3D">
        <w:t xml:space="preserve">, </w:t>
      </w:r>
      <w:r w:rsidR="00354AA6">
        <w:t xml:space="preserve">very few indicators were available so there was less scope to </w:t>
      </w:r>
      <w:r w:rsidR="00894AC7">
        <w:t xml:space="preserve">inspect and refine </w:t>
      </w:r>
      <w:r w:rsidR="00C118AE">
        <w:t>those</w:t>
      </w:r>
      <w:r w:rsidR="00445DF9">
        <w:t xml:space="preserve"> in the metri</w:t>
      </w:r>
      <w:r w:rsidR="004D144B">
        <w:t>c.</w:t>
      </w:r>
    </w:p>
    <w:p w14:paraId="4FD88C49" w14:textId="1601C073" w:rsidR="00067128" w:rsidRDefault="00F61244" w:rsidP="00067128">
      <w:pPr>
        <w:pStyle w:val="BodyText"/>
      </w:pPr>
      <w:r>
        <w:lastRenderedPageBreak/>
        <w:t xml:space="preserve">The indicators </w:t>
      </w:r>
      <w:r w:rsidR="00894AC7">
        <w:t>included in the index are described below.</w:t>
      </w:r>
    </w:p>
    <w:p w14:paraId="61DA11DF" w14:textId="77777777" w:rsidR="00894AC7" w:rsidRDefault="00894AC7" w:rsidP="00894AC7">
      <w:pPr>
        <w:pStyle w:val="Heading4"/>
      </w:pPr>
      <w:r>
        <w:t>Human capital</w:t>
      </w:r>
    </w:p>
    <w:p w14:paraId="00A98385" w14:textId="52A9EAE7" w:rsidR="00894AC7" w:rsidRDefault="00894AC7" w:rsidP="00067128">
      <w:pPr>
        <w:pStyle w:val="BodyText"/>
      </w:pPr>
      <w:r>
        <w:t>Human capital captures</w:t>
      </w:r>
      <w:r w:rsidR="0045208E">
        <w:t xml:space="preserve"> </w:t>
      </w:r>
      <w:r w:rsidR="000B36F2">
        <w:t>the knowledge</w:t>
      </w:r>
      <w:r w:rsidR="0045208E">
        <w:t>, experience</w:t>
      </w:r>
      <w:r w:rsidR="002A7E23">
        <w:t>s</w:t>
      </w:r>
      <w:r w:rsidR="000B36F2">
        <w:t xml:space="preserve"> and </w:t>
      </w:r>
      <w:r w:rsidR="002A7E23">
        <w:t>capabilities</w:t>
      </w:r>
      <w:r w:rsidR="000B36F2">
        <w:t xml:space="preserve"> </w:t>
      </w:r>
      <w:r w:rsidR="002A7E23">
        <w:t>of</w:t>
      </w:r>
      <w:r w:rsidR="00C03BE9">
        <w:t xml:space="preserve"> people in</w:t>
      </w:r>
      <w:r w:rsidR="000B36F2">
        <w:t xml:space="preserve"> </w:t>
      </w:r>
      <w:r w:rsidR="0045208E">
        <w:t xml:space="preserve">regional </w:t>
      </w:r>
      <w:r w:rsidR="002A7E23">
        <w:t xml:space="preserve">communities </w:t>
      </w:r>
      <w:r w:rsidR="00635525">
        <w:t>that can be used to</w:t>
      </w:r>
      <w:r w:rsidR="002F261E">
        <w:t xml:space="preserve"> tak</w:t>
      </w:r>
      <w:r w:rsidR="00635525">
        <w:t>e</w:t>
      </w:r>
      <w:r w:rsidR="0045208E">
        <w:t xml:space="preserve"> advantage of positive </w:t>
      </w:r>
      <w:r w:rsidR="00CB759C">
        <w:t xml:space="preserve">economic </w:t>
      </w:r>
      <w:r w:rsidR="00635525">
        <w:t>events</w:t>
      </w:r>
      <w:r w:rsidR="0045208E">
        <w:t xml:space="preserve">, or </w:t>
      </w:r>
      <w:r w:rsidR="00635525">
        <w:t xml:space="preserve">to </w:t>
      </w:r>
      <w:r w:rsidR="00CB759C">
        <w:t>help</w:t>
      </w:r>
      <w:r w:rsidR="002F261E">
        <w:t xml:space="preserve"> </w:t>
      </w:r>
      <w:r w:rsidR="00CB759C">
        <w:t>counter</w:t>
      </w:r>
      <w:r w:rsidR="0045208E">
        <w:t xml:space="preserve"> negative</w:t>
      </w:r>
      <w:r w:rsidR="00CB759C">
        <w:t xml:space="preserve"> </w:t>
      </w:r>
      <w:r w:rsidR="00635525">
        <w:t>events</w:t>
      </w:r>
      <w:r w:rsidR="000B36F2">
        <w:t>. It incorporates</w:t>
      </w:r>
      <w:r>
        <w:t xml:space="preserve"> labour and </w:t>
      </w:r>
      <w:r w:rsidR="00864F38">
        <w:t xml:space="preserve">factors that </w:t>
      </w:r>
      <w:r>
        <w:t xml:space="preserve">influence the </w:t>
      </w:r>
      <w:r w:rsidR="00D81A6A">
        <w:t>scope for individuals to adapt to changes in their circumstances</w:t>
      </w:r>
      <w:r>
        <w:t xml:space="preserve">, </w:t>
      </w:r>
      <w:r w:rsidR="00CC6358">
        <w:t xml:space="preserve">such as </w:t>
      </w:r>
      <w:r>
        <w:t xml:space="preserve">education, skills and health. </w:t>
      </w:r>
      <w:r w:rsidR="00935ABB">
        <w:t xml:space="preserve">The proportion of employed people who manage their own business </w:t>
      </w:r>
      <w:r w:rsidR="0005450E">
        <w:t>was</w:t>
      </w:r>
      <w:r w:rsidR="00935ABB">
        <w:t xml:space="preserve"> included as a proxy for entrepreneurship</w:t>
      </w:r>
      <w:r w:rsidR="009D70EF">
        <w:t xml:space="preserve"> (</w:t>
      </w:r>
      <w:r w:rsidR="002A7E23">
        <w:t>table </w:t>
      </w:r>
      <w:r w:rsidR="007668E2">
        <w:t>2</w:t>
      </w:r>
      <w:r w:rsidR="009D70EF">
        <w:t>)</w:t>
      </w:r>
      <w:r w:rsidR="00935ABB">
        <w:t>.</w:t>
      </w:r>
    </w:p>
    <w:p w14:paraId="66536081" w14:textId="0F01785B" w:rsidR="00641471" w:rsidRDefault="00641471" w:rsidP="006367E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641471" w14:paraId="48231941" w14:textId="77777777" w:rsidTr="00A23812">
        <w:trPr>
          <w:tblHeader/>
        </w:trPr>
        <w:tc>
          <w:tcPr>
            <w:tcW w:w="5000" w:type="pct"/>
            <w:tcBorders>
              <w:top w:val="single" w:sz="6" w:space="0" w:color="78A22F"/>
              <w:left w:val="nil"/>
              <w:bottom w:val="nil"/>
              <w:right w:val="nil"/>
            </w:tcBorders>
            <w:shd w:val="clear" w:color="auto" w:fill="auto"/>
          </w:tcPr>
          <w:p w14:paraId="43C06D04" w14:textId="5BA5764F" w:rsidR="00641471" w:rsidRPr="00784A05" w:rsidRDefault="00641471" w:rsidP="0017668C">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D2773">
              <w:rPr>
                <w:b w:val="0"/>
                <w:noProof/>
              </w:rPr>
              <w:t>2</w:t>
            </w:r>
            <w:r>
              <w:rPr>
                <w:b w:val="0"/>
              </w:rPr>
              <w:fldChar w:fldCharType="end"/>
            </w:r>
            <w:r>
              <w:tab/>
            </w:r>
            <w:r w:rsidR="00520291">
              <w:t>Human capital indicators</w:t>
            </w:r>
            <w:r w:rsidR="0017668C">
              <w:t xml:space="preserve"> included in index</w:t>
            </w:r>
          </w:p>
        </w:tc>
      </w:tr>
      <w:tr w:rsidR="00641471" w14:paraId="2EA29833"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82"/>
              <w:gridCol w:w="5115"/>
              <w:gridCol w:w="852"/>
              <w:gridCol w:w="856"/>
            </w:tblGrid>
            <w:tr w:rsidR="00641471" w14:paraId="35EAB840" w14:textId="77777777" w:rsidTr="00520291">
              <w:trPr>
                <w:tblHeader/>
              </w:trPr>
              <w:tc>
                <w:tcPr>
                  <w:tcW w:w="989" w:type="pct"/>
                  <w:tcBorders>
                    <w:top w:val="single" w:sz="6" w:space="0" w:color="BFBFBF"/>
                    <w:bottom w:val="single" w:sz="6" w:space="0" w:color="BFBFBF"/>
                  </w:tcBorders>
                  <w:shd w:val="clear" w:color="auto" w:fill="auto"/>
                  <w:tcMar>
                    <w:top w:w="28" w:type="dxa"/>
                  </w:tcMar>
                </w:tcPr>
                <w:p w14:paraId="058CB48C" w14:textId="784CFF43" w:rsidR="00641471" w:rsidRDefault="00520291" w:rsidP="00E322F7">
                  <w:pPr>
                    <w:pStyle w:val="TableColumnHeading"/>
                    <w:spacing w:before="20"/>
                    <w:jc w:val="left"/>
                  </w:pPr>
                  <w:r>
                    <w:t>Indicator</w:t>
                  </w:r>
                  <w:r w:rsidRPr="00520291">
                    <w:rPr>
                      <w:rStyle w:val="NoteLabel"/>
                      <w:i w:val="0"/>
                    </w:rPr>
                    <w:t>a</w:t>
                  </w:r>
                </w:p>
              </w:tc>
              <w:tc>
                <w:tcPr>
                  <w:tcW w:w="3007" w:type="pct"/>
                  <w:tcBorders>
                    <w:top w:val="single" w:sz="6" w:space="0" w:color="BFBFBF"/>
                    <w:bottom w:val="single" w:sz="6" w:space="0" w:color="BFBFBF"/>
                  </w:tcBorders>
                </w:tcPr>
                <w:p w14:paraId="01F721D9" w14:textId="27451E06" w:rsidR="00641471" w:rsidRDefault="00520291" w:rsidP="00520291">
                  <w:pPr>
                    <w:pStyle w:val="TableColumnHeading"/>
                    <w:jc w:val="left"/>
                  </w:pPr>
                  <w:r>
                    <w:t>Description</w:t>
                  </w:r>
                </w:p>
              </w:tc>
              <w:tc>
                <w:tcPr>
                  <w:tcW w:w="501" w:type="pct"/>
                  <w:tcBorders>
                    <w:top w:val="single" w:sz="6" w:space="0" w:color="BFBFBF"/>
                    <w:bottom w:val="single" w:sz="6" w:space="0" w:color="BFBFBF"/>
                  </w:tcBorders>
                  <w:shd w:val="clear" w:color="auto" w:fill="auto"/>
                  <w:tcMar>
                    <w:top w:w="28" w:type="dxa"/>
                  </w:tcMar>
                </w:tcPr>
                <w:p w14:paraId="00DA4426" w14:textId="1632443C" w:rsidR="00641471" w:rsidRDefault="00520291" w:rsidP="006367E2">
                  <w:pPr>
                    <w:pStyle w:val="TableColumnHeading"/>
                  </w:pPr>
                  <w:r>
                    <w:t>Mean</w:t>
                  </w:r>
                </w:p>
              </w:tc>
              <w:tc>
                <w:tcPr>
                  <w:tcW w:w="503" w:type="pct"/>
                  <w:tcBorders>
                    <w:top w:val="single" w:sz="6" w:space="0" w:color="BFBFBF"/>
                    <w:bottom w:val="single" w:sz="6" w:space="0" w:color="BFBFBF"/>
                  </w:tcBorders>
                  <w:shd w:val="clear" w:color="auto" w:fill="auto"/>
                  <w:tcMar>
                    <w:top w:w="28" w:type="dxa"/>
                  </w:tcMar>
                </w:tcPr>
                <w:p w14:paraId="50750FC4" w14:textId="6D315E8B" w:rsidR="00641471" w:rsidRDefault="00520291" w:rsidP="00E322F7">
                  <w:pPr>
                    <w:pStyle w:val="TableColumnHeading"/>
                    <w:ind w:right="28"/>
                  </w:pPr>
                  <w:r>
                    <w:t xml:space="preserve">Standard </w:t>
                  </w:r>
                  <w:r w:rsidR="00E322F7">
                    <w:br/>
                  </w:r>
                  <w:r>
                    <w:t>deviation</w:t>
                  </w:r>
                </w:p>
              </w:tc>
            </w:tr>
            <w:tr w:rsidR="00641471" w14:paraId="15A6A4EC" w14:textId="77777777" w:rsidTr="00520291">
              <w:tc>
                <w:tcPr>
                  <w:tcW w:w="989" w:type="pct"/>
                  <w:tcBorders>
                    <w:top w:val="single" w:sz="6" w:space="0" w:color="BFBFBF"/>
                  </w:tcBorders>
                </w:tcPr>
                <w:p w14:paraId="08AB451F" w14:textId="73343A40" w:rsidR="00641471" w:rsidRDefault="00520291" w:rsidP="000C0C36">
                  <w:pPr>
                    <w:pStyle w:val="TableBodyText"/>
                    <w:spacing w:before="40"/>
                    <w:jc w:val="left"/>
                  </w:pPr>
                  <w:proofErr w:type="spellStart"/>
                  <w:r>
                    <w:t>year12</w:t>
                  </w:r>
                  <w:proofErr w:type="spellEnd"/>
                </w:p>
              </w:tc>
              <w:tc>
                <w:tcPr>
                  <w:tcW w:w="3007" w:type="pct"/>
                  <w:tcBorders>
                    <w:top w:val="single" w:sz="6" w:space="0" w:color="BFBFBF"/>
                  </w:tcBorders>
                </w:tcPr>
                <w:p w14:paraId="2D876FE2" w14:textId="14DF753F" w:rsidR="00641471" w:rsidRDefault="00520291" w:rsidP="000C0C36">
                  <w:pPr>
                    <w:pStyle w:val="TableBodyText"/>
                    <w:spacing w:before="40"/>
                    <w:jc w:val="left"/>
                  </w:pPr>
                  <w:r>
                    <w:t xml:space="preserve">Proportion of </w:t>
                  </w:r>
                  <w:r w:rsidR="00403FFF">
                    <w:t xml:space="preserve">the </w:t>
                  </w:r>
                  <w:r>
                    <w:t>population aged 15–64 who have completed at least year 12</w:t>
                  </w:r>
                </w:p>
              </w:tc>
              <w:tc>
                <w:tcPr>
                  <w:tcW w:w="501" w:type="pct"/>
                  <w:tcBorders>
                    <w:top w:val="single" w:sz="6" w:space="0" w:color="BFBFBF"/>
                  </w:tcBorders>
                </w:tcPr>
                <w:p w14:paraId="3FDBFEBA" w14:textId="7E642D88" w:rsidR="00641471" w:rsidRDefault="009E7A43" w:rsidP="000C0C36">
                  <w:pPr>
                    <w:pStyle w:val="TableBodyText"/>
                    <w:spacing w:before="40"/>
                  </w:pPr>
                  <w:r>
                    <w:t>0.69</w:t>
                  </w:r>
                </w:p>
              </w:tc>
              <w:tc>
                <w:tcPr>
                  <w:tcW w:w="503" w:type="pct"/>
                  <w:tcBorders>
                    <w:top w:val="single" w:sz="6" w:space="0" w:color="BFBFBF"/>
                  </w:tcBorders>
                </w:tcPr>
                <w:p w14:paraId="75C8064D" w14:textId="148BF659" w:rsidR="00641471" w:rsidRDefault="009E7A43" w:rsidP="000C0C36">
                  <w:pPr>
                    <w:pStyle w:val="TableBodyText"/>
                    <w:spacing w:before="40"/>
                    <w:ind w:right="28"/>
                  </w:pPr>
                  <w:r w:rsidRPr="009E7A43">
                    <w:t>0.12</w:t>
                  </w:r>
                </w:p>
              </w:tc>
            </w:tr>
            <w:tr w:rsidR="00641471" w14:paraId="44E26336" w14:textId="77777777" w:rsidTr="00520291">
              <w:tc>
                <w:tcPr>
                  <w:tcW w:w="989" w:type="pct"/>
                </w:tcPr>
                <w:p w14:paraId="3511A942" w14:textId="63B3DDC5" w:rsidR="00641471" w:rsidRDefault="00520291" w:rsidP="00520291">
                  <w:pPr>
                    <w:pStyle w:val="TableBodyText"/>
                    <w:jc w:val="left"/>
                  </w:pPr>
                  <w:proofErr w:type="spellStart"/>
                  <w:r>
                    <w:t>skill1</w:t>
                  </w:r>
                  <w:proofErr w:type="spellEnd"/>
                </w:p>
              </w:tc>
              <w:tc>
                <w:tcPr>
                  <w:tcW w:w="3007" w:type="pct"/>
                </w:tcPr>
                <w:p w14:paraId="0197134F" w14:textId="31C62DFE" w:rsidR="00641471" w:rsidRDefault="00CD3B19" w:rsidP="000572EA">
                  <w:pPr>
                    <w:pStyle w:val="TableBodyText"/>
                    <w:jc w:val="left"/>
                  </w:pPr>
                  <w:r>
                    <w:t xml:space="preserve">Proportion of </w:t>
                  </w:r>
                  <w:r w:rsidR="00403FFF">
                    <w:t xml:space="preserve">the </w:t>
                  </w:r>
                  <w:r>
                    <w:t xml:space="preserve">employed </w:t>
                  </w:r>
                  <w:r w:rsidR="00FA1214">
                    <w:t xml:space="preserve">population </w:t>
                  </w:r>
                  <w:r>
                    <w:t xml:space="preserve">in </w:t>
                  </w:r>
                  <w:r w:rsidR="000572EA">
                    <w:t>highly skilled</w:t>
                  </w:r>
                  <w:r>
                    <w:t xml:space="preserve"> occupations</w:t>
                  </w:r>
                  <w:r>
                    <w:rPr>
                      <w:rStyle w:val="NoteLabel"/>
                    </w:rPr>
                    <w:t>b</w:t>
                  </w:r>
                </w:p>
              </w:tc>
              <w:tc>
                <w:tcPr>
                  <w:tcW w:w="501" w:type="pct"/>
                </w:tcPr>
                <w:p w14:paraId="1BCC785F" w14:textId="7EBFDCC9" w:rsidR="00641471" w:rsidRDefault="009E7A43" w:rsidP="006367E2">
                  <w:pPr>
                    <w:pStyle w:val="TableBodyText"/>
                  </w:pPr>
                  <w:r>
                    <w:t>0.30</w:t>
                  </w:r>
                </w:p>
              </w:tc>
              <w:tc>
                <w:tcPr>
                  <w:tcW w:w="503" w:type="pct"/>
                </w:tcPr>
                <w:p w14:paraId="0E32909C" w14:textId="3E3CD1E9" w:rsidR="00641471" w:rsidRDefault="009E7A43" w:rsidP="006367E2">
                  <w:pPr>
                    <w:pStyle w:val="TableBodyText"/>
                    <w:ind w:right="28"/>
                  </w:pPr>
                  <w:r w:rsidRPr="009E7A43">
                    <w:t>0.11</w:t>
                  </w:r>
                </w:p>
              </w:tc>
            </w:tr>
            <w:tr w:rsidR="00641471" w14:paraId="54FA7807" w14:textId="77777777" w:rsidTr="00520291">
              <w:tc>
                <w:tcPr>
                  <w:tcW w:w="989" w:type="pct"/>
                  <w:shd w:val="clear" w:color="auto" w:fill="auto"/>
                </w:tcPr>
                <w:p w14:paraId="3C04E918" w14:textId="56F306C2" w:rsidR="00641471" w:rsidRDefault="00520291" w:rsidP="006367E2">
                  <w:pPr>
                    <w:pStyle w:val="TableBodyText"/>
                    <w:jc w:val="left"/>
                  </w:pPr>
                  <w:r>
                    <w:t>employed</w:t>
                  </w:r>
                </w:p>
              </w:tc>
              <w:tc>
                <w:tcPr>
                  <w:tcW w:w="3007" w:type="pct"/>
                </w:tcPr>
                <w:p w14:paraId="236F111E" w14:textId="0CC79DA0" w:rsidR="00641471" w:rsidRDefault="0067194B" w:rsidP="00520291">
                  <w:pPr>
                    <w:pStyle w:val="TableBodyText"/>
                    <w:jc w:val="left"/>
                  </w:pPr>
                  <w:r>
                    <w:t>Proportion of the labour force who are employed</w:t>
                  </w:r>
                </w:p>
              </w:tc>
              <w:tc>
                <w:tcPr>
                  <w:tcW w:w="501" w:type="pct"/>
                  <w:shd w:val="clear" w:color="auto" w:fill="auto"/>
                </w:tcPr>
                <w:p w14:paraId="76F065BD" w14:textId="0C41D2B0" w:rsidR="00641471" w:rsidRDefault="009E7A43" w:rsidP="006367E2">
                  <w:pPr>
                    <w:pStyle w:val="TableBodyText"/>
                  </w:pPr>
                  <w:r>
                    <w:t>0.94</w:t>
                  </w:r>
                </w:p>
              </w:tc>
              <w:tc>
                <w:tcPr>
                  <w:tcW w:w="503" w:type="pct"/>
                  <w:shd w:val="clear" w:color="auto" w:fill="auto"/>
                </w:tcPr>
                <w:p w14:paraId="7F7C0C8D" w14:textId="0436D0AB" w:rsidR="00641471" w:rsidRDefault="009E7A43" w:rsidP="006367E2">
                  <w:pPr>
                    <w:pStyle w:val="TableBodyText"/>
                    <w:ind w:right="28"/>
                  </w:pPr>
                  <w:r>
                    <w:t>0.03</w:t>
                  </w:r>
                </w:p>
              </w:tc>
            </w:tr>
            <w:tr w:rsidR="00520291" w14:paraId="10351D77" w14:textId="77777777" w:rsidTr="00520291">
              <w:tc>
                <w:tcPr>
                  <w:tcW w:w="989" w:type="pct"/>
                  <w:shd w:val="clear" w:color="auto" w:fill="auto"/>
                </w:tcPr>
                <w:p w14:paraId="6DC19E26" w14:textId="3EF0D225" w:rsidR="00520291" w:rsidRDefault="00520291" w:rsidP="00520291">
                  <w:pPr>
                    <w:pStyle w:val="TableBodyText"/>
                    <w:jc w:val="left"/>
                  </w:pPr>
                  <w:proofErr w:type="spellStart"/>
                  <w:r>
                    <w:t>own_business</w:t>
                  </w:r>
                  <w:proofErr w:type="spellEnd"/>
                </w:p>
              </w:tc>
              <w:tc>
                <w:tcPr>
                  <w:tcW w:w="3007" w:type="pct"/>
                </w:tcPr>
                <w:p w14:paraId="37DCF82A" w14:textId="1E6A55D1" w:rsidR="00520291" w:rsidRDefault="003654D8" w:rsidP="00452087">
                  <w:pPr>
                    <w:pStyle w:val="TableBodyText"/>
                    <w:jc w:val="left"/>
                  </w:pPr>
                  <w:r>
                    <w:t xml:space="preserve">Proportion of </w:t>
                  </w:r>
                  <w:r w:rsidR="00403FFF">
                    <w:t xml:space="preserve">the </w:t>
                  </w:r>
                  <w:r>
                    <w:t xml:space="preserve">employed </w:t>
                  </w:r>
                  <w:r w:rsidR="00FA1214">
                    <w:t xml:space="preserve">population </w:t>
                  </w:r>
                  <w:r>
                    <w:t xml:space="preserve">who </w:t>
                  </w:r>
                  <w:r w:rsidR="00452087">
                    <w:t>w</w:t>
                  </w:r>
                  <w:r w:rsidR="00153435">
                    <w:t xml:space="preserve">ere owner </w:t>
                  </w:r>
                  <w:r w:rsidR="00452087">
                    <w:t xml:space="preserve">managers of </w:t>
                  </w:r>
                  <w:r w:rsidR="00153435">
                    <w:t xml:space="preserve">a </w:t>
                  </w:r>
                  <w:r>
                    <w:t>business (incorporated or unincorporated)</w:t>
                  </w:r>
                </w:p>
              </w:tc>
              <w:tc>
                <w:tcPr>
                  <w:tcW w:w="501" w:type="pct"/>
                  <w:shd w:val="clear" w:color="auto" w:fill="auto"/>
                </w:tcPr>
                <w:p w14:paraId="33292D5D" w14:textId="0AED9EEC" w:rsidR="00520291" w:rsidRDefault="009E7A43" w:rsidP="006367E2">
                  <w:pPr>
                    <w:pStyle w:val="TableBodyText"/>
                  </w:pPr>
                  <w:r>
                    <w:t>0.16</w:t>
                  </w:r>
                </w:p>
              </w:tc>
              <w:tc>
                <w:tcPr>
                  <w:tcW w:w="503" w:type="pct"/>
                  <w:shd w:val="clear" w:color="auto" w:fill="auto"/>
                </w:tcPr>
                <w:p w14:paraId="4DBE14E9" w14:textId="64F7BBD5" w:rsidR="00520291" w:rsidRDefault="009E7A43" w:rsidP="006367E2">
                  <w:pPr>
                    <w:pStyle w:val="TableBodyText"/>
                    <w:ind w:right="28"/>
                  </w:pPr>
                  <w:r>
                    <w:t>0.06</w:t>
                  </w:r>
                </w:p>
              </w:tc>
            </w:tr>
            <w:tr w:rsidR="00520291" w14:paraId="3E26C948" w14:textId="77777777" w:rsidTr="00520291">
              <w:tc>
                <w:tcPr>
                  <w:tcW w:w="989" w:type="pct"/>
                  <w:shd w:val="clear" w:color="auto" w:fill="auto"/>
                </w:tcPr>
                <w:p w14:paraId="0C0057BB" w14:textId="4F7F54C9" w:rsidR="00520291" w:rsidRDefault="00D7176B" w:rsidP="00520291">
                  <w:pPr>
                    <w:pStyle w:val="TableBodyText"/>
                    <w:jc w:val="left"/>
                  </w:pPr>
                  <w:proofErr w:type="spellStart"/>
                  <w:r>
                    <w:t>youth_engage</w:t>
                  </w:r>
                  <w:proofErr w:type="spellEnd"/>
                </w:p>
              </w:tc>
              <w:tc>
                <w:tcPr>
                  <w:tcW w:w="3007" w:type="pct"/>
                </w:tcPr>
                <w:p w14:paraId="0432601A" w14:textId="21EFFBE7" w:rsidR="00520291" w:rsidRDefault="003654D8" w:rsidP="003654D8">
                  <w:pPr>
                    <w:pStyle w:val="TableBodyText"/>
                    <w:jc w:val="left"/>
                  </w:pPr>
                  <w:r>
                    <w:t>Proportion of 15–19 year olds engaged in work or study</w:t>
                  </w:r>
                </w:p>
              </w:tc>
              <w:tc>
                <w:tcPr>
                  <w:tcW w:w="501" w:type="pct"/>
                  <w:shd w:val="clear" w:color="auto" w:fill="auto"/>
                </w:tcPr>
                <w:p w14:paraId="1B9D7DA5" w14:textId="1ED3B863" w:rsidR="00520291" w:rsidRDefault="009E7A43" w:rsidP="006367E2">
                  <w:pPr>
                    <w:pStyle w:val="TableBodyText"/>
                  </w:pPr>
                  <w:r>
                    <w:t>0.77</w:t>
                  </w:r>
                </w:p>
              </w:tc>
              <w:tc>
                <w:tcPr>
                  <w:tcW w:w="503" w:type="pct"/>
                  <w:shd w:val="clear" w:color="auto" w:fill="auto"/>
                </w:tcPr>
                <w:p w14:paraId="03E9DF43" w14:textId="0944CA21" w:rsidR="00520291" w:rsidRDefault="009E7A43" w:rsidP="006367E2">
                  <w:pPr>
                    <w:pStyle w:val="TableBodyText"/>
                    <w:ind w:right="28"/>
                  </w:pPr>
                  <w:r>
                    <w:t>0.09</w:t>
                  </w:r>
                </w:p>
              </w:tc>
            </w:tr>
            <w:tr w:rsidR="00520291" w14:paraId="42291AAA" w14:textId="77777777" w:rsidTr="00520291">
              <w:tc>
                <w:tcPr>
                  <w:tcW w:w="989" w:type="pct"/>
                  <w:tcBorders>
                    <w:bottom w:val="single" w:sz="6" w:space="0" w:color="BFBFBF"/>
                  </w:tcBorders>
                  <w:shd w:val="clear" w:color="auto" w:fill="auto"/>
                </w:tcPr>
                <w:p w14:paraId="5CFC9F52" w14:textId="44CBFE0C" w:rsidR="00520291" w:rsidRDefault="00520291" w:rsidP="006367E2">
                  <w:pPr>
                    <w:pStyle w:val="TableBodyText"/>
                    <w:jc w:val="left"/>
                  </w:pPr>
                  <w:r>
                    <w:t>disability</w:t>
                  </w:r>
                </w:p>
              </w:tc>
              <w:tc>
                <w:tcPr>
                  <w:tcW w:w="3007" w:type="pct"/>
                  <w:tcBorders>
                    <w:bottom w:val="single" w:sz="6" w:space="0" w:color="BFBFBF"/>
                  </w:tcBorders>
                </w:tcPr>
                <w:p w14:paraId="6278F4A3" w14:textId="1DAF3DBD" w:rsidR="00520291" w:rsidRDefault="00FE42F1" w:rsidP="00520291">
                  <w:pPr>
                    <w:pStyle w:val="TableBodyText"/>
                    <w:jc w:val="left"/>
                  </w:pPr>
                  <w:r>
                    <w:t xml:space="preserve">Proportion of </w:t>
                  </w:r>
                  <w:r w:rsidR="00403FFF">
                    <w:t xml:space="preserve">the </w:t>
                  </w:r>
                  <w:r>
                    <w:t>population aged 15–64</w:t>
                  </w:r>
                  <w:r w:rsidR="003E5372">
                    <w:t xml:space="preserve"> who need assistance with core activities</w:t>
                  </w:r>
                </w:p>
              </w:tc>
              <w:tc>
                <w:tcPr>
                  <w:tcW w:w="501" w:type="pct"/>
                  <w:tcBorders>
                    <w:bottom w:val="single" w:sz="6" w:space="0" w:color="BFBFBF"/>
                  </w:tcBorders>
                  <w:shd w:val="clear" w:color="auto" w:fill="auto"/>
                </w:tcPr>
                <w:p w14:paraId="554E07FA" w14:textId="7E324497" w:rsidR="00520291" w:rsidRDefault="009E7A43" w:rsidP="006367E2">
                  <w:pPr>
                    <w:pStyle w:val="TableBodyText"/>
                  </w:pPr>
                  <w:r>
                    <w:t>0.03</w:t>
                  </w:r>
                </w:p>
              </w:tc>
              <w:tc>
                <w:tcPr>
                  <w:tcW w:w="503" w:type="pct"/>
                  <w:tcBorders>
                    <w:bottom w:val="single" w:sz="6" w:space="0" w:color="BFBFBF"/>
                  </w:tcBorders>
                  <w:shd w:val="clear" w:color="auto" w:fill="auto"/>
                </w:tcPr>
                <w:p w14:paraId="2D94D7D7" w14:textId="523E97F0" w:rsidR="00520291" w:rsidRDefault="009E7A43" w:rsidP="006367E2">
                  <w:pPr>
                    <w:pStyle w:val="TableBodyText"/>
                    <w:ind w:right="28"/>
                  </w:pPr>
                  <w:r>
                    <w:t>0.01</w:t>
                  </w:r>
                </w:p>
              </w:tc>
            </w:tr>
          </w:tbl>
          <w:p w14:paraId="27DB99A8" w14:textId="77777777" w:rsidR="00641471" w:rsidRDefault="00641471" w:rsidP="006367E2">
            <w:pPr>
              <w:pStyle w:val="Box"/>
            </w:pPr>
          </w:p>
        </w:tc>
      </w:tr>
      <w:tr w:rsidR="00641471" w14:paraId="0B7B4D53" w14:textId="77777777" w:rsidTr="00A23812">
        <w:tc>
          <w:tcPr>
            <w:tcW w:w="5000" w:type="pct"/>
            <w:tcBorders>
              <w:top w:val="nil"/>
              <w:left w:val="nil"/>
              <w:bottom w:val="nil"/>
              <w:right w:val="nil"/>
            </w:tcBorders>
            <w:shd w:val="clear" w:color="auto" w:fill="auto"/>
          </w:tcPr>
          <w:p w14:paraId="2EB5B206" w14:textId="01D87843" w:rsidR="00641471" w:rsidRPr="00E07DF3" w:rsidRDefault="00641471" w:rsidP="008C2785">
            <w:pPr>
              <w:pStyle w:val="Note"/>
            </w:pPr>
            <w:r w:rsidRPr="008E77FE">
              <w:rPr>
                <w:rStyle w:val="NoteLabel"/>
              </w:rPr>
              <w:t>a</w:t>
            </w:r>
            <w:r>
              <w:t xml:space="preserve"> </w:t>
            </w:r>
            <w:r w:rsidR="00520291">
              <w:t>Data sourced from the 2011 Census of Population and Housing unless otherwise indicated.</w:t>
            </w:r>
            <w:r w:rsidR="00CD3B19">
              <w:t xml:space="preserve"> </w:t>
            </w:r>
            <w:r w:rsidR="00CD3B19">
              <w:rPr>
                <w:rStyle w:val="NoteLabel"/>
              </w:rPr>
              <w:t>b</w:t>
            </w:r>
            <w:r w:rsidR="00CD3B19">
              <w:t xml:space="preserve"> </w:t>
            </w:r>
            <w:r w:rsidR="00163255">
              <w:t> In the Australian and New Zealand Standard Classification of Occupations (</w:t>
            </w:r>
            <w:proofErr w:type="spellStart"/>
            <w:r w:rsidR="00163255">
              <w:t>A</w:t>
            </w:r>
            <w:r w:rsidR="003161FE">
              <w:t>N</w:t>
            </w:r>
            <w:r w:rsidR="00163255">
              <w:t>ZSCO</w:t>
            </w:r>
            <w:proofErr w:type="spellEnd"/>
            <w:r w:rsidR="00163255">
              <w:t xml:space="preserve">), </w:t>
            </w:r>
            <w:r w:rsidR="00BD46DB">
              <w:t xml:space="preserve">skill level 1 occupations (the most highly skilled) </w:t>
            </w:r>
            <w:r w:rsidR="00695395">
              <w:t xml:space="preserve">have a level of skill </w:t>
            </w:r>
            <w:r w:rsidR="00E07DF3">
              <w:t>corresponding to a bachelor degree or higher qualification</w:t>
            </w:r>
            <w:r w:rsidR="00802341">
              <w:t xml:space="preserve">, or </w:t>
            </w:r>
            <w:r w:rsidR="00A2740B">
              <w:t xml:space="preserve">at least five years pf relevant </w:t>
            </w:r>
            <w:r w:rsidR="00802341">
              <w:t>experience</w:t>
            </w:r>
            <w:r w:rsidR="00E07DF3">
              <w:t xml:space="preserve"> </w:t>
            </w:r>
            <w:r w:rsidR="00E07DF3" w:rsidRPr="00E07DF3">
              <w:rPr>
                <w:rFonts w:cs="Arial"/>
                <w:szCs w:val="24"/>
              </w:rPr>
              <w:t>(ABS 2005)</w:t>
            </w:r>
            <w:r w:rsidR="00E07DF3">
              <w:t>.</w:t>
            </w:r>
            <w:r w:rsidR="00A232EA">
              <w:t xml:space="preserve"> </w:t>
            </w:r>
          </w:p>
        </w:tc>
      </w:tr>
      <w:tr w:rsidR="00641471" w14:paraId="2E630FAD" w14:textId="77777777" w:rsidTr="00A23812">
        <w:tc>
          <w:tcPr>
            <w:tcW w:w="5000" w:type="pct"/>
            <w:tcBorders>
              <w:top w:val="nil"/>
              <w:left w:val="nil"/>
              <w:bottom w:val="nil"/>
              <w:right w:val="nil"/>
            </w:tcBorders>
            <w:shd w:val="clear" w:color="auto" w:fill="auto"/>
          </w:tcPr>
          <w:p w14:paraId="14522506" w14:textId="3387C6AE" w:rsidR="00641471" w:rsidRDefault="00A3129F" w:rsidP="00A3129F">
            <w:pPr>
              <w:pStyle w:val="Source"/>
            </w:pPr>
            <w:r>
              <w:rPr>
                <w:i/>
              </w:rPr>
              <w:t>Source</w:t>
            </w:r>
            <w:r w:rsidR="00641471" w:rsidRPr="00167F06">
              <w:t xml:space="preserve">: </w:t>
            </w:r>
            <w:r>
              <w:t>Productivity Commission estimates</w:t>
            </w:r>
            <w:r w:rsidR="00641471">
              <w:t>.</w:t>
            </w:r>
          </w:p>
        </w:tc>
      </w:tr>
      <w:tr w:rsidR="00641471" w14:paraId="783BA974" w14:textId="77777777" w:rsidTr="00A23812">
        <w:tc>
          <w:tcPr>
            <w:tcW w:w="5000" w:type="pct"/>
            <w:tcBorders>
              <w:top w:val="nil"/>
              <w:left w:val="nil"/>
              <w:bottom w:val="single" w:sz="6" w:space="0" w:color="78A22F"/>
              <w:right w:val="nil"/>
            </w:tcBorders>
            <w:shd w:val="clear" w:color="auto" w:fill="auto"/>
          </w:tcPr>
          <w:p w14:paraId="295D380A" w14:textId="77777777" w:rsidR="00641471" w:rsidRDefault="00641471" w:rsidP="006367E2">
            <w:pPr>
              <w:pStyle w:val="Box"/>
              <w:spacing w:before="0" w:line="120" w:lineRule="exact"/>
            </w:pPr>
          </w:p>
        </w:tc>
      </w:tr>
      <w:tr w:rsidR="00641471" w:rsidRPr="000863A5" w14:paraId="7D91F7A6" w14:textId="77777777" w:rsidTr="00A23812">
        <w:tc>
          <w:tcPr>
            <w:tcW w:w="5000" w:type="pct"/>
            <w:tcBorders>
              <w:top w:val="single" w:sz="6" w:space="0" w:color="78A22F"/>
              <w:left w:val="nil"/>
              <w:bottom w:val="nil"/>
              <w:right w:val="nil"/>
            </w:tcBorders>
          </w:tcPr>
          <w:p w14:paraId="23E0AE78" w14:textId="35179061" w:rsidR="00641471" w:rsidRPr="00626D32" w:rsidRDefault="00641471" w:rsidP="006367E2">
            <w:pPr>
              <w:pStyle w:val="BoxSpaceBelow"/>
            </w:pPr>
          </w:p>
        </w:tc>
      </w:tr>
    </w:tbl>
    <w:p w14:paraId="6EA3FA37" w14:textId="75B28FB0" w:rsidR="00641471" w:rsidRDefault="00820382" w:rsidP="00820382">
      <w:pPr>
        <w:pStyle w:val="Heading4"/>
      </w:pPr>
      <w:r>
        <w:t>Financial capital</w:t>
      </w:r>
    </w:p>
    <w:p w14:paraId="2F291647" w14:textId="14C3D051" w:rsidR="001F62BE" w:rsidRDefault="0040121B" w:rsidP="0005450E">
      <w:pPr>
        <w:pStyle w:val="BodyText"/>
      </w:pPr>
      <w:r>
        <w:t xml:space="preserve">Financial capital </w:t>
      </w:r>
      <w:r w:rsidR="001A6C60">
        <w:t xml:space="preserve">captures the capacity of regional communities to draw on savings and credit in response to changing economic circumstances. </w:t>
      </w:r>
      <w:r w:rsidR="00AF5000">
        <w:t xml:space="preserve">Although </w:t>
      </w:r>
      <w:r w:rsidR="009F1666">
        <w:t>measure</w:t>
      </w:r>
      <w:r w:rsidR="00207649">
        <w:t>s</w:t>
      </w:r>
      <w:r w:rsidR="001A6C60">
        <w:t xml:space="preserve"> of savings </w:t>
      </w:r>
      <w:r w:rsidR="00B3658C">
        <w:t xml:space="preserve">and credit are </w:t>
      </w:r>
      <w:r w:rsidR="001A6C60">
        <w:t>not available</w:t>
      </w:r>
      <w:r w:rsidR="00A95381">
        <w:t xml:space="preserve"> at </w:t>
      </w:r>
      <w:r w:rsidR="00C513EA">
        <w:t>the</w:t>
      </w:r>
      <w:r w:rsidR="00A95381">
        <w:t xml:space="preserve"> </w:t>
      </w:r>
      <w:proofErr w:type="spellStart"/>
      <w:r w:rsidR="00796ABB">
        <w:t>SA2</w:t>
      </w:r>
      <w:proofErr w:type="spellEnd"/>
      <w:r w:rsidR="00796ABB">
        <w:t xml:space="preserve"> </w:t>
      </w:r>
      <w:r w:rsidR="00A95381">
        <w:t>level</w:t>
      </w:r>
      <w:r w:rsidR="001A6C60">
        <w:t xml:space="preserve">, </w:t>
      </w:r>
      <w:r w:rsidR="00B3658C">
        <w:t>they have</w:t>
      </w:r>
      <w:r w:rsidR="001A6C60">
        <w:t xml:space="preserve"> been </w:t>
      </w:r>
      <w:proofErr w:type="spellStart"/>
      <w:r w:rsidR="001A6C60">
        <w:t>proxied</w:t>
      </w:r>
      <w:proofErr w:type="spellEnd"/>
      <w:r w:rsidR="001A6C60">
        <w:t xml:space="preserve"> by other indicators that reflect </w:t>
      </w:r>
      <w:r w:rsidR="002C5D02">
        <w:t xml:space="preserve">a </w:t>
      </w:r>
      <w:r w:rsidR="00470690">
        <w:t>regional community’s</w:t>
      </w:r>
      <w:r w:rsidR="00B3658C">
        <w:t xml:space="preserve"> </w:t>
      </w:r>
      <w:r w:rsidR="002C5D02">
        <w:t xml:space="preserve">scope </w:t>
      </w:r>
      <w:r w:rsidR="00B3658C">
        <w:t>to save</w:t>
      </w:r>
      <w:r w:rsidR="00502FC5">
        <w:t xml:space="preserve"> and access credit</w:t>
      </w:r>
      <w:r w:rsidR="001A6C60">
        <w:t xml:space="preserve">, </w:t>
      </w:r>
      <w:r w:rsidR="00973622">
        <w:t>particularly</w:t>
      </w:r>
      <w:r w:rsidR="001A6C60">
        <w:t xml:space="preserve"> income and wealth</w:t>
      </w:r>
      <w:r w:rsidR="00E94B47">
        <w:noBreakHyphen/>
      </w:r>
      <w:r w:rsidR="001A6C60">
        <w:t>related variables (table</w:t>
      </w:r>
      <w:r w:rsidR="008B66ED">
        <w:t> </w:t>
      </w:r>
      <w:r w:rsidR="007668E2">
        <w:t>3</w:t>
      </w:r>
      <w:r w:rsidR="001A6C60">
        <w:t>).</w:t>
      </w:r>
      <w:r w:rsidR="00897433">
        <w:rPr>
          <w:rStyle w:val="FootnoteReference"/>
        </w:rPr>
        <w:footnoteReference w:id="3"/>
      </w:r>
      <w:r w:rsidR="001A6C60">
        <w:t xml:space="preserve"> </w:t>
      </w:r>
    </w:p>
    <w:p w14:paraId="417F9299" w14:textId="523CB737" w:rsidR="00E07DF3" w:rsidRDefault="00E07DF3" w:rsidP="00E07DF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07DF3" w14:paraId="5182C36E" w14:textId="77777777" w:rsidTr="00A23812">
        <w:trPr>
          <w:tblHeader/>
        </w:trPr>
        <w:tc>
          <w:tcPr>
            <w:tcW w:w="5000" w:type="pct"/>
            <w:tcBorders>
              <w:top w:val="single" w:sz="6" w:space="0" w:color="78A22F"/>
              <w:left w:val="nil"/>
              <w:bottom w:val="nil"/>
              <w:right w:val="nil"/>
            </w:tcBorders>
            <w:shd w:val="clear" w:color="auto" w:fill="auto"/>
          </w:tcPr>
          <w:p w14:paraId="5627D77D" w14:textId="2ABA89CD" w:rsidR="00E07DF3" w:rsidRPr="00784A05" w:rsidRDefault="00E07DF3" w:rsidP="0017668C">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D2773">
              <w:rPr>
                <w:b w:val="0"/>
                <w:noProof/>
              </w:rPr>
              <w:t>3</w:t>
            </w:r>
            <w:r>
              <w:rPr>
                <w:b w:val="0"/>
              </w:rPr>
              <w:fldChar w:fldCharType="end"/>
            </w:r>
            <w:r>
              <w:tab/>
              <w:t>Financial capital indicators</w:t>
            </w:r>
            <w:r w:rsidR="0017668C">
              <w:t xml:space="preserve"> included in index</w:t>
            </w:r>
          </w:p>
        </w:tc>
      </w:tr>
      <w:tr w:rsidR="00E07DF3" w14:paraId="373F2113"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82"/>
              <w:gridCol w:w="5285"/>
              <w:gridCol w:w="682"/>
              <w:gridCol w:w="856"/>
            </w:tblGrid>
            <w:tr w:rsidR="00E07DF3" w14:paraId="76CA6609" w14:textId="77777777" w:rsidTr="0087237D">
              <w:trPr>
                <w:tblHeader/>
              </w:trPr>
              <w:tc>
                <w:tcPr>
                  <w:tcW w:w="989" w:type="pct"/>
                  <w:tcBorders>
                    <w:top w:val="single" w:sz="6" w:space="0" w:color="BFBFBF"/>
                    <w:bottom w:val="single" w:sz="6" w:space="0" w:color="BFBFBF"/>
                  </w:tcBorders>
                  <w:shd w:val="clear" w:color="auto" w:fill="auto"/>
                  <w:tcMar>
                    <w:top w:w="28" w:type="dxa"/>
                  </w:tcMar>
                </w:tcPr>
                <w:p w14:paraId="209037D1" w14:textId="77777777" w:rsidR="00E07DF3" w:rsidRDefault="00E07DF3" w:rsidP="00E322F7">
                  <w:pPr>
                    <w:pStyle w:val="TableColumnHeading"/>
                    <w:spacing w:before="20"/>
                    <w:jc w:val="left"/>
                  </w:pPr>
                  <w:r>
                    <w:t>Indicator</w:t>
                  </w:r>
                  <w:r w:rsidRPr="00520291">
                    <w:rPr>
                      <w:rStyle w:val="NoteLabel"/>
                      <w:i w:val="0"/>
                    </w:rPr>
                    <w:t>a</w:t>
                  </w:r>
                </w:p>
              </w:tc>
              <w:tc>
                <w:tcPr>
                  <w:tcW w:w="3107" w:type="pct"/>
                  <w:tcBorders>
                    <w:top w:val="single" w:sz="6" w:space="0" w:color="BFBFBF"/>
                    <w:bottom w:val="single" w:sz="6" w:space="0" w:color="BFBFBF"/>
                  </w:tcBorders>
                </w:tcPr>
                <w:p w14:paraId="57BA1322" w14:textId="77777777" w:rsidR="00E07DF3" w:rsidRDefault="00E07DF3" w:rsidP="006367E2">
                  <w:pPr>
                    <w:pStyle w:val="TableColumnHeading"/>
                    <w:jc w:val="left"/>
                  </w:pPr>
                  <w:r>
                    <w:t>Description</w:t>
                  </w:r>
                </w:p>
              </w:tc>
              <w:tc>
                <w:tcPr>
                  <w:tcW w:w="401" w:type="pct"/>
                  <w:tcBorders>
                    <w:top w:val="single" w:sz="6" w:space="0" w:color="BFBFBF"/>
                    <w:bottom w:val="single" w:sz="6" w:space="0" w:color="BFBFBF"/>
                  </w:tcBorders>
                  <w:shd w:val="clear" w:color="auto" w:fill="auto"/>
                  <w:tcMar>
                    <w:top w:w="28" w:type="dxa"/>
                  </w:tcMar>
                </w:tcPr>
                <w:p w14:paraId="187CE0C3" w14:textId="77777777" w:rsidR="00E07DF3" w:rsidRDefault="00E07DF3" w:rsidP="006367E2">
                  <w:pPr>
                    <w:pStyle w:val="TableColumnHeading"/>
                  </w:pPr>
                  <w:r>
                    <w:t>Mean</w:t>
                  </w:r>
                </w:p>
              </w:tc>
              <w:tc>
                <w:tcPr>
                  <w:tcW w:w="503" w:type="pct"/>
                  <w:tcBorders>
                    <w:top w:val="single" w:sz="6" w:space="0" w:color="BFBFBF"/>
                    <w:bottom w:val="single" w:sz="6" w:space="0" w:color="BFBFBF"/>
                  </w:tcBorders>
                  <w:shd w:val="clear" w:color="auto" w:fill="auto"/>
                  <w:tcMar>
                    <w:top w:w="28" w:type="dxa"/>
                  </w:tcMar>
                </w:tcPr>
                <w:p w14:paraId="3E8B084E" w14:textId="17ABA7C6" w:rsidR="00E07DF3" w:rsidRDefault="00E07DF3" w:rsidP="00E322F7">
                  <w:pPr>
                    <w:pStyle w:val="TableColumnHeading"/>
                    <w:ind w:right="28"/>
                  </w:pPr>
                  <w:r>
                    <w:t xml:space="preserve">Standard </w:t>
                  </w:r>
                  <w:r w:rsidR="00E322F7">
                    <w:br/>
                  </w:r>
                  <w:r>
                    <w:t>deviation</w:t>
                  </w:r>
                </w:p>
              </w:tc>
            </w:tr>
            <w:tr w:rsidR="00E07DF3" w14:paraId="39805DE6" w14:textId="77777777" w:rsidTr="0087237D">
              <w:tc>
                <w:tcPr>
                  <w:tcW w:w="989" w:type="pct"/>
                  <w:tcBorders>
                    <w:top w:val="single" w:sz="6" w:space="0" w:color="BFBFBF"/>
                  </w:tcBorders>
                </w:tcPr>
                <w:p w14:paraId="4DB94EF8" w14:textId="091F0119" w:rsidR="00E07DF3" w:rsidRDefault="00635979" w:rsidP="000C0C36">
                  <w:pPr>
                    <w:pStyle w:val="TableBodyText"/>
                    <w:spacing w:before="40"/>
                    <w:jc w:val="left"/>
                  </w:pPr>
                  <w:proofErr w:type="spellStart"/>
                  <w:r>
                    <w:t>high_income</w:t>
                  </w:r>
                  <w:proofErr w:type="spellEnd"/>
                </w:p>
              </w:tc>
              <w:tc>
                <w:tcPr>
                  <w:tcW w:w="3107" w:type="pct"/>
                  <w:tcBorders>
                    <w:top w:val="single" w:sz="6" w:space="0" w:color="BFBFBF"/>
                  </w:tcBorders>
                </w:tcPr>
                <w:p w14:paraId="591768EB" w14:textId="5F927F12" w:rsidR="00E07DF3" w:rsidRDefault="000F7F0F" w:rsidP="000A2017">
                  <w:pPr>
                    <w:pStyle w:val="TableBodyText"/>
                    <w:spacing w:before="40"/>
                    <w:jc w:val="left"/>
                  </w:pPr>
                  <w:r>
                    <w:t xml:space="preserve">Proportion of </w:t>
                  </w:r>
                  <w:r w:rsidR="007959C3">
                    <w:t xml:space="preserve">the </w:t>
                  </w:r>
                  <w:r w:rsidR="005A29D5">
                    <w:t xml:space="preserve">population </w:t>
                  </w:r>
                  <w:r>
                    <w:t xml:space="preserve">with </w:t>
                  </w:r>
                  <w:proofErr w:type="spellStart"/>
                  <w:r w:rsidR="00F631F9">
                    <w:t>equivalised</w:t>
                  </w:r>
                  <w:proofErr w:type="spellEnd"/>
                  <w:r w:rsidR="00F631F9">
                    <w:t xml:space="preserve"> total household income</w:t>
                  </w:r>
                  <w:r>
                    <w:t xml:space="preserve"> greater than $</w:t>
                  </w:r>
                  <w:r w:rsidR="000A2017">
                    <w:t xml:space="preserve">1250 </w:t>
                  </w:r>
                  <w:r>
                    <w:t>per week</w:t>
                  </w:r>
                  <w:r>
                    <w:rPr>
                      <w:rStyle w:val="NoteLabel"/>
                    </w:rPr>
                    <w:t>b</w:t>
                  </w:r>
                </w:p>
              </w:tc>
              <w:tc>
                <w:tcPr>
                  <w:tcW w:w="401" w:type="pct"/>
                  <w:tcBorders>
                    <w:top w:val="single" w:sz="6" w:space="0" w:color="BFBFBF"/>
                  </w:tcBorders>
                </w:tcPr>
                <w:p w14:paraId="7220DDA1" w14:textId="0758FB09" w:rsidR="00E07DF3" w:rsidRDefault="00E72850" w:rsidP="000C0C36">
                  <w:pPr>
                    <w:pStyle w:val="TableBodyText"/>
                    <w:spacing w:before="40"/>
                  </w:pPr>
                  <w:r>
                    <w:t>0.24</w:t>
                  </w:r>
                </w:p>
              </w:tc>
              <w:tc>
                <w:tcPr>
                  <w:tcW w:w="503" w:type="pct"/>
                  <w:tcBorders>
                    <w:top w:val="single" w:sz="6" w:space="0" w:color="BFBFBF"/>
                  </w:tcBorders>
                </w:tcPr>
                <w:p w14:paraId="71E356A8" w14:textId="1D229C99" w:rsidR="00E07DF3" w:rsidRDefault="00E72850" w:rsidP="000C0C36">
                  <w:pPr>
                    <w:pStyle w:val="TableBodyText"/>
                    <w:spacing w:before="40"/>
                    <w:ind w:right="28"/>
                  </w:pPr>
                  <w:r>
                    <w:t>0.14</w:t>
                  </w:r>
                </w:p>
              </w:tc>
            </w:tr>
            <w:tr w:rsidR="00E07DF3" w14:paraId="364D9D93" w14:textId="77777777" w:rsidTr="0087237D">
              <w:tc>
                <w:tcPr>
                  <w:tcW w:w="989" w:type="pct"/>
                </w:tcPr>
                <w:p w14:paraId="0C9F0591" w14:textId="74CEF101" w:rsidR="00E07DF3" w:rsidRDefault="00635979" w:rsidP="00635979">
                  <w:pPr>
                    <w:pStyle w:val="TableBodyText"/>
                    <w:jc w:val="left"/>
                  </w:pPr>
                  <w:proofErr w:type="spellStart"/>
                  <w:r>
                    <w:t>govt_payment</w:t>
                  </w:r>
                  <w:proofErr w:type="spellEnd"/>
                  <w:r w:rsidR="00EF4EAF">
                    <w:rPr>
                      <w:rStyle w:val="NoteLabel"/>
                    </w:rPr>
                    <w:t>c</w:t>
                  </w:r>
                </w:p>
              </w:tc>
              <w:tc>
                <w:tcPr>
                  <w:tcW w:w="3107" w:type="pct"/>
                </w:tcPr>
                <w:p w14:paraId="4BA54A51" w14:textId="7A21E2E2" w:rsidR="00E07DF3" w:rsidRDefault="005A29D5" w:rsidP="005A29D5">
                  <w:pPr>
                    <w:pStyle w:val="TableBodyText"/>
                    <w:jc w:val="left"/>
                  </w:pPr>
                  <w:r>
                    <w:t xml:space="preserve">Proportion of </w:t>
                  </w:r>
                  <w:r w:rsidR="007959C3">
                    <w:t xml:space="preserve">the </w:t>
                  </w:r>
                  <w:r>
                    <w:t>population who received a government pension or allowance</w:t>
                  </w:r>
                  <w:r w:rsidR="00F50BCC">
                    <w:t xml:space="preserve"> (excludes Family Tax Benefit)</w:t>
                  </w:r>
                </w:p>
              </w:tc>
              <w:tc>
                <w:tcPr>
                  <w:tcW w:w="401" w:type="pct"/>
                </w:tcPr>
                <w:p w14:paraId="1F20D993" w14:textId="28558901" w:rsidR="00E07DF3" w:rsidRDefault="00E72850" w:rsidP="006367E2">
                  <w:pPr>
                    <w:pStyle w:val="TableBodyText"/>
                  </w:pPr>
                  <w:r>
                    <w:t>0.25</w:t>
                  </w:r>
                </w:p>
              </w:tc>
              <w:tc>
                <w:tcPr>
                  <w:tcW w:w="503" w:type="pct"/>
                </w:tcPr>
                <w:p w14:paraId="4A478F34" w14:textId="0652951B" w:rsidR="00E07DF3" w:rsidRDefault="00E72850" w:rsidP="006367E2">
                  <w:pPr>
                    <w:pStyle w:val="TableBodyText"/>
                    <w:ind w:right="28"/>
                  </w:pPr>
                  <w:r>
                    <w:t>0.08</w:t>
                  </w:r>
                </w:p>
              </w:tc>
            </w:tr>
            <w:tr w:rsidR="00E07DF3" w14:paraId="49E123D4" w14:textId="77777777" w:rsidTr="0087237D">
              <w:tc>
                <w:tcPr>
                  <w:tcW w:w="989" w:type="pct"/>
                  <w:shd w:val="clear" w:color="auto" w:fill="auto"/>
                </w:tcPr>
                <w:p w14:paraId="5AA2E884" w14:textId="524F0260" w:rsidR="00E07DF3" w:rsidRDefault="008662E2" w:rsidP="00860B19">
                  <w:pPr>
                    <w:pStyle w:val="TableBodyText"/>
                    <w:jc w:val="left"/>
                  </w:pPr>
                  <w:proofErr w:type="spellStart"/>
                  <w:r>
                    <w:t>property_price</w:t>
                  </w:r>
                  <w:r w:rsidR="00860B19">
                    <w:t>s</w:t>
                  </w:r>
                  <w:proofErr w:type="spellEnd"/>
                  <w:r w:rsidR="00860B19">
                    <w:rPr>
                      <w:rStyle w:val="NoteLabel"/>
                    </w:rPr>
                    <w:t>e</w:t>
                  </w:r>
                </w:p>
              </w:tc>
              <w:tc>
                <w:tcPr>
                  <w:tcW w:w="3107" w:type="pct"/>
                </w:tcPr>
                <w:p w14:paraId="36BF012C" w14:textId="01B11363" w:rsidR="00E07DF3" w:rsidRDefault="00D56E33" w:rsidP="0055728E">
                  <w:pPr>
                    <w:pStyle w:val="TableBodyText"/>
                    <w:jc w:val="left"/>
                  </w:pPr>
                  <w:r>
                    <w:t>Weighted average of median house and unit sale prices</w:t>
                  </w:r>
                  <w:r w:rsidR="00E72850">
                    <w:t xml:space="preserve"> ($’000)</w:t>
                  </w:r>
                </w:p>
              </w:tc>
              <w:tc>
                <w:tcPr>
                  <w:tcW w:w="401" w:type="pct"/>
                  <w:shd w:val="clear" w:color="auto" w:fill="auto"/>
                </w:tcPr>
                <w:p w14:paraId="589CBA11" w14:textId="6B504494" w:rsidR="00E07DF3" w:rsidRDefault="00E72850" w:rsidP="006367E2">
                  <w:pPr>
                    <w:pStyle w:val="TableBodyText"/>
                  </w:pPr>
                  <w:r>
                    <w:t>419.24</w:t>
                  </w:r>
                </w:p>
              </w:tc>
              <w:tc>
                <w:tcPr>
                  <w:tcW w:w="503" w:type="pct"/>
                  <w:shd w:val="clear" w:color="auto" w:fill="auto"/>
                </w:tcPr>
                <w:p w14:paraId="0F9B0A27" w14:textId="0627197F" w:rsidR="00E07DF3" w:rsidRDefault="00E72850" w:rsidP="006367E2">
                  <w:pPr>
                    <w:pStyle w:val="TableBodyText"/>
                    <w:ind w:right="28"/>
                  </w:pPr>
                  <w:r>
                    <w:t>196.30</w:t>
                  </w:r>
                </w:p>
              </w:tc>
            </w:tr>
            <w:tr w:rsidR="00E07DF3" w14:paraId="35ACD284" w14:textId="77777777" w:rsidTr="0087237D">
              <w:tc>
                <w:tcPr>
                  <w:tcW w:w="989" w:type="pct"/>
                  <w:tcBorders>
                    <w:bottom w:val="single" w:sz="6" w:space="0" w:color="BFBFBF"/>
                  </w:tcBorders>
                  <w:shd w:val="clear" w:color="auto" w:fill="auto"/>
                </w:tcPr>
                <w:p w14:paraId="1AE4D322" w14:textId="4C489E03" w:rsidR="00E07DF3" w:rsidRDefault="000F7F0F" w:rsidP="006367E2">
                  <w:pPr>
                    <w:pStyle w:val="TableBodyText"/>
                    <w:jc w:val="left"/>
                  </w:pPr>
                  <w:proofErr w:type="spellStart"/>
                  <w:r>
                    <w:t>own_home</w:t>
                  </w:r>
                  <w:proofErr w:type="spellEnd"/>
                </w:p>
              </w:tc>
              <w:tc>
                <w:tcPr>
                  <w:tcW w:w="3107" w:type="pct"/>
                  <w:tcBorders>
                    <w:bottom w:val="single" w:sz="6" w:space="0" w:color="BFBFBF"/>
                  </w:tcBorders>
                </w:tcPr>
                <w:p w14:paraId="578487CE" w14:textId="1257D0DA" w:rsidR="00E07DF3" w:rsidRDefault="00D56E33" w:rsidP="00074E69">
                  <w:pPr>
                    <w:pStyle w:val="TableBodyText"/>
                    <w:jc w:val="left"/>
                  </w:pPr>
                  <w:r>
                    <w:t xml:space="preserve">Proportion of </w:t>
                  </w:r>
                  <w:r w:rsidR="007959C3">
                    <w:t xml:space="preserve">the </w:t>
                  </w:r>
                  <w:r>
                    <w:t xml:space="preserve">population who live in </w:t>
                  </w:r>
                  <w:r w:rsidR="00074E69">
                    <w:t>an owner</w:t>
                  </w:r>
                  <w:r w:rsidR="00074E69">
                    <w:noBreakHyphen/>
                    <w:t xml:space="preserve">occupied dwelling </w:t>
                  </w:r>
                  <w:r>
                    <w:t>(with or without mortgage)</w:t>
                  </w:r>
                </w:p>
              </w:tc>
              <w:tc>
                <w:tcPr>
                  <w:tcW w:w="401" w:type="pct"/>
                  <w:tcBorders>
                    <w:bottom w:val="single" w:sz="6" w:space="0" w:color="BFBFBF"/>
                  </w:tcBorders>
                  <w:shd w:val="clear" w:color="auto" w:fill="auto"/>
                </w:tcPr>
                <w:p w14:paraId="125ADC7B" w14:textId="66115E1F" w:rsidR="00E07DF3" w:rsidRDefault="00E72850" w:rsidP="006367E2">
                  <w:pPr>
                    <w:pStyle w:val="TableBodyText"/>
                  </w:pPr>
                  <w:r>
                    <w:t>0.70</w:t>
                  </w:r>
                </w:p>
              </w:tc>
              <w:tc>
                <w:tcPr>
                  <w:tcW w:w="503" w:type="pct"/>
                  <w:tcBorders>
                    <w:bottom w:val="single" w:sz="6" w:space="0" w:color="BFBFBF"/>
                  </w:tcBorders>
                  <w:shd w:val="clear" w:color="auto" w:fill="auto"/>
                </w:tcPr>
                <w:p w14:paraId="42C90AB6" w14:textId="59A83ED6" w:rsidR="00E07DF3" w:rsidRDefault="00E72850" w:rsidP="006367E2">
                  <w:pPr>
                    <w:pStyle w:val="TableBodyText"/>
                    <w:ind w:right="28"/>
                  </w:pPr>
                  <w:r>
                    <w:t>0.14</w:t>
                  </w:r>
                </w:p>
              </w:tc>
            </w:tr>
          </w:tbl>
          <w:p w14:paraId="4214E918" w14:textId="77777777" w:rsidR="00E07DF3" w:rsidRDefault="00E07DF3" w:rsidP="006367E2">
            <w:pPr>
              <w:pStyle w:val="Box"/>
            </w:pPr>
          </w:p>
        </w:tc>
      </w:tr>
      <w:tr w:rsidR="00E07DF3" w14:paraId="5E622744" w14:textId="77777777" w:rsidTr="00A23812">
        <w:tc>
          <w:tcPr>
            <w:tcW w:w="5000" w:type="pct"/>
            <w:tcBorders>
              <w:top w:val="nil"/>
              <w:left w:val="nil"/>
              <w:bottom w:val="nil"/>
              <w:right w:val="nil"/>
            </w:tcBorders>
            <w:shd w:val="clear" w:color="auto" w:fill="auto"/>
          </w:tcPr>
          <w:p w14:paraId="0BE4AA33" w14:textId="43E90504" w:rsidR="00E07DF3" w:rsidRPr="00CE2DB4" w:rsidRDefault="00E07DF3" w:rsidP="008B795B">
            <w:pPr>
              <w:pStyle w:val="Note"/>
            </w:pPr>
            <w:r w:rsidRPr="008E77FE">
              <w:rPr>
                <w:rStyle w:val="NoteLabel"/>
              </w:rPr>
              <w:t>a</w:t>
            </w:r>
            <w:r>
              <w:t xml:space="preserve"> Data sourced from the 2011 Census of Population and Housing unless otherwise indicated. </w:t>
            </w:r>
            <w:r w:rsidR="000F7F0F">
              <w:rPr>
                <w:rStyle w:val="NoteLabel"/>
              </w:rPr>
              <w:t>b</w:t>
            </w:r>
            <w:r w:rsidR="000F7F0F">
              <w:t> </w:t>
            </w:r>
            <w:proofErr w:type="spellStart"/>
            <w:r w:rsidR="000F7F0F">
              <w:t>Equivalised</w:t>
            </w:r>
            <w:proofErr w:type="spellEnd"/>
            <w:r w:rsidR="000F7F0F">
              <w:t xml:space="preserve"> </w:t>
            </w:r>
            <w:r w:rsidR="007271F6">
              <w:t xml:space="preserve">household incomes can be </w:t>
            </w:r>
            <w:r w:rsidR="00F50BCC">
              <w:t xml:space="preserve">seen </w:t>
            </w:r>
            <w:r w:rsidR="007271F6">
              <w:t xml:space="preserve">as an indicator of the economic resources available to a standardised household </w:t>
            </w:r>
            <w:r w:rsidR="007271F6" w:rsidRPr="007271F6">
              <w:rPr>
                <w:rFonts w:cs="Arial"/>
                <w:szCs w:val="24"/>
              </w:rPr>
              <w:t>(ABS </w:t>
            </w:r>
            <w:proofErr w:type="spellStart"/>
            <w:r w:rsidR="007271F6" w:rsidRPr="007271F6">
              <w:rPr>
                <w:rFonts w:cs="Arial"/>
                <w:szCs w:val="24"/>
              </w:rPr>
              <w:t>2011b</w:t>
            </w:r>
            <w:proofErr w:type="spellEnd"/>
            <w:r w:rsidR="007271F6" w:rsidRPr="007271F6">
              <w:rPr>
                <w:rFonts w:cs="Arial"/>
                <w:szCs w:val="24"/>
              </w:rPr>
              <w:t>)</w:t>
            </w:r>
            <w:r w:rsidR="007271F6">
              <w:t xml:space="preserve">. </w:t>
            </w:r>
            <w:r w:rsidR="004451FE">
              <w:t xml:space="preserve">Changing the threshold for high income </w:t>
            </w:r>
            <w:r w:rsidR="00356CBD">
              <w:t xml:space="preserve">from </w:t>
            </w:r>
            <w:r w:rsidR="004451FE">
              <w:t xml:space="preserve">to $1000 </w:t>
            </w:r>
            <w:r w:rsidR="000A2017">
              <w:t xml:space="preserve">or $1500 </w:t>
            </w:r>
            <w:r w:rsidR="004451FE">
              <w:t>did not substantially change results.</w:t>
            </w:r>
            <w:r w:rsidR="007271F6">
              <w:rPr>
                <w:rStyle w:val="NoteLabel"/>
              </w:rPr>
              <w:t xml:space="preserve"> c </w:t>
            </w:r>
            <w:r w:rsidR="009544A2">
              <w:t>Data s</w:t>
            </w:r>
            <w:r w:rsidR="000F7B8D">
              <w:t xml:space="preserve">ourced from </w:t>
            </w:r>
            <w:r w:rsidR="000F7B8D" w:rsidRPr="000F7B8D">
              <w:t>ABS</w:t>
            </w:r>
            <w:r w:rsidR="000F7B8D">
              <w:t xml:space="preserve"> Selected Government Pensions and Allowances</w:t>
            </w:r>
            <w:r w:rsidR="0000456B">
              <w:t xml:space="preserve">, </w:t>
            </w:r>
            <w:r w:rsidR="000F7B8D">
              <w:t>2011</w:t>
            </w:r>
            <w:r w:rsidR="009544A2">
              <w:t xml:space="preserve"> </w:t>
            </w:r>
            <w:r w:rsidR="009544A2" w:rsidRPr="009544A2">
              <w:rPr>
                <w:rFonts w:cs="Arial"/>
                <w:szCs w:val="24"/>
              </w:rPr>
              <w:t>(ABS 2013)</w:t>
            </w:r>
            <w:r w:rsidR="007166DC">
              <w:t xml:space="preserve"> through </w:t>
            </w:r>
            <w:proofErr w:type="spellStart"/>
            <w:r w:rsidR="007166DC">
              <w:t>ABS.Stat</w:t>
            </w:r>
            <w:proofErr w:type="spellEnd"/>
            <w:r w:rsidR="007166DC">
              <w:t xml:space="preserve">. </w:t>
            </w:r>
            <w:proofErr w:type="spellStart"/>
            <w:r w:rsidR="00943DEA">
              <w:t>SA3</w:t>
            </w:r>
            <w:proofErr w:type="spellEnd"/>
            <w:r w:rsidR="00E94B47">
              <w:noBreakHyphen/>
            </w:r>
            <w:r w:rsidR="00943DEA">
              <w:t xml:space="preserve">level data were attributed to the </w:t>
            </w:r>
            <w:proofErr w:type="spellStart"/>
            <w:r w:rsidR="00943DEA">
              <w:t>SA2</w:t>
            </w:r>
            <w:proofErr w:type="spellEnd"/>
            <w:r w:rsidR="00943DEA">
              <w:t xml:space="preserve"> level assuming </w:t>
            </w:r>
            <w:r w:rsidR="00DE00F6">
              <w:t>th</w:t>
            </w:r>
            <w:r w:rsidR="003933B7">
              <w:t xml:space="preserve">at all </w:t>
            </w:r>
            <w:proofErr w:type="spellStart"/>
            <w:r w:rsidR="003933B7">
              <w:t>SA2s</w:t>
            </w:r>
            <w:proofErr w:type="spellEnd"/>
            <w:r w:rsidR="003933B7">
              <w:t xml:space="preserve"> in the same </w:t>
            </w:r>
            <w:proofErr w:type="spellStart"/>
            <w:r w:rsidR="003933B7">
              <w:t>SA3</w:t>
            </w:r>
            <w:proofErr w:type="spellEnd"/>
            <w:r w:rsidR="003933B7">
              <w:t xml:space="preserve"> had</w:t>
            </w:r>
            <w:r w:rsidR="00DE00F6">
              <w:t xml:space="preserve"> </w:t>
            </w:r>
            <w:r w:rsidR="00943DEA">
              <w:t>the same proportions</w:t>
            </w:r>
            <w:r w:rsidR="003933B7">
              <w:t xml:space="preserve"> of people receiving government payments</w:t>
            </w:r>
            <w:r w:rsidR="00943DEA">
              <w:t>.</w:t>
            </w:r>
            <w:r w:rsidR="006B1228">
              <w:rPr>
                <w:rStyle w:val="NoteLabel"/>
              </w:rPr>
              <w:t xml:space="preserve"> </w:t>
            </w:r>
            <w:r w:rsidR="00F50BCC">
              <w:rPr>
                <w:rStyle w:val="NoteLabel"/>
              </w:rPr>
              <w:t>e</w:t>
            </w:r>
            <w:r w:rsidR="00F50BCC">
              <w:t> </w:t>
            </w:r>
            <w:r w:rsidR="001F62BE">
              <w:t>Monthly d</w:t>
            </w:r>
            <w:r w:rsidR="009544A2">
              <w:t>ata s</w:t>
            </w:r>
            <w:r w:rsidR="00A30383">
              <w:t xml:space="preserve">ourced from </w:t>
            </w:r>
            <w:proofErr w:type="spellStart"/>
            <w:r w:rsidR="00A30383">
              <w:t>CoreLogic</w:t>
            </w:r>
            <w:proofErr w:type="spellEnd"/>
            <w:r w:rsidR="00A30383">
              <w:t>.</w:t>
            </w:r>
            <w:r w:rsidR="001F62BE">
              <w:t xml:space="preserve"> Average house and unit prices for 2011 were calculated as the average of monthly medians.</w:t>
            </w:r>
            <w:r w:rsidR="00F00184">
              <w:t xml:space="preserve"> These were weighted by sales volumes for each property type to construct the overall property price variable.</w:t>
            </w:r>
          </w:p>
        </w:tc>
      </w:tr>
      <w:tr w:rsidR="00E07DF3" w14:paraId="087BEB4F" w14:textId="77777777" w:rsidTr="00A23812">
        <w:tc>
          <w:tcPr>
            <w:tcW w:w="5000" w:type="pct"/>
            <w:tcBorders>
              <w:top w:val="nil"/>
              <w:left w:val="nil"/>
              <w:bottom w:val="nil"/>
              <w:right w:val="nil"/>
            </w:tcBorders>
            <w:shd w:val="clear" w:color="auto" w:fill="auto"/>
          </w:tcPr>
          <w:p w14:paraId="76893324" w14:textId="77777777" w:rsidR="00E07DF3" w:rsidRDefault="00E07DF3" w:rsidP="006367E2">
            <w:pPr>
              <w:pStyle w:val="Source"/>
            </w:pPr>
            <w:r>
              <w:rPr>
                <w:i/>
              </w:rPr>
              <w:t>Source</w:t>
            </w:r>
            <w:r w:rsidRPr="00167F06">
              <w:t xml:space="preserve">: </w:t>
            </w:r>
            <w:r>
              <w:t>Productivity Commission estimates.</w:t>
            </w:r>
          </w:p>
        </w:tc>
      </w:tr>
      <w:tr w:rsidR="00E07DF3" w14:paraId="14B6D8D4" w14:textId="77777777" w:rsidTr="00A23812">
        <w:tc>
          <w:tcPr>
            <w:tcW w:w="5000" w:type="pct"/>
            <w:tcBorders>
              <w:top w:val="nil"/>
              <w:left w:val="nil"/>
              <w:bottom w:val="single" w:sz="6" w:space="0" w:color="78A22F"/>
              <w:right w:val="nil"/>
            </w:tcBorders>
            <w:shd w:val="clear" w:color="auto" w:fill="auto"/>
          </w:tcPr>
          <w:p w14:paraId="14FEF983" w14:textId="77777777" w:rsidR="00E07DF3" w:rsidRDefault="00E07DF3" w:rsidP="006367E2">
            <w:pPr>
              <w:pStyle w:val="Box"/>
              <w:spacing w:before="0" w:line="120" w:lineRule="exact"/>
            </w:pPr>
          </w:p>
        </w:tc>
      </w:tr>
      <w:tr w:rsidR="00E07DF3" w:rsidRPr="000863A5" w14:paraId="00663DB0" w14:textId="77777777" w:rsidTr="00A23812">
        <w:tc>
          <w:tcPr>
            <w:tcW w:w="5000" w:type="pct"/>
            <w:tcBorders>
              <w:top w:val="single" w:sz="6" w:space="0" w:color="78A22F"/>
              <w:left w:val="nil"/>
              <w:bottom w:val="nil"/>
              <w:right w:val="nil"/>
            </w:tcBorders>
          </w:tcPr>
          <w:p w14:paraId="45A9065F" w14:textId="646082EC" w:rsidR="00E07DF3" w:rsidRPr="00626D32" w:rsidRDefault="00E07DF3" w:rsidP="006367E2">
            <w:pPr>
              <w:pStyle w:val="BoxSpaceBelow"/>
            </w:pPr>
          </w:p>
        </w:tc>
      </w:tr>
    </w:tbl>
    <w:p w14:paraId="4A673D96" w14:textId="259B2A2E" w:rsidR="00820382" w:rsidRDefault="008C2785" w:rsidP="008C2785">
      <w:pPr>
        <w:pStyle w:val="Heading4"/>
      </w:pPr>
      <w:r>
        <w:t>Natural capital</w:t>
      </w:r>
    </w:p>
    <w:p w14:paraId="7E98D91C" w14:textId="4525DEB5" w:rsidR="00086B42" w:rsidRDefault="00B15236" w:rsidP="00EA2B6F">
      <w:pPr>
        <w:pStyle w:val="BodyText"/>
      </w:pPr>
      <w:r>
        <w:t xml:space="preserve">Natural capital captures a region’s natural resources, such as land </w:t>
      </w:r>
      <w:r w:rsidR="006170D9">
        <w:t xml:space="preserve">that can be </w:t>
      </w:r>
      <w:r>
        <w:t>used for production (agriculture and mining) and national parks a</w:t>
      </w:r>
      <w:r w:rsidR="005D5A5C">
        <w:t>nd nature</w:t>
      </w:r>
      <w:r w:rsidR="00DC396B">
        <w:t xml:space="preserve"> reserves (</w:t>
      </w:r>
      <w:r>
        <w:t xml:space="preserve">potential </w:t>
      </w:r>
      <w:r w:rsidR="00DC396B">
        <w:t>sources</w:t>
      </w:r>
      <w:r>
        <w:t xml:space="preserve"> of tourism). </w:t>
      </w:r>
      <w:r w:rsidR="007261C3">
        <w:t xml:space="preserve">These natural </w:t>
      </w:r>
      <w:r w:rsidR="002A7E23">
        <w:t>endowments</w:t>
      </w:r>
      <w:r w:rsidR="007261C3">
        <w:t xml:space="preserve"> </w:t>
      </w:r>
      <w:r w:rsidR="0036500C">
        <w:t xml:space="preserve">can </w:t>
      </w:r>
      <w:r w:rsidR="007261C3">
        <w:t xml:space="preserve">provide regional communities with </w:t>
      </w:r>
      <w:r w:rsidR="0036500C">
        <w:t xml:space="preserve">a source of comparative advantage </w:t>
      </w:r>
      <w:r w:rsidR="00D64195">
        <w:t>and</w:t>
      </w:r>
      <w:r w:rsidR="0036500C">
        <w:t xml:space="preserve"> </w:t>
      </w:r>
      <w:r w:rsidR="00635525">
        <w:t xml:space="preserve">opportunities </w:t>
      </w:r>
      <w:r w:rsidR="001B72DC">
        <w:t>for</w:t>
      </w:r>
      <w:r w:rsidR="00635525">
        <w:t xml:space="preserve"> </w:t>
      </w:r>
      <w:r w:rsidR="001B72DC">
        <w:t xml:space="preserve">undertaking </w:t>
      </w:r>
      <w:r w:rsidR="00366943">
        <w:t xml:space="preserve">economic </w:t>
      </w:r>
      <w:r w:rsidR="00635525">
        <w:t>activities</w:t>
      </w:r>
      <w:r w:rsidR="001B72DC">
        <w:t>.</w:t>
      </w:r>
      <w:r w:rsidR="007261C3">
        <w:t xml:space="preserve"> </w:t>
      </w:r>
      <w:r w:rsidR="00E032B5">
        <w:t xml:space="preserve">Land use </w:t>
      </w:r>
      <w:r w:rsidR="005B3FF9">
        <w:t xml:space="preserve">indicators </w:t>
      </w:r>
      <w:r w:rsidR="00E032B5">
        <w:t>were represented as shares so that regions with differing total land sizes were analysed on a comparable basis</w:t>
      </w:r>
      <w:r w:rsidR="00C15B5E">
        <w:t xml:space="preserve"> (table</w:t>
      </w:r>
      <w:r w:rsidR="008B66ED">
        <w:t> </w:t>
      </w:r>
      <w:r w:rsidR="00C15B5E">
        <w:t>4)</w:t>
      </w:r>
      <w:r w:rsidR="00E032B5">
        <w:t xml:space="preserve">. </w:t>
      </w:r>
    </w:p>
    <w:p w14:paraId="58372195" w14:textId="2060CD0A" w:rsidR="00C30D69" w:rsidRDefault="00C30D69" w:rsidP="00C30D6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30D69" w14:paraId="45B798FB" w14:textId="77777777" w:rsidTr="00A23812">
        <w:tc>
          <w:tcPr>
            <w:tcW w:w="5000" w:type="pct"/>
            <w:tcBorders>
              <w:top w:val="single" w:sz="6" w:space="0" w:color="78A22F"/>
              <w:left w:val="nil"/>
              <w:bottom w:val="nil"/>
              <w:right w:val="nil"/>
            </w:tcBorders>
            <w:shd w:val="clear" w:color="auto" w:fill="auto"/>
          </w:tcPr>
          <w:p w14:paraId="56102DBD" w14:textId="5D45B098" w:rsidR="00C30D69" w:rsidRPr="00784A05" w:rsidRDefault="00C30D69" w:rsidP="0017668C">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D2773">
              <w:rPr>
                <w:b w:val="0"/>
                <w:noProof/>
              </w:rPr>
              <w:t>4</w:t>
            </w:r>
            <w:r>
              <w:rPr>
                <w:b w:val="0"/>
              </w:rPr>
              <w:fldChar w:fldCharType="end"/>
            </w:r>
            <w:r>
              <w:tab/>
              <w:t>Natural capital indicators</w:t>
            </w:r>
            <w:r w:rsidR="0017668C">
              <w:t xml:space="preserve"> included in index</w:t>
            </w:r>
          </w:p>
        </w:tc>
      </w:tr>
      <w:tr w:rsidR="00C30D69" w14:paraId="5E4637BA"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82"/>
              <w:gridCol w:w="5115"/>
              <w:gridCol w:w="852"/>
              <w:gridCol w:w="856"/>
            </w:tblGrid>
            <w:tr w:rsidR="00C30D69" w14:paraId="73CD19C6" w14:textId="77777777" w:rsidTr="006367E2">
              <w:trPr>
                <w:tblHeader/>
              </w:trPr>
              <w:tc>
                <w:tcPr>
                  <w:tcW w:w="989" w:type="pct"/>
                  <w:tcBorders>
                    <w:top w:val="single" w:sz="6" w:space="0" w:color="BFBFBF"/>
                    <w:bottom w:val="single" w:sz="6" w:space="0" w:color="BFBFBF"/>
                  </w:tcBorders>
                  <w:shd w:val="clear" w:color="auto" w:fill="auto"/>
                  <w:tcMar>
                    <w:top w:w="28" w:type="dxa"/>
                  </w:tcMar>
                </w:tcPr>
                <w:p w14:paraId="2F74AF8C" w14:textId="77777777" w:rsidR="00C30D69" w:rsidRDefault="00C30D69" w:rsidP="00E322F7">
                  <w:pPr>
                    <w:pStyle w:val="TableColumnHeading"/>
                    <w:spacing w:before="20"/>
                    <w:jc w:val="left"/>
                  </w:pPr>
                  <w:r>
                    <w:t>Indicator</w:t>
                  </w:r>
                  <w:r w:rsidRPr="00520291">
                    <w:rPr>
                      <w:rStyle w:val="NoteLabel"/>
                      <w:i w:val="0"/>
                    </w:rPr>
                    <w:t>a</w:t>
                  </w:r>
                </w:p>
              </w:tc>
              <w:tc>
                <w:tcPr>
                  <w:tcW w:w="3007" w:type="pct"/>
                  <w:tcBorders>
                    <w:top w:val="single" w:sz="6" w:space="0" w:color="BFBFBF"/>
                    <w:bottom w:val="single" w:sz="6" w:space="0" w:color="BFBFBF"/>
                  </w:tcBorders>
                </w:tcPr>
                <w:p w14:paraId="2A7F69F3" w14:textId="77777777" w:rsidR="00C30D69" w:rsidRDefault="00C30D69" w:rsidP="006367E2">
                  <w:pPr>
                    <w:pStyle w:val="TableColumnHeading"/>
                    <w:jc w:val="left"/>
                  </w:pPr>
                  <w:r>
                    <w:t>Description</w:t>
                  </w:r>
                </w:p>
              </w:tc>
              <w:tc>
                <w:tcPr>
                  <w:tcW w:w="501" w:type="pct"/>
                  <w:tcBorders>
                    <w:top w:val="single" w:sz="6" w:space="0" w:color="BFBFBF"/>
                    <w:bottom w:val="single" w:sz="6" w:space="0" w:color="BFBFBF"/>
                  </w:tcBorders>
                  <w:shd w:val="clear" w:color="auto" w:fill="auto"/>
                  <w:tcMar>
                    <w:top w:w="28" w:type="dxa"/>
                  </w:tcMar>
                </w:tcPr>
                <w:p w14:paraId="75104BD1" w14:textId="77777777" w:rsidR="00C30D69" w:rsidRDefault="00C30D69" w:rsidP="006367E2">
                  <w:pPr>
                    <w:pStyle w:val="TableColumnHeading"/>
                  </w:pPr>
                  <w:r>
                    <w:t>Mean</w:t>
                  </w:r>
                </w:p>
              </w:tc>
              <w:tc>
                <w:tcPr>
                  <w:tcW w:w="503" w:type="pct"/>
                  <w:tcBorders>
                    <w:top w:val="single" w:sz="6" w:space="0" w:color="BFBFBF"/>
                    <w:bottom w:val="single" w:sz="6" w:space="0" w:color="BFBFBF"/>
                  </w:tcBorders>
                  <w:shd w:val="clear" w:color="auto" w:fill="auto"/>
                  <w:tcMar>
                    <w:top w:w="28" w:type="dxa"/>
                  </w:tcMar>
                </w:tcPr>
                <w:p w14:paraId="73288040" w14:textId="20B60162" w:rsidR="00C30D69" w:rsidRDefault="00C30D69" w:rsidP="00E322F7">
                  <w:pPr>
                    <w:pStyle w:val="TableColumnHeading"/>
                    <w:ind w:right="28"/>
                  </w:pPr>
                  <w:r>
                    <w:t xml:space="preserve">Standard </w:t>
                  </w:r>
                  <w:r w:rsidR="00E322F7">
                    <w:t xml:space="preserve"> </w:t>
                  </w:r>
                  <w:r>
                    <w:t>deviation</w:t>
                  </w:r>
                </w:p>
              </w:tc>
            </w:tr>
            <w:tr w:rsidR="00C30D69" w14:paraId="5BFA45C5" w14:textId="77777777" w:rsidTr="006367E2">
              <w:tc>
                <w:tcPr>
                  <w:tcW w:w="989" w:type="pct"/>
                  <w:tcBorders>
                    <w:top w:val="single" w:sz="6" w:space="0" w:color="BFBFBF"/>
                  </w:tcBorders>
                </w:tcPr>
                <w:p w14:paraId="1E62AACE" w14:textId="683CCCD5" w:rsidR="00C30D69" w:rsidRDefault="00C30D69" w:rsidP="000C0C36">
                  <w:pPr>
                    <w:pStyle w:val="TableBodyText"/>
                    <w:jc w:val="left"/>
                  </w:pPr>
                  <w:proofErr w:type="spellStart"/>
                  <w:r>
                    <w:t>agri_land</w:t>
                  </w:r>
                  <w:r w:rsidR="00470C1E">
                    <w:rPr>
                      <w:rStyle w:val="NoteLabel"/>
                    </w:rPr>
                    <w:t>b</w:t>
                  </w:r>
                  <w:r w:rsidR="006F67BF">
                    <w:rPr>
                      <w:rStyle w:val="NoteLabel"/>
                    </w:rPr>
                    <w:t>,c</w:t>
                  </w:r>
                  <w:proofErr w:type="spellEnd"/>
                </w:p>
              </w:tc>
              <w:tc>
                <w:tcPr>
                  <w:tcW w:w="3007" w:type="pct"/>
                  <w:tcBorders>
                    <w:top w:val="single" w:sz="6" w:space="0" w:color="BFBFBF"/>
                  </w:tcBorders>
                </w:tcPr>
                <w:p w14:paraId="4A3F6DA3" w14:textId="117EBFB9" w:rsidR="00C30D69" w:rsidRDefault="005D5A5C" w:rsidP="000C0C36">
                  <w:pPr>
                    <w:pStyle w:val="TableBodyText"/>
                    <w:spacing w:before="40"/>
                    <w:jc w:val="left"/>
                  </w:pPr>
                  <w:r>
                    <w:t>Proportion of land used for agriculture</w:t>
                  </w:r>
                </w:p>
              </w:tc>
              <w:tc>
                <w:tcPr>
                  <w:tcW w:w="501" w:type="pct"/>
                  <w:tcBorders>
                    <w:top w:val="single" w:sz="6" w:space="0" w:color="BFBFBF"/>
                  </w:tcBorders>
                </w:tcPr>
                <w:p w14:paraId="7E5DE705" w14:textId="648A61CA" w:rsidR="00C30D69" w:rsidRDefault="00D5722D" w:rsidP="000C0C36">
                  <w:pPr>
                    <w:pStyle w:val="TableBodyText"/>
                    <w:spacing w:before="40"/>
                  </w:pPr>
                  <w:r>
                    <w:t>0.26</w:t>
                  </w:r>
                </w:p>
              </w:tc>
              <w:tc>
                <w:tcPr>
                  <w:tcW w:w="503" w:type="pct"/>
                  <w:tcBorders>
                    <w:top w:val="single" w:sz="6" w:space="0" w:color="BFBFBF"/>
                  </w:tcBorders>
                </w:tcPr>
                <w:p w14:paraId="73749EBA" w14:textId="22FEBA0A" w:rsidR="00C30D69" w:rsidRDefault="00D559B3" w:rsidP="000C0C36">
                  <w:pPr>
                    <w:pStyle w:val="TableBodyText"/>
                    <w:spacing w:before="40"/>
                    <w:ind w:right="28"/>
                  </w:pPr>
                  <w:r>
                    <w:t>0.35</w:t>
                  </w:r>
                </w:p>
              </w:tc>
            </w:tr>
            <w:tr w:rsidR="00C30D69" w14:paraId="0880CCAF" w14:textId="77777777" w:rsidTr="0087237D">
              <w:tc>
                <w:tcPr>
                  <w:tcW w:w="989" w:type="pct"/>
                </w:tcPr>
                <w:p w14:paraId="2B538EAE" w14:textId="11DE783D" w:rsidR="00C30D69" w:rsidRDefault="00C30D69" w:rsidP="00470C1E">
                  <w:pPr>
                    <w:pStyle w:val="TableBodyText"/>
                    <w:jc w:val="left"/>
                  </w:pPr>
                  <w:proofErr w:type="spellStart"/>
                  <w:r>
                    <w:t>nature_land</w:t>
                  </w:r>
                  <w:proofErr w:type="spellEnd"/>
                  <w:r w:rsidR="006F67BF">
                    <w:rPr>
                      <w:rStyle w:val="NoteLabel"/>
                    </w:rPr>
                    <w:t>b</w:t>
                  </w:r>
                </w:p>
              </w:tc>
              <w:tc>
                <w:tcPr>
                  <w:tcW w:w="3007" w:type="pct"/>
                  <w:vAlign w:val="bottom"/>
                </w:tcPr>
                <w:p w14:paraId="3F956335" w14:textId="1B5B6B20" w:rsidR="00C30D69" w:rsidRDefault="005D5A5C" w:rsidP="00A751E6">
                  <w:pPr>
                    <w:pStyle w:val="TableBodyText"/>
                    <w:jc w:val="left"/>
                  </w:pPr>
                  <w:r>
                    <w:t>Proportion of land used as national parks or nature reserves</w:t>
                  </w:r>
                  <w:r w:rsidR="00C92B68">
                    <w:t xml:space="preserve"> (2012)</w:t>
                  </w:r>
                </w:p>
              </w:tc>
              <w:tc>
                <w:tcPr>
                  <w:tcW w:w="501" w:type="pct"/>
                </w:tcPr>
                <w:p w14:paraId="610BB25B" w14:textId="4D48C6F7" w:rsidR="00C30D69" w:rsidRDefault="00D5722D" w:rsidP="00220827">
                  <w:pPr>
                    <w:pStyle w:val="TableBodyText"/>
                  </w:pPr>
                  <w:r>
                    <w:t>0.04</w:t>
                  </w:r>
                </w:p>
              </w:tc>
              <w:tc>
                <w:tcPr>
                  <w:tcW w:w="503" w:type="pct"/>
                </w:tcPr>
                <w:p w14:paraId="18C63F8D" w14:textId="70CF0CBB" w:rsidR="00C30D69" w:rsidRDefault="00D559B3" w:rsidP="0087237D">
                  <w:pPr>
                    <w:pStyle w:val="TableBodyText"/>
                    <w:ind w:right="28"/>
                  </w:pPr>
                  <w:r>
                    <w:t>0.10</w:t>
                  </w:r>
                </w:p>
              </w:tc>
            </w:tr>
            <w:tr w:rsidR="00C30D69" w14:paraId="37A528E2" w14:textId="77777777" w:rsidTr="006367E2">
              <w:tc>
                <w:tcPr>
                  <w:tcW w:w="989" w:type="pct"/>
                  <w:tcBorders>
                    <w:bottom w:val="single" w:sz="6" w:space="0" w:color="BFBFBF"/>
                  </w:tcBorders>
                  <w:shd w:val="clear" w:color="auto" w:fill="auto"/>
                </w:tcPr>
                <w:p w14:paraId="485A73D8" w14:textId="5D46CB7B" w:rsidR="00C30D69" w:rsidRDefault="00C30D69" w:rsidP="006367E2">
                  <w:pPr>
                    <w:pStyle w:val="TableBodyText"/>
                    <w:jc w:val="left"/>
                  </w:pPr>
                  <w:proofErr w:type="spellStart"/>
                  <w:r>
                    <w:t>mining_emp</w:t>
                  </w:r>
                  <w:proofErr w:type="spellEnd"/>
                </w:p>
              </w:tc>
              <w:tc>
                <w:tcPr>
                  <w:tcW w:w="3007" w:type="pct"/>
                  <w:tcBorders>
                    <w:bottom w:val="single" w:sz="6" w:space="0" w:color="BFBFBF"/>
                  </w:tcBorders>
                </w:tcPr>
                <w:p w14:paraId="511B0873" w14:textId="778D9CE2" w:rsidR="00C30D69" w:rsidRDefault="00596C43" w:rsidP="00FA1214">
                  <w:pPr>
                    <w:pStyle w:val="TableBodyText"/>
                    <w:jc w:val="left"/>
                  </w:pPr>
                  <w:r>
                    <w:t xml:space="preserve">Proportion </w:t>
                  </w:r>
                  <w:r w:rsidR="000B62F1">
                    <w:t xml:space="preserve">of </w:t>
                  </w:r>
                  <w:r w:rsidR="001A44E9">
                    <w:t xml:space="preserve">the </w:t>
                  </w:r>
                  <w:r w:rsidR="000B62F1">
                    <w:t xml:space="preserve">employed </w:t>
                  </w:r>
                  <w:r w:rsidR="00FA1214">
                    <w:t>population</w:t>
                  </w:r>
                  <w:r w:rsidR="000B62F1">
                    <w:t xml:space="preserve"> working in</w:t>
                  </w:r>
                  <w:r w:rsidR="00F3635F">
                    <w:t xml:space="preserve"> the</w:t>
                  </w:r>
                  <w:r w:rsidR="000B62F1">
                    <w:t xml:space="preserve"> mining industry</w:t>
                  </w:r>
                </w:p>
              </w:tc>
              <w:tc>
                <w:tcPr>
                  <w:tcW w:w="501" w:type="pct"/>
                  <w:tcBorders>
                    <w:bottom w:val="single" w:sz="6" w:space="0" w:color="BFBFBF"/>
                  </w:tcBorders>
                  <w:shd w:val="clear" w:color="auto" w:fill="auto"/>
                </w:tcPr>
                <w:p w14:paraId="151FFB99" w14:textId="54509FBF" w:rsidR="00C30D69" w:rsidRDefault="00D5722D" w:rsidP="006367E2">
                  <w:pPr>
                    <w:pStyle w:val="TableBodyText"/>
                  </w:pPr>
                  <w:r>
                    <w:t>0.02</w:t>
                  </w:r>
                </w:p>
              </w:tc>
              <w:tc>
                <w:tcPr>
                  <w:tcW w:w="503" w:type="pct"/>
                  <w:tcBorders>
                    <w:bottom w:val="single" w:sz="6" w:space="0" w:color="BFBFBF"/>
                  </w:tcBorders>
                  <w:shd w:val="clear" w:color="auto" w:fill="auto"/>
                </w:tcPr>
                <w:p w14:paraId="0703CB91" w14:textId="164A93BF" w:rsidR="00C30D69" w:rsidRDefault="00D559B3" w:rsidP="006367E2">
                  <w:pPr>
                    <w:pStyle w:val="TableBodyText"/>
                    <w:ind w:right="28"/>
                  </w:pPr>
                  <w:r>
                    <w:t>0.05</w:t>
                  </w:r>
                </w:p>
              </w:tc>
            </w:tr>
          </w:tbl>
          <w:p w14:paraId="561E2A36" w14:textId="77777777" w:rsidR="00C30D69" w:rsidRDefault="00C30D69" w:rsidP="006367E2">
            <w:pPr>
              <w:pStyle w:val="Box"/>
            </w:pPr>
          </w:p>
        </w:tc>
      </w:tr>
      <w:tr w:rsidR="00C30D69" w14:paraId="69E8E881" w14:textId="77777777" w:rsidTr="00A23812">
        <w:tc>
          <w:tcPr>
            <w:tcW w:w="5000" w:type="pct"/>
            <w:tcBorders>
              <w:top w:val="nil"/>
              <w:left w:val="nil"/>
              <w:bottom w:val="nil"/>
              <w:right w:val="nil"/>
            </w:tcBorders>
            <w:shd w:val="clear" w:color="auto" w:fill="auto"/>
          </w:tcPr>
          <w:p w14:paraId="46D4B9CE" w14:textId="2A86A1CE" w:rsidR="00C30D69" w:rsidRPr="00CE2DB4" w:rsidRDefault="00C30D69" w:rsidP="00292F92">
            <w:pPr>
              <w:pStyle w:val="Note"/>
            </w:pPr>
            <w:r w:rsidRPr="008E77FE">
              <w:rPr>
                <w:rStyle w:val="NoteLabel"/>
              </w:rPr>
              <w:t>a</w:t>
            </w:r>
            <w:r>
              <w:t xml:space="preserve"> Data sourced from the 2011 Census of Population and Housing unless otherwise indicated. </w:t>
            </w:r>
            <w:r w:rsidR="00DC396B">
              <w:rPr>
                <w:rStyle w:val="NoteLabel"/>
              </w:rPr>
              <w:t>b</w:t>
            </w:r>
            <w:r w:rsidR="00DC396B">
              <w:t> Data sourced from th</w:t>
            </w:r>
            <w:r w:rsidR="00EA2B6F">
              <w:t>e ABS National Regional Profile</w:t>
            </w:r>
            <w:r w:rsidR="006F31E4">
              <w:t>, 2010</w:t>
            </w:r>
            <w:r w:rsidR="00E94B47">
              <w:t>–</w:t>
            </w:r>
            <w:r w:rsidR="006F31E4">
              <w:t xml:space="preserve">2014, Cat. no. </w:t>
            </w:r>
            <w:r w:rsidR="006F31E4" w:rsidRPr="006F31E4">
              <w:t>1379.0.55.001</w:t>
            </w:r>
            <w:r w:rsidR="00EA2B6F">
              <w:t xml:space="preserve">. </w:t>
            </w:r>
            <w:r w:rsidR="006F67BF">
              <w:rPr>
                <w:rStyle w:val="NoteLabel"/>
              </w:rPr>
              <w:t>c</w:t>
            </w:r>
            <w:r w:rsidR="006F67BF">
              <w:t xml:space="preserve"> </w:t>
            </w:r>
            <w:r w:rsidR="00580553">
              <w:t xml:space="preserve">In some cases, calculated proportions exceeded 1 due to </w:t>
            </w:r>
            <w:r w:rsidR="009A0561">
              <w:t>data anomalies</w:t>
            </w:r>
            <w:r w:rsidR="00580553">
              <w:t>.</w:t>
            </w:r>
            <w:r w:rsidR="00292F92">
              <w:t xml:space="preserve"> P</w:t>
            </w:r>
            <w:r w:rsidR="00580553">
              <w:t>roportion</w:t>
            </w:r>
            <w:r w:rsidR="00292F92">
              <w:t>s</w:t>
            </w:r>
            <w:r w:rsidR="00580553">
              <w:t xml:space="preserve"> </w:t>
            </w:r>
            <w:r w:rsidR="00292F92">
              <w:t xml:space="preserve">were </w:t>
            </w:r>
            <w:r w:rsidR="00580553">
              <w:t xml:space="preserve">capped at </w:t>
            </w:r>
            <w:r w:rsidR="009A0561">
              <w:t xml:space="preserve">a maximum of </w:t>
            </w:r>
            <w:r w:rsidR="00580553">
              <w:t xml:space="preserve">1. </w:t>
            </w:r>
          </w:p>
        </w:tc>
      </w:tr>
      <w:tr w:rsidR="00C30D69" w14:paraId="7148583F" w14:textId="77777777" w:rsidTr="00A23812">
        <w:tc>
          <w:tcPr>
            <w:tcW w:w="5000" w:type="pct"/>
            <w:tcBorders>
              <w:top w:val="nil"/>
              <w:left w:val="nil"/>
              <w:bottom w:val="nil"/>
              <w:right w:val="nil"/>
            </w:tcBorders>
            <w:shd w:val="clear" w:color="auto" w:fill="auto"/>
          </w:tcPr>
          <w:p w14:paraId="272C8072" w14:textId="77777777" w:rsidR="00C30D69" w:rsidRDefault="00C30D69" w:rsidP="006367E2">
            <w:pPr>
              <w:pStyle w:val="Source"/>
            </w:pPr>
            <w:r>
              <w:rPr>
                <w:i/>
              </w:rPr>
              <w:t>Source</w:t>
            </w:r>
            <w:r w:rsidRPr="00167F06">
              <w:t xml:space="preserve">: </w:t>
            </w:r>
            <w:r>
              <w:t>Productivity Commission estimates.</w:t>
            </w:r>
          </w:p>
        </w:tc>
      </w:tr>
      <w:tr w:rsidR="00C30D69" w14:paraId="49E4E78D" w14:textId="77777777" w:rsidTr="00A23812">
        <w:tc>
          <w:tcPr>
            <w:tcW w:w="5000" w:type="pct"/>
            <w:tcBorders>
              <w:top w:val="nil"/>
              <w:left w:val="nil"/>
              <w:bottom w:val="single" w:sz="6" w:space="0" w:color="78A22F"/>
              <w:right w:val="nil"/>
            </w:tcBorders>
            <w:shd w:val="clear" w:color="auto" w:fill="auto"/>
          </w:tcPr>
          <w:p w14:paraId="7F6E69FC" w14:textId="77777777" w:rsidR="00C30D69" w:rsidRDefault="00C30D69" w:rsidP="006367E2">
            <w:pPr>
              <w:pStyle w:val="Box"/>
              <w:spacing w:before="0" w:line="120" w:lineRule="exact"/>
            </w:pPr>
          </w:p>
        </w:tc>
      </w:tr>
      <w:tr w:rsidR="00C30D69" w:rsidRPr="000863A5" w14:paraId="5D414D3E" w14:textId="77777777" w:rsidTr="00A23812">
        <w:tc>
          <w:tcPr>
            <w:tcW w:w="5000" w:type="pct"/>
            <w:tcBorders>
              <w:top w:val="single" w:sz="6" w:space="0" w:color="78A22F"/>
              <w:left w:val="nil"/>
              <w:bottom w:val="nil"/>
              <w:right w:val="nil"/>
            </w:tcBorders>
          </w:tcPr>
          <w:p w14:paraId="6D93E190" w14:textId="200C6D7C" w:rsidR="00C30D69" w:rsidRPr="00626D32" w:rsidRDefault="00C30D69" w:rsidP="006367E2">
            <w:pPr>
              <w:pStyle w:val="BoxSpaceBelow"/>
            </w:pPr>
          </w:p>
        </w:tc>
      </w:tr>
    </w:tbl>
    <w:p w14:paraId="7A9F6A63" w14:textId="3D2F5E69" w:rsidR="00086B42" w:rsidRDefault="00086B42" w:rsidP="00086B42">
      <w:pPr>
        <w:pStyle w:val="BodyText"/>
      </w:pPr>
      <w:r>
        <w:lastRenderedPageBreak/>
        <w:t xml:space="preserve">Indicators that are able to capture both the quantity and quality of land that could be used for agriculture and mining would be ideal. However, data on the value and quality of minerals were not available and nor was an indicator of land used for mining at the </w:t>
      </w:r>
      <w:proofErr w:type="spellStart"/>
      <w:r>
        <w:t>SA2</w:t>
      </w:r>
      <w:proofErr w:type="spellEnd"/>
      <w:r>
        <w:t xml:space="preserve"> level. Mining resources were </w:t>
      </w:r>
      <w:proofErr w:type="spellStart"/>
      <w:r>
        <w:t>proxied</w:t>
      </w:r>
      <w:proofErr w:type="spellEnd"/>
      <w:r>
        <w:t xml:space="preserve"> by the share of mining employment in a region. </w:t>
      </w:r>
    </w:p>
    <w:p w14:paraId="4976A5D1" w14:textId="436EE994" w:rsidR="005058EA" w:rsidRDefault="0081761D" w:rsidP="00086B42">
      <w:pPr>
        <w:pStyle w:val="BodyText"/>
      </w:pPr>
      <w:r>
        <w:t xml:space="preserve">An indicator of the proportion of employed people working as farmers or farm managers (instead of the share of land used for agriculture) was also examined, so that agriculture and mining could be analysed using similar measures. This led to a change in </w:t>
      </w:r>
      <w:proofErr w:type="spellStart"/>
      <w:r>
        <w:t>PCA</w:t>
      </w:r>
      <w:proofErr w:type="spellEnd"/>
      <w:r>
        <w:t xml:space="preserve"> results and some changes in adaptive capacity rankings as a consequence (although the group of least adaptive regions remained fairly stable). It is </w:t>
      </w:r>
      <w:r w:rsidR="00963D99">
        <w:t xml:space="preserve">unclear </w:t>
      </w:r>
      <w:r>
        <w:t xml:space="preserve">which agriculture measure </w:t>
      </w:r>
      <w:r w:rsidR="00963D99">
        <w:t>is the most appropriate proxy.</w:t>
      </w:r>
      <w:r>
        <w:t xml:space="preserve"> </w:t>
      </w:r>
      <w:r w:rsidR="00086B42">
        <w:t>T</w:t>
      </w:r>
      <w:r>
        <w:t xml:space="preserve">here are </w:t>
      </w:r>
      <w:r w:rsidR="00086B42">
        <w:t xml:space="preserve">also </w:t>
      </w:r>
      <w:r>
        <w:t xml:space="preserve">some issues with the current data on agricultural land at the </w:t>
      </w:r>
      <w:proofErr w:type="spellStart"/>
      <w:r>
        <w:t>SA2</w:t>
      </w:r>
      <w:proofErr w:type="spellEnd"/>
      <w:r>
        <w:t xml:space="preserve"> leve</w:t>
      </w:r>
      <w:r w:rsidR="00D611E4">
        <w:t>l. The underlying source of these</w:t>
      </w:r>
      <w:r>
        <w:t xml:space="preserve"> data is the ABS Agricultural Census, which is completed by agricultural businesses who may have land in multiple </w:t>
      </w:r>
      <w:proofErr w:type="spellStart"/>
      <w:r>
        <w:t>SA2</w:t>
      </w:r>
      <w:proofErr w:type="spellEnd"/>
      <w:r>
        <w:t xml:space="preserve"> regions. However, all the agricultural land </w:t>
      </w:r>
      <w:r w:rsidR="001730F6">
        <w:t xml:space="preserve">for a business </w:t>
      </w:r>
      <w:r>
        <w:t xml:space="preserve">is attributed to </w:t>
      </w:r>
      <w:r w:rsidR="007246A2">
        <w:t xml:space="preserve">the business’ office </w:t>
      </w:r>
      <w:r>
        <w:t xml:space="preserve">location, leading to some anomalies in the data (such as agricultural land exceeding total land in some </w:t>
      </w:r>
      <w:proofErr w:type="spellStart"/>
      <w:r>
        <w:t>SA2</w:t>
      </w:r>
      <w:proofErr w:type="spellEnd"/>
      <w:r>
        <w:t xml:space="preserve"> regions). </w:t>
      </w:r>
    </w:p>
    <w:p w14:paraId="16F0404E" w14:textId="7013CC62" w:rsidR="0081761D" w:rsidRDefault="0081761D" w:rsidP="00086B42">
      <w:pPr>
        <w:pStyle w:val="BodyText"/>
      </w:pPr>
      <w:r>
        <w:t xml:space="preserve">Further consideration of which is the most appropriate indicator will be undertaken for the final report. </w:t>
      </w:r>
    </w:p>
    <w:p w14:paraId="017E9ED7" w14:textId="344750D5" w:rsidR="00973622" w:rsidRDefault="00D559B3" w:rsidP="00D559B3">
      <w:pPr>
        <w:pStyle w:val="Heading4"/>
      </w:pPr>
      <w:r>
        <w:t>Physical capital</w:t>
      </w:r>
    </w:p>
    <w:p w14:paraId="39D8266F" w14:textId="4BA60BCD" w:rsidR="00D559B3" w:rsidRDefault="00D559B3" w:rsidP="00D559B3">
      <w:pPr>
        <w:pStyle w:val="BodyText"/>
      </w:pPr>
      <w:r>
        <w:t xml:space="preserve">Physical capital captures a region’s </w:t>
      </w:r>
      <w:r w:rsidR="00EA3CA8">
        <w:t xml:space="preserve">capacity to access </w:t>
      </w:r>
      <w:r>
        <w:t>infrastructure</w:t>
      </w:r>
      <w:r w:rsidR="00F63D5B">
        <w:t>, equipment and technology</w:t>
      </w:r>
      <w:r w:rsidR="00EA3CA8">
        <w:t xml:space="preserve"> to adapt to economic change</w:t>
      </w:r>
      <w:r w:rsidR="00A00BE0">
        <w:t xml:space="preserve">. </w:t>
      </w:r>
      <w:r w:rsidR="00776B23">
        <w:t xml:space="preserve">There </w:t>
      </w:r>
      <w:r w:rsidR="00FC49DD">
        <w:t>are</w:t>
      </w:r>
      <w:r w:rsidR="00776B23">
        <w:t xml:space="preserve"> limited data on physical infrastructure such as road, rail, ports and air transport. </w:t>
      </w:r>
      <w:r w:rsidR="00BA7573">
        <w:t>An indicator of</w:t>
      </w:r>
      <w:r w:rsidR="00A00BE0">
        <w:t xml:space="preserve"> regional remoteness, based on the ABS Remoteness Structure and the Accessibility/Remoteness Index of Australia</w:t>
      </w:r>
      <w:r w:rsidR="000A168E">
        <w:t>,</w:t>
      </w:r>
      <w:r w:rsidR="00A00BE0">
        <w:t xml:space="preserve"> </w:t>
      </w:r>
      <w:r w:rsidR="0018726E">
        <w:t>was</w:t>
      </w:r>
      <w:r w:rsidR="00A00BE0">
        <w:t xml:space="preserve"> used as a measure of access to services and infrastructure</w:t>
      </w:r>
      <w:r w:rsidR="00396802">
        <w:t xml:space="preserve"> (table</w:t>
      </w:r>
      <w:r w:rsidR="008B66ED">
        <w:t> </w:t>
      </w:r>
      <w:r w:rsidR="007668E2">
        <w:t>5</w:t>
      </w:r>
      <w:r w:rsidR="00396802">
        <w:t>)</w:t>
      </w:r>
      <w:r w:rsidR="00A00BE0">
        <w:t>.</w:t>
      </w:r>
    </w:p>
    <w:p w14:paraId="0C66EE45" w14:textId="377F952C" w:rsidR="00FA1214" w:rsidRDefault="00FA1214" w:rsidP="00FA121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A1214" w14:paraId="2B1E5F30" w14:textId="77777777" w:rsidTr="00A23812">
        <w:tc>
          <w:tcPr>
            <w:tcW w:w="5000" w:type="pct"/>
            <w:tcBorders>
              <w:top w:val="single" w:sz="6" w:space="0" w:color="78A22F"/>
              <w:left w:val="nil"/>
              <w:bottom w:val="nil"/>
              <w:right w:val="nil"/>
            </w:tcBorders>
            <w:shd w:val="clear" w:color="auto" w:fill="auto"/>
          </w:tcPr>
          <w:p w14:paraId="63CF8496" w14:textId="31885399" w:rsidR="00FA1214" w:rsidRPr="00784A05" w:rsidRDefault="00FA1214" w:rsidP="00FA1214">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D2773">
              <w:rPr>
                <w:b w:val="0"/>
                <w:noProof/>
              </w:rPr>
              <w:t>5</w:t>
            </w:r>
            <w:r>
              <w:rPr>
                <w:b w:val="0"/>
              </w:rPr>
              <w:fldChar w:fldCharType="end"/>
            </w:r>
            <w:r>
              <w:tab/>
              <w:t>Physical capital indicators included in index</w:t>
            </w:r>
          </w:p>
        </w:tc>
      </w:tr>
      <w:tr w:rsidR="00FA1214" w14:paraId="514D636A"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82"/>
              <w:gridCol w:w="5115"/>
              <w:gridCol w:w="852"/>
              <w:gridCol w:w="856"/>
            </w:tblGrid>
            <w:tr w:rsidR="00FA1214" w14:paraId="706F17A7" w14:textId="77777777" w:rsidTr="00802922">
              <w:trPr>
                <w:tblHeader/>
              </w:trPr>
              <w:tc>
                <w:tcPr>
                  <w:tcW w:w="989" w:type="pct"/>
                  <w:tcBorders>
                    <w:top w:val="single" w:sz="6" w:space="0" w:color="BFBFBF"/>
                    <w:bottom w:val="single" w:sz="6" w:space="0" w:color="BFBFBF"/>
                  </w:tcBorders>
                  <w:shd w:val="clear" w:color="auto" w:fill="auto"/>
                  <w:tcMar>
                    <w:top w:w="28" w:type="dxa"/>
                  </w:tcMar>
                </w:tcPr>
                <w:p w14:paraId="47366F1B" w14:textId="77777777" w:rsidR="00FA1214" w:rsidRDefault="00FA1214" w:rsidP="00E322F7">
                  <w:pPr>
                    <w:pStyle w:val="TableColumnHeading"/>
                    <w:spacing w:before="20"/>
                    <w:jc w:val="left"/>
                  </w:pPr>
                  <w:r>
                    <w:t>Indicator</w:t>
                  </w:r>
                  <w:r w:rsidRPr="00520291">
                    <w:rPr>
                      <w:rStyle w:val="NoteLabel"/>
                      <w:i w:val="0"/>
                    </w:rPr>
                    <w:t>a</w:t>
                  </w:r>
                </w:p>
              </w:tc>
              <w:tc>
                <w:tcPr>
                  <w:tcW w:w="3007" w:type="pct"/>
                  <w:tcBorders>
                    <w:top w:val="single" w:sz="6" w:space="0" w:color="BFBFBF"/>
                    <w:bottom w:val="single" w:sz="6" w:space="0" w:color="BFBFBF"/>
                  </w:tcBorders>
                </w:tcPr>
                <w:p w14:paraId="0E514145" w14:textId="77777777" w:rsidR="00FA1214" w:rsidRDefault="00FA1214" w:rsidP="00802922">
                  <w:pPr>
                    <w:pStyle w:val="TableColumnHeading"/>
                    <w:jc w:val="left"/>
                  </w:pPr>
                  <w:r>
                    <w:t>Description</w:t>
                  </w:r>
                </w:p>
              </w:tc>
              <w:tc>
                <w:tcPr>
                  <w:tcW w:w="501" w:type="pct"/>
                  <w:tcBorders>
                    <w:top w:val="single" w:sz="6" w:space="0" w:color="BFBFBF"/>
                    <w:bottom w:val="single" w:sz="6" w:space="0" w:color="BFBFBF"/>
                  </w:tcBorders>
                  <w:shd w:val="clear" w:color="auto" w:fill="auto"/>
                  <w:tcMar>
                    <w:top w:w="28" w:type="dxa"/>
                  </w:tcMar>
                </w:tcPr>
                <w:p w14:paraId="5E419B1A" w14:textId="77777777" w:rsidR="00FA1214" w:rsidRDefault="00FA1214" w:rsidP="00802922">
                  <w:pPr>
                    <w:pStyle w:val="TableColumnHeading"/>
                  </w:pPr>
                  <w:r>
                    <w:t>Mean</w:t>
                  </w:r>
                </w:p>
              </w:tc>
              <w:tc>
                <w:tcPr>
                  <w:tcW w:w="503" w:type="pct"/>
                  <w:tcBorders>
                    <w:top w:val="single" w:sz="6" w:space="0" w:color="BFBFBF"/>
                    <w:bottom w:val="single" w:sz="6" w:space="0" w:color="BFBFBF"/>
                  </w:tcBorders>
                  <w:shd w:val="clear" w:color="auto" w:fill="auto"/>
                  <w:tcMar>
                    <w:top w:w="28" w:type="dxa"/>
                  </w:tcMar>
                </w:tcPr>
                <w:p w14:paraId="061F0E2A" w14:textId="7AE7E7C6" w:rsidR="00FA1214" w:rsidRDefault="00FA1214" w:rsidP="00E322F7">
                  <w:pPr>
                    <w:pStyle w:val="TableColumnHeading"/>
                    <w:ind w:right="28"/>
                  </w:pPr>
                  <w:r>
                    <w:t>Standard</w:t>
                  </w:r>
                  <w:r w:rsidR="00E322F7">
                    <w:br/>
                  </w:r>
                  <w:r>
                    <w:t>deviation</w:t>
                  </w:r>
                </w:p>
              </w:tc>
            </w:tr>
            <w:tr w:rsidR="00FA1214" w14:paraId="545B227F" w14:textId="77777777" w:rsidTr="00802922">
              <w:tc>
                <w:tcPr>
                  <w:tcW w:w="989" w:type="pct"/>
                  <w:tcBorders>
                    <w:top w:val="single" w:sz="6" w:space="0" w:color="BFBFBF"/>
                  </w:tcBorders>
                </w:tcPr>
                <w:p w14:paraId="70EB5CEC" w14:textId="71D79E59" w:rsidR="00FA1214" w:rsidRDefault="00FA1214" w:rsidP="000C0C36">
                  <w:pPr>
                    <w:pStyle w:val="TableBodyText"/>
                    <w:spacing w:before="40"/>
                    <w:jc w:val="left"/>
                  </w:pPr>
                  <w:r>
                    <w:t>broadband</w:t>
                  </w:r>
                </w:p>
              </w:tc>
              <w:tc>
                <w:tcPr>
                  <w:tcW w:w="3007" w:type="pct"/>
                  <w:tcBorders>
                    <w:top w:val="single" w:sz="6" w:space="0" w:color="BFBFBF"/>
                  </w:tcBorders>
                </w:tcPr>
                <w:p w14:paraId="1058C24C" w14:textId="5F273356" w:rsidR="00FA1214" w:rsidRDefault="00FA1214" w:rsidP="000C0C36">
                  <w:pPr>
                    <w:pStyle w:val="TableBodyText"/>
                    <w:spacing w:before="40"/>
                    <w:jc w:val="left"/>
                  </w:pPr>
                  <w:r>
                    <w:t xml:space="preserve">Proportion of </w:t>
                  </w:r>
                  <w:r w:rsidR="00D36EED">
                    <w:t xml:space="preserve">the </w:t>
                  </w:r>
                  <w:r w:rsidR="00636C18">
                    <w:t xml:space="preserve">population with a broadband </w:t>
                  </w:r>
                  <w:proofErr w:type="spellStart"/>
                  <w:r w:rsidR="00636C18">
                    <w:t>i</w:t>
                  </w:r>
                  <w:r w:rsidR="006D3D40">
                    <w:t>nternet</w:t>
                  </w:r>
                  <w:proofErr w:type="spellEnd"/>
                  <w:r w:rsidR="006D3D40">
                    <w:t xml:space="preserve"> connection</w:t>
                  </w:r>
                </w:p>
              </w:tc>
              <w:tc>
                <w:tcPr>
                  <w:tcW w:w="501" w:type="pct"/>
                  <w:tcBorders>
                    <w:top w:val="single" w:sz="6" w:space="0" w:color="BFBFBF"/>
                  </w:tcBorders>
                </w:tcPr>
                <w:p w14:paraId="38229B20" w14:textId="798DFB5D" w:rsidR="00FA1214" w:rsidRDefault="006B2B1F" w:rsidP="000C0C36">
                  <w:pPr>
                    <w:pStyle w:val="TableBodyText"/>
                    <w:spacing w:before="40"/>
                  </w:pPr>
                  <w:r>
                    <w:t>0.78</w:t>
                  </w:r>
                </w:p>
              </w:tc>
              <w:tc>
                <w:tcPr>
                  <w:tcW w:w="503" w:type="pct"/>
                  <w:tcBorders>
                    <w:top w:val="single" w:sz="6" w:space="0" w:color="BFBFBF"/>
                  </w:tcBorders>
                </w:tcPr>
                <w:p w14:paraId="22A5F956" w14:textId="3E3E5AF0" w:rsidR="00FA1214" w:rsidRDefault="006B2B1F" w:rsidP="000C0C36">
                  <w:pPr>
                    <w:pStyle w:val="TableBodyText"/>
                    <w:spacing w:before="40"/>
                    <w:ind w:right="28"/>
                  </w:pPr>
                  <w:r>
                    <w:t>0.10</w:t>
                  </w:r>
                </w:p>
              </w:tc>
            </w:tr>
            <w:tr w:rsidR="00FA1214" w14:paraId="7AC061E7" w14:textId="77777777" w:rsidTr="00A751E6">
              <w:tc>
                <w:tcPr>
                  <w:tcW w:w="989" w:type="pct"/>
                </w:tcPr>
                <w:p w14:paraId="47473C33" w14:textId="32116C40" w:rsidR="00FA1214" w:rsidRDefault="00FA1214" w:rsidP="00802922">
                  <w:pPr>
                    <w:pStyle w:val="TableBodyText"/>
                    <w:jc w:val="left"/>
                  </w:pPr>
                  <w:r>
                    <w:t>remoteness</w:t>
                  </w:r>
                  <w:r w:rsidR="00B4290E">
                    <w:rPr>
                      <w:rStyle w:val="NoteLabel"/>
                    </w:rPr>
                    <w:t>b</w:t>
                  </w:r>
                </w:p>
              </w:tc>
              <w:tc>
                <w:tcPr>
                  <w:tcW w:w="3007" w:type="pct"/>
                  <w:vAlign w:val="bottom"/>
                </w:tcPr>
                <w:p w14:paraId="12DD571B" w14:textId="6B8D1092" w:rsidR="00FA1214" w:rsidRDefault="000754FB" w:rsidP="00A751E6">
                  <w:pPr>
                    <w:pStyle w:val="TableBodyText"/>
                    <w:jc w:val="left"/>
                  </w:pPr>
                  <w:r>
                    <w:t>Based on a</w:t>
                  </w:r>
                  <w:r w:rsidR="009B43F1">
                    <w:t>ccessibility/r</w:t>
                  </w:r>
                  <w:r w:rsidR="00F74DEA">
                    <w:t>emoteness index</w:t>
                  </w:r>
                  <w:r w:rsidR="00A00BE0">
                    <w:t xml:space="preserve"> </w:t>
                  </w:r>
                  <w:r>
                    <w:t>(0 to 15)</w:t>
                  </w:r>
                </w:p>
              </w:tc>
              <w:tc>
                <w:tcPr>
                  <w:tcW w:w="501" w:type="pct"/>
                  <w:vAlign w:val="bottom"/>
                </w:tcPr>
                <w:p w14:paraId="506373D6" w14:textId="09D78D2E" w:rsidR="00FA1214" w:rsidRDefault="002E1D68" w:rsidP="00A751E6">
                  <w:pPr>
                    <w:pStyle w:val="TableBodyText"/>
                  </w:pPr>
                  <w:r>
                    <w:t>..</w:t>
                  </w:r>
                </w:p>
              </w:tc>
              <w:tc>
                <w:tcPr>
                  <w:tcW w:w="503" w:type="pct"/>
                  <w:vAlign w:val="bottom"/>
                </w:tcPr>
                <w:p w14:paraId="125FA818" w14:textId="38865F13" w:rsidR="00FA1214" w:rsidRDefault="002E1D68" w:rsidP="00A751E6">
                  <w:pPr>
                    <w:pStyle w:val="TableBodyText"/>
                    <w:ind w:right="28"/>
                  </w:pPr>
                  <w:r>
                    <w:t>..</w:t>
                  </w:r>
                </w:p>
              </w:tc>
            </w:tr>
            <w:tr w:rsidR="00FA1214" w14:paraId="6FA0C35F" w14:textId="77777777" w:rsidTr="00A751E6">
              <w:tc>
                <w:tcPr>
                  <w:tcW w:w="989" w:type="pct"/>
                  <w:tcBorders>
                    <w:bottom w:val="single" w:sz="6" w:space="0" w:color="BFBFBF"/>
                  </w:tcBorders>
                  <w:shd w:val="clear" w:color="auto" w:fill="auto"/>
                </w:tcPr>
                <w:p w14:paraId="4178DC2B" w14:textId="551B56DD" w:rsidR="00FA1214" w:rsidRDefault="00FA1214" w:rsidP="00802922">
                  <w:pPr>
                    <w:pStyle w:val="TableBodyText"/>
                    <w:jc w:val="left"/>
                  </w:pPr>
                  <w:r>
                    <w:t>buildings</w:t>
                  </w:r>
                  <w:r w:rsidR="00B4290E">
                    <w:rPr>
                      <w:rStyle w:val="NoteLabel"/>
                    </w:rPr>
                    <w:t>c</w:t>
                  </w:r>
                </w:p>
              </w:tc>
              <w:tc>
                <w:tcPr>
                  <w:tcW w:w="3007" w:type="pct"/>
                  <w:tcBorders>
                    <w:bottom w:val="single" w:sz="6" w:space="0" w:color="BFBFBF"/>
                  </w:tcBorders>
                  <w:vAlign w:val="bottom"/>
                </w:tcPr>
                <w:p w14:paraId="54A34432" w14:textId="30C06B18" w:rsidR="00FA1214" w:rsidRDefault="00680C10" w:rsidP="00A751E6">
                  <w:pPr>
                    <w:pStyle w:val="TableBodyText"/>
                    <w:jc w:val="left"/>
                  </w:pPr>
                  <w:r>
                    <w:t>Value of non</w:t>
                  </w:r>
                  <w:r w:rsidR="00E94B47">
                    <w:noBreakHyphen/>
                  </w:r>
                  <w:r>
                    <w:t xml:space="preserve">residential building </w:t>
                  </w:r>
                  <w:r w:rsidR="00EA09E6">
                    <w:t xml:space="preserve">approvals </w:t>
                  </w:r>
                  <w:r>
                    <w:t>($’</w:t>
                  </w:r>
                  <w:r w:rsidR="006B2B1F">
                    <w:t>000</w:t>
                  </w:r>
                  <w:r>
                    <w:t xml:space="preserve"> per capita)</w:t>
                  </w:r>
                </w:p>
              </w:tc>
              <w:tc>
                <w:tcPr>
                  <w:tcW w:w="501" w:type="pct"/>
                  <w:tcBorders>
                    <w:bottom w:val="single" w:sz="6" w:space="0" w:color="BFBFBF"/>
                  </w:tcBorders>
                  <w:shd w:val="clear" w:color="auto" w:fill="auto"/>
                  <w:vAlign w:val="bottom"/>
                </w:tcPr>
                <w:p w14:paraId="167C258E" w14:textId="418F0781" w:rsidR="00FA1214" w:rsidRDefault="006B2B1F" w:rsidP="00A751E6">
                  <w:pPr>
                    <w:pStyle w:val="TableBodyText"/>
                  </w:pPr>
                  <w:r>
                    <w:t>1.96</w:t>
                  </w:r>
                </w:p>
              </w:tc>
              <w:tc>
                <w:tcPr>
                  <w:tcW w:w="503" w:type="pct"/>
                  <w:tcBorders>
                    <w:bottom w:val="single" w:sz="6" w:space="0" w:color="BFBFBF"/>
                  </w:tcBorders>
                  <w:shd w:val="clear" w:color="auto" w:fill="auto"/>
                  <w:vAlign w:val="bottom"/>
                </w:tcPr>
                <w:p w14:paraId="33B987F0" w14:textId="5B0FF116" w:rsidR="00FA1214" w:rsidRDefault="006B2B1F" w:rsidP="00A751E6">
                  <w:pPr>
                    <w:pStyle w:val="TableBodyText"/>
                    <w:ind w:right="28"/>
                  </w:pPr>
                  <w:r>
                    <w:t>15.78</w:t>
                  </w:r>
                </w:p>
              </w:tc>
            </w:tr>
          </w:tbl>
          <w:p w14:paraId="057414C4" w14:textId="77777777" w:rsidR="00FA1214" w:rsidRDefault="00FA1214" w:rsidP="00802922">
            <w:pPr>
              <w:pStyle w:val="Box"/>
            </w:pPr>
          </w:p>
        </w:tc>
      </w:tr>
      <w:tr w:rsidR="00FA1214" w14:paraId="112062E8" w14:textId="77777777" w:rsidTr="00A23812">
        <w:tc>
          <w:tcPr>
            <w:tcW w:w="5000" w:type="pct"/>
            <w:tcBorders>
              <w:top w:val="nil"/>
              <w:left w:val="nil"/>
              <w:bottom w:val="nil"/>
              <w:right w:val="nil"/>
            </w:tcBorders>
            <w:shd w:val="clear" w:color="auto" w:fill="auto"/>
          </w:tcPr>
          <w:p w14:paraId="20EBCCE6" w14:textId="355C0363" w:rsidR="00FA1214" w:rsidRPr="00CE2DB4" w:rsidRDefault="00FA1214" w:rsidP="00E00FEB">
            <w:pPr>
              <w:pStyle w:val="Note"/>
            </w:pPr>
            <w:r w:rsidRPr="008E77FE">
              <w:rPr>
                <w:rStyle w:val="NoteLabel"/>
              </w:rPr>
              <w:t>a</w:t>
            </w:r>
            <w:r>
              <w:t xml:space="preserve"> Data sourced from the 2011 Census of Population and Housing unless otherwise indicated. </w:t>
            </w:r>
            <w:r>
              <w:rPr>
                <w:rStyle w:val="NoteLabel"/>
              </w:rPr>
              <w:t>b</w:t>
            </w:r>
            <w:r>
              <w:t> </w:t>
            </w:r>
            <w:r w:rsidR="004F578A">
              <w:t xml:space="preserve">Data sourced from the ABS Remoteness Structure. This is a categorical structure based on </w:t>
            </w:r>
            <w:r w:rsidR="002541D3">
              <w:t xml:space="preserve">unpublished </w:t>
            </w:r>
            <w:r w:rsidR="003B280E">
              <w:t>values of</w:t>
            </w:r>
            <w:r w:rsidR="00A94255">
              <w:t xml:space="preserve"> the Accessibility/Remoteness Index of Australia (ARIA) </w:t>
            </w:r>
            <w:r w:rsidR="00A94255" w:rsidRPr="00A94255">
              <w:rPr>
                <w:rFonts w:cs="Arial"/>
                <w:szCs w:val="24"/>
              </w:rPr>
              <w:t>(Hugo Centre 2015)</w:t>
            </w:r>
            <w:r w:rsidR="000875CA">
              <w:t>. I</w:t>
            </w:r>
            <w:r w:rsidR="00EF2E06">
              <w:t xml:space="preserve">ndex value thresholds for </w:t>
            </w:r>
            <w:r w:rsidR="003B280E">
              <w:t>each remoteness category</w:t>
            </w:r>
            <w:r w:rsidR="00EF2E06">
              <w:t xml:space="preserve"> are </w:t>
            </w:r>
            <w:r w:rsidR="000754FB">
              <w:t>published</w:t>
            </w:r>
            <w:r w:rsidR="002B3DE6">
              <w:t xml:space="preserve"> by the ABS</w:t>
            </w:r>
            <w:r w:rsidR="00201371">
              <w:t xml:space="preserve">. </w:t>
            </w:r>
            <w:r w:rsidR="00E00FEB">
              <w:t>A</w:t>
            </w:r>
            <w:r w:rsidR="00AD1454">
              <w:t xml:space="preserve">n </w:t>
            </w:r>
            <w:r w:rsidR="000754FB">
              <w:t xml:space="preserve">indicator of remoteness </w:t>
            </w:r>
            <w:r w:rsidR="00E00FEB">
              <w:t xml:space="preserve">was created </w:t>
            </w:r>
            <w:r w:rsidR="000754FB">
              <w:t xml:space="preserve">by attributing the midpoint of the range of each </w:t>
            </w:r>
            <w:r w:rsidR="00AD1454">
              <w:t xml:space="preserve">remoteness </w:t>
            </w:r>
            <w:r w:rsidR="000754FB">
              <w:t xml:space="preserve">category’s index values </w:t>
            </w:r>
            <w:r w:rsidR="00AD1454">
              <w:t xml:space="preserve">to each region within that category. </w:t>
            </w:r>
            <w:r w:rsidR="00201371">
              <w:t xml:space="preserve">Summary statistics </w:t>
            </w:r>
            <w:r w:rsidR="00AD1454">
              <w:t xml:space="preserve">are </w:t>
            </w:r>
            <w:r w:rsidR="00201371">
              <w:t xml:space="preserve">not included </w:t>
            </w:r>
            <w:r w:rsidR="00AD1454">
              <w:t xml:space="preserve">in the table </w:t>
            </w:r>
            <w:r w:rsidR="00201371">
              <w:t>due to the underlying categorical nature of the variable.</w:t>
            </w:r>
            <w:r w:rsidR="00EE377D">
              <w:rPr>
                <w:rStyle w:val="NoteLabel"/>
              </w:rPr>
              <w:t xml:space="preserve"> c</w:t>
            </w:r>
            <w:r w:rsidR="00EE377D">
              <w:t xml:space="preserve"> Data sourced from ABS Building Approvals, Australia,</w:t>
            </w:r>
            <w:r w:rsidR="00EF7618">
              <w:t xml:space="preserve"> 2011,</w:t>
            </w:r>
            <w:r w:rsidR="00EE377D">
              <w:t xml:space="preserve"> Cat. no. 8731.0</w:t>
            </w:r>
            <w:r w:rsidR="00EF7618">
              <w:t xml:space="preserve"> through </w:t>
            </w:r>
            <w:proofErr w:type="spellStart"/>
            <w:r w:rsidR="00EF7618">
              <w:t>ABS.Stat</w:t>
            </w:r>
            <w:proofErr w:type="spellEnd"/>
            <w:r w:rsidR="000D29B7">
              <w:t>.</w:t>
            </w:r>
            <w:r w:rsidR="00B7230B">
              <w:t xml:space="preserve"> </w:t>
            </w:r>
          </w:p>
        </w:tc>
      </w:tr>
      <w:tr w:rsidR="00FA1214" w14:paraId="01E7197C" w14:textId="77777777" w:rsidTr="00A23812">
        <w:tc>
          <w:tcPr>
            <w:tcW w:w="5000" w:type="pct"/>
            <w:tcBorders>
              <w:top w:val="nil"/>
              <w:left w:val="nil"/>
              <w:bottom w:val="nil"/>
              <w:right w:val="nil"/>
            </w:tcBorders>
            <w:shd w:val="clear" w:color="auto" w:fill="auto"/>
          </w:tcPr>
          <w:p w14:paraId="227F1F79" w14:textId="77777777" w:rsidR="00FA1214" w:rsidRDefault="00FA1214" w:rsidP="00802922">
            <w:pPr>
              <w:pStyle w:val="Source"/>
            </w:pPr>
            <w:r>
              <w:rPr>
                <w:i/>
              </w:rPr>
              <w:t>Source</w:t>
            </w:r>
            <w:r w:rsidRPr="00167F06">
              <w:t xml:space="preserve">: </w:t>
            </w:r>
            <w:r>
              <w:t>Productivity Commission estimates.</w:t>
            </w:r>
          </w:p>
        </w:tc>
      </w:tr>
      <w:tr w:rsidR="00FA1214" w14:paraId="5EFB797F" w14:textId="77777777" w:rsidTr="00A23812">
        <w:tc>
          <w:tcPr>
            <w:tcW w:w="5000" w:type="pct"/>
            <w:tcBorders>
              <w:top w:val="nil"/>
              <w:left w:val="nil"/>
              <w:bottom w:val="single" w:sz="6" w:space="0" w:color="78A22F"/>
              <w:right w:val="nil"/>
            </w:tcBorders>
            <w:shd w:val="clear" w:color="auto" w:fill="auto"/>
          </w:tcPr>
          <w:p w14:paraId="19C96A30" w14:textId="77777777" w:rsidR="00FA1214" w:rsidRDefault="00FA1214" w:rsidP="00802922">
            <w:pPr>
              <w:pStyle w:val="Box"/>
              <w:spacing w:before="0" w:line="120" w:lineRule="exact"/>
            </w:pPr>
          </w:p>
        </w:tc>
      </w:tr>
      <w:tr w:rsidR="00FA1214" w:rsidRPr="000863A5" w14:paraId="367229C8" w14:textId="77777777" w:rsidTr="00A23812">
        <w:tc>
          <w:tcPr>
            <w:tcW w:w="5000" w:type="pct"/>
            <w:tcBorders>
              <w:top w:val="single" w:sz="6" w:space="0" w:color="78A22F"/>
              <w:left w:val="nil"/>
              <w:bottom w:val="nil"/>
              <w:right w:val="nil"/>
            </w:tcBorders>
          </w:tcPr>
          <w:p w14:paraId="7070E79B" w14:textId="251B16E3" w:rsidR="00FA1214" w:rsidRPr="00626D32" w:rsidRDefault="00FA1214" w:rsidP="00802922">
            <w:pPr>
              <w:pStyle w:val="BoxSpaceBelow"/>
            </w:pPr>
          </w:p>
        </w:tc>
      </w:tr>
    </w:tbl>
    <w:p w14:paraId="749F9ADA" w14:textId="08D0130A" w:rsidR="00FA1214" w:rsidRDefault="002B1DA5" w:rsidP="002B1DA5">
      <w:pPr>
        <w:pStyle w:val="Heading4"/>
      </w:pPr>
      <w:r>
        <w:lastRenderedPageBreak/>
        <w:t>Social capital</w:t>
      </w:r>
    </w:p>
    <w:p w14:paraId="203C8D8B" w14:textId="51CA2EC1" w:rsidR="005C5A1F" w:rsidRDefault="004C0BC8" w:rsidP="004C0BC8">
      <w:pPr>
        <w:pStyle w:val="BodyText"/>
      </w:pPr>
      <w:r>
        <w:t>Social capital captures</w:t>
      </w:r>
      <w:r w:rsidR="00AD3EC7">
        <w:t xml:space="preserve"> regional community connections and social cohesion</w:t>
      </w:r>
      <w:r>
        <w:t xml:space="preserve">. </w:t>
      </w:r>
      <w:r w:rsidR="00F52487">
        <w:t xml:space="preserve">Communities with strong social capital are better able to </w:t>
      </w:r>
      <w:r w:rsidR="00AD3EC7">
        <w:t>share ideas and work towards common goals</w:t>
      </w:r>
      <w:r w:rsidR="00F52487">
        <w:t xml:space="preserve">, and thus form a community response to economic </w:t>
      </w:r>
      <w:r w:rsidR="00D738A9">
        <w:t xml:space="preserve">adjustment </w:t>
      </w:r>
      <w:r w:rsidR="00F52487">
        <w:t>pressures</w:t>
      </w:r>
      <w:r w:rsidR="00AD3EC7">
        <w:t xml:space="preserve">. </w:t>
      </w:r>
      <w:r>
        <w:t xml:space="preserve">Data on social capital </w:t>
      </w:r>
      <w:r w:rsidR="00940C66">
        <w:t>are</w:t>
      </w:r>
      <w:r>
        <w:t xml:space="preserve"> scarce, particularly at </w:t>
      </w:r>
      <w:r w:rsidR="004D4E73">
        <w:t xml:space="preserve">the </w:t>
      </w:r>
      <w:proofErr w:type="spellStart"/>
      <w:r>
        <w:t>SA2</w:t>
      </w:r>
      <w:proofErr w:type="spellEnd"/>
      <w:r>
        <w:t xml:space="preserve"> level. </w:t>
      </w:r>
      <w:r w:rsidR="00C143E1">
        <w:t>O</w:t>
      </w:r>
      <w:r>
        <w:t>ne indicator of social capital was included in the index of adaptive capacity for the initial report — the rate of volunteering in a region (table</w:t>
      </w:r>
      <w:r w:rsidR="008B66ED">
        <w:t> </w:t>
      </w:r>
      <w:r w:rsidR="007668E2">
        <w:t>6</w:t>
      </w:r>
      <w:r>
        <w:t>).</w:t>
      </w:r>
      <w:r w:rsidR="00606DCC">
        <w:t xml:space="preserve"> </w:t>
      </w:r>
      <w:r w:rsidR="00E4391C">
        <w:t>The rate of volunteering provides some information</w:t>
      </w:r>
      <w:r w:rsidR="008D2699">
        <w:t xml:space="preserve"> </w:t>
      </w:r>
      <w:r w:rsidR="00E4391C">
        <w:t xml:space="preserve">about how connected people are to their local communities </w:t>
      </w:r>
      <w:r w:rsidR="00DE6020" w:rsidRPr="00DE6020">
        <w:rPr>
          <w:szCs w:val="24"/>
        </w:rPr>
        <w:t>(</w:t>
      </w:r>
      <w:proofErr w:type="spellStart"/>
      <w:r w:rsidR="00DE6020" w:rsidRPr="00DE6020">
        <w:rPr>
          <w:szCs w:val="24"/>
        </w:rPr>
        <w:t>DIRD</w:t>
      </w:r>
      <w:proofErr w:type="spellEnd"/>
      <w:r w:rsidR="00DE6020" w:rsidRPr="00DE6020">
        <w:rPr>
          <w:szCs w:val="24"/>
        </w:rPr>
        <w:t> </w:t>
      </w:r>
      <w:r w:rsidR="00DE6020" w:rsidRPr="000016C0">
        <w:rPr>
          <w:szCs w:val="24"/>
        </w:rPr>
        <w:t>2016, p.</w:t>
      </w:r>
      <w:r w:rsidR="00DE6020" w:rsidRPr="00D36124">
        <w:rPr>
          <w:szCs w:val="24"/>
        </w:rPr>
        <w:t> </w:t>
      </w:r>
      <w:r w:rsidR="00DE6020" w:rsidRPr="009D3980">
        <w:rPr>
          <w:szCs w:val="24"/>
        </w:rPr>
        <w:t>66)</w:t>
      </w:r>
      <w:r w:rsidR="008D2699">
        <w:t xml:space="preserve">. </w:t>
      </w:r>
      <w:r w:rsidR="00B55E94">
        <w:t>F</w:t>
      </w:r>
      <w:r w:rsidR="00E603C9">
        <w:t xml:space="preserve">urther </w:t>
      </w:r>
      <w:r w:rsidR="00606DCC">
        <w:t>investigat</w:t>
      </w:r>
      <w:r w:rsidR="00B55E94">
        <w:t xml:space="preserve">ion will be </w:t>
      </w:r>
      <w:r w:rsidR="00FC516B">
        <w:t>undertaken</w:t>
      </w:r>
      <w:r w:rsidR="00B55E94">
        <w:t xml:space="preserve"> to assess</w:t>
      </w:r>
      <w:r w:rsidR="00606DCC">
        <w:t xml:space="preserve"> whether other indicators of social capital </w:t>
      </w:r>
      <w:r w:rsidR="00351A65">
        <w:t>can be used</w:t>
      </w:r>
      <w:r w:rsidR="00606DCC">
        <w:t xml:space="preserve"> </w:t>
      </w:r>
      <w:r w:rsidR="00692DD3">
        <w:t xml:space="preserve">in the index </w:t>
      </w:r>
      <w:r w:rsidR="008C24B1">
        <w:t xml:space="preserve">for </w:t>
      </w:r>
      <w:r w:rsidR="00606DCC">
        <w:t xml:space="preserve">the final report. </w:t>
      </w:r>
    </w:p>
    <w:p w14:paraId="039FA10C" w14:textId="06D6C2E8" w:rsidR="001C6F4C" w:rsidRDefault="00C11E8B" w:rsidP="00C11E8B">
      <w:pPr>
        <w:pStyle w:val="Heading4"/>
      </w:pPr>
      <w:r>
        <w:t>Industry diversity</w:t>
      </w:r>
    </w:p>
    <w:p w14:paraId="44E7A405" w14:textId="3CAE88B3" w:rsidR="004747A5" w:rsidRDefault="00675588" w:rsidP="00C11E8B">
      <w:pPr>
        <w:pStyle w:val="BodyText"/>
      </w:pPr>
      <w:r>
        <w:t xml:space="preserve">A diversified economic base is generally considered to have a positive effect on economic performance and adaptive capacity (but, as </w:t>
      </w:r>
      <w:r w:rsidR="004D6B0B">
        <w:t xml:space="preserve">discussed </w:t>
      </w:r>
      <w:r>
        <w:t>in chapter</w:t>
      </w:r>
      <w:r w:rsidR="00E94B47">
        <w:t> </w:t>
      </w:r>
      <w:r>
        <w:t>2</w:t>
      </w:r>
      <w:r w:rsidR="004D6B0B">
        <w:t xml:space="preserve"> and </w:t>
      </w:r>
      <w:r w:rsidR="00585C04">
        <w:t xml:space="preserve">further </w:t>
      </w:r>
      <w:r w:rsidR="004D6B0B">
        <w:t>below</w:t>
      </w:r>
      <w:r>
        <w:t xml:space="preserve">, </w:t>
      </w:r>
      <w:r w:rsidR="00850FD7">
        <w:t>promoting</w:t>
      </w:r>
      <w:r w:rsidR="00B0154A">
        <w:t xml:space="preserve"> </w:t>
      </w:r>
      <w:r>
        <w:t>diversification for its own sake is not always better</w:t>
      </w:r>
      <w:r w:rsidR="00850FD7">
        <w:t xml:space="preserve"> and its </w:t>
      </w:r>
      <w:r w:rsidR="0021054B">
        <w:t>inclusion in the index</w:t>
      </w:r>
      <w:r w:rsidR="00850FD7">
        <w:t xml:space="preserve"> is contested</w:t>
      </w:r>
      <w:r>
        <w:t>).</w:t>
      </w:r>
      <w:r w:rsidR="001F7D62">
        <w:t xml:space="preserve"> </w:t>
      </w:r>
      <w:r w:rsidR="00422D18">
        <w:t>Industry diversity is considered to positively contribute to a region’s adaptive capacity because t</w:t>
      </w:r>
      <w:r w:rsidR="001F7D62">
        <w:t xml:space="preserve">he more diverse a region’s economy, the more flexible its </w:t>
      </w:r>
      <w:r w:rsidR="00D00898">
        <w:t xml:space="preserve">allocation of resources </w:t>
      </w:r>
      <w:r w:rsidR="001F7D62">
        <w:t xml:space="preserve">is likely to be, allowing it to more effectively </w:t>
      </w:r>
      <w:r w:rsidR="00B5088B">
        <w:t xml:space="preserve">adjust </w:t>
      </w:r>
      <w:r w:rsidR="00DC4F39">
        <w:t>in the face of</w:t>
      </w:r>
      <w:r w:rsidR="00CC0278">
        <w:t xml:space="preserve"> </w:t>
      </w:r>
      <w:r w:rsidR="00B5088B">
        <w:t>disruptive events</w:t>
      </w:r>
      <w:r w:rsidR="00882E01">
        <w:t xml:space="preserve"> </w:t>
      </w:r>
      <w:r w:rsidR="00882E01" w:rsidRPr="00882E01">
        <w:rPr>
          <w:szCs w:val="24"/>
        </w:rPr>
        <w:t>(</w:t>
      </w:r>
      <w:proofErr w:type="spellStart"/>
      <w:r w:rsidR="00882E01" w:rsidRPr="00882E01">
        <w:rPr>
          <w:szCs w:val="24"/>
        </w:rPr>
        <w:t>Dinh</w:t>
      </w:r>
      <w:proofErr w:type="spellEnd"/>
      <w:r w:rsidR="00882E01" w:rsidRPr="00882E01">
        <w:rPr>
          <w:szCs w:val="24"/>
        </w:rPr>
        <w:t xml:space="preserve"> et al. </w:t>
      </w:r>
      <w:r w:rsidR="00882E01" w:rsidRPr="00304971">
        <w:rPr>
          <w:szCs w:val="24"/>
        </w:rPr>
        <w:t>2016)</w:t>
      </w:r>
      <w:r w:rsidR="001F7D62">
        <w:t>.</w:t>
      </w:r>
      <w:r>
        <w:t xml:space="preserve"> </w:t>
      </w:r>
      <w:r w:rsidR="00F92E6A">
        <w:t xml:space="preserve">Further, the </w:t>
      </w:r>
      <w:r w:rsidR="00D537C3">
        <w:t>greater the</w:t>
      </w:r>
      <w:r w:rsidR="00F92E6A">
        <w:t xml:space="preserve"> diversification, the less susceptible a region is to any shock affecting a specific sector</w:t>
      </w:r>
      <w:r w:rsidR="002A68D5">
        <w:t xml:space="preserve"> </w:t>
      </w:r>
      <w:r w:rsidR="002A68D5" w:rsidRPr="002A68D5">
        <w:rPr>
          <w:szCs w:val="24"/>
        </w:rPr>
        <w:t>(</w:t>
      </w:r>
      <w:proofErr w:type="spellStart"/>
      <w:r w:rsidR="002A68D5" w:rsidRPr="002A68D5">
        <w:rPr>
          <w:szCs w:val="24"/>
        </w:rPr>
        <w:t>ABARE</w:t>
      </w:r>
      <w:proofErr w:type="spellEnd"/>
      <w:r w:rsidR="002A68D5" w:rsidRPr="002A68D5">
        <w:rPr>
          <w:szCs w:val="24"/>
        </w:rPr>
        <w:t>–</w:t>
      </w:r>
      <w:proofErr w:type="spellStart"/>
      <w:r w:rsidR="002A68D5" w:rsidRPr="002A68D5">
        <w:rPr>
          <w:szCs w:val="24"/>
        </w:rPr>
        <w:t>BRS</w:t>
      </w:r>
      <w:proofErr w:type="spellEnd"/>
      <w:r w:rsidR="002A68D5" w:rsidRPr="002A68D5">
        <w:rPr>
          <w:szCs w:val="24"/>
        </w:rPr>
        <w:t> 2010, p. 11)</w:t>
      </w:r>
      <w:r w:rsidR="00F92E6A">
        <w:t xml:space="preserve">. </w:t>
      </w:r>
    </w:p>
    <w:p w14:paraId="548B80BD" w14:textId="0C68E665" w:rsidR="00C11E8B" w:rsidRDefault="00675588" w:rsidP="00C11E8B">
      <w:pPr>
        <w:pStyle w:val="BodyText"/>
      </w:pPr>
      <w:r>
        <w:t xml:space="preserve">Industry diversity </w:t>
      </w:r>
      <w:r w:rsidR="008E1F0C">
        <w:t xml:space="preserve">was </w:t>
      </w:r>
      <w:r>
        <w:t xml:space="preserve">captured in the index of adaptive capacity through </w:t>
      </w:r>
      <w:r w:rsidR="00A719AC">
        <w:t>the</w:t>
      </w:r>
      <w:r>
        <w:t xml:space="preserve"> </w:t>
      </w:r>
      <w:proofErr w:type="spellStart"/>
      <w:r>
        <w:t>Herfindahl</w:t>
      </w:r>
      <w:proofErr w:type="spellEnd"/>
      <w:r>
        <w:t xml:space="preserve"> index (</w:t>
      </w:r>
      <w:r w:rsidR="00882E01">
        <w:t>table </w:t>
      </w:r>
      <w:r w:rsidR="007668E2">
        <w:t>6</w:t>
      </w:r>
      <w:r>
        <w:t xml:space="preserve">). </w:t>
      </w:r>
      <w:r w:rsidR="00E10490">
        <w:t xml:space="preserve">This has been used as a measure of </w:t>
      </w:r>
      <w:r w:rsidR="00A24B3D">
        <w:t xml:space="preserve">industry concentration </w:t>
      </w:r>
      <w:r w:rsidR="00E10490">
        <w:t xml:space="preserve">in other studies that examine </w:t>
      </w:r>
      <w:r w:rsidR="009563FD">
        <w:t>regional resilience and vulnerability</w:t>
      </w:r>
      <w:r w:rsidR="00E10490">
        <w:t xml:space="preserve"> </w:t>
      </w:r>
      <w:r w:rsidR="001C26AD" w:rsidRPr="001C26AD">
        <w:rPr>
          <w:szCs w:val="24"/>
        </w:rPr>
        <w:t xml:space="preserve">(for example, </w:t>
      </w:r>
      <w:proofErr w:type="spellStart"/>
      <w:r w:rsidR="001C26AD" w:rsidRPr="001C26AD">
        <w:rPr>
          <w:szCs w:val="24"/>
        </w:rPr>
        <w:t>Alasia</w:t>
      </w:r>
      <w:proofErr w:type="spellEnd"/>
      <w:r w:rsidR="001C26AD" w:rsidRPr="001C26AD">
        <w:rPr>
          <w:szCs w:val="24"/>
        </w:rPr>
        <w:t xml:space="preserve"> et al. 2008, p. 16; Hill et al. 2011, p. 12)</w:t>
      </w:r>
      <w:r w:rsidR="00E10490">
        <w:t xml:space="preserve">. </w:t>
      </w:r>
      <w:r w:rsidR="00711713">
        <w:t xml:space="preserve">The </w:t>
      </w:r>
      <w:proofErr w:type="spellStart"/>
      <w:r w:rsidR="00711713">
        <w:t>Herfindahl</w:t>
      </w:r>
      <w:proofErr w:type="spellEnd"/>
      <w:r w:rsidR="00711713">
        <w:t xml:space="preserve"> index </w:t>
      </w:r>
      <w:r>
        <w:t xml:space="preserve">was calculated </w:t>
      </w:r>
      <w:r w:rsidR="00ED13F3" w:rsidRPr="00A719AC">
        <w:t>for</w:t>
      </w:r>
      <w:r w:rsidR="00ED13F3">
        <w:t xml:space="preserve"> each region </w:t>
      </w:r>
      <w:r>
        <w:t xml:space="preserve">as the sum of the squared shares of employment </w:t>
      </w:r>
      <w:r w:rsidR="00ED13F3">
        <w:t xml:space="preserve">in each </w:t>
      </w:r>
      <w:r w:rsidR="00D51575">
        <w:t xml:space="preserve">of the 19 </w:t>
      </w:r>
      <w:r w:rsidR="00ED13F3">
        <w:t>industr</w:t>
      </w:r>
      <w:r w:rsidR="00D51575">
        <w:t>y divisions in the</w:t>
      </w:r>
      <w:r w:rsidR="00D51575" w:rsidRPr="00D51575">
        <w:t xml:space="preserve"> </w:t>
      </w:r>
      <w:r w:rsidR="00D51575">
        <w:t>Australia and New Zealand Standard Industrial Classification</w:t>
      </w:r>
      <w:r w:rsidR="00EB7E1A">
        <w:t>.</w:t>
      </w:r>
      <w:r w:rsidR="00ED13F3">
        <w:t xml:space="preserve"> </w:t>
      </w:r>
      <w:r w:rsidR="00EB7E1A">
        <w:t xml:space="preserve">This was </w:t>
      </w:r>
      <w:r w:rsidR="00ED13F3">
        <w:t>then scaled from 0 to 100</w:t>
      </w:r>
      <w:r w:rsidR="00B61649">
        <w:t xml:space="preserve"> using a min</w:t>
      </w:r>
      <w:r w:rsidR="00E94B47">
        <w:noBreakHyphen/>
      </w:r>
      <w:r w:rsidR="00B61649">
        <w:t>max transformation</w:t>
      </w:r>
      <w:r w:rsidR="000A60D0">
        <w:t xml:space="preserve"> </w:t>
      </w:r>
      <m:oMath>
        <m:d>
          <m:dPr>
            <m:ctrlPr>
              <w:rPr>
                <w:rFonts w:ascii="Cambria Math" w:hAnsi="Cambria Math"/>
                <w:i/>
              </w:rPr>
            </m:ctrlPr>
          </m:dPr>
          <m:e>
            <m:f>
              <m:fPr>
                <m:ctrlPr>
                  <w:rPr>
                    <w:rFonts w:ascii="Cambria Math" w:hAnsi="Cambria Math"/>
                    <w:i/>
                  </w:rPr>
                </m:ctrlPr>
              </m:fPr>
              <m:num>
                <m:r>
                  <w:rPr>
                    <w:rFonts w:ascii="Cambria Math" w:hAnsi="Cambria Math"/>
                  </w:rPr>
                  <m:t>x-</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r>
                          <w:rPr>
                            <w:rFonts w:ascii="Cambria Math" w:hAnsi="Cambria Math"/>
                          </w:rPr>
                          <m:t>x</m:t>
                        </m:r>
                      </m:e>
                    </m:d>
                  </m:e>
                </m:func>
              </m:num>
              <m:den>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x</m:t>
                        </m:r>
                      </m:e>
                    </m:d>
                  </m:e>
                </m:func>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r>
                          <w:rPr>
                            <w:rFonts w:ascii="Cambria Math" w:hAnsi="Cambria Math"/>
                          </w:rPr>
                          <m:t>x</m:t>
                        </m:r>
                      </m:e>
                    </m:d>
                  </m:e>
                </m:func>
              </m:den>
            </m:f>
            <m:r>
              <w:rPr>
                <w:rFonts w:ascii="Cambria Math" w:hAnsi="Cambria Math"/>
              </w:rPr>
              <m:t>*100</m:t>
            </m:r>
          </m:e>
        </m:d>
      </m:oMath>
      <w:r w:rsidR="00ED13F3">
        <w:t>.</w:t>
      </w:r>
      <w:r w:rsidR="00B61649">
        <w:t xml:space="preserve"> Regions that have a higher score on the index have</w:t>
      </w:r>
      <w:r w:rsidR="007B6D09">
        <w:t xml:space="preserve"> a less diverse mix of industries</w:t>
      </w:r>
      <w:r w:rsidR="0059589F">
        <w:t>.</w:t>
      </w:r>
    </w:p>
    <w:p w14:paraId="214B876C" w14:textId="564867C8" w:rsidR="004C0BC8" w:rsidRDefault="004C0BC8" w:rsidP="004C0BC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C0BC8" w14:paraId="60B6B36E" w14:textId="77777777" w:rsidTr="00A23812">
        <w:trPr>
          <w:tblHeader/>
        </w:trPr>
        <w:tc>
          <w:tcPr>
            <w:tcW w:w="5000" w:type="pct"/>
            <w:tcBorders>
              <w:top w:val="single" w:sz="6" w:space="0" w:color="78A22F"/>
              <w:left w:val="nil"/>
              <w:bottom w:val="nil"/>
              <w:right w:val="nil"/>
            </w:tcBorders>
            <w:shd w:val="clear" w:color="auto" w:fill="auto"/>
          </w:tcPr>
          <w:p w14:paraId="6996FEB7" w14:textId="3363B0FC" w:rsidR="004C0BC8" w:rsidRPr="00784A05" w:rsidRDefault="004C0BC8" w:rsidP="004C0BC8">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D2773">
              <w:rPr>
                <w:b w:val="0"/>
                <w:noProof/>
              </w:rPr>
              <w:t>6</w:t>
            </w:r>
            <w:r>
              <w:rPr>
                <w:b w:val="0"/>
              </w:rPr>
              <w:fldChar w:fldCharType="end"/>
            </w:r>
            <w:r>
              <w:tab/>
              <w:t>Other indicators included in index</w:t>
            </w:r>
          </w:p>
        </w:tc>
      </w:tr>
      <w:tr w:rsidR="004C0BC8" w14:paraId="15EE01BC"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82"/>
              <w:gridCol w:w="5115"/>
              <w:gridCol w:w="852"/>
              <w:gridCol w:w="856"/>
            </w:tblGrid>
            <w:tr w:rsidR="004C0BC8" w14:paraId="26932CE2" w14:textId="77777777" w:rsidTr="00802922">
              <w:trPr>
                <w:tblHeader/>
              </w:trPr>
              <w:tc>
                <w:tcPr>
                  <w:tcW w:w="989" w:type="pct"/>
                  <w:tcBorders>
                    <w:top w:val="single" w:sz="6" w:space="0" w:color="BFBFBF"/>
                    <w:bottom w:val="single" w:sz="6" w:space="0" w:color="BFBFBF"/>
                  </w:tcBorders>
                  <w:shd w:val="clear" w:color="auto" w:fill="auto"/>
                  <w:tcMar>
                    <w:top w:w="28" w:type="dxa"/>
                  </w:tcMar>
                </w:tcPr>
                <w:p w14:paraId="5C0E73F4" w14:textId="77777777" w:rsidR="004C0BC8" w:rsidRDefault="004C0BC8" w:rsidP="00E322F7">
                  <w:pPr>
                    <w:pStyle w:val="TableColumnHeading"/>
                    <w:spacing w:before="20"/>
                    <w:jc w:val="left"/>
                  </w:pPr>
                  <w:r>
                    <w:t>Indicator</w:t>
                  </w:r>
                  <w:r w:rsidRPr="00520291">
                    <w:rPr>
                      <w:rStyle w:val="NoteLabel"/>
                      <w:i w:val="0"/>
                    </w:rPr>
                    <w:t>a</w:t>
                  </w:r>
                </w:p>
              </w:tc>
              <w:tc>
                <w:tcPr>
                  <w:tcW w:w="3007" w:type="pct"/>
                  <w:tcBorders>
                    <w:top w:val="single" w:sz="6" w:space="0" w:color="BFBFBF"/>
                    <w:bottom w:val="single" w:sz="6" w:space="0" w:color="BFBFBF"/>
                  </w:tcBorders>
                </w:tcPr>
                <w:p w14:paraId="31832E2F" w14:textId="77777777" w:rsidR="004C0BC8" w:rsidRDefault="004C0BC8" w:rsidP="00802922">
                  <w:pPr>
                    <w:pStyle w:val="TableColumnHeading"/>
                    <w:jc w:val="left"/>
                  </w:pPr>
                  <w:r>
                    <w:t>Description</w:t>
                  </w:r>
                </w:p>
              </w:tc>
              <w:tc>
                <w:tcPr>
                  <w:tcW w:w="501" w:type="pct"/>
                  <w:tcBorders>
                    <w:top w:val="single" w:sz="6" w:space="0" w:color="BFBFBF"/>
                    <w:bottom w:val="single" w:sz="6" w:space="0" w:color="BFBFBF"/>
                  </w:tcBorders>
                  <w:shd w:val="clear" w:color="auto" w:fill="auto"/>
                  <w:tcMar>
                    <w:top w:w="28" w:type="dxa"/>
                  </w:tcMar>
                </w:tcPr>
                <w:p w14:paraId="108F930D" w14:textId="77777777" w:rsidR="004C0BC8" w:rsidRDefault="004C0BC8" w:rsidP="00802922">
                  <w:pPr>
                    <w:pStyle w:val="TableColumnHeading"/>
                  </w:pPr>
                  <w:r>
                    <w:t>Mean</w:t>
                  </w:r>
                </w:p>
              </w:tc>
              <w:tc>
                <w:tcPr>
                  <w:tcW w:w="503" w:type="pct"/>
                  <w:tcBorders>
                    <w:top w:val="single" w:sz="6" w:space="0" w:color="BFBFBF"/>
                    <w:bottom w:val="single" w:sz="6" w:space="0" w:color="BFBFBF"/>
                  </w:tcBorders>
                  <w:shd w:val="clear" w:color="auto" w:fill="auto"/>
                  <w:tcMar>
                    <w:top w:w="28" w:type="dxa"/>
                  </w:tcMar>
                </w:tcPr>
                <w:p w14:paraId="47A88215" w14:textId="513D6255" w:rsidR="004C0BC8" w:rsidRDefault="004C0BC8" w:rsidP="00E322F7">
                  <w:pPr>
                    <w:pStyle w:val="TableColumnHeading"/>
                    <w:ind w:right="28"/>
                  </w:pPr>
                  <w:r>
                    <w:t>Standard</w:t>
                  </w:r>
                  <w:r w:rsidR="00E322F7">
                    <w:br/>
                  </w:r>
                  <w:r>
                    <w:t>deviation</w:t>
                  </w:r>
                </w:p>
              </w:tc>
            </w:tr>
            <w:tr w:rsidR="004C0BC8" w14:paraId="2496CAB6" w14:textId="77777777" w:rsidTr="00802922">
              <w:tc>
                <w:tcPr>
                  <w:tcW w:w="989" w:type="pct"/>
                  <w:tcBorders>
                    <w:top w:val="single" w:sz="6" w:space="0" w:color="BFBFBF"/>
                  </w:tcBorders>
                </w:tcPr>
                <w:p w14:paraId="772D97FD" w14:textId="2E1D40BB" w:rsidR="004C0BC8" w:rsidRDefault="001C6F4C" w:rsidP="000C0C36">
                  <w:pPr>
                    <w:pStyle w:val="TableBodyText"/>
                    <w:spacing w:before="40"/>
                    <w:jc w:val="left"/>
                  </w:pPr>
                  <w:r>
                    <w:t>volunteering</w:t>
                  </w:r>
                </w:p>
              </w:tc>
              <w:tc>
                <w:tcPr>
                  <w:tcW w:w="3007" w:type="pct"/>
                  <w:tcBorders>
                    <w:top w:val="single" w:sz="6" w:space="0" w:color="BFBFBF"/>
                  </w:tcBorders>
                </w:tcPr>
                <w:p w14:paraId="2B2CC676" w14:textId="1D659D59" w:rsidR="004C0BC8" w:rsidRDefault="001C6F4C" w:rsidP="000C0C36">
                  <w:pPr>
                    <w:pStyle w:val="TableBodyText"/>
                    <w:spacing w:before="40"/>
                    <w:jc w:val="left"/>
                  </w:pPr>
                  <w:r>
                    <w:t xml:space="preserve">Proportion of </w:t>
                  </w:r>
                  <w:r w:rsidR="00271906">
                    <w:t xml:space="preserve">the </w:t>
                  </w:r>
                  <w:r>
                    <w:t xml:space="preserve">population who volunteered </w:t>
                  </w:r>
                </w:p>
              </w:tc>
              <w:tc>
                <w:tcPr>
                  <w:tcW w:w="501" w:type="pct"/>
                  <w:tcBorders>
                    <w:top w:val="single" w:sz="6" w:space="0" w:color="BFBFBF"/>
                  </w:tcBorders>
                </w:tcPr>
                <w:p w14:paraId="6FC678F4" w14:textId="67EC1903" w:rsidR="004C0BC8" w:rsidRDefault="00E03F59" w:rsidP="000C0C36">
                  <w:pPr>
                    <w:pStyle w:val="TableBodyText"/>
                    <w:spacing w:before="40"/>
                  </w:pPr>
                  <w:r>
                    <w:t>0.21</w:t>
                  </w:r>
                </w:p>
              </w:tc>
              <w:tc>
                <w:tcPr>
                  <w:tcW w:w="503" w:type="pct"/>
                  <w:tcBorders>
                    <w:top w:val="single" w:sz="6" w:space="0" w:color="BFBFBF"/>
                  </w:tcBorders>
                </w:tcPr>
                <w:p w14:paraId="2C1B0B8C" w14:textId="26ACEC8B" w:rsidR="004C0BC8" w:rsidRDefault="00E03F59" w:rsidP="000C0C36">
                  <w:pPr>
                    <w:pStyle w:val="TableBodyText"/>
                    <w:spacing w:before="40"/>
                    <w:ind w:right="28"/>
                  </w:pPr>
                  <w:r>
                    <w:t>0.06</w:t>
                  </w:r>
                </w:p>
              </w:tc>
            </w:tr>
            <w:tr w:rsidR="0028608F" w14:paraId="50A94F84" w14:textId="77777777" w:rsidTr="00A751E6">
              <w:tc>
                <w:tcPr>
                  <w:tcW w:w="989" w:type="pct"/>
                  <w:tcBorders>
                    <w:bottom w:val="single" w:sz="6" w:space="0" w:color="BFBFBF"/>
                  </w:tcBorders>
                  <w:shd w:val="clear" w:color="auto" w:fill="auto"/>
                </w:tcPr>
                <w:p w14:paraId="38D41231" w14:textId="3F1EE465" w:rsidR="0028608F" w:rsidRDefault="0028608F" w:rsidP="0024327C">
                  <w:pPr>
                    <w:pStyle w:val="TableBodyText"/>
                    <w:jc w:val="left"/>
                  </w:pPr>
                  <w:proofErr w:type="spellStart"/>
                  <w:r>
                    <w:t>herfindahl</w:t>
                  </w:r>
                  <w:proofErr w:type="spellEnd"/>
                  <w:r w:rsidR="0024327C" w:rsidRPr="0024327C">
                    <w:rPr>
                      <w:rStyle w:val="NoteLabel"/>
                    </w:rPr>
                    <w:t>b</w:t>
                  </w:r>
                </w:p>
              </w:tc>
              <w:tc>
                <w:tcPr>
                  <w:tcW w:w="3007" w:type="pct"/>
                  <w:tcBorders>
                    <w:bottom w:val="single" w:sz="6" w:space="0" w:color="BFBFBF"/>
                  </w:tcBorders>
                  <w:vAlign w:val="bottom"/>
                </w:tcPr>
                <w:p w14:paraId="3ACAB951" w14:textId="27CE1954" w:rsidR="0028608F" w:rsidRDefault="0028608F" w:rsidP="00A751E6">
                  <w:pPr>
                    <w:pStyle w:val="TableBodyText"/>
                    <w:jc w:val="left"/>
                  </w:pPr>
                  <w:proofErr w:type="spellStart"/>
                  <w:r>
                    <w:t>Herfindahl</w:t>
                  </w:r>
                  <w:proofErr w:type="spellEnd"/>
                  <w:r>
                    <w:t xml:space="preserve"> index of industry concentration</w:t>
                  </w:r>
                  <w:r w:rsidR="00911FC7">
                    <w:t xml:space="preserve"> (0 to 100)</w:t>
                  </w:r>
                </w:p>
              </w:tc>
              <w:tc>
                <w:tcPr>
                  <w:tcW w:w="501" w:type="pct"/>
                  <w:tcBorders>
                    <w:bottom w:val="single" w:sz="6" w:space="0" w:color="BFBFBF"/>
                  </w:tcBorders>
                  <w:shd w:val="clear" w:color="auto" w:fill="auto"/>
                  <w:vAlign w:val="bottom"/>
                </w:tcPr>
                <w:p w14:paraId="0E343843" w14:textId="0A9DEE21" w:rsidR="0028608F" w:rsidRDefault="003722AE" w:rsidP="00A751E6">
                  <w:pPr>
                    <w:pStyle w:val="TableBodyText"/>
                  </w:pPr>
                  <w:r>
                    <w:t>7.94</w:t>
                  </w:r>
                </w:p>
              </w:tc>
              <w:tc>
                <w:tcPr>
                  <w:tcW w:w="503" w:type="pct"/>
                  <w:tcBorders>
                    <w:bottom w:val="single" w:sz="6" w:space="0" w:color="BFBFBF"/>
                  </w:tcBorders>
                  <w:shd w:val="clear" w:color="auto" w:fill="auto"/>
                  <w:vAlign w:val="bottom"/>
                </w:tcPr>
                <w:p w14:paraId="045F2208" w14:textId="507D8582" w:rsidR="0028608F" w:rsidRDefault="003722AE" w:rsidP="00A751E6">
                  <w:pPr>
                    <w:pStyle w:val="TableBodyText"/>
                    <w:ind w:right="28"/>
                  </w:pPr>
                  <w:r>
                    <w:t>8.70</w:t>
                  </w:r>
                </w:p>
              </w:tc>
            </w:tr>
          </w:tbl>
          <w:p w14:paraId="0A5C6727" w14:textId="77777777" w:rsidR="004C0BC8" w:rsidRDefault="004C0BC8" w:rsidP="00802922">
            <w:pPr>
              <w:pStyle w:val="Box"/>
            </w:pPr>
          </w:p>
        </w:tc>
      </w:tr>
      <w:tr w:rsidR="004C0BC8" w14:paraId="3B933D3E" w14:textId="77777777" w:rsidTr="00A23812">
        <w:tc>
          <w:tcPr>
            <w:tcW w:w="5000" w:type="pct"/>
            <w:tcBorders>
              <w:top w:val="nil"/>
              <w:left w:val="nil"/>
              <w:bottom w:val="nil"/>
              <w:right w:val="nil"/>
            </w:tcBorders>
            <w:shd w:val="clear" w:color="auto" w:fill="auto"/>
          </w:tcPr>
          <w:p w14:paraId="66C55679" w14:textId="172A0A83" w:rsidR="004C0BC8" w:rsidRPr="00CE2DB4" w:rsidRDefault="004C0BC8" w:rsidP="007B4776">
            <w:pPr>
              <w:pStyle w:val="Note"/>
            </w:pPr>
            <w:r w:rsidRPr="008E77FE">
              <w:rPr>
                <w:rStyle w:val="NoteLabel"/>
              </w:rPr>
              <w:t>a</w:t>
            </w:r>
            <w:r>
              <w:t xml:space="preserve"> Data sourced from the 2011 Census of Population and Hous</w:t>
            </w:r>
            <w:r w:rsidR="00675588">
              <w:t>ing unless otherwise indicated.</w:t>
            </w:r>
            <w:r w:rsidR="007B4776" w:rsidRPr="0024327C">
              <w:rPr>
                <w:rStyle w:val="NoteLabel"/>
              </w:rPr>
              <w:t xml:space="preserve"> b</w:t>
            </w:r>
            <w:r w:rsidR="007B4776">
              <w:t> Calculated based on Census data on industry of employment, according to Australia and New Zealand Standard Industrial Classification (</w:t>
            </w:r>
            <w:proofErr w:type="spellStart"/>
            <w:r w:rsidR="007B4776">
              <w:t>ANZSIC</w:t>
            </w:r>
            <w:proofErr w:type="spellEnd"/>
            <w:r w:rsidR="007B4776">
              <w:t xml:space="preserve">) divisions. </w:t>
            </w:r>
          </w:p>
        </w:tc>
      </w:tr>
      <w:tr w:rsidR="004C0BC8" w14:paraId="39F39104" w14:textId="77777777" w:rsidTr="00A23812">
        <w:tc>
          <w:tcPr>
            <w:tcW w:w="5000" w:type="pct"/>
            <w:tcBorders>
              <w:top w:val="nil"/>
              <w:left w:val="nil"/>
              <w:bottom w:val="nil"/>
              <w:right w:val="nil"/>
            </w:tcBorders>
            <w:shd w:val="clear" w:color="auto" w:fill="auto"/>
          </w:tcPr>
          <w:p w14:paraId="1AA152D6" w14:textId="77777777" w:rsidR="004C0BC8" w:rsidRDefault="004C0BC8" w:rsidP="00802922">
            <w:pPr>
              <w:pStyle w:val="Source"/>
            </w:pPr>
            <w:r>
              <w:rPr>
                <w:i/>
              </w:rPr>
              <w:t>Source</w:t>
            </w:r>
            <w:r w:rsidRPr="00167F06">
              <w:t xml:space="preserve">: </w:t>
            </w:r>
            <w:r>
              <w:t>Productivity Commission estimates.</w:t>
            </w:r>
          </w:p>
        </w:tc>
      </w:tr>
      <w:tr w:rsidR="004C0BC8" w14:paraId="702E4537" w14:textId="77777777" w:rsidTr="00A23812">
        <w:tc>
          <w:tcPr>
            <w:tcW w:w="5000" w:type="pct"/>
            <w:tcBorders>
              <w:top w:val="nil"/>
              <w:left w:val="nil"/>
              <w:bottom w:val="single" w:sz="6" w:space="0" w:color="78A22F"/>
              <w:right w:val="nil"/>
            </w:tcBorders>
            <w:shd w:val="clear" w:color="auto" w:fill="auto"/>
          </w:tcPr>
          <w:p w14:paraId="500F25E9" w14:textId="77777777" w:rsidR="004C0BC8" w:rsidRDefault="004C0BC8" w:rsidP="00802922">
            <w:pPr>
              <w:pStyle w:val="Box"/>
              <w:spacing w:before="0" w:line="120" w:lineRule="exact"/>
            </w:pPr>
          </w:p>
        </w:tc>
      </w:tr>
      <w:tr w:rsidR="004C0BC8" w:rsidRPr="000863A5" w14:paraId="50DFF446" w14:textId="77777777" w:rsidTr="00A23812">
        <w:tc>
          <w:tcPr>
            <w:tcW w:w="5000" w:type="pct"/>
            <w:tcBorders>
              <w:top w:val="single" w:sz="6" w:space="0" w:color="78A22F"/>
              <w:left w:val="nil"/>
              <w:bottom w:val="nil"/>
              <w:right w:val="nil"/>
            </w:tcBorders>
          </w:tcPr>
          <w:p w14:paraId="3A224C90" w14:textId="0F9B85EA" w:rsidR="004C0BC8" w:rsidRPr="00626D32" w:rsidRDefault="004C0BC8" w:rsidP="00802922">
            <w:pPr>
              <w:pStyle w:val="BoxSpaceBelow"/>
            </w:pPr>
          </w:p>
        </w:tc>
      </w:tr>
    </w:tbl>
    <w:p w14:paraId="5823CC96" w14:textId="6191E62E" w:rsidR="008F4DED" w:rsidRPr="00C22739" w:rsidRDefault="008F4DED" w:rsidP="00C22739">
      <w:pPr>
        <w:pStyle w:val="BodyText"/>
        <w:rPr>
          <w:spacing w:val="-2"/>
        </w:rPr>
      </w:pPr>
      <w:r w:rsidRPr="00C22739">
        <w:rPr>
          <w:spacing w:val="-2"/>
        </w:rPr>
        <w:lastRenderedPageBreak/>
        <w:t xml:space="preserve">Industry diversity might have </w:t>
      </w:r>
      <w:r w:rsidR="00B30516" w:rsidRPr="00C22739">
        <w:rPr>
          <w:spacing w:val="-2"/>
        </w:rPr>
        <w:t xml:space="preserve">a positive effect on adaptive capacity in general, but there is a question about whether </w:t>
      </w:r>
      <w:r w:rsidR="00C12CE1" w:rsidRPr="00C22739">
        <w:rPr>
          <w:spacing w:val="-2"/>
        </w:rPr>
        <w:t>the</w:t>
      </w:r>
      <w:r w:rsidR="00B30516" w:rsidRPr="00C22739">
        <w:rPr>
          <w:spacing w:val="-2"/>
        </w:rPr>
        <w:t xml:space="preserve"> relationship is strictly increasing — some specialisation is likely to be </w:t>
      </w:r>
      <w:r w:rsidR="00C12CE1" w:rsidRPr="00C22739">
        <w:rPr>
          <w:spacing w:val="-2"/>
        </w:rPr>
        <w:t>beneficial</w:t>
      </w:r>
      <w:r w:rsidR="00B30516" w:rsidRPr="00C22739">
        <w:rPr>
          <w:spacing w:val="-2"/>
        </w:rPr>
        <w:t xml:space="preserve"> but too much may leave a region vulnerable. In addition, different regions might have different optimal levels of diversity</w:t>
      </w:r>
      <w:r w:rsidR="00884F19" w:rsidRPr="00C22739">
        <w:rPr>
          <w:spacing w:val="-2"/>
        </w:rPr>
        <w:t xml:space="preserve"> based on size and geography</w:t>
      </w:r>
      <w:r w:rsidR="00B30516" w:rsidRPr="00C22739">
        <w:rPr>
          <w:spacing w:val="-2"/>
        </w:rPr>
        <w:t xml:space="preserve">. Further consideration </w:t>
      </w:r>
      <w:r w:rsidR="00884F19" w:rsidRPr="00C22739">
        <w:rPr>
          <w:spacing w:val="-2"/>
        </w:rPr>
        <w:t>of</w:t>
      </w:r>
      <w:r w:rsidR="00B30516" w:rsidRPr="00C22739">
        <w:rPr>
          <w:spacing w:val="-2"/>
        </w:rPr>
        <w:t xml:space="preserve"> the measure of industry diversity </w:t>
      </w:r>
      <w:r w:rsidR="00884F19" w:rsidRPr="00C22739">
        <w:rPr>
          <w:spacing w:val="-2"/>
        </w:rPr>
        <w:t xml:space="preserve">will be undertaken </w:t>
      </w:r>
      <w:r w:rsidR="00B30516" w:rsidRPr="00C22739">
        <w:rPr>
          <w:spacing w:val="-2"/>
        </w:rPr>
        <w:t xml:space="preserve">for the final report. </w:t>
      </w:r>
    </w:p>
    <w:p w14:paraId="218D76DE" w14:textId="02D74990" w:rsidR="004C0BC8" w:rsidRDefault="009A4E87" w:rsidP="001C0AEE">
      <w:pPr>
        <w:pStyle w:val="Heading2"/>
      </w:pPr>
      <w:r>
        <w:fldChar w:fldCharType="begin"/>
      </w:r>
      <w:r>
        <w:instrText xml:space="preserve"> COMMENTS  \* MERGEFORMAT </w:instrText>
      </w:r>
      <w:r>
        <w:fldChar w:fldCharType="end"/>
      </w:r>
      <w:r w:rsidR="002D2773">
        <w:fldChar w:fldCharType="begin"/>
      </w:r>
      <w:r w:rsidR="002D2773">
        <w:instrText xml:space="preserve"> SEQ Heading2 </w:instrText>
      </w:r>
      <w:r w:rsidR="002D2773">
        <w:fldChar w:fldCharType="separate"/>
      </w:r>
      <w:r w:rsidR="002D2773">
        <w:rPr>
          <w:noProof/>
        </w:rPr>
        <w:t>3</w:t>
      </w:r>
      <w:r w:rsidR="002D2773">
        <w:rPr>
          <w:noProof/>
        </w:rPr>
        <w:fldChar w:fldCharType="end"/>
      </w:r>
      <w:r w:rsidR="00BA2CCD">
        <w:tab/>
      </w:r>
      <w:r w:rsidR="00432A01">
        <w:t>Correlations and p</w:t>
      </w:r>
      <w:r w:rsidR="0084633C">
        <w:t>rincipal component analysis results</w:t>
      </w:r>
    </w:p>
    <w:p w14:paraId="3BFAD7FE" w14:textId="22853F14" w:rsidR="0014738E" w:rsidRDefault="0014738E" w:rsidP="0087237D">
      <w:pPr>
        <w:pStyle w:val="Heading3"/>
        <w:spacing w:before="280"/>
      </w:pPr>
      <w:r>
        <w:t>Correlations between indicators</w:t>
      </w:r>
    </w:p>
    <w:p w14:paraId="162774B4" w14:textId="192BEE3E" w:rsidR="00FD6FBB" w:rsidRPr="00FD6FBB" w:rsidRDefault="00432A01" w:rsidP="00FD6FBB">
      <w:pPr>
        <w:pStyle w:val="BodyText"/>
      </w:pPr>
      <w:r>
        <w:t xml:space="preserve">An examination of correlations was used as a first check to decide </w:t>
      </w:r>
      <w:r w:rsidR="002A68D5">
        <w:t xml:space="preserve">which </w:t>
      </w:r>
      <w:r>
        <w:t xml:space="preserve">variables were included in the </w:t>
      </w:r>
      <w:proofErr w:type="spellStart"/>
      <w:r>
        <w:t>PCA</w:t>
      </w:r>
      <w:proofErr w:type="spellEnd"/>
      <w:r>
        <w:t xml:space="preserve"> for a</w:t>
      </w:r>
      <w:r w:rsidR="00A3696D">
        <w:t xml:space="preserve"> particular</w:t>
      </w:r>
      <w:r>
        <w:t xml:space="preserve"> capital type.</w:t>
      </w:r>
      <w:r w:rsidR="00304971">
        <w:t xml:space="preserve"> Highly correlated variables </w:t>
      </w:r>
      <w:r w:rsidR="00A27436">
        <w:t xml:space="preserve">that captured similar concepts </w:t>
      </w:r>
      <w:r w:rsidR="0019500A">
        <w:t xml:space="preserve">as each other </w:t>
      </w:r>
      <w:r w:rsidR="00304971">
        <w:t xml:space="preserve">were </w:t>
      </w:r>
      <w:r w:rsidR="008170F1">
        <w:t>consolidated</w:t>
      </w:r>
      <w:r w:rsidR="00304971">
        <w:t xml:space="preserve"> (section</w:t>
      </w:r>
      <w:r w:rsidR="008B66ED">
        <w:t> </w:t>
      </w:r>
      <w:r w:rsidR="00304971">
        <w:t>2).</w:t>
      </w:r>
      <w:r>
        <w:t xml:space="preserve"> </w:t>
      </w:r>
      <w:r w:rsidR="001E64FB">
        <w:t xml:space="preserve">Correlations also provide an indication of which variables might </w:t>
      </w:r>
      <w:r w:rsidR="00D33273">
        <w:t xml:space="preserve">have high correlations </w:t>
      </w:r>
      <w:r w:rsidR="000346F5">
        <w:t xml:space="preserve">with </w:t>
      </w:r>
      <w:r w:rsidR="001E64FB">
        <w:t xml:space="preserve">the same </w:t>
      </w:r>
      <w:r w:rsidR="00A75324">
        <w:t>principal</w:t>
      </w:r>
      <w:r w:rsidR="001E64FB">
        <w:t xml:space="preserve"> component</w:t>
      </w:r>
      <w:r w:rsidR="0044785D">
        <w:t xml:space="preserve"> in the </w:t>
      </w:r>
      <w:proofErr w:type="spellStart"/>
      <w:r w:rsidR="0044785D">
        <w:t>PCA</w:t>
      </w:r>
      <w:proofErr w:type="spellEnd"/>
      <w:r w:rsidR="001E64FB">
        <w:t xml:space="preserve">. </w:t>
      </w:r>
      <w:r w:rsidR="001C392D">
        <w:t>Tables</w:t>
      </w:r>
      <w:r w:rsidR="008B66ED">
        <w:t> </w:t>
      </w:r>
      <w:r w:rsidR="00767C58">
        <w:t>7</w:t>
      </w:r>
      <w:r w:rsidR="001C392D">
        <w:t xml:space="preserve"> to </w:t>
      </w:r>
      <w:r w:rsidR="00767C58">
        <w:t>10</w:t>
      </w:r>
      <w:r w:rsidR="001C392D">
        <w:t xml:space="preserve"> </w:t>
      </w:r>
      <w:r w:rsidR="00F61EEF">
        <w:t xml:space="preserve">show the correlations between </w:t>
      </w:r>
      <w:r w:rsidR="0039576C">
        <w:t xml:space="preserve">the selection of </w:t>
      </w:r>
      <w:r w:rsidR="00F61EEF">
        <w:t xml:space="preserve">indicators </w:t>
      </w:r>
      <w:r w:rsidR="007B1649">
        <w:t xml:space="preserve">included </w:t>
      </w:r>
      <w:r w:rsidR="00F61EEF">
        <w:t xml:space="preserve">in the index within human, financial, natural and physical capital types respectively. </w:t>
      </w:r>
    </w:p>
    <w:p w14:paraId="2878FD07" w14:textId="0D21ECC1" w:rsidR="002C52FD" w:rsidRDefault="002C52FD" w:rsidP="00ED747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C52FD" w14:paraId="449EC312" w14:textId="77777777" w:rsidTr="00A23812">
        <w:trPr>
          <w:tblHeader/>
        </w:trPr>
        <w:tc>
          <w:tcPr>
            <w:tcW w:w="5000" w:type="pct"/>
            <w:tcBorders>
              <w:top w:val="single" w:sz="6" w:space="0" w:color="78A22F"/>
              <w:left w:val="nil"/>
              <w:bottom w:val="nil"/>
              <w:right w:val="nil"/>
            </w:tcBorders>
            <w:shd w:val="clear" w:color="auto" w:fill="auto"/>
          </w:tcPr>
          <w:p w14:paraId="5753CAFA" w14:textId="1DE190BF" w:rsidR="002C52FD" w:rsidRPr="00784A05" w:rsidRDefault="002C52FD" w:rsidP="009E4A30">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D2773">
              <w:rPr>
                <w:b w:val="0"/>
                <w:noProof/>
              </w:rPr>
              <w:t>7</w:t>
            </w:r>
            <w:r>
              <w:rPr>
                <w:b w:val="0"/>
              </w:rPr>
              <w:fldChar w:fldCharType="end"/>
            </w:r>
            <w:r>
              <w:tab/>
              <w:t>Correlations between human capital indicators</w:t>
            </w:r>
            <w:r w:rsidR="001B3F41" w:rsidRPr="00E322F7">
              <w:rPr>
                <w:rStyle w:val="NoteLabel"/>
                <w:b/>
                <w:position w:val="10"/>
              </w:rPr>
              <w:t>a</w:t>
            </w:r>
          </w:p>
        </w:tc>
      </w:tr>
      <w:tr w:rsidR="002C52FD" w14:paraId="4B8EB2E6"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37"/>
              <w:gridCol w:w="1072"/>
              <w:gridCol w:w="1090"/>
              <w:gridCol w:w="1090"/>
              <w:gridCol w:w="1262"/>
              <w:gridCol w:w="1264"/>
              <w:gridCol w:w="1090"/>
            </w:tblGrid>
            <w:tr w:rsidR="00D7176B" w14:paraId="36D4B3F9" w14:textId="77777777" w:rsidTr="00807E11">
              <w:trPr>
                <w:tblHeader/>
              </w:trPr>
              <w:tc>
                <w:tcPr>
                  <w:tcW w:w="962" w:type="pct"/>
                  <w:tcBorders>
                    <w:top w:val="single" w:sz="6" w:space="0" w:color="BFBFBF"/>
                    <w:bottom w:val="single" w:sz="6" w:space="0" w:color="BFBFBF"/>
                  </w:tcBorders>
                  <w:shd w:val="clear" w:color="auto" w:fill="auto"/>
                  <w:tcMar>
                    <w:top w:w="28" w:type="dxa"/>
                  </w:tcMar>
                </w:tcPr>
                <w:p w14:paraId="19AE52BF" w14:textId="77777777" w:rsidR="00D7176B" w:rsidRDefault="00D7176B" w:rsidP="00ED747D">
                  <w:pPr>
                    <w:pStyle w:val="TableColumnHeading"/>
                    <w:jc w:val="left"/>
                  </w:pPr>
                </w:p>
              </w:tc>
              <w:tc>
                <w:tcPr>
                  <w:tcW w:w="630" w:type="pct"/>
                  <w:tcBorders>
                    <w:top w:val="single" w:sz="6" w:space="0" w:color="BFBFBF"/>
                    <w:bottom w:val="single" w:sz="6" w:space="0" w:color="BFBFBF"/>
                  </w:tcBorders>
                </w:tcPr>
                <w:p w14:paraId="4FA92E9F" w14:textId="7D795FE6" w:rsidR="00D7176B" w:rsidRDefault="00D7176B" w:rsidP="00ED747D">
                  <w:pPr>
                    <w:pStyle w:val="TableColumnHeading"/>
                  </w:pPr>
                  <w:proofErr w:type="spellStart"/>
                  <w:r>
                    <w:t>year12</w:t>
                  </w:r>
                  <w:proofErr w:type="spellEnd"/>
                </w:p>
              </w:tc>
              <w:tc>
                <w:tcPr>
                  <w:tcW w:w="641" w:type="pct"/>
                  <w:tcBorders>
                    <w:top w:val="single" w:sz="6" w:space="0" w:color="BFBFBF"/>
                    <w:bottom w:val="single" w:sz="6" w:space="0" w:color="BFBFBF"/>
                  </w:tcBorders>
                </w:tcPr>
                <w:p w14:paraId="387175AC" w14:textId="60B58D2B" w:rsidR="00D7176B" w:rsidRDefault="00D7176B" w:rsidP="00ED747D">
                  <w:pPr>
                    <w:pStyle w:val="TableColumnHeading"/>
                  </w:pPr>
                  <w:proofErr w:type="spellStart"/>
                  <w:r>
                    <w:t>skill1</w:t>
                  </w:r>
                  <w:proofErr w:type="spellEnd"/>
                </w:p>
              </w:tc>
              <w:tc>
                <w:tcPr>
                  <w:tcW w:w="641" w:type="pct"/>
                  <w:tcBorders>
                    <w:top w:val="single" w:sz="6" w:space="0" w:color="BFBFBF"/>
                    <w:bottom w:val="single" w:sz="6" w:space="0" w:color="BFBFBF"/>
                  </w:tcBorders>
                </w:tcPr>
                <w:p w14:paraId="5F7C3808" w14:textId="6FC8D503" w:rsidR="00D7176B" w:rsidRDefault="00D7176B" w:rsidP="00ED747D">
                  <w:pPr>
                    <w:pStyle w:val="TableColumnHeading"/>
                  </w:pPr>
                  <w:r>
                    <w:t>employed</w:t>
                  </w:r>
                </w:p>
              </w:tc>
              <w:tc>
                <w:tcPr>
                  <w:tcW w:w="742" w:type="pct"/>
                  <w:tcBorders>
                    <w:top w:val="single" w:sz="6" w:space="0" w:color="BFBFBF"/>
                    <w:bottom w:val="single" w:sz="6" w:space="0" w:color="BFBFBF"/>
                  </w:tcBorders>
                </w:tcPr>
                <w:p w14:paraId="5EF80191" w14:textId="33F4C2D9" w:rsidR="00D7176B" w:rsidRDefault="00D7176B" w:rsidP="00ED747D">
                  <w:pPr>
                    <w:pStyle w:val="TableColumnHeading"/>
                  </w:pPr>
                  <w:proofErr w:type="spellStart"/>
                  <w:r>
                    <w:t>own_business</w:t>
                  </w:r>
                  <w:proofErr w:type="spellEnd"/>
                </w:p>
              </w:tc>
              <w:tc>
                <w:tcPr>
                  <w:tcW w:w="743" w:type="pct"/>
                  <w:tcBorders>
                    <w:top w:val="single" w:sz="6" w:space="0" w:color="BFBFBF"/>
                    <w:bottom w:val="single" w:sz="6" w:space="0" w:color="BFBFBF"/>
                  </w:tcBorders>
                  <w:shd w:val="clear" w:color="auto" w:fill="auto"/>
                  <w:tcMar>
                    <w:top w:w="28" w:type="dxa"/>
                  </w:tcMar>
                </w:tcPr>
                <w:p w14:paraId="286E5D4F" w14:textId="2583C093" w:rsidR="00D7176B" w:rsidRDefault="00D7176B" w:rsidP="00ED747D">
                  <w:pPr>
                    <w:pStyle w:val="TableColumnHeading"/>
                  </w:pPr>
                  <w:proofErr w:type="spellStart"/>
                  <w:r>
                    <w:t>youth_engage</w:t>
                  </w:r>
                  <w:proofErr w:type="spellEnd"/>
                </w:p>
              </w:tc>
              <w:tc>
                <w:tcPr>
                  <w:tcW w:w="641" w:type="pct"/>
                  <w:tcBorders>
                    <w:top w:val="single" w:sz="6" w:space="0" w:color="BFBFBF"/>
                    <w:bottom w:val="single" w:sz="6" w:space="0" w:color="BFBFBF"/>
                  </w:tcBorders>
                  <w:shd w:val="clear" w:color="auto" w:fill="auto"/>
                  <w:tcMar>
                    <w:top w:w="28" w:type="dxa"/>
                  </w:tcMar>
                </w:tcPr>
                <w:p w14:paraId="2CFE677B" w14:textId="70A2AC18" w:rsidR="00D7176B" w:rsidRDefault="00D7176B" w:rsidP="00ED747D">
                  <w:pPr>
                    <w:pStyle w:val="TableColumnHeading"/>
                    <w:ind w:right="28"/>
                  </w:pPr>
                  <w:r>
                    <w:t>disability</w:t>
                  </w:r>
                </w:p>
              </w:tc>
            </w:tr>
            <w:tr w:rsidR="00807E11" w14:paraId="0D1014B5" w14:textId="77777777" w:rsidTr="00ED747D">
              <w:tc>
                <w:tcPr>
                  <w:tcW w:w="962" w:type="pct"/>
                </w:tcPr>
                <w:p w14:paraId="478FF142" w14:textId="4620B70E" w:rsidR="00807E11" w:rsidRPr="00807E11" w:rsidRDefault="00807E11" w:rsidP="000D2E82">
                  <w:pPr>
                    <w:pStyle w:val="TableBodyText"/>
                    <w:spacing w:before="40"/>
                    <w:jc w:val="left"/>
                    <w:rPr>
                      <w:b/>
                      <w:i/>
                    </w:rPr>
                  </w:pPr>
                  <w:proofErr w:type="spellStart"/>
                  <w:r w:rsidRPr="00807E11">
                    <w:rPr>
                      <w:i/>
                    </w:rPr>
                    <w:t>year12</w:t>
                  </w:r>
                  <w:proofErr w:type="spellEnd"/>
                </w:p>
              </w:tc>
              <w:tc>
                <w:tcPr>
                  <w:tcW w:w="630" w:type="pct"/>
                  <w:vAlign w:val="center"/>
                </w:tcPr>
                <w:p w14:paraId="78274EEF" w14:textId="08A8ED9E" w:rsidR="00807E11" w:rsidRPr="00807E11" w:rsidRDefault="00807E11" w:rsidP="000D2E82">
                  <w:pPr>
                    <w:pStyle w:val="TableBodyText"/>
                    <w:spacing w:before="40"/>
                    <w:rPr>
                      <w:rFonts w:asciiTheme="majorHAnsi" w:hAnsiTheme="majorHAnsi" w:cstheme="majorHAnsi"/>
                      <w:b/>
                      <w:szCs w:val="18"/>
                    </w:rPr>
                  </w:pPr>
                  <w:r w:rsidRPr="00807E11">
                    <w:rPr>
                      <w:rFonts w:asciiTheme="majorHAnsi" w:hAnsiTheme="majorHAnsi" w:cstheme="majorHAnsi"/>
                      <w:color w:val="000000"/>
                      <w:szCs w:val="18"/>
                    </w:rPr>
                    <w:t>1.00</w:t>
                  </w:r>
                </w:p>
              </w:tc>
              <w:tc>
                <w:tcPr>
                  <w:tcW w:w="641" w:type="pct"/>
                  <w:vAlign w:val="center"/>
                </w:tcPr>
                <w:p w14:paraId="1FF285CD" w14:textId="53B081E4" w:rsidR="00807E11" w:rsidRPr="00807E11" w:rsidRDefault="00807E11" w:rsidP="000D2E82">
                  <w:pPr>
                    <w:pStyle w:val="TableBodyText"/>
                    <w:spacing w:before="40"/>
                    <w:rPr>
                      <w:rFonts w:asciiTheme="majorHAnsi" w:hAnsiTheme="majorHAnsi" w:cstheme="majorHAnsi"/>
                      <w:b/>
                      <w:szCs w:val="18"/>
                    </w:rPr>
                  </w:pPr>
                  <w:r w:rsidRPr="00807E11">
                    <w:rPr>
                      <w:rFonts w:asciiTheme="majorHAnsi" w:hAnsiTheme="majorHAnsi" w:cstheme="majorHAnsi"/>
                      <w:color w:val="000000"/>
                      <w:szCs w:val="18"/>
                    </w:rPr>
                    <w:t>0.70</w:t>
                  </w:r>
                </w:p>
              </w:tc>
              <w:tc>
                <w:tcPr>
                  <w:tcW w:w="641" w:type="pct"/>
                  <w:vAlign w:val="center"/>
                </w:tcPr>
                <w:p w14:paraId="573F242E" w14:textId="3573EA36" w:rsidR="00807E11" w:rsidRPr="00807E11" w:rsidRDefault="00807E11" w:rsidP="000D2E82">
                  <w:pPr>
                    <w:pStyle w:val="TableBodyText"/>
                    <w:spacing w:before="40"/>
                    <w:rPr>
                      <w:rFonts w:asciiTheme="majorHAnsi" w:hAnsiTheme="majorHAnsi" w:cstheme="majorHAnsi"/>
                      <w:b/>
                      <w:szCs w:val="18"/>
                    </w:rPr>
                  </w:pPr>
                  <w:r w:rsidRPr="00807E11">
                    <w:rPr>
                      <w:rFonts w:asciiTheme="majorHAnsi" w:hAnsiTheme="majorHAnsi" w:cstheme="majorHAnsi"/>
                      <w:color w:val="000000"/>
                      <w:szCs w:val="18"/>
                    </w:rPr>
                    <w:t>0.38</w:t>
                  </w:r>
                </w:p>
              </w:tc>
              <w:tc>
                <w:tcPr>
                  <w:tcW w:w="742" w:type="pct"/>
                  <w:vAlign w:val="center"/>
                </w:tcPr>
                <w:p w14:paraId="2BEC7618" w14:textId="1B203998" w:rsidR="00807E11" w:rsidRPr="00807E11" w:rsidRDefault="00E94B47" w:rsidP="000D2E82">
                  <w:pPr>
                    <w:pStyle w:val="TableBodyText"/>
                    <w:spacing w:before="40"/>
                    <w:rPr>
                      <w:rFonts w:asciiTheme="majorHAnsi" w:hAnsiTheme="majorHAnsi" w:cstheme="majorHAnsi"/>
                      <w:b/>
                      <w:szCs w:val="18"/>
                    </w:rPr>
                  </w:pPr>
                  <w:r>
                    <w:rPr>
                      <w:rFonts w:asciiTheme="majorHAnsi" w:hAnsiTheme="majorHAnsi" w:cstheme="majorHAnsi"/>
                      <w:color w:val="000000"/>
                      <w:szCs w:val="18"/>
                    </w:rPr>
                    <w:noBreakHyphen/>
                  </w:r>
                  <w:r w:rsidR="00807E11" w:rsidRPr="00807E11">
                    <w:rPr>
                      <w:rFonts w:asciiTheme="majorHAnsi" w:hAnsiTheme="majorHAnsi" w:cstheme="majorHAnsi"/>
                      <w:color w:val="000000"/>
                      <w:szCs w:val="18"/>
                    </w:rPr>
                    <w:t>0.04</w:t>
                  </w:r>
                </w:p>
              </w:tc>
              <w:tc>
                <w:tcPr>
                  <w:tcW w:w="743" w:type="pct"/>
                  <w:vAlign w:val="center"/>
                </w:tcPr>
                <w:p w14:paraId="170C1E7D" w14:textId="2C5C22AC" w:rsidR="00807E11" w:rsidRPr="00807E11" w:rsidRDefault="00807E11" w:rsidP="000D2E82">
                  <w:pPr>
                    <w:pStyle w:val="TableBodyText"/>
                    <w:spacing w:before="40"/>
                    <w:rPr>
                      <w:rFonts w:asciiTheme="majorHAnsi" w:hAnsiTheme="majorHAnsi" w:cstheme="majorHAnsi"/>
                      <w:b/>
                      <w:szCs w:val="18"/>
                    </w:rPr>
                  </w:pPr>
                  <w:r w:rsidRPr="00807E11">
                    <w:rPr>
                      <w:rFonts w:asciiTheme="majorHAnsi" w:hAnsiTheme="majorHAnsi" w:cstheme="majorHAnsi"/>
                      <w:color w:val="000000"/>
                      <w:szCs w:val="18"/>
                    </w:rPr>
                    <w:t>0.57</w:t>
                  </w:r>
                </w:p>
              </w:tc>
              <w:tc>
                <w:tcPr>
                  <w:tcW w:w="641" w:type="pct"/>
                  <w:vAlign w:val="center"/>
                </w:tcPr>
                <w:p w14:paraId="46FA5808" w14:textId="504F313F" w:rsidR="00807E11" w:rsidRPr="00807E11" w:rsidRDefault="00E94B47" w:rsidP="000D2E82">
                  <w:pPr>
                    <w:pStyle w:val="TableBodyText"/>
                    <w:spacing w:before="40"/>
                    <w:ind w:right="28"/>
                    <w:rPr>
                      <w:rFonts w:asciiTheme="majorHAnsi" w:hAnsiTheme="majorHAnsi" w:cstheme="majorHAnsi"/>
                      <w:b/>
                      <w:szCs w:val="18"/>
                    </w:rPr>
                  </w:pPr>
                  <w:r>
                    <w:rPr>
                      <w:rFonts w:asciiTheme="majorHAnsi" w:hAnsiTheme="majorHAnsi" w:cstheme="majorHAnsi"/>
                      <w:color w:val="000000"/>
                      <w:szCs w:val="18"/>
                    </w:rPr>
                    <w:noBreakHyphen/>
                  </w:r>
                  <w:r w:rsidR="00807E11" w:rsidRPr="00807E11">
                    <w:rPr>
                      <w:rFonts w:asciiTheme="majorHAnsi" w:hAnsiTheme="majorHAnsi" w:cstheme="majorHAnsi"/>
                      <w:color w:val="000000"/>
                      <w:szCs w:val="18"/>
                    </w:rPr>
                    <w:t>0.71</w:t>
                  </w:r>
                </w:p>
              </w:tc>
            </w:tr>
            <w:tr w:rsidR="00807E11" w14:paraId="68286165" w14:textId="77777777" w:rsidTr="00ED747D">
              <w:tc>
                <w:tcPr>
                  <w:tcW w:w="962" w:type="pct"/>
                </w:tcPr>
                <w:p w14:paraId="4467B1B5" w14:textId="75FF6248" w:rsidR="00807E11" w:rsidRPr="00807E11" w:rsidRDefault="00807E11" w:rsidP="00ED747D">
                  <w:pPr>
                    <w:pStyle w:val="TableBodyText"/>
                    <w:jc w:val="left"/>
                    <w:rPr>
                      <w:b/>
                      <w:i/>
                    </w:rPr>
                  </w:pPr>
                  <w:proofErr w:type="spellStart"/>
                  <w:r w:rsidRPr="00807E11">
                    <w:rPr>
                      <w:i/>
                    </w:rPr>
                    <w:t>skill1</w:t>
                  </w:r>
                  <w:proofErr w:type="spellEnd"/>
                </w:p>
              </w:tc>
              <w:tc>
                <w:tcPr>
                  <w:tcW w:w="630" w:type="pct"/>
                  <w:vAlign w:val="center"/>
                </w:tcPr>
                <w:p w14:paraId="59193C8D" w14:textId="5C93938D"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0.70</w:t>
                  </w:r>
                </w:p>
              </w:tc>
              <w:tc>
                <w:tcPr>
                  <w:tcW w:w="641" w:type="pct"/>
                  <w:vAlign w:val="center"/>
                </w:tcPr>
                <w:p w14:paraId="2797DFE3" w14:textId="249076BE"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1.00</w:t>
                  </w:r>
                </w:p>
              </w:tc>
              <w:tc>
                <w:tcPr>
                  <w:tcW w:w="641" w:type="pct"/>
                  <w:vAlign w:val="center"/>
                </w:tcPr>
                <w:p w14:paraId="52AB5BE9" w14:textId="55282DCA"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0.36</w:t>
                  </w:r>
                </w:p>
              </w:tc>
              <w:tc>
                <w:tcPr>
                  <w:tcW w:w="742" w:type="pct"/>
                  <w:vAlign w:val="center"/>
                </w:tcPr>
                <w:p w14:paraId="3BA0A1EF" w14:textId="01718543"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0.33</w:t>
                  </w:r>
                </w:p>
              </w:tc>
              <w:tc>
                <w:tcPr>
                  <w:tcW w:w="743" w:type="pct"/>
                  <w:vAlign w:val="center"/>
                </w:tcPr>
                <w:p w14:paraId="3834D839" w14:textId="7B121DDF"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0.46</w:t>
                  </w:r>
                </w:p>
              </w:tc>
              <w:tc>
                <w:tcPr>
                  <w:tcW w:w="641" w:type="pct"/>
                  <w:vAlign w:val="center"/>
                </w:tcPr>
                <w:p w14:paraId="5E57C4DE" w14:textId="5C901D04" w:rsidR="00807E11" w:rsidRPr="00807E11" w:rsidRDefault="00E94B47" w:rsidP="00ED747D">
                  <w:pPr>
                    <w:pStyle w:val="TableBodyText"/>
                    <w:ind w:right="28"/>
                    <w:rPr>
                      <w:rFonts w:asciiTheme="majorHAnsi" w:hAnsiTheme="majorHAnsi" w:cstheme="majorHAnsi"/>
                      <w:b/>
                      <w:szCs w:val="18"/>
                    </w:rPr>
                  </w:pPr>
                  <w:r>
                    <w:rPr>
                      <w:rFonts w:asciiTheme="majorHAnsi" w:hAnsiTheme="majorHAnsi" w:cstheme="majorHAnsi"/>
                      <w:color w:val="000000"/>
                      <w:szCs w:val="18"/>
                    </w:rPr>
                    <w:noBreakHyphen/>
                  </w:r>
                  <w:r w:rsidR="00807E11" w:rsidRPr="00807E11">
                    <w:rPr>
                      <w:rFonts w:asciiTheme="majorHAnsi" w:hAnsiTheme="majorHAnsi" w:cstheme="majorHAnsi"/>
                      <w:color w:val="000000"/>
                      <w:szCs w:val="18"/>
                    </w:rPr>
                    <w:t>0.53</w:t>
                  </w:r>
                </w:p>
              </w:tc>
            </w:tr>
            <w:tr w:rsidR="00807E11" w14:paraId="37019471" w14:textId="77777777" w:rsidTr="00ED747D">
              <w:tc>
                <w:tcPr>
                  <w:tcW w:w="962" w:type="pct"/>
                </w:tcPr>
                <w:p w14:paraId="5C4FFCA1" w14:textId="50C29180" w:rsidR="00807E11" w:rsidRPr="00807E11" w:rsidRDefault="00807E11" w:rsidP="00ED747D">
                  <w:pPr>
                    <w:pStyle w:val="TableBodyText"/>
                    <w:jc w:val="left"/>
                    <w:rPr>
                      <w:b/>
                      <w:i/>
                    </w:rPr>
                  </w:pPr>
                  <w:r w:rsidRPr="00807E11">
                    <w:rPr>
                      <w:i/>
                    </w:rPr>
                    <w:t>employed</w:t>
                  </w:r>
                </w:p>
              </w:tc>
              <w:tc>
                <w:tcPr>
                  <w:tcW w:w="630" w:type="pct"/>
                  <w:vAlign w:val="center"/>
                </w:tcPr>
                <w:p w14:paraId="039BA161" w14:textId="5506EC44"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0.38</w:t>
                  </w:r>
                </w:p>
              </w:tc>
              <w:tc>
                <w:tcPr>
                  <w:tcW w:w="641" w:type="pct"/>
                  <w:vAlign w:val="center"/>
                </w:tcPr>
                <w:p w14:paraId="60B4CE08" w14:textId="05A2DBD3"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0.36</w:t>
                  </w:r>
                </w:p>
              </w:tc>
              <w:tc>
                <w:tcPr>
                  <w:tcW w:w="641" w:type="pct"/>
                  <w:vAlign w:val="center"/>
                </w:tcPr>
                <w:p w14:paraId="656F7696" w14:textId="53D7EF70"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1.00</w:t>
                  </w:r>
                </w:p>
              </w:tc>
              <w:tc>
                <w:tcPr>
                  <w:tcW w:w="742" w:type="pct"/>
                  <w:vAlign w:val="center"/>
                </w:tcPr>
                <w:p w14:paraId="6958717F" w14:textId="1E0987F6"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0.25</w:t>
                  </w:r>
                </w:p>
              </w:tc>
              <w:tc>
                <w:tcPr>
                  <w:tcW w:w="743" w:type="pct"/>
                  <w:vAlign w:val="center"/>
                </w:tcPr>
                <w:p w14:paraId="048AC781" w14:textId="6EB1ADE6"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0.48</w:t>
                  </w:r>
                </w:p>
              </w:tc>
              <w:tc>
                <w:tcPr>
                  <w:tcW w:w="641" w:type="pct"/>
                  <w:vAlign w:val="center"/>
                </w:tcPr>
                <w:p w14:paraId="5B145B5B" w14:textId="54E50C70" w:rsidR="00807E11" w:rsidRPr="00807E11" w:rsidRDefault="00E94B47" w:rsidP="00ED747D">
                  <w:pPr>
                    <w:pStyle w:val="TableBodyText"/>
                    <w:ind w:right="28"/>
                    <w:rPr>
                      <w:rFonts w:asciiTheme="majorHAnsi" w:hAnsiTheme="majorHAnsi" w:cstheme="majorHAnsi"/>
                      <w:b/>
                      <w:szCs w:val="18"/>
                    </w:rPr>
                  </w:pPr>
                  <w:r>
                    <w:rPr>
                      <w:rFonts w:asciiTheme="majorHAnsi" w:hAnsiTheme="majorHAnsi" w:cstheme="majorHAnsi"/>
                      <w:color w:val="000000"/>
                      <w:szCs w:val="18"/>
                    </w:rPr>
                    <w:noBreakHyphen/>
                  </w:r>
                  <w:r w:rsidR="00807E11" w:rsidRPr="00807E11">
                    <w:rPr>
                      <w:rFonts w:asciiTheme="majorHAnsi" w:hAnsiTheme="majorHAnsi" w:cstheme="majorHAnsi"/>
                      <w:color w:val="000000"/>
                      <w:szCs w:val="18"/>
                    </w:rPr>
                    <w:t>0.49</w:t>
                  </w:r>
                </w:p>
              </w:tc>
            </w:tr>
            <w:tr w:rsidR="00807E11" w14:paraId="58CC588A" w14:textId="77777777" w:rsidTr="00ED747D">
              <w:tc>
                <w:tcPr>
                  <w:tcW w:w="962" w:type="pct"/>
                </w:tcPr>
                <w:p w14:paraId="5FF32A0C" w14:textId="4974680C" w:rsidR="00807E11" w:rsidRPr="00807E11" w:rsidRDefault="00807E11" w:rsidP="00ED747D">
                  <w:pPr>
                    <w:pStyle w:val="TableBodyText"/>
                    <w:jc w:val="left"/>
                    <w:rPr>
                      <w:b/>
                      <w:i/>
                    </w:rPr>
                  </w:pPr>
                  <w:proofErr w:type="spellStart"/>
                  <w:r w:rsidRPr="00807E11">
                    <w:rPr>
                      <w:i/>
                    </w:rPr>
                    <w:t>own_business</w:t>
                  </w:r>
                  <w:proofErr w:type="spellEnd"/>
                </w:p>
              </w:tc>
              <w:tc>
                <w:tcPr>
                  <w:tcW w:w="630" w:type="pct"/>
                  <w:vAlign w:val="center"/>
                </w:tcPr>
                <w:p w14:paraId="0EA0E6B4" w14:textId="5DC98561" w:rsidR="00807E11" w:rsidRPr="00807E11" w:rsidRDefault="00E94B47" w:rsidP="00ED747D">
                  <w:pPr>
                    <w:pStyle w:val="TableBodyText"/>
                    <w:rPr>
                      <w:rFonts w:asciiTheme="majorHAnsi" w:hAnsiTheme="majorHAnsi" w:cstheme="majorHAnsi"/>
                      <w:b/>
                      <w:szCs w:val="18"/>
                    </w:rPr>
                  </w:pPr>
                  <w:r>
                    <w:rPr>
                      <w:rFonts w:asciiTheme="majorHAnsi" w:hAnsiTheme="majorHAnsi" w:cstheme="majorHAnsi"/>
                      <w:color w:val="000000"/>
                      <w:szCs w:val="18"/>
                    </w:rPr>
                    <w:noBreakHyphen/>
                  </w:r>
                  <w:r w:rsidR="00807E11" w:rsidRPr="00807E11">
                    <w:rPr>
                      <w:rFonts w:asciiTheme="majorHAnsi" w:hAnsiTheme="majorHAnsi" w:cstheme="majorHAnsi"/>
                      <w:color w:val="000000"/>
                      <w:szCs w:val="18"/>
                    </w:rPr>
                    <w:t>0.04</w:t>
                  </w:r>
                </w:p>
              </w:tc>
              <w:tc>
                <w:tcPr>
                  <w:tcW w:w="641" w:type="pct"/>
                  <w:vAlign w:val="center"/>
                </w:tcPr>
                <w:p w14:paraId="11277E7F" w14:textId="369D28B4"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0.33</w:t>
                  </w:r>
                </w:p>
              </w:tc>
              <w:tc>
                <w:tcPr>
                  <w:tcW w:w="641" w:type="pct"/>
                  <w:vAlign w:val="center"/>
                </w:tcPr>
                <w:p w14:paraId="3D975233" w14:textId="462F5CCE"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0.25</w:t>
                  </w:r>
                </w:p>
              </w:tc>
              <w:tc>
                <w:tcPr>
                  <w:tcW w:w="742" w:type="pct"/>
                  <w:vAlign w:val="center"/>
                </w:tcPr>
                <w:p w14:paraId="69803914" w14:textId="22081564"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1.00</w:t>
                  </w:r>
                </w:p>
              </w:tc>
              <w:tc>
                <w:tcPr>
                  <w:tcW w:w="743" w:type="pct"/>
                  <w:vAlign w:val="center"/>
                </w:tcPr>
                <w:p w14:paraId="4DBF40C9" w14:textId="2B296CE7"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0.25</w:t>
                  </w:r>
                </w:p>
              </w:tc>
              <w:tc>
                <w:tcPr>
                  <w:tcW w:w="641" w:type="pct"/>
                  <w:vAlign w:val="center"/>
                </w:tcPr>
                <w:p w14:paraId="3D253E1B" w14:textId="48CA79F2" w:rsidR="00807E11" w:rsidRPr="00807E11" w:rsidRDefault="00E94B47" w:rsidP="00ED747D">
                  <w:pPr>
                    <w:pStyle w:val="TableBodyText"/>
                    <w:ind w:right="28"/>
                    <w:rPr>
                      <w:rFonts w:asciiTheme="majorHAnsi" w:hAnsiTheme="majorHAnsi" w:cstheme="majorHAnsi"/>
                      <w:b/>
                      <w:szCs w:val="18"/>
                    </w:rPr>
                  </w:pPr>
                  <w:r>
                    <w:rPr>
                      <w:rFonts w:asciiTheme="majorHAnsi" w:hAnsiTheme="majorHAnsi" w:cstheme="majorHAnsi"/>
                      <w:color w:val="000000"/>
                      <w:szCs w:val="18"/>
                    </w:rPr>
                    <w:noBreakHyphen/>
                  </w:r>
                  <w:r w:rsidR="00807E11" w:rsidRPr="00807E11">
                    <w:rPr>
                      <w:rFonts w:asciiTheme="majorHAnsi" w:hAnsiTheme="majorHAnsi" w:cstheme="majorHAnsi"/>
                      <w:color w:val="000000"/>
                      <w:szCs w:val="18"/>
                    </w:rPr>
                    <w:t>0.03</w:t>
                  </w:r>
                </w:p>
              </w:tc>
            </w:tr>
            <w:tr w:rsidR="00807E11" w14:paraId="6B660FB9" w14:textId="77777777" w:rsidTr="00ED747D">
              <w:tc>
                <w:tcPr>
                  <w:tcW w:w="962" w:type="pct"/>
                </w:tcPr>
                <w:p w14:paraId="1C30369B" w14:textId="57682672" w:rsidR="00807E11" w:rsidRPr="00807E11" w:rsidRDefault="00807E11" w:rsidP="00ED747D">
                  <w:pPr>
                    <w:pStyle w:val="TableBodyText"/>
                    <w:jc w:val="left"/>
                    <w:rPr>
                      <w:b/>
                      <w:i/>
                    </w:rPr>
                  </w:pPr>
                  <w:proofErr w:type="spellStart"/>
                  <w:r w:rsidRPr="00807E11">
                    <w:rPr>
                      <w:i/>
                    </w:rPr>
                    <w:t>youth_engage</w:t>
                  </w:r>
                  <w:proofErr w:type="spellEnd"/>
                </w:p>
              </w:tc>
              <w:tc>
                <w:tcPr>
                  <w:tcW w:w="630" w:type="pct"/>
                  <w:vAlign w:val="center"/>
                </w:tcPr>
                <w:p w14:paraId="00AB9FA5" w14:textId="02EDA441"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0.57</w:t>
                  </w:r>
                </w:p>
              </w:tc>
              <w:tc>
                <w:tcPr>
                  <w:tcW w:w="641" w:type="pct"/>
                  <w:vAlign w:val="center"/>
                </w:tcPr>
                <w:p w14:paraId="41304327" w14:textId="71C30DA1"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0.46</w:t>
                  </w:r>
                </w:p>
              </w:tc>
              <w:tc>
                <w:tcPr>
                  <w:tcW w:w="641" w:type="pct"/>
                  <w:vAlign w:val="center"/>
                </w:tcPr>
                <w:p w14:paraId="5C329D07" w14:textId="62EEC649"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0.48</w:t>
                  </w:r>
                </w:p>
              </w:tc>
              <w:tc>
                <w:tcPr>
                  <w:tcW w:w="742" w:type="pct"/>
                  <w:vAlign w:val="center"/>
                </w:tcPr>
                <w:p w14:paraId="24F623C7" w14:textId="7D39C565"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0.25</w:t>
                  </w:r>
                </w:p>
              </w:tc>
              <w:tc>
                <w:tcPr>
                  <w:tcW w:w="743" w:type="pct"/>
                  <w:vAlign w:val="center"/>
                </w:tcPr>
                <w:p w14:paraId="53182D6B" w14:textId="2C569C98" w:rsidR="00807E11" w:rsidRPr="00807E11" w:rsidRDefault="00807E11" w:rsidP="00ED747D">
                  <w:pPr>
                    <w:pStyle w:val="TableBodyText"/>
                    <w:rPr>
                      <w:rFonts w:asciiTheme="majorHAnsi" w:hAnsiTheme="majorHAnsi" w:cstheme="majorHAnsi"/>
                      <w:b/>
                      <w:szCs w:val="18"/>
                    </w:rPr>
                  </w:pPr>
                  <w:r w:rsidRPr="00807E11">
                    <w:rPr>
                      <w:rFonts w:asciiTheme="majorHAnsi" w:hAnsiTheme="majorHAnsi" w:cstheme="majorHAnsi"/>
                      <w:color w:val="000000"/>
                      <w:szCs w:val="18"/>
                    </w:rPr>
                    <w:t>1.00</w:t>
                  </w:r>
                </w:p>
              </w:tc>
              <w:tc>
                <w:tcPr>
                  <w:tcW w:w="641" w:type="pct"/>
                  <w:vAlign w:val="center"/>
                </w:tcPr>
                <w:p w14:paraId="61934FB7" w14:textId="0D8D9535" w:rsidR="00807E11" w:rsidRPr="00807E11" w:rsidRDefault="00E94B47" w:rsidP="00ED747D">
                  <w:pPr>
                    <w:pStyle w:val="TableBodyText"/>
                    <w:ind w:right="28"/>
                    <w:rPr>
                      <w:rFonts w:asciiTheme="majorHAnsi" w:hAnsiTheme="majorHAnsi" w:cstheme="majorHAnsi"/>
                      <w:b/>
                      <w:szCs w:val="18"/>
                    </w:rPr>
                  </w:pPr>
                  <w:r>
                    <w:rPr>
                      <w:rFonts w:asciiTheme="majorHAnsi" w:hAnsiTheme="majorHAnsi" w:cstheme="majorHAnsi"/>
                      <w:color w:val="000000"/>
                      <w:szCs w:val="18"/>
                    </w:rPr>
                    <w:noBreakHyphen/>
                  </w:r>
                  <w:r w:rsidR="00807E11" w:rsidRPr="00807E11">
                    <w:rPr>
                      <w:rFonts w:asciiTheme="majorHAnsi" w:hAnsiTheme="majorHAnsi" w:cstheme="majorHAnsi"/>
                      <w:color w:val="000000"/>
                      <w:szCs w:val="18"/>
                    </w:rPr>
                    <w:t>0.40</w:t>
                  </w:r>
                </w:p>
              </w:tc>
            </w:tr>
            <w:tr w:rsidR="00807E11" w14:paraId="2E9728C6" w14:textId="77777777" w:rsidTr="00ED747D">
              <w:tc>
                <w:tcPr>
                  <w:tcW w:w="962" w:type="pct"/>
                  <w:tcBorders>
                    <w:bottom w:val="single" w:sz="6" w:space="0" w:color="BFBFBF"/>
                  </w:tcBorders>
                  <w:shd w:val="clear" w:color="auto" w:fill="auto"/>
                </w:tcPr>
                <w:p w14:paraId="3CF72983" w14:textId="347DF1DF" w:rsidR="00807E11" w:rsidRPr="00807E11" w:rsidRDefault="00807E11" w:rsidP="00ED747D">
                  <w:pPr>
                    <w:pStyle w:val="TableBodyText"/>
                    <w:jc w:val="left"/>
                    <w:rPr>
                      <w:b/>
                      <w:i/>
                    </w:rPr>
                  </w:pPr>
                  <w:r w:rsidRPr="00807E11">
                    <w:rPr>
                      <w:i/>
                    </w:rPr>
                    <w:t>disability</w:t>
                  </w:r>
                </w:p>
              </w:tc>
              <w:tc>
                <w:tcPr>
                  <w:tcW w:w="630" w:type="pct"/>
                  <w:tcBorders>
                    <w:bottom w:val="single" w:sz="6" w:space="0" w:color="BFBFBF"/>
                  </w:tcBorders>
                  <w:vAlign w:val="center"/>
                </w:tcPr>
                <w:p w14:paraId="7100648C" w14:textId="1D67BEDB" w:rsidR="00807E11" w:rsidRPr="00807E11" w:rsidRDefault="00E94B47" w:rsidP="00ED747D">
                  <w:pPr>
                    <w:pStyle w:val="TableBodyText"/>
                    <w:rPr>
                      <w:rFonts w:asciiTheme="majorHAnsi" w:hAnsiTheme="majorHAnsi" w:cstheme="majorHAnsi"/>
                      <w:b/>
                      <w:szCs w:val="18"/>
                    </w:rPr>
                  </w:pPr>
                  <w:r>
                    <w:rPr>
                      <w:rFonts w:asciiTheme="majorHAnsi" w:hAnsiTheme="majorHAnsi" w:cstheme="majorHAnsi"/>
                      <w:color w:val="000000"/>
                      <w:szCs w:val="18"/>
                    </w:rPr>
                    <w:noBreakHyphen/>
                  </w:r>
                  <w:r w:rsidR="00807E11" w:rsidRPr="00807E11">
                    <w:rPr>
                      <w:rFonts w:asciiTheme="majorHAnsi" w:hAnsiTheme="majorHAnsi" w:cstheme="majorHAnsi"/>
                      <w:color w:val="000000"/>
                      <w:szCs w:val="18"/>
                    </w:rPr>
                    <w:t>0.71</w:t>
                  </w:r>
                </w:p>
              </w:tc>
              <w:tc>
                <w:tcPr>
                  <w:tcW w:w="641" w:type="pct"/>
                  <w:tcBorders>
                    <w:bottom w:val="single" w:sz="6" w:space="0" w:color="BFBFBF"/>
                  </w:tcBorders>
                  <w:vAlign w:val="center"/>
                </w:tcPr>
                <w:p w14:paraId="6B83E384" w14:textId="2722BD36" w:rsidR="00807E11" w:rsidRPr="00807E11" w:rsidRDefault="00E94B47" w:rsidP="00ED747D">
                  <w:pPr>
                    <w:pStyle w:val="TableBodyText"/>
                    <w:rPr>
                      <w:rFonts w:asciiTheme="majorHAnsi" w:hAnsiTheme="majorHAnsi" w:cstheme="majorHAnsi"/>
                      <w:b/>
                      <w:szCs w:val="18"/>
                    </w:rPr>
                  </w:pPr>
                  <w:r>
                    <w:rPr>
                      <w:rFonts w:asciiTheme="majorHAnsi" w:hAnsiTheme="majorHAnsi" w:cstheme="majorHAnsi"/>
                      <w:color w:val="000000"/>
                      <w:szCs w:val="18"/>
                    </w:rPr>
                    <w:noBreakHyphen/>
                  </w:r>
                  <w:r w:rsidR="00807E11" w:rsidRPr="00807E11">
                    <w:rPr>
                      <w:rFonts w:asciiTheme="majorHAnsi" w:hAnsiTheme="majorHAnsi" w:cstheme="majorHAnsi"/>
                      <w:color w:val="000000"/>
                      <w:szCs w:val="18"/>
                    </w:rPr>
                    <w:t>0.53</w:t>
                  </w:r>
                </w:p>
              </w:tc>
              <w:tc>
                <w:tcPr>
                  <w:tcW w:w="641" w:type="pct"/>
                  <w:tcBorders>
                    <w:bottom w:val="single" w:sz="6" w:space="0" w:color="BFBFBF"/>
                  </w:tcBorders>
                  <w:vAlign w:val="center"/>
                </w:tcPr>
                <w:p w14:paraId="24886A07" w14:textId="2F84774C" w:rsidR="00807E11" w:rsidRPr="00807E11" w:rsidRDefault="00E94B47" w:rsidP="00ED747D">
                  <w:pPr>
                    <w:pStyle w:val="TableBodyText"/>
                    <w:rPr>
                      <w:rFonts w:asciiTheme="majorHAnsi" w:hAnsiTheme="majorHAnsi" w:cstheme="majorHAnsi"/>
                      <w:b/>
                      <w:szCs w:val="18"/>
                    </w:rPr>
                  </w:pPr>
                  <w:r>
                    <w:rPr>
                      <w:rFonts w:asciiTheme="majorHAnsi" w:hAnsiTheme="majorHAnsi" w:cstheme="majorHAnsi"/>
                      <w:color w:val="000000"/>
                      <w:szCs w:val="18"/>
                    </w:rPr>
                    <w:noBreakHyphen/>
                  </w:r>
                  <w:r w:rsidR="00807E11" w:rsidRPr="00807E11">
                    <w:rPr>
                      <w:rFonts w:asciiTheme="majorHAnsi" w:hAnsiTheme="majorHAnsi" w:cstheme="majorHAnsi"/>
                      <w:color w:val="000000"/>
                      <w:szCs w:val="18"/>
                    </w:rPr>
                    <w:t>0.49</w:t>
                  </w:r>
                </w:p>
              </w:tc>
              <w:tc>
                <w:tcPr>
                  <w:tcW w:w="742" w:type="pct"/>
                  <w:tcBorders>
                    <w:bottom w:val="single" w:sz="6" w:space="0" w:color="BFBFBF"/>
                  </w:tcBorders>
                  <w:vAlign w:val="center"/>
                </w:tcPr>
                <w:p w14:paraId="3CB434AA" w14:textId="49EAADD4" w:rsidR="00807E11" w:rsidRPr="00807E11" w:rsidRDefault="00E94B47" w:rsidP="00ED747D">
                  <w:pPr>
                    <w:pStyle w:val="TableBodyText"/>
                    <w:rPr>
                      <w:rFonts w:asciiTheme="majorHAnsi" w:hAnsiTheme="majorHAnsi" w:cstheme="majorHAnsi"/>
                      <w:b/>
                      <w:szCs w:val="18"/>
                    </w:rPr>
                  </w:pPr>
                  <w:r>
                    <w:rPr>
                      <w:rFonts w:asciiTheme="majorHAnsi" w:hAnsiTheme="majorHAnsi" w:cstheme="majorHAnsi"/>
                      <w:color w:val="000000"/>
                      <w:szCs w:val="18"/>
                    </w:rPr>
                    <w:noBreakHyphen/>
                  </w:r>
                  <w:r w:rsidR="00807E11" w:rsidRPr="00807E11">
                    <w:rPr>
                      <w:rFonts w:asciiTheme="majorHAnsi" w:hAnsiTheme="majorHAnsi" w:cstheme="majorHAnsi"/>
                      <w:color w:val="000000"/>
                      <w:szCs w:val="18"/>
                    </w:rPr>
                    <w:t>0.03</w:t>
                  </w:r>
                </w:p>
              </w:tc>
              <w:tc>
                <w:tcPr>
                  <w:tcW w:w="743" w:type="pct"/>
                  <w:tcBorders>
                    <w:bottom w:val="single" w:sz="6" w:space="0" w:color="BFBFBF"/>
                  </w:tcBorders>
                  <w:shd w:val="clear" w:color="auto" w:fill="auto"/>
                  <w:vAlign w:val="center"/>
                </w:tcPr>
                <w:p w14:paraId="371E4685" w14:textId="0E442EEB" w:rsidR="00807E11" w:rsidRPr="00807E11" w:rsidRDefault="00E94B47" w:rsidP="00ED747D">
                  <w:pPr>
                    <w:pStyle w:val="TableBodyText"/>
                    <w:rPr>
                      <w:rFonts w:asciiTheme="majorHAnsi" w:hAnsiTheme="majorHAnsi" w:cstheme="majorHAnsi"/>
                      <w:b/>
                      <w:szCs w:val="18"/>
                    </w:rPr>
                  </w:pPr>
                  <w:r>
                    <w:rPr>
                      <w:rFonts w:asciiTheme="majorHAnsi" w:hAnsiTheme="majorHAnsi" w:cstheme="majorHAnsi"/>
                      <w:color w:val="000000"/>
                      <w:szCs w:val="18"/>
                    </w:rPr>
                    <w:noBreakHyphen/>
                  </w:r>
                  <w:r w:rsidR="00807E11" w:rsidRPr="00807E11">
                    <w:rPr>
                      <w:rFonts w:asciiTheme="majorHAnsi" w:hAnsiTheme="majorHAnsi" w:cstheme="majorHAnsi"/>
                      <w:color w:val="000000"/>
                      <w:szCs w:val="18"/>
                    </w:rPr>
                    <w:t>0.40</w:t>
                  </w:r>
                </w:p>
              </w:tc>
              <w:tc>
                <w:tcPr>
                  <w:tcW w:w="641" w:type="pct"/>
                  <w:tcBorders>
                    <w:bottom w:val="single" w:sz="6" w:space="0" w:color="BFBFBF"/>
                  </w:tcBorders>
                  <w:shd w:val="clear" w:color="auto" w:fill="auto"/>
                  <w:vAlign w:val="center"/>
                </w:tcPr>
                <w:p w14:paraId="1F84394E" w14:textId="4FA97F1A" w:rsidR="00807E11" w:rsidRPr="00807E11" w:rsidRDefault="00807E11" w:rsidP="00ED747D">
                  <w:pPr>
                    <w:pStyle w:val="TableBodyText"/>
                    <w:ind w:right="28"/>
                    <w:rPr>
                      <w:rFonts w:asciiTheme="majorHAnsi" w:hAnsiTheme="majorHAnsi" w:cstheme="majorHAnsi"/>
                      <w:b/>
                      <w:szCs w:val="18"/>
                    </w:rPr>
                  </w:pPr>
                  <w:r w:rsidRPr="00807E11">
                    <w:rPr>
                      <w:rFonts w:asciiTheme="majorHAnsi" w:hAnsiTheme="majorHAnsi" w:cstheme="majorHAnsi"/>
                      <w:color w:val="000000"/>
                      <w:szCs w:val="18"/>
                    </w:rPr>
                    <w:t>1.00</w:t>
                  </w:r>
                </w:p>
              </w:tc>
            </w:tr>
          </w:tbl>
          <w:p w14:paraId="7803F9AF" w14:textId="77777777" w:rsidR="002C52FD" w:rsidRDefault="002C52FD" w:rsidP="00ED747D">
            <w:pPr>
              <w:pStyle w:val="Box"/>
            </w:pPr>
          </w:p>
        </w:tc>
      </w:tr>
      <w:tr w:rsidR="002C52FD" w14:paraId="7A7E721A" w14:textId="77777777" w:rsidTr="00A23812">
        <w:tc>
          <w:tcPr>
            <w:tcW w:w="5000" w:type="pct"/>
            <w:tcBorders>
              <w:top w:val="nil"/>
              <w:left w:val="nil"/>
              <w:bottom w:val="nil"/>
              <w:right w:val="nil"/>
            </w:tcBorders>
            <w:shd w:val="clear" w:color="auto" w:fill="auto"/>
          </w:tcPr>
          <w:p w14:paraId="3C71F2DA" w14:textId="72522060" w:rsidR="002C52FD" w:rsidRDefault="002C52FD" w:rsidP="00807E11">
            <w:pPr>
              <w:pStyle w:val="Note"/>
              <w:rPr>
                <w:i/>
              </w:rPr>
            </w:pPr>
            <w:r w:rsidRPr="008E77FE">
              <w:rPr>
                <w:rStyle w:val="NoteLabel"/>
              </w:rPr>
              <w:t>a</w:t>
            </w:r>
            <w:r>
              <w:t xml:space="preserve"> </w:t>
            </w:r>
            <w:r w:rsidR="00807E11">
              <w:t>Refer to table</w:t>
            </w:r>
            <w:r w:rsidR="008B66ED">
              <w:t> </w:t>
            </w:r>
            <w:r w:rsidR="00334635">
              <w:t>2</w:t>
            </w:r>
            <w:r w:rsidR="00807E11">
              <w:t xml:space="preserve"> for a description of indicators and their sources.</w:t>
            </w:r>
          </w:p>
        </w:tc>
      </w:tr>
      <w:tr w:rsidR="002C52FD" w14:paraId="09115589" w14:textId="77777777" w:rsidTr="00A23812">
        <w:tc>
          <w:tcPr>
            <w:tcW w:w="5000" w:type="pct"/>
            <w:tcBorders>
              <w:top w:val="nil"/>
              <w:left w:val="nil"/>
              <w:bottom w:val="nil"/>
              <w:right w:val="nil"/>
            </w:tcBorders>
            <w:shd w:val="clear" w:color="auto" w:fill="auto"/>
          </w:tcPr>
          <w:p w14:paraId="5FEC58A3" w14:textId="5E9DD1A3" w:rsidR="002C52FD" w:rsidRDefault="001B3F41" w:rsidP="00ED747D">
            <w:pPr>
              <w:pStyle w:val="Source"/>
            </w:pPr>
            <w:r>
              <w:rPr>
                <w:i/>
              </w:rPr>
              <w:t>Source</w:t>
            </w:r>
            <w:r w:rsidRPr="00167F06">
              <w:t xml:space="preserve">: </w:t>
            </w:r>
            <w:r>
              <w:t>Productivity Commission estimates.</w:t>
            </w:r>
          </w:p>
        </w:tc>
      </w:tr>
      <w:tr w:rsidR="002C52FD" w14:paraId="3BE27C11" w14:textId="77777777" w:rsidTr="00A23812">
        <w:tc>
          <w:tcPr>
            <w:tcW w:w="5000" w:type="pct"/>
            <w:tcBorders>
              <w:top w:val="nil"/>
              <w:left w:val="nil"/>
              <w:bottom w:val="single" w:sz="6" w:space="0" w:color="78A22F"/>
              <w:right w:val="nil"/>
            </w:tcBorders>
            <w:shd w:val="clear" w:color="auto" w:fill="auto"/>
          </w:tcPr>
          <w:p w14:paraId="790B26F5" w14:textId="77777777" w:rsidR="002C52FD" w:rsidRDefault="002C52FD" w:rsidP="00ED747D">
            <w:pPr>
              <w:pStyle w:val="Box"/>
              <w:spacing w:before="0" w:line="120" w:lineRule="exact"/>
            </w:pPr>
          </w:p>
        </w:tc>
      </w:tr>
      <w:tr w:rsidR="002C52FD" w:rsidRPr="000863A5" w14:paraId="7506ADB2" w14:textId="77777777" w:rsidTr="00A23812">
        <w:tc>
          <w:tcPr>
            <w:tcW w:w="5000" w:type="pct"/>
            <w:tcBorders>
              <w:top w:val="single" w:sz="6" w:space="0" w:color="78A22F"/>
              <w:left w:val="nil"/>
              <w:bottom w:val="nil"/>
              <w:right w:val="nil"/>
            </w:tcBorders>
          </w:tcPr>
          <w:p w14:paraId="7ABE63C6" w14:textId="38C89FF7" w:rsidR="002C52FD" w:rsidRPr="00626D32" w:rsidRDefault="002C52FD" w:rsidP="00ED747D">
            <w:pPr>
              <w:pStyle w:val="BoxSpaceBelow"/>
            </w:pPr>
          </w:p>
        </w:tc>
      </w:tr>
    </w:tbl>
    <w:p w14:paraId="2DE5D49A" w14:textId="7BC2B51E" w:rsidR="00735E33" w:rsidRDefault="00735E33" w:rsidP="00ED747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735E33" w14:paraId="130C65C6" w14:textId="77777777" w:rsidTr="00A23812">
        <w:trPr>
          <w:tblHeader/>
        </w:trPr>
        <w:tc>
          <w:tcPr>
            <w:tcW w:w="5000" w:type="pct"/>
            <w:tcBorders>
              <w:top w:val="single" w:sz="6" w:space="0" w:color="78A22F"/>
              <w:left w:val="nil"/>
              <w:bottom w:val="nil"/>
              <w:right w:val="nil"/>
            </w:tcBorders>
            <w:shd w:val="clear" w:color="auto" w:fill="auto"/>
          </w:tcPr>
          <w:p w14:paraId="2FDED7DF" w14:textId="7C93A3B7" w:rsidR="00735E33" w:rsidRPr="00784A05" w:rsidRDefault="00735E33" w:rsidP="00735E33">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D2773">
              <w:rPr>
                <w:b w:val="0"/>
                <w:noProof/>
              </w:rPr>
              <w:t>8</w:t>
            </w:r>
            <w:r>
              <w:rPr>
                <w:b w:val="0"/>
              </w:rPr>
              <w:fldChar w:fldCharType="end"/>
            </w:r>
            <w:r>
              <w:tab/>
              <w:t>Correlations between financial capital indicators</w:t>
            </w:r>
            <w:r w:rsidRPr="00E322F7">
              <w:rPr>
                <w:rStyle w:val="NoteLabel"/>
                <w:b/>
                <w:position w:val="10"/>
              </w:rPr>
              <w:t>a</w:t>
            </w:r>
          </w:p>
        </w:tc>
      </w:tr>
      <w:tr w:rsidR="00735E33" w14:paraId="785794D8"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6"/>
              <w:gridCol w:w="1701"/>
              <w:gridCol w:w="1701"/>
              <w:gridCol w:w="1701"/>
              <w:gridCol w:w="1696"/>
            </w:tblGrid>
            <w:tr w:rsidR="00AA6ABB" w14:paraId="6DEF6F6E" w14:textId="77777777" w:rsidTr="00AA6ABB">
              <w:trPr>
                <w:tblHeader/>
              </w:trPr>
              <w:tc>
                <w:tcPr>
                  <w:tcW w:w="1003" w:type="pct"/>
                  <w:tcBorders>
                    <w:top w:val="single" w:sz="6" w:space="0" w:color="BFBFBF"/>
                    <w:bottom w:val="single" w:sz="6" w:space="0" w:color="BFBFBF"/>
                  </w:tcBorders>
                  <w:shd w:val="clear" w:color="auto" w:fill="auto"/>
                  <w:tcMar>
                    <w:top w:w="28" w:type="dxa"/>
                  </w:tcMar>
                </w:tcPr>
                <w:p w14:paraId="5DA915A6" w14:textId="7B2732DC" w:rsidR="00AA6ABB" w:rsidRDefault="00AA6ABB" w:rsidP="00ED747D">
                  <w:pPr>
                    <w:pStyle w:val="TableColumnHeading"/>
                    <w:jc w:val="left"/>
                  </w:pPr>
                </w:p>
              </w:tc>
              <w:tc>
                <w:tcPr>
                  <w:tcW w:w="1000" w:type="pct"/>
                  <w:tcBorders>
                    <w:top w:val="single" w:sz="6" w:space="0" w:color="BFBFBF"/>
                    <w:bottom w:val="single" w:sz="6" w:space="0" w:color="BFBFBF"/>
                  </w:tcBorders>
                </w:tcPr>
                <w:p w14:paraId="2CF5DEE5" w14:textId="6389DB8B" w:rsidR="00AA6ABB" w:rsidRDefault="00AA6ABB" w:rsidP="00ED747D">
                  <w:pPr>
                    <w:pStyle w:val="TableColumnHeading"/>
                  </w:pPr>
                  <w:proofErr w:type="spellStart"/>
                  <w:r>
                    <w:t>high_income</w:t>
                  </w:r>
                  <w:proofErr w:type="spellEnd"/>
                </w:p>
              </w:tc>
              <w:tc>
                <w:tcPr>
                  <w:tcW w:w="1000" w:type="pct"/>
                  <w:tcBorders>
                    <w:top w:val="single" w:sz="6" w:space="0" w:color="BFBFBF"/>
                    <w:bottom w:val="single" w:sz="6" w:space="0" w:color="BFBFBF"/>
                  </w:tcBorders>
                </w:tcPr>
                <w:p w14:paraId="3AB06E67" w14:textId="6CA6FE2D" w:rsidR="00AA6ABB" w:rsidRDefault="00AA6ABB" w:rsidP="00ED747D">
                  <w:pPr>
                    <w:pStyle w:val="TableColumnHeading"/>
                  </w:pPr>
                  <w:proofErr w:type="spellStart"/>
                  <w:r>
                    <w:t>govt_payment</w:t>
                  </w:r>
                  <w:proofErr w:type="spellEnd"/>
                </w:p>
              </w:tc>
              <w:tc>
                <w:tcPr>
                  <w:tcW w:w="1000" w:type="pct"/>
                  <w:tcBorders>
                    <w:top w:val="single" w:sz="6" w:space="0" w:color="BFBFBF"/>
                    <w:bottom w:val="single" w:sz="6" w:space="0" w:color="BFBFBF"/>
                  </w:tcBorders>
                  <w:shd w:val="clear" w:color="auto" w:fill="auto"/>
                  <w:tcMar>
                    <w:top w:w="28" w:type="dxa"/>
                  </w:tcMar>
                </w:tcPr>
                <w:p w14:paraId="1D882AE1" w14:textId="69DA17F6" w:rsidR="00AA6ABB" w:rsidRDefault="00AA6ABB" w:rsidP="00ED747D">
                  <w:pPr>
                    <w:pStyle w:val="TableColumnHeading"/>
                  </w:pPr>
                  <w:proofErr w:type="spellStart"/>
                  <w:r>
                    <w:t>property_prices</w:t>
                  </w:r>
                  <w:proofErr w:type="spellEnd"/>
                </w:p>
              </w:tc>
              <w:tc>
                <w:tcPr>
                  <w:tcW w:w="997" w:type="pct"/>
                  <w:tcBorders>
                    <w:top w:val="single" w:sz="6" w:space="0" w:color="BFBFBF"/>
                    <w:bottom w:val="single" w:sz="6" w:space="0" w:color="BFBFBF"/>
                  </w:tcBorders>
                  <w:shd w:val="clear" w:color="auto" w:fill="auto"/>
                  <w:tcMar>
                    <w:top w:w="28" w:type="dxa"/>
                  </w:tcMar>
                </w:tcPr>
                <w:p w14:paraId="0BE1BBD4" w14:textId="360F31E9" w:rsidR="00AA6ABB" w:rsidRDefault="00AA6ABB" w:rsidP="00ED747D">
                  <w:pPr>
                    <w:pStyle w:val="TableColumnHeading"/>
                    <w:ind w:right="28"/>
                  </w:pPr>
                  <w:proofErr w:type="spellStart"/>
                  <w:r>
                    <w:t>own_home</w:t>
                  </w:r>
                  <w:proofErr w:type="spellEnd"/>
                </w:p>
              </w:tc>
            </w:tr>
            <w:tr w:rsidR="006637B7" w14:paraId="7324322A" w14:textId="77777777" w:rsidTr="00ED747D">
              <w:tc>
                <w:tcPr>
                  <w:tcW w:w="1003" w:type="pct"/>
                </w:tcPr>
                <w:p w14:paraId="0F5813ED" w14:textId="210991B8" w:rsidR="006637B7" w:rsidRPr="006637B7" w:rsidRDefault="006637B7" w:rsidP="000D2E82">
                  <w:pPr>
                    <w:pStyle w:val="TableBodyText"/>
                    <w:spacing w:before="40"/>
                    <w:jc w:val="left"/>
                    <w:rPr>
                      <w:i/>
                    </w:rPr>
                  </w:pPr>
                  <w:proofErr w:type="spellStart"/>
                  <w:r w:rsidRPr="006637B7">
                    <w:rPr>
                      <w:i/>
                    </w:rPr>
                    <w:t>high_income</w:t>
                  </w:r>
                  <w:proofErr w:type="spellEnd"/>
                </w:p>
              </w:tc>
              <w:tc>
                <w:tcPr>
                  <w:tcW w:w="1000" w:type="pct"/>
                  <w:vAlign w:val="center"/>
                </w:tcPr>
                <w:p w14:paraId="1CAA2BD2" w14:textId="3CE62E42" w:rsidR="006637B7" w:rsidRPr="006637B7" w:rsidRDefault="006637B7" w:rsidP="000D2E82">
                  <w:pPr>
                    <w:pStyle w:val="TableBodyText"/>
                    <w:spacing w:before="40"/>
                    <w:rPr>
                      <w:rFonts w:asciiTheme="majorHAnsi" w:hAnsiTheme="majorHAnsi" w:cstheme="majorHAnsi"/>
                      <w:color w:val="000000"/>
                      <w:szCs w:val="18"/>
                    </w:rPr>
                  </w:pPr>
                  <w:r w:rsidRPr="006637B7">
                    <w:rPr>
                      <w:rFonts w:asciiTheme="majorHAnsi" w:hAnsiTheme="majorHAnsi" w:cstheme="majorHAnsi"/>
                      <w:color w:val="000000"/>
                      <w:szCs w:val="18"/>
                    </w:rPr>
                    <w:t>1.00</w:t>
                  </w:r>
                </w:p>
              </w:tc>
              <w:tc>
                <w:tcPr>
                  <w:tcW w:w="1000" w:type="pct"/>
                  <w:vAlign w:val="center"/>
                </w:tcPr>
                <w:p w14:paraId="41012697" w14:textId="3110BCE9" w:rsidR="006637B7" w:rsidRPr="006637B7" w:rsidRDefault="00E94B47" w:rsidP="000D2E82">
                  <w:pPr>
                    <w:pStyle w:val="TableBodyText"/>
                    <w:spacing w:before="40"/>
                    <w:rPr>
                      <w:rFonts w:asciiTheme="majorHAnsi" w:hAnsiTheme="majorHAnsi" w:cstheme="majorHAnsi"/>
                      <w:color w:val="000000"/>
                      <w:szCs w:val="18"/>
                    </w:rPr>
                  </w:pPr>
                  <w:r>
                    <w:rPr>
                      <w:rFonts w:asciiTheme="majorHAnsi" w:hAnsiTheme="majorHAnsi" w:cstheme="majorHAnsi"/>
                      <w:color w:val="000000"/>
                      <w:szCs w:val="18"/>
                    </w:rPr>
                    <w:noBreakHyphen/>
                  </w:r>
                  <w:r w:rsidR="006637B7" w:rsidRPr="006637B7">
                    <w:rPr>
                      <w:rFonts w:asciiTheme="majorHAnsi" w:hAnsiTheme="majorHAnsi" w:cstheme="majorHAnsi"/>
                      <w:color w:val="000000"/>
                      <w:szCs w:val="18"/>
                    </w:rPr>
                    <w:t>0.74</w:t>
                  </w:r>
                </w:p>
              </w:tc>
              <w:tc>
                <w:tcPr>
                  <w:tcW w:w="1000" w:type="pct"/>
                  <w:vAlign w:val="center"/>
                </w:tcPr>
                <w:p w14:paraId="6432513C" w14:textId="6588E675" w:rsidR="006637B7" w:rsidRPr="006637B7" w:rsidRDefault="006637B7" w:rsidP="000D2E82">
                  <w:pPr>
                    <w:pStyle w:val="TableBodyText"/>
                    <w:spacing w:before="40"/>
                    <w:rPr>
                      <w:rFonts w:asciiTheme="majorHAnsi" w:hAnsiTheme="majorHAnsi" w:cstheme="majorHAnsi"/>
                      <w:color w:val="000000"/>
                      <w:szCs w:val="18"/>
                    </w:rPr>
                  </w:pPr>
                  <w:r w:rsidRPr="006637B7">
                    <w:rPr>
                      <w:rFonts w:asciiTheme="majorHAnsi" w:hAnsiTheme="majorHAnsi" w:cstheme="majorHAnsi"/>
                      <w:color w:val="000000"/>
                      <w:szCs w:val="18"/>
                    </w:rPr>
                    <w:t>0.73</w:t>
                  </w:r>
                </w:p>
              </w:tc>
              <w:tc>
                <w:tcPr>
                  <w:tcW w:w="997" w:type="pct"/>
                  <w:vAlign w:val="center"/>
                </w:tcPr>
                <w:p w14:paraId="79635797" w14:textId="5E103948" w:rsidR="006637B7" w:rsidRPr="006637B7" w:rsidRDefault="00E94B47" w:rsidP="000D2E82">
                  <w:pPr>
                    <w:pStyle w:val="TableBodyText"/>
                    <w:spacing w:before="40"/>
                    <w:ind w:right="28"/>
                    <w:rPr>
                      <w:rFonts w:asciiTheme="majorHAnsi" w:hAnsiTheme="majorHAnsi" w:cstheme="majorHAnsi"/>
                      <w:color w:val="000000"/>
                      <w:szCs w:val="18"/>
                    </w:rPr>
                  </w:pPr>
                  <w:r>
                    <w:rPr>
                      <w:rFonts w:asciiTheme="majorHAnsi" w:hAnsiTheme="majorHAnsi" w:cstheme="majorHAnsi"/>
                      <w:color w:val="000000"/>
                      <w:szCs w:val="18"/>
                    </w:rPr>
                    <w:noBreakHyphen/>
                  </w:r>
                  <w:r w:rsidR="006637B7" w:rsidRPr="006637B7">
                    <w:rPr>
                      <w:rFonts w:asciiTheme="majorHAnsi" w:hAnsiTheme="majorHAnsi" w:cstheme="majorHAnsi"/>
                      <w:color w:val="000000"/>
                      <w:szCs w:val="18"/>
                    </w:rPr>
                    <w:t>0.06</w:t>
                  </w:r>
                </w:p>
              </w:tc>
            </w:tr>
            <w:tr w:rsidR="006637B7" w14:paraId="68673AD0" w14:textId="77777777" w:rsidTr="00ED747D">
              <w:tc>
                <w:tcPr>
                  <w:tcW w:w="1003" w:type="pct"/>
                  <w:shd w:val="clear" w:color="auto" w:fill="auto"/>
                </w:tcPr>
                <w:p w14:paraId="4EA56E44" w14:textId="50285B15" w:rsidR="006637B7" w:rsidRPr="006637B7" w:rsidRDefault="006637B7" w:rsidP="00ED747D">
                  <w:pPr>
                    <w:pStyle w:val="TableBodyText"/>
                    <w:jc w:val="left"/>
                    <w:rPr>
                      <w:i/>
                    </w:rPr>
                  </w:pPr>
                  <w:proofErr w:type="spellStart"/>
                  <w:r w:rsidRPr="006637B7">
                    <w:rPr>
                      <w:i/>
                    </w:rPr>
                    <w:t>govt_payment</w:t>
                  </w:r>
                  <w:proofErr w:type="spellEnd"/>
                </w:p>
              </w:tc>
              <w:tc>
                <w:tcPr>
                  <w:tcW w:w="1000" w:type="pct"/>
                  <w:vAlign w:val="center"/>
                </w:tcPr>
                <w:p w14:paraId="72BF5241" w14:textId="602E1ED9" w:rsidR="006637B7" w:rsidRPr="006637B7" w:rsidRDefault="00E94B47" w:rsidP="00ED747D">
                  <w:pPr>
                    <w:pStyle w:val="TableBodyText"/>
                    <w:rPr>
                      <w:rFonts w:asciiTheme="majorHAnsi" w:hAnsiTheme="majorHAnsi" w:cstheme="majorHAnsi"/>
                      <w:color w:val="000000"/>
                      <w:szCs w:val="18"/>
                    </w:rPr>
                  </w:pPr>
                  <w:r>
                    <w:rPr>
                      <w:rFonts w:asciiTheme="majorHAnsi" w:hAnsiTheme="majorHAnsi" w:cstheme="majorHAnsi"/>
                      <w:color w:val="000000"/>
                      <w:szCs w:val="18"/>
                    </w:rPr>
                    <w:noBreakHyphen/>
                  </w:r>
                  <w:r w:rsidR="006637B7" w:rsidRPr="006637B7">
                    <w:rPr>
                      <w:rFonts w:asciiTheme="majorHAnsi" w:hAnsiTheme="majorHAnsi" w:cstheme="majorHAnsi"/>
                      <w:color w:val="000000"/>
                      <w:szCs w:val="18"/>
                    </w:rPr>
                    <w:t>0.74</w:t>
                  </w:r>
                </w:p>
              </w:tc>
              <w:tc>
                <w:tcPr>
                  <w:tcW w:w="1000" w:type="pct"/>
                  <w:vAlign w:val="center"/>
                </w:tcPr>
                <w:p w14:paraId="3B840E08" w14:textId="5E862C99" w:rsidR="006637B7" w:rsidRPr="006637B7" w:rsidRDefault="006637B7" w:rsidP="00ED747D">
                  <w:pPr>
                    <w:pStyle w:val="TableBodyText"/>
                    <w:rPr>
                      <w:rFonts w:asciiTheme="majorHAnsi" w:hAnsiTheme="majorHAnsi" w:cstheme="majorHAnsi"/>
                      <w:color w:val="000000"/>
                      <w:szCs w:val="18"/>
                    </w:rPr>
                  </w:pPr>
                  <w:r w:rsidRPr="006637B7">
                    <w:rPr>
                      <w:rFonts w:asciiTheme="majorHAnsi" w:hAnsiTheme="majorHAnsi" w:cstheme="majorHAnsi"/>
                      <w:color w:val="000000"/>
                      <w:szCs w:val="18"/>
                    </w:rPr>
                    <w:t>1.00</w:t>
                  </w:r>
                </w:p>
              </w:tc>
              <w:tc>
                <w:tcPr>
                  <w:tcW w:w="1000" w:type="pct"/>
                  <w:shd w:val="clear" w:color="auto" w:fill="auto"/>
                  <w:vAlign w:val="center"/>
                </w:tcPr>
                <w:p w14:paraId="541B0EE3" w14:textId="0BEAE7A5" w:rsidR="006637B7" w:rsidRPr="006637B7" w:rsidRDefault="00E94B47" w:rsidP="00ED747D">
                  <w:pPr>
                    <w:pStyle w:val="TableBodyText"/>
                    <w:rPr>
                      <w:rFonts w:asciiTheme="majorHAnsi" w:hAnsiTheme="majorHAnsi" w:cstheme="majorHAnsi"/>
                      <w:color w:val="000000"/>
                      <w:szCs w:val="18"/>
                    </w:rPr>
                  </w:pPr>
                  <w:r>
                    <w:rPr>
                      <w:rFonts w:asciiTheme="majorHAnsi" w:hAnsiTheme="majorHAnsi" w:cstheme="majorHAnsi"/>
                      <w:color w:val="000000"/>
                      <w:szCs w:val="18"/>
                    </w:rPr>
                    <w:noBreakHyphen/>
                  </w:r>
                  <w:r w:rsidR="006637B7" w:rsidRPr="006637B7">
                    <w:rPr>
                      <w:rFonts w:asciiTheme="majorHAnsi" w:hAnsiTheme="majorHAnsi" w:cstheme="majorHAnsi"/>
                      <w:color w:val="000000"/>
                      <w:szCs w:val="18"/>
                    </w:rPr>
                    <w:t>0.55</w:t>
                  </w:r>
                </w:p>
              </w:tc>
              <w:tc>
                <w:tcPr>
                  <w:tcW w:w="997" w:type="pct"/>
                  <w:shd w:val="clear" w:color="auto" w:fill="auto"/>
                  <w:vAlign w:val="center"/>
                </w:tcPr>
                <w:p w14:paraId="2D170D55" w14:textId="29B642AB" w:rsidR="006637B7" w:rsidRPr="006637B7" w:rsidRDefault="006637B7" w:rsidP="00ED747D">
                  <w:pPr>
                    <w:pStyle w:val="TableBodyText"/>
                    <w:ind w:right="28"/>
                    <w:rPr>
                      <w:rFonts w:asciiTheme="majorHAnsi" w:hAnsiTheme="majorHAnsi" w:cstheme="majorHAnsi"/>
                      <w:color w:val="000000"/>
                      <w:szCs w:val="18"/>
                    </w:rPr>
                  </w:pPr>
                  <w:r w:rsidRPr="006637B7">
                    <w:rPr>
                      <w:rFonts w:asciiTheme="majorHAnsi" w:hAnsiTheme="majorHAnsi" w:cstheme="majorHAnsi"/>
                      <w:color w:val="000000"/>
                      <w:szCs w:val="18"/>
                    </w:rPr>
                    <w:t>0.10</w:t>
                  </w:r>
                </w:p>
              </w:tc>
            </w:tr>
            <w:tr w:rsidR="006637B7" w14:paraId="39085511" w14:textId="77777777" w:rsidTr="00ED747D">
              <w:tc>
                <w:tcPr>
                  <w:tcW w:w="1003" w:type="pct"/>
                  <w:shd w:val="clear" w:color="auto" w:fill="auto"/>
                  <w:vAlign w:val="center"/>
                </w:tcPr>
                <w:p w14:paraId="0A70A8D5" w14:textId="32AC4C56" w:rsidR="006637B7" w:rsidRPr="006637B7" w:rsidRDefault="006637B7" w:rsidP="00ED747D">
                  <w:pPr>
                    <w:pStyle w:val="TableBodyText"/>
                    <w:jc w:val="left"/>
                    <w:rPr>
                      <w:i/>
                    </w:rPr>
                  </w:pPr>
                  <w:proofErr w:type="spellStart"/>
                  <w:r w:rsidRPr="006637B7">
                    <w:rPr>
                      <w:i/>
                    </w:rPr>
                    <w:t>property_prices</w:t>
                  </w:r>
                  <w:proofErr w:type="spellEnd"/>
                </w:p>
              </w:tc>
              <w:tc>
                <w:tcPr>
                  <w:tcW w:w="1000" w:type="pct"/>
                  <w:vAlign w:val="center"/>
                </w:tcPr>
                <w:p w14:paraId="52061632" w14:textId="31B82DB6" w:rsidR="006637B7" w:rsidRPr="006637B7" w:rsidRDefault="006637B7" w:rsidP="00ED747D">
                  <w:pPr>
                    <w:pStyle w:val="TableBodyText"/>
                    <w:rPr>
                      <w:rFonts w:asciiTheme="majorHAnsi" w:hAnsiTheme="majorHAnsi" w:cstheme="majorHAnsi"/>
                      <w:color w:val="000000"/>
                      <w:szCs w:val="18"/>
                    </w:rPr>
                  </w:pPr>
                  <w:r w:rsidRPr="006637B7">
                    <w:rPr>
                      <w:rFonts w:asciiTheme="majorHAnsi" w:hAnsiTheme="majorHAnsi" w:cstheme="majorHAnsi"/>
                      <w:color w:val="000000"/>
                      <w:szCs w:val="18"/>
                    </w:rPr>
                    <w:t>0.73</w:t>
                  </w:r>
                </w:p>
              </w:tc>
              <w:tc>
                <w:tcPr>
                  <w:tcW w:w="1000" w:type="pct"/>
                  <w:vAlign w:val="center"/>
                </w:tcPr>
                <w:p w14:paraId="1F09A68F" w14:textId="336FC9AC" w:rsidR="006637B7" w:rsidRPr="006637B7" w:rsidRDefault="00E94B47" w:rsidP="00ED747D">
                  <w:pPr>
                    <w:pStyle w:val="TableBodyText"/>
                    <w:rPr>
                      <w:rFonts w:asciiTheme="majorHAnsi" w:hAnsiTheme="majorHAnsi" w:cstheme="majorHAnsi"/>
                      <w:color w:val="000000"/>
                      <w:szCs w:val="18"/>
                    </w:rPr>
                  </w:pPr>
                  <w:r>
                    <w:rPr>
                      <w:rFonts w:asciiTheme="majorHAnsi" w:hAnsiTheme="majorHAnsi" w:cstheme="majorHAnsi"/>
                      <w:color w:val="000000"/>
                      <w:szCs w:val="18"/>
                    </w:rPr>
                    <w:noBreakHyphen/>
                  </w:r>
                  <w:r w:rsidR="006637B7" w:rsidRPr="006637B7">
                    <w:rPr>
                      <w:rFonts w:asciiTheme="majorHAnsi" w:hAnsiTheme="majorHAnsi" w:cstheme="majorHAnsi"/>
                      <w:color w:val="000000"/>
                      <w:szCs w:val="18"/>
                    </w:rPr>
                    <w:t>0.55</w:t>
                  </w:r>
                </w:p>
              </w:tc>
              <w:tc>
                <w:tcPr>
                  <w:tcW w:w="1000" w:type="pct"/>
                  <w:shd w:val="clear" w:color="auto" w:fill="auto"/>
                  <w:vAlign w:val="center"/>
                </w:tcPr>
                <w:p w14:paraId="504771BF" w14:textId="0241AB8B" w:rsidR="006637B7" w:rsidRPr="006637B7" w:rsidRDefault="006637B7" w:rsidP="00ED747D">
                  <w:pPr>
                    <w:pStyle w:val="TableBodyText"/>
                    <w:rPr>
                      <w:rFonts w:asciiTheme="majorHAnsi" w:hAnsiTheme="majorHAnsi" w:cstheme="majorHAnsi"/>
                      <w:color w:val="000000"/>
                      <w:szCs w:val="18"/>
                    </w:rPr>
                  </w:pPr>
                  <w:r w:rsidRPr="006637B7">
                    <w:rPr>
                      <w:rFonts w:asciiTheme="majorHAnsi" w:hAnsiTheme="majorHAnsi" w:cstheme="majorHAnsi"/>
                      <w:color w:val="000000"/>
                      <w:szCs w:val="18"/>
                    </w:rPr>
                    <w:t>1.00</w:t>
                  </w:r>
                </w:p>
              </w:tc>
              <w:tc>
                <w:tcPr>
                  <w:tcW w:w="997" w:type="pct"/>
                  <w:shd w:val="clear" w:color="auto" w:fill="auto"/>
                  <w:vAlign w:val="center"/>
                </w:tcPr>
                <w:p w14:paraId="5FE39642" w14:textId="2C5EA76D" w:rsidR="006637B7" w:rsidRPr="006637B7" w:rsidRDefault="006637B7" w:rsidP="00ED747D">
                  <w:pPr>
                    <w:pStyle w:val="TableBodyText"/>
                    <w:ind w:right="28"/>
                    <w:rPr>
                      <w:rFonts w:asciiTheme="majorHAnsi" w:hAnsiTheme="majorHAnsi" w:cstheme="majorHAnsi"/>
                      <w:color w:val="000000"/>
                      <w:szCs w:val="18"/>
                    </w:rPr>
                  </w:pPr>
                  <w:r w:rsidRPr="006637B7">
                    <w:rPr>
                      <w:rFonts w:asciiTheme="majorHAnsi" w:hAnsiTheme="majorHAnsi" w:cstheme="majorHAnsi"/>
                      <w:color w:val="000000"/>
                      <w:szCs w:val="18"/>
                    </w:rPr>
                    <w:t>0.04</w:t>
                  </w:r>
                </w:p>
              </w:tc>
            </w:tr>
            <w:tr w:rsidR="006637B7" w14:paraId="07DC9985" w14:textId="77777777" w:rsidTr="00ED747D">
              <w:tc>
                <w:tcPr>
                  <w:tcW w:w="1003" w:type="pct"/>
                  <w:tcBorders>
                    <w:bottom w:val="single" w:sz="6" w:space="0" w:color="BFBFBF"/>
                  </w:tcBorders>
                  <w:shd w:val="clear" w:color="auto" w:fill="auto"/>
                  <w:vAlign w:val="center"/>
                </w:tcPr>
                <w:p w14:paraId="47E4B0DF" w14:textId="58F6CE45" w:rsidR="006637B7" w:rsidRPr="006637B7" w:rsidRDefault="006637B7" w:rsidP="00ED747D">
                  <w:pPr>
                    <w:pStyle w:val="TableBodyText"/>
                    <w:jc w:val="left"/>
                    <w:rPr>
                      <w:i/>
                    </w:rPr>
                  </w:pPr>
                  <w:proofErr w:type="spellStart"/>
                  <w:r w:rsidRPr="006637B7">
                    <w:rPr>
                      <w:i/>
                    </w:rPr>
                    <w:t>own_home</w:t>
                  </w:r>
                  <w:proofErr w:type="spellEnd"/>
                </w:p>
              </w:tc>
              <w:tc>
                <w:tcPr>
                  <w:tcW w:w="1000" w:type="pct"/>
                  <w:tcBorders>
                    <w:bottom w:val="single" w:sz="6" w:space="0" w:color="BFBFBF"/>
                  </w:tcBorders>
                  <w:vAlign w:val="center"/>
                </w:tcPr>
                <w:p w14:paraId="65F5F816" w14:textId="705CAA92" w:rsidR="006637B7" w:rsidRPr="006637B7" w:rsidRDefault="00E94B47" w:rsidP="00ED747D">
                  <w:pPr>
                    <w:pStyle w:val="TableBodyText"/>
                    <w:rPr>
                      <w:rFonts w:asciiTheme="majorHAnsi" w:hAnsiTheme="majorHAnsi" w:cstheme="majorHAnsi"/>
                      <w:color w:val="000000"/>
                      <w:szCs w:val="18"/>
                    </w:rPr>
                  </w:pPr>
                  <w:r>
                    <w:rPr>
                      <w:rFonts w:asciiTheme="majorHAnsi" w:hAnsiTheme="majorHAnsi" w:cstheme="majorHAnsi"/>
                      <w:color w:val="000000"/>
                      <w:szCs w:val="18"/>
                    </w:rPr>
                    <w:noBreakHyphen/>
                  </w:r>
                  <w:r w:rsidR="006637B7" w:rsidRPr="006637B7">
                    <w:rPr>
                      <w:rFonts w:asciiTheme="majorHAnsi" w:hAnsiTheme="majorHAnsi" w:cstheme="majorHAnsi"/>
                      <w:color w:val="000000"/>
                      <w:szCs w:val="18"/>
                    </w:rPr>
                    <w:t>0.06</w:t>
                  </w:r>
                </w:p>
              </w:tc>
              <w:tc>
                <w:tcPr>
                  <w:tcW w:w="1000" w:type="pct"/>
                  <w:tcBorders>
                    <w:bottom w:val="single" w:sz="6" w:space="0" w:color="BFBFBF"/>
                  </w:tcBorders>
                  <w:vAlign w:val="center"/>
                </w:tcPr>
                <w:p w14:paraId="2B623108" w14:textId="41D01094" w:rsidR="006637B7" w:rsidRPr="006637B7" w:rsidRDefault="006637B7" w:rsidP="00ED747D">
                  <w:pPr>
                    <w:pStyle w:val="TableBodyText"/>
                    <w:rPr>
                      <w:rFonts w:asciiTheme="majorHAnsi" w:hAnsiTheme="majorHAnsi" w:cstheme="majorHAnsi"/>
                      <w:color w:val="000000"/>
                      <w:szCs w:val="18"/>
                    </w:rPr>
                  </w:pPr>
                  <w:r w:rsidRPr="006637B7">
                    <w:rPr>
                      <w:rFonts w:asciiTheme="majorHAnsi" w:hAnsiTheme="majorHAnsi" w:cstheme="majorHAnsi"/>
                      <w:color w:val="000000"/>
                      <w:szCs w:val="18"/>
                    </w:rPr>
                    <w:t>0.10</w:t>
                  </w:r>
                </w:p>
              </w:tc>
              <w:tc>
                <w:tcPr>
                  <w:tcW w:w="1000" w:type="pct"/>
                  <w:tcBorders>
                    <w:bottom w:val="single" w:sz="6" w:space="0" w:color="BFBFBF"/>
                  </w:tcBorders>
                  <w:shd w:val="clear" w:color="auto" w:fill="auto"/>
                  <w:vAlign w:val="center"/>
                </w:tcPr>
                <w:p w14:paraId="70FFC776" w14:textId="6618E0BE" w:rsidR="006637B7" w:rsidRPr="006637B7" w:rsidRDefault="006637B7" w:rsidP="00ED747D">
                  <w:pPr>
                    <w:pStyle w:val="TableBodyText"/>
                    <w:rPr>
                      <w:rFonts w:asciiTheme="majorHAnsi" w:hAnsiTheme="majorHAnsi" w:cstheme="majorHAnsi"/>
                      <w:color w:val="000000"/>
                      <w:szCs w:val="18"/>
                    </w:rPr>
                  </w:pPr>
                  <w:r w:rsidRPr="006637B7">
                    <w:rPr>
                      <w:rFonts w:asciiTheme="majorHAnsi" w:hAnsiTheme="majorHAnsi" w:cstheme="majorHAnsi"/>
                      <w:color w:val="000000"/>
                      <w:szCs w:val="18"/>
                    </w:rPr>
                    <w:t>0.04</w:t>
                  </w:r>
                </w:p>
              </w:tc>
              <w:tc>
                <w:tcPr>
                  <w:tcW w:w="997" w:type="pct"/>
                  <w:tcBorders>
                    <w:bottom w:val="single" w:sz="6" w:space="0" w:color="BFBFBF"/>
                  </w:tcBorders>
                  <w:shd w:val="clear" w:color="auto" w:fill="auto"/>
                  <w:vAlign w:val="center"/>
                </w:tcPr>
                <w:p w14:paraId="1F93E59E" w14:textId="6372D733" w:rsidR="006637B7" w:rsidRPr="006637B7" w:rsidRDefault="006637B7" w:rsidP="00ED747D">
                  <w:pPr>
                    <w:pStyle w:val="TableBodyText"/>
                    <w:ind w:right="28"/>
                    <w:rPr>
                      <w:rFonts w:asciiTheme="majorHAnsi" w:hAnsiTheme="majorHAnsi" w:cstheme="majorHAnsi"/>
                      <w:color w:val="000000"/>
                      <w:szCs w:val="18"/>
                    </w:rPr>
                  </w:pPr>
                  <w:r w:rsidRPr="006637B7">
                    <w:rPr>
                      <w:rFonts w:asciiTheme="majorHAnsi" w:hAnsiTheme="majorHAnsi" w:cstheme="majorHAnsi"/>
                      <w:color w:val="000000"/>
                      <w:szCs w:val="18"/>
                    </w:rPr>
                    <w:t>1.00</w:t>
                  </w:r>
                </w:p>
              </w:tc>
            </w:tr>
          </w:tbl>
          <w:p w14:paraId="5B481B99" w14:textId="77777777" w:rsidR="00735E33" w:rsidRDefault="00735E33" w:rsidP="00ED747D">
            <w:pPr>
              <w:pStyle w:val="Box"/>
            </w:pPr>
          </w:p>
        </w:tc>
      </w:tr>
      <w:tr w:rsidR="00735E33" w14:paraId="4774B40B" w14:textId="77777777" w:rsidTr="00A23812">
        <w:tc>
          <w:tcPr>
            <w:tcW w:w="5000" w:type="pct"/>
            <w:tcBorders>
              <w:top w:val="nil"/>
              <w:left w:val="nil"/>
              <w:bottom w:val="nil"/>
              <w:right w:val="nil"/>
            </w:tcBorders>
            <w:shd w:val="clear" w:color="auto" w:fill="auto"/>
          </w:tcPr>
          <w:p w14:paraId="52F6219F" w14:textId="7BD7E6B3" w:rsidR="00735E33" w:rsidRDefault="00297D80" w:rsidP="00334635">
            <w:pPr>
              <w:pStyle w:val="Note"/>
              <w:rPr>
                <w:i/>
              </w:rPr>
            </w:pPr>
            <w:r w:rsidRPr="008E77FE">
              <w:rPr>
                <w:rStyle w:val="NoteLabel"/>
              </w:rPr>
              <w:t>a</w:t>
            </w:r>
            <w:r>
              <w:t xml:space="preserve"> Refer to table</w:t>
            </w:r>
            <w:r w:rsidR="008B66ED">
              <w:t> </w:t>
            </w:r>
            <w:r w:rsidR="00334635">
              <w:t>3</w:t>
            </w:r>
            <w:r>
              <w:t xml:space="preserve"> for a description of indicators and their sources.</w:t>
            </w:r>
          </w:p>
        </w:tc>
      </w:tr>
      <w:tr w:rsidR="00735E33" w14:paraId="23F05003" w14:textId="77777777" w:rsidTr="00A23812">
        <w:tc>
          <w:tcPr>
            <w:tcW w:w="5000" w:type="pct"/>
            <w:tcBorders>
              <w:top w:val="nil"/>
              <w:left w:val="nil"/>
              <w:bottom w:val="nil"/>
              <w:right w:val="nil"/>
            </w:tcBorders>
            <w:shd w:val="clear" w:color="auto" w:fill="auto"/>
          </w:tcPr>
          <w:p w14:paraId="632BD752" w14:textId="14C7B5E4" w:rsidR="00735E33" w:rsidRDefault="00297D80" w:rsidP="00ED747D">
            <w:pPr>
              <w:pStyle w:val="Source"/>
            </w:pPr>
            <w:r>
              <w:rPr>
                <w:i/>
              </w:rPr>
              <w:t>Source</w:t>
            </w:r>
            <w:r w:rsidRPr="00167F06">
              <w:t xml:space="preserve">: </w:t>
            </w:r>
            <w:r>
              <w:t>Productivity Commission estimates.</w:t>
            </w:r>
          </w:p>
        </w:tc>
      </w:tr>
      <w:tr w:rsidR="00735E33" w14:paraId="3AA18CEB" w14:textId="77777777" w:rsidTr="00A23812">
        <w:tc>
          <w:tcPr>
            <w:tcW w:w="5000" w:type="pct"/>
            <w:tcBorders>
              <w:top w:val="nil"/>
              <w:left w:val="nil"/>
              <w:bottom w:val="single" w:sz="6" w:space="0" w:color="78A22F"/>
              <w:right w:val="nil"/>
            </w:tcBorders>
            <w:shd w:val="clear" w:color="auto" w:fill="auto"/>
          </w:tcPr>
          <w:p w14:paraId="553A5A28" w14:textId="77777777" w:rsidR="00735E33" w:rsidRDefault="00735E33" w:rsidP="00ED747D">
            <w:pPr>
              <w:pStyle w:val="Box"/>
              <w:spacing w:before="0" w:line="120" w:lineRule="exact"/>
            </w:pPr>
          </w:p>
        </w:tc>
      </w:tr>
      <w:tr w:rsidR="00735E33" w:rsidRPr="000863A5" w14:paraId="5F0D64BF" w14:textId="77777777" w:rsidTr="00A23812">
        <w:tc>
          <w:tcPr>
            <w:tcW w:w="5000" w:type="pct"/>
            <w:tcBorders>
              <w:top w:val="single" w:sz="6" w:space="0" w:color="78A22F"/>
              <w:left w:val="nil"/>
              <w:bottom w:val="nil"/>
              <w:right w:val="nil"/>
            </w:tcBorders>
          </w:tcPr>
          <w:p w14:paraId="62A7EBC9" w14:textId="6E9F0249" w:rsidR="00735E33" w:rsidRPr="00626D32" w:rsidRDefault="00735E33" w:rsidP="00ED747D">
            <w:pPr>
              <w:pStyle w:val="BoxSpaceBelow"/>
            </w:pPr>
          </w:p>
        </w:tc>
      </w:tr>
    </w:tbl>
    <w:p w14:paraId="1CFAB9E0" w14:textId="454FF424" w:rsidR="005B29D4" w:rsidRDefault="005B29D4" w:rsidP="00ED747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B29D4" w14:paraId="2FCB4CC6" w14:textId="77777777" w:rsidTr="00A23812">
        <w:trPr>
          <w:tblHeader/>
        </w:trPr>
        <w:tc>
          <w:tcPr>
            <w:tcW w:w="5000" w:type="pct"/>
            <w:tcBorders>
              <w:top w:val="single" w:sz="6" w:space="0" w:color="78A22F"/>
              <w:left w:val="nil"/>
              <w:bottom w:val="nil"/>
              <w:right w:val="nil"/>
            </w:tcBorders>
            <w:shd w:val="clear" w:color="auto" w:fill="auto"/>
          </w:tcPr>
          <w:p w14:paraId="3BF48CD3" w14:textId="0004A31B" w:rsidR="005B29D4" w:rsidRPr="00784A05" w:rsidRDefault="005B29D4" w:rsidP="005B29D4">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D2773">
              <w:rPr>
                <w:b w:val="0"/>
                <w:noProof/>
              </w:rPr>
              <w:t>9</w:t>
            </w:r>
            <w:r>
              <w:rPr>
                <w:b w:val="0"/>
              </w:rPr>
              <w:fldChar w:fldCharType="end"/>
            </w:r>
            <w:r>
              <w:tab/>
              <w:t>Correlations between natural capital indicators</w:t>
            </w:r>
            <w:r w:rsidRPr="00E322F7">
              <w:rPr>
                <w:rStyle w:val="NoteLabel"/>
                <w:b/>
                <w:position w:val="10"/>
              </w:rPr>
              <w:t>a</w:t>
            </w:r>
          </w:p>
        </w:tc>
      </w:tr>
      <w:tr w:rsidR="005B29D4" w14:paraId="3FE4BCD2"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453820" w14:paraId="3924CA4A" w14:textId="77777777" w:rsidTr="00ED747D">
              <w:trPr>
                <w:tblHeader/>
              </w:trPr>
              <w:tc>
                <w:tcPr>
                  <w:tcW w:w="1251" w:type="pct"/>
                  <w:tcBorders>
                    <w:top w:val="single" w:sz="6" w:space="0" w:color="BFBFBF"/>
                    <w:bottom w:val="single" w:sz="6" w:space="0" w:color="BFBFBF"/>
                  </w:tcBorders>
                  <w:shd w:val="clear" w:color="auto" w:fill="auto"/>
                  <w:tcMar>
                    <w:top w:w="28" w:type="dxa"/>
                  </w:tcMar>
                </w:tcPr>
                <w:p w14:paraId="254D24C5" w14:textId="0A07EC6B" w:rsidR="00453820" w:rsidRDefault="00453820" w:rsidP="00ED747D">
                  <w:pPr>
                    <w:pStyle w:val="TableColumnHeading"/>
                    <w:jc w:val="left"/>
                  </w:pPr>
                </w:p>
              </w:tc>
              <w:tc>
                <w:tcPr>
                  <w:tcW w:w="1250" w:type="pct"/>
                  <w:tcBorders>
                    <w:top w:val="single" w:sz="6" w:space="0" w:color="BFBFBF"/>
                    <w:bottom w:val="single" w:sz="6" w:space="0" w:color="BFBFBF"/>
                  </w:tcBorders>
                </w:tcPr>
                <w:p w14:paraId="1B884F11" w14:textId="4C73DB01" w:rsidR="00453820" w:rsidRDefault="00453820" w:rsidP="00ED747D">
                  <w:pPr>
                    <w:pStyle w:val="TableColumnHeading"/>
                  </w:pPr>
                  <w:proofErr w:type="spellStart"/>
                  <w:r>
                    <w:t>agri_land</w:t>
                  </w:r>
                  <w:proofErr w:type="spellEnd"/>
                </w:p>
              </w:tc>
              <w:tc>
                <w:tcPr>
                  <w:tcW w:w="1250" w:type="pct"/>
                  <w:tcBorders>
                    <w:top w:val="single" w:sz="6" w:space="0" w:color="BFBFBF"/>
                    <w:bottom w:val="single" w:sz="6" w:space="0" w:color="BFBFBF"/>
                  </w:tcBorders>
                  <w:shd w:val="clear" w:color="auto" w:fill="auto"/>
                  <w:tcMar>
                    <w:top w:w="28" w:type="dxa"/>
                  </w:tcMar>
                </w:tcPr>
                <w:p w14:paraId="574E0D2D" w14:textId="7FDECF3D" w:rsidR="00453820" w:rsidRDefault="00453820" w:rsidP="00ED747D">
                  <w:pPr>
                    <w:pStyle w:val="TableColumnHeading"/>
                  </w:pPr>
                  <w:proofErr w:type="spellStart"/>
                  <w:r>
                    <w:t>nature_land</w:t>
                  </w:r>
                  <w:proofErr w:type="spellEnd"/>
                </w:p>
              </w:tc>
              <w:tc>
                <w:tcPr>
                  <w:tcW w:w="1249" w:type="pct"/>
                  <w:tcBorders>
                    <w:top w:val="single" w:sz="6" w:space="0" w:color="BFBFBF"/>
                    <w:bottom w:val="single" w:sz="6" w:space="0" w:color="BFBFBF"/>
                  </w:tcBorders>
                  <w:shd w:val="clear" w:color="auto" w:fill="auto"/>
                  <w:tcMar>
                    <w:top w:w="28" w:type="dxa"/>
                  </w:tcMar>
                </w:tcPr>
                <w:p w14:paraId="685C548E" w14:textId="67F2DA5A" w:rsidR="00453820" w:rsidRDefault="00453820" w:rsidP="00ED747D">
                  <w:pPr>
                    <w:pStyle w:val="TableColumnHeading"/>
                    <w:ind w:right="28"/>
                  </w:pPr>
                  <w:proofErr w:type="spellStart"/>
                  <w:r w:rsidRPr="00D815C8">
                    <w:t>mining_emp</w:t>
                  </w:r>
                  <w:proofErr w:type="spellEnd"/>
                </w:p>
              </w:tc>
            </w:tr>
            <w:tr w:rsidR="00453820" w14:paraId="6F63BCE2" w14:textId="77777777" w:rsidTr="00ED747D">
              <w:tc>
                <w:tcPr>
                  <w:tcW w:w="1251" w:type="pct"/>
                  <w:tcBorders>
                    <w:top w:val="single" w:sz="6" w:space="0" w:color="BFBFBF"/>
                  </w:tcBorders>
                </w:tcPr>
                <w:p w14:paraId="537158A4" w14:textId="39F03D8D" w:rsidR="00453820" w:rsidRPr="00453820" w:rsidRDefault="00453820" w:rsidP="00453820">
                  <w:pPr>
                    <w:pStyle w:val="TableBodyText"/>
                    <w:spacing w:before="40"/>
                    <w:jc w:val="left"/>
                    <w:rPr>
                      <w:i/>
                    </w:rPr>
                  </w:pPr>
                  <w:proofErr w:type="spellStart"/>
                  <w:r w:rsidRPr="00453820">
                    <w:rPr>
                      <w:i/>
                    </w:rPr>
                    <w:t>agri_land</w:t>
                  </w:r>
                  <w:proofErr w:type="spellEnd"/>
                </w:p>
              </w:tc>
              <w:tc>
                <w:tcPr>
                  <w:tcW w:w="1250" w:type="pct"/>
                  <w:tcBorders>
                    <w:top w:val="single" w:sz="6" w:space="0" w:color="BFBFBF"/>
                  </w:tcBorders>
                  <w:vAlign w:val="center"/>
                </w:tcPr>
                <w:p w14:paraId="3E626AAA" w14:textId="559C00D7" w:rsidR="00453820" w:rsidRPr="00453820" w:rsidRDefault="00453820" w:rsidP="00453820">
                  <w:pPr>
                    <w:pStyle w:val="TableBodyText"/>
                    <w:rPr>
                      <w:rFonts w:asciiTheme="majorHAnsi" w:hAnsiTheme="majorHAnsi" w:cstheme="majorHAnsi"/>
                      <w:color w:val="000000"/>
                      <w:szCs w:val="18"/>
                    </w:rPr>
                  </w:pPr>
                  <w:r w:rsidRPr="00453820">
                    <w:rPr>
                      <w:rFonts w:asciiTheme="majorHAnsi" w:hAnsiTheme="majorHAnsi" w:cstheme="majorHAnsi"/>
                      <w:color w:val="000000"/>
                      <w:szCs w:val="18"/>
                    </w:rPr>
                    <w:t>1.00</w:t>
                  </w:r>
                </w:p>
              </w:tc>
              <w:tc>
                <w:tcPr>
                  <w:tcW w:w="1250" w:type="pct"/>
                  <w:tcBorders>
                    <w:top w:val="single" w:sz="6" w:space="0" w:color="BFBFBF"/>
                  </w:tcBorders>
                  <w:vAlign w:val="center"/>
                </w:tcPr>
                <w:p w14:paraId="60A2C27D" w14:textId="27269B7E" w:rsidR="00453820" w:rsidRPr="00453820" w:rsidRDefault="00E94B47" w:rsidP="00453820">
                  <w:pPr>
                    <w:pStyle w:val="TableBodyText"/>
                    <w:rPr>
                      <w:rFonts w:asciiTheme="majorHAnsi" w:hAnsiTheme="majorHAnsi" w:cstheme="majorHAnsi"/>
                      <w:color w:val="000000"/>
                      <w:szCs w:val="18"/>
                    </w:rPr>
                  </w:pPr>
                  <w:r>
                    <w:rPr>
                      <w:rFonts w:asciiTheme="majorHAnsi" w:hAnsiTheme="majorHAnsi" w:cstheme="majorHAnsi"/>
                      <w:color w:val="000000"/>
                      <w:szCs w:val="18"/>
                    </w:rPr>
                    <w:noBreakHyphen/>
                  </w:r>
                  <w:r w:rsidR="00453820" w:rsidRPr="00453820">
                    <w:rPr>
                      <w:rFonts w:asciiTheme="majorHAnsi" w:hAnsiTheme="majorHAnsi" w:cstheme="majorHAnsi"/>
                      <w:color w:val="000000"/>
                      <w:szCs w:val="18"/>
                    </w:rPr>
                    <w:t>0.04</w:t>
                  </w:r>
                </w:p>
              </w:tc>
              <w:tc>
                <w:tcPr>
                  <w:tcW w:w="1249" w:type="pct"/>
                  <w:tcBorders>
                    <w:top w:val="single" w:sz="6" w:space="0" w:color="BFBFBF"/>
                  </w:tcBorders>
                  <w:vAlign w:val="center"/>
                </w:tcPr>
                <w:p w14:paraId="5F0C213B" w14:textId="20AA223D" w:rsidR="00453820" w:rsidRPr="00453820" w:rsidRDefault="00453820" w:rsidP="00453820">
                  <w:pPr>
                    <w:pStyle w:val="TableBodyText"/>
                    <w:ind w:right="28"/>
                    <w:rPr>
                      <w:rFonts w:asciiTheme="majorHAnsi" w:hAnsiTheme="majorHAnsi" w:cstheme="majorHAnsi"/>
                      <w:color w:val="000000"/>
                      <w:szCs w:val="18"/>
                    </w:rPr>
                  </w:pPr>
                  <w:r w:rsidRPr="00453820">
                    <w:rPr>
                      <w:rFonts w:asciiTheme="majorHAnsi" w:hAnsiTheme="majorHAnsi" w:cstheme="majorHAnsi"/>
                      <w:color w:val="000000"/>
                      <w:szCs w:val="18"/>
                    </w:rPr>
                    <w:t>0.16</w:t>
                  </w:r>
                </w:p>
              </w:tc>
            </w:tr>
            <w:tr w:rsidR="00453820" w14:paraId="1364FAC5" w14:textId="77777777" w:rsidTr="00ED747D">
              <w:tc>
                <w:tcPr>
                  <w:tcW w:w="1251" w:type="pct"/>
                </w:tcPr>
                <w:p w14:paraId="60520BE2" w14:textId="56B2B3D7" w:rsidR="00453820" w:rsidRPr="00453820" w:rsidRDefault="00453820" w:rsidP="00ED747D">
                  <w:pPr>
                    <w:pStyle w:val="TableBodyText"/>
                    <w:jc w:val="left"/>
                    <w:rPr>
                      <w:i/>
                    </w:rPr>
                  </w:pPr>
                  <w:proofErr w:type="spellStart"/>
                  <w:r w:rsidRPr="00453820">
                    <w:rPr>
                      <w:i/>
                    </w:rPr>
                    <w:t>nature_land</w:t>
                  </w:r>
                  <w:proofErr w:type="spellEnd"/>
                </w:p>
              </w:tc>
              <w:tc>
                <w:tcPr>
                  <w:tcW w:w="1250" w:type="pct"/>
                  <w:vAlign w:val="center"/>
                </w:tcPr>
                <w:p w14:paraId="469EB897" w14:textId="02B139CB" w:rsidR="00453820" w:rsidRPr="00453820" w:rsidRDefault="00E94B47" w:rsidP="00ED747D">
                  <w:pPr>
                    <w:pStyle w:val="TableBodyText"/>
                    <w:rPr>
                      <w:rFonts w:asciiTheme="majorHAnsi" w:hAnsiTheme="majorHAnsi" w:cstheme="majorHAnsi"/>
                      <w:color w:val="000000"/>
                      <w:szCs w:val="18"/>
                    </w:rPr>
                  </w:pPr>
                  <w:r>
                    <w:rPr>
                      <w:rFonts w:asciiTheme="majorHAnsi" w:hAnsiTheme="majorHAnsi" w:cstheme="majorHAnsi"/>
                      <w:color w:val="000000"/>
                      <w:szCs w:val="18"/>
                    </w:rPr>
                    <w:noBreakHyphen/>
                  </w:r>
                  <w:r w:rsidR="00453820" w:rsidRPr="00453820">
                    <w:rPr>
                      <w:rFonts w:asciiTheme="majorHAnsi" w:hAnsiTheme="majorHAnsi" w:cstheme="majorHAnsi"/>
                      <w:color w:val="000000"/>
                      <w:szCs w:val="18"/>
                    </w:rPr>
                    <w:t>0.04</w:t>
                  </w:r>
                </w:p>
              </w:tc>
              <w:tc>
                <w:tcPr>
                  <w:tcW w:w="1250" w:type="pct"/>
                  <w:vAlign w:val="center"/>
                </w:tcPr>
                <w:p w14:paraId="521C4A60" w14:textId="14A0FDC6" w:rsidR="00453820" w:rsidRPr="00453820" w:rsidRDefault="00453820" w:rsidP="00ED747D">
                  <w:pPr>
                    <w:pStyle w:val="TableBodyText"/>
                    <w:rPr>
                      <w:rFonts w:asciiTheme="majorHAnsi" w:hAnsiTheme="majorHAnsi" w:cstheme="majorHAnsi"/>
                      <w:color w:val="000000"/>
                      <w:szCs w:val="18"/>
                    </w:rPr>
                  </w:pPr>
                  <w:r w:rsidRPr="00453820">
                    <w:rPr>
                      <w:rFonts w:asciiTheme="majorHAnsi" w:hAnsiTheme="majorHAnsi" w:cstheme="majorHAnsi"/>
                      <w:color w:val="000000"/>
                      <w:szCs w:val="18"/>
                    </w:rPr>
                    <w:t>1.00</w:t>
                  </w:r>
                </w:p>
              </w:tc>
              <w:tc>
                <w:tcPr>
                  <w:tcW w:w="1249" w:type="pct"/>
                  <w:vAlign w:val="center"/>
                </w:tcPr>
                <w:p w14:paraId="225E36B1" w14:textId="5E17EB82" w:rsidR="00453820" w:rsidRPr="00453820" w:rsidRDefault="00453820" w:rsidP="00ED747D">
                  <w:pPr>
                    <w:pStyle w:val="TableBodyText"/>
                    <w:ind w:right="28"/>
                    <w:rPr>
                      <w:rFonts w:asciiTheme="majorHAnsi" w:hAnsiTheme="majorHAnsi" w:cstheme="majorHAnsi"/>
                      <w:color w:val="000000"/>
                      <w:szCs w:val="18"/>
                    </w:rPr>
                  </w:pPr>
                  <w:r w:rsidRPr="00453820">
                    <w:rPr>
                      <w:rFonts w:asciiTheme="majorHAnsi" w:hAnsiTheme="majorHAnsi" w:cstheme="majorHAnsi"/>
                      <w:color w:val="000000"/>
                      <w:szCs w:val="18"/>
                    </w:rPr>
                    <w:t>0.04</w:t>
                  </w:r>
                </w:p>
              </w:tc>
            </w:tr>
            <w:tr w:rsidR="00453820" w14:paraId="22FBE98C" w14:textId="77777777" w:rsidTr="00ED747D">
              <w:tc>
                <w:tcPr>
                  <w:tcW w:w="1251" w:type="pct"/>
                  <w:tcBorders>
                    <w:bottom w:val="single" w:sz="6" w:space="0" w:color="BFBFBF"/>
                  </w:tcBorders>
                  <w:shd w:val="clear" w:color="auto" w:fill="auto"/>
                </w:tcPr>
                <w:p w14:paraId="23F52292" w14:textId="3F814A9B" w:rsidR="00453820" w:rsidRPr="00453820" w:rsidRDefault="00453820" w:rsidP="00ED747D">
                  <w:pPr>
                    <w:pStyle w:val="TableBodyText"/>
                    <w:jc w:val="left"/>
                    <w:rPr>
                      <w:i/>
                    </w:rPr>
                  </w:pPr>
                  <w:proofErr w:type="spellStart"/>
                  <w:r w:rsidRPr="00453820">
                    <w:rPr>
                      <w:i/>
                    </w:rPr>
                    <w:t>mining_emp</w:t>
                  </w:r>
                  <w:proofErr w:type="spellEnd"/>
                </w:p>
              </w:tc>
              <w:tc>
                <w:tcPr>
                  <w:tcW w:w="1250" w:type="pct"/>
                  <w:tcBorders>
                    <w:bottom w:val="single" w:sz="6" w:space="0" w:color="BFBFBF"/>
                  </w:tcBorders>
                  <w:vAlign w:val="center"/>
                </w:tcPr>
                <w:p w14:paraId="0E3C0E10" w14:textId="5EB5F58F" w:rsidR="00453820" w:rsidRPr="00453820" w:rsidRDefault="00453820" w:rsidP="00ED747D">
                  <w:pPr>
                    <w:pStyle w:val="TableBodyText"/>
                    <w:rPr>
                      <w:rFonts w:asciiTheme="majorHAnsi" w:hAnsiTheme="majorHAnsi" w:cstheme="majorHAnsi"/>
                      <w:color w:val="000000"/>
                      <w:szCs w:val="18"/>
                    </w:rPr>
                  </w:pPr>
                  <w:r w:rsidRPr="00453820">
                    <w:rPr>
                      <w:rFonts w:asciiTheme="majorHAnsi" w:hAnsiTheme="majorHAnsi" w:cstheme="majorHAnsi"/>
                      <w:color w:val="000000"/>
                      <w:szCs w:val="18"/>
                    </w:rPr>
                    <w:t>0.16</w:t>
                  </w:r>
                </w:p>
              </w:tc>
              <w:tc>
                <w:tcPr>
                  <w:tcW w:w="1250" w:type="pct"/>
                  <w:tcBorders>
                    <w:bottom w:val="single" w:sz="6" w:space="0" w:color="BFBFBF"/>
                  </w:tcBorders>
                  <w:shd w:val="clear" w:color="auto" w:fill="auto"/>
                  <w:vAlign w:val="center"/>
                </w:tcPr>
                <w:p w14:paraId="30F4392E" w14:textId="059A69FC" w:rsidR="00453820" w:rsidRPr="00453820" w:rsidRDefault="00453820" w:rsidP="00ED747D">
                  <w:pPr>
                    <w:pStyle w:val="TableBodyText"/>
                    <w:rPr>
                      <w:rFonts w:asciiTheme="majorHAnsi" w:hAnsiTheme="majorHAnsi" w:cstheme="majorHAnsi"/>
                      <w:color w:val="000000"/>
                      <w:szCs w:val="18"/>
                    </w:rPr>
                  </w:pPr>
                  <w:r w:rsidRPr="00453820">
                    <w:rPr>
                      <w:rFonts w:asciiTheme="majorHAnsi" w:hAnsiTheme="majorHAnsi" w:cstheme="majorHAnsi"/>
                      <w:color w:val="000000"/>
                      <w:szCs w:val="18"/>
                    </w:rPr>
                    <w:t>0.04</w:t>
                  </w:r>
                </w:p>
              </w:tc>
              <w:tc>
                <w:tcPr>
                  <w:tcW w:w="1249" w:type="pct"/>
                  <w:tcBorders>
                    <w:bottom w:val="single" w:sz="6" w:space="0" w:color="BFBFBF"/>
                  </w:tcBorders>
                  <w:shd w:val="clear" w:color="auto" w:fill="auto"/>
                  <w:vAlign w:val="center"/>
                </w:tcPr>
                <w:p w14:paraId="24426A7C" w14:textId="2423BC9F" w:rsidR="00453820" w:rsidRPr="00453820" w:rsidRDefault="00453820" w:rsidP="00ED747D">
                  <w:pPr>
                    <w:pStyle w:val="TableBodyText"/>
                    <w:ind w:right="28"/>
                    <w:rPr>
                      <w:rFonts w:asciiTheme="majorHAnsi" w:hAnsiTheme="majorHAnsi" w:cstheme="majorHAnsi"/>
                      <w:color w:val="000000"/>
                      <w:szCs w:val="18"/>
                    </w:rPr>
                  </w:pPr>
                  <w:r w:rsidRPr="00453820">
                    <w:rPr>
                      <w:rFonts w:asciiTheme="majorHAnsi" w:hAnsiTheme="majorHAnsi" w:cstheme="majorHAnsi"/>
                      <w:color w:val="000000"/>
                      <w:szCs w:val="18"/>
                    </w:rPr>
                    <w:t>1.00</w:t>
                  </w:r>
                </w:p>
              </w:tc>
            </w:tr>
          </w:tbl>
          <w:p w14:paraId="353B52D0" w14:textId="77777777" w:rsidR="005B29D4" w:rsidRDefault="005B29D4" w:rsidP="00ED747D">
            <w:pPr>
              <w:pStyle w:val="Box"/>
            </w:pPr>
          </w:p>
        </w:tc>
      </w:tr>
      <w:tr w:rsidR="005B29D4" w14:paraId="5A3CDADC" w14:textId="77777777" w:rsidTr="00A23812">
        <w:tc>
          <w:tcPr>
            <w:tcW w:w="5000" w:type="pct"/>
            <w:tcBorders>
              <w:top w:val="nil"/>
              <w:left w:val="nil"/>
              <w:bottom w:val="nil"/>
              <w:right w:val="nil"/>
            </w:tcBorders>
            <w:shd w:val="clear" w:color="auto" w:fill="auto"/>
          </w:tcPr>
          <w:p w14:paraId="452C942A" w14:textId="1848FD34" w:rsidR="005B29D4" w:rsidRDefault="005B29D4" w:rsidP="00ED747D">
            <w:pPr>
              <w:pStyle w:val="Note"/>
              <w:rPr>
                <w:i/>
              </w:rPr>
            </w:pPr>
            <w:r w:rsidRPr="008E77FE">
              <w:rPr>
                <w:rStyle w:val="NoteLabel"/>
              </w:rPr>
              <w:t>a</w:t>
            </w:r>
            <w:r>
              <w:t xml:space="preserve"> Refer to table</w:t>
            </w:r>
            <w:r w:rsidR="008B66ED">
              <w:t> </w:t>
            </w:r>
            <w:r w:rsidR="00334635">
              <w:t>4</w:t>
            </w:r>
            <w:r>
              <w:t xml:space="preserve"> for a description of indicators and their sources.</w:t>
            </w:r>
          </w:p>
        </w:tc>
      </w:tr>
      <w:tr w:rsidR="005B29D4" w14:paraId="36236F47" w14:textId="77777777" w:rsidTr="00A23812">
        <w:tc>
          <w:tcPr>
            <w:tcW w:w="5000" w:type="pct"/>
            <w:tcBorders>
              <w:top w:val="nil"/>
              <w:left w:val="nil"/>
              <w:bottom w:val="nil"/>
              <w:right w:val="nil"/>
            </w:tcBorders>
            <w:shd w:val="clear" w:color="auto" w:fill="auto"/>
          </w:tcPr>
          <w:p w14:paraId="6BA50E53" w14:textId="0A873E62" w:rsidR="005B29D4" w:rsidRDefault="0019627F" w:rsidP="00ED747D">
            <w:pPr>
              <w:pStyle w:val="Source"/>
            </w:pPr>
            <w:r>
              <w:rPr>
                <w:i/>
              </w:rPr>
              <w:t>Source</w:t>
            </w:r>
            <w:r w:rsidRPr="00167F06">
              <w:t xml:space="preserve">: </w:t>
            </w:r>
            <w:r>
              <w:t>Productivity Commission estimates.</w:t>
            </w:r>
          </w:p>
        </w:tc>
      </w:tr>
      <w:tr w:rsidR="005B29D4" w14:paraId="6A1AB2DE" w14:textId="77777777" w:rsidTr="00A23812">
        <w:tc>
          <w:tcPr>
            <w:tcW w:w="5000" w:type="pct"/>
            <w:tcBorders>
              <w:top w:val="nil"/>
              <w:left w:val="nil"/>
              <w:bottom w:val="single" w:sz="6" w:space="0" w:color="78A22F"/>
              <w:right w:val="nil"/>
            </w:tcBorders>
            <w:shd w:val="clear" w:color="auto" w:fill="auto"/>
          </w:tcPr>
          <w:p w14:paraId="0870CAA4" w14:textId="77777777" w:rsidR="005B29D4" w:rsidRDefault="005B29D4" w:rsidP="00ED747D">
            <w:pPr>
              <w:pStyle w:val="Box"/>
              <w:spacing w:before="0" w:line="120" w:lineRule="exact"/>
            </w:pPr>
          </w:p>
        </w:tc>
      </w:tr>
      <w:tr w:rsidR="005B29D4" w:rsidRPr="000863A5" w14:paraId="290CCE8B" w14:textId="77777777" w:rsidTr="00A23812">
        <w:tc>
          <w:tcPr>
            <w:tcW w:w="5000" w:type="pct"/>
            <w:tcBorders>
              <w:top w:val="single" w:sz="6" w:space="0" w:color="78A22F"/>
              <w:left w:val="nil"/>
              <w:bottom w:val="nil"/>
              <w:right w:val="nil"/>
            </w:tcBorders>
          </w:tcPr>
          <w:p w14:paraId="1D4CDED2" w14:textId="7FA9C467" w:rsidR="005B29D4" w:rsidRPr="00626D32" w:rsidRDefault="005B29D4" w:rsidP="00ED747D">
            <w:pPr>
              <w:pStyle w:val="BoxSpaceBelow"/>
            </w:pPr>
          </w:p>
        </w:tc>
      </w:tr>
    </w:tbl>
    <w:p w14:paraId="7DEAAA90" w14:textId="722B68D4" w:rsidR="008E0447" w:rsidRDefault="008E0447" w:rsidP="008E044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E0447" w14:paraId="0C302EB4" w14:textId="77777777" w:rsidTr="00A23812">
        <w:trPr>
          <w:tblHeader/>
        </w:trPr>
        <w:tc>
          <w:tcPr>
            <w:tcW w:w="5000" w:type="pct"/>
            <w:tcBorders>
              <w:top w:val="single" w:sz="6" w:space="0" w:color="78A22F"/>
              <w:left w:val="nil"/>
              <w:bottom w:val="nil"/>
              <w:right w:val="nil"/>
            </w:tcBorders>
            <w:shd w:val="clear" w:color="auto" w:fill="auto"/>
          </w:tcPr>
          <w:p w14:paraId="2E9E5BB0" w14:textId="2A51C1F7" w:rsidR="008E0447" w:rsidRPr="00784A05" w:rsidRDefault="008E0447" w:rsidP="00C10192">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D2773">
              <w:rPr>
                <w:b w:val="0"/>
                <w:noProof/>
              </w:rPr>
              <w:t>10</w:t>
            </w:r>
            <w:r>
              <w:rPr>
                <w:b w:val="0"/>
              </w:rPr>
              <w:fldChar w:fldCharType="end"/>
            </w:r>
            <w:r>
              <w:tab/>
              <w:t xml:space="preserve">Correlations between </w:t>
            </w:r>
            <w:r w:rsidR="00C10192">
              <w:t>physical</w:t>
            </w:r>
            <w:r>
              <w:t xml:space="preserve"> capital indicators</w:t>
            </w:r>
            <w:r w:rsidRPr="00E322F7">
              <w:rPr>
                <w:rStyle w:val="NoteLabel"/>
                <w:b/>
                <w:position w:val="10"/>
              </w:rPr>
              <w:t>a</w:t>
            </w:r>
          </w:p>
        </w:tc>
      </w:tr>
      <w:tr w:rsidR="008E0447" w14:paraId="3E96FFEC"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8E0447" w14:paraId="2EC085CC" w14:textId="77777777" w:rsidTr="00ED747D">
              <w:trPr>
                <w:tblHeader/>
              </w:trPr>
              <w:tc>
                <w:tcPr>
                  <w:tcW w:w="1251" w:type="pct"/>
                  <w:tcBorders>
                    <w:top w:val="single" w:sz="6" w:space="0" w:color="BFBFBF"/>
                    <w:bottom w:val="single" w:sz="6" w:space="0" w:color="BFBFBF"/>
                  </w:tcBorders>
                  <w:shd w:val="clear" w:color="auto" w:fill="auto"/>
                  <w:tcMar>
                    <w:top w:w="28" w:type="dxa"/>
                  </w:tcMar>
                </w:tcPr>
                <w:p w14:paraId="2F7C78F9" w14:textId="77777777" w:rsidR="008E0447" w:rsidRDefault="008E0447" w:rsidP="00ED747D">
                  <w:pPr>
                    <w:pStyle w:val="TableColumnHeading"/>
                    <w:jc w:val="left"/>
                  </w:pPr>
                </w:p>
              </w:tc>
              <w:tc>
                <w:tcPr>
                  <w:tcW w:w="1250" w:type="pct"/>
                  <w:tcBorders>
                    <w:top w:val="single" w:sz="6" w:space="0" w:color="BFBFBF"/>
                    <w:bottom w:val="single" w:sz="6" w:space="0" w:color="BFBFBF"/>
                  </w:tcBorders>
                </w:tcPr>
                <w:p w14:paraId="5539AA2B" w14:textId="230AF9EF" w:rsidR="008E0447" w:rsidRDefault="00C10192" w:rsidP="00ED747D">
                  <w:pPr>
                    <w:pStyle w:val="TableColumnHeading"/>
                  </w:pPr>
                  <w:r>
                    <w:t>broadband</w:t>
                  </w:r>
                </w:p>
              </w:tc>
              <w:tc>
                <w:tcPr>
                  <w:tcW w:w="1250" w:type="pct"/>
                  <w:tcBorders>
                    <w:top w:val="single" w:sz="6" w:space="0" w:color="BFBFBF"/>
                    <w:bottom w:val="single" w:sz="6" w:space="0" w:color="BFBFBF"/>
                  </w:tcBorders>
                  <w:shd w:val="clear" w:color="auto" w:fill="auto"/>
                  <w:tcMar>
                    <w:top w:w="28" w:type="dxa"/>
                  </w:tcMar>
                </w:tcPr>
                <w:p w14:paraId="204218ED" w14:textId="2562E100" w:rsidR="008E0447" w:rsidRDefault="00C10192" w:rsidP="00ED747D">
                  <w:pPr>
                    <w:pStyle w:val="TableColumnHeading"/>
                  </w:pPr>
                  <w:r>
                    <w:t>remoteness</w:t>
                  </w:r>
                </w:p>
              </w:tc>
              <w:tc>
                <w:tcPr>
                  <w:tcW w:w="1249" w:type="pct"/>
                  <w:tcBorders>
                    <w:top w:val="single" w:sz="6" w:space="0" w:color="BFBFBF"/>
                    <w:bottom w:val="single" w:sz="6" w:space="0" w:color="BFBFBF"/>
                  </w:tcBorders>
                  <w:shd w:val="clear" w:color="auto" w:fill="auto"/>
                  <w:tcMar>
                    <w:top w:w="28" w:type="dxa"/>
                  </w:tcMar>
                </w:tcPr>
                <w:p w14:paraId="22C305C1" w14:textId="0778A557" w:rsidR="008E0447" w:rsidRDefault="00C10192" w:rsidP="00ED747D">
                  <w:pPr>
                    <w:pStyle w:val="TableColumnHeading"/>
                    <w:ind w:right="28"/>
                  </w:pPr>
                  <w:r>
                    <w:t>buildings</w:t>
                  </w:r>
                </w:p>
              </w:tc>
            </w:tr>
            <w:tr w:rsidR="00D06BCD" w14:paraId="5EE3EB30" w14:textId="77777777" w:rsidTr="00ED747D">
              <w:tc>
                <w:tcPr>
                  <w:tcW w:w="1251" w:type="pct"/>
                  <w:tcBorders>
                    <w:top w:val="single" w:sz="6" w:space="0" w:color="BFBFBF"/>
                  </w:tcBorders>
                  <w:vAlign w:val="center"/>
                </w:tcPr>
                <w:p w14:paraId="2AD99DEE" w14:textId="4E074C34" w:rsidR="00D06BCD" w:rsidRPr="00D06BCD" w:rsidRDefault="00334635" w:rsidP="00ED747D">
                  <w:pPr>
                    <w:pStyle w:val="TableBodyText"/>
                    <w:spacing w:before="40"/>
                    <w:jc w:val="left"/>
                    <w:rPr>
                      <w:i/>
                    </w:rPr>
                  </w:pPr>
                  <w:r w:rsidRPr="00D06BCD">
                    <w:rPr>
                      <w:i/>
                    </w:rPr>
                    <w:t>B</w:t>
                  </w:r>
                  <w:r w:rsidR="00D06BCD" w:rsidRPr="00D06BCD">
                    <w:rPr>
                      <w:i/>
                    </w:rPr>
                    <w:t>roadband</w:t>
                  </w:r>
                </w:p>
              </w:tc>
              <w:tc>
                <w:tcPr>
                  <w:tcW w:w="1250" w:type="pct"/>
                  <w:tcBorders>
                    <w:top w:val="single" w:sz="6" w:space="0" w:color="BFBFBF"/>
                  </w:tcBorders>
                  <w:vAlign w:val="center"/>
                </w:tcPr>
                <w:p w14:paraId="798C7D7D" w14:textId="4EB38464" w:rsidR="00D06BCD" w:rsidRPr="00453820" w:rsidRDefault="00D06BCD" w:rsidP="00ED747D">
                  <w:pPr>
                    <w:pStyle w:val="TableBodyText"/>
                    <w:rPr>
                      <w:rFonts w:asciiTheme="majorHAnsi" w:hAnsiTheme="majorHAnsi" w:cstheme="majorHAnsi"/>
                      <w:color w:val="000000"/>
                      <w:szCs w:val="18"/>
                    </w:rPr>
                  </w:pPr>
                  <w:r w:rsidRPr="00D06BCD">
                    <w:rPr>
                      <w:rFonts w:asciiTheme="majorHAnsi" w:hAnsiTheme="majorHAnsi" w:cstheme="majorHAnsi"/>
                      <w:color w:val="000000"/>
                      <w:szCs w:val="18"/>
                    </w:rPr>
                    <w:t>1.00</w:t>
                  </w:r>
                </w:p>
              </w:tc>
              <w:tc>
                <w:tcPr>
                  <w:tcW w:w="1250" w:type="pct"/>
                  <w:tcBorders>
                    <w:top w:val="single" w:sz="6" w:space="0" w:color="BFBFBF"/>
                  </w:tcBorders>
                  <w:vAlign w:val="center"/>
                </w:tcPr>
                <w:p w14:paraId="1DB70FEF" w14:textId="5BA0347E" w:rsidR="00D06BCD" w:rsidRPr="00453820" w:rsidRDefault="00E94B47" w:rsidP="00ED747D">
                  <w:pPr>
                    <w:pStyle w:val="TableBodyText"/>
                    <w:rPr>
                      <w:rFonts w:asciiTheme="majorHAnsi" w:hAnsiTheme="majorHAnsi" w:cstheme="majorHAnsi"/>
                      <w:color w:val="000000"/>
                      <w:szCs w:val="18"/>
                    </w:rPr>
                  </w:pPr>
                  <w:r>
                    <w:rPr>
                      <w:rFonts w:asciiTheme="majorHAnsi" w:hAnsiTheme="majorHAnsi" w:cstheme="majorHAnsi"/>
                      <w:color w:val="000000"/>
                      <w:szCs w:val="18"/>
                    </w:rPr>
                    <w:noBreakHyphen/>
                  </w:r>
                  <w:r w:rsidR="00D06BCD" w:rsidRPr="00D06BCD">
                    <w:rPr>
                      <w:rFonts w:asciiTheme="majorHAnsi" w:hAnsiTheme="majorHAnsi" w:cstheme="majorHAnsi"/>
                      <w:color w:val="000000"/>
                      <w:szCs w:val="18"/>
                    </w:rPr>
                    <w:t>0.66</w:t>
                  </w:r>
                </w:p>
              </w:tc>
              <w:tc>
                <w:tcPr>
                  <w:tcW w:w="1249" w:type="pct"/>
                  <w:tcBorders>
                    <w:top w:val="single" w:sz="6" w:space="0" w:color="BFBFBF"/>
                  </w:tcBorders>
                  <w:vAlign w:val="center"/>
                </w:tcPr>
                <w:p w14:paraId="12EB107B" w14:textId="67576E66" w:rsidR="00D06BCD" w:rsidRPr="00453820" w:rsidRDefault="00D06BCD" w:rsidP="00ED747D">
                  <w:pPr>
                    <w:pStyle w:val="TableBodyText"/>
                    <w:ind w:right="28"/>
                    <w:rPr>
                      <w:rFonts w:asciiTheme="majorHAnsi" w:hAnsiTheme="majorHAnsi" w:cstheme="majorHAnsi"/>
                      <w:color w:val="000000"/>
                      <w:szCs w:val="18"/>
                    </w:rPr>
                  </w:pPr>
                  <w:r w:rsidRPr="00D06BCD">
                    <w:rPr>
                      <w:rFonts w:asciiTheme="majorHAnsi" w:hAnsiTheme="majorHAnsi" w:cstheme="majorHAnsi"/>
                      <w:color w:val="000000"/>
                      <w:szCs w:val="18"/>
                    </w:rPr>
                    <w:t>0.00</w:t>
                  </w:r>
                </w:p>
              </w:tc>
            </w:tr>
            <w:tr w:rsidR="00D06BCD" w14:paraId="4FF0F2A9" w14:textId="77777777" w:rsidTr="00ED747D">
              <w:tc>
                <w:tcPr>
                  <w:tcW w:w="1251" w:type="pct"/>
                  <w:vAlign w:val="center"/>
                </w:tcPr>
                <w:p w14:paraId="68C28C97" w14:textId="3B2DB873" w:rsidR="00D06BCD" w:rsidRPr="00D06BCD" w:rsidRDefault="00334635" w:rsidP="00ED747D">
                  <w:pPr>
                    <w:pStyle w:val="TableBodyText"/>
                    <w:jc w:val="left"/>
                    <w:rPr>
                      <w:i/>
                    </w:rPr>
                  </w:pPr>
                  <w:r w:rsidRPr="00D06BCD">
                    <w:rPr>
                      <w:i/>
                    </w:rPr>
                    <w:t>R</w:t>
                  </w:r>
                  <w:r w:rsidR="00D06BCD" w:rsidRPr="00D06BCD">
                    <w:rPr>
                      <w:i/>
                    </w:rPr>
                    <w:t>emoteness</w:t>
                  </w:r>
                </w:p>
              </w:tc>
              <w:tc>
                <w:tcPr>
                  <w:tcW w:w="1250" w:type="pct"/>
                  <w:vAlign w:val="center"/>
                </w:tcPr>
                <w:p w14:paraId="0A987C3D" w14:textId="4D829EE7" w:rsidR="00D06BCD" w:rsidRPr="00453820" w:rsidRDefault="00E94B47" w:rsidP="00ED747D">
                  <w:pPr>
                    <w:pStyle w:val="TableBodyText"/>
                    <w:rPr>
                      <w:rFonts w:asciiTheme="majorHAnsi" w:hAnsiTheme="majorHAnsi" w:cstheme="majorHAnsi"/>
                      <w:color w:val="000000"/>
                      <w:szCs w:val="18"/>
                    </w:rPr>
                  </w:pPr>
                  <w:r>
                    <w:rPr>
                      <w:rFonts w:asciiTheme="majorHAnsi" w:hAnsiTheme="majorHAnsi" w:cstheme="majorHAnsi"/>
                      <w:color w:val="000000"/>
                      <w:szCs w:val="18"/>
                    </w:rPr>
                    <w:noBreakHyphen/>
                  </w:r>
                  <w:r w:rsidR="00D06BCD" w:rsidRPr="00D06BCD">
                    <w:rPr>
                      <w:rFonts w:asciiTheme="majorHAnsi" w:hAnsiTheme="majorHAnsi" w:cstheme="majorHAnsi"/>
                      <w:color w:val="000000"/>
                      <w:szCs w:val="18"/>
                    </w:rPr>
                    <w:t>0.66</w:t>
                  </w:r>
                </w:p>
              </w:tc>
              <w:tc>
                <w:tcPr>
                  <w:tcW w:w="1250" w:type="pct"/>
                  <w:vAlign w:val="center"/>
                </w:tcPr>
                <w:p w14:paraId="16E2DB8C" w14:textId="111EF542" w:rsidR="00D06BCD" w:rsidRPr="00453820" w:rsidRDefault="00D06BCD" w:rsidP="00ED747D">
                  <w:pPr>
                    <w:pStyle w:val="TableBodyText"/>
                    <w:rPr>
                      <w:rFonts w:asciiTheme="majorHAnsi" w:hAnsiTheme="majorHAnsi" w:cstheme="majorHAnsi"/>
                      <w:color w:val="000000"/>
                      <w:szCs w:val="18"/>
                    </w:rPr>
                  </w:pPr>
                  <w:r w:rsidRPr="00D06BCD">
                    <w:rPr>
                      <w:rFonts w:asciiTheme="majorHAnsi" w:hAnsiTheme="majorHAnsi" w:cstheme="majorHAnsi"/>
                      <w:color w:val="000000"/>
                      <w:szCs w:val="18"/>
                    </w:rPr>
                    <w:t>1.00</w:t>
                  </w:r>
                </w:p>
              </w:tc>
              <w:tc>
                <w:tcPr>
                  <w:tcW w:w="1249" w:type="pct"/>
                  <w:vAlign w:val="center"/>
                </w:tcPr>
                <w:p w14:paraId="180D43DB" w14:textId="72DE2211" w:rsidR="00D06BCD" w:rsidRPr="00453820" w:rsidRDefault="00E94B47" w:rsidP="00ED747D">
                  <w:pPr>
                    <w:pStyle w:val="TableBodyText"/>
                    <w:ind w:right="28"/>
                    <w:rPr>
                      <w:rFonts w:asciiTheme="majorHAnsi" w:hAnsiTheme="majorHAnsi" w:cstheme="majorHAnsi"/>
                      <w:color w:val="000000"/>
                      <w:szCs w:val="18"/>
                    </w:rPr>
                  </w:pPr>
                  <w:r>
                    <w:rPr>
                      <w:rFonts w:asciiTheme="majorHAnsi" w:hAnsiTheme="majorHAnsi" w:cstheme="majorHAnsi"/>
                      <w:color w:val="000000"/>
                      <w:szCs w:val="18"/>
                    </w:rPr>
                    <w:noBreakHyphen/>
                  </w:r>
                  <w:r w:rsidR="00D06BCD" w:rsidRPr="00D06BCD">
                    <w:rPr>
                      <w:rFonts w:asciiTheme="majorHAnsi" w:hAnsiTheme="majorHAnsi" w:cstheme="majorHAnsi"/>
                      <w:color w:val="000000"/>
                      <w:szCs w:val="18"/>
                    </w:rPr>
                    <w:t>0.01</w:t>
                  </w:r>
                </w:p>
              </w:tc>
            </w:tr>
            <w:tr w:rsidR="00D06BCD" w14:paraId="00AF3316" w14:textId="77777777" w:rsidTr="00ED747D">
              <w:tc>
                <w:tcPr>
                  <w:tcW w:w="1251" w:type="pct"/>
                  <w:tcBorders>
                    <w:bottom w:val="single" w:sz="6" w:space="0" w:color="BFBFBF"/>
                  </w:tcBorders>
                  <w:shd w:val="clear" w:color="auto" w:fill="auto"/>
                  <w:vAlign w:val="center"/>
                </w:tcPr>
                <w:p w14:paraId="699A2FE2" w14:textId="0135E25D" w:rsidR="00D06BCD" w:rsidRPr="00D06BCD" w:rsidRDefault="00334635" w:rsidP="00ED747D">
                  <w:pPr>
                    <w:pStyle w:val="TableBodyText"/>
                    <w:jc w:val="left"/>
                    <w:rPr>
                      <w:i/>
                    </w:rPr>
                  </w:pPr>
                  <w:r w:rsidRPr="00D06BCD">
                    <w:rPr>
                      <w:i/>
                    </w:rPr>
                    <w:t>B</w:t>
                  </w:r>
                  <w:r w:rsidR="00D06BCD" w:rsidRPr="00D06BCD">
                    <w:rPr>
                      <w:i/>
                    </w:rPr>
                    <w:t>uildings</w:t>
                  </w:r>
                </w:p>
              </w:tc>
              <w:tc>
                <w:tcPr>
                  <w:tcW w:w="1250" w:type="pct"/>
                  <w:tcBorders>
                    <w:bottom w:val="single" w:sz="6" w:space="0" w:color="BFBFBF"/>
                  </w:tcBorders>
                  <w:vAlign w:val="center"/>
                </w:tcPr>
                <w:p w14:paraId="5B2BDFEB" w14:textId="31E0D3B1" w:rsidR="00D06BCD" w:rsidRPr="00453820" w:rsidRDefault="00D06BCD" w:rsidP="00ED747D">
                  <w:pPr>
                    <w:pStyle w:val="TableBodyText"/>
                    <w:rPr>
                      <w:rFonts w:asciiTheme="majorHAnsi" w:hAnsiTheme="majorHAnsi" w:cstheme="majorHAnsi"/>
                      <w:color w:val="000000"/>
                      <w:szCs w:val="18"/>
                    </w:rPr>
                  </w:pPr>
                  <w:r w:rsidRPr="00D06BCD">
                    <w:rPr>
                      <w:rFonts w:asciiTheme="majorHAnsi" w:hAnsiTheme="majorHAnsi" w:cstheme="majorHAnsi"/>
                      <w:color w:val="000000"/>
                      <w:szCs w:val="18"/>
                    </w:rPr>
                    <w:t>0.00</w:t>
                  </w:r>
                </w:p>
              </w:tc>
              <w:tc>
                <w:tcPr>
                  <w:tcW w:w="1250" w:type="pct"/>
                  <w:tcBorders>
                    <w:bottom w:val="single" w:sz="6" w:space="0" w:color="BFBFBF"/>
                  </w:tcBorders>
                  <w:shd w:val="clear" w:color="auto" w:fill="auto"/>
                  <w:vAlign w:val="center"/>
                </w:tcPr>
                <w:p w14:paraId="3D3A2D03" w14:textId="5144B167" w:rsidR="00D06BCD" w:rsidRPr="00453820" w:rsidRDefault="00E94B47" w:rsidP="00ED747D">
                  <w:pPr>
                    <w:pStyle w:val="TableBodyText"/>
                    <w:rPr>
                      <w:rFonts w:asciiTheme="majorHAnsi" w:hAnsiTheme="majorHAnsi" w:cstheme="majorHAnsi"/>
                      <w:color w:val="000000"/>
                      <w:szCs w:val="18"/>
                    </w:rPr>
                  </w:pPr>
                  <w:r>
                    <w:rPr>
                      <w:rFonts w:asciiTheme="majorHAnsi" w:hAnsiTheme="majorHAnsi" w:cstheme="majorHAnsi"/>
                      <w:color w:val="000000"/>
                      <w:szCs w:val="18"/>
                    </w:rPr>
                    <w:noBreakHyphen/>
                  </w:r>
                  <w:r w:rsidR="00D06BCD" w:rsidRPr="00D06BCD">
                    <w:rPr>
                      <w:rFonts w:asciiTheme="majorHAnsi" w:hAnsiTheme="majorHAnsi" w:cstheme="majorHAnsi"/>
                      <w:color w:val="000000"/>
                      <w:szCs w:val="18"/>
                    </w:rPr>
                    <w:t>0.01</w:t>
                  </w:r>
                </w:p>
              </w:tc>
              <w:tc>
                <w:tcPr>
                  <w:tcW w:w="1249" w:type="pct"/>
                  <w:tcBorders>
                    <w:bottom w:val="single" w:sz="6" w:space="0" w:color="BFBFBF"/>
                  </w:tcBorders>
                  <w:shd w:val="clear" w:color="auto" w:fill="auto"/>
                  <w:vAlign w:val="center"/>
                </w:tcPr>
                <w:p w14:paraId="7BDDA27B" w14:textId="612C55EC" w:rsidR="00D06BCD" w:rsidRPr="00453820" w:rsidRDefault="00D06BCD" w:rsidP="00ED747D">
                  <w:pPr>
                    <w:pStyle w:val="TableBodyText"/>
                    <w:ind w:right="28"/>
                    <w:rPr>
                      <w:rFonts w:asciiTheme="majorHAnsi" w:hAnsiTheme="majorHAnsi" w:cstheme="majorHAnsi"/>
                      <w:color w:val="000000"/>
                      <w:szCs w:val="18"/>
                    </w:rPr>
                  </w:pPr>
                  <w:r w:rsidRPr="00D06BCD">
                    <w:rPr>
                      <w:rFonts w:asciiTheme="majorHAnsi" w:hAnsiTheme="majorHAnsi" w:cstheme="majorHAnsi"/>
                      <w:color w:val="000000"/>
                      <w:szCs w:val="18"/>
                    </w:rPr>
                    <w:t>1.00</w:t>
                  </w:r>
                </w:p>
              </w:tc>
            </w:tr>
          </w:tbl>
          <w:p w14:paraId="5C4783C5" w14:textId="77777777" w:rsidR="008E0447" w:rsidRDefault="008E0447" w:rsidP="00ED747D">
            <w:pPr>
              <w:pStyle w:val="Box"/>
            </w:pPr>
          </w:p>
        </w:tc>
      </w:tr>
      <w:tr w:rsidR="008E0447" w14:paraId="048520DD" w14:textId="77777777" w:rsidTr="00A23812">
        <w:tc>
          <w:tcPr>
            <w:tcW w:w="5000" w:type="pct"/>
            <w:tcBorders>
              <w:top w:val="nil"/>
              <w:left w:val="nil"/>
              <w:bottom w:val="nil"/>
              <w:right w:val="nil"/>
            </w:tcBorders>
            <w:shd w:val="clear" w:color="auto" w:fill="auto"/>
          </w:tcPr>
          <w:p w14:paraId="41E4E07E" w14:textId="79D0769F" w:rsidR="008E0447" w:rsidRDefault="008E0447" w:rsidP="00ED747D">
            <w:pPr>
              <w:pStyle w:val="Note"/>
              <w:rPr>
                <w:i/>
              </w:rPr>
            </w:pPr>
            <w:r w:rsidRPr="008E77FE">
              <w:rPr>
                <w:rStyle w:val="NoteLabel"/>
              </w:rPr>
              <w:t>a</w:t>
            </w:r>
            <w:r>
              <w:t xml:space="preserve"> Refer to table</w:t>
            </w:r>
            <w:r w:rsidR="008B66ED">
              <w:t> </w:t>
            </w:r>
            <w:r w:rsidR="00334635">
              <w:t>5</w:t>
            </w:r>
            <w:r>
              <w:t xml:space="preserve"> for a description of indicators and their sources.</w:t>
            </w:r>
          </w:p>
        </w:tc>
      </w:tr>
      <w:tr w:rsidR="008E0447" w14:paraId="7A1E187D" w14:textId="77777777" w:rsidTr="00A23812">
        <w:tc>
          <w:tcPr>
            <w:tcW w:w="5000" w:type="pct"/>
            <w:tcBorders>
              <w:top w:val="nil"/>
              <w:left w:val="nil"/>
              <w:bottom w:val="nil"/>
              <w:right w:val="nil"/>
            </w:tcBorders>
            <w:shd w:val="clear" w:color="auto" w:fill="auto"/>
          </w:tcPr>
          <w:p w14:paraId="024A5EA9" w14:textId="77777777" w:rsidR="008E0447" w:rsidRDefault="008E0447" w:rsidP="00ED747D">
            <w:pPr>
              <w:pStyle w:val="Source"/>
            </w:pPr>
            <w:r>
              <w:rPr>
                <w:i/>
              </w:rPr>
              <w:t>Source</w:t>
            </w:r>
            <w:r w:rsidRPr="00167F06">
              <w:t xml:space="preserve">: </w:t>
            </w:r>
            <w:r>
              <w:t>Productivity Commission estimates.</w:t>
            </w:r>
          </w:p>
        </w:tc>
      </w:tr>
      <w:tr w:rsidR="008E0447" w14:paraId="2936FFA2" w14:textId="77777777" w:rsidTr="00A23812">
        <w:tc>
          <w:tcPr>
            <w:tcW w:w="5000" w:type="pct"/>
            <w:tcBorders>
              <w:top w:val="nil"/>
              <w:left w:val="nil"/>
              <w:bottom w:val="single" w:sz="6" w:space="0" w:color="78A22F"/>
              <w:right w:val="nil"/>
            </w:tcBorders>
            <w:shd w:val="clear" w:color="auto" w:fill="auto"/>
          </w:tcPr>
          <w:p w14:paraId="6F9E5BDC" w14:textId="77777777" w:rsidR="008E0447" w:rsidRDefault="008E0447" w:rsidP="00ED747D">
            <w:pPr>
              <w:pStyle w:val="Box"/>
              <w:spacing w:before="0" w:line="120" w:lineRule="exact"/>
            </w:pPr>
          </w:p>
        </w:tc>
      </w:tr>
      <w:tr w:rsidR="008E0447" w:rsidRPr="000863A5" w14:paraId="2FAD47CE" w14:textId="77777777" w:rsidTr="00A23812">
        <w:tc>
          <w:tcPr>
            <w:tcW w:w="5000" w:type="pct"/>
            <w:tcBorders>
              <w:top w:val="single" w:sz="6" w:space="0" w:color="78A22F"/>
              <w:left w:val="nil"/>
              <w:bottom w:val="nil"/>
              <w:right w:val="nil"/>
            </w:tcBorders>
          </w:tcPr>
          <w:p w14:paraId="3DF9B54E" w14:textId="54DCFE34" w:rsidR="008E0447" w:rsidRPr="00626D32" w:rsidRDefault="008E0447" w:rsidP="00ED747D">
            <w:pPr>
              <w:pStyle w:val="BoxSpaceBelow"/>
            </w:pPr>
          </w:p>
        </w:tc>
      </w:tr>
    </w:tbl>
    <w:p w14:paraId="7EEB4364" w14:textId="75FB2320" w:rsidR="0014738E" w:rsidRDefault="0083152C" w:rsidP="0083152C">
      <w:pPr>
        <w:pStyle w:val="Heading3"/>
      </w:pPr>
      <w:r>
        <w:t>Correlat</w:t>
      </w:r>
      <w:r w:rsidR="00254AB3">
        <w:t>ions between indicators and principal components</w:t>
      </w:r>
    </w:p>
    <w:p w14:paraId="2BC07D74" w14:textId="7ED4BB8D" w:rsidR="00702510" w:rsidRDefault="00702510" w:rsidP="00702510">
      <w:pPr>
        <w:pStyle w:val="BodyText"/>
      </w:pPr>
      <w:r>
        <w:t>Tables</w:t>
      </w:r>
      <w:r w:rsidR="008B66ED">
        <w:t> </w:t>
      </w:r>
      <w:r>
        <w:t>1</w:t>
      </w:r>
      <w:r w:rsidR="00701466">
        <w:t>1</w:t>
      </w:r>
      <w:r>
        <w:t xml:space="preserve"> to 1</w:t>
      </w:r>
      <w:r w:rsidR="00701466">
        <w:t>4</w:t>
      </w:r>
      <w:r>
        <w:t xml:space="preserve"> display </w:t>
      </w:r>
      <w:proofErr w:type="spellStart"/>
      <w:r>
        <w:t>PCA</w:t>
      </w:r>
      <w:proofErr w:type="spellEnd"/>
      <w:r>
        <w:t xml:space="preserve"> results for human, financial, natural and physical capital. </w:t>
      </w:r>
      <w:r w:rsidR="0061051B">
        <w:t>T</w:t>
      </w:r>
      <w:r>
        <w:t>he correlations between ind</w:t>
      </w:r>
      <w:r w:rsidR="005C4762">
        <w:t>icator</w:t>
      </w:r>
      <w:r w:rsidR="003B4A9B">
        <w:t>s</w:t>
      </w:r>
      <w:r w:rsidR="005C4762">
        <w:t xml:space="preserve"> and principal component</w:t>
      </w:r>
      <w:r w:rsidR="003B4A9B">
        <w:t>s</w:t>
      </w:r>
      <w:r w:rsidR="005C4762">
        <w:t xml:space="preserve"> </w:t>
      </w:r>
      <w:r>
        <w:t>are presented</w:t>
      </w:r>
      <w:r w:rsidR="0061051B">
        <w:t xml:space="preserve"> in each table</w:t>
      </w:r>
      <w:r>
        <w:t>, as well as the cumulative proportion</w:t>
      </w:r>
      <w:r w:rsidR="005C4762">
        <w:t>s</w:t>
      </w:r>
      <w:r>
        <w:t xml:space="preserve"> of total variance captured by the principal components, and eigenvalues. </w:t>
      </w:r>
      <w:r w:rsidR="005C4762">
        <w:t xml:space="preserve">These </w:t>
      </w:r>
      <w:r w:rsidR="001B22A7">
        <w:t>results</w:t>
      </w:r>
      <w:r w:rsidR="00CF0DA5">
        <w:t xml:space="preserve"> </w:t>
      </w:r>
      <w:r w:rsidR="005C4762">
        <w:t>were used to determine the number of principal components to retain</w:t>
      </w:r>
      <w:r w:rsidR="00CF0DA5">
        <w:t>, according to the eigenvalue</w:t>
      </w:r>
      <w:r w:rsidR="00E94B47">
        <w:noBreakHyphen/>
      </w:r>
      <w:r w:rsidR="00CF0DA5">
        <w:t xml:space="preserve">one, cumulative proportion of variance explained </w:t>
      </w:r>
      <w:r w:rsidR="009C5498">
        <w:t xml:space="preserve">(with a threshold of </w:t>
      </w:r>
      <w:r w:rsidR="00F4499B">
        <w:t>70 per cent</w:t>
      </w:r>
      <w:r w:rsidR="009C5498">
        <w:t>)</w:t>
      </w:r>
      <w:r w:rsidR="00F4499B">
        <w:t xml:space="preserve"> </w:t>
      </w:r>
      <w:r w:rsidR="00CF0DA5">
        <w:t xml:space="preserve">and interpretability criteria </w:t>
      </w:r>
      <w:r w:rsidR="00354DB4">
        <w:t>(</w:t>
      </w:r>
      <w:r w:rsidR="006C0CAE">
        <w:t>section </w:t>
      </w:r>
      <w:r w:rsidR="00354DB4">
        <w:t>1)</w:t>
      </w:r>
      <w:r w:rsidR="001B22A7">
        <w:t>.</w:t>
      </w:r>
      <w:r w:rsidR="006133A9">
        <w:t xml:space="preserve"> </w:t>
      </w:r>
      <w:r w:rsidR="001B22A7">
        <w:t>R</w:t>
      </w:r>
      <w:r w:rsidR="00395EF8">
        <w:t xml:space="preserve">etained components are </w:t>
      </w:r>
      <w:r w:rsidR="00510943">
        <w:t xml:space="preserve">presented </w:t>
      </w:r>
      <w:r w:rsidR="006133A9">
        <w:t xml:space="preserve">in bold </w:t>
      </w:r>
      <w:r w:rsidR="001C2B92">
        <w:t xml:space="preserve">font </w:t>
      </w:r>
      <w:r w:rsidR="006133A9">
        <w:t>within the tables</w:t>
      </w:r>
      <w:r w:rsidR="005C4762">
        <w:t xml:space="preserve">. </w:t>
      </w:r>
    </w:p>
    <w:p w14:paraId="6AAFC4E1" w14:textId="1680F45A" w:rsidR="0050116A" w:rsidRDefault="009F49D8" w:rsidP="00702510">
      <w:pPr>
        <w:pStyle w:val="BodyText"/>
      </w:pPr>
      <w:r>
        <w:t xml:space="preserve">Applying the above criteria resulted in </w:t>
      </w:r>
      <w:r w:rsidR="0050116A">
        <w:t xml:space="preserve">two principal components </w:t>
      </w:r>
      <w:r>
        <w:t xml:space="preserve">being </w:t>
      </w:r>
      <w:r w:rsidR="0050116A">
        <w:t xml:space="preserve">retained </w:t>
      </w:r>
      <w:r>
        <w:t xml:space="preserve">for each </w:t>
      </w:r>
      <w:proofErr w:type="spellStart"/>
      <w:r>
        <w:t>PCA</w:t>
      </w:r>
      <w:proofErr w:type="spellEnd"/>
      <w:r w:rsidR="0050116A">
        <w:t xml:space="preserve">. </w:t>
      </w:r>
    </w:p>
    <w:p w14:paraId="2678E682" w14:textId="26663D5B" w:rsidR="0050116A" w:rsidRDefault="0050116A" w:rsidP="00896718">
      <w:pPr>
        <w:pStyle w:val="ListBullet"/>
      </w:pPr>
      <w:r>
        <w:t>For human capital</w:t>
      </w:r>
      <w:r w:rsidR="00896718">
        <w:t xml:space="preserve">, the first principal component </w:t>
      </w:r>
      <w:r w:rsidR="008C7146">
        <w:t xml:space="preserve">can be thought of as </w:t>
      </w:r>
      <w:r w:rsidR="00896718">
        <w:t>represent</w:t>
      </w:r>
      <w:r w:rsidR="008C7146">
        <w:t>ing</w:t>
      </w:r>
      <w:r w:rsidR="00896718">
        <w:t xml:space="preserve"> skills and employment, and the second </w:t>
      </w:r>
      <w:r w:rsidR="002C0C79">
        <w:t xml:space="preserve">as </w:t>
      </w:r>
      <w:r w:rsidR="00896718">
        <w:t>represent</w:t>
      </w:r>
      <w:r w:rsidR="008C7146">
        <w:t>ing</w:t>
      </w:r>
      <w:r w:rsidR="00896718">
        <w:t xml:space="preserve"> entrepreneurship.</w:t>
      </w:r>
    </w:p>
    <w:p w14:paraId="20776B2A" w14:textId="0396FBFC" w:rsidR="0061051B" w:rsidRDefault="0050116A" w:rsidP="0061051B">
      <w:pPr>
        <w:pStyle w:val="ListBullet"/>
      </w:pPr>
      <w:r>
        <w:t>For financial capital</w:t>
      </w:r>
      <w:r w:rsidR="00896718">
        <w:t>, the first principal component</w:t>
      </w:r>
      <w:r w:rsidR="002C0C79">
        <w:t xml:space="preserve"> can be thought of as</w:t>
      </w:r>
      <w:r w:rsidR="00896718">
        <w:t xml:space="preserve"> represent</w:t>
      </w:r>
      <w:r w:rsidR="002C0C79">
        <w:t>ing</w:t>
      </w:r>
      <w:r w:rsidR="00896718">
        <w:t xml:space="preserve"> financial capacity, and the second </w:t>
      </w:r>
      <w:r w:rsidR="002C0C79">
        <w:t xml:space="preserve">as </w:t>
      </w:r>
      <w:r w:rsidR="00896718">
        <w:t>represent</w:t>
      </w:r>
      <w:r w:rsidR="002C0C79">
        <w:t>ing</w:t>
      </w:r>
      <w:r w:rsidR="00896718">
        <w:t xml:space="preserve"> home ownership.</w:t>
      </w:r>
    </w:p>
    <w:p w14:paraId="1765FB2D" w14:textId="0092ED52" w:rsidR="0050116A" w:rsidRDefault="00896718" w:rsidP="0050116A">
      <w:pPr>
        <w:pStyle w:val="ListBullet"/>
      </w:pPr>
      <w:r>
        <w:t xml:space="preserve">For natural capital, the first principal component </w:t>
      </w:r>
      <w:r w:rsidR="002C0C79">
        <w:t xml:space="preserve">can be thought of as </w:t>
      </w:r>
      <w:r>
        <w:t>represent</w:t>
      </w:r>
      <w:r w:rsidR="002C0C79">
        <w:t>ing</w:t>
      </w:r>
      <w:r>
        <w:t xml:space="preserve"> resources used for </w:t>
      </w:r>
      <w:r w:rsidR="002C0C79">
        <w:t>agriculture and mining</w:t>
      </w:r>
      <w:r w:rsidR="00F031ED">
        <w:t xml:space="preserve"> production</w:t>
      </w:r>
      <w:r>
        <w:t xml:space="preserve">, and the second </w:t>
      </w:r>
      <w:r w:rsidR="002C0C79">
        <w:t xml:space="preserve">as </w:t>
      </w:r>
      <w:r>
        <w:t>represent</w:t>
      </w:r>
      <w:r w:rsidR="002C0C79">
        <w:t>ing</w:t>
      </w:r>
      <w:r>
        <w:t xml:space="preserve"> nature</w:t>
      </w:r>
      <w:r w:rsidR="0068737A">
        <w:t xml:space="preserve"> (in the form of national parks and nature reserves)</w:t>
      </w:r>
      <w:r>
        <w:t>.</w:t>
      </w:r>
    </w:p>
    <w:p w14:paraId="5F8DB7C6" w14:textId="20707658" w:rsidR="00896718" w:rsidRPr="00FD6FBB" w:rsidRDefault="00896718" w:rsidP="0050116A">
      <w:pPr>
        <w:pStyle w:val="ListBullet"/>
      </w:pPr>
      <w:r>
        <w:t xml:space="preserve">For physical capital, the first principal component </w:t>
      </w:r>
      <w:r w:rsidR="00A26EB0">
        <w:t xml:space="preserve">can be thought of as </w:t>
      </w:r>
      <w:r>
        <w:t>represent</w:t>
      </w:r>
      <w:r w:rsidR="00A26EB0">
        <w:t>ing</w:t>
      </w:r>
      <w:r>
        <w:t xml:space="preserve"> regional connectivity, and the second </w:t>
      </w:r>
      <w:r w:rsidR="00A26EB0">
        <w:t xml:space="preserve">as </w:t>
      </w:r>
      <w:r>
        <w:t>represent</w:t>
      </w:r>
      <w:r w:rsidR="00A26EB0">
        <w:t>ing</w:t>
      </w:r>
      <w:r>
        <w:t xml:space="preserve"> new </w:t>
      </w:r>
      <w:r w:rsidR="005E1331">
        <w:t>infrastructure</w:t>
      </w:r>
      <w:r>
        <w:t>.</w:t>
      </w:r>
    </w:p>
    <w:p w14:paraId="486D13BD" w14:textId="4A971E2D" w:rsidR="00CF0702" w:rsidRDefault="00CF0702" w:rsidP="00ED747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F0702" w14:paraId="691A2EA4" w14:textId="77777777" w:rsidTr="00A23812">
        <w:trPr>
          <w:tblHeader/>
        </w:trPr>
        <w:tc>
          <w:tcPr>
            <w:tcW w:w="5000" w:type="pct"/>
            <w:tcBorders>
              <w:top w:val="single" w:sz="6" w:space="0" w:color="78A22F"/>
              <w:left w:val="nil"/>
              <w:bottom w:val="nil"/>
              <w:right w:val="nil"/>
            </w:tcBorders>
            <w:shd w:val="clear" w:color="auto" w:fill="auto"/>
          </w:tcPr>
          <w:p w14:paraId="26F03B28" w14:textId="4D2AE1FA" w:rsidR="00CF0702" w:rsidRPr="00784A05" w:rsidRDefault="00CF0702" w:rsidP="000F3690">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D2773">
              <w:rPr>
                <w:b w:val="0"/>
                <w:noProof/>
              </w:rPr>
              <w:t>11</w:t>
            </w:r>
            <w:r>
              <w:rPr>
                <w:b w:val="0"/>
              </w:rPr>
              <w:fldChar w:fldCharType="end"/>
            </w:r>
            <w:r>
              <w:tab/>
              <w:t xml:space="preserve">Human capital </w:t>
            </w:r>
            <w:proofErr w:type="spellStart"/>
            <w:r>
              <w:t>PCA</w:t>
            </w:r>
            <w:proofErr w:type="spellEnd"/>
            <w:r>
              <w:t xml:space="preserve"> results</w:t>
            </w:r>
            <w:r w:rsidR="00996298" w:rsidRPr="00E322F7">
              <w:rPr>
                <w:rStyle w:val="NoteLabel"/>
                <w:b/>
                <w:position w:val="10"/>
              </w:rPr>
              <w:t>a</w:t>
            </w:r>
          </w:p>
        </w:tc>
      </w:tr>
      <w:tr w:rsidR="00CF0702" w14:paraId="5C978305"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967"/>
              <w:gridCol w:w="736"/>
              <w:gridCol w:w="1161"/>
              <w:gridCol w:w="1161"/>
              <w:gridCol w:w="1160"/>
              <w:gridCol w:w="1160"/>
              <w:gridCol w:w="1160"/>
            </w:tblGrid>
            <w:tr w:rsidR="00CF0702" w14:paraId="44D98CE7" w14:textId="77777777" w:rsidTr="0023791D">
              <w:trPr>
                <w:tblHeader/>
              </w:trPr>
              <w:tc>
                <w:tcPr>
                  <w:tcW w:w="1156" w:type="pct"/>
                  <w:tcBorders>
                    <w:top w:val="single" w:sz="6" w:space="0" w:color="BFBFBF"/>
                    <w:bottom w:val="single" w:sz="6" w:space="0" w:color="BFBFBF"/>
                  </w:tcBorders>
                  <w:shd w:val="clear" w:color="auto" w:fill="auto"/>
                  <w:tcMar>
                    <w:top w:w="28" w:type="dxa"/>
                  </w:tcMar>
                </w:tcPr>
                <w:p w14:paraId="2C7C43DD" w14:textId="77777777" w:rsidR="00CF0702" w:rsidRDefault="00CF0702" w:rsidP="00ED747D">
                  <w:pPr>
                    <w:pStyle w:val="TableColumnHeading"/>
                    <w:jc w:val="left"/>
                  </w:pPr>
                </w:p>
              </w:tc>
              <w:tc>
                <w:tcPr>
                  <w:tcW w:w="432" w:type="pct"/>
                  <w:tcBorders>
                    <w:top w:val="single" w:sz="6" w:space="0" w:color="BFBFBF"/>
                    <w:bottom w:val="single" w:sz="6" w:space="0" w:color="BFBFBF"/>
                  </w:tcBorders>
                </w:tcPr>
                <w:p w14:paraId="3644398C" w14:textId="31D5BDBB" w:rsidR="00CF0702" w:rsidRPr="00BA1001" w:rsidRDefault="00CF0702" w:rsidP="00ED747D">
                  <w:pPr>
                    <w:pStyle w:val="TableColumnHeading"/>
                    <w:rPr>
                      <w:b/>
                    </w:rPr>
                  </w:pPr>
                  <w:proofErr w:type="spellStart"/>
                  <w:r w:rsidRPr="00BA1001">
                    <w:rPr>
                      <w:b/>
                    </w:rPr>
                    <w:t>PC1</w:t>
                  </w:r>
                  <w:proofErr w:type="spellEnd"/>
                </w:p>
              </w:tc>
              <w:tc>
                <w:tcPr>
                  <w:tcW w:w="682" w:type="pct"/>
                  <w:tcBorders>
                    <w:top w:val="single" w:sz="6" w:space="0" w:color="BFBFBF"/>
                    <w:bottom w:val="single" w:sz="6" w:space="0" w:color="BFBFBF"/>
                  </w:tcBorders>
                </w:tcPr>
                <w:p w14:paraId="64EDA25D" w14:textId="6FDC6E78" w:rsidR="00CF0702" w:rsidRPr="00BA1001" w:rsidRDefault="00CF0702" w:rsidP="00ED747D">
                  <w:pPr>
                    <w:pStyle w:val="TableColumnHeading"/>
                    <w:rPr>
                      <w:b/>
                    </w:rPr>
                  </w:pPr>
                  <w:proofErr w:type="spellStart"/>
                  <w:r w:rsidRPr="00BA1001">
                    <w:rPr>
                      <w:b/>
                    </w:rPr>
                    <w:t>PC2</w:t>
                  </w:r>
                  <w:proofErr w:type="spellEnd"/>
                </w:p>
              </w:tc>
              <w:tc>
                <w:tcPr>
                  <w:tcW w:w="682" w:type="pct"/>
                  <w:tcBorders>
                    <w:top w:val="single" w:sz="6" w:space="0" w:color="BFBFBF"/>
                    <w:bottom w:val="single" w:sz="6" w:space="0" w:color="BFBFBF"/>
                  </w:tcBorders>
                </w:tcPr>
                <w:p w14:paraId="712AD0FB" w14:textId="7686F2FE" w:rsidR="00CF0702" w:rsidRDefault="00CF0702" w:rsidP="00ED747D">
                  <w:pPr>
                    <w:pStyle w:val="TableColumnHeading"/>
                  </w:pPr>
                  <w:proofErr w:type="spellStart"/>
                  <w:r>
                    <w:t>PC3</w:t>
                  </w:r>
                  <w:proofErr w:type="spellEnd"/>
                </w:p>
              </w:tc>
              <w:tc>
                <w:tcPr>
                  <w:tcW w:w="682" w:type="pct"/>
                  <w:tcBorders>
                    <w:top w:val="single" w:sz="6" w:space="0" w:color="BFBFBF"/>
                    <w:bottom w:val="single" w:sz="6" w:space="0" w:color="BFBFBF"/>
                  </w:tcBorders>
                </w:tcPr>
                <w:p w14:paraId="30560B10" w14:textId="3224EECA" w:rsidR="00CF0702" w:rsidRDefault="00CF0702" w:rsidP="00ED747D">
                  <w:pPr>
                    <w:pStyle w:val="TableColumnHeading"/>
                  </w:pPr>
                  <w:proofErr w:type="spellStart"/>
                  <w:r>
                    <w:t>PC4</w:t>
                  </w:r>
                  <w:proofErr w:type="spellEnd"/>
                </w:p>
              </w:tc>
              <w:tc>
                <w:tcPr>
                  <w:tcW w:w="682" w:type="pct"/>
                  <w:tcBorders>
                    <w:top w:val="single" w:sz="6" w:space="0" w:color="BFBFBF"/>
                    <w:bottom w:val="single" w:sz="6" w:space="0" w:color="BFBFBF"/>
                  </w:tcBorders>
                  <w:shd w:val="clear" w:color="auto" w:fill="auto"/>
                  <w:tcMar>
                    <w:top w:w="28" w:type="dxa"/>
                  </w:tcMar>
                </w:tcPr>
                <w:p w14:paraId="7260758A" w14:textId="4DE9803E" w:rsidR="00CF0702" w:rsidRDefault="00CF0702" w:rsidP="00ED747D">
                  <w:pPr>
                    <w:pStyle w:val="TableColumnHeading"/>
                  </w:pPr>
                  <w:proofErr w:type="spellStart"/>
                  <w:r>
                    <w:t>PC5</w:t>
                  </w:r>
                  <w:proofErr w:type="spellEnd"/>
                </w:p>
              </w:tc>
              <w:tc>
                <w:tcPr>
                  <w:tcW w:w="682" w:type="pct"/>
                  <w:tcBorders>
                    <w:top w:val="single" w:sz="6" w:space="0" w:color="BFBFBF"/>
                    <w:bottom w:val="single" w:sz="6" w:space="0" w:color="BFBFBF"/>
                  </w:tcBorders>
                  <w:shd w:val="clear" w:color="auto" w:fill="auto"/>
                  <w:tcMar>
                    <w:top w:w="28" w:type="dxa"/>
                  </w:tcMar>
                </w:tcPr>
                <w:p w14:paraId="798A2C7C" w14:textId="11E9A198" w:rsidR="00CF0702" w:rsidRDefault="00CF0702" w:rsidP="00ED747D">
                  <w:pPr>
                    <w:pStyle w:val="TableColumnHeading"/>
                    <w:ind w:right="28"/>
                  </w:pPr>
                  <w:proofErr w:type="spellStart"/>
                  <w:r>
                    <w:t>PC6</w:t>
                  </w:r>
                  <w:proofErr w:type="spellEnd"/>
                </w:p>
              </w:tc>
            </w:tr>
            <w:tr w:rsidR="00CF0702" w14:paraId="7A681C0C" w14:textId="77777777" w:rsidTr="0023791D">
              <w:tc>
                <w:tcPr>
                  <w:tcW w:w="1156" w:type="pct"/>
                  <w:tcBorders>
                    <w:top w:val="single" w:sz="6" w:space="0" w:color="BFBFBF"/>
                  </w:tcBorders>
                </w:tcPr>
                <w:p w14:paraId="68FF5D7F" w14:textId="349EE83A" w:rsidR="00CF0702" w:rsidRDefault="000F3690" w:rsidP="00ED747D">
                  <w:pPr>
                    <w:pStyle w:val="TableUnitsRow"/>
                    <w:jc w:val="left"/>
                  </w:pPr>
                  <w:r>
                    <w:t>Correlations</w:t>
                  </w:r>
                </w:p>
              </w:tc>
              <w:tc>
                <w:tcPr>
                  <w:tcW w:w="432" w:type="pct"/>
                  <w:tcBorders>
                    <w:top w:val="single" w:sz="6" w:space="0" w:color="BFBFBF"/>
                  </w:tcBorders>
                </w:tcPr>
                <w:p w14:paraId="27B2BA56" w14:textId="77777777" w:rsidR="00CF0702" w:rsidRPr="00BA1001" w:rsidRDefault="00CF0702" w:rsidP="00ED747D">
                  <w:pPr>
                    <w:pStyle w:val="TableUnitsRow"/>
                    <w:rPr>
                      <w:b/>
                    </w:rPr>
                  </w:pPr>
                </w:p>
              </w:tc>
              <w:tc>
                <w:tcPr>
                  <w:tcW w:w="682" w:type="pct"/>
                  <w:tcBorders>
                    <w:top w:val="single" w:sz="6" w:space="0" w:color="BFBFBF"/>
                  </w:tcBorders>
                </w:tcPr>
                <w:p w14:paraId="7D3FA7A3" w14:textId="77777777" w:rsidR="00CF0702" w:rsidRDefault="00CF0702" w:rsidP="00ED747D">
                  <w:pPr>
                    <w:pStyle w:val="TableUnitsRow"/>
                  </w:pPr>
                </w:p>
              </w:tc>
              <w:tc>
                <w:tcPr>
                  <w:tcW w:w="682" w:type="pct"/>
                  <w:tcBorders>
                    <w:top w:val="single" w:sz="6" w:space="0" w:color="BFBFBF"/>
                  </w:tcBorders>
                </w:tcPr>
                <w:p w14:paraId="233F8011" w14:textId="0B7AB35D" w:rsidR="00CF0702" w:rsidRDefault="00CF0702" w:rsidP="00ED747D">
                  <w:pPr>
                    <w:pStyle w:val="TableUnitsRow"/>
                  </w:pPr>
                </w:p>
              </w:tc>
              <w:tc>
                <w:tcPr>
                  <w:tcW w:w="682" w:type="pct"/>
                  <w:tcBorders>
                    <w:top w:val="single" w:sz="6" w:space="0" w:color="BFBFBF"/>
                  </w:tcBorders>
                </w:tcPr>
                <w:p w14:paraId="5FDD13AD" w14:textId="12A01B2E" w:rsidR="00CF0702" w:rsidRDefault="00CF0702" w:rsidP="00ED747D">
                  <w:pPr>
                    <w:pStyle w:val="TableUnitsRow"/>
                  </w:pPr>
                </w:p>
              </w:tc>
              <w:tc>
                <w:tcPr>
                  <w:tcW w:w="682" w:type="pct"/>
                  <w:tcBorders>
                    <w:top w:val="single" w:sz="6" w:space="0" w:color="BFBFBF"/>
                  </w:tcBorders>
                </w:tcPr>
                <w:p w14:paraId="0EA34FFC" w14:textId="6FF33249" w:rsidR="00CF0702" w:rsidRDefault="00CF0702" w:rsidP="00ED747D">
                  <w:pPr>
                    <w:pStyle w:val="TableUnitsRow"/>
                  </w:pPr>
                </w:p>
              </w:tc>
              <w:tc>
                <w:tcPr>
                  <w:tcW w:w="682" w:type="pct"/>
                  <w:tcBorders>
                    <w:top w:val="single" w:sz="6" w:space="0" w:color="BFBFBF"/>
                  </w:tcBorders>
                </w:tcPr>
                <w:p w14:paraId="2A4028C0" w14:textId="77777777" w:rsidR="00CF0702" w:rsidRDefault="00CF0702" w:rsidP="00ED747D">
                  <w:pPr>
                    <w:pStyle w:val="TableUnitsRow"/>
                    <w:ind w:right="28"/>
                  </w:pPr>
                </w:p>
              </w:tc>
            </w:tr>
            <w:tr w:rsidR="00B74761" w14:paraId="5EF94034" w14:textId="77777777" w:rsidTr="0023791D">
              <w:tc>
                <w:tcPr>
                  <w:tcW w:w="1156" w:type="pct"/>
                </w:tcPr>
                <w:p w14:paraId="0708F173" w14:textId="069D26CE" w:rsidR="00B74761" w:rsidRDefault="00B74761" w:rsidP="000F3690">
                  <w:pPr>
                    <w:pStyle w:val="TableBodyText"/>
                    <w:ind w:left="120"/>
                    <w:jc w:val="left"/>
                  </w:pPr>
                  <w:proofErr w:type="spellStart"/>
                  <w:r w:rsidRPr="00807E11">
                    <w:rPr>
                      <w:i/>
                    </w:rPr>
                    <w:t>year12</w:t>
                  </w:r>
                  <w:proofErr w:type="spellEnd"/>
                </w:p>
              </w:tc>
              <w:tc>
                <w:tcPr>
                  <w:tcW w:w="432" w:type="pct"/>
                </w:tcPr>
                <w:p w14:paraId="7D236A44" w14:textId="51855A48" w:rsidR="00B74761" w:rsidRPr="00BA1001" w:rsidRDefault="00B74761" w:rsidP="00ED747D">
                  <w:pPr>
                    <w:pStyle w:val="TableBodyText"/>
                    <w:rPr>
                      <w:b/>
                    </w:rPr>
                  </w:pPr>
                  <w:r w:rsidRPr="00BA1001">
                    <w:rPr>
                      <w:b/>
                    </w:rPr>
                    <w:t xml:space="preserve"> 0.85</w:t>
                  </w:r>
                </w:p>
              </w:tc>
              <w:tc>
                <w:tcPr>
                  <w:tcW w:w="682" w:type="pct"/>
                </w:tcPr>
                <w:p w14:paraId="70E13861" w14:textId="3A254598" w:rsidR="00B74761" w:rsidRDefault="00E94B47" w:rsidP="00ED747D">
                  <w:pPr>
                    <w:pStyle w:val="TableBodyText"/>
                  </w:pPr>
                  <w:r>
                    <w:noBreakHyphen/>
                  </w:r>
                  <w:r w:rsidR="00B74761" w:rsidRPr="00AE0098">
                    <w:t>0.37</w:t>
                  </w:r>
                </w:p>
              </w:tc>
              <w:tc>
                <w:tcPr>
                  <w:tcW w:w="682" w:type="pct"/>
                </w:tcPr>
                <w:p w14:paraId="41EC5543" w14:textId="1EB67E3E" w:rsidR="00B74761" w:rsidRDefault="00B74761" w:rsidP="00ED747D">
                  <w:pPr>
                    <w:pStyle w:val="TableBodyText"/>
                  </w:pPr>
                  <w:r w:rsidRPr="00FA001F">
                    <w:t xml:space="preserve"> 0.19</w:t>
                  </w:r>
                </w:p>
              </w:tc>
              <w:tc>
                <w:tcPr>
                  <w:tcW w:w="682" w:type="pct"/>
                </w:tcPr>
                <w:p w14:paraId="66581B46" w14:textId="02429257" w:rsidR="00B74761" w:rsidRDefault="00E94B47" w:rsidP="00ED747D">
                  <w:pPr>
                    <w:pStyle w:val="TableBodyText"/>
                  </w:pPr>
                  <w:r>
                    <w:noBreakHyphen/>
                  </w:r>
                  <w:r w:rsidR="00B74761" w:rsidRPr="00EA4C82">
                    <w:t>0.07</w:t>
                  </w:r>
                </w:p>
              </w:tc>
              <w:tc>
                <w:tcPr>
                  <w:tcW w:w="682" w:type="pct"/>
                </w:tcPr>
                <w:p w14:paraId="52B0BA53" w14:textId="51F9B185" w:rsidR="00B74761" w:rsidRDefault="00E94B47" w:rsidP="00ED747D">
                  <w:pPr>
                    <w:pStyle w:val="TableBodyText"/>
                  </w:pPr>
                  <w:r>
                    <w:noBreakHyphen/>
                  </w:r>
                  <w:r w:rsidR="00B74761" w:rsidRPr="0079789F">
                    <w:t>0.03</w:t>
                  </w:r>
                </w:p>
              </w:tc>
              <w:tc>
                <w:tcPr>
                  <w:tcW w:w="682" w:type="pct"/>
                </w:tcPr>
                <w:p w14:paraId="60E8D326" w14:textId="276F2A82" w:rsidR="00B74761" w:rsidRDefault="00E94B47" w:rsidP="00ED747D">
                  <w:pPr>
                    <w:pStyle w:val="TableBodyText"/>
                    <w:ind w:right="28"/>
                  </w:pPr>
                  <w:r>
                    <w:noBreakHyphen/>
                  </w:r>
                  <w:r w:rsidR="00B74761" w:rsidRPr="008315C3">
                    <w:t>0.29</w:t>
                  </w:r>
                </w:p>
              </w:tc>
            </w:tr>
            <w:tr w:rsidR="00B74761" w14:paraId="4100FE47" w14:textId="77777777" w:rsidTr="0023791D">
              <w:tc>
                <w:tcPr>
                  <w:tcW w:w="1156" w:type="pct"/>
                </w:tcPr>
                <w:p w14:paraId="501E5F19" w14:textId="628124E5" w:rsidR="00B74761" w:rsidRPr="00807E11" w:rsidRDefault="00B74761" w:rsidP="000F3690">
                  <w:pPr>
                    <w:pStyle w:val="TableBodyText"/>
                    <w:ind w:left="120"/>
                    <w:jc w:val="left"/>
                    <w:rPr>
                      <w:i/>
                    </w:rPr>
                  </w:pPr>
                  <w:proofErr w:type="spellStart"/>
                  <w:r w:rsidRPr="00807E11">
                    <w:rPr>
                      <w:i/>
                    </w:rPr>
                    <w:t>skill1</w:t>
                  </w:r>
                  <w:proofErr w:type="spellEnd"/>
                </w:p>
              </w:tc>
              <w:tc>
                <w:tcPr>
                  <w:tcW w:w="432" w:type="pct"/>
                </w:tcPr>
                <w:p w14:paraId="383319F9" w14:textId="03E55DDE" w:rsidR="00B74761" w:rsidRPr="00BA1001" w:rsidRDefault="00B74761" w:rsidP="00ED747D">
                  <w:pPr>
                    <w:pStyle w:val="TableBodyText"/>
                    <w:rPr>
                      <w:b/>
                    </w:rPr>
                  </w:pPr>
                  <w:r w:rsidRPr="00BA1001">
                    <w:rPr>
                      <w:b/>
                    </w:rPr>
                    <w:t xml:space="preserve"> 0.81</w:t>
                  </w:r>
                </w:p>
              </w:tc>
              <w:tc>
                <w:tcPr>
                  <w:tcW w:w="682" w:type="pct"/>
                </w:tcPr>
                <w:p w14:paraId="1B7841C5" w14:textId="52FEA178" w:rsidR="00B74761" w:rsidRDefault="00B74761" w:rsidP="00ED747D">
                  <w:pPr>
                    <w:pStyle w:val="TableBodyText"/>
                  </w:pPr>
                  <w:r w:rsidRPr="00AE0098">
                    <w:t xml:space="preserve"> 0.07</w:t>
                  </w:r>
                </w:p>
              </w:tc>
              <w:tc>
                <w:tcPr>
                  <w:tcW w:w="682" w:type="pct"/>
                </w:tcPr>
                <w:p w14:paraId="6F7FF403" w14:textId="5A15CB0B" w:rsidR="00B74761" w:rsidRDefault="00B74761" w:rsidP="00ED747D">
                  <w:pPr>
                    <w:pStyle w:val="TableBodyText"/>
                  </w:pPr>
                  <w:r w:rsidRPr="00FA001F">
                    <w:t xml:space="preserve"> 0.46</w:t>
                  </w:r>
                </w:p>
              </w:tc>
              <w:tc>
                <w:tcPr>
                  <w:tcW w:w="682" w:type="pct"/>
                </w:tcPr>
                <w:p w14:paraId="1AC101F1" w14:textId="789CA597" w:rsidR="00B74761" w:rsidRDefault="00B74761" w:rsidP="00ED747D">
                  <w:pPr>
                    <w:pStyle w:val="TableBodyText"/>
                  </w:pPr>
                  <w:r w:rsidRPr="00EA4C82">
                    <w:t xml:space="preserve"> 0.09</w:t>
                  </w:r>
                </w:p>
              </w:tc>
              <w:tc>
                <w:tcPr>
                  <w:tcW w:w="682" w:type="pct"/>
                </w:tcPr>
                <w:p w14:paraId="79742EC6" w14:textId="2FECB7AC" w:rsidR="00B74761" w:rsidRDefault="00E94B47" w:rsidP="00ED747D">
                  <w:pPr>
                    <w:pStyle w:val="TableBodyText"/>
                  </w:pPr>
                  <w:r>
                    <w:noBreakHyphen/>
                  </w:r>
                  <w:r w:rsidR="00B74761" w:rsidRPr="0079789F">
                    <w:t>0.30</w:t>
                  </w:r>
                </w:p>
              </w:tc>
              <w:tc>
                <w:tcPr>
                  <w:tcW w:w="682" w:type="pct"/>
                </w:tcPr>
                <w:p w14:paraId="793352EB" w14:textId="711234D1" w:rsidR="00B74761" w:rsidRDefault="00B74761" w:rsidP="00ED747D">
                  <w:pPr>
                    <w:pStyle w:val="TableBodyText"/>
                    <w:ind w:right="28"/>
                  </w:pPr>
                  <w:r w:rsidRPr="008315C3">
                    <w:t xml:space="preserve"> 0.17</w:t>
                  </w:r>
                </w:p>
              </w:tc>
            </w:tr>
            <w:tr w:rsidR="00B74761" w14:paraId="14E6D43C" w14:textId="77777777" w:rsidTr="0023791D">
              <w:tc>
                <w:tcPr>
                  <w:tcW w:w="1156" w:type="pct"/>
                </w:tcPr>
                <w:p w14:paraId="04462D15" w14:textId="2B72E043" w:rsidR="00B74761" w:rsidRDefault="00B74761" w:rsidP="000F3690">
                  <w:pPr>
                    <w:pStyle w:val="TableBodyText"/>
                    <w:ind w:left="120"/>
                    <w:jc w:val="left"/>
                  </w:pPr>
                  <w:r w:rsidRPr="00807E11">
                    <w:rPr>
                      <w:i/>
                    </w:rPr>
                    <w:t>employed</w:t>
                  </w:r>
                </w:p>
              </w:tc>
              <w:tc>
                <w:tcPr>
                  <w:tcW w:w="432" w:type="pct"/>
                </w:tcPr>
                <w:p w14:paraId="133C2DE9" w14:textId="114EBBBC" w:rsidR="00B74761" w:rsidRPr="00BA1001" w:rsidRDefault="00B74761" w:rsidP="00ED747D">
                  <w:pPr>
                    <w:pStyle w:val="TableBodyText"/>
                    <w:rPr>
                      <w:b/>
                    </w:rPr>
                  </w:pPr>
                  <w:r w:rsidRPr="00BA1001">
                    <w:rPr>
                      <w:b/>
                    </w:rPr>
                    <w:t xml:space="preserve"> 0.68</w:t>
                  </w:r>
                </w:p>
              </w:tc>
              <w:tc>
                <w:tcPr>
                  <w:tcW w:w="682" w:type="pct"/>
                </w:tcPr>
                <w:p w14:paraId="06BA0EBA" w14:textId="0D854CAB" w:rsidR="00B74761" w:rsidRDefault="00B74761" w:rsidP="00ED747D">
                  <w:pPr>
                    <w:pStyle w:val="TableBodyText"/>
                  </w:pPr>
                  <w:r w:rsidRPr="00AE0098">
                    <w:t xml:space="preserve"> 0.21</w:t>
                  </w:r>
                </w:p>
              </w:tc>
              <w:tc>
                <w:tcPr>
                  <w:tcW w:w="682" w:type="pct"/>
                </w:tcPr>
                <w:p w14:paraId="2AD3A933" w14:textId="069610CC" w:rsidR="00B74761" w:rsidRDefault="00E94B47" w:rsidP="00ED747D">
                  <w:pPr>
                    <w:pStyle w:val="TableBodyText"/>
                  </w:pPr>
                  <w:r>
                    <w:noBreakHyphen/>
                  </w:r>
                  <w:r w:rsidR="00B74761" w:rsidRPr="00FA001F">
                    <w:t>0.63</w:t>
                  </w:r>
                </w:p>
              </w:tc>
              <w:tc>
                <w:tcPr>
                  <w:tcW w:w="682" w:type="pct"/>
                </w:tcPr>
                <w:p w14:paraId="150EC2C7" w14:textId="2C899668" w:rsidR="00B74761" w:rsidRDefault="00B74761" w:rsidP="00ED747D">
                  <w:pPr>
                    <w:pStyle w:val="TableBodyText"/>
                  </w:pPr>
                  <w:r w:rsidRPr="00EA4C82">
                    <w:t xml:space="preserve"> 0.19</w:t>
                  </w:r>
                </w:p>
              </w:tc>
              <w:tc>
                <w:tcPr>
                  <w:tcW w:w="682" w:type="pct"/>
                </w:tcPr>
                <w:p w14:paraId="7252F713" w14:textId="5E94C0D2" w:rsidR="00B74761" w:rsidRDefault="00E94B47" w:rsidP="00ED747D">
                  <w:pPr>
                    <w:pStyle w:val="TableBodyText"/>
                  </w:pPr>
                  <w:r>
                    <w:noBreakHyphen/>
                  </w:r>
                  <w:r w:rsidR="00B74761" w:rsidRPr="0079789F">
                    <w:t>0.25</w:t>
                  </w:r>
                </w:p>
              </w:tc>
              <w:tc>
                <w:tcPr>
                  <w:tcW w:w="682" w:type="pct"/>
                </w:tcPr>
                <w:p w14:paraId="73DD893D" w14:textId="3AFA9553" w:rsidR="00B74761" w:rsidRDefault="00E94B47" w:rsidP="00ED747D">
                  <w:pPr>
                    <w:pStyle w:val="TableBodyText"/>
                    <w:ind w:right="28"/>
                  </w:pPr>
                  <w:r>
                    <w:noBreakHyphen/>
                  </w:r>
                  <w:r w:rsidR="00B74761" w:rsidRPr="008315C3">
                    <w:t>0.03</w:t>
                  </w:r>
                </w:p>
              </w:tc>
            </w:tr>
            <w:tr w:rsidR="00B74761" w14:paraId="59075B25" w14:textId="77777777" w:rsidTr="0023791D">
              <w:tc>
                <w:tcPr>
                  <w:tcW w:w="1156" w:type="pct"/>
                </w:tcPr>
                <w:p w14:paraId="63EE7234" w14:textId="73271BC3" w:rsidR="00B74761" w:rsidRDefault="00B74761" w:rsidP="000F3690">
                  <w:pPr>
                    <w:pStyle w:val="TableBodyText"/>
                    <w:ind w:left="120"/>
                    <w:jc w:val="left"/>
                  </w:pPr>
                  <w:proofErr w:type="spellStart"/>
                  <w:r w:rsidRPr="00807E11">
                    <w:rPr>
                      <w:i/>
                    </w:rPr>
                    <w:t>own_business</w:t>
                  </w:r>
                  <w:proofErr w:type="spellEnd"/>
                </w:p>
              </w:tc>
              <w:tc>
                <w:tcPr>
                  <w:tcW w:w="432" w:type="pct"/>
                </w:tcPr>
                <w:p w14:paraId="4DA03205" w14:textId="1484C39C" w:rsidR="00B74761" w:rsidRDefault="00B74761" w:rsidP="00ED747D">
                  <w:pPr>
                    <w:pStyle w:val="TableBodyText"/>
                  </w:pPr>
                  <w:r w:rsidRPr="00D51613">
                    <w:t xml:space="preserve"> 0.29</w:t>
                  </w:r>
                </w:p>
              </w:tc>
              <w:tc>
                <w:tcPr>
                  <w:tcW w:w="682" w:type="pct"/>
                </w:tcPr>
                <w:p w14:paraId="15ABD0B2" w14:textId="4DDAE7F4" w:rsidR="00B74761" w:rsidRPr="00BA1001" w:rsidRDefault="00B74761" w:rsidP="00ED747D">
                  <w:pPr>
                    <w:pStyle w:val="TableBodyText"/>
                    <w:rPr>
                      <w:b/>
                    </w:rPr>
                  </w:pPr>
                  <w:r w:rsidRPr="00BA1001">
                    <w:rPr>
                      <w:b/>
                    </w:rPr>
                    <w:t xml:space="preserve"> 0.91</w:t>
                  </w:r>
                </w:p>
              </w:tc>
              <w:tc>
                <w:tcPr>
                  <w:tcW w:w="682" w:type="pct"/>
                </w:tcPr>
                <w:p w14:paraId="7B71FF32" w14:textId="5C7A5298" w:rsidR="00B74761" w:rsidRDefault="00B74761" w:rsidP="00ED747D">
                  <w:pPr>
                    <w:pStyle w:val="TableBodyText"/>
                  </w:pPr>
                  <w:r w:rsidRPr="00FA001F">
                    <w:t xml:space="preserve"> 0.19</w:t>
                  </w:r>
                </w:p>
              </w:tc>
              <w:tc>
                <w:tcPr>
                  <w:tcW w:w="682" w:type="pct"/>
                </w:tcPr>
                <w:p w14:paraId="5F582CC1" w14:textId="355BD3B2" w:rsidR="00B74761" w:rsidRDefault="00B74761" w:rsidP="00ED747D">
                  <w:pPr>
                    <w:pStyle w:val="TableBodyText"/>
                  </w:pPr>
                  <w:r w:rsidRPr="00EA4C82">
                    <w:t xml:space="preserve"> 0.14</w:t>
                  </w:r>
                </w:p>
              </w:tc>
              <w:tc>
                <w:tcPr>
                  <w:tcW w:w="682" w:type="pct"/>
                </w:tcPr>
                <w:p w14:paraId="54B9D13D" w14:textId="5A977FF6" w:rsidR="00B74761" w:rsidRDefault="00B74761" w:rsidP="00ED747D">
                  <w:pPr>
                    <w:pStyle w:val="TableBodyText"/>
                  </w:pPr>
                  <w:r w:rsidRPr="0079789F">
                    <w:t xml:space="preserve"> 0.17</w:t>
                  </w:r>
                </w:p>
              </w:tc>
              <w:tc>
                <w:tcPr>
                  <w:tcW w:w="682" w:type="pct"/>
                </w:tcPr>
                <w:p w14:paraId="779CE4ED" w14:textId="7246207E" w:rsidR="00B74761" w:rsidRDefault="00E94B47" w:rsidP="00ED747D">
                  <w:pPr>
                    <w:pStyle w:val="TableBodyText"/>
                    <w:ind w:right="28"/>
                  </w:pPr>
                  <w:r>
                    <w:noBreakHyphen/>
                  </w:r>
                  <w:r w:rsidR="00B74761" w:rsidRPr="008315C3">
                    <w:t>0.10</w:t>
                  </w:r>
                </w:p>
              </w:tc>
            </w:tr>
            <w:tr w:rsidR="00B74761" w14:paraId="57730B10" w14:textId="77777777" w:rsidTr="0023791D">
              <w:tc>
                <w:tcPr>
                  <w:tcW w:w="1156" w:type="pct"/>
                </w:tcPr>
                <w:p w14:paraId="503C02BA" w14:textId="19A02A82" w:rsidR="00B74761" w:rsidRDefault="00B74761" w:rsidP="000F3690">
                  <w:pPr>
                    <w:pStyle w:val="TableBodyText"/>
                    <w:ind w:left="120"/>
                    <w:jc w:val="left"/>
                  </w:pPr>
                  <w:proofErr w:type="spellStart"/>
                  <w:r w:rsidRPr="00807E11">
                    <w:rPr>
                      <w:i/>
                    </w:rPr>
                    <w:t>youth_engage</w:t>
                  </w:r>
                  <w:proofErr w:type="spellEnd"/>
                </w:p>
              </w:tc>
              <w:tc>
                <w:tcPr>
                  <w:tcW w:w="432" w:type="pct"/>
                </w:tcPr>
                <w:p w14:paraId="29418984" w14:textId="445106DF" w:rsidR="00B74761" w:rsidRPr="00BA1001" w:rsidRDefault="00B74761" w:rsidP="00ED747D">
                  <w:pPr>
                    <w:pStyle w:val="TableBodyText"/>
                    <w:rPr>
                      <w:b/>
                    </w:rPr>
                  </w:pPr>
                  <w:r w:rsidRPr="00BA1001">
                    <w:rPr>
                      <w:b/>
                    </w:rPr>
                    <w:t xml:space="preserve"> 0.74</w:t>
                  </w:r>
                </w:p>
              </w:tc>
              <w:tc>
                <w:tcPr>
                  <w:tcW w:w="682" w:type="pct"/>
                </w:tcPr>
                <w:p w14:paraId="52454EAA" w14:textId="62015F71" w:rsidR="00B74761" w:rsidRDefault="00B74761" w:rsidP="00ED747D">
                  <w:pPr>
                    <w:pStyle w:val="TableBodyText"/>
                  </w:pPr>
                  <w:r w:rsidRPr="00AE0098">
                    <w:t xml:space="preserve"> 0.14</w:t>
                  </w:r>
                </w:p>
              </w:tc>
              <w:tc>
                <w:tcPr>
                  <w:tcW w:w="682" w:type="pct"/>
                </w:tcPr>
                <w:p w14:paraId="47E7B510" w14:textId="0C25450E" w:rsidR="00B74761" w:rsidRDefault="00E94B47" w:rsidP="00ED747D">
                  <w:pPr>
                    <w:pStyle w:val="TableBodyText"/>
                  </w:pPr>
                  <w:r>
                    <w:noBreakHyphen/>
                  </w:r>
                  <w:r w:rsidR="00B74761" w:rsidRPr="00FA001F">
                    <w:t>0.15</w:t>
                  </w:r>
                </w:p>
              </w:tc>
              <w:tc>
                <w:tcPr>
                  <w:tcW w:w="682" w:type="pct"/>
                </w:tcPr>
                <w:p w14:paraId="1F19F078" w14:textId="4B2FA6EA" w:rsidR="00B74761" w:rsidRDefault="00E94B47" w:rsidP="00ED747D">
                  <w:pPr>
                    <w:pStyle w:val="TableBodyText"/>
                  </w:pPr>
                  <w:r>
                    <w:noBreakHyphen/>
                  </w:r>
                  <w:r w:rsidR="00B74761" w:rsidRPr="00EA4C82">
                    <w:t>0.62</w:t>
                  </w:r>
                </w:p>
              </w:tc>
              <w:tc>
                <w:tcPr>
                  <w:tcW w:w="682" w:type="pct"/>
                </w:tcPr>
                <w:p w14:paraId="412AF446" w14:textId="0114DF9B" w:rsidR="00B74761" w:rsidRDefault="00B74761" w:rsidP="00ED747D">
                  <w:pPr>
                    <w:pStyle w:val="TableBodyText"/>
                  </w:pPr>
                  <w:r w:rsidRPr="0079789F">
                    <w:t xml:space="preserve"> 0.13</w:t>
                  </w:r>
                </w:p>
              </w:tc>
              <w:tc>
                <w:tcPr>
                  <w:tcW w:w="682" w:type="pct"/>
                </w:tcPr>
                <w:p w14:paraId="27EA029D" w14:textId="098A4C5C" w:rsidR="00B74761" w:rsidRDefault="00B74761" w:rsidP="00ED747D">
                  <w:pPr>
                    <w:pStyle w:val="TableBodyText"/>
                    <w:ind w:right="28"/>
                  </w:pPr>
                  <w:r w:rsidRPr="008315C3">
                    <w:t xml:space="preserve"> 0.09</w:t>
                  </w:r>
                </w:p>
              </w:tc>
            </w:tr>
            <w:tr w:rsidR="00B74761" w14:paraId="133A2545" w14:textId="77777777" w:rsidTr="0023791D">
              <w:tc>
                <w:tcPr>
                  <w:tcW w:w="1156" w:type="pct"/>
                  <w:tcBorders>
                    <w:bottom w:val="single" w:sz="6" w:space="0" w:color="BFBFBF"/>
                  </w:tcBorders>
                </w:tcPr>
                <w:p w14:paraId="7981706D" w14:textId="3C4A4D75" w:rsidR="00B74761" w:rsidRDefault="00B74761" w:rsidP="000F3690">
                  <w:pPr>
                    <w:pStyle w:val="TableBodyText"/>
                    <w:ind w:left="120"/>
                    <w:jc w:val="left"/>
                  </w:pPr>
                  <w:r w:rsidRPr="00807E11">
                    <w:rPr>
                      <w:i/>
                    </w:rPr>
                    <w:t>disability</w:t>
                  </w:r>
                </w:p>
              </w:tc>
              <w:tc>
                <w:tcPr>
                  <w:tcW w:w="432" w:type="pct"/>
                  <w:tcBorders>
                    <w:bottom w:val="single" w:sz="6" w:space="0" w:color="BFBFBF"/>
                  </w:tcBorders>
                </w:tcPr>
                <w:p w14:paraId="75C2F71C" w14:textId="6736A83E" w:rsidR="00B74761" w:rsidRPr="00BA1001" w:rsidRDefault="00E94B47" w:rsidP="00ED747D">
                  <w:pPr>
                    <w:pStyle w:val="TableBodyText"/>
                    <w:rPr>
                      <w:b/>
                    </w:rPr>
                  </w:pPr>
                  <w:r>
                    <w:rPr>
                      <w:b/>
                    </w:rPr>
                    <w:noBreakHyphen/>
                  </w:r>
                  <w:r w:rsidR="00B74761" w:rsidRPr="00BA1001">
                    <w:rPr>
                      <w:b/>
                    </w:rPr>
                    <w:t>0.79</w:t>
                  </w:r>
                </w:p>
              </w:tc>
              <w:tc>
                <w:tcPr>
                  <w:tcW w:w="682" w:type="pct"/>
                  <w:tcBorders>
                    <w:bottom w:val="single" w:sz="6" w:space="0" w:color="BFBFBF"/>
                  </w:tcBorders>
                </w:tcPr>
                <w:p w14:paraId="538EF491" w14:textId="69B77027" w:rsidR="00B74761" w:rsidRDefault="00B74761" w:rsidP="00ED747D">
                  <w:pPr>
                    <w:pStyle w:val="TableBodyText"/>
                  </w:pPr>
                  <w:r w:rsidRPr="00AE0098">
                    <w:t xml:space="preserve"> 0.31</w:t>
                  </w:r>
                </w:p>
              </w:tc>
              <w:tc>
                <w:tcPr>
                  <w:tcW w:w="682" w:type="pct"/>
                  <w:tcBorders>
                    <w:bottom w:val="single" w:sz="6" w:space="0" w:color="BFBFBF"/>
                  </w:tcBorders>
                </w:tcPr>
                <w:p w14:paraId="2E494135" w14:textId="5D046762" w:rsidR="00B74761" w:rsidRDefault="00B74761" w:rsidP="00ED747D">
                  <w:pPr>
                    <w:pStyle w:val="TableBodyText"/>
                  </w:pPr>
                  <w:r w:rsidRPr="00FA001F">
                    <w:t xml:space="preserve"> 0.07</w:t>
                  </w:r>
                </w:p>
              </w:tc>
              <w:tc>
                <w:tcPr>
                  <w:tcW w:w="682" w:type="pct"/>
                  <w:tcBorders>
                    <w:bottom w:val="single" w:sz="6" w:space="0" w:color="BFBFBF"/>
                  </w:tcBorders>
                </w:tcPr>
                <w:p w14:paraId="4B57629F" w14:textId="01ADCCE3" w:rsidR="00B74761" w:rsidRDefault="00E94B47" w:rsidP="00ED747D">
                  <w:pPr>
                    <w:pStyle w:val="TableBodyText"/>
                  </w:pPr>
                  <w:r>
                    <w:noBreakHyphen/>
                  </w:r>
                  <w:r w:rsidR="00B74761" w:rsidRPr="00EA4C82">
                    <w:t>0.35</w:t>
                  </w:r>
                </w:p>
              </w:tc>
              <w:tc>
                <w:tcPr>
                  <w:tcW w:w="682" w:type="pct"/>
                  <w:tcBorders>
                    <w:bottom w:val="single" w:sz="6" w:space="0" w:color="BFBFBF"/>
                  </w:tcBorders>
                </w:tcPr>
                <w:p w14:paraId="726F5BD4" w14:textId="33C7333D" w:rsidR="00B74761" w:rsidRDefault="00E94B47" w:rsidP="00ED747D">
                  <w:pPr>
                    <w:pStyle w:val="TableBodyText"/>
                  </w:pPr>
                  <w:r>
                    <w:noBreakHyphen/>
                  </w:r>
                  <w:r w:rsidR="00B74761" w:rsidRPr="0079789F">
                    <w:t>0.36</w:t>
                  </w:r>
                </w:p>
              </w:tc>
              <w:tc>
                <w:tcPr>
                  <w:tcW w:w="682" w:type="pct"/>
                  <w:tcBorders>
                    <w:bottom w:val="single" w:sz="6" w:space="0" w:color="BFBFBF"/>
                  </w:tcBorders>
                </w:tcPr>
                <w:p w14:paraId="3522CDB3" w14:textId="1EA76347" w:rsidR="00B74761" w:rsidRDefault="00E94B47" w:rsidP="00ED747D">
                  <w:pPr>
                    <w:pStyle w:val="TableBodyText"/>
                    <w:ind w:right="28"/>
                  </w:pPr>
                  <w:r>
                    <w:noBreakHyphen/>
                  </w:r>
                  <w:r w:rsidR="00B74761" w:rsidRPr="008315C3">
                    <w:t>0.11</w:t>
                  </w:r>
                </w:p>
              </w:tc>
            </w:tr>
            <w:tr w:rsidR="00B74761" w14:paraId="3BF2AA67" w14:textId="77777777" w:rsidTr="0023791D">
              <w:tc>
                <w:tcPr>
                  <w:tcW w:w="1156" w:type="pct"/>
                  <w:tcBorders>
                    <w:top w:val="single" w:sz="6" w:space="0" w:color="BFBFBF"/>
                  </w:tcBorders>
                </w:tcPr>
                <w:p w14:paraId="413989D9" w14:textId="46F8E76C" w:rsidR="00B74761" w:rsidRDefault="0023791D" w:rsidP="000F3690">
                  <w:pPr>
                    <w:pStyle w:val="TableBodyText"/>
                    <w:spacing w:before="40"/>
                    <w:jc w:val="left"/>
                  </w:pPr>
                  <w:r>
                    <w:t>Cumulative proportion</w:t>
                  </w:r>
                </w:p>
              </w:tc>
              <w:tc>
                <w:tcPr>
                  <w:tcW w:w="432" w:type="pct"/>
                  <w:tcBorders>
                    <w:top w:val="single" w:sz="6" w:space="0" w:color="BFBFBF"/>
                  </w:tcBorders>
                </w:tcPr>
                <w:p w14:paraId="576A26D1" w14:textId="48174741" w:rsidR="00B74761" w:rsidRPr="00BA1001" w:rsidRDefault="00B74761" w:rsidP="000F3690">
                  <w:pPr>
                    <w:pStyle w:val="TableBodyText"/>
                    <w:spacing w:before="40"/>
                    <w:rPr>
                      <w:b/>
                    </w:rPr>
                  </w:pPr>
                  <w:r w:rsidRPr="00BA1001">
                    <w:rPr>
                      <w:b/>
                    </w:rPr>
                    <w:t xml:space="preserve"> 0.52</w:t>
                  </w:r>
                </w:p>
              </w:tc>
              <w:tc>
                <w:tcPr>
                  <w:tcW w:w="682" w:type="pct"/>
                  <w:tcBorders>
                    <w:top w:val="single" w:sz="6" w:space="0" w:color="BFBFBF"/>
                  </w:tcBorders>
                </w:tcPr>
                <w:p w14:paraId="1E6009BA" w14:textId="3D567CE8" w:rsidR="00B74761" w:rsidRPr="00BA1001" w:rsidRDefault="00B74761" w:rsidP="000F3690">
                  <w:pPr>
                    <w:pStyle w:val="TableBodyText"/>
                    <w:spacing w:before="40"/>
                    <w:rPr>
                      <w:b/>
                    </w:rPr>
                  </w:pPr>
                  <w:r w:rsidRPr="00BA1001">
                    <w:rPr>
                      <w:b/>
                    </w:rPr>
                    <w:t xml:space="preserve"> 0.71</w:t>
                  </w:r>
                </w:p>
              </w:tc>
              <w:tc>
                <w:tcPr>
                  <w:tcW w:w="682" w:type="pct"/>
                  <w:tcBorders>
                    <w:top w:val="single" w:sz="6" w:space="0" w:color="BFBFBF"/>
                  </w:tcBorders>
                </w:tcPr>
                <w:p w14:paraId="6561EA54" w14:textId="0CFEFA37" w:rsidR="00B74761" w:rsidRDefault="00B74761" w:rsidP="000F3690">
                  <w:pPr>
                    <w:pStyle w:val="TableBodyText"/>
                    <w:spacing w:before="40"/>
                  </w:pPr>
                  <w:r w:rsidRPr="00FA001F">
                    <w:t xml:space="preserve"> 0.82</w:t>
                  </w:r>
                </w:p>
              </w:tc>
              <w:tc>
                <w:tcPr>
                  <w:tcW w:w="682" w:type="pct"/>
                  <w:tcBorders>
                    <w:top w:val="single" w:sz="6" w:space="0" w:color="BFBFBF"/>
                  </w:tcBorders>
                </w:tcPr>
                <w:p w14:paraId="78677679" w14:textId="0B85B18D" w:rsidR="00B74761" w:rsidRDefault="00B74761" w:rsidP="000F3690">
                  <w:pPr>
                    <w:pStyle w:val="TableBodyText"/>
                    <w:spacing w:before="40"/>
                  </w:pPr>
                  <w:r w:rsidRPr="00EA4C82">
                    <w:t xml:space="preserve"> 0.92</w:t>
                  </w:r>
                </w:p>
              </w:tc>
              <w:tc>
                <w:tcPr>
                  <w:tcW w:w="682" w:type="pct"/>
                  <w:tcBorders>
                    <w:top w:val="single" w:sz="6" w:space="0" w:color="BFBFBF"/>
                  </w:tcBorders>
                </w:tcPr>
                <w:p w14:paraId="3438F79E" w14:textId="6EA5C99D" w:rsidR="00B74761" w:rsidRDefault="00B74761" w:rsidP="000F3690">
                  <w:pPr>
                    <w:pStyle w:val="TableBodyText"/>
                    <w:spacing w:before="40"/>
                  </w:pPr>
                  <w:r w:rsidRPr="0079789F">
                    <w:t xml:space="preserve"> 0.97</w:t>
                  </w:r>
                </w:p>
              </w:tc>
              <w:tc>
                <w:tcPr>
                  <w:tcW w:w="682" w:type="pct"/>
                  <w:tcBorders>
                    <w:top w:val="single" w:sz="6" w:space="0" w:color="BFBFBF"/>
                  </w:tcBorders>
                </w:tcPr>
                <w:p w14:paraId="08804563" w14:textId="5C646DC2" w:rsidR="00B74761" w:rsidRDefault="00B74761" w:rsidP="000F3690">
                  <w:pPr>
                    <w:pStyle w:val="TableBodyText"/>
                    <w:spacing w:before="40"/>
                    <w:ind w:right="28"/>
                  </w:pPr>
                  <w:r w:rsidRPr="008315C3">
                    <w:t xml:space="preserve"> 1.00</w:t>
                  </w:r>
                </w:p>
              </w:tc>
            </w:tr>
            <w:tr w:rsidR="00B74761" w14:paraId="4CB451D3" w14:textId="77777777" w:rsidTr="0023791D">
              <w:tc>
                <w:tcPr>
                  <w:tcW w:w="1156" w:type="pct"/>
                  <w:tcBorders>
                    <w:bottom w:val="single" w:sz="6" w:space="0" w:color="BFBFBF"/>
                  </w:tcBorders>
                  <w:shd w:val="clear" w:color="auto" w:fill="auto"/>
                </w:tcPr>
                <w:p w14:paraId="1B20FE35" w14:textId="126F8C42" w:rsidR="00B74761" w:rsidRDefault="00B74761" w:rsidP="00ED747D">
                  <w:pPr>
                    <w:pStyle w:val="TableBodyText"/>
                    <w:jc w:val="left"/>
                  </w:pPr>
                  <w:r>
                    <w:t>Eigenvalue</w:t>
                  </w:r>
                </w:p>
              </w:tc>
              <w:tc>
                <w:tcPr>
                  <w:tcW w:w="432" w:type="pct"/>
                  <w:tcBorders>
                    <w:bottom w:val="single" w:sz="6" w:space="0" w:color="BFBFBF"/>
                  </w:tcBorders>
                </w:tcPr>
                <w:p w14:paraId="5BC4FFA2" w14:textId="40156E71" w:rsidR="00B74761" w:rsidRPr="00BA1001" w:rsidRDefault="00B74761" w:rsidP="00ED747D">
                  <w:pPr>
                    <w:pStyle w:val="TableBodyText"/>
                    <w:rPr>
                      <w:b/>
                    </w:rPr>
                  </w:pPr>
                  <w:r w:rsidRPr="00BA1001">
                    <w:rPr>
                      <w:b/>
                    </w:rPr>
                    <w:t xml:space="preserve"> 3.11</w:t>
                  </w:r>
                </w:p>
              </w:tc>
              <w:tc>
                <w:tcPr>
                  <w:tcW w:w="682" w:type="pct"/>
                  <w:tcBorders>
                    <w:bottom w:val="single" w:sz="6" w:space="0" w:color="BFBFBF"/>
                  </w:tcBorders>
                </w:tcPr>
                <w:p w14:paraId="36F83C60" w14:textId="3A02A9F9" w:rsidR="00B74761" w:rsidRPr="00BA1001" w:rsidRDefault="00B74761" w:rsidP="00ED747D">
                  <w:pPr>
                    <w:pStyle w:val="TableBodyText"/>
                    <w:rPr>
                      <w:b/>
                    </w:rPr>
                  </w:pPr>
                  <w:r w:rsidRPr="00BA1001">
                    <w:rPr>
                      <w:b/>
                    </w:rPr>
                    <w:t xml:space="preserve"> 1.13</w:t>
                  </w:r>
                </w:p>
              </w:tc>
              <w:tc>
                <w:tcPr>
                  <w:tcW w:w="682" w:type="pct"/>
                  <w:tcBorders>
                    <w:bottom w:val="single" w:sz="6" w:space="0" w:color="BFBFBF"/>
                  </w:tcBorders>
                </w:tcPr>
                <w:p w14:paraId="00332B65" w14:textId="2CD1BAC4" w:rsidR="00B74761" w:rsidRDefault="00B74761" w:rsidP="00ED747D">
                  <w:pPr>
                    <w:pStyle w:val="TableBodyText"/>
                  </w:pPr>
                  <w:r w:rsidRPr="00FA001F">
                    <w:t xml:space="preserve"> 0.71</w:t>
                  </w:r>
                </w:p>
              </w:tc>
              <w:tc>
                <w:tcPr>
                  <w:tcW w:w="682" w:type="pct"/>
                  <w:tcBorders>
                    <w:bottom w:val="single" w:sz="6" w:space="0" w:color="BFBFBF"/>
                  </w:tcBorders>
                </w:tcPr>
                <w:p w14:paraId="7974CA3F" w14:textId="22F930D6" w:rsidR="00B74761" w:rsidRDefault="00B74761" w:rsidP="00ED747D">
                  <w:pPr>
                    <w:pStyle w:val="TableBodyText"/>
                  </w:pPr>
                  <w:r w:rsidRPr="00EA4C82">
                    <w:t xml:space="preserve"> 0.57</w:t>
                  </w:r>
                </w:p>
              </w:tc>
              <w:tc>
                <w:tcPr>
                  <w:tcW w:w="682" w:type="pct"/>
                  <w:tcBorders>
                    <w:bottom w:val="single" w:sz="6" w:space="0" w:color="BFBFBF"/>
                  </w:tcBorders>
                  <w:shd w:val="clear" w:color="auto" w:fill="auto"/>
                </w:tcPr>
                <w:p w14:paraId="2F8FD586" w14:textId="693480BC" w:rsidR="00B74761" w:rsidRDefault="00B74761" w:rsidP="00ED747D">
                  <w:pPr>
                    <w:pStyle w:val="TableBodyText"/>
                  </w:pPr>
                  <w:r w:rsidRPr="0079789F">
                    <w:t xml:space="preserve"> 0.33</w:t>
                  </w:r>
                </w:p>
              </w:tc>
              <w:tc>
                <w:tcPr>
                  <w:tcW w:w="682" w:type="pct"/>
                  <w:tcBorders>
                    <w:bottom w:val="single" w:sz="6" w:space="0" w:color="BFBFBF"/>
                  </w:tcBorders>
                  <w:shd w:val="clear" w:color="auto" w:fill="auto"/>
                </w:tcPr>
                <w:p w14:paraId="3BFF5032" w14:textId="2B0C5041" w:rsidR="00B74761" w:rsidRDefault="00B74761" w:rsidP="00ED747D">
                  <w:pPr>
                    <w:pStyle w:val="TableBodyText"/>
                    <w:ind w:right="28"/>
                  </w:pPr>
                  <w:r w:rsidRPr="008315C3">
                    <w:t xml:space="preserve"> 0.15</w:t>
                  </w:r>
                </w:p>
              </w:tc>
            </w:tr>
          </w:tbl>
          <w:p w14:paraId="3CB3E651" w14:textId="77777777" w:rsidR="00CF0702" w:rsidRDefault="00CF0702" w:rsidP="00ED747D">
            <w:pPr>
              <w:pStyle w:val="Box"/>
            </w:pPr>
          </w:p>
        </w:tc>
      </w:tr>
      <w:tr w:rsidR="00CF0702" w14:paraId="441C994B" w14:textId="77777777" w:rsidTr="00A23812">
        <w:tc>
          <w:tcPr>
            <w:tcW w:w="5000" w:type="pct"/>
            <w:tcBorders>
              <w:top w:val="nil"/>
              <w:left w:val="nil"/>
              <w:bottom w:val="nil"/>
              <w:right w:val="nil"/>
            </w:tcBorders>
            <w:shd w:val="clear" w:color="auto" w:fill="auto"/>
          </w:tcPr>
          <w:p w14:paraId="3B8A4F9A" w14:textId="3E597BAE" w:rsidR="00CF0702" w:rsidRDefault="00CF0702" w:rsidP="00707F06">
            <w:pPr>
              <w:pStyle w:val="Note"/>
              <w:rPr>
                <w:i/>
              </w:rPr>
            </w:pPr>
            <w:r w:rsidRPr="008E77FE">
              <w:rPr>
                <w:rStyle w:val="NoteLabel"/>
              </w:rPr>
              <w:t>a</w:t>
            </w:r>
            <w:r>
              <w:t xml:space="preserve"> </w:t>
            </w:r>
            <w:r w:rsidR="00996298">
              <w:t>Bolding indicates</w:t>
            </w:r>
            <w:r w:rsidR="005C4762">
              <w:t xml:space="preserve"> the principal compo</w:t>
            </w:r>
            <w:r w:rsidR="0054159E">
              <w:t>nents (PCs) that were retained</w:t>
            </w:r>
            <w:r w:rsidR="0090459A">
              <w:t xml:space="preserve"> and</w:t>
            </w:r>
            <w:r w:rsidR="0054159E">
              <w:t xml:space="preserve"> the </w:t>
            </w:r>
            <w:r w:rsidR="0090459A">
              <w:t xml:space="preserve">indicators </w:t>
            </w:r>
            <w:r w:rsidR="00074DE3">
              <w:t xml:space="preserve">with the highest correlations </w:t>
            </w:r>
            <w:r w:rsidR="00707F06">
              <w:t>with</w:t>
            </w:r>
            <w:r w:rsidR="0072090B">
              <w:t xml:space="preserve"> </w:t>
            </w:r>
            <w:r w:rsidR="0090459A">
              <w:t>these components.</w:t>
            </w:r>
          </w:p>
        </w:tc>
      </w:tr>
      <w:tr w:rsidR="00CF0702" w14:paraId="4278D2A0" w14:textId="77777777" w:rsidTr="00A23812">
        <w:tc>
          <w:tcPr>
            <w:tcW w:w="5000" w:type="pct"/>
            <w:tcBorders>
              <w:top w:val="nil"/>
              <w:left w:val="nil"/>
              <w:bottom w:val="nil"/>
              <w:right w:val="nil"/>
            </w:tcBorders>
            <w:shd w:val="clear" w:color="auto" w:fill="auto"/>
          </w:tcPr>
          <w:p w14:paraId="18319DA0" w14:textId="46CF7BAB" w:rsidR="00CF0702" w:rsidRDefault="00601526" w:rsidP="00ED747D">
            <w:pPr>
              <w:pStyle w:val="Source"/>
            </w:pPr>
            <w:r>
              <w:rPr>
                <w:i/>
              </w:rPr>
              <w:t>Source</w:t>
            </w:r>
            <w:r w:rsidRPr="00167F06">
              <w:t xml:space="preserve">: </w:t>
            </w:r>
            <w:r>
              <w:t>Productivity Commission estimates.</w:t>
            </w:r>
          </w:p>
        </w:tc>
      </w:tr>
      <w:tr w:rsidR="00CF0702" w14:paraId="7F3050E4" w14:textId="77777777" w:rsidTr="00A23812">
        <w:tc>
          <w:tcPr>
            <w:tcW w:w="5000" w:type="pct"/>
            <w:tcBorders>
              <w:top w:val="nil"/>
              <w:left w:val="nil"/>
              <w:bottom w:val="single" w:sz="6" w:space="0" w:color="78A22F"/>
              <w:right w:val="nil"/>
            </w:tcBorders>
            <w:shd w:val="clear" w:color="auto" w:fill="auto"/>
          </w:tcPr>
          <w:p w14:paraId="30351340" w14:textId="77777777" w:rsidR="00CF0702" w:rsidRDefault="00CF0702" w:rsidP="00ED747D">
            <w:pPr>
              <w:pStyle w:val="Box"/>
              <w:spacing w:before="0" w:line="120" w:lineRule="exact"/>
            </w:pPr>
          </w:p>
        </w:tc>
      </w:tr>
      <w:tr w:rsidR="00CF0702" w:rsidRPr="000863A5" w14:paraId="3593FC6E" w14:textId="77777777" w:rsidTr="00A23812">
        <w:tc>
          <w:tcPr>
            <w:tcW w:w="5000" w:type="pct"/>
            <w:tcBorders>
              <w:top w:val="single" w:sz="6" w:space="0" w:color="78A22F"/>
              <w:left w:val="nil"/>
              <w:bottom w:val="nil"/>
              <w:right w:val="nil"/>
            </w:tcBorders>
          </w:tcPr>
          <w:p w14:paraId="7B9C4870" w14:textId="1ACA6EDB" w:rsidR="00CF0702" w:rsidRPr="00626D32" w:rsidRDefault="00CF0702" w:rsidP="00ED747D">
            <w:pPr>
              <w:pStyle w:val="BoxSpaceBelow"/>
            </w:pPr>
          </w:p>
        </w:tc>
      </w:tr>
    </w:tbl>
    <w:p w14:paraId="2BA57EAF" w14:textId="76801661" w:rsidR="0061051B" w:rsidRDefault="0061051B" w:rsidP="00ED747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61051B" w14:paraId="4CA61111" w14:textId="77777777" w:rsidTr="00A23812">
        <w:trPr>
          <w:tblHeader/>
        </w:trPr>
        <w:tc>
          <w:tcPr>
            <w:tcW w:w="5000" w:type="pct"/>
            <w:tcBorders>
              <w:top w:val="single" w:sz="6" w:space="0" w:color="78A22F"/>
              <w:left w:val="nil"/>
              <w:bottom w:val="nil"/>
              <w:right w:val="nil"/>
            </w:tcBorders>
            <w:shd w:val="clear" w:color="auto" w:fill="auto"/>
          </w:tcPr>
          <w:p w14:paraId="39E2CB82" w14:textId="10034CF0" w:rsidR="0061051B" w:rsidRPr="00784A05" w:rsidRDefault="0061051B" w:rsidP="0061051B">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D2773">
              <w:rPr>
                <w:b w:val="0"/>
                <w:noProof/>
              </w:rPr>
              <w:t>12</w:t>
            </w:r>
            <w:r>
              <w:rPr>
                <w:b w:val="0"/>
              </w:rPr>
              <w:fldChar w:fldCharType="end"/>
            </w:r>
            <w:r>
              <w:tab/>
              <w:t xml:space="preserve">Financial capital </w:t>
            </w:r>
            <w:proofErr w:type="spellStart"/>
            <w:r>
              <w:t>PCA</w:t>
            </w:r>
            <w:proofErr w:type="spellEnd"/>
            <w:r>
              <w:t xml:space="preserve"> results</w:t>
            </w:r>
            <w:r w:rsidRPr="00E322F7">
              <w:rPr>
                <w:rStyle w:val="NoteLabel"/>
                <w:b/>
                <w:position w:val="10"/>
              </w:rPr>
              <w:t>a</w:t>
            </w:r>
          </w:p>
        </w:tc>
      </w:tr>
      <w:tr w:rsidR="0061051B" w14:paraId="64F7ED1E"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09"/>
              <w:gridCol w:w="1300"/>
              <w:gridCol w:w="1701"/>
              <w:gridCol w:w="1701"/>
              <w:gridCol w:w="1694"/>
            </w:tblGrid>
            <w:tr w:rsidR="0061051B" w14:paraId="6E6C907C" w14:textId="77777777" w:rsidTr="0023791D">
              <w:trPr>
                <w:tblHeader/>
              </w:trPr>
              <w:tc>
                <w:tcPr>
                  <w:tcW w:w="1240" w:type="pct"/>
                  <w:tcBorders>
                    <w:top w:val="single" w:sz="6" w:space="0" w:color="BFBFBF"/>
                    <w:bottom w:val="single" w:sz="6" w:space="0" w:color="BFBFBF"/>
                  </w:tcBorders>
                  <w:shd w:val="clear" w:color="auto" w:fill="auto"/>
                  <w:tcMar>
                    <w:top w:w="28" w:type="dxa"/>
                  </w:tcMar>
                </w:tcPr>
                <w:p w14:paraId="19E9A706" w14:textId="77777777" w:rsidR="0061051B" w:rsidRDefault="0061051B" w:rsidP="00ED747D">
                  <w:pPr>
                    <w:pStyle w:val="TableColumnHeading"/>
                    <w:jc w:val="left"/>
                  </w:pPr>
                </w:p>
              </w:tc>
              <w:tc>
                <w:tcPr>
                  <w:tcW w:w="764" w:type="pct"/>
                  <w:tcBorders>
                    <w:top w:val="single" w:sz="6" w:space="0" w:color="BFBFBF"/>
                    <w:bottom w:val="single" w:sz="6" w:space="0" w:color="BFBFBF"/>
                  </w:tcBorders>
                </w:tcPr>
                <w:p w14:paraId="33B94F99" w14:textId="7BCE1E26" w:rsidR="0061051B" w:rsidRDefault="0061051B" w:rsidP="00ED747D">
                  <w:pPr>
                    <w:pStyle w:val="TableColumnHeading"/>
                  </w:pPr>
                  <w:proofErr w:type="spellStart"/>
                  <w:r w:rsidRPr="00BA1001">
                    <w:rPr>
                      <w:b/>
                    </w:rPr>
                    <w:t>PC1</w:t>
                  </w:r>
                  <w:proofErr w:type="spellEnd"/>
                </w:p>
              </w:tc>
              <w:tc>
                <w:tcPr>
                  <w:tcW w:w="1000" w:type="pct"/>
                  <w:tcBorders>
                    <w:top w:val="single" w:sz="6" w:space="0" w:color="BFBFBF"/>
                    <w:bottom w:val="single" w:sz="6" w:space="0" w:color="BFBFBF"/>
                  </w:tcBorders>
                </w:tcPr>
                <w:p w14:paraId="1F40C5CB" w14:textId="2D6784AD" w:rsidR="0061051B" w:rsidRDefault="0061051B" w:rsidP="00ED747D">
                  <w:pPr>
                    <w:pStyle w:val="TableColumnHeading"/>
                  </w:pPr>
                  <w:proofErr w:type="spellStart"/>
                  <w:r w:rsidRPr="00BA1001">
                    <w:rPr>
                      <w:b/>
                    </w:rPr>
                    <w:t>PC2</w:t>
                  </w:r>
                  <w:proofErr w:type="spellEnd"/>
                </w:p>
              </w:tc>
              <w:tc>
                <w:tcPr>
                  <w:tcW w:w="1000" w:type="pct"/>
                  <w:tcBorders>
                    <w:top w:val="single" w:sz="6" w:space="0" w:color="BFBFBF"/>
                    <w:bottom w:val="single" w:sz="6" w:space="0" w:color="BFBFBF"/>
                  </w:tcBorders>
                  <w:shd w:val="clear" w:color="auto" w:fill="auto"/>
                  <w:tcMar>
                    <w:top w:w="28" w:type="dxa"/>
                  </w:tcMar>
                </w:tcPr>
                <w:p w14:paraId="672F5FD2" w14:textId="7759B7D6" w:rsidR="0061051B" w:rsidRDefault="0061051B" w:rsidP="00ED747D">
                  <w:pPr>
                    <w:pStyle w:val="TableColumnHeading"/>
                  </w:pPr>
                  <w:proofErr w:type="spellStart"/>
                  <w:r>
                    <w:t>PC3</w:t>
                  </w:r>
                  <w:proofErr w:type="spellEnd"/>
                </w:p>
              </w:tc>
              <w:tc>
                <w:tcPr>
                  <w:tcW w:w="997" w:type="pct"/>
                  <w:tcBorders>
                    <w:top w:val="single" w:sz="6" w:space="0" w:color="BFBFBF"/>
                    <w:bottom w:val="single" w:sz="6" w:space="0" w:color="BFBFBF"/>
                  </w:tcBorders>
                  <w:shd w:val="clear" w:color="auto" w:fill="auto"/>
                  <w:tcMar>
                    <w:top w:w="28" w:type="dxa"/>
                  </w:tcMar>
                </w:tcPr>
                <w:p w14:paraId="1F7BE0D2" w14:textId="47EE8886" w:rsidR="0061051B" w:rsidRDefault="0061051B" w:rsidP="00ED747D">
                  <w:pPr>
                    <w:pStyle w:val="TableColumnHeading"/>
                    <w:ind w:right="28"/>
                  </w:pPr>
                  <w:proofErr w:type="spellStart"/>
                  <w:r>
                    <w:t>PC4</w:t>
                  </w:r>
                  <w:proofErr w:type="spellEnd"/>
                </w:p>
              </w:tc>
            </w:tr>
            <w:tr w:rsidR="0061051B" w14:paraId="662C10D7" w14:textId="77777777" w:rsidTr="0023791D">
              <w:tc>
                <w:tcPr>
                  <w:tcW w:w="1240" w:type="pct"/>
                  <w:tcBorders>
                    <w:top w:val="single" w:sz="6" w:space="0" w:color="BFBFBF"/>
                  </w:tcBorders>
                </w:tcPr>
                <w:p w14:paraId="55EFC7BA" w14:textId="39996645" w:rsidR="0061051B" w:rsidRDefault="0061051B" w:rsidP="00ED747D">
                  <w:pPr>
                    <w:pStyle w:val="TableUnitsRow"/>
                    <w:jc w:val="left"/>
                  </w:pPr>
                  <w:r>
                    <w:t>Correlations</w:t>
                  </w:r>
                </w:p>
              </w:tc>
              <w:tc>
                <w:tcPr>
                  <w:tcW w:w="764" w:type="pct"/>
                  <w:tcBorders>
                    <w:top w:val="single" w:sz="6" w:space="0" w:color="BFBFBF"/>
                  </w:tcBorders>
                </w:tcPr>
                <w:p w14:paraId="6ACE0CF3" w14:textId="77777777" w:rsidR="0061051B" w:rsidRDefault="0061051B" w:rsidP="00ED747D">
                  <w:pPr>
                    <w:pStyle w:val="TableUnitsRow"/>
                  </w:pPr>
                </w:p>
              </w:tc>
              <w:tc>
                <w:tcPr>
                  <w:tcW w:w="1000" w:type="pct"/>
                  <w:tcBorders>
                    <w:top w:val="single" w:sz="6" w:space="0" w:color="BFBFBF"/>
                  </w:tcBorders>
                </w:tcPr>
                <w:p w14:paraId="39CD080A" w14:textId="77777777" w:rsidR="0061051B" w:rsidRDefault="0061051B" w:rsidP="00ED747D">
                  <w:pPr>
                    <w:pStyle w:val="TableUnitsRow"/>
                  </w:pPr>
                </w:p>
              </w:tc>
              <w:tc>
                <w:tcPr>
                  <w:tcW w:w="1000" w:type="pct"/>
                  <w:tcBorders>
                    <w:top w:val="single" w:sz="6" w:space="0" w:color="BFBFBF"/>
                  </w:tcBorders>
                </w:tcPr>
                <w:p w14:paraId="7DD3B312" w14:textId="12F0C548" w:rsidR="0061051B" w:rsidRDefault="0061051B" w:rsidP="00ED747D">
                  <w:pPr>
                    <w:pStyle w:val="TableUnitsRow"/>
                  </w:pPr>
                </w:p>
              </w:tc>
              <w:tc>
                <w:tcPr>
                  <w:tcW w:w="997" w:type="pct"/>
                  <w:tcBorders>
                    <w:top w:val="single" w:sz="6" w:space="0" w:color="BFBFBF"/>
                  </w:tcBorders>
                </w:tcPr>
                <w:p w14:paraId="3D89AFDA" w14:textId="77777777" w:rsidR="0061051B" w:rsidRDefault="0061051B" w:rsidP="00ED747D">
                  <w:pPr>
                    <w:pStyle w:val="TableUnitsRow"/>
                    <w:ind w:right="28"/>
                  </w:pPr>
                </w:p>
              </w:tc>
            </w:tr>
            <w:tr w:rsidR="0061051B" w14:paraId="4E99BA51" w14:textId="77777777" w:rsidTr="0023791D">
              <w:tc>
                <w:tcPr>
                  <w:tcW w:w="1240" w:type="pct"/>
                </w:tcPr>
                <w:p w14:paraId="438EEF5B" w14:textId="5E6912F0" w:rsidR="0061051B" w:rsidRPr="0061051B" w:rsidRDefault="0061051B" w:rsidP="0061051B">
                  <w:pPr>
                    <w:pStyle w:val="TableBodyText"/>
                    <w:ind w:left="120"/>
                    <w:jc w:val="left"/>
                    <w:rPr>
                      <w:i/>
                    </w:rPr>
                  </w:pPr>
                  <w:proofErr w:type="spellStart"/>
                  <w:r w:rsidRPr="006637B7">
                    <w:rPr>
                      <w:i/>
                    </w:rPr>
                    <w:t>high_income</w:t>
                  </w:r>
                  <w:proofErr w:type="spellEnd"/>
                </w:p>
              </w:tc>
              <w:tc>
                <w:tcPr>
                  <w:tcW w:w="764" w:type="pct"/>
                </w:tcPr>
                <w:p w14:paraId="5D815B6F" w14:textId="7ECE2687" w:rsidR="0061051B" w:rsidRPr="000A3447" w:rsidRDefault="0061051B" w:rsidP="00ED747D">
                  <w:pPr>
                    <w:pStyle w:val="TableBodyText"/>
                    <w:rPr>
                      <w:b/>
                    </w:rPr>
                  </w:pPr>
                  <w:r w:rsidRPr="000A3447">
                    <w:rPr>
                      <w:b/>
                    </w:rPr>
                    <w:t xml:space="preserve"> 0.94</w:t>
                  </w:r>
                </w:p>
              </w:tc>
              <w:tc>
                <w:tcPr>
                  <w:tcW w:w="1000" w:type="pct"/>
                </w:tcPr>
                <w:p w14:paraId="484C3DB1" w14:textId="5D78903D" w:rsidR="0061051B" w:rsidRDefault="00E94B47" w:rsidP="00ED747D">
                  <w:pPr>
                    <w:pStyle w:val="TableBodyText"/>
                  </w:pPr>
                  <w:r>
                    <w:noBreakHyphen/>
                  </w:r>
                  <w:r w:rsidR="0061051B" w:rsidRPr="00A461E8">
                    <w:t>0.01</w:t>
                  </w:r>
                </w:p>
              </w:tc>
              <w:tc>
                <w:tcPr>
                  <w:tcW w:w="1000" w:type="pct"/>
                </w:tcPr>
                <w:p w14:paraId="469DA84F" w14:textId="4E014E78" w:rsidR="0061051B" w:rsidRDefault="00E94B47" w:rsidP="00ED747D">
                  <w:pPr>
                    <w:pStyle w:val="TableBodyText"/>
                  </w:pPr>
                  <w:r>
                    <w:noBreakHyphen/>
                  </w:r>
                  <w:r w:rsidR="0061051B" w:rsidRPr="002B2F98">
                    <w:t>0.01</w:t>
                  </w:r>
                </w:p>
              </w:tc>
              <w:tc>
                <w:tcPr>
                  <w:tcW w:w="997" w:type="pct"/>
                </w:tcPr>
                <w:p w14:paraId="294EC9A0" w14:textId="54176E42" w:rsidR="0061051B" w:rsidRDefault="0061051B" w:rsidP="00ED747D">
                  <w:pPr>
                    <w:pStyle w:val="TableBodyText"/>
                    <w:ind w:right="28"/>
                  </w:pPr>
                  <w:r w:rsidRPr="002D7EFE">
                    <w:t xml:space="preserve"> 0.35</w:t>
                  </w:r>
                </w:p>
              </w:tc>
            </w:tr>
            <w:tr w:rsidR="0061051B" w14:paraId="7F39E519" w14:textId="77777777" w:rsidTr="0023791D">
              <w:tc>
                <w:tcPr>
                  <w:tcW w:w="1240" w:type="pct"/>
                </w:tcPr>
                <w:p w14:paraId="5E5CA4D0" w14:textId="000862D3" w:rsidR="0061051B" w:rsidRPr="0061051B" w:rsidRDefault="0061051B" w:rsidP="0061051B">
                  <w:pPr>
                    <w:pStyle w:val="TableBodyText"/>
                    <w:ind w:left="120"/>
                    <w:jc w:val="left"/>
                    <w:rPr>
                      <w:i/>
                    </w:rPr>
                  </w:pPr>
                  <w:proofErr w:type="spellStart"/>
                  <w:r w:rsidRPr="006637B7">
                    <w:rPr>
                      <w:i/>
                    </w:rPr>
                    <w:t>govt_payment</w:t>
                  </w:r>
                  <w:proofErr w:type="spellEnd"/>
                </w:p>
              </w:tc>
              <w:tc>
                <w:tcPr>
                  <w:tcW w:w="764" w:type="pct"/>
                </w:tcPr>
                <w:p w14:paraId="232BA6AA" w14:textId="33CADEBA" w:rsidR="0061051B" w:rsidRPr="000A3447" w:rsidRDefault="00E94B47" w:rsidP="00ED747D">
                  <w:pPr>
                    <w:pStyle w:val="TableBodyText"/>
                    <w:rPr>
                      <w:b/>
                    </w:rPr>
                  </w:pPr>
                  <w:r>
                    <w:rPr>
                      <w:b/>
                    </w:rPr>
                    <w:noBreakHyphen/>
                  </w:r>
                  <w:r w:rsidR="0061051B" w:rsidRPr="000A3447">
                    <w:rPr>
                      <w:b/>
                    </w:rPr>
                    <w:t>0.86</w:t>
                  </w:r>
                </w:p>
              </w:tc>
              <w:tc>
                <w:tcPr>
                  <w:tcW w:w="1000" w:type="pct"/>
                </w:tcPr>
                <w:p w14:paraId="5CA59F33" w14:textId="042800F8" w:rsidR="0061051B" w:rsidRDefault="00E94B47" w:rsidP="00ED747D">
                  <w:pPr>
                    <w:pStyle w:val="TableBodyText"/>
                  </w:pPr>
                  <w:r>
                    <w:noBreakHyphen/>
                  </w:r>
                  <w:r w:rsidR="0061051B" w:rsidRPr="00A461E8">
                    <w:t>0.09</w:t>
                  </w:r>
                </w:p>
              </w:tc>
              <w:tc>
                <w:tcPr>
                  <w:tcW w:w="1000" w:type="pct"/>
                </w:tcPr>
                <w:p w14:paraId="58D94064" w14:textId="6BFD1F17" w:rsidR="0061051B" w:rsidRDefault="0061051B" w:rsidP="00ED747D">
                  <w:pPr>
                    <w:pStyle w:val="TableBodyText"/>
                  </w:pPr>
                  <w:r w:rsidRPr="002B2F98">
                    <w:t xml:space="preserve"> 0.46</w:t>
                  </w:r>
                </w:p>
              </w:tc>
              <w:tc>
                <w:tcPr>
                  <w:tcW w:w="997" w:type="pct"/>
                </w:tcPr>
                <w:p w14:paraId="21882681" w14:textId="21EDAB20" w:rsidR="0061051B" w:rsidRDefault="0061051B" w:rsidP="00ED747D">
                  <w:pPr>
                    <w:pStyle w:val="TableBodyText"/>
                    <w:ind w:right="28"/>
                  </w:pPr>
                  <w:r w:rsidRPr="002D7EFE">
                    <w:t xml:space="preserve"> 0.20</w:t>
                  </w:r>
                </w:p>
              </w:tc>
            </w:tr>
            <w:tr w:rsidR="0061051B" w14:paraId="7195164C" w14:textId="77777777" w:rsidTr="0023791D">
              <w:tc>
                <w:tcPr>
                  <w:tcW w:w="1240" w:type="pct"/>
                  <w:vAlign w:val="center"/>
                </w:tcPr>
                <w:p w14:paraId="45A731C7" w14:textId="5CC3DFC3" w:rsidR="0061051B" w:rsidRPr="0061051B" w:rsidRDefault="0061051B" w:rsidP="0061051B">
                  <w:pPr>
                    <w:pStyle w:val="TableBodyText"/>
                    <w:ind w:left="120"/>
                    <w:jc w:val="left"/>
                    <w:rPr>
                      <w:i/>
                    </w:rPr>
                  </w:pPr>
                  <w:proofErr w:type="spellStart"/>
                  <w:r w:rsidRPr="006637B7">
                    <w:rPr>
                      <w:i/>
                    </w:rPr>
                    <w:t>property_prices</w:t>
                  </w:r>
                  <w:proofErr w:type="spellEnd"/>
                </w:p>
              </w:tc>
              <w:tc>
                <w:tcPr>
                  <w:tcW w:w="764" w:type="pct"/>
                </w:tcPr>
                <w:p w14:paraId="3A2D7982" w14:textId="7FB2349E" w:rsidR="0061051B" w:rsidRPr="000A3447" w:rsidRDefault="0061051B" w:rsidP="00ED747D">
                  <w:pPr>
                    <w:pStyle w:val="TableBodyText"/>
                    <w:rPr>
                      <w:b/>
                    </w:rPr>
                  </w:pPr>
                  <w:r w:rsidRPr="000A3447">
                    <w:rPr>
                      <w:b/>
                    </w:rPr>
                    <w:t xml:space="preserve"> 0.85</w:t>
                  </w:r>
                </w:p>
              </w:tc>
              <w:tc>
                <w:tcPr>
                  <w:tcW w:w="1000" w:type="pct"/>
                </w:tcPr>
                <w:p w14:paraId="7D9B3E60" w14:textId="5BD3F13D" w:rsidR="0061051B" w:rsidRDefault="00E94B47" w:rsidP="00ED747D">
                  <w:pPr>
                    <w:pStyle w:val="TableBodyText"/>
                  </w:pPr>
                  <w:r>
                    <w:noBreakHyphen/>
                  </w:r>
                  <w:r w:rsidR="0061051B" w:rsidRPr="00A461E8">
                    <w:t>0.17</w:t>
                  </w:r>
                </w:p>
              </w:tc>
              <w:tc>
                <w:tcPr>
                  <w:tcW w:w="1000" w:type="pct"/>
                </w:tcPr>
                <w:p w14:paraId="47B4D406" w14:textId="689E9C4E" w:rsidR="0061051B" w:rsidRDefault="0061051B" w:rsidP="00ED747D">
                  <w:pPr>
                    <w:pStyle w:val="TableBodyText"/>
                  </w:pPr>
                  <w:r w:rsidRPr="002B2F98">
                    <w:t xml:space="preserve"> 0.46</w:t>
                  </w:r>
                </w:p>
              </w:tc>
              <w:tc>
                <w:tcPr>
                  <w:tcW w:w="997" w:type="pct"/>
                </w:tcPr>
                <w:p w14:paraId="7F36BA46" w14:textId="5072A2B6" w:rsidR="0061051B" w:rsidRDefault="00E94B47" w:rsidP="00ED747D">
                  <w:pPr>
                    <w:pStyle w:val="TableBodyText"/>
                    <w:ind w:right="28"/>
                  </w:pPr>
                  <w:r>
                    <w:noBreakHyphen/>
                  </w:r>
                  <w:r w:rsidR="0061051B" w:rsidRPr="002D7EFE">
                    <w:t>0.19</w:t>
                  </w:r>
                </w:p>
              </w:tc>
            </w:tr>
            <w:tr w:rsidR="0061051B" w14:paraId="2DF9F396" w14:textId="77777777" w:rsidTr="0023791D">
              <w:tc>
                <w:tcPr>
                  <w:tcW w:w="1240" w:type="pct"/>
                  <w:tcBorders>
                    <w:bottom w:val="single" w:sz="6" w:space="0" w:color="BFBFBF"/>
                  </w:tcBorders>
                  <w:vAlign w:val="center"/>
                </w:tcPr>
                <w:p w14:paraId="7B52E2E9" w14:textId="616C3500" w:rsidR="0061051B" w:rsidRPr="0061051B" w:rsidRDefault="0061051B" w:rsidP="0061051B">
                  <w:pPr>
                    <w:pStyle w:val="TableBodyText"/>
                    <w:ind w:left="120"/>
                    <w:jc w:val="left"/>
                    <w:rPr>
                      <w:i/>
                    </w:rPr>
                  </w:pPr>
                  <w:proofErr w:type="spellStart"/>
                  <w:r w:rsidRPr="006637B7">
                    <w:rPr>
                      <w:i/>
                    </w:rPr>
                    <w:t>own_home</w:t>
                  </w:r>
                  <w:proofErr w:type="spellEnd"/>
                </w:p>
              </w:tc>
              <w:tc>
                <w:tcPr>
                  <w:tcW w:w="764" w:type="pct"/>
                  <w:tcBorders>
                    <w:bottom w:val="single" w:sz="6" w:space="0" w:color="BFBFBF"/>
                  </w:tcBorders>
                </w:tcPr>
                <w:p w14:paraId="35D80898" w14:textId="1FE53E17" w:rsidR="0061051B" w:rsidRDefault="00E94B47" w:rsidP="00ED747D">
                  <w:pPr>
                    <w:pStyle w:val="TableBodyText"/>
                  </w:pPr>
                  <w:r>
                    <w:noBreakHyphen/>
                  </w:r>
                  <w:r w:rsidR="0061051B" w:rsidRPr="00996CC3">
                    <w:t>0.08</w:t>
                  </w:r>
                </w:p>
              </w:tc>
              <w:tc>
                <w:tcPr>
                  <w:tcW w:w="1000" w:type="pct"/>
                  <w:tcBorders>
                    <w:bottom w:val="single" w:sz="6" w:space="0" w:color="BFBFBF"/>
                  </w:tcBorders>
                </w:tcPr>
                <w:p w14:paraId="3BCE841D" w14:textId="422AF846" w:rsidR="0061051B" w:rsidRPr="000A3447" w:rsidRDefault="00E94B47" w:rsidP="00ED747D">
                  <w:pPr>
                    <w:pStyle w:val="TableBodyText"/>
                    <w:rPr>
                      <w:b/>
                    </w:rPr>
                  </w:pPr>
                  <w:r>
                    <w:rPr>
                      <w:b/>
                    </w:rPr>
                    <w:noBreakHyphen/>
                  </w:r>
                  <w:r w:rsidR="0061051B" w:rsidRPr="000A3447">
                    <w:rPr>
                      <w:b/>
                    </w:rPr>
                    <w:t>0.99</w:t>
                  </w:r>
                </w:p>
              </w:tc>
              <w:tc>
                <w:tcPr>
                  <w:tcW w:w="1000" w:type="pct"/>
                  <w:tcBorders>
                    <w:bottom w:val="single" w:sz="6" w:space="0" w:color="BFBFBF"/>
                  </w:tcBorders>
                </w:tcPr>
                <w:p w14:paraId="7CAF1EA7" w14:textId="3CF66357" w:rsidR="0061051B" w:rsidRDefault="00E94B47" w:rsidP="00ED747D">
                  <w:pPr>
                    <w:pStyle w:val="TableBodyText"/>
                  </w:pPr>
                  <w:r>
                    <w:noBreakHyphen/>
                  </w:r>
                  <w:r w:rsidR="0061051B" w:rsidRPr="002B2F98">
                    <w:t>0.12</w:t>
                  </w:r>
                </w:p>
              </w:tc>
              <w:tc>
                <w:tcPr>
                  <w:tcW w:w="997" w:type="pct"/>
                  <w:tcBorders>
                    <w:bottom w:val="single" w:sz="6" w:space="0" w:color="BFBFBF"/>
                  </w:tcBorders>
                </w:tcPr>
                <w:p w14:paraId="6537EFDE" w14:textId="3D3F0DA8" w:rsidR="0061051B" w:rsidRDefault="0061051B" w:rsidP="00ED747D">
                  <w:pPr>
                    <w:pStyle w:val="TableBodyText"/>
                    <w:ind w:right="28"/>
                  </w:pPr>
                  <w:r w:rsidRPr="002D7EFE">
                    <w:t xml:space="preserve"> 0.01</w:t>
                  </w:r>
                </w:p>
              </w:tc>
            </w:tr>
            <w:tr w:rsidR="0061051B" w14:paraId="18F7E89D" w14:textId="77777777" w:rsidTr="0023791D">
              <w:tc>
                <w:tcPr>
                  <w:tcW w:w="1240" w:type="pct"/>
                  <w:tcBorders>
                    <w:top w:val="single" w:sz="6" w:space="0" w:color="BFBFBF"/>
                  </w:tcBorders>
                </w:tcPr>
                <w:p w14:paraId="721F4CBB" w14:textId="64BF3B71" w:rsidR="0061051B" w:rsidRDefault="0023791D" w:rsidP="00ED747D">
                  <w:pPr>
                    <w:pStyle w:val="TableBodyText"/>
                    <w:jc w:val="left"/>
                  </w:pPr>
                  <w:r>
                    <w:t>Cumulative proportion</w:t>
                  </w:r>
                </w:p>
              </w:tc>
              <w:tc>
                <w:tcPr>
                  <w:tcW w:w="764" w:type="pct"/>
                  <w:tcBorders>
                    <w:top w:val="single" w:sz="6" w:space="0" w:color="BFBFBF"/>
                  </w:tcBorders>
                </w:tcPr>
                <w:p w14:paraId="35CF8A9C" w14:textId="0784FD5B" w:rsidR="0061051B" w:rsidRPr="000A3447" w:rsidRDefault="0061051B" w:rsidP="00ED747D">
                  <w:pPr>
                    <w:pStyle w:val="TableBodyText"/>
                    <w:rPr>
                      <w:b/>
                    </w:rPr>
                  </w:pPr>
                  <w:r w:rsidRPr="000A3447">
                    <w:rPr>
                      <w:b/>
                    </w:rPr>
                    <w:t xml:space="preserve"> 0.59</w:t>
                  </w:r>
                </w:p>
              </w:tc>
              <w:tc>
                <w:tcPr>
                  <w:tcW w:w="1000" w:type="pct"/>
                  <w:tcBorders>
                    <w:top w:val="single" w:sz="6" w:space="0" w:color="BFBFBF"/>
                  </w:tcBorders>
                </w:tcPr>
                <w:p w14:paraId="76055311" w14:textId="3E5EC6B3" w:rsidR="0061051B" w:rsidRPr="000A3447" w:rsidRDefault="0061051B" w:rsidP="00ED747D">
                  <w:pPr>
                    <w:pStyle w:val="TableBodyText"/>
                    <w:rPr>
                      <w:b/>
                    </w:rPr>
                  </w:pPr>
                  <w:r w:rsidRPr="000A3447">
                    <w:rPr>
                      <w:b/>
                    </w:rPr>
                    <w:t xml:space="preserve"> 0.84</w:t>
                  </w:r>
                </w:p>
              </w:tc>
              <w:tc>
                <w:tcPr>
                  <w:tcW w:w="1000" w:type="pct"/>
                  <w:tcBorders>
                    <w:top w:val="single" w:sz="6" w:space="0" w:color="BFBFBF"/>
                  </w:tcBorders>
                </w:tcPr>
                <w:p w14:paraId="4550AF8F" w14:textId="3E35F415" w:rsidR="0061051B" w:rsidRDefault="0061051B" w:rsidP="00ED747D">
                  <w:pPr>
                    <w:pStyle w:val="TableBodyText"/>
                  </w:pPr>
                  <w:r w:rsidRPr="002B2F98">
                    <w:t xml:space="preserve"> 0.95</w:t>
                  </w:r>
                </w:p>
              </w:tc>
              <w:tc>
                <w:tcPr>
                  <w:tcW w:w="997" w:type="pct"/>
                  <w:tcBorders>
                    <w:top w:val="single" w:sz="6" w:space="0" w:color="BFBFBF"/>
                  </w:tcBorders>
                </w:tcPr>
                <w:p w14:paraId="436BC881" w14:textId="36FBAF2A" w:rsidR="0061051B" w:rsidRDefault="0061051B" w:rsidP="00ED747D">
                  <w:pPr>
                    <w:pStyle w:val="TableBodyText"/>
                    <w:ind w:right="28"/>
                  </w:pPr>
                  <w:r w:rsidRPr="002D7EFE">
                    <w:t xml:space="preserve"> 1.00</w:t>
                  </w:r>
                </w:p>
              </w:tc>
            </w:tr>
            <w:tr w:rsidR="0061051B" w14:paraId="20A050F1" w14:textId="77777777" w:rsidTr="0023791D">
              <w:tc>
                <w:tcPr>
                  <w:tcW w:w="1240" w:type="pct"/>
                  <w:tcBorders>
                    <w:bottom w:val="single" w:sz="6" w:space="0" w:color="BFBFBF"/>
                  </w:tcBorders>
                  <w:shd w:val="clear" w:color="auto" w:fill="auto"/>
                </w:tcPr>
                <w:p w14:paraId="7A8DA24B" w14:textId="35A805CE" w:rsidR="0061051B" w:rsidRDefault="0061051B" w:rsidP="00ED747D">
                  <w:pPr>
                    <w:pStyle w:val="TableBodyText"/>
                    <w:jc w:val="left"/>
                  </w:pPr>
                  <w:r>
                    <w:t>Eigenvalue</w:t>
                  </w:r>
                </w:p>
              </w:tc>
              <w:tc>
                <w:tcPr>
                  <w:tcW w:w="764" w:type="pct"/>
                  <w:tcBorders>
                    <w:bottom w:val="single" w:sz="6" w:space="0" w:color="BFBFBF"/>
                  </w:tcBorders>
                </w:tcPr>
                <w:p w14:paraId="26981487" w14:textId="13F83BF1" w:rsidR="0061051B" w:rsidRPr="000A3447" w:rsidRDefault="0061051B" w:rsidP="00ED747D">
                  <w:pPr>
                    <w:pStyle w:val="TableBodyText"/>
                    <w:rPr>
                      <w:b/>
                    </w:rPr>
                  </w:pPr>
                  <w:r w:rsidRPr="000A3447">
                    <w:rPr>
                      <w:b/>
                    </w:rPr>
                    <w:t xml:space="preserve"> 2.36</w:t>
                  </w:r>
                </w:p>
              </w:tc>
              <w:tc>
                <w:tcPr>
                  <w:tcW w:w="1000" w:type="pct"/>
                  <w:tcBorders>
                    <w:bottom w:val="single" w:sz="6" w:space="0" w:color="BFBFBF"/>
                  </w:tcBorders>
                </w:tcPr>
                <w:p w14:paraId="5F96667B" w14:textId="54F98570" w:rsidR="0061051B" w:rsidRPr="000A3447" w:rsidRDefault="0061051B" w:rsidP="00ED747D">
                  <w:pPr>
                    <w:pStyle w:val="TableBodyText"/>
                    <w:rPr>
                      <w:b/>
                    </w:rPr>
                  </w:pPr>
                  <w:r w:rsidRPr="000A3447">
                    <w:rPr>
                      <w:b/>
                    </w:rPr>
                    <w:t xml:space="preserve"> 1.02</w:t>
                  </w:r>
                </w:p>
              </w:tc>
              <w:tc>
                <w:tcPr>
                  <w:tcW w:w="1000" w:type="pct"/>
                  <w:tcBorders>
                    <w:bottom w:val="single" w:sz="6" w:space="0" w:color="BFBFBF"/>
                  </w:tcBorders>
                  <w:shd w:val="clear" w:color="auto" w:fill="auto"/>
                </w:tcPr>
                <w:p w14:paraId="33584D7E" w14:textId="36E19E39" w:rsidR="0061051B" w:rsidRDefault="0061051B" w:rsidP="00ED747D">
                  <w:pPr>
                    <w:pStyle w:val="TableBodyText"/>
                  </w:pPr>
                  <w:r w:rsidRPr="002B2F98">
                    <w:t xml:space="preserve"> 0.43</w:t>
                  </w:r>
                </w:p>
              </w:tc>
              <w:tc>
                <w:tcPr>
                  <w:tcW w:w="997" w:type="pct"/>
                  <w:tcBorders>
                    <w:bottom w:val="single" w:sz="6" w:space="0" w:color="BFBFBF"/>
                  </w:tcBorders>
                  <w:shd w:val="clear" w:color="auto" w:fill="auto"/>
                </w:tcPr>
                <w:p w14:paraId="5DA1BB6E" w14:textId="707B9C85" w:rsidR="0061051B" w:rsidRDefault="0061051B" w:rsidP="00ED747D">
                  <w:pPr>
                    <w:pStyle w:val="TableBodyText"/>
                    <w:ind w:right="28"/>
                  </w:pPr>
                  <w:r w:rsidRPr="002D7EFE">
                    <w:t xml:space="preserve"> 0.20</w:t>
                  </w:r>
                </w:p>
              </w:tc>
            </w:tr>
          </w:tbl>
          <w:p w14:paraId="414DE932" w14:textId="77777777" w:rsidR="0061051B" w:rsidRDefault="0061051B" w:rsidP="00ED747D">
            <w:pPr>
              <w:pStyle w:val="Box"/>
            </w:pPr>
          </w:p>
        </w:tc>
      </w:tr>
      <w:tr w:rsidR="0061051B" w14:paraId="28C33ED7" w14:textId="77777777" w:rsidTr="00A23812">
        <w:tc>
          <w:tcPr>
            <w:tcW w:w="5000" w:type="pct"/>
            <w:tcBorders>
              <w:top w:val="nil"/>
              <w:left w:val="nil"/>
              <w:bottom w:val="nil"/>
              <w:right w:val="nil"/>
            </w:tcBorders>
            <w:shd w:val="clear" w:color="auto" w:fill="auto"/>
          </w:tcPr>
          <w:p w14:paraId="16507C74" w14:textId="11554E8D" w:rsidR="0061051B" w:rsidRDefault="0061051B" w:rsidP="00ED747D">
            <w:pPr>
              <w:pStyle w:val="Note"/>
              <w:rPr>
                <w:i/>
              </w:rPr>
            </w:pPr>
            <w:r w:rsidRPr="008E77FE">
              <w:rPr>
                <w:rStyle w:val="NoteLabel"/>
              </w:rPr>
              <w:t>a</w:t>
            </w:r>
            <w:r>
              <w:t xml:space="preserve"> Bolding indicates the principal components (PCs) that were retained and the indicators with the highest correlations for these components.</w:t>
            </w:r>
          </w:p>
        </w:tc>
      </w:tr>
      <w:tr w:rsidR="0061051B" w14:paraId="1102E94A" w14:textId="77777777" w:rsidTr="00A23812">
        <w:tc>
          <w:tcPr>
            <w:tcW w:w="5000" w:type="pct"/>
            <w:tcBorders>
              <w:top w:val="nil"/>
              <w:left w:val="nil"/>
              <w:bottom w:val="nil"/>
              <w:right w:val="nil"/>
            </w:tcBorders>
            <w:shd w:val="clear" w:color="auto" w:fill="auto"/>
          </w:tcPr>
          <w:p w14:paraId="654E89A2" w14:textId="3E62A2A3" w:rsidR="0061051B" w:rsidRDefault="00BB09C5" w:rsidP="00ED747D">
            <w:pPr>
              <w:pStyle w:val="Source"/>
            </w:pPr>
            <w:r>
              <w:rPr>
                <w:i/>
              </w:rPr>
              <w:t>Source</w:t>
            </w:r>
            <w:r w:rsidRPr="00167F06">
              <w:t xml:space="preserve">: </w:t>
            </w:r>
            <w:r>
              <w:t>Productivity Commission estimates.</w:t>
            </w:r>
          </w:p>
        </w:tc>
      </w:tr>
      <w:tr w:rsidR="0061051B" w14:paraId="55F16C99" w14:textId="77777777" w:rsidTr="00A23812">
        <w:tc>
          <w:tcPr>
            <w:tcW w:w="5000" w:type="pct"/>
            <w:tcBorders>
              <w:top w:val="nil"/>
              <w:left w:val="nil"/>
              <w:bottom w:val="single" w:sz="6" w:space="0" w:color="78A22F"/>
              <w:right w:val="nil"/>
            </w:tcBorders>
            <w:shd w:val="clear" w:color="auto" w:fill="auto"/>
          </w:tcPr>
          <w:p w14:paraId="37BC82C4" w14:textId="77777777" w:rsidR="0061051B" w:rsidRDefault="0061051B" w:rsidP="00ED747D">
            <w:pPr>
              <w:pStyle w:val="Box"/>
              <w:spacing w:before="0" w:line="120" w:lineRule="exact"/>
            </w:pPr>
          </w:p>
        </w:tc>
      </w:tr>
      <w:tr w:rsidR="0061051B" w:rsidRPr="000863A5" w14:paraId="12E46CEB" w14:textId="77777777" w:rsidTr="00A23812">
        <w:tc>
          <w:tcPr>
            <w:tcW w:w="5000" w:type="pct"/>
            <w:tcBorders>
              <w:top w:val="single" w:sz="6" w:space="0" w:color="78A22F"/>
              <w:left w:val="nil"/>
              <w:bottom w:val="nil"/>
              <w:right w:val="nil"/>
            </w:tcBorders>
          </w:tcPr>
          <w:p w14:paraId="29E009CB" w14:textId="77FDE0BB" w:rsidR="0061051B" w:rsidRPr="00626D32" w:rsidRDefault="0061051B" w:rsidP="00ED747D">
            <w:pPr>
              <w:pStyle w:val="BoxSpaceBelow"/>
            </w:pPr>
          </w:p>
        </w:tc>
      </w:tr>
    </w:tbl>
    <w:p w14:paraId="329ECCB4" w14:textId="1235EBE4" w:rsidR="00E95C8A" w:rsidRDefault="00E95C8A" w:rsidP="00ED747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95C8A" w14:paraId="26CBE58C" w14:textId="77777777" w:rsidTr="00A23812">
        <w:trPr>
          <w:tblHeader/>
        </w:trPr>
        <w:tc>
          <w:tcPr>
            <w:tcW w:w="5000" w:type="pct"/>
            <w:tcBorders>
              <w:top w:val="single" w:sz="6" w:space="0" w:color="78A22F"/>
              <w:left w:val="nil"/>
              <w:bottom w:val="nil"/>
              <w:right w:val="nil"/>
            </w:tcBorders>
            <w:shd w:val="clear" w:color="auto" w:fill="auto"/>
          </w:tcPr>
          <w:p w14:paraId="11F2B30E" w14:textId="3197C5BB" w:rsidR="00E95C8A" w:rsidRPr="00784A05" w:rsidRDefault="00E95C8A" w:rsidP="00E95C8A">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D2773">
              <w:rPr>
                <w:b w:val="0"/>
                <w:noProof/>
              </w:rPr>
              <w:t>13</w:t>
            </w:r>
            <w:r>
              <w:rPr>
                <w:b w:val="0"/>
              </w:rPr>
              <w:fldChar w:fldCharType="end"/>
            </w:r>
            <w:r>
              <w:tab/>
              <w:t xml:space="preserve">Natural capital </w:t>
            </w:r>
            <w:proofErr w:type="spellStart"/>
            <w:r>
              <w:t>PCA</w:t>
            </w:r>
            <w:proofErr w:type="spellEnd"/>
            <w:r>
              <w:t xml:space="preserve"> results</w:t>
            </w:r>
            <w:r w:rsidRPr="00E322F7">
              <w:rPr>
                <w:rStyle w:val="NoteLabel"/>
                <w:b/>
                <w:position w:val="10"/>
              </w:rPr>
              <w:t>a</w:t>
            </w:r>
          </w:p>
        </w:tc>
      </w:tr>
      <w:tr w:rsidR="00E95C8A" w14:paraId="4C99B4C6"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E95C8A" w14:paraId="2171B4C1" w14:textId="77777777" w:rsidTr="00ED747D">
              <w:trPr>
                <w:tblHeader/>
              </w:trPr>
              <w:tc>
                <w:tcPr>
                  <w:tcW w:w="1251" w:type="pct"/>
                  <w:tcBorders>
                    <w:top w:val="single" w:sz="6" w:space="0" w:color="BFBFBF"/>
                    <w:bottom w:val="single" w:sz="6" w:space="0" w:color="BFBFBF"/>
                  </w:tcBorders>
                  <w:shd w:val="clear" w:color="auto" w:fill="auto"/>
                  <w:tcMar>
                    <w:top w:w="28" w:type="dxa"/>
                  </w:tcMar>
                </w:tcPr>
                <w:p w14:paraId="7731EDF1" w14:textId="77777777" w:rsidR="00E95C8A" w:rsidRDefault="00E95C8A" w:rsidP="00ED747D">
                  <w:pPr>
                    <w:pStyle w:val="TableColumnHeading"/>
                    <w:jc w:val="left"/>
                  </w:pPr>
                </w:p>
              </w:tc>
              <w:tc>
                <w:tcPr>
                  <w:tcW w:w="1250" w:type="pct"/>
                  <w:tcBorders>
                    <w:top w:val="single" w:sz="6" w:space="0" w:color="BFBFBF"/>
                    <w:bottom w:val="single" w:sz="6" w:space="0" w:color="BFBFBF"/>
                  </w:tcBorders>
                </w:tcPr>
                <w:p w14:paraId="51823EB2" w14:textId="108D3130" w:rsidR="00E95C8A" w:rsidRDefault="00E95C8A" w:rsidP="00ED747D">
                  <w:pPr>
                    <w:pStyle w:val="TableColumnHeading"/>
                  </w:pPr>
                  <w:proofErr w:type="spellStart"/>
                  <w:r w:rsidRPr="00BA1001">
                    <w:rPr>
                      <w:b/>
                    </w:rPr>
                    <w:t>PC1</w:t>
                  </w:r>
                  <w:proofErr w:type="spellEnd"/>
                </w:p>
              </w:tc>
              <w:tc>
                <w:tcPr>
                  <w:tcW w:w="1250" w:type="pct"/>
                  <w:tcBorders>
                    <w:top w:val="single" w:sz="6" w:space="0" w:color="BFBFBF"/>
                    <w:bottom w:val="single" w:sz="6" w:space="0" w:color="BFBFBF"/>
                  </w:tcBorders>
                  <w:shd w:val="clear" w:color="auto" w:fill="auto"/>
                  <w:tcMar>
                    <w:top w:w="28" w:type="dxa"/>
                  </w:tcMar>
                </w:tcPr>
                <w:p w14:paraId="0CAC0E28" w14:textId="13A4B4B0" w:rsidR="00E95C8A" w:rsidRDefault="00E95C8A" w:rsidP="00ED747D">
                  <w:pPr>
                    <w:pStyle w:val="TableColumnHeading"/>
                  </w:pPr>
                  <w:proofErr w:type="spellStart"/>
                  <w:r w:rsidRPr="00BA1001">
                    <w:rPr>
                      <w:b/>
                    </w:rPr>
                    <w:t>PC2</w:t>
                  </w:r>
                  <w:proofErr w:type="spellEnd"/>
                </w:p>
              </w:tc>
              <w:tc>
                <w:tcPr>
                  <w:tcW w:w="1249" w:type="pct"/>
                  <w:tcBorders>
                    <w:top w:val="single" w:sz="6" w:space="0" w:color="BFBFBF"/>
                    <w:bottom w:val="single" w:sz="6" w:space="0" w:color="BFBFBF"/>
                  </w:tcBorders>
                  <w:shd w:val="clear" w:color="auto" w:fill="auto"/>
                  <w:tcMar>
                    <w:top w:w="28" w:type="dxa"/>
                  </w:tcMar>
                </w:tcPr>
                <w:p w14:paraId="3FA7BFB1" w14:textId="30B48AE5" w:rsidR="00E95C8A" w:rsidRDefault="00E95C8A" w:rsidP="00ED747D">
                  <w:pPr>
                    <w:pStyle w:val="TableColumnHeading"/>
                    <w:ind w:right="28"/>
                  </w:pPr>
                  <w:proofErr w:type="spellStart"/>
                  <w:r>
                    <w:t>PC3</w:t>
                  </w:r>
                  <w:proofErr w:type="spellEnd"/>
                </w:p>
              </w:tc>
            </w:tr>
            <w:tr w:rsidR="00E95C8A" w14:paraId="58C1DF5F" w14:textId="77777777" w:rsidTr="00ED747D">
              <w:tc>
                <w:tcPr>
                  <w:tcW w:w="1251" w:type="pct"/>
                  <w:tcBorders>
                    <w:top w:val="single" w:sz="6" w:space="0" w:color="BFBFBF"/>
                  </w:tcBorders>
                </w:tcPr>
                <w:p w14:paraId="22302695" w14:textId="119DF9C2" w:rsidR="00E95C8A" w:rsidRDefault="00E95C8A" w:rsidP="00ED747D">
                  <w:pPr>
                    <w:pStyle w:val="TableUnitsRow"/>
                    <w:jc w:val="left"/>
                  </w:pPr>
                  <w:r>
                    <w:t>Correlations</w:t>
                  </w:r>
                </w:p>
              </w:tc>
              <w:tc>
                <w:tcPr>
                  <w:tcW w:w="1250" w:type="pct"/>
                  <w:tcBorders>
                    <w:top w:val="single" w:sz="6" w:space="0" w:color="BFBFBF"/>
                  </w:tcBorders>
                </w:tcPr>
                <w:p w14:paraId="2C44ED22" w14:textId="77777777" w:rsidR="00E95C8A" w:rsidRDefault="00E95C8A" w:rsidP="00ED747D">
                  <w:pPr>
                    <w:pStyle w:val="TableUnitsRow"/>
                  </w:pPr>
                </w:p>
              </w:tc>
              <w:tc>
                <w:tcPr>
                  <w:tcW w:w="1250" w:type="pct"/>
                  <w:tcBorders>
                    <w:top w:val="single" w:sz="6" w:space="0" w:color="BFBFBF"/>
                  </w:tcBorders>
                </w:tcPr>
                <w:p w14:paraId="6B4A045F" w14:textId="77777777" w:rsidR="00E95C8A" w:rsidRDefault="00E95C8A" w:rsidP="00ED747D">
                  <w:pPr>
                    <w:pStyle w:val="TableUnitsRow"/>
                  </w:pPr>
                </w:p>
              </w:tc>
              <w:tc>
                <w:tcPr>
                  <w:tcW w:w="1249" w:type="pct"/>
                  <w:tcBorders>
                    <w:top w:val="single" w:sz="6" w:space="0" w:color="BFBFBF"/>
                  </w:tcBorders>
                </w:tcPr>
                <w:p w14:paraId="1196943F" w14:textId="77777777" w:rsidR="00E95C8A" w:rsidRDefault="00E95C8A" w:rsidP="00ED747D">
                  <w:pPr>
                    <w:pStyle w:val="TableUnitsRow"/>
                    <w:ind w:right="28"/>
                  </w:pPr>
                </w:p>
              </w:tc>
            </w:tr>
            <w:tr w:rsidR="00E27C88" w14:paraId="0BCB0255" w14:textId="77777777" w:rsidTr="00ED747D">
              <w:tc>
                <w:tcPr>
                  <w:tcW w:w="1251" w:type="pct"/>
                </w:tcPr>
                <w:p w14:paraId="20A318FA" w14:textId="75A7720E" w:rsidR="00E27C88" w:rsidRPr="00E95C8A" w:rsidRDefault="00E27C88" w:rsidP="00E95C8A">
                  <w:pPr>
                    <w:pStyle w:val="TableBodyText"/>
                    <w:ind w:left="120"/>
                    <w:jc w:val="left"/>
                    <w:rPr>
                      <w:i/>
                    </w:rPr>
                  </w:pPr>
                  <w:proofErr w:type="spellStart"/>
                  <w:r w:rsidRPr="00E95C8A">
                    <w:rPr>
                      <w:i/>
                    </w:rPr>
                    <w:t>agri_land</w:t>
                  </w:r>
                  <w:proofErr w:type="spellEnd"/>
                </w:p>
              </w:tc>
              <w:tc>
                <w:tcPr>
                  <w:tcW w:w="1250" w:type="pct"/>
                </w:tcPr>
                <w:p w14:paraId="2C020404" w14:textId="3EF96F7F" w:rsidR="00E27C88" w:rsidRPr="00CA2E41" w:rsidRDefault="00E27C88" w:rsidP="00ED747D">
                  <w:pPr>
                    <w:pStyle w:val="TableBodyText"/>
                    <w:rPr>
                      <w:b/>
                    </w:rPr>
                  </w:pPr>
                  <w:r w:rsidRPr="00CA2E41">
                    <w:rPr>
                      <w:b/>
                    </w:rPr>
                    <w:t xml:space="preserve"> 0.76</w:t>
                  </w:r>
                </w:p>
              </w:tc>
              <w:tc>
                <w:tcPr>
                  <w:tcW w:w="1250" w:type="pct"/>
                </w:tcPr>
                <w:p w14:paraId="6460D515" w14:textId="0B15FE10" w:rsidR="00E27C88" w:rsidRDefault="00E94B47" w:rsidP="00ED747D">
                  <w:pPr>
                    <w:pStyle w:val="TableBodyText"/>
                  </w:pPr>
                  <w:r>
                    <w:noBreakHyphen/>
                  </w:r>
                  <w:r w:rsidR="00E27C88" w:rsidRPr="00733F07">
                    <w:t>0.19</w:t>
                  </w:r>
                </w:p>
              </w:tc>
              <w:tc>
                <w:tcPr>
                  <w:tcW w:w="1249" w:type="pct"/>
                </w:tcPr>
                <w:p w14:paraId="71DB7957" w14:textId="08DF32AB" w:rsidR="00E27C88" w:rsidRDefault="00E27C88" w:rsidP="00ED747D">
                  <w:pPr>
                    <w:pStyle w:val="TableBodyText"/>
                    <w:ind w:right="28"/>
                  </w:pPr>
                  <w:r w:rsidRPr="005F2279">
                    <w:t xml:space="preserve"> 0.62</w:t>
                  </w:r>
                </w:p>
              </w:tc>
            </w:tr>
            <w:tr w:rsidR="00E27C88" w14:paraId="3AAB9C9C" w14:textId="77777777" w:rsidTr="00ED747D">
              <w:tc>
                <w:tcPr>
                  <w:tcW w:w="1251" w:type="pct"/>
                </w:tcPr>
                <w:p w14:paraId="226E53E0" w14:textId="7D10CEEC" w:rsidR="00E27C88" w:rsidRPr="00E95C8A" w:rsidRDefault="00E27C88" w:rsidP="00E95C8A">
                  <w:pPr>
                    <w:pStyle w:val="TableBodyText"/>
                    <w:ind w:left="120"/>
                    <w:jc w:val="left"/>
                    <w:rPr>
                      <w:i/>
                    </w:rPr>
                  </w:pPr>
                  <w:proofErr w:type="spellStart"/>
                  <w:r w:rsidRPr="00E95C8A">
                    <w:rPr>
                      <w:i/>
                    </w:rPr>
                    <w:t>nature_land</w:t>
                  </w:r>
                  <w:proofErr w:type="spellEnd"/>
                </w:p>
              </w:tc>
              <w:tc>
                <w:tcPr>
                  <w:tcW w:w="1250" w:type="pct"/>
                </w:tcPr>
                <w:p w14:paraId="7D946E05" w14:textId="69F9ACE4" w:rsidR="00E27C88" w:rsidRDefault="00E94B47" w:rsidP="00ED747D">
                  <w:pPr>
                    <w:pStyle w:val="TableBodyText"/>
                  </w:pPr>
                  <w:r>
                    <w:noBreakHyphen/>
                  </w:r>
                  <w:r w:rsidR="00E27C88" w:rsidRPr="007414BE">
                    <w:t>0.01</w:t>
                  </w:r>
                </w:p>
              </w:tc>
              <w:tc>
                <w:tcPr>
                  <w:tcW w:w="1250" w:type="pct"/>
                </w:tcPr>
                <w:p w14:paraId="424DB81E" w14:textId="01D51F7C" w:rsidR="00E27C88" w:rsidRPr="00CA2E41" w:rsidRDefault="00E27C88" w:rsidP="00ED747D">
                  <w:pPr>
                    <w:pStyle w:val="TableBodyText"/>
                    <w:rPr>
                      <w:b/>
                    </w:rPr>
                  </w:pPr>
                  <w:r w:rsidRPr="00CA2E41">
                    <w:rPr>
                      <w:b/>
                    </w:rPr>
                    <w:t xml:space="preserve"> 0.97</w:t>
                  </w:r>
                </w:p>
              </w:tc>
              <w:tc>
                <w:tcPr>
                  <w:tcW w:w="1249" w:type="pct"/>
                </w:tcPr>
                <w:p w14:paraId="3A9D2BF1" w14:textId="65C621F0" w:rsidR="00E27C88" w:rsidRDefault="00E27C88" w:rsidP="00ED747D">
                  <w:pPr>
                    <w:pStyle w:val="TableBodyText"/>
                    <w:ind w:right="28"/>
                  </w:pPr>
                  <w:r w:rsidRPr="005F2279">
                    <w:t xml:space="preserve"> 0.25</w:t>
                  </w:r>
                </w:p>
              </w:tc>
            </w:tr>
            <w:tr w:rsidR="00E27C88" w14:paraId="4DAC8482" w14:textId="77777777" w:rsidTr="0018115A">
              <w:tc>
                <w:tcPr>
                  <w:tcW w:w="1251" w:type="pct"/>
                  <w:tcBorders>
                    <w:bottom w:val="single" w:sz="6" w:space="0" w:color="BFBFBF"/>
                  </w:tcBorders>
                </w:tcPr>
                <w:p w14:paraId="472F94CF" w14:textId="6B3184F2" w:rsidR="00E27C88" w:rsidRPr="00E95C8A" w:rsidRDefault="00E27C88" w:rsidP="00E95C8A">
                  <w:pPr>
                    <w:pStyle w:val="TableBodyText"/>
                    <w:ind w:left="120"/>
                    <w:jc w:val="left"/>
                    <w:rPr>
                      <w:i/>
                    </w:rPr>
                  </w:pPr>
                  <w:proofErr w:type="spellStart"/>
                  <w:r w:rsidRPr="00E95C8A">
                    <w:rPr>
                      <w:i/>
                    </w:rPr>
                    <w:t>mining_emp</w:t>
                  </w:r>
                  <w:proofErr w:type="spellEnd"/>
                </w:p>
              </w:tc>
              <w:tc>
                <w:tcPr>
                  <w:tcW w:w="1250" w:type="pct"/>
                  <w:tcBorders>
                    <w:bottom w:val="single" w:sz="6" w:space="0" w:color="BFBFBF"/>
                  </w:tcBorders>
                </w:tcPr>
                <w:p w14:paraId="076CA0B8" w14:textId="1A7F71ED" w:rsidR="00E27C88" w:rsidRPr="00CA2E41" w:rsidRDefault="00E27C88" w:rsidP="00ED747D">
                  <w:pPr>
                    <w:pStyle w:val="TableBodyText"/>
                    <w:rPr>
                      <w:b/>
                    </w:rPr>
                  </w:pPr>
                  <w:r w:rsidRPr="00CA2E41">
                    <w:rPr>
                      <w:b/>
                    </w:rPr>
                    <w:t xml:space="preserve"> 0.76</w:t>
                  </w:r>
                </w:p>
              </w:tc>
              <w:tc>
                <w:tcPr>
                  <w:tcW w:w="1250" w:type="pct"/>
                  <w:tcBorders>
                    <w:bottom w:val="single" w:sz="6" w:space="0" w:color="BFBFBF"/>
                  </w:tcBorders>
                </w:tcPr>
                <w:p w14:paraId="6D5E6C50" w14:textId="68258813" w:rsidR="00E27C88" w:rsidRDefault="00E27C88" w:rsidP="00ED747D">
                  <w:pPr>
                    <w:pStyle w:val="TableBodyText"/>
                  </w:pPr>
                  <w:r w:rsidRPr="00733F07">
                    <w:t xml:space="preserve"> 0.20</w:t>
                  </w:r>
                </w:p>
              </w:tc>
              <w:tc>
                <w:tcPr>
                  <w:tcW w:w="1249" w:type="pct"/>
                  <w:tcBorders>
                    <w:bottom w:val="single" w:sz="6" w:space="0" w:color="BFBFBF"/>
                  </w:tcBorders>
                </w:tcPr>
                <w:p w14:paraId="5A6E1F1D" w14:textId="6EC1ADB4" w:rsidR="00E27C88" w:rsidRDefault="00E94B47" w:rsidP="00ED747D">
                  <w:pPr>
                    <w:pStyle w:val="TableBodyText"/>
                    <w:ind w:right="28"/>
                  </w:pPr>
                  <w:r>
                    <w:noBreakHyphen/>
                  </w:r>
                  <w:r w:rsidR="00E27C88" w:rsidRPr="005F2279">
                    <w:t>0.62</w:t>
                  </w:r>
                </w:p>
              </w:tc>
            </w:tr>
            <w:tr w:rsidR="00E27C88" w14:paraId="563D328E" w14:textId="77777777" w:rsidTr="0018115A">
              <w:tc>
                <w:tcPr>
                  <w:tcW w:w="1251" w:type="pct"/>
                  <w:tcBorders>
                    <w:top w:val="single" w:sz="6" w:space="0" w:color="BFBFBF"/>
                  </w:tcBorders>
                </w:tcPr>
                <w:p w14:paraId="29FB33EC" w14:textId="5AD9C3A4" w:rsidR="00E27C88" w:rsidRDefault="0023791D" w:rsidP="00ED747D">
                  <w:pPr>
                    <w:pStyle w:val="TableBodyText"/>
                    <w:jc w:val="left"/>
                  </w:pPr>
                  <w:r>
                    <w:t>Cumulative proportion</w:t>
                  </w:r>
                </w:p>
              </w:tc>
              <w:tc>
                <w:tcPr>
                  <w:tcW w:w="1250" w:type="pct"/>
                  <w:tcBorders>
                    <w:top w:val="single" w:sz="6" w:space="0" w:color="BFBFBF"/>
                  </w:tcBorders>
                </w:tcPr>
                <w:p w14:paraId="2503C0D3" w14:textId="264257C2" w:rsidR="00E27C88" w:rsidRPr="00CA2E41" w:rsidRDefault="00E27C88" w:rsidP="00ED747D">
                  <w:pPr>
                    <w:pStyle w:val="TableBodyText"/>
                    <w:rPr>
                      <w:b/>
                    </w:rPr>
                  </w:pPr>
                  <w:r w:rsidRPr="00CA2E41">
                    <w:rPr>
                      <w:b/>
                    </w:rPr>
                    <w:t xml:space="preserve"> 0.39</w:t>
                  </w:r>
                </w:p>
              </w:tc>
              <w:tc>
                <w:tcPr>
                  <w:tcW w:w="1250" w:type="pct"/>
                  <w:tcBorders>
                    <w:top w:val="single" w:sz="6" w:space="0" w:color="BFBFBF"/>
                  </w:tcBorders>
                </w:tcPr>
                <w:p w14:paraId="1C091B32" w14:textId="02E22B4F" w:rsidR="00E27C88" w:rsidRPr="00CA2E41" w:rsidRDefault="00E27C88" w:rsidP="00ED747D">
                  <w:pPr>
                    <w:pStyle w:val="TableBodyText"/>
                    <w:rPr>
                      <w:b/>
                    </w:rPr>
                  </w:pPr>
                  <w:r w:rsidRPr="00CA2E41">
                    <w:rPr>
                      <w:b/>
                    </w:rPr>
                    <w:t xml:space="preserve"> 0.73</w:t>
                  </w:r>
                </w:p>
              </w:tc>
              <w:tc>
                <w:tcPr>
                  <w:tcW w:w="1249" w:type="pct"/>
                  <w:tcBorders>
                    <w:top w:val="single" w:sz="6" w:space="0" w:color="BFBFBF"/>
                  </w:tcBorders>
                </w:tcPr>
                <w:p w14:paraId="24651E04" w14:textId="74900FD2" w:rsidR="00E27C88" w:rsidRDefault="00E27C88" w:rsidP="00ED747D">
                  <w:pPr>
                    <w:pStyle w:val="TableBodyText"/>
                    <w:ind w:right="28"/>
                  </w:pPr>
                  <w:r w:rsidRPr="005F2279">
                    <w:t xml:space="preserve"> 1.00</w:t>
                  </w:r>
                </w:p>
              </w:tc>
            </w:tr>
            <w:tr w:rsidR="00E27C88" w14:paraId="65E2273E" w14:textId="77777777" w:rsidTr="00ED747D">
              <w:tc>
                <w:tcPr>
                  <w:tcW w:w="1251" w:type="pct"/>
                  <w:tcBorders>
                    <w:bottom w:val="single" w:sz="6" w:space="0" w:color="BFBFBF"/>
                  </w:tcBorders>
                  <w:shd w:val="clear" w:color="auto" w:fill="auto"/>
                </w:tcPr>
                <w:p w14:paraId="062536CC" w14:textId="6DFBEBC0" w:rsidR="00E27C88" w:rsidRDefault="00E27C88" w:rsidP="00ED747D">
                  <w:pPr>
                    <w:pStyle w:val="TableBodyText"/>
                    <w:jc w:val="left"/>
                  </w:pPr>
                  <w:r>
                    <w:t>Eigenvalue</w:t>
                  </w:r>
                </w:p>
              </w:tc>
              <w:tc>
                <w:tcPr>
                  <w:tcW w:w="1250" w:type="pct"/>
                  <w:tcBorders>
                    <w:bottom w:val="single" w:sz="6" w:space="0" w:color="BFBFBF"/>
                  </w:tcBorders>
                </w:tcPr>
                <w:p w14:paraId="5CB3E143" w14:textId="5A2D82F8" w:rsidR="00E27C88" w:rsidRPr="00CA2E41" w:rsidRDefault="00E27C88" w:rsidP="00ED747D">
                  <w:pPr>
                    <w:pStyle w:val="TableBodyText"/>
                    <w:rPr>
                      <w:b/>
                    </w:rPr>
                  </w:pPr>
                  <w:r w:rsidRPr="00CA2E41">
                    <w:rPr>
                      <w:b/>
                    </w:rPr>
                    <w:t xml:space="preserve"> 1.16</w:t>
                  </w:r>
                </w:p>
              </w:tc>
              <w:tc>
                <w:tcPr>
                  <w:tcW w:w="1250" w:type="pct"/>
                  <w:tcBorders>
                    <w:bottom w:val="single" w:sz="6" w:space="0" w:color="BFBFBF"/>
                  </w:tcBorders>
                  <w:shd w:val="clear" w:color="auto" w:fill="auto"/>
                </w:tcPr>
                <w:p w14:paraId="7BD5A72B" w14:textId="39A4171E" w:rsidR="00E27C88" w:rsidRPr="00CA2E41" w:rsidRDefault="00E27C88" w:rsidP="00ED747D">
                  <w:pPr>
                    <w:pStyle w:val="TableBodyText"/>
                    <w:rPr>
                      <w:b/>
                    </w:rPr>
                  </w:pPr>
                  <w:r w:rsidRPr="00CA2E41">
                    <w:rPr>
                      <w:b/>
                    </w:rPr>
                    <w:t xml:space="preserve"> 1.01</w:t>
                  </w:r>
                </w:p>
              </w:tc>
              <w:tc>
                <w:tcPr>
                  <w:tcW w:w="1249" w:type="pct"/>
                  <w:tcBorders>
                    <w:bottom w:val="single" w:sz="6" w:space="0" w:color="BFBFBF"/>
                  </w:tcBorders>
                  <w:shd w:val="clear" w:color="auto" w:fill="auto"/>
                </w:tcPr>
                <w:p w14:paraId="4E7B2909" w14:textId="6CAE8AD2" w:rsidR="00E27C88" w:rsidRDefault="00E27C88" w:rsidP="00ED747D">
                  <w:pPr>
                    <w:pStyle w:val="TableBodyText"/>
                    <w:ind w:right="28"/>
                  </w:pPr>
                  <w:r w:rsidRPr="005F2279">
                    <w:t>0.8</w:t>
                  </w:r>
                  <w:r>
                    <w:t>0</w:t>
                  </w:r>
                </w:p>
              </w:tc>
            </w:tr>
          </w:tbl>
          <w:p w14:paraId="300861B9" w14:textId="77777777" w:rsidR="00E95C8A" w:rsidRDefault="00E95C8A" w:rsidP="00ED747D">
            <w:pPr>
              <w:pStyle w:val="Box"/>
            </w:pPr>
          </w:p>
        </w:tc>
      </w:tr>
      <w:tr w:rsidR="00E95C8A" w14:paraId="32073218" w14:textId="77777777" w:rsidTr="00A23812">
        <w:tc>
          <w:tcPr>
            <w:tcW w:w="5000" w:type="pct"/>
            <w:tcBorders>
              <w:top w:val="nil"/>
              <w:left w:val="nil"/>
              <w:bottom w:val="nil"/>
              <w:right w:val="nil"/>
            </w:tcBorders>
            <w:shd w:val="clear" w:color="auto" w:fill="auto"/>
          </w:tcPr>
          <w:p w14:paraId="3FB8DD1B" w14:textId="2614D316" w:rsidR="00E95C8A" w:rsidRDefault="00E27C88" w:rsidP="00ED747D">
            <w:pPr>
              <w:pStyle w:val="Note"/>
              <w:rPr>
                <w:i/>
              </w:rPr>
            </w:pPr>
            <w:r w:rsidRPr="008E77FE">
              <w:rPr>
                <w:rStyle w:val="NoteLabel"/>
              </w:rPr>
              <w:t>a</w:t>
            </w:r>
            <w:r>
              <w:t xml:space="preserve"> Bolding indicates the principal components (PCs) that were retained and the indicators with the highest correlations for these components.</w:t>
            </w:r>
          </w:p>
        </w:tc>
      </w:tr>
      <w:tr w:rsidR="00E95C8A" w14:paraId="4769C22E" w14:textId="77777777" w:rsidTr="00A23812">
        <w:tc>
          <w:tcPr>
            <w:tcW w:w="5000" w:type="pct"/>
            <w:tcBorders>
              <w:top w:val="nil"/>
              <w:left w:val="nil"/>
              <w:bottom w:val="nil"/>
              <w:right w:val="nil"/>
            </w:tcBorders>
            <w:shd w:val="clear" w:color="auto" w:fill="auto"/>
          </w:tcPr>
          <w:p w14:paraId="5919A207" w14:textId="59868904" w:rsidR="00E95C8A" w:rsidRDefault="00E27C88" w:rsidP="00ED747D">
            <w:pPr>
              <w:pStyle w:val="Source"/>
            </w:pPr>
            <w:r>
              <w:rPr>
                <w:i/>
              </w:rPr>
              <w:t>Source</w:t>
            </w:r>
            <w:r w:rsidRPr="00167F06">
              <w:t xml:space="preserve">: </w:t>
            </w:r>
            <w:r>
              <w:t>Productivity Commission estimates.</w:t>
            </w:r>
          </w:p>
        </w:tc>
      </w:tr>
      <w:tr w:rsidR="00E95C8A" w14:paraId="449CE132" w14:textId="77777777" w:rsidTr="00A23812">
        <w:tc>
          <w:tcPr>
            <w:tcW w:w="5000" w:type="pct"/>
            <w:tcBorders>
              <w:top w:val="nil"/>
              <w:left w:val="nil"/>
              <w:bottom w:val="single" w:sz="6" w:space="0" w:color="78A22F"/>
              <w:right w:val="nil"/>
            </w:tcBorders>
            <w:shd w:val="clear" w:color="auto" w:fill="auto"/>
          </w:tcPr>
          <w:p w14:paraId="3F4B3E2C" w14:textId="77777777" w:rsidR="00E95C8A" w:rsidRDefault="00E95C8A" w:rsidP="00ED747D">
            <w:pPr>
              <w:pStyle w:val="Box"/>
              <w:spacing w:before="0" w:line="120" w:lineRule="exact"/>
            </w:pPr>
          </w:p>
        </w:tc>
      </w:tr>
      <w:tr w:rsidR="00E95C8A" w:rsidRPr="000863A5" w14:paraId="0665FD91" w14:textId="77777777" w:rsidTr="00A23812">
        <w:tc>
          <w:tcPr>
            <w:tcW w:w="5000" w:type="pct"/>
            <w:tcBorders>
              <w:top w:val="single" w:sz="6" w:space="0" w:color="78A22F"/>
              <w:left w:val="nil"/>
              <w:bottom w:val="nil"/>
              <w:right w:val="nil"/>
            </w:tcBorders>
          </w:tcPr>
          <w:p w14:paraId="51781261" w14:textId="16C9F15D" w:rsidR="00E95C8A" w:rsidRPr="00626D32" w:rsidRDefault="00E95C8A" w:rsidP="00ED747D">
            <w:pPr>
              <w:pStyle w:val="BoxSpaceBelow"/>
            </w:pPr>
          </w:p>
        </w:tc>
      </w:tr>
    </w:tbl>
    <w:p w14:paraId="29AB7795" w14:textId="5A7BB8B1" w:rsidR="009D5319" w:rsidRDefault="009D5319" w:rsidP="00ED747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D5319" w14:paraId="43F6ECCB" w14:textId="77777777" w:rsidTr="00A23812">
        <w:trPr>
          <w:tblHeader/>
        </w:trPr>
        <w:tc>
          <w:tcPr>
            <w:tcW w:w="5000" w:type="pct"/>
            <w:tcBorders>
              <w:top w:val="single" w:sz="6" w:space="0" w:color="78A22F"/>
              <w:left w:val="nil"/>
              <w:bottom w:val="nil"/>
              <w:right w:val="nil"/>
            </w:tcBorders>
            <w:shd w:val="clear" w:color="auto" w:fill="auto"/>
          </w:tcPr>
          <w:p w14:paraId="42153DF6" w14:textId="5118611C" w:rsidR="009D5319" w:rsidRPr="00784A05" w:rsidRDefault="009D5319" w:rsidP="009D5319">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D2773">
              <w:rPr>
                <w:b w:val="0"/>
                <w:noProof/>
              </w:rPr>
              <w:t>14</w:t>
            </w:r>
            <w:r>
              <w:rPr>
                <w:b w:val="0"/>
              </w:rPr>
              <w:fldChar w:fldCharType="end"/>
            </w:r>
            <w:r>
              <w:tab/>
              <w:t xml:space="preserve">Physical capital </w:t>
            </w:r>
            <w:proofErr w:type="spellStart"/>
            <w:r>
              <w:t>PCA</w:t>
            </w:r>
            <w:proofErr w:type="spellEnd"/>
            <w:r>
              <w:t xml:space="preserve"> results</w:t>
            </w:r>
            <w:r w:rsidRPr="00F20EF5">
              <w:rPr>
                <w:rStyle w:val="NoteLabel"/>
                <w:b/>
                <w:position w:val="10"/>
              </w:rPr>
              <w:t>a</w:t>
            </w:r>
          </w:p>
        </w:tc>
      </w:tr>
      <w:tr w:rsidR="009D5319" w14:paraId="10798A33"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E3363C" w14:paraId="5FF8C43E" w14:textId="77777777" w:rsidTr="00ED747D">
              <w:trPr>
                <w:tblHeader/>
              </w:trPr>
              <w:tc>
                <w:tcPr>
                  <w:tcW w:w="1251" w:type="pct"/>
                  <w:tcBorders>
                    <w:top w:val="single" w:sz="6" w:space="0" w:color="BFBFBF"/>
                    <w:bottom w:val="single" w:sz="6" w:space="0" w:color="BFBFBF"/>
                  </w:tcBorders>
                  <w:shd w:val="clear" w:color="auto" w:fill="auto"/>
                  <w:tcMar>
                    <w:top w:w="28" w:type="dxa"/>
                  </w:tcMar>
                </w:tcPr>
                <w:p w14:paraId="72E70D32" w14:textId="77777777" w:rsidR="00E3363C" w:rsidRDefault="00E3363C" w:rsidP="00ED747D">
                  <w:pPr>
                    <w:pStyle w:val="TableColumnHeading"/>
                    <w:jc w:val="left"/>
                  </w:pPr>
                </w:p>
              </w:tc>
              <w:tc>
                <w:tcPr>
                  <w:tcW w:w="1250" w:type="pct"/>
                  <w:tcBorders>
                    <w:top w:val="single" w:sz="6" w:space="0" w:color="BFBFBF"/>
                    <w:bottom w:val="single" w:sz="6" w:space="0" w:color="BFBFBF"/>
                  </w:tcBorders>
                </w:tcPr>
                <w:p w14:paraId="24F2351F" w14:textId="391E304D" w:rsidR="00E3363C" w:rsidRDefault="00E3363C" w:rsidP="00ED747D">
                  <w:pPr>
                    <w:pStyle w:val="TableColumnHeading"/>
                  </w:pPr>
                  <w:proofErr w:type="spellStart"/>
                  <w:r w:rsidRPr="00BA1001">
                    <w:rPr>
                      <w:b/>
                    </w:rPr>
                    <w:t>PC1</w:t>
                  </w:r>
                  <w:proofErr w:type="spellEnd"/>
                </w:p>
              </w:tc>
              <w:tc>
                <w:tcPr>
                  <w:tcW w:w="1250" w:type="pct"/>
                  <w:tcBorders>
                    <w:top w:val="single" w:sz="6" w:space="0" w:color="BFBFBF"/>
                    <w:bottom w:val="single" w:sz="6" w:space="0" w:color="BFBFBF"/>
                  </w:tcBorders>
                  <w:shd w:val="clear" w:color="auto" w:fill="auto"/>
                  <w:tcMar>
                    <w:top w:w="28" w:type="dxa"/>
                  </w:tcMar>
                </w:tcPr>
                <w:p w14:paraId="7AECA6C6" w14:textId="562FBE15" w:rsidR="00E3363C" w:rsidRDefault="00E3363C" w:rsidP="00ED747D">
                  <w:pPr>
                    <w:pStyle w:val="TableColumnHeading"/>
                  </w:pPr>
                  <w:proofErr w:type="spellStart"/>
                  <w:r w:rsidRPr="00BA1001">
                    <w:rPr>
                      <w:b/>
                    </w:rPr>
                    <w:t>PC2</w:t>
                  </w:r>
                  <w:proofErr w:type="spellEnd"/>
                </w:p>
              </w:tc>
              <w:tc>
                <w:tcPr>
                  <w:tcW w:w="1249" w:type="pct"/>
                  <w:tcBorders>
                    <w:top w:val="single" w:sz="6" w:space="0" w:color="BFBFBF"/>
                    <w:bottom w:val="single" w:sz="6" w:space="0" w:color="BFBFBF"/>
                  </w:tcBorders>
                  <w:shd w:val="clear" w:color="auto" w:fill="auto"/>
                  <w:tcMar>
                    <w:top w:w="28" w:type="dxa"/>
                  </w:tcMar>
                </w:tcPr>
                <w:p w14:paraId="63C6E2D4" w14:textId="009C09BE" w:rsidR="00E3363C" w:rsidRDefault="00E3363C" w:rsidP="00ED747D">
                  <w:pPr>
                    <w:pStyle w:val="TableColumnHeading"/>
                    <w:ind w:right="28"/>
                  </w:pPr>
                  <w:proofErr w:type="spellStart"/>
                  <w:r>
                    <w:t>PC3</w:t>
                  </w:r>
                  <w:proofErr w:type="spellEnd"/>
                </w:p>
              </w:tc>
            </w:tr>
            <w:tr w:rsidR="009D5319" w14:paraId="1AF1A588" w14:textId="77777777" w:rsidTr="00ED747D">
              <w:tc>
                <w:tcPr>
                  <w:tcW w:w="1251" w:type="pct"/>
                  <w:tcBorders>
                    <w:top w:val="single" w:sz="6" w:space="0" w:color="BFBFBF"/>
                  </w:tcBorders>
                </w:tcPr>
                <w:p w14:paraId="658D6792" w14:textId="5DAD9FD9" w:rsidR="009D5319" w:rsidRDefault="00E3363C" w:rsidP="00ED747D">
                  <w:pPr>
                    <w:pStyle w:val="TableUnitsRow"/>
                    <w:jc w:val="left"/>
                  </w:pPr>
                  <w:r>
                    <w:t>Correlations</w:t>
                  </w:r>
                </w:p>
              </w:tc>
              <w:tc>
                <w:tcPr>
                  <w:tcW w:w="1250" w:type="pct"/>
                  <w:tcBorders>
                    <w:top w:val="single" w:sz="6" w:space="0" w:color="BFBFBF"/>
                  </w:tcBorders>
                </w:tcPr>
                <w:p w14:paraId="7CCB3F33" w14:textId="77777777" w:rsidR="009D5319" w:rsidRDefault="009D5319" w:rsidP="00ED747D">
                  <w:pPr>
                    <w:pStyle w:val="TableUnitsRow"/>
                  </w:pPr>
                </w:p>
              </w:tc>
              <w:tc>
                <w:tcPr>
                  <w:tcW w:w="1250" w:type="pct"/>
                  <w:tcBorders>
                    <w:top w:val="single" w:sz="6" w:space="0" w:color="BFBFBF"/>
                  </w:tcBorders>
                </w:tcPr>
                <w:p w14:paraId="1C448EB3" w14:textId="77777777" w:rsidR="009D5319" w:rsidRDefault="009D5319" w:rsidP="00ED747D">
                  <w:pPr>
                    <w:pStyle w:val="TableUnitsRow"/>
                  </w:pPr>
                </w:p>
              </w:tc>
              <w:tc>
                <w:tcPr>
                  <w:tcW w:w="1249" w:type="pct"/>
                  <w:tcBorders>
                    <w:top w:val="single" w:sz="6" w:space="0" w:color="BFBFBF"/>
                  </w:tcBorders>
                </w:tcPr>
                <w:p w14:paraId="0D233695" w14:textId="77777777" w:rsidR="009D5319" w:rsidRDefault="009D5319" w:rsidP="00ED747D">
                  <w:pPr>
                    <w:pStyle w:val="TableUnitsRow"/>
                    <w:ind w:right="28"/>
                  </w:pPr>
                </w:p>
              </w:tc>
            </w:tr>
            <w:tr w:rsidR="0018115A" w14:paraId="66A3D698" w14:textId="77777777" w:rsidTr="00ED747D">
              <w:tc>
                <w:tcPr>
                  <w:tcW w:w="1251" w:type="pct"/>
                  <w:vAlign w:val="center"/>
                </w:tcPr>
                <w:p w14:paraId="43681D1C" w14:textId="363FBC1E" w:rsidR="0018115A" w:rsidRPr="0018115A" w:rsidRDefault="0018115A" w:rsidP="0018115A">
                  <w:pPr>
                    <w:pStyle w:val="TableBodyText"/>
                    <w:ind w:left="120"/>
                    <w:jc w:val="left"/>
                    <w:rPr>
                      <w:i/>
                    </w:rPr>
                  </w:pPr>
                  <w:r w:rsidRPr="00D06BCD">
                    <w:rPr>
                      <w:i/>
                    </w:rPr>
                    <w:t>broadband</w:t>
                  </w:r>
                </w:p>
              </w:tc>
              <w:tc>
                <w:tcPr>
                  <w:tcW w:w="1250" w:type="pct"/>
                </w:tcPr>
                <w:p w14:paraId="0C3198B0" w14:textId="1D04D5B4" w:rsidR="0018115A" w:rsidRPr="00C318D9" w:rsidRDefault="0018115A" w:rsidP="00ED747D">
                  <w:pPr>
                    <w:pStyle w:val="TableBodyText"/>
                    <w:rPr>
                      <w:b/>
                    </w:rPr>
                  </w:pPr>
                  <w:r w:rsidRPr="00C318D9">
                    <w:rPr>
                      <w:b/>
                    </w:rPr>
                    <w:t xml:space="preserve"> 0.91</w:t>
                  </w:r>
                </w:p>
              </w:tc>
              <w:tc>
                <w:tcPr>
                  <w:tcW w:w="1250" w:type="pct"/>
                </w:tcPr>
                <w:p w14:paraId="65BB3F6C" w14:textId="30D2F8B1" w:rsidR="0018115A" w:rsidRDefault="00E94B47" w:rsidP="00ED747D">
                  <w:pPr>
                    <w:pStyle w:val="TableBodyText"/>
                  </w:pPr>
                  <w:r>
                    <w:noBreakHyphen/>
                  </w:r>
                  <w:r w:rsidR="0018115A" w:rsidRPr="00D66489">
                    <w:t>0.01</w:t>
                  </w:r>
                </w:p>
              </w:tc>
              <w:tc>
                <w:tcPr>
                  <w:tcW w:w="1249" w:type="pct"/>
                </w:tcPr>
                <w:p w14:paraId="5B7D07DF" w14:textId="209604B8" w:rsidR="0018115A" w:rsidRDefault="0018115A" w:rsidP="00ED747D">
                  <w:pPr>
                    <w:pStyle w:val="TableBodyText"/>
                    <w:ind w:right="28"/>
                  </w:pPr>
                  <w:r w:rsidRPr="00834EE6">
                    <w:t>0.41</w:t>
                  </w:r>
                </w:p>
              </w:tc>
            </w:tr>
            <w:tr w:rsidR="0018115A" w14:paraId="74100CCF" w14:textId="77777777" w:rsidTr="00ED747D">
              <w:tc>
                <w:tcPr>
                  <w:tcW w:w="1251" w:type="pct"/>
                  <w:vAlign w:val="center"/>
                </w:tcPr>
                <w:p w14:paraId="2602548E" w14:textId="49F39488" w:rsidR="0018115A" w:rsidRPr="0018115A" w:rsidRDefault="0018115A" w:rsidP="0018115A">
                  <w:pPr>
                    <w:pStyle w:val="TableBodyText"/>
                    <w:ind w:left="120"/>
                    <w:jc w:val="left"/>
                    <w:rPr>
                      <w:i/>
                    </w:rPr>
                  </w:pPr>
                  <w:r w:rsidRPr="00D06BCD">
                    <w:rPr>
                      <w:i/>
                    </w:rPr>
                    <w:t>remoteness</w:t>
                  </w:r>
                </w:p>
              </w:tc>
              <w:tc>
                <w:tcPr>
                  <w:tcW w:w="1250" w:type="pct"/>
                </w:tcPr>
                <w:p w14:paraId="42728727" w14:textId="597AF5DE" w:rsidR="0018115A" w:rsidRPr="00C318D9" w:rsidRDefault="00E94B47" w:rsidP="00ED747D">
                  <w:pPr>
                    <w:pStyle w:val="TableBodyText"/>
                    <w:rPr>
                      <w:b/>
                    </w:rPr>
                  </w:pPr>
                  <w:r>
                    <w:rPr>
                      <w:b/>
                    </w:rPr>
                    <w:noBreakHyphen/>
                  </w:r>
                  <w:r w:rsidR="0018115A" w:rsidRPr="00C318D9">
                    <w:rPr>
                      <w:b/>
                    </w:rPr>
                    <w:t>0.91</w:t>
                  </w:r>
                </w:p>
              </w:tc>
              <w:tc>
                <w:tcPr>
                  <w:tcW w:w="1250" w:type="pct"/>
                </w:tcPr>
                <w:p w14:paraId="3EB7CC84" w14:textId="30BDC49E" w:rsidR="0018115A" w:rsidRDefault="0018115A" w:rsidP="00ED747D">
                  <w:pPr>
                    <w:pStyle w:val="TableBodyText"/>
                  </w:pPr>
                  <w:r w:rsidRPr="00D66489">
                    <w:t xml:space="preserve"> 0.00</w:t>
                  </w:r>
                </w:p>
              </w:tc>
              <w:tc>
                <w:tcPr>
                  <w:tcW w:w="1249" w:type="pct"/>
                </w:tcPr>
                <w:p w14:paraId="2C2DCCA1" w14:textId="0A5DC24C" w:rsidR="0018115A" w:rsidRDefault="0018115A" w:rsidP="00ED747D">
                  <w:pPr>
                    <w:pStyle w:val="TableBodyText"/>
                    <w:ind w:right="28"/>
                  </w:pPr>
                  <w:r w:rsidRPr="00834EE6">
                    <w:t>0.41</w:t>
                  </w:r>
                </w:p>
              </w:tc>
            </w:tr>
            <w:tr w:rsidR="0018115A" w14:paraId="78AA5A85" w14:textId="77777777" w:rsidTr="0018115A">
              <w:tc>
                <w:tcPr>
                  <w:tcW w:w="1251" w:type="pct"/>
                  <w:tcBorders>
                    <w:bottom w:val="single" w:sz="6" w:space="0" w:color="BFBFBF"/>
                  </w:tcBorders>
                  <w:vAlign w:val="center"/>
                </w:tcPr>
                <w:p w14:paraId="6D521FC0" w14:textId="15737BB6" w:rsidR="0018115A" w:rsidRPr="0018115A" w:rsidRDefault="0018115A" w:rsidP="0018115A">
                  <w:pPr>
                    <w:pStyle w:val="TableBodyText"/>
                    <w:ind w:left="120"/>
                    <w:jc w:val="left"/>
                    <w:rPr>
                      <w:i/>
                    </w:rPr>
                  </w:pPr>
                  <w:r w:rsidRPr="00D06BCD">
                    <w:rPr>
                      <w:i/>
                    </w:rPr>
                    <w:t>buildings</w:t>
                  </w:r>
                </w:p>
              </w:tc>
              <w:tc>
                <w:tcPr>
                  <w:tcW w:w="1250" w:type="pct"/>
                  <w:tcBorders>
                    <w:bottom w:val="single" w:sz="6" w:space="0" w:color="BFBFBF"/>
                  </w:tcBorders>
                </w:tcPr>
                <w:p w14:paraId="02990D14" w14:textId="24C965AE" w:rsidR="0018115A" w:rsidRDefault="0018115A" w:rsidP="00ED747D">
                  <w:pPr>
                    <w:pStyle w:val="TableBodyText"/>
                  </w:pPr>
                  <w:r w:rsidRPr="002B6C17">
                    <w:t xml:space="preserve"> 0.01</w:t>
                  </w:r>
                </w:p>
              </w:tc>
              <w:tc>
                <w:tcPr>
                  <w:tcW w:w="1250" w:type="pct"/>
                  <w:tcBorders>
                    <w:bottom w:val="single" w:sz="6" w:space="0" w:color="BFBFBF"/>
                  </w:tcBorders>
                </w:tcPr>
                <w:p w14:paraId="44976333" w14:textId="7B2CA7FA" w:rsidR="0018115A" w:rsidRPr="00C318D9" w:rsidRDefault="0018115A" w:rsidP="00ED747D">
                  <w:pPr>
                    <w:pStyle w:val="TableBodyText"/>
                    <w:rPr>
                      <w:b/>
                    </w:rPr>
                  </w:pPr>
                  <w:r w:rsidRPr="00C318D9">
                    <w:rPr>
                      <w:b/>
                    </w:rPr>
                    <w:t xml:space="preserve"> 1.00</w:t>
                  </w:r>
                </w:p>
              </w:tc>
              <w:tc>
                <w:tcPr>
                  <w:tcW w:w="1249" w:type="pct"/>
                  <w:tcBorders>
                    <w:bottom w:val="single" w:sz="6" w:space="0" w:color="BFBFBF"/>
                  </w:tcBorders>
                </w:tcPr>
                <w:p w14:paraId="7EC57870" w14:textId="1220F569" w:rsidR="0018115A" w:rsidRDefault="0018115A" w:rsidP="00ED747D">
                  <w:pPr>
                    <w:pStyle w:val="TableBodyText"/>
                    <w:ind w:right="28"/>
                  </w:pPr>
                  <w:r w:rsidRPr="00834EE6">
                    <w:t>0.00</w:t>
                  </w:r>
                </w:p>
              </w:tc>
            </w:tr>
            <w:tr w:rsidR="0018115A" w14:paraId="3EB4F3BE" w14:textId="77777777" w:rsidTr="0018115A">
              <w:tc>
                <w:tcPr>
                  <w:tcW w:w="1251" w:type="pct"/>
                  <w:tcBorders>
                    <w:top w:val="single" w:sz="6" w:space="0" w:color="BFBFBF"/>
                  </w:tcBorders>
                </w:tcPr>
                <w:p w14:paraId="52B9CEE4" w14:textId="3ADDA4E6" w:rsidR="0018115A" w:rsidRDefault="0023791D" w:rsidP="00ED747D">
                  <w:pPr>
                    <w:pStyle w:val="TableBodyText"/>
                    <w:jc w:val="left"/>
                  </w:pPr>
                  <w:r>
                    <w:t>Cumulative proportion</w:t>
                  </w:r>
                </w:p>
              </w:tc>
              <w:tc>
                <w:tcPr>
                  <w:tcW w:w="1250" w:type="pct"/>
                  <w:tcBorders>
                    <w:top w:val="single" w:sz="6" w:space="0" w:color="BFBFBF"/>
                  </w:tcBorders>
                </w:tcPr>
                <w:p w14:paraId="3D42F066" w14:textId="5D4E86F8" w:rsidR="0018115A" w:rsidRPr="00C318D9" w:rsidRDefault="0018115A" w:rsidP="00ED747D">
                  <w:pPr>
                    <w:pStyle w:val="TableBodyText"/>
                    <w:rPr>
                      <w:b/>
                    </w:rPr>
                  </w:pPr>
                  <w:r w:rsidRPr="00C318D9">
                    <w:rPr>
                      <w:b/>
                    </w:rPr>
                    <w:t xml:space="preserve"> 0.55</w:t>
                  </w:r>
                </w:p>
              </w:tc>
              <w:tc>
                <w:tcPr>
                  <w:tcW w:w="1250" w:type="pct"/>
                  <w:tcBorders>
                    <w:top w:val="single" w:sz="6" w:space="0" w:color="BFBFBF"/>
                  </w:tcBorders>
                </w:tcPr>
                <w:p w14:paraId="4C0D3E4A" w14:textId="7B352611" w:rsidR="0018115A" w:rsidRPr="00C318D9" w:rsidRDefault="0018115A" w:rsidP="00ED747D">
                  <w:pPr>
                    <w:pStyle w:val="TableBodyText"/>
                    <w:rPr>
                      <w:b/>
                    </w:rPr>
                  </w:pPr>
                  <w:r w:rsidRPr="00C318D9">
                    <w:rPr>
                      <w:b/>
                    </w:rPr>
                    <w:t xml:space="preserve"> 0.89</w:t>
                  </w:r>
                </w:p>
              </w:tc>
              <w:tc>
                <w:tcPr>
                  <w:tcW w:w="1249" w:type="pct"/>
                  <w:tcBorders>
                    <w:top w:val="single" w:sz="6" w:space="0" w:color="BFBFBF"/>
                  </w:tcBorders>
                </w:tcPr>
                <w:p w14:paraId="331B706E" w14:textId="241F373A" w:rsidR="0018115A" w:rsidRDefault="0018115A" w:rsidP="00ED747D">
                  <w:pPr>
                    <w:pStyle w:val="TableBodyText"/>
                    <w:ind w:right="28"/>
                  </w:pPr>
                  <w:r w:rsidRPr="00834EE6">
                    <w:t>1.00</w:t>
                  </w:r>
                </w:p>
              </w:tc>
            </w:tr>
            <w:tr w:rsidR="0018115A" w14:paraId="43C6FF68" w14:textId="77777777" w:rsidTr="00ED747D">
              <w:tc>
                <w:tcPr>
                  <w:tcW w:w="1251" w:type="pct"/>
                  <w:tcBorders>
                    <w:bottom w:val="single" w:sz="6" w:space="0" w:color="BFBFBF"/>
                  </w:tcBorders>
                  <w:shd w:val="clear" w:color="auto" w:fill="auto"/>
                </w:tcPr>
                <w:p w14:paraId="366C643B" w14:textId="1A46AB1D" w:rsidR="0018115A" w:rsidRDefault="0018115A" w:rsidP="00ED747D">
                  <w:pPr>
                    <w:pStyle w:val="TableBodyText"/>
                    <w:jc w:val="left"/>
                  </w:pPr>
                  <w:r>
                    <w:t>Eigenvalue</w:t>
                  </w:r>
                </w:p>
              </w:tc>
              <w:tc>
                <w:tcPr>
                  <w:tcW w:w="1250" w:type="pct"/>
                  <w:tcBorders>
                    <w:bottom w:val="single" w:sz="6" w:space="0" w:color="BFBFBF"/>
                  </w:tcBorders>
                </w:tcPr>
                <w:p w14:paraId="774DEB32" w14:textId="289CD23B" w:rsidR="0018115A" w:rsidRPr="00C318D9" w:rsidRDefault="0018115A" w:rsidP="00ED747D">
                  <w:pPr>
                    <w:pStyle w:val="TableBodyText"/>
                    <w:rPr>
                      <w:b/>
                    </w:rPr>
                  </w:pPr>
                  <w:r w:rsidRPr="00C318D9">
                    <w:rPr>
                      <w:b/>
                    </w:rPr>
                    <w:t xml:space="preserve"> 1.66</w:t>
                  </w:r>
                </w:p>
              </w:tc>
              <w:tc>
                <w:tcPr>
                  <w:tcW w:w="1250" w:type="pct"/>
                  <w:tcBorders>
                    <w:bottom w:val="single" w:sz="6" w:space="0" w:color="BFBFBF"/>
                  </w:tcBorders>
                  <w:shd w:val="clear" w:color="auto" w:fill="auto"/>
                </w:tcPr>
                <w:p w14:paraId="0344CD1C" w14:textId="41024AF1" w:rsidR="0018115A" w:rsidRPr="00C318D9" w:rsidRDefault="0018115A" w:rsidP="00ED747D">
                  <w:pPr>
                    <w:pStyle w:val="TableBodyText"/>
                    <w:rPr>
                      <w:b/>
                    </w:rPr>
                  </w:pPr>
                  <w:r w:rsidRPr="00C318D9">
                    <w:rPr>
                      <w:b/>
                    </w:rPr>
                    <w:t xml:space="preserve"> 1.00</w:t>
                  </w:r>
                </w:p>
              </w:tc>
              <w:tc>
                <w:tcPr>
                  <w:tcW w:w="1249" w:type="pct"/>
                  <w:tcBorders>
                    <w:bottom w:val="single" w:sz="6" w:space="0" w:color="BFBFBF"/>
                  </w:tcBorders>
                  <w:shd w:val="clear" w:color="auto" w:fill="auto"/>
                </w:tcPr>
                <w:p w14:paraId="017D6CE3" w14:textId="5532D5F3" w:rsidR="0018115A" w:rsidRDefault="0018115A" w:rsidP="00ED747D">
                  <w:pPr>
                    <w:pStyle w:val="TableBodyText"/>
                    <w:ind w:right="28"/>
                  </w:pPr>
                  <w:r w:rsidRPr="00834EE6">
                    <w:t>0.34</w:t>
                  </w:r>
                </w:p>
              </w:tc>
            </w:tr>
          </w:tbl>
          <w:p w14:paraId="4441196F" w14:textId="77777777" w:rsidR="009D5319" w:rsidRDefault="009D5319" w:rsidP="00ED747D">
            <w:pPr>
              <w:pStyle w:val="Box"/>
            </w:pPr>
          </w:p>
        </w:tc>
      </w:tr>
      <w:tr w:rsidR="009D5319" w14:paraId="16351106" w14:textId="77777777" w:rsidTr="00A23812">
        <w:tc>
          <w:tcPr>
            <w:tcW w:w="5000" w:type="pct"/>
            <w:tcBorders>
              <w:top w:val="nil"/>
              <w:left w:val="nil"/>
              <w:bottom w:val="nil"/>
              <w:right w:val="nil"/>
            </w:tcBorders>
            <w:shd w:val="clear" w:color="auto" w:fill="auto"/>
          </w:tcPr>
          <w:p w14:paraId="21B775F6" w14:textId="5A553B94" w:rsidR="009D5319" w:rsidRDefault="009D5319" w:rsidP="00ED747D">
            <w:pPr>
              <w:pStyle w:val="Note"/>
              <w:rPr>
                <w:i/>
              </w:rPr>
            </w:pPr>
            <w:r w:rsidRPr="008E77FE">
              <w:rPr>
                <w:rStyle w:val="NoteLabel"/>
              </w:rPr>
              <w:t>a</w:t>
            </w:r>
            <w:r>
              <w:t xml:space="preserve"> Bolding indicates the principal components (PCs) that were retained and the indicators with the highest correlations for these components.</w:t>
            </w:r>
          </w:p>
        </w:tc>
      </w:tr>
      <w:tr w:rsidR="009D5319" w14:paraId="3ECD7AAC" w14:textId="77777777" w:rsidTr="00A23812">
        <w:tc>
          <w:tcPr>
            <w:tcW w:w="5000" w:type="pct"/>
            <w:tcBorders>
              <w:top w:val="nil"/>
              <w:left w:val="nil"/>
              <w:bottom w:val="nil"/>
              <w:right w:val="nil"/>
            </w:tcBorders>
            <w:shd w:val="clear" w:color="auto" w:fill="auto"/>
          </w:tcPr>
          <w:p w14:paraId="0CDABE91" w14:textId="65B18842" w:rsidR="009D5319" w:rsidRDefault="009D5319" w:rsidP="00ED747D">
            <w:pPr>
              <w:pStyle w:val="Source"/>
            </w:pPr>
            <w:r>
              <w:rPr>
                <w:i/>
              </w:rPr>
              <w:t>Source</w:t>
            </w:r>
            <w:r w:rsidRPr="00167F06">
              <w:t xml:space="preserve">: </w:t>
            </w:r>
            <w:r>
              <w:t>Productivity Commission estimates.</w:t>
            </w:r>
          </w:p>
        </w:tc>
      </w:tr>
      <w:tr w:rsidR="009D5319" w14:paraId="39EC86FC" w14:textId="77777777" w:rsidTr="00A23812">
        <w:tc>
          <w:tcPr>
            <w:tcW w:w="5000" w:type="pct"/>
            <w:tcBorders>
              <w:top w:val="nil"/>
              <w:left w:val="nil"/>
              <w:bottom w:val="single" w:sz="6" w:space="0" w:color="78A22F"/>
              <w:right w:val="nil"/>
            </w:tcBorders>
            <w:shd w:val="clear" w:color="auto" w:fill="auto"/>
          </w:tcPr>
          <w:p w14:paraId="6BE7E296" w14:textId="77777777" w:rsidR="009D5319" w:rsidRDefault="009D5319" w:rsidP="00ED747D">
            <w:pPr>
              <w:pStyle w:val="Box"/>
              <w:spacing w:before="0" w:line="120" w:lineRule="exact"/>
            </w:pPr>
          </w:p>
        </w:tc>
      </w:tr>
      <w:tr w:rsidR="009D5319" w:rsidRPr="000863A5" w14:paraId="10D504A5" w14:textId="77777777" w:rsidTr="00A23812">
        <w:tc>
          <w:tcPr>
            <w:tcW w:w="5000" w:type="pct"/>
            <w:tcBorders>
              <w:top w:val="single" w:sz="6" w:space="0" w:color="78A22F"/>
              <w:left w:val="nil"/>
              <w:bottom w:val="nil"/>
              <w:right w:val="nil"/>
            </w:tcBorders>
          </w:tcPr>
          <w:p w14:paraId="42033A01" w14:textId="656B991F" w:rsidR="009D5319" w:rsidRPr="00626D32" w:rsidRDefault="009D5319" w:rsidP="00ED747D">
            <w:pPr>
              <w:pStyle w:val="BoxSpaceBelow"/>
            </w:pPr>
          </w:p>
        </w:tc>
      </w:tr>
    </w:tbl>
    <w:p w14:paraId="60F70BAE" w14:textId="56FABB7B" w:rsidR="00CF0702" w:rsidRDefault="00F72A22" w:rsidP="0068737A">
      <w:pPr>
        <w:pStyle w:val="Heading3"/>
      </w:pPr>
      <w:r>
        <w:t>Creation of</w:t>
      </w:r>
      <w:r w:rsidR="009C6079">
        <w:t xml:space="preserve"> a single metric</w:t>
      </w:r>
    </w:p>
    <w:p w14:paraId="4286243C" w14:textId="54A53F3C" w:rsidR="00B86CF6" w:rsidRDefault="00C66AA1" w:rsidP="00C66AA1">
      <w:pPr>
        <w:pStyle w:val="BodyText"/>
      </w:pPr>
      <w:r>
        <w:t>As described in section</w:t>
      </w:r>
      <w:r w:rsidR="008B66ED">
        <w:t> </w:t>
      </w:r>
      <w:r>
        <w:t xml:space="preserve">1, each retained principal component and </w:t>
      </w:r>
      <w:r w:rsidR="00601075">
        <w:t xml:space="preserve">the </w:t>
      </w:r>
      <w:r>
        <w:t xml:space="preserve">standardised measures of social capital and industry diversity were combined </w:t>
      </w:r>
      <w:r w:rsidR="00C773A1">
        <w:t xml:space="preserve">using a weighted sum </w:t>
      </w:r>
      <w:r>
        <w:t>to form the index of adaptive capacity</w:t>
      </w:r>
      <w:r w:rsidR="007F13BD">
        <w:t>.</w:t>
      </w:r>
      <w:r w:rsidR="00D12543">
        <w:t xml:space="preserve"> </w:t>
      </w:r>
      <w:r w:rsidR="007F13BD">
        <w:t>T</w:t>
      </w:r>
      <w:r w:rsidR="00160735">
        <w:t xml:space="preserve">he actual </w:t>
      </w:r>
      <w:r w:rsidR="00D12543">
        <w:t>weight</w:t>
      </w:r>
      <w:r w:rsidR="00FD53EA">
        <w:t>s</w:t>
      </w:r>
      <w:r>
        <w:t xml:space="preserve"> </w:t>
      </w:r>
      <w:r w:rsidR="007F13BD">
        <w:t xml:space="preserve">are </w:t>
      </w:r>
      <w:r w:rsidR="00160735">
        <w:t>presented in table</w:t>
      </w:r>
      <w:r w:rsidR="008B66ED">
        <w:t> </w:t>
      </w:r>
      <w:r w:rsidR="00160735">
        <w:t>15</w:t>
      </w:r>
      <w:r>
        <w:t xml:space="preserve">. </w:t>
      </w:r>
      <w:r w:rsidR="006761E5">
        <w:t>T</w:t>
      </w:r>
      <w:r w:rsidR="006244F3">
        <w:t>he weight of each retained principal component w</w:t>
      </w:r>
      <w:r w:rsidR="00E655C7">
        <w:t>ithin each capital domain</w:t>
      </w:r>
      <w:r w:rsidR="006244F3">
        <w:t xml:space="preserve"> was determined </w:t>
      </w:r>
      <w:r w:rsidR="00886CB5">
        <w:t xml:space="preserve">using the proportion of variance explained by the principal component in the </w:t>
      </w:r>
      <w:proofErr w:type="spellStart"/>
      <w:r w:rsidR="00886CB5">
        <w:t>PCA</w:t>
      </w:r>
      <w:proofErr w:type="spellEnd"/>
      <w:r w:rsidR="00886CB5">
        <w:t>. For example, the two retained human capital components accounted for 71 per cent of the total variation, with the first component accounting for 52 per cent</w:t>
      </w:r>
      <w:r w:rsidR="006761E5">
        <w:t xml:space="preserve"> (table</w:t>
      </w:r>
      <w:r w:rsidR="008B66ED">
        <w:t> </w:t>
      </w:r>
      <w:r w:rsidR="006761E5">
        <w:t>11)</w:t>
      </w:r>
      <w:r w:rsidR="000210DD">
        <w:t>. The</w:t>
      </w:r>
      <w:r w:rsidR="006761E5">
        <w:t xml:space="preserve">refore, the weight given to </w:t>
      </w:r>
      <w:r w:rsidR="001322AA">
        <w:t>this</w:t>
      </w:r>
      <w:r w:rsidR="006761E5">
        <w:t xml:space="preserve"> first principal component was </w:t>
      </w:r>
      <m:oMath>
        <m:r>
          <w:rPr>
            <w:rFonts w:ascii="Cambria Math" w:hAnsi="Cambria Math"/>
          </w:rPr>
          <m:t>0.52/0.71=0.73</m:t>
        </m:r>
      </m:oMath>
      <w:r w:rsidR="00570AFE">
        <w:t xml:space="preserve"> (</w:t>
      </w:r>
      <w:r w:rsidR="00E655C7">
        <w:t xml:space="preserve">fourth column of </w:t>
      </w:r>
      <w:r w:rsidR="00570AFE">
        <w:t>table</w:t>
      </w:r>
      <w:r w:rsidR="00454343">
        <w:t> </w:t>
      </w:r>
      <w:r w:rsidR="00570AFE">
        <w:t>15)</w:t>
      </w:r>
      <w:r w:rsidR="006761E5">
        <w:t>.</w:t>
      </w:r>
      <w:r w:rsidR="00551B9A">
        <w:t xml:space="preserve"> </w:t>
      </w:r>
      <w:r w:rsidR="00E13C6A">
        <w:t xml:space="preserve">Each </w:t>
      </w:r>
      <w:r w:rsidR="00694F87">
        <w:t xml:space="preserve">of the </w:t>
      </w:r>
      <w:r w:rsidR="004B60C6">
        <w:t xml:space="preserve">six categories </w:t>
      </w:r>
      <w:r w:rsidR="00280A69">
        <w:t xml:space="preserve">of variables </w:t>
      </w:r>
      <w:r w:rsidR="004B60C6">
        <w:t>(</w:t>
      </w:r>
      <w:r w:rsidR="00694F87">
        <w:t xml:space="preserve">five </w:t>
      </w:r>
      <w:r w:rsidR="00E13C6A">
        <w:t>capital domain</w:t>
      </w:r>
      <w:r w:rsidR="00694F87">
        <w:t>s</w:t>
      </w:r>
      <w:r w:rsidR="00E13C6A">
        <w:t xml:space="preserve"> and industry diversity</w:t>
      </w:r>
      <w:r w:rsidR="004B60C6">
        <w:t>)</w:t>
      </w:r>
      <w:r w:rsidR="00E13C6A">
        <w:t xml:space="preserve"> had equal weights in the metric. </w:t>
      </w:r>
      <w:r w:rsidR="00694F87">
        <w:t xml:space="preserve">This means that the overall weight given to the first human capital component was </w:t>
      </w:r>
      <m:oMath>
        <m:r>
          <w:rPr>
            <w:rFonts w:ascii="Cambria Math" w:hAnsi="Cambria Math"/>
          </w:rPr>
          <m:t>0.73/6 =0.12</m:t>
        </m:r>
      </m:oMath>
      <w:r w:rsidR="000C75F3">
        <w:t xml:space="preserve"> (</w:t>
      </w:r>
      <w:r w:rsidR="00E655C7">
        <w:t xml:space="preserve">final column of </w:t>
      </w:r>
      <w:r w:rsidR="000C75F3">
        <w:t>table</w:t>
      </w:r>
      <w:r w:rsidR="001F6054">
        <w:t> </w:t>
      </w:r>
      <w:r w:rsidR="000C75F3">
        <w:t>15)</w:t>
      </w:r>
      <w:r w:rsidR="00694F87">
        <w:t>.</w:t>
      </w:r>
      <w:r w:rsidR="001E5DF6">
        <w:t xml:space="preserve"> </w:t>
      </w:r>
      <w:r w:rsidR="00D91506">
        <w:t xml:space="preserve">The same </w:t>
      </w:r>
      <w:r w:rsidR="007530C6">
        <w:t xml:space="preserve">method was </w:t>
      </w:r>
      <w:r w:rsidR="00D91506">
        <w:t>applied to</w:t>
      </w:r>
      <w:r w:rsidR="00262630">
        <w:t xml:space="preserve"> produce weights for</w:t>
      </w:r>
      <w:r w:rsidR="00D91506">
        <w:t xml:space="preserve"> all other elements of the metric.</w:t>
      </w:r>
    </w:p>
    <w:p w14:paraId="1397D4AE" w14:textId="3632408A" w:rsidR="00AB35D3" w:rsidRDefault="00C66AA1" w:rsidP="00AB35D3">
      <w:pPr>
        <w:pStyle w:val="BodyText"/>
      </w:pPr>
      <w:r>
        <w:t xml:space="preserve">The signs on the second principal component for financial capital </w:t>
      </w:r>
      <w:r w:rsidR="00D92F3D">
        <w:t xml:space="preserve">(which was negative with respect to home ownership) </w:t>
      </w:r>
      <w:r>
        <w:t xml:space="preserve">and the </w:t>
      </w:r>
      <w:proofErr w:type="spellStart"/>
      <w:r>
        <w:t>Herfindahl</w:t>
      </w:r>
      <w:proofErr w:type="spellEnd"/>
      <w:r>
        <w:t xml:space="preserve"> index measure </w:t>
      </w:r>
      <w:r w:rsidR="00D92F3D">
        <w:t xml:space="preserve">(which </w:t>
      </w:r>
      <w:r w:rsidR="009B2F48">
        <w:t>was negative with respect to industry diversity</w:t>
      </w:r>
      <w:r w:rsidR="00D92F3D">
        <w:t xml:space="preserve">) </w:t>
      </w:r>
      <w:r>
        <w:t xml:space="preserve">were </w:t>
      </w:r>
      <w:r w:rsidR="006D5F4D">
        <w:t xml:space="preserve">reversed </w:t>
      </w:r>
      <w:r w:rsidR="0053179F">
        <w:t xml:space="preserve">before they were </w:t>
      </w:r>
      <w:r w:rsidR="004F7D0D">
        <w:t xml:space="preserve">included </w:t>
      </w:r>
      <w:r w:rsidR="006D5F4D">
        <w:t>in the metric so that higher values indicated greater adaptive capacity.</w:t>
      </w:r>
    </w:p>
    <w:p w14:paraId="161D134C" w14:textId="42C6DFE4" w:rsidR="00AB35D3" w:rsidRDefault="00AB35D3" w:rsidP="00AB35D3">
      <w:pPr>
        <w:pStyle w:val="BodyText"/>
      </w:pPr>
      <w:r>
        <w:t xml:space="preserve">For the presentation of results, regions were grouped into four categories according to their index value. Regions in the most adaptive category (256 regions) and the least adaptive category (244 regions) had index values greater than one standard deviation away from the mean. The remaining regions were classed into above average (837 regions) and below average (748 regions) categories depending on their index value. </w:t>
      </w:r>
    </w:p>
    <w:p w14:paraId="4EAEAA88" w14:textId="4BF16FFB" w:rsidR="005B45F5" w:rsidRDefault="005B45F5" w:rsidP="00FC22A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B45F5" w14:paraId="3C5A5851" w14:textId="77777777" w:rsidTr="00A23812">
        <w:trPr>
          <w:tblHeader/>
        </w:trPr>
        <w:tc>
          <w:tcPr>
            <w:tcW w:w="5000" w:type="pct"/>
            <w:tcBorders>
              <w:top w:val="single" w:sz="6" w:space="0" w:color="78A22F"/>
              <w:left w:val="nil"/>
              <w:bottom w:val="nil"/>
              <w:right w:val="nil"/>
            </w:tcBorders>
            <w:shd w:val="clear" w:color="auto" w:fill="auto"/>
          </w:tcPr>
          <w:p w14:paraId="783C4CC7" w14:textId="0A68D0B4" w:rsidR="005B45F5" w:rsidRPr="00784A05" w:rsidRDefault="005B45F5" w:rsidP="006175AE">
            <w:pPr>
              <w:pStyle w:val="TableTitle"/>
            </w:pPr>
            <w:r>
              <w:rPr>
                <w:b w:val="0"/>
              </w:rPr>
              <w:t xml:space="preserve">Table </w:t>
            </w:r>
            <w:r>
              <w:fldChar w:fldCharType="begin"/>
            </w:r>
            <w:r>
              <w:rPr>
                <w:b w:val="0"/>
              </w:rPr>
              <w:instrText xml:space="preserve"> COMMENTS  \* MERGEFORMAT </w:instrText>
            </w:r>
            <w:r>
              <w:fldChar w:fldCharType="end"/>
            </w:r>
            <w:r>
              <w:fldChar w:fldCharType="begin"/>
            </w:r>
            <w:r>
              <w:rPr>
                <w:b w:val="0"/>
              </w:rPr>
              <w:instrText xml:space="preserve"> SEQ Table \* ARABIC </w:instrText>
            </w:r>
            <w:r>
              <w:fldChar w:fldCharType="separate"/>
            </w:r>
            <w:r w:rsidR="002D2773">
              <w:rPr>
                <w:b w:val="0"/>
                <w:noProof/>
              </w:rPr>
              <w:t>15</w:t>
            </w:r>
            <w:r>
              <w:fldChar w:fldCharType="end"/>
            </w:r>
            <w:r>
              <w:tab/>
              <w:t>Weights of principal components and indicators in the index</w:t>
            </w:r>
          </w:p>
        </w:tc>
      </w:tr>
      <w:tr w:rsidR="005B45F5" w14:paraId="15CD2F99" w14:textId="77777777" w:rsidTr="00A2381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42"/>
              <w:gridCol w:w="1279"/>
              <w:gridCol w:w="3126"/>
              <w:gridCol w:w="1277"/>
              <w:gridCol w:w="1281"/>
            </w:tblGrid>
            <w:tr w:rsidR="00A45DA6" w14:paraId="4FEEFFA4" w14:textId="77777777" w:rsidTr="006175AE">
              <w:trPr>
                <w:tblHeader/>
              </w:trPr>
              <w:tc>
                <w:tcPr>
                  <w:tcW w:w="906" w:type="pct"/>
                  <w:tcBorders>
                    <w:top w:val="single" w:sz="6" w:space="0" w:color="BFBFBF"/>
                    <w:bottom w:val="single" w:sz="6" w:space="0" w:color="BFBFBF"/>
                  </w:tcBorders>
                  <w:shd w:val="clear" w:color="auto" w:fill="auto"/>
                  <w:tcMar>
                    <w:top w:w="28" w:type="dxa"/>
                  </w:tcMar>
                </w:tcPr>
                <w:p w14:paraId="70FAF629" w14:textId="6BBE9DA9" w:rsidR="00A27D71" w:rsidRDefault="00A27D71" w:rsidP="00FC22A6">
                  <w:pPr>
                    <w:pStyle w:val="TableColumnHeading"/>
                    <w:jc w:val="left"/>
                  </w:pPr>
                  <w:r>
                    <w:t xml:space="preserve">Category </w:t>
                  </w:r>
                </w:p>
              </w:tc>
              <w:tc>
                <w:tcPr>
                  <w:tcW w:w="752" w:type="pct"/>
                  <w:tcBorders>
                    <w:top w:val="single" w:sz="6" w:space="0" w:color="BFBFBF"/>
                    <w:bottom w:val="single" w:sz="6" w:space="0" w:color="BFBFBF"/>
                  </w:tcBorders>
                </w:tcPr>
                <w:p w14:paraId="610025E5" w14:textId="6E1AA475" w:rsidR="00A27D71" w:rsidRPr="00D51D67" w:rsidRDefault="00A27D71" w:rsidP="0012743B">
                  <w:pPr>
                    <w:pStyle w:val="TableColumnHeading"/>
                  </w:pPr>
                  <w:r>
                    <w:t xml:space="preserve">Weight of category </w:t>
                  </w:r>
                  <w:r w:rsidR="009F4765">
                    <w:t xml:space="preserve">in index </w:t>
                  </w:r>
                  <w:r>
                    <w:t>(%)</w:t>
                  </w:r>
                </w:p>
              </w:tc>
              <w:tc>
                <w:tcPr>
                  <w:tcW w:w="1838" w:type="pct"/>
                  <w:tcBorders>
                    <w:top w:val="single" w:sz="6" w:space="0" w:color="BFBFBF"/>
                    <w:bottom w:val="single" w:sz="6" w:space="0" w:color="BFBFBF"/>
                  </w:tcBorders>
                </w:tcPr>
                <w:p w14:paraId="7EDF1F5D" w14:textId="45D240AA" w:rsidR="00A27D71" w:rsidRPr="00D51D67" w:rsidRDefault="00A27D71" w:rsidP="009A283A">
                  <w:pPr>
                    <w:pStyle w:val="TableColumnHeading"/>
                    <w:jc w:val="left"/>
                  </w:pPr>
                  <w:r w:rsidRPr="00D51D67">
                    <w:t>Retained principal component</w:t>
                  </w:r>
                  <w:r w:rsidR="00E94B47">
                    <w:t xml:space="preserve"> </w:t>
                  </w:r>
                  <w:r w:rsidRPr="00D51D67">
                    <w:t xml:space="preserve">(PC) </w:t>
                  </w:r>
                  <w:r>
                    <w:br/>
                  </w:r>
                  <w:r w:rsidRPr="00D51D67">
                    <w:t>or indicator</w:t>
                  </w:r>
                </w:p>
              </w:tc>
              <w:tc>
                <w:tcPr>
                  <w:tcW w:w="751" w:type="pct"/>
                  <w:tcBorders>
                    <w:top w:val="single" w:sz="6" w:space="0" w:color="BFBFBF"/>
                    <w:bottom w:val="single" w:sz="6" w:space="0" w:color="BFBFBF"/>
                  </w:tcBorders>
                </w:tcPr>
                <w:p w14:paraId="3E33B8AC" w14:textId="7507376C" w:rsidR="00A27D71" w:rsidRPr="00D51D67" w:rsidRDefault="00A27D71" w:rsidP="009F4765">
                  <w:pPr>
                    <w:pStyle w:val="TableColumnHeading"/>
                  </w:pPr>
                  <w:r w:rsidRPr="00D51D67">
                    <w:t>Weight</w:t>
                  </w:r>
                  <w:r w:rsidR="00A45DA6">
                    <w:t xml:space="preserve"> of PC or indicator</w:t>
                  </w:r>
                  <w:r>
                    <w:t xml:space="preserve"> </w:t>
                  </w:r>
                  <w:r w:rsidR="009F4765">
                    <w:t>in</w:t>
                  </w:r>
                  <w:r>
                    <w:t xml:space="preserve"> category (%)</w:t>
                  </w:r>
                </w:p>
              </w:tc>
              <w:tc>
                <w:tcPr>
                  <w:tcW w:w="754" w:type="pct"/>
                  <w:tcBorders>
                    <w:top w:val="single" w:sz="6" w:space="0" w:color="BFBFBF"/>
                    <w:bottom w:val="single" w:sz="6" w:space="0" w:color="BFBFBF"/>
                  </w:tcBorders>
                  <w:shd w:val="clear" w:color="auto" w:fill="auto"/>
                  <w:tcMar>
                    <w:top w:w="28" w:type="dxa"/>
                  </w:tcMar>
                </w:tcPr>
                <w:p w14:paraId="1950E85D" w14:textId="132D657E" w:rsidR="00A27D71" w:rsidRDefault="00A27D71" w:rsidP="00FC22A6">
                  <w:pPr>
                    <w:pStyle w:val="TableColumnHeading"/>
                    <w:ind w:right="28"/>
                  </w:pPr>
                  <w:r>
                    <w:t xml:space="preserve">Weight </w:t>
                  </w:r>
                  <w:r w:rsidR="009F4765">
                    <w:t xml:space="preserve">of PC or indicator </w:t>
                  </w:r>
                  <w:r>
                    <w:t>in index (%)</w:t>
                  </w:r>
                </w:p>
              </w:tc>
            </w:tr>
            <w:tr w:rsidR="00A22FA2" w14:paraId="29820C96" w14:textId="77777777" w:rsidTr="006175AE">
              <w:tc>
                <w:tcPr>
                  <w:tcW w:w="906" w:type="pct"/>
                  <w:tcBorders>
                    <w:top w:val="single" w:sz="6" w:space="0" w:color="BFBFBF"/>
                  </w:tcBorders>
                </w:tcPr>
                <w:p w14:paraId="1ED217D6" w14:textId="7B4AC0C7" w:rsidR="00A22FA2" w:rsidRDefault="00A22FA2" w:rsidP="00FC22A6">
                  <w:pPr>
                    <w:pStyle w:val="TableUnitsRow"/>
                    <w:jc w:val="left"/>
                  </w:pPr>
                  <w:r>
                    <w:t>Human capital</w:t>
                  </w:r>
                </w:p>
              </w:tc>
              <w:tc>
                <w:tcPr>
                  <w:tcW w:w="752" w:type="pct"/>
                  <w:tcBorders>
                    <w:top w:val="single" w:sz="6" w:space="0" w:color="BFBFBF"/>
                  </w:tcBorders>
                </w:tcPr>
                <w:p w14:paraId="2A57BA15" w14:textId="67CFAECA" w:rsidR="00A22FA2" w:rsidRDefault="00A22FA2" w:rsidP="0016243F">
                  <w:pPr>
                    <w:pStyle w:val="TableUnitsRow"/>
                  </w:pPr>
                  <w:r>
                    <w:t>16.67</w:t>
                  </w:r>
                </w:p>
              </w:tc>
              <w:tc>
                <w:tcPr>
                  <w:tcW w:w="1838" w:type="pct"/>
                  <w:tcBorders>
                    <w:top w:val="single" w:sz="6" w:space="0" w:color="BFBFBF"/>
                  </w:tcBorders>
                </w:tcPr>
                <w:p w14:paraId="5A5AFEA5" w14:textId="282EE6C4" w:rsidR="00A22FA2" w:rsidRDefault="00A22FA2" w:rsidP="00DE7266">
                  <w:pPr>
                    <w:pStyle w:val="TableUnitsRow"/>
                    <w:jc w:val="left"/>
                  </w:pPr>
                  <w:proofErr w:type="spellStart"/>
                  <w:r>
                    <w:t>PC1</w:t>
                  </w:r>
                  <w:proofErr w:type="spellEnd"/>
                  <w:r>
                    <w:t xml:space="preserve"> (skills and employment)</w:t>
                  </w:r>
                </w:p>
              </w:tc>
              <w:tc>
                <w:tcPr>
                  <w:tcW w:w="751" w:type="pct"/>
                  <w:tcBorders>
                    <w:top w:val="single" w:sz="6" w:space="0" w:color="BFBFBF"/>
                  </w:tcBorders>
                </w:tcPr>
                <w:p w14:paraId="47BCCE7A" w14:textId="725C9EE6" w:rsidR="00A22FA2" w:rsidRDefault="00A22FA2" w:rsidP="00A9064C">
                  <w:pPr>
                    <w:pStyle w:val="TableUnitsRow"/>
                  </w:pPr>
                  <w:r>
                    <w:t>73.32</w:t>
                  </w:r>
                </w:p>
              </w:tc>
              <w:tc>
                <w:tcPr>
                  <w:tcW w:w="754" w:type="pct"/>
                  <w:tcBorders>
                    <w:top w:val="single" w:sz="6" w:space="0" w:color="BFBFBF"/>
                  </w:tcBorders>
                </w:tcPr>
                <w:p w14:paraId="5FCF29C3" w14:textId="0B413CA6" w:rsidR="00A22FA2" w:rsidRDefault="00A22FA2" w:rsidP="00FC22A6">
                  <w:pPr>
                    <w:pStyle w:val="TableUnitsRow"/>
                    <w:ind w:right="28"/>
                  </w:pPr>
                  <w:r>
                    <w:t>12.22</w:t>
                  </w:r>
                </w:p>
              </w:tc>
            </w:tr>
            <w:tr w:rsidR="00A22FA2" w14:paraId="2A48F3FD" w14:textId="77777777" w:rsidTr="006175AE">
              <w:tc>
                <w:tcPr>
                  <w:tcW w:w="906" w:type="pct"/>
                </w:tcPr>
                <w:p w14:paraId="7D299BCC" w14:textId="77777777" w:rsidR="00A22FA2" w:rsidRDefault="00A22FA2" w:rsidP="00FC22A6">
                  <w:pPr>
                    <w:pStyle w:val="TableBodyText"/>
                    <w:jc w:val="left"/>
                  </w:pPr>
                </w:p>
              </w:tc>
              <w:tc>
                <w:tcPr>
                  <w:tcW w:w="752" w:type="pct"/>
                </w:tcPr>
                <w:p w14:paraId="7741C7D8" w14:textId="77777777" w:rsidR="00A22FA2" w:rsidRDefault="00A22FA2" w:rsidP="0016243F">
                  <w:pPr>
                    <w:pStyle w:val="TableBodyText"/>
                  </w:pPr>
                </w:p>
              </w:tc>
              <w:tc>
                <w:tcPr>
                  <w:tcW w:w="1838" w:type="pct"/>
                </w:tcPr>
                <w:p w14:paraId="451D206A" w14:textId="14E383BE" w:rsidR="00A22FA2" w:rsidRDefault="00A22FA2" w:rsidP="00DE7266">
                  <w:pPr>
                    <w:pStyle w:val="TableBodyText"/>
                    <w:jc w:val="left"/>
                  </w:pPr>
                  <w:proofErr w:type="spellStart"/>
                  <w:r>
                    <w:t>PC2</w:t>
                  </w:r>
                  <w:proofErr w:type="spellEnd"/>
                  <w:r>
                    <w:t xml:space="preserve"> (entrepreneurship)</w:t>
                  </w:r>
                </w:p>
              </w:tc>
              <w:tc>
                <w:tcPr>
                  <w:tcW w:w="751" w:type="pct"/>
                </w:tcPr>
                <w:p w14:paraId="386A9EDA" w14:textId="6648C0FC" w:rsidR="00A22FA2" w:rsidRDefault="00A22FA2" w:rsidP="00A9064C">
                  <w:pPr>
                    <w:pStyle w:val="TableBodyText"/>
                  </w:pPr>
                  <w:r>
                    <w:t>26.67</w:t>
                  </w:r>
                </w:p>
              </w:tc>
              <w:tc>
                <w:tcPr>
                  <w:tcW w:w="754" w:type="pct"/>
                </w:tcPr>
                <w:p w14:paraId="24213DB4" w14:textId="4E0ABA21" w:rsidR="00A22FA2" w:rsidRDefault="00A22FA2" w:rsidP="00FC22A6">
                  <w:pPr>
                    <w:pStyle w:val="TableBodyText"/>
                    <w:ind w:right="28"/>
                  </w:pPr>
                  <w:r>
                    <w:t>4.45</w:t>
                  </w:r>
                </w:p>
              </w:tc>
            </w:tr>
            <w:tr w:rsidR="00A22FA2" w14:paraId="6B520BFD" w14:textId="77777777" w:rsidTr="006175AE">
              <w:tc>
                <w:tcPr>
                  <w:tcW w:w="906" w:type="pct"/>
                  <w:shd w:val="clear" w:color="auto" w:fill="auto"/>
                </w:tcPr>
                <w:p w14:paraId="4BC50355" w14:textId="44B70493" w:rsidR="00A22FA2" w:rsidRDefault="00A22FA2" w:rsidP="00FC22A6">
                  <w:pPr>
                    <w:pStyle w:val="TableBodyText"/>
                    <w:jc w:val="left"/>
                  </w:pPr>
                  <w:r>
                    <w:t xml:space="preserve">Financial capital </w:t>
                  </w:r>
                </w:p>
              </w:tc>
              <w:tc>
                <w:tcPr>
                  <w:tcW w:w="752" w:type="pct"/>
                </w:tcPr>
                <w:p w14:paraId="231E359A" w14:textId="48A29BCD" w:rsidR="00A22FA2" w:rsidRDefault="00A22FA2" w:rsidP="0016243F">
                  <w:pPr>
                    <w:pStyle w:val="TableBodyText"/>
                  </w:pPr>
                  <w:r>
                    <w:t>16.67</w:t>
                  </w:r>
                </w:p>
              </w:tc>
              <w:tc>
                <w:tcPr>
                  <w:tcW w:w="1838" w:type="pct"/>
                </w:tcPr>
                <w:p w14:paraId="7BF32B41" w14:textId="6CFC38DC" w:rsidR="00A22FA2" w:rsidRDefault="00A22FA2" w:rsidP="00DE7266">
                  <w:pPr>
                    <w:pStyle w:val="TableBodyText"/>
                    <w:jc w:val="left"/>
                  </w:pPr>
                  <w:proofErr w:type="spellStart"/>
                  <w:r>
                    <w:t>PC1</w:t>
                  </w:r>
                  <w:proofErr w:type="spellEnd"/>
                  <w:r>
                    <w:t xml:space="preserve"> (financial capacity)</w:t>
                  </w:r>
                </w:p>
              </w:tc>
              <w:tc>
                <w:tcPr>
                  <w:tcW w:w="751" w:type="pct"/>
                </w:tcPr>
                <w:p w14:paraId="0CAB87A5" w14:textId="10205EE3" w:rsidR="00A22FA2" w:rsidRDefault="00A22FA2" w:rsidP="00A9064C">
                  <w:pPr>
                    <w:pStyle w:val="TableBodyText"/>
                  </w:pPr>
                  <w:r>
                    <w:t>69.88</w:t>
                  </w:r>
                </w:p>
              </w:tc>
              <w:tc>
                <w:tcPr>
                  <w:tcW w:w="754" w:type="pct"/>
                  <w:shd w:val="clear" w:color="auto" w:fill="auto"/>
                </w:tcPr>
                <w:p w14:paraId="57296D46" w14:textId="10185670" w:rsidR="00A22FA2" w:rsidRDefault="00A22FA2" w:rsidP="00FC22A6">
                  <w:pPr>
                    <w:pStyle w:val="TableBodyText"/>
                    <w:ind w:right="28"/>
                  </w:pPr>
                  <w:r>
                    <w:t>11.65</w:t>
                  </w:r>
                </w:p>
              </w:tc>
            </w:tr>
            <w:tr w:rsidR="00A22FA2" w14:paraId="6894EF64" w14:textId="77777777" w:rsidTr="006175AE">
              <w:tc>
                <w:tcPr>
                  <w:tcW w:w="906" w:type="pct"/>
                  <w:shd w:val="clear" w:color="auto" w:fill="auto"/>
                </w:tcPr>
                <w:p w14:paraId="7A596F84" w14:textId="77777777" w:rsidR="00A22FA2" w:rsidRDefault="00A22FA2" w:rsidP="00FC22A6">
                  <w:pPr>
                    <w:pStyle w:val="TableBodyText"/>
                    <w:jc w:val="left"/>
                  </w:pPr>
                </w:p>
              </w:tc>
              <w:tc>
                <w:tcPr>
                  <w:tcW w:w="752" w:type="pct"/>
                </w:tcPr>
                <w:p w14:paraId="6B331866" w14:textId="77777777" w:rsidR="00A22FA2" w:rsidRDefault="00A22FA2" w:rsidP="0016243F">
                  <w:pPr>
                    <w:pStyle w:val="TableBodyText"/>
                  </w:pPr>
                </w:p>
              </w:tc>
              <w:tc>
                <w:tcPr>
                  <w:tcW w:w="1838" w:type="pct"/>
                </w:tcPr>
                <w:p w14:paraId="2BAC5DE8" w14:textId="1D7D4E57" w:rsidR="00A22FA2" w:rsidRDefault="00A22FA2" w:rsidP="00DE7266">
                  <w:pPr>
                    <w:pStyle w:val="TableBodyText"/>
                    <w:jc w:val="left"/>
                  </w:pPr>
                  <w:proofErr w:type="spellStart"/>
                  <w:r>
                    <w:t>PC2</w:t>
                  </w:r>
                  <w:proofErr w:type="spellEnd"/>
                  <w:r>
                    <w:t xml:space="preserve"> (home ownership)</w:t>
                  </w:r>
                </w:p>
              </w:tc>
              <w:tc>
                <w:tcPr>
                  <w:tcW w:w="751" w:type="pct"/>
                </w:tcPr>
                <w:p w14:paraId="2ABF170E" w14:textId="44E4EE0D" w:rsidR="00A22FA2" w:rsidRDefault="00A22FA2" w:rsidP="00A9064C">
                  <w:pPr>
                    <w:pStyle w:val="TableBodyText"/>
                  </w:pPr>
                  <w:r>
                    <w:t>30.12</w:t>
                  </w:r>
                </w:p>
              </w:tc>
              <w:tc>
                <w:tcPr>
                  <w:tcW w:w="754" w:type="pct"/>
                  <w:shd w:val="clear" w:color="auto" w:fill="auto"/>
                </w:tcPr>
                <w:p w14:paraId="3D43AEC7" w14:textId="182FA16D" w:rsidR="00A22FA2" w:rsidRDefault="00A22FA2" w:rsidP="00FC22A6">
                  <w:pPr>
                    <w:pStyle w:val="TableBodyText"/>
                    <w:ind w:right="28"/>
                  </w:pPr>
                  <w:r>
                    <w:t>5.02</w:t>
                  </w:r>
                </w:p>
              </w:tc>
            </w:tr>
            <w:tr w:rsidR="00A22FA2" w14:paraId="44BCB46A" w14:textId="77777777" w:rsidTr="006175AE">
              <w:tc>
                <w:tcPr>
                  <w:tcW w:w="906" w:type="pct"/>
                  <w:shd w:val="clear" w:color="auto" w:fill="auto"/>
                </w:tcPr>
                <w:p w14:paraId="188DB466" w14:textId="418FFEFC" w:rsidR="00A22FA2" w:rsidRDefault="00A22FA2" w:rsidP="00FC22A6">
                  <w:pPr>
                    <w:pStyle w:val="TableBodyText"/>
                    <w:jc w:val="left"/>
                  </w:pPr>
                  <w:r>
                    <w:t>Natural capital</w:t>
                  </w:r>
                </w:p>
              </w:tc>
              <w:tc>
                <w:tcPr>
                  <w:tcW w:w="752" w:type="pct"/>
                </w:tcPr>
                <w:p w14:paraId="5BB67AEE" w14:textId="34F3986E" w:rsidR="00A22FA2" w:rsidRDefault="00A22FA2" w:rsidP="0016243F">
                  <w:pPr>
                    <w:pStyle w:val="TableBodyText"/>
                  </w:pPr>
                  <w:r>
                    <w:t>16.67</w:t>
                  </w:r>
                </w:p>
              </w:tc>
              <w:tc>
                <w:tcPr>
                  <w:tcW w:w="1838" w:type="pct"/>
                </w:tcPr>
                <w:p w14:paraId="75F1EFD9" w14:textId="75912146" w:rsidR="00A22FA2" w:rsidRDefault="00A22FA2" w:rsidP="00DE7266">
                  <w:pPr>
                    <w:pStyle w:val="TableBodyText"/>
                    <w:jc w:val="left"/>
                  </w:pPr>
                  <w:proofErr w:type="spellStart"/>
                  <w:r>
                    <w:t>PC1</w:t>
                  </w:r>
                  <w:proofErr w:type="spellEnd"/>
                  <w:r>
                    <w:t xml:space="preserve"> (agriculture and mining)</w:t>
                  </w:r>
                </w:p>
              </w:tc>
              <w:tc>
                <w:tcPr>
                  <w:tcW w:w="751" w:type="pct"/>
                </w:tcPr>
                <w:p w14:paraId="6A8BDF92" w14:textId="1D8D3C6C" w:rsidR="00A22FA2" w:rsidRDefault="00A22FA2" w:rsidP="00A9064C">
                  <w:pPr>
                    <w:pStyle w:val="TableBodyText"/>
                  </w:pPr>
                  <w:r>
                    <w:t>53.43</w:t>
                  </w:r>
                </w:p>
              </w:tc>
              <w:tc>
                <w:tcPr>
                  <w:tcW w:w="754" w:type="pct"/>
                  <w:shd w:val="clear" w:color="auto" w:fill="auto"/>
                </w:tcPr>
                <w:p w14:paraId="4F10709A" w14:textId="0C36E16E" w:rsidR="00A22FA2" w:rsidRDefault="00A22FA2" w:rsidP="00FC22A6">
                  <w:pPr>
                    <w:pStyle w:val="TableBodyText"/>
                    <w:ind w:right="28"/>
                  </w:pPr>
                  <w:r>
                    <w:t>8.90</w:t>
                  </w:r>
                </w:p>
              </w:tc>
            </w:tr>
            <w:tr w:rsidR="00A22FA2" w14:paraId="7CA70A83" w14:textId="77777777" w:rsidTr="006175AE">
              <w:tc>
                <w:tcPr>
                  <w:tcW w:w="906" w:type="pct"/>
                  <w:shd w:val="clear" w:color="auto" w:fill="auto"/>
                </w:tcPr>
                <w:p w14:paraId="6D73C8C1" w14:textId="77777777" w:rsidR="00A22FA2" w:rsidRDefault="00A22FA2" w:rsidP="00FC22A6">
                  <w:pPr>
                    <w:pStyle w:val="TableBodyText"/>
                    <w:jc w:val="left"/>
                  </w:pPr>
                </w:p>
              </w:tc>
              <w:tc>
                <w:tcPr>
                  <w:tcW w:w="752" w:type="pct"/>
                </w:tcPr>
                <w:p w14:paraId="5EB55FA3" w14:textId="77777777" w:rsidR="00A22FA2" w:rsidRDefault="00A22FA2" w:rsidP="0016243F">
                  <w:pPr>
                    <w:pStyle w:val="TableBodyText"/>
                  </w:pPr>
                </w:p>
              </w:tc>
              <w:tc>
                <w:tcPr>
                  <w:tcW w:w="1838" w:type="pct"/>
                </w:tcPr>
                <w:p w14:paraId="6DDD8608" w14:textId="5789DB78" w:rsidR="00A22FA2" w:rsidRDefault="00A22FA2" w:rsidP="00DE7266">
                  <w:pPr>
                    <w:pStyle w:val="TableBodyText"/>
                    <w:jc w:val="left"/>
                  </w:pPr>
                  <w:proofErr w:type="spellStart"/>
                  <w:r>
                    <w:t>PC2</w:t>
                  </w:r>
                  <w:proofErr w:type="spellEnd"/>
                  <w:r>
                    <w:t xml:space="preserve"> (nature)</w:t>
                  </w:r>
                </w:p>
              </w:tc>
              <w:tc>
                <w:tcPr>
                  <w:tcW w:w="751" w:type="pct"/>
                </w:tcPr>
                <w:p w14:paraId="2AE71FE9" w14:textId="4E53AA97" w:rsidR="00A22FA2" w:rsidRDefault="00A22FA2" w:rsidP="00A9064C">
                  <w:pPr>
                    <w:pStyle w:val="TableBodyText"/>
                  </w:pPr>
                  <w:r>
                    <w:t>46.57</w:t>
                  </w:r>
                </w:p>
              </w:tc>
              <w:tc>
                <w:tcPr>
                  <w:tcW w:w="754" w:type="pct"/>
                  <w:shd w:val="clear" w:color="auto" w:fill="auto"/>
                </w:tcPr>
                <w:p w14:paraId="511A6525" w14:textId="4286A623" w:rsidR="00A22FA2" w:rsidRDefault="00A22FA2" w:rsidP="00FC22A6">
                  <w:pPr>
                    <w:pStyle w:val="TableBodyText"/>
                    <w:ind w:right="28"/>
                  </w:pPr>
                  <w:r>
                    <w:t>7.76</w:t>
                  </w:r>
                </w:p>
              </w:tc>
            </w:tr>
            <w:tr w:rsidR="00A22FA2" w14:paraId="63542557" w14:textId="77777777" w:rsidTr="006175AE">
              <w:tc>
                <w:tcPr>
                  <w:tcW w:w="906" w:type="pct"/>
                  <w:shd w:val="clear" w:color="auto" w:fill="auto"/>
                </w:tcPr>
                <w:p w14:paraId="6B05451B" w14:textId="63F7A165" w:rsidR="00A22FA2" w:rsidRDefault="00A22FA2" w:rsidP="00FC22A6">
                  <w:pPr>
                    <w:pStyle w:val="TableBodyText"/>
                    <w:jc w:val="left"/>
                  </w:pPr>
                  <w:r>
                    <w:t>Physical capital</w:t>
                  </w:r>
                </w:p>
              </w:tc>
              <w:tc>
                <w:tcPr>
                  <w:tcW w:w="752" w:type="pct"/>
                </w:tcPr>
                <w:p w14:paraId="7300FE92" w14:textId="3E0BF172" w:rsidR="00A22FA2" w:rsidRDefault="00A22FA2" w:rsidP="0016243F">
                  <w:pPr>
                    <w:pStyle w:val="TableBodyText"/>
                  </w:pPr>
                  <w:r>
                    <w:t>16.67</w:t>
                  </w:r>
                </w:p>
              </w:tc>
              <w:tc>
                <w:tcPr>
                  <w:tcW w:w="1838" w:type="pct"/>
                </w:tcPr>
                <w:p w14:paraId="39908D4C" w14:textId="0E97DCDF" w:rsidR="00A22FA2" w:rsidRDefault="00A22FA2" w:rsidP="00DE7266">
                  <w:pPr>
                    <w:pStyle w:val="TableBodyText"/>
                    <w:jc w:val="left"/>
                  </w:pPr>
                  <w:proofErr w:type="spellStart"/>
                  <w:r>
                    <w:t>PC1</w:t>
                  </w:r>
                  <w:proofErr w:type="spellEnd"/>
                  <w:r>
                    <w:t xml:space="preserve"> (regional connectivity)</w:t>
                  </w:r>
                </w:p>
              </w:tc>
              <w:tc>
                <w:tcPr>
                  <w:tcW w:w="751" w:type="pct"/>
                </w:tcPr>
                <w:p w14:paraId="774BD460" w14:textId="7AC434E6" w:rsidR="00A22FA2" w:rsidRDefault="00A22FA2" w:rsidP="00A9064C">
                  <w:pPr>
                    <w:pStyle w:val="TableBodyText"/>
                  </w:pPr>
                  <w:r>
                    <w:t>62.44</w:t>
                  </w:r>
                </w:p>
              </w:tc>
              <w:tc>
                <w:tcPr>
                  <w:tcW w:w="754" w:type="pct"/>
                  <w:shd w:val="clear" w:color="auto" w:fill="auto"/>
                </w:tcPr>
                <w:p w14:paraId="5B68ECE0" w14:textId="1F15210D" w:rsidR="00A22FA2" w:rsidRDefault="00A22FA2" w:rsidP="00FC22A6">
                  <w:pPr>
                    <w:pStyle w:val="TableBodyText"/>
                    <w:ind w:right="28"/>
                  </w:pPr>
                  <w:r>
                    <w:t>10.41</w:t>
                  </w:r>
                </w:p>
              </w:tc>
            </w:tr>
            <w:tr w:rsidR="00A22FA2" w14:paraId="0A6BEB22" w14:textId="77777777" w:rsidTr="006175AE">
              <w:tc>
                <w:tcPr>
                  <w:tcW w:w="906" w:type="pct"/>
                  <w:shd w:val="clear" w:color="auto" w:fill="auto"/>
                </w:tcPr>
                <w:p w14:paraId="57A9C456" w14:textId="77777777" w:rsidR="00A22FA2" w:rsidRDefault="00A22FA2" w:rsidP="00FC22A6">
                  <w:pPr>
                    <w:pStyle w:val="TableBodyText"/>
                    <w:jc w:val="left"/>
                  </w:pPr>
                </w:p>
              </w:tc>
              <w:tc>
                <w:tcPr>
                  <w:tcW w:w="752" w:type="pct"/>
                </w:tcPr>
                <w:p w14:paraId="05E6CFF9" w14:textId="77777777" w:rsidR="00A22FA2" w:rsidRDefault="00A22FA2" w:rsidP="0016243F">
                  <w:pPr>
                    <w:pStyle w:val="TableBodyText"/>
                  </w:pPr>
                </w:p>
              </w:tc>
              <w:tc>
                <w:tcPr>
                  <w:tcW w:w="1838" w:type="pct"/>
                </w:tcPr>
                <w:p w14:paraId="031A530A" w14:textId="5A0827AC" w:rsidR="00A22FA2" w:rsidRDefault="00A22FA2" w:rsidP="00DE7266">
                  <w:pPr>
                    <w:pStyle w:val="TableBodyText"/>
                    <w:jc w:val="left"/>
                  </w:pPr>
                  <w:proofErr w:type="spellStart"/>
                  <w:r>
                    <w:t>PC2</w:t>
                  </w:r>
                  <w:proofErr w:type="spellEnd"/>
                  <w:r>
                    <w:t xml:space="preserve"> (new infrastructure)</w:t>
                  </w:r>
                </w:p>
              </w:tc>
              <w:tc>
                <w:tcPr>
                  <w:tcW w:w="751" w:type="pct"/>
                </w:tcPr>
                <w:p w14:paraId="7E2E096E" w14:textId="542E57C9" w:rsidR="00A22FA2" w:rsidRDefault="00A22FA2" w:rsidP="00A9064C">
                  <w:pPr>
                    <w:pStyle w:val="TableBodyText"/>
                  </w:pPr>
                  <w:r>
                    <w:t>37.55</w:t>
                  </w:r>
                </w:p>
              </w:tc>
              <w:tc>
                <w:tcPr>
                  <w:tcW w:w="754" w:type="pct"/>
                  <w:shd w:val="clear" w:color="auto" w:fill="auto"/>
                </w:tcPr>
                <w:p w14:paraId="2C1A5CEE" w14:textId="40C7361B" w:rsidR="00A22FA2" w:rsidRDefault="00A22FA2" w:rsidP="00FC22A6">
                  <w:pPr>
                    <w:pStyle w:val="TableBodyText"/>
                    <w:ind w:right="28"/>
                  </w:pPr>
                  <w:r>
                    <w:t>6.26</w:t>
                  </w:r>
                </w:p>
              </w:tc>
            </w:tr>
            <w:tr w:rsidR="00A22FA2" w14:paraId="66CA75C4" w14:textId="77777777" w:rsidTr="006175AE">
              <w:tc>
                <w:tcPr>
                  <w:tcW w:w="906" w:type="pct"/>
                  <w:shd w:val="clear" w:color="auto" w:fill="auto"/>
                </w:tcPr>
                <w:p w14:paraId="560ACD11" w14:textId="1D7C64FB" w:rsidR="00A22FA2" w:rsidRDefault="00A22FA2" w:rsidP="00FC22A6">
                  <w:pPr>
                    <w:pStyle w:val="TableBodyText"/>
                    <w:jc w:val="left"/>
                  </w:pPr>
                  <w:r>
                    <w:t>Social capital</w:t>
                  </w:r>
                </w:p>
              </w:tc>
              <w:tc>
                <w:tcPr>
                  <w:tcW w:w="752" w:type="pct"/>
                </w:tcPr>
                <w:p w14:paraId="4462F257" w14:textId="11D86898" w:rsidR="00A22FA2" w:rsidRDefault="00A22FA2" w:rsidP="0016243F">
                  <w:pPr>
                    <w:pStyle w:val="TableBodyText"/>
                  </w:pPr>
                  <w:r>
                    <w:t>16.67</w:t>
                  </w:r>
                </w:p>
              </w:tc>
              <w:tc>
                <w:tcPr>
                  <w:tcW w:w="1838" w:type="pct"/>
                </w:tcPr>
                <w:p w14:paraId="2594A293" w14:textId="1D7886CD" w:rsidR="00A22FA2" w:rsidRDefault="00E77DBE" w:rsidP="00DE7266">
                  <w:pPr>
                    <w:pStyle w:val="TableBodyText"/>
                    <w:jc w:val="left"/>
                  </w:pPr>
                  <w:r>
                    <w:t>Volunteering</w:t>
                  </w:r>
                </w:p>
              </w:tc>
              <w:tc>
                <w:tcPr>
                  <w:tcW w:w="751" w:type="pct"/>
                </w:tcPr>
                <w:p w14:paraId="44FCC05F" w14:textId="10EA9A02" w:rsidR="00A22FA2" w:rsidRDefault="00A22FA2" w:rsidP="00A9064C">
                  <w:pPr>
                    <w:pStyle w:val="TableBodyText"/>
                  </w:pPr>
                  <w:r>
                    <w:t>100.00</w:t>
                  </w:r>
                </w:p>
              </w:tc>
              <w:tc>
                <w:tcPr>
                  <w:tcW w:w="754" w:type="pct"/>
                  <w:shd w:val="clear" w:color="auto" w:fill="auto"/>
                </w:tcPr>
                <w:p w14:paraId="342767EB" w14:textId="2CDBB9FA" w:rsidR="00A22FA2" w:rsidRDefault="00A22FA2" w:rsidP="00FC22A6">
                  <w:pPr>
                    <w:pStyle w:val="TableBodyText"/>
                    <w:ind w:right="28"/>
                  </w:pPr>
                  <w:r>
                    <w:t>16.67</w:t>
                  </w:r>
                </w:p>
              </w:tc>
            </w:tr>
            <w:tr w:rsidR="00A22FA2" w14:paraId="0729CED8" w14:textId="77777777" w:rsidTr="006175AE">
              <w:tc>
                <w:tcPr>
                  <w:tcW w:w="906" w:type="pct"/>
                  <w:tcBorders>
                    <w:bottom w:val="single" w:sz="6" w:space="0" w:color="BFBFBF"/>
                  </w:tcBorders>
                  <w:shd w:val="clear" w:color="auto" w:fill="auto"/>
                </w:tcPr>
                <w:p w14:paraId="18DA4672" w14:textId="4A96EAE1" w:rsidR="00A22FA2" w:rsidRDefault="00A22FA2" w:rsidP="00FC22A6">
                  <w:pPr>
                    <w:pStyle w:val="TableBodyText"/>
                    <w:jc w:val="left"/>
                  </w:pPr>
                  <w:r>
                    <w:t xml:space="preserve">Industry diversity </w:t>
                  </w:r>
                </w:p>
              </w:tc>
              <w:tc>
                <w:tcPr>
                  <w:tcW w:w="752" w:type="pct"/>
                  <w:tcBorders>
                    <w:bottom w:val="single" w:sz="6" w:space="0" w:color="BFBFBF"/>
                  </w:tcBorders>
                </w:tcPr>
                <w:p w14:paraId="75FB995E" w14:textId="4DB7E72D" w:rsidR="00A22FA2" w:rsidRDefault="00A22FA2" w:rsidP="0016243F">
                  <w:pPr>
                    <w:pStyle w:val="TableBodyText"/>
                  </w:pPr>
                  <w:r>
                    <w:t>16.67</w:t>
                  </w:r>
                </w:p>
              </w:tc>
              <w:tc>
                <w:tcPr>
                  <w:tcW w:w="1838" w:type="pct"/>
                  <w:tcBorders>
                    <w:bottom w:val="single" w:sz="6" w:space="0" w:color="BFBFBF"/>
                  </w:tcBorders>
                </w:tcPr>
                <w:p w14:paraId="19183F85" w14:textId="7B0BF278" w:rsidR="00A22FA2" w:rsidRDefault="00A22FA2" w:rsidP="00E77DBE">
                  <w:pPr>
                    <w:pStyle w:val="TableBodyText"/>
                    <w:jc w:val="left"/>
                  </w:pPr>
                  <w:proofErr w:type="spellStart"/>
                  <w:r>
                    <w:t>Herfindahl</w:t>
                  </w:r>
                  <w:proofErr w:type="spellEnd"/>
                  <w:r>
                    <w:t xml:space="preserve"> </w:t>
                  </w:r>
                </w:p>
              </w:tc>
              <w:tc>
                <w:tcPr>
                  <w:tcW w:w="751" w:type="pct"/>
                  <w:tcBorders>
                    <w:bottom w:val="single" w:sz="6" w:space="0" w:color="BFBFBF"/>
                  </w:tcBorders>
                </w:tcPr>
                <w:p w14:paraId="078931AB" w14:textId="1322E5FE" w:rsidR="00A22FA2" w:rsidRDefault="00A22FA2" w:rsidP="00A9064C">
                  <w:pPr>
                    <w:pStyle w:val="TableBodyText"/>
                  </w:pPr>
                  <w:r>
                    <w:t>100.00</w:t>
                  </w:r>
                </w:p>
              </w:tc>
              <w:tc>
                <w:tcPr>
                  <w:tcW w:w="754" w:type="pct"/>
                  <w:tcBorders>
                    <w:bottom w:val="single" w:sz="6" w:space="0" w:color="BFBFBF"/>
                  </w:tcBorders>
                  <w:shd w:val="clear" w:color="auto" w:fill="auto"/>
                </w:tcPr>
                <w:p w14:paraId="4371FDFE" w14:textId="68AED55C" w:rsidR="00A22FA2" w:rsidRDefault="00A22FA2" w:rsidP="00FC22A6">
                  <w:pPr>
                    <w:pStyle w:val="TableBodyText"/>
                    <w:ind w:right="28"/>
                  </w:pPr>
                  <w:r>
                    <w:t>16.67</w:t>
                  </w:r>
                </w:p>
              </w:tc>
            </w:tr>
            <w:tr w:rsidR="00A22FA2" w14:paraId="0FD756F6" w14:textId="77777777" w:rsidTr="006175AE">
              <w:tc>
                <w:tcPr>
                  <w:tcW w:w="906" w:type="pct"/>
                  <w:tcBorders>
                    <w:top w:val="single" w:sz="6" w:space="0" w:color="BFBFBF"/>
                    <w:bottom w:val="single" w:sz="6" w:space="0" w:color="BFBFBF"/>
                  </w:tcBorders>
                  <w:shd w:val="clear" w:color="auto" w:fill="auto"/>
                </w:tcPr>
                <w:p w14:paraId="3A17B375" w14:textId="154A677A" w:rsidR="00A22FA2" w:rsidRDefault="00A22FA2" w:rsidP="00FC22A6">
                  <w:pPr>
                    <w:pStyle w:val="TableBodyText"/>
                    <w:jc w:val="left"/>
                  </w:pPr>
                  <w:r>
                    <w:t>Total</w:t>
                  </w:r>
                </w:p>
              </w:tc>
              <w:tc>
                <w:tcPr>
                  <w:tcW w:w="752" w:type="pct"/>
                  <w:tcBorders>
                    <w:top w:val="single" w:sz="6" w:space="0" w:color="BFBFBF"/>
                    <w:bottom w:val="single" w:sz="6" w:space="0" w:color="BFBFBF"/>
                  </w:tcBorders>
                </w:tcPr>
                <w:p w14:paraId="591FBFA7" w14:textId="32A7AFFC" w:rsidR="00A22FA2" w:rsidRDefault="00A22FA2" w:rsidP="00A23AEE">
                  <w:pPr>
                    <w:pStyle w:val="TableBodyText"/>
                  </w:pPr>
                  <w:r>
                    <w:t>100.00</w:t>
                  </w:r>
                </w:p>
              </w:tc>
              <w:tc>
                <w:tcPr>
                  <w:tcW w:w="1838" w:type="pct"/>
                  <w:tcBorders>
                    <w:top w:val="single" w:sz="6" w:space="0" w:color="BFBFBF"/>
                    <w:bottom w:val="single" w:sz="6" w:space="0" w:color="BFBFBF"/>
                  </w:tcBorders>
                </w:tcPr>
                <w:p w14:paraId="48CF1275" w14:textId="0166A049" w:rsidR="00A22FA2" w:rsidRDefault="00A22FA2" w:rsidP="00DE7266">
                  <w:pPr>
                    <w:pStyle w:val="TableBodyText"/>
                    <w:jc w:val="left"/>
                  </w:pPr>
                </w:p>
              </w:tc>
              <w:tc>
                <w:tcPr>
                  <w:tcW w:w="751" w:type="pct"/>
                  <w:tcBorders>
                    <w:top w:val="single" w:sz="6" w:space="0" w:color="BFBFBF"/>
                    <w:bottom w:val="single" w:sz="6" w:space="0" w:color="BFBFBF"/>
                  </w:tcBorders>
                </w:tcPr>
                <w:p w14:paraId="0B073A00" w14:textId="59BE74F8" w:rsidR="00A22FA2" w:rsidRDefault="00E94B47" w:rsidP="00A9064C">
                  <w:pPr>
                    <w:pStyle w:val="TableBodyText"/>
                  </w:pPr>
                  <w:r>
                    <w:noBreakHyphen/>
                  </w:r>
                </w:p>
              </w:tc>
              <w:tc>
                <w:tcPr>
                  <w:tcW w:w="754" w:type="pct"/>
                  <w:tcBorders>
                    <w:top w:val="single" w:sz="6" w:space="0" w:color="BFBFBF"/>
                    <w:bottom w:val="single" w:sz="6" w:space="0" w:color="BFBFBF"/>
                  </w:tcBorders>
                  <w:shd w:val="clear" w:color="auto" w:fill="auto"/>
                </w:tcPr>
                <w:p w14:paraId="1D9247C0" w14:textId="2D1C22C6" w:rsidR="00A22FA2" w:rsidRDefault="00A22FA2" w:rsidP="00FC22A6">
                  <w:pPr>
                    <w:pStyle w:val="TableBodyText"/>
                    <w:ind w:right="28"/>
                  </w:pPr>
                  <w:r>
                    <w:t>100.00</w:t>
                  </w:r>
                </w:p>
              </w:tc>
            </w:tr>
          </w:tbl>
          <w:p w14:paraId="45A2E8E3" w14:textId="77777777" w:rsidR="005B45F5" w:rsidRDefault="005B45F5" w:rsidP="00FC22A6">
            <w:pPr>
              <w:pStyle w:val="Box"/>
            </w:pPr>
          </w:p>
        </w:tc>
      </w:tr>
      <w:tr w:rsidR="005B45F5" w14:paraId="6DE52813" w14:textId="77777777" w:rsidTr="00A23812">
        <w:tc>
          <w:tcPr>
            <w:tcW w:w="5000" w:type="pct"/>
            <w:tcBorders>
              <w:top w:val="nil"/>
              <w:left w:val="nil"/>
              <w:bottom w:val="nil"/>
              <w:right w:val="nil"/>
            </w:tcBorders>
            <w:shd w:val="clear" w:color="auto" w:fill="auto"/>
          </w:tcPr>
          <w:p w14:paraId="5C5CC457" w14:textId="230A6711" w:rsidR="005B45F5" w:rsidRDefault="00833A00" w:rsidP="00FC22A6">
            <w:pPr>
              <w:pStyle w:val="Source"/>
            </w:pPr>
            <w:r>
              <w:rPr>
                <w:i/>
              </w:rPr>
              <w:t>Source</w:t>
            </w:r>
            <w:r w:rsidRPr="00167F06">
              <w:t xml:space="preserve">: </w:t>
            </w:r>
            <w:r>
              <w:t>Productivity Commission estimates.</w:t>
            </w:r>
          </w:p>
        </w:tc>
      </w:tr>
      <w:tr w:rsidR="005B45F5" w14:paraId="1A20F31D" w14:textId="77777777" w:rsidTr="00A23812">
        <w:tc>
          <w:tcPr>
            <w:tcW w:w="5000" w:type="pct"/>
            <w:tcBorders>
              <w:top w:val="nil"/>
              <w:left w:val="nil"/>
              <w:bottom w:val="single" w:sz="6" w:space="0" w:color="78A22F"/>
              <w:right w:val="nil"/>
            </w:tcBorders>
            <w:shd w:val="clear" w:color="auto" w:fill="auto"/>
          </w:tcPr>
          <w:p w14:paraId="0B3F6561" w14:textId="77777777" w:rsidR="005B45F5" w:rsidRDefault="005B45F5" w:rsidP="00FC22A6">
            <w:pPr>
              <w:pStyle w:val="Box"/>
              <w:spacing w:before="0" w:line="120" w:lineRule="exact"/>
            </w:pPr>
          </w:p>
        </w:tc>
      </w:tr>
      <w:tr w:rsidR="005B45F5" w:rsidRPr="000863A5" w14:paraId="1B8614B0" w14:textId="77777777" w:rsidTr="00A23812">
        <w:tc>
          <w:tcPr>
            <w:tcW w:w="5000" w:type="pct"/>
            <w:tcBorders>
              <w:top w:val="single" w:sz="6" w:space="0" w:color="78A22F"/>
              <w:left w:val="nil"/>
              <w:bottom w:val="nil"/>
              <w:right w:val="nil"/>
            </w:tcBorders>
          </w:tcPr>
          <w:p w14:paraId="7D1B4DD6" w14:textId="2C503FFA" w:rsidR="005B45F5" w:rsidRPr="00626D32" w:rsidRDefault="005B45F5" w:rsidP="00FC22A6">
            <w:pPr>
              <w:pStyle w:val="BoxSpaceBelow"/>
            </w:pPr>
          </w:p>
        </w:tc>
      </w:tr>
    </w:tbl>
    <w:p w14:paraId="2879932E" w14:textId="69D13374" w:rsidR="009E00DF" w:rsidRDefault="009A4E87" w:rsidP="00F6125F">
      <w:pPr>
        <w:pStyle w:val="Heading2"/>
      </w:pPr>
      <w:r>
        <w:fldChar w:fldCharType="begin"/>
      </w:r>
      <w:r>
        <w:instrText xml:space="preserve"> COMMENTS  \* MERGEFORMAT </w:instrText>
      </w:r>
      <w:r>
        <w:fldChar w:fldCharType="end"/>
      </w:r>
      <w:r w:rsidR="002D2773">
        <w:fldChar w:fldCharType="begin"/>
      </w:r>
      <w:r w:rsidR="002D2773">
        <w:instrText xml:space="preserve"> SEQ Heading2 </w:instrText>
      </w:r>
      <w:r w:rsidR="002D2773">
        <w:fldChar w:fldCharType="separate"/>
      </w:r>
      <w:r w:rsidR="002D2773">
        <w:rPr>
          <w:noProof/>
        </w:rPr>
        <w:t>4</w:t>
      </w:r>
      <w:r w:rsidR="002D2773">
        <w:rPr>
          <w:noProof/>
        </w:rPr>
        <w:fldChar w:fldCharType="end"/>
      </w:r>
      <w:r w:rsidR="00F6125F">
        <w:tab/>
        <w:t>Sensitivity testing</w:t>
      </w:r>
    </w:p>
    <w:p w14:paraId="547AA745" w14:textId="77777777" w:rsidR="00C14F1A" w:rsidRDefault="00C82C43" w:rsidP="00F6125F">
      <w:pPr>
        <w:pStyle w:val="BodyText"/>
      </w:pPr>
      <w:r>
        <w:t xml:space="preserve">Sensitivity testing was conducted to see how much each region’s index values </w:t>
      </w:r>
      <w:r w:rsidR="00311B69">
        <w:t xml:space="preserve">varied </w:t>
      </w:r>
      <w:r>
        <w:t>in response to</w:t>
      </w:r>
      <w:r w:rsidR="00C14F1A">
        <w:t>:</w:t>
      </w:r>
    </w:p>
    <w:p w14:paraId="59BB0721" w14:textId="73CB5604" w:rsidR="00C14F1A" w:rsidRDefault="00E74529" w:rsidP="00C14F1A">
      <w:pPr>
        <w:pStyle w:val="ListBullet"/>
      </w:pPr>
      <w:r>
        <w:t>performing</w:t>
      </w:r>
      <w:r w:rsidR="00C14F1A">
        <w:t xml:space="preserve"> </w:t>
      </w:r>
      <w:proofErr w:type="spellStart"/>
      <w:r w:rsidR="00C14F1A">
        <w:t>PCA</w:t>
      </w:r>
      <w:proofErr w:type="spellEnd"/>
      <w:r w:rsidR="00C14F1A">
        <w:t xml:space="preserve"> on all indicators at once rather than separately by capital type </w:t>
      </w:r>
    </w:p>
    <w:p w14:paraId="5F3CFA7A" w14:textId="770D686F" w:rsidR="00C14F1A" w:rsidRDefault="00C14F1A" w:rsidP="00C14F1A">
      <w:pPr>
        <w:pStyle w:val="ListBullet"/>
      </w:pPr>
      <w:r>
        <w:t>changes in the sample of regions included in the analysis</w:t>
      </w:r>
    </w:p>
    <w:p w14:paraId="4038FF19" w14:textId="42C0F266" w:rsidR="00C14F1A" w:rsidRDefault="00C14F1A" w:rsidP="00C14F1A">
      <w:pPr>
        <w:pStyle w:val="ListBullet"/>
      </w:pPr>
      <w:r>
        <w:t>changes in the indicators used to assess adaptive capacity.</w:t>
      </w:r>
    </w:p>
    <w:p w14:paraId="7571D16D" w14:textId="2C3658A2" w:rsidR="00EF60F7" w:rsidRDefault="00EF60F7" w:rsidP="00C14F1A">
      <w:pPr>
        <w:pStyle w:val="BodyText"/>
      </w:pPr>
      <w:r>
        <w:t xml:space="preserve">Results from the first sensitivity test </w:t>
      </w:r>
      <w:r w:rsidR="00D37B52">
        <w:t>(</w:t>
      </w:r>
      <w:r w:rsidR="009B5BA8">
        <w:t>in which</w:t>
      </w:r>
      <w:r w:rsidR="00D37B52">
        <w:t xml:space="preserve"> </w:t>
      </w:r>
      <w:r w:rsidR="007C5D32">
        <w:t xml:space="preserve">a metric was constructed from a </w:t>
      </w:r>
      <w:proofErr w:type="spellStart"/>
      <w:r w:rsidR="00D37B52">
        <w:t>PCA</w:t>
      </w:r>
      <w:proofErr w:type="spellEnd"/>
      <w:r w:rsidR="00D37B52">
        <w:t xml:space="preserve"> </w:t>
      </w:r>
      <w:r w:rsidR="007C5D32">
        <w:t xml:space="preserve">on </w:t>
      </w:r>
      <w:r w:rsidR="00D37B52">
        <w:t xml:space="preserve">all indicators at once) </w:t>
      </w:r>
      <w:r>
        <w:t xml:space="preserve">were similar to </w:t>
      </w:r>
      <w:r w:rsidR="00DD42AA">
        <w:t xml:space="preserve">the results </w:t>
      </w:r>
      <w:r>
        <w:t xml:space="preserve">from the index </w:t>
      </w:r>
      <w:r w:rsidR="009E2AF6">
        <w:t xml:space="preserve">reported </w:t>
      </w:r>
      <w:r>
        <w:t xml:space="preserve">in the initial report. </w:t>
      </w:r>
      <w:r w:rsidR="00D37B52">
        <w:t>The correlation between the two indexes was 0.88, and about three quarters of the regions in the least adaptive category of both indexes were the same.</w:t>
      </w:r>
      <w:r w:rsidR="00E94B47">
        <w:t xml:space="preserve"> </w:t>
      </w:r>
    </w:p>
    <w:p w14:paraId="01A748FC" w14:textId="73A78D37" w:rsidR="00DD09F4" w:rsidRDefault="00C14F1A" w:rsidP="00C14F1A">
      <w:pPr>
        <w:pStyle w:val="BodyText"/>
      </w:pPr>
      <w:r>
        <w:t xml:space="preserve">The last two aspects of the sensitivity testing were </w:t>
      </w:r>
      <w:r w:rsidR="009A2430">
        <w:t>done</w:t>
      </w:r>
      <w:r>
        <w:t xml:space="preserve"> concurrently through </w:t>
      </w:r>
      <w:r w:rsidR="00011B19">
        <w:t xml:space="preserve">a </w:t>
      </w:r>
      <w:r>
        <w:t>bootstrapping</w:t>
      </w:r>
      <w:r w:rsidR="001E3247">
        <w:t xml:space="preserve"> technique</w:t>
      </w:r>
      <w:r>
        <w:t xml:space="preserve">. </w:t>
      </w:r>
      <w:r w:rsidR="00C15A15">
        <w:t>Because the true adaptive capacity of a region is unknown, the true error in th</w:t>
      </w:r>
      <w:r w:rsidR="00976370">
        <w:t xml:space="preserve">e </w:t>
      </w:r>
      <w:r w:rsidR="00CB3FDC">
        <w:t xml:space="preserve">region’s </w:t>
      </w:r>
      <w:r w:rsidR="00976370">
        <w:t>adaptive capacity index value</w:t>
      </w:r>
      <w:r w:rsidR="00C15A15">
        <w:t xml:space="preserve"> </w:t>
      </w:r>
      <w:r w:rsidR="00976370">
        <w:t xml:space="preserve">is </w:t>
      </w:r>
      <w:r w:rsidR="00C15A15">
        <w:t xml:space="preserve">also unknown. </w:t>
      </w:r>
      <w:r w:rsidR="0054392B">
        <w:t xml:space="preserve">Bootstrapping uses the empirical distribution function of the original sample as an approximation for the true probability distribution of the population to help give a sense of the variability in the index of adaptive capacity. It </w:t>
      </w:r>
      <w:r w:rsidR="00D37B52">
        <w:t>involves running the same analysis many time</w:t>
      </w:r>
      <w:r w:rsidR="001E3247">
        <w:t xml:space="preserve">s on multiple new samples of data that are constructed </w:t>
      </w:r>
      <w:r w:rsidR="00F77183">
        <w:t xml:space="preserve">by </w:t>
      </w:r>
      <w:r w:rsidR="00CC372E">
        <w:t xml:space="preserve">random sampling with replacement </w:t>
      </w:r>
      <w:r w:rsidR="001E3247">
        <w:t xml:space="preserve">from the </w:t>
      </w:r>
      <w:r w:rsidR="000E220A">
        <w:t xml:space="preserve">initial </w:t>
      </w:r>
      <w:r w:rsidR="00C05C03">
        <w:t>dataset</w:t>
      </w:r>
      <w:r w:rsidR="001E3247">
        <w:t>.</w:t>
      </w:r>
      <w:r w:rsidR="00CC372E">
        <w:t xml:space="preserve"> </w:t>
      </w:r>
      <w:r w:rsidR="004E362B">
        <w:t xml:space="preserve">These new samples have the same number of observations as the initial dataset. </w:t>
      </w:r>
      <w:r w:rsidR="00F933C8">
        <w:t>(</w:t>
      </w:r>
      <w:r w:rsidR="00DD09F4">
        <w:t xml:space="preserve">This means that </w:t>
      </w:r>
      <w:r w:rsidR="00423D05">
        <w:t xml:space="preserve">the new </w:t>
      </w:r>
      <w:r w:rsidR="00F933C8">
        <w:t xml:space="preserve">samples will </w:t>
      </w:r>
      <w:r w:rsidR="00423D05">
        <w:t xml:space="preserve">likely </w:t>
      </w:r>
      <w:r w:rsidR="00F933C8">
        <w:t xml:space="preserve">have </w:t>
      </w:r>
      <w:r w:rsidR="00FA2BF7">
        <w:t xml:space="preserve">multiple observations </w:t>
      </w:r>
      <w:r w:rsidR="00DD09F4">
        <w:t xml:space="preserve">of a particular region, </w:t>
      </w:r>
      <w:r w:rsidR="002C28D9">
        <w:t xml:space="preserve">while other regions </w:t>
      </w:r>
      <w:r w:rsidR="006736BC">
        <w:t>may</w:t>
      </w:r>
      <w:r w:rsidR="002C28D9">
        <w:t xml:space="preserve"> not appear in </w:t>
      </w:r>
      <w:r w:rsidR="003D09F5">
        <w:t xml:space="preserve">a particular </w:t>
      </w:r>
      <w:r w:rsidR="002C28D9">
        <w:t>sample</w:t>
      </w:r>
      <w:r w:rsidR="003D09F5">
        <w:t xml:space="preserve"> at all</w:t>
      </w:r>
      <w:r w:rsidR="00F933C8">
        <w:t>.)</w:t>
      </w:r>
    </w:p>
    <w:p w14:paraId="5E5AE016" w14:textId="09A79968" w:rsidR="00FC2B88" w:rsidRDefault="00FC2B88" w:rsidP="00C14F1A">
      <w:pPr>
        <w:pStyle w:val="BodyText"/>
      </w:pPr>
      <w:r>
        <w:lastRenderedPageBreak/>
        <w:t xml:space="preserve">In the current analysis, 1000 bootstrap samples were formed, </w:t>
      </w:r>
      <w:r w:rsidR="00E37F2C">
        <w:t xml:space="preserve">and the sensitivity of the index results to </w:t>
      </w:r>
      <w:r w:rsidR="00811AA9">
        <w:t xml:space="preserve">these </w:t>
      </w:r>
      <w:r w:rsidR="00E37F2C">
        <w:t xml:space="preserve">changes in the sample of regions could be </w:t>
      </w:r>
      <w:r w:rsidR="00811AA9">
        <w:t>examined</w:t>
      </w:r>
      <w:r w:rsidR="00E37F2C">
        <w:t>.</w:t>
      </w:r>
      <w:r w:rsidR="00811AA9">
        <w:t xml:space="preserve"> </w:t>
      </w:r>
      <w:r w:rsidR="000E220A">
        <w:t>F</w:t>
      </w:r>
      <w:r w:rsidR="00811AA9">
        <w:t>or each of the 1000 bootstrap samples,</w:t>
      </w:r>
      <w:r w:rsidR="00CF445B">
        <w:t xml:space="preserve"> one indicator of adaptive capacity was removed from the analysis each time </w:t>
      </w:r>
      <w:r w:rsidR="00727F23">
        <w:t xml:space="preserve">in order to assess the effect of small changes in </w:t>
      </w:r>
      <w:r w:rsidR="00840526">
        <w:t xml:space="preserve">the set of </w:t>
      </w:r>
      <w:r w:rsidR="00727F23">
        <w:t>indicators on the index results</w:t>
      </w:r>
      <w:r w:rsidR="00CF445B">
        <w:t xml:space="preserve">. </w:t>
      </w:r>
      <w:r w:rsidR="00CB3E54">
        <w:t>Every indicator was tested by removing each one in turn</w:t>
      </w:r>
      <w:r w:rsidR="000E220A">
        <w:t xml:space="preserve">. </w:t>
      </w:r>
      <w:r w:rsidR="00CF445B">
        <w:t xml:space="preserve">As there were a total of 18 indicators, that means there was a total of 18 000 calculations of the index for each region </w:t>
      </w:r>
      <w:r w:rsidR="00727F23">
        <w:t>using this bootstrapping technique</w:t>
      </w:r>
      <w:r w:rsidR="00CF445B">
        <w:t>.</w:t>
      </w:r>
    </w:p>
    <w:p w14:paraId="6797632A" w14:textId="1AEBB12C" w:rsidR="00B63F31" w:rsidRDefault="00727F23" w:rsidP="00F6125F">
      <w:pPr>
        <w:pStyle w:val="BodyText"/>
      </w:pPr>
      <w:r>
        <w:t xml:space="preserve">The distribution of each region’s index values </w:t>
      </w:r>
      <w:r w:rsidR="002D1E94">
        <w:t xml:space="preserve">from the bootstrapping analysis </w:t>
      </w:r>
      <w:r>
        <w:t>was examined to see how sensitive the results were</w:t>
      </w:r>
      <w:r w:rsidR="0090694E">
        <w:t>, and</w:t>
      </w:r>
      <w:r w:rsidR="004A3E3D">
        <w:t xml:space="preserve"> </w:t>
      </w:r>
      <w:r w:rsidR="0090694E">
        <w:t>t</w:t>
      </w:r>
      <w:r w:rsidR="004A3E3D">
        <w:t>he 5</w:t>
      </w:r>
      <w:r w:rsidR="0068583B" w:rsidRPr="006175AE">
        <w:rPr>
          <w:vertAlign w:val="superscript"/>
        </w:rPr>
        <w:t>th</w:t>
      </w:r>
      <w:r w:rsidR="004A3E3D">
        <w:t> and 95</w:t>
      </w:r>
      <w:r w:rsidR="0068583B" w:rsidRPr="006175AE">
        <w:rPr>
          <w:vertAlign w:val="superscript"/>
        </w:rPr>
        <w:t>th</w:t>
      </w:r>
      <w:r w:rsidR="004A3E3D">
        <w:t xml:space="preserve"> percentiles </w:t>
      </w:r>
      <w:r>
        <w:t xml:space="preserve">of each region’s </w:t>
      </w:r>
      <w:r w:rsidR="002D1E94">
        <w:t xml:space="preserve">distribution of index values </w:t>
      </w:r>
      <w:r w:rsidR="0090694E">
        <w:t xml:space="preserve">were </w:t>
      </w:r>
      <w:r>
        <w:t xml:space="preserve">plotted </w:t>
      </w:r>
      <w:r w:rsidR="00E41CDD">
        <w:t>(</w:t>
      </w:r>
      <w:r>
        <w:t>figure</w:t>
      </w:r>
      <w:r w:rsidR="008B66ED">
        <w:t> </w:t>
      </w:r>
      <w:r w:rsidR="0090694E">
        <w:t>4</w:t>
      </w:r>
      <w:r w:rsidR="00E41CDD">
        <w:t>)</w:t>
      </w:r>
      <w:r>
        <w:t>.</w:t>
      </w:r>
      <w:r w:rsidR="004A3E3D">
        <w:t xml:space="preserve"> It was found that</w:t>
      </w:r>
      <w:r w:rsidR="00DF5725">
        <w:t xml:space="preserve"> </w:t>
      </w:r>
      <w:r w:rsidR="004F6090">
        <w:t xml:space="preserve">many </w:t>
      </w:r>
      <w:r w:rsidR="00DF5725">
        <w:t>regions had</w:t>
      </w:r>
      <w:r w:rsidR="004A3E3D">
        <w:t xml:space="preserve"> </w:t>
      </w:r>
      <w:r w:rsidR="00DF5725">
        <w:t xml:space="preserve">particularly </w:t>
      </w:r>
      <w:r w:rsidR="004A3E3D">
        <w:t xml:space="preserve">large intervals, indicating greater uncertainty in </w:t>
      </w:r>
      <w:r w:rsidR="0018006E">
        <w:t xml:space="preserve">their </w:t>
      </w:r>
      <w:r w:rsidR="004A3E3D">
        <w:t xml:space="preserve">index values and </w:t>
      </w:r>
      <w:r w:rsidR="005609C3">
        <w:t xml:space="preserve">relative </w:t>
      </w:r>
      <w:r w:rsidR="004A3E3D">
        <w:t xml:space="preserve">rankings. </w:t>
      </w:r>
    </w:p>
    <w:p w14:paraId="3400ED07" w14:textId="1B830479" w:rsidR="00CB3E54" w:rsidRDefault="00CB3E54" w:rsidP="0087237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w:tblPr>
      <w:tblGrid>
        <w:gridCol w:w="8789"/>
      </w:tblGrid>
      <w:tr w:rsidR="00CB3E54" w14:paraId="0F7406D7" w14:textId="77777777" w:rsidTr="00A23812">
        <w:trPr>
          <w:tblHeader/>
        </w:trPr>
        <w:tc>
          <w:tcPr>
            <w:tcW w:w="5000" w:type="pct"/>
            <w:tcBorders>
              <w:top w:val="single" w:sz="6" w:space="0" w:color="78A22F"/>
              <w:left w:val="nil"/>
              <w:bottom w:val="nil"/>
              <w:right w:val="nil"/>
            </w:tcBorders>
            <w:hideMark/>
          </w:tcPr>
          <w:p w14:paraId="2291E3F6" w14:textId="0C80A7AE" w:rsidR="00CB3E54" w:rsidRDefault="00CB3E54">
            <w:pPr>
              <w:pStyle w:val="FigureTitle"/>
            </w:pPr>
            <w:r>
              <w:rPr>
                <w:b w:val="0"/>
              </w:rPr>
              <w:t xml:space="preserve">Figure </w:t>
            </w:r>
            <w:bookmarkStart w:id="5" w:name="OLE_LINK1"/>
            <w:r>
              <w:fldChar w:fldCharType="begin"/>
            </w:r>
            <w:r>
              <w:rPr>
                <w:b w:val="0"/>
              </w:rPr>
              <w:instrText xml:space="preserve"> COMMENTS  \* MERGEFORMAT </w:instrText>
            </w:r>
            <w:r>
              <w:fldChar w:fldCharType="end"/>
            </w:r>
            <w:r>
              <w:fldChar w:fldCharType="begin"/>
            </w:r>
            <w:r>
              <w:rPr>
                <w:b w:val="0"/>
              </w:rPr>
              <w:instrText xml:space="preserve"> SEQ Figure \* ARABIC </w:instrText>
            </w:r>
            <w:r>
              <w:fldChar w:fldCharType="separate"/>
            </w:r>
            <w:r w:rsidR="002D2773">
              <w:rPr>
                <w:b w:val="0"/>
                <w:noProof/>
              </w:rPr>
              <w:t>4</w:t>
            </w:r>
            <w:r>
              <w:fldChar w:fldCharType="end"/>
            </w:r>
            <w:bookmarkEnd w:id="5"/>
            <w:r>
              <w:tab/>
              <w:t>High uncertainty in the rankings of adaptive capacity</w:t>
            </w:r>
          </w:p>
          <w:p w14:paraId="51E3139B" w14:textId="77777777" w:rsidR="00CB3E54" w:rsidRDefault="00CB3E54">
            <w:pPr>
              <w:pStyle w:val="Subtitle"/>
            </w:pPr>
            <w:r>
              <w:t>Index values for each region and their 90 per cent confident intervals, regions sorted from lowest to highest</w:t>
            </w:r>
            <w:r>
              <w:rPr>
                <w:rStyle w:val="NoteLabel"/>
              </w:rPr>
              <w:t>a</w:t>
            </w:r>
          </w:p>
        </w:tc>
      </w:tr>
      <w:tr w:rsidR="00CB3E54" w14:paraId="79D6C027" w14:textId="77777777" w:rsidTr="00A23812">
        <w:tc>
          <w:tcPr>
            <w:tcW w:w="5000" w:type="pct"/>
            <w:tcBorders>
              <w:top w:val="nil"/>
              <w:left w:val="nil"/>
              <w:bottom w:val="nil"/>
              <w:right w:val="nil"/>
            </w:tcBorders>
            <w:tcMar>
              <w:top w:w="28" w:type="dxa"/>
              <w:left w:w="142" w:type="dxa"/>
              <w:bottom w:w="28" w:type="dxa"/>
              <w:right w:w="142" w:type="dxa"/>
            </w:tcMar>
            <w:hideMark/>
          </w:tcPr>
          <w:tbl>
            <w:tblPr>
              <w:tblW w:w="8508" w:type="dxa"/>
              <w:jc w:val="center"/>
              <w:tblBorders>
                <w:top w:val="single" w:sz="6" w:space="0" w:color="F2F2F2" w:themeColor="accent4"/>
                <w:bottom w:val="single" w:sz="6" w:space="0" w:color="F2F2F2" w:themeColor="accent4"/>
              </w:tblBorders>
              <w:tblCellMar>
                <w:top w:w="28" w:type="dxa"/>
                <w:left w:w="0" w:type="dxa"/>
                <w:right w:w="0" w:type="dxa"/>
              </w:tblCellMar>
              <w:tblLook w:val="04A0" w:firstRow="1" w:lastRow="0" w:firstColumn="1" w:lastColumn="0" w:noHBand="0" w:noVBand="1"/>
              <w:tblDescription w:val="Nested table used for design layout."/>
            </w:tblPr>
            <w:tblGrid>
              <w:gridCol w:w="8508"/>
            </w:tblGrid>
            <w:tr w:rsidR="00CB3E54" w14:paraId="6A9252A7" w14:textId="77777777" w:rsidTr="00A23812">
              <w:trPr>
                <w:tblHeader/>
                <w:jc w:val="center"/>
              </w:trPr>
              <w:tc>
                <w:tcPr>
                  <w:tcW w:w="5000" w:type="pct"/>
                  <w:tcBorders>
                    <w:top w:val="nil"/>
                    <w:left w:val="nil"/>
                    <w:bottom w:val="nil"/>
                    <w:right w:val="nil"/>
                  </w:tcBorders>
                  <w:hideMark/>
                </w:tcPr>
                <w:p w14:paraId="71371E4D" w14:textId="09401044" w:rsidR="00CB3E54" w:rsidRDefault="00CB3E54">
                  <w:pPr>
                    <w:pStyle w:val="Figure"/>
                    <w:spacing w:before="60" w:after="60"/>
                    <w:rPr>
                      <w:rFonts w:ascii="Arial" w:hAnsi="Arial" w:cs="Arial"/>
                      <w:sz w:val="18"/>
                      <w:szCs w:val="18"/>
                    </w:rPr>
                  </w:pPr>
                  <w:r>
                    <w:rPr>
                      <w:rFonts w:ascii="Arial" w:hAnsi="Arial" w:cs="Arial"/>
                      <w:noProof/>
                      <w:sz w:val="18"/>
                      <w:szCs w:val="18"/>
                    </w:rPr>
                    <w:drawing>
                      <wp:inline distT="0" distB="0" distL="0" distR="0" wp14:anchorId="363BED07" wp14:editId="38C03D27">
                        <wp:extent cx="5391150" cy="3400425"/>
                        <wp:effectExtent l="0" t="0" r="0" b="0"/>
                        <wp:docPr id="21" name="Picture 21" descr="This chart shows the degree of uncertainty around values and rankings of regions for the index of adaptive capacity. Regions are ordered by their final index value and grouped into least adaptive (244 regions), below average (748), above average (837) and most adaptive (256) categories. Their 90 per cent confidence intervals are plotted and remoteness is represented in the colour of the intervals. More remote areas tend to have lower adaptive capacity, but there is a relatively high degree of uncertainty in their index values. Further information can be found in the text surrounding the figure." title="High uncertainty in the rankings of adaptive capacity"/>
                        <wp:cNvGraphicFramePr/>
                        <a:graphic xmlns:a="http://schemas.openxmlformats.org/drawingml/2006/main">
                          <a:graphicData uri="http://schemas.openxmlformats.org/drawingml/2006/picture">
                            <pic:pic xmlns:pic="http://schemas.openxmlformats.org/drawingml/2006/picture">
                              <pic:nvPicPr>
                                <pic:cNvPr id="9" name="Picture 9" descr="This chart shows the degree of uncertainty around values and rankings of regions for the index of adaptive capacity. Regions are ordered by their final index value and grouped into least adaptive (244 regions), below average (748), above average (837) and most adaptive (256) categories. Their 90 per cent confidence intervals are plotted and remoteness is represented in the colour of the intervals. More remote areas tend to have lower adaptive capacity, but there is a relatively high degree of uncertainty in their index values. Further information can be found in the text surrounding the figure." title="High uncertainty in the rankings of adaptive capacity"/>
                                <pic:cNvPicPr/>
                              </pic:nvPicPr>
                              <pic:blipFill rotWithShape="1">
                                <a:blip r:embed="rId23" cstate="print">
                                  <a:extLst>
                                    <a:ext uri="{28A0092B-C50C-407E-A947-70E740481C1C}">
                                      <a14:useLocalDpi xmlns:a14="http://schemas.microsoft.com/office/drawing/2010/main" val="0"/>
                                    </a:ext>
                                  </a:extLst>
                                </a:blip>
                                <a:srcRect t="1855" b="3528"/>
                                <a:stretch/>
                              </pic:blipFill>
                              <pic:spPr bwMode="auto">
                                <a:xfrm>
                                  <a:off x="0" y="0"/>
                                  <a:ext cx="5400040" cy="340603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A79B30D" w14:textId="77777777" w:rsidR="00CB3E54" w:rsidRDefault="00CB3E54">
            <w:pPr>
              <w:pStyle w:val="Figure"/>
            </w:pPr>
          </w:p>
        </w:tc>
      </w:tr>
      <w:tr w:rsidR="00CB3E54" w14:paraId="30E4D755" w14:textId="77777777" w:rsidTr="00A23812">
        <w:tc>
          <w:tcPr>
            <w:tcW w:w="5000" w:type="pct"/>
            <w:tcBorders>
              <w:top w:val="nil"/>
              <w:left w:val="nil"/>
              <w:bottom w:val="nil"/>
              <w:right w:val="nil"/>
            </w:tcBorders>
            <w:hideMark/>
          </w:tcPr>
          <w:p w14:paraId="3E968E7B" w14:textId="4AEFE480" w:rsidR="00CB3E54" w:rsidRDefault="00CB3E54" w:rsidP="00072999">
            <w:pPr>
              <w:pStyle w:val="Note"/>
            </w:pPr>
            <w:r>
              <w:rPr>
                <w:rStyle w:val="NoteLabel"/>
              </w:rPr>
              <w:t>a</w:t>
            </w:r>
            <w:r>
              <w:t xml:space="preserve"> Regions are defined by the ABS Statistical Area Level 2 classification. The top and bottom group of regions are defined as those above and below one standard deviation of the mean index value of adaptive capacity across all regions. Regions are ordered based on their index value, where the whiskers represent the upper and lower 5 percentiles (90 per cent confidence intervals) of the region’s index value across </w:t>
            </w:r>
            <w:r w:rsidR="00FF6E87">
              <w:t xml:space="preserve">bootstrapping </w:t>
            </w:r>
            <w:r>
              <w:t xml:space="preserve">analysis. Remoteness of regions is represented in the colouring of the lines. Of the bottom 244 regions, 126 are in major cities, 45 are inner regional, 35 outer regional, 8 remote and 30 very remote. </w:t>
            </w:r>
          </w:p>
        </w:tc>
      </w:tr>
      <w:tr w:rsidR="00CB3E54" w14:paraId="7B627C94" w14:textId="77777777" w:rsidTr="00A23812">
        <w:tc>
          <w:tcPr>
            <w:tcW w:w="5000" w:type="pct"/>
            <w:tcBorders>
              <w:top w:val="nil"/>
              <w:left w:val="nil"/>
              <w:bottom w:val="nil"/>
              <w:right w:val="nil"/>
            </w:tcBorders>
            <w:hideMark/>
          </w:tcPr>
          <w:p w14:paraId="562598C4" w14:textId="77777777" w:rsidR="00CB3E54" w:rsidRDefault="00CB3E54">
            <w:pPr>
              <w:pStyle w:val="Source"/>
            </w:pPr>
            <w:r>
              <w:rPr>
                <w:i/>
              </w:rPr>
              <w:t>Source</w:t>
            </w:r>
            <w:r>
              <w:t>: Productivity Commission estimates.</w:t>
            </w:r>
          </w:p>
        </w:tc>
      </w:tr>
      <w:tr w:rsidR="00CB3E54" w14:paraId="482520AC" w14:textId="77777777" w:rsidTr="00A23812">
        <w:tc>
          <w:tcPr>
            <w:tcW w:w="5000" w:type="pct"/>
            <w:tcBorders>
              <w:top w:val="nil"/>
              <w:left w:val="nil"/>
              <w:bottom w:val="single" w:sz="6" w:space="0" w:color="78A22F"/>
              <w:right w:val="nil"/>
            </w:tcBorders>
          </w:tcPr>
          <w:p w14:paraId="0C5230C1" w14:textId="77777777" w:rsidR="00CB3E54" w:rsidRDefault="00CB3E54">
            <w:pPr>
              <w:pStyle w:val="Figurespace"/>
            </w:pPr>
          </w:p>
        </w:tc>
      </w:tr>
      <w:tr w:rsidR="00CB3E54" w14:paraId="22CF9481" w14:textId="77777777" w:rsidTr="00A23812">
        <w:tc>
          <w:tcPr>
            <w:tcW w:w="5000" w:type="pct"/>
            <w:tcBorders>
              <w:top w:val="single" w:sz="6" w:space="0" w:color="78A22F"/>
              <w:left w:val="nil"/>
              <w:bottom w:val="nil"/>
              <w:right w:val="nil"/>
            </w:tcBorders>
            <w:hideMark/>
          </w:tcPr>
          <w:p w14:paraId="5363480A" w14:textId="3E55EB6B" w:rsidR="00CB3E54" w:rsidRDefault="00CB3E54">
            <w:pPr>
              <w:pStyle w:val="BoxSpaceBelow"/>
            </w:pPr>
          </w:p>
        </w:tc>
      </w:tr>
    </w:tbl>
    <w:p w14:paraId="36381450" w14:textId="53332FD7" w:rsidR="00B63F31" w:rsidRDefault="00B63F31" w:rsidP="00B63F31">
      <w:pPr>
        <w:pStyle w:val="BodyText"/>
      </w:pPr>
      <w:r>
        <w:lastRenderedPageBreak/>
        <w:t xml:space="preserve">The rankings of more remote regions tend to be more sensitive to changes in indicators, mainly due to physical and natural capital factors, as well as industry diversity. For example, the very remote </w:t>
      </w:r>
      <w:proofErr w:type="spellStart"/>
      <w:r>
        <w:t>SA2</w:t>
      </w:r>
      <w:proofErr w:type="spellEnd"/>
      <w:r>
        <w:t xml:space="preserve"> of Newman, a mining region in Western Australia, is categorised as being below average in adaptive capacity. </w:t>
      </w:r>
      <w:r w:rsidR="003F3632">
        <w:t xml:space="preserve">The main contributors to its index score </w:t>
      </w:r>
      <w:r w:rsidR="003D5101">
        <w:t>are</w:t>
      </w:r>
      <w:r w:rsidR="003F3632">
        <w:t xml:space="preserve"> its high natural capital and low industry diversity</w:t>
      </w:r>
      <w:r w:rsidR="00D82CD1">
        <w:t>.</w:t>
      </w:r>
      <w:r w:rsidR="003F3632">
        <w:t xml:space="preserve"> </w:t>
      </w:r>
      <w:r w:rsidR="00D82CD1">
        <w:t>Newman’s score on the index changes vastly when these indicators are removed</w:t>
      </w:r>
      <w:r w:rsidR="009903E1">
        <w:t xml:space="preserve"> from the index</w:t>
      </w:r>
      <w:r w:rsidR="003F3632">
        <w:t xml:space="preserve">. </w:t>
      </w:r>
      <w:r w:rsidR="00645958">
        <w:t>Based on</w:t>
      </w:r>
      <w:r w:rsidR="001D0A4F">
        <w:t xml:space="preserve"> its lower confidence limit</w:t>
      </w:r>
      <w:r w:rsidR="00645958">
        <w:t xml:space="preserve"> </w:t>
      </w:r>
      <w:r w:rsidR="00B8279B">
        <w:t>from</w:t>
      </w:r>
      <w:r w:rsidR="00645958">
        <w:t xml:space="preserve"> the bootstrapping analysis</w:t>
      </w:r>
      <w:r w:rsidR="001D0A4F">
        <w:t xml:space="preserve">, it would be placed in the least adaptive capacity category, </w:t>
      </w:r>
      <w:r w:rsidR="00D14861">
        <w:t>whereas</w:t>
      </w:r>
      <w:r w:rsidR="001D0A4F">
        <w:t xml:space="preserve"> according to its upper confidence limit, it would be placed in the most adaptive capacity category. </w:t>
      </w:r>
    </w:p>
    <w:p w14:paraId="2070101D" w14:textId="70D2E9E1" w:rsidR="00B63F31" w:rsidRDefault="00B63F31" w:rsidP="00B63F31">
      <w:pPr>
        <w:pStyle w:val="BodyText"/>
      </w:pPr>
      <w:r>
        <w:t>Sensitivity testing results are discussed further in chapter</w:t>
      </w:r>
      <w:r w:rsidR="00E94B47">
        <w:t> </w:t>
      </w:r>
      <w:r>
        <w:t xml:space="preserve">4. Attachment A contains a spreadsheet of index scores for each region, as well as their 90 per cent confidence intervals based on the bootstrapping analysis. </w:t>
      </w:r>
    </w:p>
    <w:p w14:paraId="15A8AE85" w14:textId="3EAD6BD8" w:rsidR="00CB3E54" w:rsidRDefault="009A4E87" w:rsidP="00FC74E5">
      <w:pPr>
        <w:pStyle w:val="Heading2"/>
      </w:pPr>
      <w:r>
        <w:fldChar w:fldCharType="begin"/>
      </w:r>
      <w:r>
        <w:instrText xml:space="preserve"> COMMENTS  \* MERGEFORMAT </w:instrText>
      </w:r>
      <w:r>
        <w:fldChar w:fldCharType="end"/>
      </w:r>
      <w:r w:rsidR="002D2773">
        <w:fldChar w:fldCharType="begin"/>
      </w:r>
      <w:r w:rsidR="002D2773">
        <w:instrText xml:space="preserve"> SEQ Heading2 </w:instrText>
      </w:r>
      <w:r w:rsidR="002D2773">
        <w:fldChar w:fldCharType="separate"/>
      </w:r>
      <w:r w:rsidR="002D2773">
        <w:rPr>
          <w:noProof/>
        </w:rPr>
        <w:t>5</w:t>
      </w:r>
      <w:r w:rsidR="002D2773">
        <w:rPr>
          <w:noProof/>
        </w:rPr>
        <w:fldChar w:fldCharType="end"/>
      </w:r>
      <w:r w:rsidR="00FC74E5">
        <w:tab/>
        <w:t>Results discussion</w:t>
      </w:r>
    </w:p>
    <w:p w14:paraId="111EF21E" w14:textId="1E0F08B3" w:rsidR="00FC74E5" w:rsidRDefault="00822DBD" w:rsidP="0087237D">
      <w:pPr>
        <w:pStyle w:val="BodyText"/>
      </w:pPr>
      <w:r>
        <w:t xml:space="preserve">A map of </w:t>
      </w:r>
      <w:r w:rsidR="00256130">
        <w:t>the</w:t>
      </w:r>
      <w:r>
        <w:t xml:space="preserve"> </w:t>
      </w:r>
      <w:r w:rsidR="00650D01">
        <w:t>relative a</w:t>
      </w:r>
      <w:r>
        <w:t xml:space="preserve">daptive capacity </w:t>
      </w:r>
      <w:r w:rsidR="00256130">
        <w:t xml:space="preserve">of regions across Australia </w:t>
      </w:r>
      <w:r>
        <w:t>is presented in figure</w:t>
      </w:r>
      <w:r w:rsidR="00256130">
        <w:t> </w:t>
      </w:r>
      <w:r>
        <w:t xml:space="preserve">5. The least adaptive regions are spread across all areas of Australia, including remote, regional and urban areas. </w:t>
      </w:r>
      <w:r w:rsidR="00256130">
        <w:t>Appendix</w:t>
      </w:r>
      <w:r w:rsidR="00E94B47">
        <w:t> </w:t>
      </w:r>
      <w:r w:rsidR="00256130">
        <w:t xml:space="preserve">B contains further maps for each state and territory, </w:t>
      </w:r>
      <w:r w:rsidR="00806BB1">
        <w:t>as well as</w:t>
      </w:r>
      <w:r w:rsidR="00256130">
        <w:t xml:space="preserve"> lists of regions by their category of adaptive capacity, in alphabetical order.</w:t>
      </w:r>
    </w:p>
    <w:p w14:paraId="5969E204" w14:textId="5BE0B5D9" w:rsidR="00E644B9" w:rsidRPr="00FC74E5" w:rsidRDefault="00E644B9" w:rsidP="00E644B9">
      <w:pPr>
        <w:pStyle w:val="BodyText"/>
      </w:pPr>
      <w:r>
        <w:t>The relative numbers of regions and of people within the least adaptive category are illustrated in figures</w:t>
      </w:r>
      <w:r w:rsidR="008B66ED">
        <w:t> </w:t>
      </w:r>
      <w:r>
        <w:t>6 and 7 respectively. When compared with the national shares of regions by remoteness, a relatively larger share of the least adaptive regions are those in major cities and very remote areas (figure</w:t>
      </w:r>
      <w:r w:rsidR="008B66ED">
        <w:t> </w:t>
      </w:r>
      <w:r>
        <w:t xml:space="preserve">6). In terms of numbers of people, an even larger share are in major cities, particularly in Sydney, Melbourne and Adelaide (figure 7). The share of people in the least adaptive very remote regions (while still large compared with the national share of people in very remote regions) is smaller when compared with the share of least adaptive </w:t>
      </w:r>
      <w:r w:rsidRPr="0087237D">
        <w:rPr>
          <w:i/>
        </w:rPr>
        <w:t>regions</w:t>
      </w:r>
      <w:r>
        <w:t xml:space="preserve"> that are very remote, due to the sparse populations in these areas. </w:t>
      </w:r>
    </w:p>
    <w:p w14:paraId="768F8B43" w14:textId="2D251115" w:rsidR="00715C75" w:rsidRPr="00B95859" w:rsidRDefault="00715C75" w:rsidP="00715C75">
      <w:pPr>
        <w:pStyle w:val="BodyText"/>
        <w:rPr>
          <w:rFonts w:eastAsiaTheme="minorEastAsia"/>
        </w:rPr>
      </w:pPr>
      <w:r>
        <w:t>The least adaptive regions can also be examined by their main sources of employment (chapter</w:t>
      </w:r>
      <w:r w:rsidR="00E94B47">
        <w:t> </w:t>
      </w:r>
      <w:r>
        <w:t xml:space="preserve">4). Manufacturing is the main source of employment for about 40 per cent of these regions, including over 70 per cent of the least adaptive regions in major cities. This compares to only 11 per cent of regions not in the least adaptive category. </w:t>
      </w:r>
      <w:r>
        <w:rPr>
          <w:rFonts w:eastAsiaTheme="minorEastAsia"/>
        </w:rPr>
        <w:t>In contrast, the share of services in regions that are the least adaptive is much lower than for all other regions — about 50 per cent compared to 75 per cent.</w:t>
      </w:r>
    </w:p>
    <w:p w14:paraId="7BDE9348" w14:textId="4353BF8F" w:rsidR="00715C75" w:rsidRDefault="00715C75" w:rsidP="00715C75">
      <w:pPr>
        <w:pStyle w:val="BodyText"/>
      </w:pPr>
      <w:r>
        <w:t xml:space="preserve">There are very few regions with mining as their main source of employment in the least adaptive category. </w:t>
      </w:r>
      <w:r w:rsidR="006B23D7">
        <w:t xml:space="preserve">The regions that </w:t>
      </w:r>
      <w:r w:rsidR="00430786">
        <w:t xml:space="preserve">do </w:t>
      </w:r>
      <w:r w:rsidR="007C2DEC">
        <w:t xml:space="preserve">fit this description </w:t>
      </w:r>
      <w:r>
        <w:t xml:space="preserve">are in very remote areas and tend to have low rates of broadband access, suggesting that other physical infrastructure and services in these areas may also be limited, thus </w:t>
      </w:r>
      <w:r w:rsidR="00BA3601">
        <w:t xml:space="preserve">affecting </w:t>
      </w:r>
      <w:r>
        <w:t>their adaptive capacity.</w:t>
      </w:r>
    </w:p>
    <w:p w14:paraId="766EA016" w14:textId="7420D155" w:rsidR="00E644B9" w:rsidRPr="00FC74E5" w:rsidRDefault="00715C75" w:rsidP="0087237D">
      <w:pPr>
        <w:pStyle w:val="BodyText"/>
      </w:pPr>
      <w:r>
        <w:t>A more detailed discussion of the index of adaptive capacity results can be found in chapter</w:t>
      </w:r>
      <w:r w:rsidR="00E94B47">
        <w:t> </w:t>
      </w:r>
      <w:r>
        <w:t>4.</w:t>
      </w:r>
    </w:p>
    <w:p w14:paraId="6B75EFD3" w14:textId="781D1698" w:rsidR="00437742" w:rsidRDefault="00437742" w:rsidP="0043774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37742" w14:paraId="5BEE2FC9" w14:textId="77777777" w:rsidTr="00A23812">
        <w:trPr>
          <w:tblHeader/>
        </w:trPr>
        <w:tc>
          <w:tcPr>
            <w:tcW w:w="5000" w:type="pct"/>
            <w:tcBorders>
              <w:top w:val="single" w:sz="6" w:space="0" w:color="78A22F"/>
              <w:left w:val="nil"/>
              <w:bottom w:val="nil"/>
              <w:right w:val="nil"/>
            </w:tcBorders>
            <w:shd w:val="clear" w:color="auto" w:fill="auto"/>
          </w:tcPr>
          <w:p w14:paraId="267E7228" w14:textId="073FAD64" w:rsidR="00437742" w:rsidRPr="00176D3F" w:rsidRDefault="00437742" w:rsidP="00005882">
            <w:pPr>
              <w:pStyle w:val="FigureTitle"/>
            </w:pPr>
            <w:r w:rsidRPr="00784A05">
              <w:rPr>
                <w:b w:val="0"/>
              </w:rPr>
              <w:t xml:space="preserve">Figure </w:t>
            </w:r>
            <w:bookmarkStart w:id="6" w:name="OLE_LINK4"/>
            <w:r w:rsidR="00932F14" w:rsidRPr="00784A05">
              <w:rPr>
                <w:b w:val="0"/>
              </w:rPr>
              <w:fldChar w:fldCharType="begin"/>
            </w:r>
            <w:r w:rsidR="00932F14" w:rsidRPr="00784A05">
              <w:rPr>
                <w:b w:val="0"/>
              </w:rPr>
              <w:instrText xml:space="preserve"> COMMENTS  \* MERGEFORMAT </w:instrText>
            </w:r>
            <w:r w:rsidR="00932F14"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D2773">
              <w:rPr>
                <w:b w:val="0"/>
                <w:noProof/>
              </w:rPr>
              <w:t>5</w:t>
            </w:r>
            <w:r w:rsidRPr="00784A05">
              <w:rPr>
                <w:b w:val="0"/>
              </w:rPr>
              <w:fldChar w:fldCharType="end"/>
            </w:r>
            <w:bookmarkEnd w:id="6"/>
            <w:r>
              <w:tab/>
              <w:t>The adaptive capacity of Australia’s regions</w:t>
            </w:r>
          </w:p>
        </w:tc>
      </w:tr>
      <w:tr w:rsidR="00437742" w14:paraId="021C13C0" w14:textId="77777777" w:rsidTr="00A2381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437742" w:rsidRPr="00B1465D" w14:paraId="76913794" w14:textId="77777777" w:rsidTr="00A23812">
              <w:trPr>
                <w:tblHeader/>
                <w:jc w:val="center"/>
              </w:trPr>
              <w:tc>
                <w:tcPr>
                  <w:tcW w:w="5000" w:type="pct"/>
                  <w:tcBorders>
                    <w:top w:val="nil"/>
                    <w:bottom w:val="nil"/>
                  </w:tcBorders>
                </w:tcPr>
                <w:p w14:paraId="5BAC2841" w14:textId="251E1904" w:rsidR="00437742" w:rsidRPr="00B1465D" w:rsidRDefault="00751627" w:rsidP="00005882">
                  <w:pPr>
                    <w:pStyle w:val="Figure"/>
                    <w:spacing w:before="60" w:after="60"/>
                    <w:rPr>
                      <w:rFonts w:ascii="Arial" w:hAnsi="Arial" w:cs="Arial"/>
                      <w:sz w:val="18"/>
                      <w:szCs w:val="18"/>
                    </w:rPr>
                  </w:pPr>
                  <w:r>
                    <w:rPr>
                      <w:noProof/>
                    </w:rPr>
                    <w:drawing>
                      <wp:inline distT="0" distB="0" distL="0" distR="0" wp14:anchorId="0EB285D3" wp14:editId="4EE9398F">
                        <wp:extent cx="5399405" cy="7200265"/>
                        <wp:effectExtent l="0" t="0" r="0" b="635"/>
                        <wp:docPr id="1" name="Picture 1" descr="This figure shows the adaptive capacity of Australia’s regions, as per the Commission’s index. Maps of Australia, Sydney, Melbourne, Brisbane, Adelaide, Perth, Hobart, Darwin and Canberra are coloured in with different colours, representing the different levels of adaptive capacity of each area." title="The adaptive capacity of Australia’s regions"/>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99405" cy="7200265"/>
                                </a:xfrm>
                                <a:prstGeom prst="rect">
                                  <a:avLst/>
                                </a:prstGeom>
                              </pic:spPr>
                            </pic:pic>
                          </a:graphicData>
                        </a:graphic>
                      </wp:inline>
                    </w:drawing>
                  </w:r>
                </w:p>
              </w:tc>
            </w:tr>
          </w:tbl>
          <w:p w14:paraId="3C0E0D2C" w14:textId="77777777" w:rsidR="00437742" w:rsidRDefault="00437742" w:rsidP="00005882">
            <w:pPr>
              <w:pStyle w:val="Figure"/>
            </w:pPr>
          </w:p>
        </w:tc>
      </w:tr>
      <w:tr w:rsidR="00437742" w14:paraId="2F458D39" w14:textId="77777777" w:rsidTr="00A23812">
        <w:tc>
          <w:tcPr>
            <w:tcW w:w="5000" w:type="pct"/>
            <w:tcBorders>
              <w:top w:val="nil"/>
              <w:left w:val="nil"/>
              <w:bottom w:val="single" w:sz="6" w:space="0" w:color="78A22F"/>
              <w:right w:val="nil"/>
            </w:tcBorders>
            <w:shd w:val="clear" w:color="auto" w:fill="auto"/>
          </w:tcPr>
          <w:p w14:paraId="0A2E5A29" w14:textId="77777777" w:rsidR="00437742" w:rsidRDefault="00437742" w:rsidP="00005882">
            <w:pPr>
              <w:pStyle w:val="Figurespace"/>
            </w:pPr>
          </w:p>
        </w:tc>
      </w:tr>
      <w:tr w:rsidR="00437742" w:rsidRPr="000863A5" w14:paraId="445D28A2" w14:textId="77777777" w:rsidTr="00A23812">
        <w:tc>
          <w:tcPr>
            <w:tcW w:w="5000" w:type="pct"/>
            <w:tcBorders>
              <w:top w:val="single" w:sz="6" w:space="0" w:color="78A22F"/>
              <w:left w:val="nil"/>
              <w:bottom w:val="nil"/>
              <w:right w:val="nil"/>
            </w:tcBorders>
          </w:tcPr>
          <w:p w14:paraId="1A478244" w14:textId="34E16BC8" w:rsidR="00437742" w:rsidRPr="00626D32" w:rsidRDefault="00437742" w:rsidP="00005882">
            <w:pPr>
              <w:pStyle w:val="BoxSpaceBelow"/>
            </w:pPr>
          </w:p>
        </w:tc>
      </w:tr>
    </w:tbl>
    <w:p w14:paraId="7545503B" w14:textId="133F6DCE" w:rsidR="00437742" w:rsidRDefault="00437742" w:rsidP="0087237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37742" w14:paraId="1CE227C3" w14:textId="77777777" w:rsidTr="00A23812">
        <w:trPr>
          <w:tblHeader/>
        </w:trPr>
        <w:tc>
          <w:tcPr>
            <w:tcW w:w="5000" w:type="pct"/>
            <w:tcBorders>
              <w:top w:val="single" w:sz="6" w:space="0" w:color="78A22F"/>
              <w:left w:val="nil"/>
              <w:bottom w:val="nil"/>
              <w:right w:val="nil"/>
            </w:tcBorders>
            <w:shd w:val="clear" w:color="auto" w:fill="auto"/>
          </w:tcPr>
          <w:p w14:paraId="7F23D653" w14:textId="30EB9924" w:rsidR="00437742" w:rsidRPr="00176D3F" w:rsidRDefault="00437742" w:rsidP="00005882">
            <w:pPr>
              <w:pStyle w:val="FigureTitle"/>
            </w:pPr>
            <w:r w:rsidRPr="00784A05">
              <w:rPr>
                <w:b w:val="0"/>
              </w:rPr>
              <w:t xml:space="preserve">Figure </w:t>
            </w:r>
            <w:bookmarkStart w:id="7" w:name="OLE_LINK10"/>
            <w:r w:rsidRPr="00784A05">
              <w:rPr>
                <w:b w:val="0"/>
              </w:rPr>
              <w:fldChar w:fldCharType="begin"/>
            </w:r>
            <w:r w:rsidRPr="00784A05">
              <w:rPr>
                <w:b w:val="0"/>
              </w:rPr>
              <w:instrText xml:space="preserve"> COMMENTS  \* MERGEFORMAT </w:instrTex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D2773">
              <w:rPr>
                <w:b w:val="0"/>
                <w:noProof/>
              </w:rPr>
              <w:t>6</w:t>
            </w:r>
            <w:r w:rsidRPr="00784A05">
              <w:rPr>
                <w:b w:val="0"/>
              </w:rPr>
              <w:fldChar w:fldCharType="end"/>
            </w:r>
            <w:bookmarkEnd w:id="7"/>
            <w:r>
              <w:tab/>
              <w:t xml:space="preserve">A relatively large share of regions in the least adaptive category are in major cities and very remote areas </w:t>
            </w:r>
          </w:p>
        </w:tc>
      </w:tr>
      <w:tr w:rsidR="00437742" w14:paraId="72850BCB" w14:textId="77777777" w:rsidTr="00A2381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437742" w:rsidRPr="00B1465D" w14:paraId="74579AD0" w14:textId="77777777" w:rsidTr="00A23812">
              <w:trPr>
                <w:tblHeader/>
                <w:jc w:val="center"/>
              </w:trPr>
              <w:tc>
                <w:tcPr>
                  <w:tcW w:w="5000" w:type="pct"/>
                  <w:tcBorders>
                    <w:top w:val="nil"/>
                    <w:bottom w:val="nil"/>
                  </w:tcBorders>
                </w:tcPr>
                <w:p w14:paraId="2B1C3630" w14:textId="77777777" w:rsidR="00437742" w:rsidRPr="00B1465D" w:rsidRDefault="00437742" w:rsidP="00005882">
                  <w:pPr>
                    <w:pStyle w:val="Figure"/>
                    <w:spacing w:before="60" w:after="60"/>
                    <w:rPr>
                      <w:rFonts w:ascii="Arial" w:hAnsi="Arial" w:cs="Arial"/>
                      <w:sz w:val="18"/>
                      <w:szCs w:val="18"/>
                    </w:rPr>
                  </w:pPr>
                  <w:r>
                    <w:rPr>
                      <w:rFonts w:ascii="Arial" w:hAnsi="Arial" w:cs="Arial"/>
                      <w:noProof/>
                      <w:sz w:val="18"/>
                      <w:szCs w:val="18"/>
                    </w:rPr>
                    <w:drawing>
                      <wp:inline distT="0" distB="0" distL="0" distR="0" wp14:anchorId="055E87B9" wp14:editId="4EC920BE">
                        <wp:extent cx="5400361" cy="2879910"/>
                        <wp:effectExtent l="0" t="0" r="0" b="0"/>
                        <wp:docPr id="2" name="Picture 2" descr="This figure compares the percentage of regions in the ‘least adaptive’ category to the percentage of regions in all categories, by class of remoteness. Major cities account for 56 per cent of all regions, but only 51 per cent of the least adaptive regions. Within the major city remoteness class, greater Sydney, Melbourne and Adelaide account for 36 per cent of the least adaptive regions compared to 32 per cent of all regions. Inner regional areas account for 24 per cent of all regions, but only 18 per cent of the least adaptive regions. Outer regional areas account for 15 per cent of all regions and 14 per cent of least adaptive areas. Remote areas account for 2 per cent of all regions and 3 per cent of least adaptive regions. Very remote areas have a relatively higher representation in the least adaptive regions. Very remote areas account for only 2 per cent of all regions, but 12 per cent of the least adaptive regions." title="A relatively large share of regions in the least adaptive category are in major cities and very remote are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emf"/>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00361" cy="2879910"/>
                                </a:xfrm>
                                <a:prstGeom prst="rect">
                                  <a:avLst/>
                                </a:prstGeom>
                              </pic:spPr>
                            </pic:pic>
                          </a:graphicData>
                        </a:graphic>
                      </wp:inline>
                    </w:drawing>
                  </w:r>
                </w:p>
              </w:tc>
            </w:tr>
          </w:tbl>
          <w:p w14:paraId="5FDB136C" w14:textId="77777777" w:rsidR="00437742" w:rsidRDefault="00437742" w:rsidP="00005882">
            <w:pPr>
              <w:pStyle w:val="Figure"/>
            </w:pPr>
          </w:p>
        </w:tc>
      </w:tr>
      <w:tr w:rsidR="00437742" w:rsidRPr="00176D3F" w14:paraId="44651E56" w14:textId="77777777" w:rsidTr="00A23812">
        <w:tc>
          <w:tcPr>
            <w:tcW w:w="5000" w:type="pct"/>
            <w:tcBorders>
              <w:top w:val="nil"/>
              <w:left w:val="nil"/>
              <w:bottom w:val="nil"/>
              <w:right w:val="nil"/>
            </w:tcBorders>
            <w:shd w:val="clear" w:color="auto" w:fill="auto"/>
          </w:tcPr>
          <w:p w14:paraId="75226AB8" w14:textId="77777777" w:rsidR="00437742" w:rsidRPr="00176D3F" w:rsidRDefault="00437742" w:rsidP="00005882">
            <w:pPr>
              <w:pStyle w:val="Source"/>
            </w:pPr>
            <w:r>
              <w:rPr>
                <w:i/>
              </w:rPr>
              <w:t>S</w:t>
            </w:r>
            <w:r w:rsidRPr="00784A05">
              <w:rPr>
                <w:i/>
              </w:rPr>
              <w:t>ource</w:t>
            </w:r>
            <w:r w:rsidRPr="00176D3F">
              <w:t xml:space="preserve">: </w:t>
            </w:r>
            <w:r>
              <w:t>Productivity Commission estimates.</w:t>
            </w:r>
          </w:p>
        </w:tc>
      </w:tr>
      <w:tr w:rsidR="00437742" w14:paraId="03CE199D" w14:textId="77777777" w:rsidTr="00A23812">
        <w:tc>
          <w:tcPr>
            <w:tcW w:w="5000" w:type="pct"/>
            <w:tcBorders>
              <w:top w:val="nil"/>
              <w:left w:val="nil"/>
              <w:bottom w:val="single" w:sz="6" w:space="0" w:color="78A22F"/>
              <w:right w:val="nil"/>
            </w:tcBorders>
            <w:shd w:val="clear" w:color="auto" w:fill="auto"/>
          </w:tcPr>
          <w:p w14:paraId="7649AF11" w14:textId="77777777" w:rsidR="00437742" w:rsidRDefault="00437742" w:rsidP="00005882">
            <w:pPr>
              <w:pStyle w:val="Figurespace"/>
            </w:pPr>
          </w:p>
        </w:tc>
      </w:tr>
      <w:tr w:rsidR="00437742" w:rsidRPr="000863A5" w14:paraId="2306F374" w14:textId="77777777" w:rsidTr="00A23812">
        <w:tc>
          <w:tcPr>
            <w:tcW w:w="5000" w:type="pct"/>
            <w:tcBorders>
              <w:top w:val="single" w:sz="6" w:space="0" w:color="78A22F"/>
              <w:left w:val="nil"/>
              <w:bottom w:val="nil"/>
              <w:right w:val="nil"/>
            </w:tcBorders>
          </w:tcPr>
          <w:p w14:paraId="14B947DF" w14:textId="525CD7BB" w:rsidR="00437742" w:rsidRPr="00626D32" w:rsidRDefault="00437742" w:rsidP="00005882">
            <w:pPr>
              <w:pStyle w:val="BoxSpaceBelow"/>
            </w:pPr>
          </w:p>
        </w:tc>
      </w:tr>
    </w:tbl>
    <w:p w14:paraId="5CB680E1" w14:textId="40EE6884" w:rsidR="00437742" w:rsidRDefault="00437742" w:rsidP="0043774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37742" w14:paraId="70661E02" w14:textId="77777777" w:rsidTr="00A23812">
        <w:trPr>
          <w:tblHeader/>
        </w:trPr>
        <w:tc>
          <w:tcPr>
            <w:tcW w:w="5000" w:type="pct"/>
            <w:tcBorders>
              <w:top w:val="single" w:sz="6" w:space="0" w:color="78A22F"/>
              <w:left w:val="nil"/>
              <w:bottom w:val="nil"/>
              <w:right w:val="nil"/>
            </w:tcBorders>
            <w:shd w:val="clear" w:color="auto" w:fill="auto"/>
          </w:tcPr>
          <w:p w14:paraId="607B2C7A" w14:textId="595EBC50" w:rsidR="00437742" w:rsidRPr="00176D3F" w:rsidRDefault="00437742" w:rsidP="00005882">
            <w:pPr>
              <w:pStyle w:val="FigureTitle"/>
            </w:pPr>
            <w:r w:rsidRPr="00784A05">
              <w:rPr>
                <w:b w:val="0"/>
              </w:rPr>
              <w:t xml:space="preserve">Figure </w:t>
            </w:r>
            <w:bookmarkStart w:id="8" w:name="OLE_LINK11"/>
            <w:r w:rsidRPr="00784A05">
              <w:rPr>
                <w:b w:val="0"/>
              </w:rPr>
              <w:fldChar w:fldCharType="begin"/>
            </w:r>
            <w:r w:rsidRPr="00784A05">
              <w:rPr>
                <w:b w:val="0"/>
              </w:rPr>
              <w:instrText xml:space="preserve"> COMMENTS  \* MERGEFORMAT </w:instrTex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2D2773">
              <w:rPr>
                <w:b w:val="0"/>
                <w:noProof/>
              </w:rPr>
              <w:t>7</w:t>
            </w:r>
            <w:r w:rsidRPr="00784A05">
              <w:rPr>
                <w:b w:val="0"/>
              </w:rPr>
              <w:fldChar w:fldCharType="end"/>
            </w:r>
            <w:bookmarkEnd w:id="8"/>
            <w:r>
              <w:tab/>
              <w:t>A higher share of the population in the least adaptive regions reside in major cities and very remote areas</w:t>
            </w:r>
          </w:p>
        </w:tc>
      </w:tr>
      <w:tr w:rsidR="00437742" w14:paraId="1E33BE6F" w14:textId="77777777" w:rsidTr="00A2381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437742" w:rsidRPr="00B1465D" w14:paraId="6B50AC48" w14:textId="77777777" w:rsidTr="00A23812">
              <w:trPr>
                <w:tblHeader/>
                <w:jc w:val="center"/>
              </w:trPr>
              <w:tc>
                <w:tcPr>
                  <w:tcW w:w="5000" w:type="pct"/>
                  <w:tcBorders>
                    <w:top w:val="nil"/>
                    <w:bottom w:val="nil"/>
                  </w:tcBorders>
                </w:tcPr>
                <w:p w14:paraId="189A1CD4" w14:textId="77777777" w:rsidR="00437742" w:rsidRPr="00B1465D" w:rsidRDefault="00437742" w:rsidP="00005882">
                  <w:pPr>
                    <w:pStyle w:val="Figure"/>
                    <w:spacing w:before="60" w:after="60"/>
                    <w:rPr>
                      <w:rFonts w:ascii="Arial" w:hAnsi="Arial" w:cs="Arial"/>
                      <w:sz w:val="18"/>
                      <w:szCs w:val="18"/>
                    </w:rPr>
                  </w:pPr>
                  <w:r>
                    <w:rPr>
                      <w:rFonts w:ascii="Arial" w:hAnsi="Arial" w:cs="Arial"/>
                      <w:noProof/>
                      <w:sz w:val="18"/>
                      <w:szCs w:val="18"/>
                    </w:rPr>
                    <w:drawing>
                      <wp:inline distT="0" distB="0" distL="0" distR="0" wp14:anchorId="2FF58673" wp14:editId="6BBAC254">
                        <wp:extent cx="5400361" cy="2879910"/>
                        <wp:effectExtent l="0" t="0" r="0" b="0"/>
                        <wp:docPr id="4" name="Picture 4" descr="This figure compares the percentage of the population in the ‘least adaptive’ regions to the percentage of the population in all regions, by class of remoteness. The figure shows that a higher share of the population in the least adaptive regions live in major cities and very remote areas. 73 per cent of the people in the least adaptive regions live in major cities, compared to 69 per cent of Australia’s population. 4 per cent of the people in the least adaptive regions live in very remote areas, compared to 1 per cent of all regions.  " title="A higher share of the population in the least adaptive regions reside in major cities and very remote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emf"/>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00361" cy="2879910"/>
                                </a:xfrm>
                                <a:prstGeom prst="rect">
                                  <a:avLst/>
                                </a:prstGeom>
                              </pic:spPr>
                            </pic:pic>
                          </a:graphicData>
                        </a:graphic>
                      </wp:inline>
                    </w:drawing>
                  </w:r>
                </w:p>
              </w:tc>
            </w:tr>
          </w:tbl>
          <w:p w14:paraId="10EE3A00" w14:textId="77777777" w:rsidR="00437742" w:rsidRDefault="00437742" w:rsidP="00005882">
            <w:pPr>
              <w:pStyle w:val="Figure"/>
            </w:pPr>
          </w:p>
        </w:tc>
      </w:tr>
      <w:tr w:rsidR="00437742" w:rsidRPr="00176D3F" w14:paraId="7F70C9F0" w14:textId="77777777" w:rsidTr="00A23812">
        <w:tc>
          <w:tcPr>
            <w:tcW w:w="5000" w:type="pct"/>
            <w:tcBorders>
              <w:top w:val="nil"/>
              <w:left w:val="nil"/>
              <w:bottom w:val="nil"/>
              <w:right w:val="nil"/>
            </w:tcBorders>
            <w:shd w:val="clear" w:color="auto" w:fill="auto"/>
          </w:tcPr>
          <w:p w14:paraId="421D7726" w14:textId="77777777" w:rsidR="00437742" w:rsidRPr="00176D3F" w:rsidRDefault="00437742" w:rsidP="00005882">
            <w:pPr>
              <w:pStyle w:val="Source"/>
            </w:pPr>
            <w:r>
              <w:rPr>
                <w:i/>
              </w:rPr>
              <w:t>Source</w:t>
            </w:r>
            <w:r w:rsidRPr="00167F06">
              <w:t xml:space="preserve">: </w:t>
            </w:r>
            <w:r>
              <w:t>Productivity Commission estimates.</w:t>
            </w:r>
          </w:p>
        </w:tc>
      </w:tr>
      <w:tr w:rsidR="00437742" w14:paraId="0A3D889E" w14:textId="77777777" w:rsidTr="00A23812">
        <w:tc>
          <w:tcPr>
            <w:tcW w:w="5000" w:type="pct"/>
            <w:tcBorders>
              <w:top w:val="nil"/>
              <w:left w:val="nil"/>
              <w:bottom w:val="single" w:sz="6" w:space="0" w:color="78A22F"/>
              <w:right w:val="nil"/>
            </w:tcBorders>
            <w:shd w:val="clear" w:color="auto" w:fill="auto"/>
          </w:tcPr>
          <w:p w14:paraId="24FFF3ED" w14:textId="77777777" w:rsidR="00437742" w:rsidRDefault="00437742" w:rsidP="00005882">
            <w:pPr>
              <w:pStyle w:val="Figurespace"/>
            </w:pPr>
          </w:p>
        </w:tc>
      </w:tr>
      <w:tr w:rsidR="00437742" w:rsidRPr="000863A5" w14:paraId="4E17E2A4" w14:textId="77777777" w:rsidTr="00A23812">
        <w:tc>
          <w:tcPr>
            <w:tcW w:w="5000" w:type="pct"/>
            <w:tcBorders>
              <w:top w:val="single" w:sz="6" w:space="0" w:color="78A22F"/>
              <w:left w:val="nil"/>
              <w:bottom w:val="nil"/>
              <w:right w:val="nil"/>
            </w:tcBorders>
          </w:tcPr>
          <w:p w14:paraId="75AECDBE" w14:textId="36BED828" w:rsidR="00437742" w:rsidRPr="00626D32" w:rsidRDefault="00437742" w:rsidP="00005882">
            <w:pPr>
              <w:pStyle w:val="BoxSpaceBelow"/>
            </w:pPr>
          </w:p>
        </w:tc>
        <w:bookmarkStart w:id="9" w:name="_GoBack"/>
        <w:bookmarkEnd w:id="9"/>
      </w:tr>
    </w:tbl>
    <w:p w14:paraId="66C73F0B" w14:textId="00BFF373" w:rsidR="007A5A97" w:rsidRDefault="007A5A97" w:rsidP="007A0D25">
      <w:pPr>
        <w:pStyle w:val="Heading2"/>
      </w:pPr>
      <w:r>
        <w:lastRenderedPageBreak/>
        <w:t>References</w:t>
      </w:r>
    </w:p>
    <w:p w14:paraId="43C310BD" w14:textId="35C4EB4F" w:rsidR="007A5A97" w:rsidRPr="007A5A97" w:rsidRDefault="007A5A97" w:rsidP="007A0D25">
      <w:pPr>
        <w:pStyle w:val="Reference"/>
        <w:spacing w:before="240"/>
      </w:pPr>
      <w:proofErr w:type="spellStart"/>
      <w:r w:rsidRPr="007A5A97">
        <w:t>ABARE</w:t>
      </w:r>
      <w:proofErr w:type="spellEnd"/>
      <w:r w:rsidRPr="007A5A97">
        <w:t>–</w:t>
      </w:r>
      <w:proofErr w:type="spellStart"/>
      <w:r w:rsidRPr="007A5A97">
        <w:t>BRS</w:t>
      </w:r>
      <w:proofErr w:type="spellEnd"/>
      <w:r w:rsidRPr="007A5A97">
        <w:t xml:space="preserve"> (Australian Bureau of Agricultural and Resource Economics – Bureau of Rural Sciences) 2010, </w:t>
      </w:r>
      <w:r w:rsidRPr="00F20EF5">
        <w:rPr>
          <w:i/>
        </w:rPr>
        <w:t>Indicators of Community Vulnerability and Adaptive Capacity across the Murray-Darling Basin — a Focus on Irrigation in Agriculture</w:t>
      </w:r>
      <w:r w:rsidRPr="007A5A97">
        <w:t>.</w:t>
      </w:r>
    </w:p>
    <w:p w14:paraId="2D65FDC6" w14:textId="16931159" w:rsidR="007A5A97" w:rsidRPr="007A5A97" w:rsidRDefault="007A5A97" w:rsidP="00F20EF5">
      <w:pPr>
        <w:pStyle w:val="Reference"/>
      </w:pPr>
      <w:r w:rsidRPr="007A5A97">
        <w:t xml:space="preserve">ABS (Australian Bureau of Statistics) 2005, </w:t>
      </w:r>
      <w:r w:rsidRPr="00F20EF5">
        <w:rPr>
          <w:i/>
        </w:rPr>
        <w:t xml:space="preserve">1221.0 </w:t>
      </w:r>
      <w:r w:rsidR="00F20EF5" w:rsidRPr="00F20EF5">
        <w:rPr>
          <w:i/>
        </w:rPr>
        <w:t>–</w:t>
      </w:r>
      <w:r w:rsidRPr="00F20EF5">
        <w:rPr>
          <w:i/>
        </w:rPr>
        <w:t xml:space="preserve"> Information Paper: </w:t>
      </w:r>
      <w:proofErr w:type="spellStart"/>
      <w:r w:rsidRPr="00F20EF5">
        <w:rPr>
          <w:i/>
        </w:rPr>
        <w:t>ANZSCO</w:t>
      </w:r>
      <w:proofErr w:type="spellEnd"/>
      <w:r w:rsidRPr="00F20EF5">
        <w:rPr>
          <w:i/>
        </w:rPr>
        <w:t xml:space="preserve"> </w:t>
      </w:r>
      <w:r w:rsidR="00F20EF5" w:rsidRPr="00F20EF5">
        <w:rPr>
          <w:i/>
        </w:rPr>
        <w:t>–</w:t>
      </w:r>
      <w:r w:rsidRPr="00F20EF5">
        <w:rPr>
          <w:i/>
        </w:rPr>
        <w:t xml:space="preserve"> Australian and New Zealand Standard Classification of Occupations, 2005</w:t>
      </w:r>
      <w:r w:rsidRPr="007A5A97">
        <w:t>, ABS, http://www.abs.gov.au/ausstats/abs@.nsf/0/C4BECE1704987586CA257089001A9181?opendocument (accessed 23 March 2017).</w:t>
      </w:r>
    </w:p>
    <w:p w14:paraId="3CC569F9" w14:textId="70D894C6" w:rsidR="007A5A97" w:rsidRPr="007A5A97" w:rsidRDefault="00FD0C1F" w:rsidP="00F20EF5">
      <w:pPr>
        <w:pStyle w:val="Reference"/>
      </w:pPr>
      <w:r>
        <w:t>—— </w:t>
      </w:r>
      <w:proofErr w:type="spellStart"/>
      <w:r w:rsidR="007A5A97" w:rsidRPr="007A5A97">
        <w:t>2011a</w:t>
      </w:r>
      <w:proofErr w:type="spellEnd"/>
      <w:r w:rsidR="007A5A97" w:rsidRPr="007A5A97">
        <w:t xml:space="preserve">, </w:t>
      </w:r>
      <w:r w:rsidR="007A5A97" w:rsidRPr="00F20EF5">
        <w:rPr>
          <w:i/>
        </w:rPr>
        <w:t xml:space="preserve">1270.0.55.001 </w:t>
      </w:r>
      <w:r w:rsidR="00F20EF5" w:rsidRPr="00F20EF5">
        <w:rPr>
          <w:i/>
        </w:rPr>
        <w:t>–</w:t>
      </w:r>
      <w:r w:rsidR="007A5A97" w:rsidRPr="00F20EF5">
        <w:rPr>
          <w:i/>
        </w:rPr>
        <w:t xml:space="preserve"> Australian Statistical Geography Standard (</w:t>
      </w:r>
      <w:proofErr w:type="spellStart"/>
      <w:r w:rsidR="007A5A97" w:rsidRPr="00F20EF5">
        <w:rPr>
          <w:i/>
        </w:rPr>
        <w:t>ASGS</w:t>
      </w:r>
      <w:proofErr w:type="spellEnd"/>
      <w:r w:rsidR="007A5A97" w:rsidRPr="00F20EF5">
        <w:rPr>
          <w:i/>
        </w:rPr>
        <w:t xml:space="preserve">): Volume 1 </w:t>
      </w:r>
      <w:r w:rsidR="00F20EF5" w:rsidRPr="00F20EF5">
        <w:rPr>
          <w:i/>
        </w:rPr>
        <w:t>–</w:t>
      </w:r>
      <w:r w:rsidR="007A5A97" w:rsidRPr="00F20EF5">
        <w:rPr>
          <w:i/>
        </w:rPr>
        <w:t xml:space="preserve"> Main Structure and Greater Capital City Statistical Areas, July 2011</w:t>
      </w:r>
      <w:r w:rsidR="007A5A97" w:rsidRPr="007A5A97">
        <w:t>, ABS, http://www.abs.gov.au/ausstats/abs@.nsf/Latestproducts/88F6A0EDEB8879C0CA257801000C64D9 (accessed 2 March 2017).</w:t>
      </w:r>
    </w:p>
    <w:p w14:paraId="7C7F5583" w14:textId="64F2588A" w:rsidR="007A5A97" w:rsidRPr="007A5A97" w:rsidRDefault="00FD0C1F" w:rsidP="007A0D25">
      <w:pPr>
        <w:pStyle w:val="Reference"/>
      </w:pPr>
      <w:r>
        <w:t>—— </w:t>
      </w:r>
      <w:proofErr w:type="spellStart"/>
      <w:r w:rsidR="007A5A97" w:rsidRPr="007A5A97">
        <w:t>2011b</w:t>
      </w:r>
      <w:proofErr w:type="spellEnd"/>
      <w:r w:rsidR="007A5A97" w:rsidRPr="007A5A97">
        <w:t xml:space="preserve">, </w:t>
      </w:r>
      <w:r w:rsidR="007A5A97" w:rsidRPr="007A5A97">
        <w:rPr>
          <w:i/>
          <w:iCs/>
        </w:rPr>
        <w:t xml:space="preserve">2901.0 </w:t>
      </w:r>
      <w:r w:rsidR="007A0D25">
        <w:rPr>
          <w:i/>
          <w:iCs/>
        </w:rPr>
        <w:t>–</w:t>
      </w:r>
      <w:r w:rsidR="007A5A97" w:rsidRPr="007A5A97">
        <w:rPr>
          <w:i/>
          <w:iCs/>
        </w:rPr>
        <w:t xml:space="preserve"> Census Dictionary, 2011</w:t>
      </w:r>
      <w:r w:rsidR="007A5A97" w:rsidRPr="007A5A97">
        <w:t>, ABS, http://</w:t>
      </w:r>
      <w:proofErr w:type="spellStart"/>
      <w:r w:rsidR="007A5A97" w:rsidRPr="007A5A97">
        <w:t>www.abs.gov.au</w:t>
      </w:r>
      <w:proofErr w:type="spellEnd"/>
      <w:r w:rsidR="007A5A97" w:rsidRPr="007A5A97">
        <w:t>/</w:t>
      </w:r>
      <w:proofErr w:type="spellStart"/>
      <w:r w:rsidR="007A5A97" w:rsidRPr="007A5A97">
        <w:t>ausstats</w:t>
      </w:r>
      <w:proofErr w:type="spellEnd"/>
      <w:r w:rsidR="007A5A97" w:rsidRPr="007A5A97">
        <w:t>/</w:t>
      </w:r>
      <w:r w:rsidR="002120B2">
        <w:br/>
      </w:r>
      <w:r w:rsidR="007A5A97" w:rsidRPr="007A5A97">
        <w:t>abs@.</w:t>
      </w:r>
      <w:proofErr w:type="spellStart"/>
      <w:r w:rsidR="007A5A97" w:rsidRPr="007A5A97">
        <w:t>nsf</w:t>
      </w:r>
      <w:proofErr w:type="spellEnd"/>
      <w:r w:rsidR="007A5A97" w:rsidRPr="007A5A97">
        <w:t>/Lookup/</w:t>
      </w:r>
      <w:proofErr w:type="spellStart"/>
      <w:r w:rsidR="007A5A97" w:rsidRPr="007A5A97">
        <w:t>2901.0Chapter31502011</w:t>
      </w:r>
      <w:proofErr w:type="spellEnd"/>
      <w:r w:rsidR="007A5A97" w:rsidRPr="007A5A97">
        <w:t xml:space="preserve"> (accessed 23 March 2017).</w:t>
      </w:r>
    </w:p>
    <w:p w14:paraId="3C007D8C" w14:textId="2F35E7C8" w:rsidR="007A5A97" w:rsidRPr="007A5A97" w:rsidRDefault="00FD0C1F" w:rsidP="007A0D25">
      <w:pPr>
        <w:pStyle w:val="Reference"/>
      </w:pPr>
      <w:r>
        <w:t>—— </w:t>
      </w:r>
      <w:r w:rsidR="007A5A97" w:rsidRPr="007A5A97">
        <w:t xml:space="preserve">2013, </w:t>
      </w:r>
      <w:r w:rsidR="007A5A97" w:rsidRPr="007A5A97">
        <w:rPr>
          <w:i/>
          <w:iCs/>
        </w:rPr>
        <w:t>Selected Government Pensions and Allowances 2007-2011</w:t>
      </w:r>
      <w:r w:rsidR="007A5A97" w:rsidRPr="007A5A97">
        <w:t>, ABS, http://www.abs.gov.au/ausstats/abs@nrp.nsf/webpages/Selected+Government+Pensions+and+Allowances+2007-2011#Data (accessed 23 March 2017).</w:t>
      </w:r>
    </w:p>
    <w:p w14:paraId="79DD408B" w14:textId="77777777" w:rsidR="007A5A97" w:rsidRPr="007A5A97" w:rsidRDefault="007A5A97" w:rsidP="007A0D25">
      <w:pPr>
        <w:pStyle w:val="Reference"/>
      </w:pPr>
      <w:proofErr w:type="spellStart"/>
      <w:r w:rsidRPr="007A5A97">
        <w:t>Alasia</w:t>
      </w:r>
      <w:proofErr w:type="spellEnd"/>
      <w:r w:rsidRPr="007A5A97">
        <w:t xml:space="preserve">, A., </w:t>
      </w:r>
      <w:proofErr w:type="spellStart"/>
      <w:r w:rsidRPr="007A5A97">
        <w:t>Bollman</w:t>
      </w:r>
      <w:proofErr w:type="spellEnd"/>
      <w:r w:rsidRPr="007A5A97">
        <w:t xml:space="preserve">, R., </w:t>
      </w:r>
      <w:proofErr w:type="spellStart"/>
      <w:r w:rsidRPr="007A5A97">
        <w:t>Parkins</w:t>
      </w:r>
      <w:proofErr w:type="spellEnd"/>
      <w:r w:rsidRPr="007A5A97">
        <w:t xml:space="preserve">, J. and Reimer, B. 2008, </w:t>
      </w:r>
      <w:r w:rsidRPr="007A5A97">
        <w:rPr>
          <w:i/>
          <w:iCs/>
        </w:rPr>
        <w:t>An Index of Community Vulnerability: Conceptual Framework and Application to Population and Employment Changes 1981 to 2001</w:t>
      </w:r>
      <w:r w:rsidRPr="007A5A97">
        <w:t xml:space="preserve">, Statistics Canada, </w:t>
      </w:r>
      <w:proofErr w:type="spellStart"/>
      <w:r w:rsidRPr="007A5A97">
        <w:t>Ottowa</w:t>
      </w:r>
      <w:proofErr w:type="spellEnd"/>
      <w:r w:rsidRPr="007A5A97">
        <w:t>.</w:t>
      </w:r>
    </w:p>
    <w:p w14:paraId="380208C9" w14:textId="77777777" w:rsidR="007A5A97" w:rsidRPr="007A5A97" w:rsidRDefault="007A5A97" w:rsidP="007A0D25">
      <w:pPr>
        <w:pStyle w:val="Reference"/>
      </w:pPr>
      <w:proofErr w:type="spellStart"/>
      <w:r w:rsidRPr="007A5A97">
        <w:t>Dinh</w:t>
      </w:r>
      <w:proofErr w:type="spellEnd"/>
      <w:r w:rsidRPr="007A5A97">
        <w:t xml:space="preserve">, H., </w:t>
      </w:r>
      <w:proofErr w:type="spellStart"/>
      <w:r w:rsidRPr="007A5A97">
        <w:t>Freyens</w:t>
      </w:r>
      <w:proofErr w:type="spellEnd"/>
      <w:r w:rsidRPr="007A5A97">
        <w:t xml:space="preserve">, B., Daly, A. and </w:t>
      </w:r>
      <w:proofErr w:type="spellStart"/>
      <w:r w:rsidRPr="007A5A97">
        <w:t>Vidyattama</w:t>
      </w:r>
      <w:proofErr w:type="spellEnd"/>
      <w:r w:rsidRPr="007A5A97">
        <w:t xml:space="preserve">, Y. 2016, ‘Measuring community economic resilience in Australia: Estimates of recent levels and trends’, </w:t>
      </w:r>
      <w:r w:rsidRPr="007A5A97">
        <w:rPr>
          <w:i/>
          <w:iCs/>
        </w:rPr>
        <w:t>Social Indicators Research</w:t>
      </w:r>
      <w:r w:rsidRPr="007A5A97">
        <w:t>, June, pp. 1–20.</w:t>
      </w:r>
    </w:p>
    <w:p w14:paraId="4117DD43" w14:textId="77777777" w:rsidR="007A5A97" w:rsidRPr="007A5A97" w:rsidRDefault="007A5A97" w:rsidP="007A0D25">
      <w:pPr>
        <w:pStyle w:val="Reference"/>
      </w:pPr>
      <w:proofErr w:type="spellStart"/>
      <w:r w:rsidRPr="007A5A97">
        <w:t>DIRD</w:t>
      </w:r>
      <w:proofErr w:type="spellEnd"/>
      <w:r w:rsidRPr="007A5A97">
        <w:t xml:space="preserve"> (Australian Government Department of Infrastructure and Regional Development) 2016, </w:t>
      </w:r>
      <w:r w:rsidRPr="007A5A97">
        <w:rPr>
          <w:i/>
          <w:iCs/>
        </w:rPr>
        <w:t>Progress in Australian Regions: Yearbook 2016</w:t>
      </w:r>
      <w:r w:rsidRPr="007A5A97">
        <w:t xml:space="preserve">, </w:t>
      </w:r>
      <w:proofErr w:type="spellStart"/>
      <w:r w:rsidRPr="007A5A97">
        <w:t>DIRD</w:t>
      </w:r>
      <w:proofErr w:type="spellEnd"/>
      <w:r w:rsidRPr="007A5A97">
        <w:t>, Canberra, http://regional.gov.au/regional/publications/yearbook/files/2016/infra2999-regional-yearbook_2016.pdf (accessed 3 January 2017).</w:t>
      </w:r>
    </w:p>
    <w:p w14:paraId="4B902FCD" w14:textId="77777777" w:rsidR="007A5A97" w:rsidRPr="007A5A97" w:rsidRDefault="007A5A97" w:rsidP="007A0D25">
      <w:pPr>
        <w:pStyle w:val="Reference"/>
      </w:pPr>
      <w:r w:rsidRPr="007A5A97">
        <w:t xml:space="preserve">Hill, E., St. Clair, T., </w:t>
      </w:r>
      <w:proofErr w:type="spellStart"/>
      <w:r w:rsidRPr="007A5A97">
        <w:t>Wial</w:t>
      </w:r>
      <w:proofErr w:type="spellEnd"/>
      <w:r w:rsidRPr="007A5A97">
        <w:t xml:space="preserve">, H., Wolman, H., Atkins, P., Blumenthal, P., </w:t>
      </w:r>
      <w:proofErr w:type="spellStart"/>
      <w:r w:rsidRPr="007A5A97">
        <w:t>Ficenec</w:t>
      </w:r>
      <w:proofErr w:type="spellEnd"/>
      <w:r w:rsidRPr="007A5A97">
        <w:t xml:space="preserve">, S. and </w:t>
      </w:r>
      <w:proofErr w:type="spellStart"/>
      <w:r w:rsidRPr="007A5A97">
        <w:t>Friedhoff</w:t>
      </w:r>
      <w:proofErr w:type="spellEnd"/>
      <w:r w:rsidRPr="007A5A97">
        <w:t xml:space="preserve">, A. 2011, </w:t>
      </w:r>
      <w:r w:rsidRPr="007A5A97">
        <w:rPr>
          <w:i/>
          <w:iCs/>
        </w:rPr>
        <w:t>Economic Shocks and Regional Economic Resilience</w:t>
      </w:r>
      <w:r w:rsidRPr="007A5A97">
        <w:t>, Working paper, Building Resilient Regions Network Institute of Governmental Studies, Berkeley.</w:t>
      </w:r>
    </w:p>
    <w:p w14:paraId="7586AADA" w14:textId="77777777" w:rsidR="007A5A97" w:rsidRPr="007A5A97" w:rsidRDefault="007A5A97" w:rsidP="007A0D25">
      <w:pPr>
        <w:pStyle w:val="Reference"/>
      </w:pPr>
      <w:r w:rsidRPr="007A5A97">
        <w:t xml:space="preserve">Hugo Centre (Hugo Centre for Migration and Population Research) 2015, </w:t>
      </w:r>
      <w:r w:rsidRPr="007A5A97">
        <w:rPr>
          <w:i/>
          <w:iCs/>
        </w:rPr>
        <w:t>ARIA (Accessibility/Remoteness Index of Australia)</w:t>
      </w:r>
      <w:r w:rsidRPr="007A5A97">
        <w:t>, The University of Adelaide, https://www.adelaide.edu.au/apmrc/research/projects/category/about_aria.html (accessed 23 March 2017).</w:t>
      </w:r>
    </w:p>
    <w:p w14:paraId="4A55762A" w14:textId="77777777" w:rsidR="007A5A97" w:rsidRPr="007A5A97" w:rsidRDefault="007A5A97" w:rsidP="007A0D25">
      <w:pPr>
        <w:pStyle w:val="Reference"/>
      </w:pPr>
      <w:r w:rsidRPr="007A5A97">
        <w:t xml:space="preserve">Nelson, R., </w:t>
      </w:r>
      <w:proofErr w:type="spellStart"/>
      <w:r w:rsidRPr="007A5A97">
        <w:t>Kokic</w:t>
      </w:r>
      <w:proofErr w:type="spellEnd"/>
      <w:r w:rsidRPr="007A5A97">
        <w:t xml:space="preserve">, P., Crimp, S., Martin, P., </w:t>
      </w:r>
      <w:proofErr w:type="spellStart"/>
      <w:r w:rsidRPr="007A5A97">
        <w:t>Meinke</w:t>
      </w:r>
      <w:proofErr w:type="spellEnd"/>
      <w:r w:rsidRPr="007A5A97">
        <w:t xml:space="preserve">, H., Howden, M., de </w:t>
      </w:r>
      <w:proofErr w:type="spellStart"/>
      <w:r w:rsidRPr="007A5A97">
        <w:t>Voil</w:t>
      </w:r>
      <w:proofErr w:type="spellEnd"/>
      <w:r w:rsidRPr="007A5A97">
        <w:t xml:space="preserve">, P. and </w:t>
      </w:r>
      <w:proofErr w:type="spellStart"/>
      <w:r w:rsidRPr="007A5A97">
        <w:t>Nidumolu</w:t>
      </w:r>
      <w:proofErr w:type="spellEnd"/>
      <w:r w:rsidRPr="007A5A97">
        <w:t xml:space="preserve">, U. 2009, ‘The vulnerability of Australian rural communities to climate variability and change: Part II — Integrating impacts with adaptive capacity’, </w:t>
      </w:r>
      <w:r w:rsidRPr="007A5A97">
        <w:rPr>
          <w:i/>
          <w:iCs/>
        </w:rPr>
        <w:t>Environment Science and Policy</w:t>
      </w:r>
      <w:r w:rsidRPr="007A5A97">
        <w:t>, vol. 13, no. 2010, pp. 18–27.</w:t>
      </w:r>
    </w:p>
    <w:p w14:paraId="4BA30498" w14:textId="77777777" w:rsidR="007A5A97" w:rsidRPr="007A5A97" w:rsidRDefault="007A5A97" w:rsidP="007A0D25">
      <w:pPr>
        <w:pStyle w:val="Reference"/>
      </w:pPr>
      <w:r w:rsidRPr="007A5A97">
        <w:lastRenderedPageBreak/>
        <w:t xml:space="preserve">Noble, M., Wright, G., Lloyd, M., </w:t>
      </w:r>
      <w:proofErr w:type="spellStart"/>
      <w:r w:rsidRPr="007A5A97">
        <w:t>Dibben</w:t>
      </w:r>
      <w:proofErr w:type="spellEnd"/>
      <w:r w:rsidRPr="007A5A97">
        <w:t xml:space="preserve">, C., Smith, G., </w:t>
      </w:r>
      <w:proofErr w:type="spellStart"/>
      <w:r w:rsidRPr="007A5A97">
        <w:t>Ratcliffe</w:t>
      </w:r>
      <w:proofErr w:type="spellEnd"/>
      <w:r w:rsidRPr="007A5A97">
        <w:t xml:space="preserve">, A., McLennan, D., </w:t>
      </w:r>
      <w:proofErr w:type="spellStart"/>
      <w:r w:rsidRPr="007A5A97">
        <w:t>Sigala</w:t>
      </w:r>
      <w:proofErr w:type="spellEnd"/>
      <w:r w:rsidRPr="007A5A97">
        <w:t xml:space="preserve">, M. and </w:t>
      </w:r>
      <w:proofErr w:type="spellStart"/>
      <w:r w:rsidRPr="007A5A97">
        <w:t>Anttila</w:t>
      </w:r>
      <w:proofErr w:type="spellEnd"/>
      <w:r w:rsidRPr="007A5A97">
        <w:t xml:space="preserve">, C. 2003, </w:t>
      </w:r>
      <w:r w:rsidRPr="007A5A97">
        <w:rPr>
          <w:i/>
          <w:iCs/>
        </w:rPr>
        <w:t>Scottish Indices of Deprivation 2003</w:t>
      </w:r>
      <w:r w:rsidRPr="007A5A97">
        <w:t>, Social Disadvantage Research Centre, Department of Social Policy and Social Work, University of Oxford.</w:t>
      </w:r>
    </w:p>
    <w:p w14:paraId="5C3BE4A8" w14:textId="157957E6" w:rsidR="007A5A97" w:rsidRPr="007A5A97" w:rsidRDefault="007A5A97" w:rsidP="007A0D25">
      <w:pPr>
        <w:pStyle w:val="Reference"/>
      </w:pPr>
      <w:r w:rsidRPr="007A5A97">
        <w:t xml:space="preserve">O’Rourke, N. and Hatcher, </w:t>
      </w:r>
      <w:r w:rsidR="00563209">
        <w:t>L. 2013, ‘Chapter 1: Principal c</w:t>
      </w:r>
      <w:r w:rsidRPr="007A5A97">
        <w:t xml:space="preserve">omponent </w:t>
      </w:r>
      <w:r w:rsidR="00563209">
        <w:t>a</w:t>
      </w:r>
      <w:r w:rsidRPr="007A5A97">
        <w:t xml:space="preserve">nalysis’, </w:t>
      </w:r>
      <w:r w:rsidRPr="007A5A97">
        <w:rPr>
          <w:i/>
          <w:iCs/>
        </w:rPr>
        <w:t xml:space="preserve">A Step-by-Step Approach to Using SAS for Factor Analysis and Structural Equation </w:t>
      </w:r>
      <w:proofErr w:type="spellStart"/>
      <w:r w:rsidRPr="007A5A97">
        <w:rPr>
          <w:i/>
          <w:iCs/>
        </w:rPr>
        <w:t>Modeling</w:t>
      </w:r>
      <w:proofErr w:type="spellEnd"/>
      <w:r w:rsidRPr="007A5A97">
        <w:t>, Second edition, SAS Instit</w:t>
      </w:r>
      <w:r w:rsidR="007A0D25">
        <w:t>ute Inc., Cary, North Carolina.</w:t>
      </w:r>
    </w:p>
    <w:sectPr w:rsidR="007A5A97" w:rsidRPr="007A5A97" w:rsidSect="00CF7537">
      <w:headerReference w:type="even" r:id="rId27"/>
      <w:headerReference w:type="default" r:id="rId28"/>
      <w:footerReference w:type="even" r:id="rId29"/>
      <w:footerReference w:type="default" r:id="rId30"/>
      <w:type w:val="oddPage"/>
      <w:pgSz w:w="11907" w:h="16840" w:code="9"/>
      <w:pgMar w:top="1985" w:right="1304" w:bottom="1247" w:left="1814" w:header="1701" w:footer="397" w:gutter="0"/>
      <w:pgNumType w:start="1"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B82DF" w14:textId="77777777" w:rsidR="00E322F7" w:rsidRDefault="00E322F7">
      <w:r>
        <w:separator/>
      </w:r>
    </w:p>
  </w:endnote>
  <w:endnote w:type="continuationSeparator" w:id="0">
    <w:p w14:paraId="228B82E0" w14:textId="77777777" w:rsidR="00E322F7" w:rsidRDefault="00E3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91BAF" w14:paraId="68B4BF6E" w14:textId="77777777" w:rsidTr="005F48ED">
      <w:trPr>
        <w:trHeight w:hRule="exact" w:val="567"/>
      </w:trPr>
      <w:tc>
        <w:tcPr>
          <w:tcW w:w="510" w:type="dxa"/>
        </w:tcPr>
        <w:p w14:paraId="251A5FA1" w14:textId="77777777" w:rsidR="00491BAF" w:rsidRPr="00A24443" w:rsidRDefault="00491BA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D2773">
            <w:rPr>
              <w:rStyle w:val="PageNumber"/>
              <w:caps w:val="0"/>
              <w:noProof/>
            </w:rPr>
            <w:t>18</w:t>
          </w:r>
          <w:r w:rsidRPr="00A24443">
            <w:rPr>
              <w:rStyle w:val="PageNumber"/>
              <w:caps w:val="0"/>
            </w:rPr>
            <w:fldChar w:fldCharType="end"/>
          </w:r>
        </w:p>
      </w:tc>
      <w:tc>
        <w:tcPr>
          <w:tcW w:w="7767" w:type="dxa"/>
        </w:tcPr>
        <w:p w14:paraId="7AE76A7E" w14:textId="77777777" w:rsidR="005C3BF2" w:rsidRDefault="00491BAF" w:rsidP="005C3BF2">
          <w:pPr>
            <w:pStyle w:val="Footer"/>
            <w:rPr>
              <w:rFonts w:cs="Arial"/>
            </w:rPr>
          </w:pPr>
          <w:r>
            <w:rPr>
              <w:rFonts w:cs="Arial"/>
            </w:rPr>
            <w:t>Transitioning regional economies</w:t>
          </w:r>
        </w:p>
        <w:p w14:paraId="7FD35CF5" w14:textId="1AED5059" w:rsidR="00491BAF" w:rsidRPr="0013739A" w:rsidRDefault="00491BAF" w:rsidP="005C3BF2">
          <w:pPr>
            <w:pStyle w:val="FooterDraftReport"/>
          </w:pPr>
          <w:r>
            <w:t>Initial Report</w:t>
          </w:r>
          <w:bookmarkStart w:id="10" w:name="DraftReportEven"/>
          <w:bookmarkEnd w:id="10"/>
        </w:p>
      </w:tc>
      <w:tc>
        <w:tcPr>
          <w:tcW w:w="510" w:type="dxa"/>
        </w:tcPr>
        <w:p w14:paraId="6AA2200F" w14:textId="77777777" w:rsidR="00491BAF" w:rsidRDefault="00491BAF" w:rsidP="0019293B">
          <w:pPr>
            <w:pStyle w:val="Footer"/>
          </w:pPr>
        </w:p>
      </w:tc>
    </w:tr>
  </w:tbl>
  <w:p w14:paraId="7920D2F2" w14:textId="77777777" w:rsidR="00491BAF" w:rsidRDefault="00491BAF"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E6710" w14:paraId="50A7969F" w14:textId="77777777" w:rsidTr="005F48ED">
      <w:trPr>
        <w:trHeight w:hRule="exact" w:val="567"/>
      </w:trPr>
      <w:tc>
        <w:tcPr>
          <w:tcW w:w="510" w:type="dxa"/>
        </w:tcPr>
        <w:p w14:paraId="23D63F4D" w14:textId="77777777" w:rsidR="002E6710" w:rsidRDefault="002E6710">
          <w:pPr>
            <w:pStyle w:val="Footer"/>
            <w:ind w:right="360" w:firstLine="360"/>
          </w:pPr>
        </w:p>
      </w:tc>
      <w:tc>
        <w:tcPr>
          <w:tcW w:w="7767" w:type="dxa"/>
        </w:tcPr>
        <w:p w14:paraId="6D473E58" w14:textId="77777777" w:rsidR="002E6710" w:rsidRDefault="002E6710" w:rsidP="0013739A">
          <w:pPr>
            <w:pStyle w:val="Footer"/>
            <w:jc w:val="right"/>
            <w:rPr>
              <w:rFonts w:cs="Arial"/>
            </w:rPr>
          </w:pPr>
          <w:r>
            <w:rPr>
              <w:rFonts w:cs="Arial"/>
            </w:rPr>
            <w:t>Developing an index of regional adaptive capacity</w:t>
          </w:r>
        </w:p>
        <w:p w14:paraId="612F99D9" w14:textId="77777777" w:rsidR="002E6710" w:rsidRPr="00BA5B14" w:rsidRDefault="002E6710" w:rsidP="0013739A">
          <w:pPr>
            <w:pStyle w:val="Footer"/>
            <w:jc w:val="right"/>
            <w:rPr>
              <w:rFonts w:cs="Arial"/>
            </w:rPr>
          </w:pPr>
          <w:r w:rsidRPr="009A3E08">
            <w:rPr>
              <w:rFonts w:cs="Arial"/>
              <w:color w:val="BFBFBF" w:themeColor="background2"/>
            </w:rPr>
            <w:t>INITIAL REPORT</w:t>
          </w:r>
        </w:p>
      </w:tc>
      <w:tc>
        <w:tcPr>
          <w:tcW w:w="510" w:type="dxa"/>
        </w:tcPr>
        <w:p w14:paraId="7A2DF89D" w14:textId="77777777" w:rsidR="002E6710" w:rsidRPr="00A24443" w:rsidRDefault="002E671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D2773">
            <w:rPr>
              <w:rStyle w:val="PageNumber"/>
              <w:caps w:val="0"/>
              <w:noProof/>
            </w:rPr>
            <w:t>19</w:t>
          </w:r>
          <w:r w:rsidRPr="00A24443">
            <w:rPr>
              <w:rStyle w:val="PageNumber"/>
              <w:caps w:val="0"/>
            </w:rPr>
            <w:fldChar w:fldCharType="end"/>
          </w:r>
        </w:p>
      </w:tc>
    </w:tr>
  </w:tbl>
  <w:p w14:paraId="484A27B4" w14:textId="77777777" w:rsidR="002E6710" w:rsidRDefault="002E671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B82DD" w14:textId="77777777" w:rsidR="00E322F7" w:rsidRDefault="00E322F7">
      <w:r>
        <w:separator/>
      </w:r>
    </w:p>
  </w:footnote>
  <w:footnote w:type="continuationSeparator" w:id="0">
    <w:p w14:paraId="228B82DE" w14:textId="77777777" w:rsidR="00E322F7" w:rsidRDefault="00E322F7">
      <w:r>
        <w:continuationSeparator/>
      </w:r>
    </w:p>
  </w:footnote>
  <w:footnote w:id="1">
    <w:p w14:paraId="7818DC17" w14:textId="358365AA" w:rsidR="00E322F7" w:rsidRDefault="00E322F7">
      <w:pPr>
        <w:pStyle w:val="FootnoteText"/>
      </w:pPr>
      <w:r>
        <w:rPr>
          <w:rStyle w:val="FootnoteReference"/>
        </w:rPr>
        <w:footnoteRef/>
      </w:r>
      <w:r>
        <w:tab/>
        <w:t xml:space="preserve">Standardisation ensures that variables with different units of measurement are treated on a comparable basis in the </w:t>
      </w:r>
      <w:proofErr w:type="spellStart"/>
      <w:r>
        <w:t>PCA</w:t>
      </w:r>
      <w:proofErr w:type="spellEnd"/>
      <w:r>
        <w:t>.</w:t>
      </w:r>
    </w:p>
  </w:footnote>
  <w:footnote w:id="2">
    <w:p w14:paraId="73570890" w14:textId="1403482B" w:rsidR="00E322F7" w:rsidRDefault="00E322F7">
      <w:pPr>
        <w:pStyle w:val="FootnoteText"/>
      </w:pPr>
      <w:r w:rsidRPr="0012146C">
        <w:rPr>
          <w:rStyle w:val="FootnoteReference"/>
        </w:rPr>
        <w:footnoteRef/>
      </w:r>
      <w:r>
        <w:tab/>
        <w:t xml:space="preserve">A variant of </w:t>
      </w:r>
      <w:proofErr w:type="spellStart"/>
      <w:r>
        <w:t>PCA</w:t>
      </w:r>
      <w:proofErr w:type="spellEnd"/>
      <w:r>
        <w:t xml:space="preserve"> involves ‘</w:t>
      </w:r>
      <w:proofErr w:type="spellStart"/>
      <w:r>
        <w:t>varimax</w:t>
      </w:r>
      <w:proofErr w:type="spellEnd"/>
      <w:r>
        <w:t xml:space="preserve"> rotation’, which changes the weights on each variable in each component and can aid in their interpretation. </w:t>
      </w:r>
      <w:proofErr w:type="spellStart"/>
      <w:r w:rsidRPr="0014313C">
        <w:t>Varimax</w:t>
      </w:r>
      <w:proofErr w:type="spellEnd"/>
      <w:r w:rsidRPr="0014313C">
        <w:t xml:space="preserve"> rotations were </w:t>
      </w:r>
      <w:r>
        <w:t xml:space="preserve">investigated for the current analysis </w:t>
      </w:r>
      <w:r w:rsidRPr="0014313C">
        <w:t xml:space="preserve">but did not </w:t>
      </w:r>
      <w:r>
        <w:t>meaningfully change</w:t>
      </w:r>
      <w:r w:rsidRPr="0014313C">
        <w:t xml:space="preserve"> </w:t>
      </w:r>
      <w:r>
        <w:t>interpretations of retained components</w:t>
      </w:r>
      <w:r w:rsidRPr="0014313C">
        <w:t xml:space="preserve">. Therefore, </w:t>
      </w:r>
      <w:proofErr w:type="spellStart"/>
      <w:r w:rsidRPr="0014313C">
        <w:t>unrotated</w:t>
      </w:r>
      <w:proofErr w:type="spellEnd"/>
      <w:r w:rsidRPr="0014313C">
        <w:t xml:space="preserve"> principal components were used for the index.</w:t>
      </w:r>
    </w:p>
  </w:footnote>
  <w:footnote w:id="3">
    <w:p w14:paraId="07467A54" w14:textId="0DF227F4" w:rsidR="00E322F7" w:rsidRDefault="00E322F7">
      <w:pPr>
        <w:pStyle w:val="FootnoteText"/>
      </w:pPr>
      <w:r>
        <w:rPr>
          <w:rStyle w:val="FootnoteReference"/>
        </w:rPr>
        <w:footnoteRef/>
      </w:r>
      <w:r>
        <w:tab/>
        <w:t>Although home ownership has been included as a positive indicator of adaptive capacity due to the wealth attached to it, it might also have a negative impact on adaptive capacity by limiting mobility.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491BAF" w14:paraId="6FEBDA7C" w14:textId="77777777">
      <w:tc>
        <w:tcPr>
          <w:tcW w:w="2155" w:type="dxa"/>
          <w:tcBorders>
            <w:top w:val="single" w:sz="24" w:space="0" w:color="auto"/>
          </w:tcBorders>
        </w:tcPr>
        <w:p w14:paraId="4465AD64" w14:textId="77777777" w:rsidR="00491BAF" w:rsidRDefault="00491BAF" w:rsidP="0019293B">
          <w:pPr>
            <w:pStyle w:val="HeaderEven"/>
          </w:pPr>
        </w:p>
      </w:tc>
      <w:tc>
        <w:tcPr>
          <w:tcW w:w="6634" w:type="dxa"/>
          <w:tcBorders>
            <w:top w:val="single" w:sz="6" w:space="0" w:color="auto"/>
          </w:tcBorders>
        </w:tcPr>
        <w:p w14:paraId="0BB9BF48" w14:textId="77777777" w:rsidR="00491BAF" w:rsidRDefault="00491BAF" w:rsidP="0019293B">
          <w:pPr>
            <w:pStyle w:val="HeaderEven"/>
          </w:pPr>
        </w:p>
      </w:tc>
    </w:tr>
  </w:tbl>
  <w:p w14:paraId="358C2032" w14:textId="77777777" w:rsidR="00491BAF" w:rsidRDefault="00491BAF" w:rsidP="00491BAF">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E6710" w14:paraId="195A15AF" w14:textId="77777777">
      <w:tc>
        <w:tcPr>
          <w:tcW w:w="6634" w:type="dxa"/>
          <w:tcBorders>
            <w:top w:val="single" w:sz="6" w:space="0" w:color="auto"/>
          </w:tcBorders>
        </w:tcPr>
        <w:p w14:paraId="1589843C" w14:textId="77777777" w:rsidR="002E6710" w:rsidRDefault="002E6710" w:rsidP="00E669E2">
          <w:pPr>
            <w:pStyle w:val="HeaderOdd"/>
          </w:pPr>
        </w:p>
      </w:tc>
      <w:tc>
        <w:tcPr>
          <w:tcW w:w="2155" w:type="dxa"/>
          <w:tcBorders>
            <w:top w:val="single" w:sz="24" w:space="0" w:color="auto"/>
          </w:tcBorders>
        </w:tcPr>
        <w:p w14:paraId="57A2BDD9" w14:textId="77777777" w:rsidR="002E6710" w:rsidRDefault="002E6710" w:rsidP="00E669E2">
          <w:pPr>
            <w:pStyle w:val="HeaderOdd"/>
          </w:pPr>
        </w:p>
      </w:tc>
    </w:tr>
  </w:tbl>
  <w:p w14:paraId="2FFEAAF9" w14:textId="77777777" w:rsidR="002E6710" w:rsidRDefault="002E671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3"/>
  </w:num>
  <w:num w:numId="3">
    <w:abstractNumId w:val="14"/>
  </w:num>
  <w:num w:numId="4">
    <w:abstractNumId w:val="4"/>
  </w:num>
  <w:num w:numId="5">
    <w:abstractNumId w:val="19"/>
  </w:num>
  <w:num w:numId="6">
    <w:abstractNumId w:val="16"/>
  </w:num>
  <w:num w:numId="7">
    <w:abstractNumId w:val="8"/>
  </w:num>
  <w:num w:numId="8">
    <w:abstractNumId w:val="15"/>
  </w:num>
  <w:num w:numId="9">
    <w:abstractNumId w:val="7"/>
  </w:num>
  <w:num w:numId="10">
    <w:abstractNumId w:val="6"/>
  </w:num>
  <w:num w:numId="11">
    <w:abstractNumId w:val="10"/>
  </w:num>
  <w:num w:numId="12">
    <w:abstractNumId w:val="11"/>
  </w:num>
  <w:num w:numId="13">
    <w:abstractNumId w:val="5"/>
  </w:num>
  <w:num w:numId="14">
    <w:abstractNumId w:val="17"/>
  </w:num>
  <w:num w:numId="15">
    <w:abstractNumId w:val="20"/>
  </w:num>
  <w:num w:numId="16">
    <w:abstractNumId w:val="13"/>
  </w:num>
  <w:num w:numId="17">
    <w:abstractNumId w:val="21"/>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9"/>
  </w:num>
  <w:num w:numId="22">
    <w:abstractNumId w:val="4"/>
  </w:num>
  <w:num w:numId="2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C"/>
    <w:docVar w:name="FindingOptions" w:val="1"/>
    <w:docVar w:name="RecOptions" w:val="111"/>
    <w:docVar w:name="ShortChapterTitle" w:val="Developing an index of regional adaptive capacity"/>
    <w:docVar w:name="ShortReportTitle" w:val="Transitioning regional economies"/>
  </w:docVars>
  <w:rsids>
    <w:rsidRoot w:val="00F0512B"/>
    <w:rsid w:val="00000BF4"/>
    <w:rsid w:val="00000CDD"/>
    <w:rsid w:val="000016C0"/>
    <w:rsid w:val="00002028"/>
    <w:rsid w:val="0000456B"/>
    <w:rsid w:val="000055E4"/>
    <w:rsid w:val="00005882"/>
    <w:rsid w:val="0001080B"/>
    <w:rsid w:val="00011B19"/>
    <w:rsid w:val="0001296C"/>
    <w:rsid w:val="0002021C"/>
    <w:rsid w:val="0002086D"/>
    <w:rsid w:val="000210DD"/>
    <w:rsid w:val="000227D5"/>
    <w:rsid w:val="00022FA3"/>
    <w:rsid w:val="00023E75"/>
    <w:rsid w:val="000245AA"/>
    <w:rsid w:val="00026FCE"/>
    <w:rsid w:val="00031D5C"/>
    <w:rsid w:val="000346F5"/>
    <w:rsid w:val="0003664B"/>
    <w:rsid w:val="0004111F"/>
    <w:rsid w:val="00041842"/>
    <w:rsid w:val="00043AF9"/>
    <w:rsid w:val="000459DF"/>
    <w:rsid w:val="000517CC"/>
    <w:rsid w:val="00051BBE"/>
    <w:rsid w:val="00053B4C"/>
    <w:rsid w:val="0005450E"/>
    <w:rsid w:val="00055077"/>
    <w:rsid w:val="000565B3"/>
    <w:rsid w:val="000572EA"/>
    <w:rsid w:val="000577B6"/>
    <w:rsid w:val="00057AF0"/>
    <w:rsid w:val="00060142"/>
    <w:rsid w:val="0006035D"/>
    <w:rsid w:val="00060E42"/>
    <w:rsid w:val="00061DC9"/>
    <w:rsid w:val="00065305"/>
    <w:rsid w:val="00067128"/>
    <w:rsid w:val="000674BB"/>
    <w:rsid w:val="00067B95"/>
    <w:rsid w:val="0007150B"/>
    <w:rsid w:val="00071B48"/>
    <w:rsid w:val="00072999"/>
    <w:rsid w:val="00073E2B"/>
    <w:rsid w:val="0007464C"/>
    <w:rsid w:val="00074DE3"/>
    <w:rsid w:val="00074E69"/>
    <w:rsid w:val="000754FB"/>
    <w:rsid w:val="00075721"/>
    <w:rsid w:val="00075F2D"/>
    <w:rsid w:val="000856AD"/>
    <w:rsid w:val="00085D30"/>
    <w:rsid w:val="00086946"/>
    <w:rsid w:val="00086B42"/>
    <w:rsid w:val="000875CA"/>
    <w:rsid w:val="000938F5"/>
    <w:rsid w:val="00093B94"/>
    <w:rsid w:val="000946DB"/>
    <w:rsid w:val="00095663"/>
    <w:rsid w:val="0009661B"/>
    <w:rsid w:val="00096E55"/>
    <w:rsid w:val="0009783E"/>
    <w:rsid w:val="000A092C"/>
    <w:rsid w:val="000A0CE8"/>
    <w:rsid w:val="000A1273"/>
    <w:rsid w:val="000A168E"/>
    <w:rsid w:val="000A2017"/>
    <w:rsid w:val="000A260D"/>
    <w:rsid w:val="000A3447"/>
    <w:rsid w:val="000A60D0"/>
    <w:rsid w:val="000A7F49"/>
    <w:rsid w:val="000B08EE"/>
    <w:rsid w:val="000B0B7A"/>
    <w:rsid w:val="000B1022"/>
    <w:rsid w:val="000B2F66"/>
    <w:rsid w:val="000B36F2"/>
    <w:rsid w:val="000B4620"/>
    <w:rsid w:val="000B597E"/>
    <w:rsid w:val="000B601B"/>
    <w:rsid w:val="000B62F1"/>
    <w:rsid w:val="000B7730"/>
    <w:rsid w:val="000C0382"/>
    <w:rsid w:val="000C0C36"/>
    <w:rsid w:val="000C1832"/>
    <w:rsid w:val="000C207E"/>
    <w:rsid w:val="000C3CA4"/>
    <w:rsid w:val="000C5429"/>
    <w:rsid w:val="000C7155"/>
    <w:rsid w:val="000C75F3"/>
    <w:rsid w:val="000D0CBA"/>
    <w:rsid w:val="000D29B7"/>
    <w:rsid w:val="000D2E82"/>
    <w:rsid w:val="000D41E9"/>
    <w:rsid w:val="000E220A"/>
    <w:rsid w:val="000E4A47"/>
    <w:rsid w:val="000E6AFE"/>
    <w:rsid w:val="000E7F98"/>
    <w:rsid w:val="000F0035"/>
    <w:rsid w:val="000F04E7"/>
    <w:rsid w:val="000F060A"/>
    <w:rsid w:val="000F3690"/>
    <w:rsid w:val="000F420B"/>
    <w:rsid w:val="000F539C"/>
    <w:rsid w:val="000F6474"/>
    <w:rsid w:val="000F7A87"/>
    <w:rsid w:val="000F7B8D"/>
    <w:rsid w:val="000F7F0F"/>
    <w:rsid w:val="00106FB2"/>
    <w:rsid w:val="00110116"/>
    <w:rsid w:val="001103A8"/>
    <w:rsid w:val="001107FA"/>
    <w:rsid w:val="00117CFC"/>
    <w:rsid w:val="00120072"/>
    <w:rsid w:val="0012146C"/>
    <w:rsid w:val="0012416D"/>
    <w:rsid w:val="00126EB8"/>
    <w:rsid w:val="0012743B"/>
    <w:rsid w:val="001274D4"/>
    <w:rsid w:val="00131C4F"/>
    <w:rsid w:val="001322AA"/>
    <w:rsid w:val="00132743"/>
    <w:rsid w:val="001363AA"/>
    <w:rsid w:val="00136D03"/>
    <w:rsid w:val="0013739A"/>
    <w:rsid w:val="00140D49"/>
    <w:rsid w:val="00142165"/>
    <w:rsid w:val="0014313C"/>
    <w:rsid w:val="001442B2"/>
    <w:rsid w:val="00144F08"/>
    <w:rsid w:val="0014738E"/>
    <w:rsid w:val="001505BD"/>
    <w:rsid w:val="00150DE3"/>
    <w:rsid w:val="0015236E"/>
    <w:rsid w:val="00153435"/>
    <w:rsid w:val="0015469E"/>
    <w:rsid w:val="00154B2E"/>
    <w:rsid w:val="00160667"/>
    <w:rsid w:val="00160735"/>
    <w:rsid w:val="0016193B"/>
    <w:rsid w:val="00162434"/>
    <w:rsid w:val="0016243F"/>
    <w:rsid w:val="00163255"/>
    <w:rsid w:val="00163FB8"/>
    <w:rsid w:val="00166B40"/>
    <w:rsid w:val="00167D3C"/>
    <w:rsid w:val="001730F6"/>
    <w:rsid w:val="001739B8"/>
    <w:rsid w:val="0017668C"/>
    <w:rsid w:val="0018006E"/>
    <w:rsid w:val="0018115A"/>
    <w:rsid w:val="00182934"/>
    <w:rsid w:val="00183E17"/>
    <w:rsid w:val="00183E82"/>
    <w:rsid w:val="0018726E"/>
    <w:rsid w:val="001878BB"/>
    <w:rsid w:val="00191736"/>
    <w:rsid w:val="00191AE0"/>
    <w:rsid w:val="0019293B"/>
    <w:rsid w:val="0019426B"/>
    <w:rsid w:val="0019500A"/>
    <w:rsid w:val="0019627F"/>
    <w:rsid w:val="001A0A62"/>
    <w:rsid w:val="001A0D67"/>
    <w:rsid w:val="001A1B74"/>
    <w:rsid w:val="001A29C3"/>
    <w:rsid w:val="001A31EE"/>
    <w:rsid w:val="001A4055"/>
    <w:rsid w:val="001A44E9"/>
    <w:rsid w:val="001A6A4B"/>
    <w:rsid w:val="001A6C60"/>
    <w:rsid w:val="001B09C0"/>
    <w:rsid w:val="001B0B0D"/>
    <w:rsid w:val="001B22A7"/>
    <w:rsid w:val="001B3F41"/>
    <w:rsid w:val="001B4809"/>
    <w:rsid w:val="001B595D"/>
    <w:rsid w:val="001B5D09"/>
    <w:rsid w:val="001B6059"/>
    <w:rsid w:val="001B72DC"/>
    <w:rsid w:val="001C0865"/>
    <w:rsid w:val="001C0AED"/>
    <w:rsid w:val="001C0AEE"/>
    <w:rsid w:val="001C1BC4"/>
    <w:rsid w:val="001C26AD"/>
    <w:rsid w:val="001C2B92"/>
    <w:rsid w:val="001C329A"/>
    <w:rsid w:val="001C392D"/>
    <w:rsid w:val="001C3ABA"/>
    <w:rsid w:val="001C4AAC"/>
    <w:rsid w:val="001C5111"/>
    <w:rsid w:val="001C562C"/>
    <w:rsid w:val="001C6F4C"/>
    <w:rsid w:val="001D0A4F"/>
    <w:rsid w:val="001D118A"/>
    <w:rsid w:val="001D383B"/>
    <w:rsid w:val="001D3E8D"/>
    <w:rsid w:val="001D6A8C"/>
    <w:rsid w:val="001D76C5"/>
    <w:rsid w:val="001E3108"/>
    <w:rsid w:val="001E3247"/>
    <w:rsid w:val="001E5DF6"/>
    <w:rsid w:val="001E64FB"/>
    <w:rsid w:val="001E7BE8"/>
    <w:rsid w:val="001E7D4A"/>
    <w:rsid w:val="001F0248"/>
    <w:rsid w:val="001F31D5"/>
    <w:rsid w:val="001F328F"/>
    <w:rsid w:val="001F3C75"/>
    <w:rsid w:val="001F3EB3"/>
    <w:rsid w:val="001F4F86"/>
    <w:rsid w:val="001F6054"/>
    <w:rsid w:val="001F62BE"/>
    <w:rsid w:val="001F7D62"/>
    <w:rsid w:val="00201371"/>
    <w:rsid w:val="00202C2C"/>
    <w:rsid w:val="00203050"/>
    <w:rsid w:val="00204E58"/>
    <w:rsid w:val="002055A5"/>
    <w:rsid w:val="00206CB3"/>
    <w:rsid w:val="0020712B"/>
    <w:rsid w:val="00207649"/>
    <w:rsid w:val="0021054B"/>
    <w:rsid w:val="002120B2"/>
    <w:rsid w:val="00212898"/>
    <w:rsid w:val="002135AB"/>
    <w:rsid w:val="002144BE"/>
    <w:rsid w:val="00220827"/>
    <w:rsid w:val="00221821"/>
    <w:rsid w:val="00222982"/>
    <w:rsid w:val="00223272"/>
    <w:rsid w:val="00227490"/>
    <w:rsid w:val="002339FF"/>
    <w:rsid w:val="0023791D"/>
    <w:rsid w:val="00242279"/>
    <w:rsid w:val="0024327C"/>
    <w:rsid w:val="00243823"/>
    <w:rsid w:val="00243997"/>
    <w:rsid w:val="00243FF1"/>
    <w:rsid w:val="0024516C"/>
    <w:rsid w:val="00245C82"/>
    <w:rsid w:val="00247EEC"/>
    <w:rsid w:val="00250864"/>
    <w:rsid w:val="00250B25"/>
    <w:rsid w:val="00250ECE"/>
    <w:rsid w:val="002516FA"/>
    <w:rsid w:val="002541D3"/>
    <w:rsid w:val="00254AB3"/>
    <w:rsid w:val="0025531C"/>
    <w:rsid w:val="00256130"/>
    <w:rsid w:val="00261290"/>
    <w:rsid w:val="00262500"/>
    <w:rsid w:val="00262630"/>
    <w:rsid w:val="0026496A"/>
    <w:rsid w:val="0026632B"/>
    <w:rsid w:val="002707D6"/>
    <w:rsid w:val="00271906"/>
    <w:rsid w:val="002724BA"/>
    <w:rsid w:val="00275ACA"/>
    <w:rsid w:val="002760EB"/>
    <w:rsid w:val="0027621D"/>
    <w:rsid w:val="002771EC"/>
    <w:rsid w:val="00280A69"/>
    <w:rsid w:val="0028166D"/>
    <w:rsid w:val="002846C8"/>
    <w:rsid w:val="00285FA4"/>
    <w:rsid w:val="0028608F"/>
    <w:rsid w:val="00286ECF"/>
    <w:rsid w:val="00287CA7"/>
    <w:rsid w:val="00291B40"/>
    <w:rsid w:val="0029242A"/>
    <w:rsid w:val="00292F92"/>
    <w:rsid w:val="00293295"/>
    <w:rsid w:val="00294141"/>
    <w:rsid w:val="00295AFA"/>
    <w:rsid w:val="002973E7"/>
    <w:rsid w:val="00297D80"/>
    <w:rsid w:val="002A25E1"/>
    <w:rsid w:val="002A3589"/>
    <w:rsid w:val="002A68D5"/>
    <w:rsid w:val="002A75DA"/>
    <w:rsid w:val="002A7E23"/>
    <w:rsid w:val="002B1DA5"/>
    <w:rsid w:val="002B1E3A"/>
    <w:rsid w:val="002B3DE6"/>
    <w:rsid w:val="002B4008"/>
    <w:rsid w:val="002B4C19"/>
    <w:rsid w:val="002B6478"/>
    <w:rsid w:val="002B7D1D"/>
    <w:rsid w:val="002C063C"/>
    <w:rsid w:val="002C0958"/>
    <w:rsid w:val="002C0C79"/>
    <w:rsid w:val="002C28D9"/>
    <w:rsid w:val="002C3430"/>
    <w:rsid w:val="002C3B25"/>
    <w:rsid w:val="002C439F"/>
    <w:rsid w:val="002C52FD"/>
    <w:rsid w:val="002C5D02"/>
    <w:rsid w:val="002C6BED"/>
    <w:rsid w:val="002C7177"/>
    <w:rsid w:val="002C7698"/>
    <w:rsid w:val="002D0673"/>
    <w:rsid w:val="002D0C42"/>
    <w:rsid w:val="002D0E8E"/>
    <w:rsid w:val="002D1E94"/>
    <w:rsid w:val="002D2773"/>
    <w:rsid w:val="002D4A10"/>
    <w:rsid w:val="002D68F5"/>
    <w:rsid w:val="002D7334"/>
    <w:rsid w:val="002E07C8"/>
    <w:rsid w:val="002E177C"/>
    <w:rsid w:val="002E1D68"/>
    <w:rsid w:val="002E1DD6"/>
    <w:rsid w:val="002E2957"/>
    <w:rsid w:val="002E5E81"/>
    <w:rsid w:val="002E6710"/>
    <w:rsid w:val="002F261E"/>
    <w:rsid w:val="002F5CBE"/>
    <w:rsid w:val="002F6DA9"/>
    <w:rsid w:val="003000E8"/>
    <w:rsid w:val="0030106C"/>
    <w:rsid w:val="00301189"/>
    <w:rsid w:val="00301E4A"/>
    <w:rsid w:val="003029C4"/>
    <w:rsid w:val="00304971"/>
    <w:rsid w:val="00307EBB"/>
    <w:rsid w:val="00311B69"/>
    <w:rsid w:val="00312F55"/>
    <w:rsid w:val="00313B24"/>
    <w:rsid w:val="00316118"/>
    <w:rsid w:val="003161FE"/>
    <w:rsid w:val="003168B8"/>
    <w:rsid w:val="00317029"/>
    <w:rsid w:val="003174A4"/>
    <w:rsid w:val="00317F67"/>
    <w:rsid w:val="003208F2"/>
    <w:rsid w:val="00321480"/>
    <w:rsid w:val="00322D64"/>
    <w:rsid w:val="00323E09"/>
    <w:rsid w:val="00332383"/>
    <w:rsid w:val="0033375F"/>
    <w:rsid w:val="00333932"/>
    <w:rsid w:val="00334635"/>
    <w:rsid w:val="003365F1"/>
    <w:rsid w:val="003400BC"/>
    <w:rsid w:val="00340DEA"/>
    <w:rsid w:val="00343A3E"/>
    <w:rsid w:val="0034465D"/>
    <w:rsid w:val="0034604A"/>
    <w:rsid w:val="0034606D"/>
    <w:rsid w:val="00351870"/>
    <w:rsid w:val="003518AA"/>
    <w:rsid w:val="00351A65"/>
    <w:rsid w:val="00352165"/>
    <w:rsid w:val="00353182"/>
    <w:rsid w:val="003531F9"/>
    <w:rsid w:val="00354AA6"/>
    <w:rsid w:val="00354DB4"/>
    <w:rsid w:val="003565D9"/>
    <w:rsid w:val="00356CBD"/>
    <w:rsid w:val="003602E1"/>
    <w:rsid w:val="003609D2"/>
    <w:rsid w:val="00360FE0"/>
    <w:rsid w:val="0036298F"/>
    <w:rsid w:val="0036500C"/>
    <w:rsid w:val="003654D8"/>
    <w:rsid w:val="003658EC"/>
    <w:rsid w:val="00366943"/>
    <w:rsid w:val="00367375"/>
    <w:rsid w:val="0037026F"/>
    <w:rsid w:val="0037108A"/>
    <w:rsid w:val="00371240"/>
    <w:rsid w:val="003722AE"/>
    <w:rsid w:val="00373C0F"/>
    <w:rsid w:val="00374731"/>
    <w:rsid w:val="00376E59"/>
    <w:rsid w:val="00377EC1"/>
    <w:rsid w:val="00377FC3"/>
    <w:rsid w:val="00380340"/>
    <w:rsid w:val="003804AE"/>
    <w:rsid w:val="00381A00"/>
    <w:rsid w:val="0038523C"/>
    <w:rsid w:val="00386C43"/>
    <w:rsid w:val="00386D89"/>
    <w:rsid w:val="00387ADC"/>
    <w:rsid w:val="003919F9"/>
    <w:rsid w:val="00391AF4"/>
    <w:rsid w:val="003920CF"/>
    <w:rsid w:val="003933B7"/>
    <w:rsid w:val="003936AF"/>
    <w:rsid w:val="00394419"/>
    <w:rsid w:val="0039576C"/>
    <w:rsid w:val="00395EF8"/>
    <w:rsid w:val="00396802"/>
    <w:rsid w:val="00397280"/>
    <w:rsid w:val="003A0D21"/>
    <w:rsid w:val="003A4439"/>
    <w:rsid w:val="003A4762"/>
    <w:rsid w:val="003A51E9"/>
    <w:rsid w:val="003A6296"/>
    <w:rsid w:val="003A6C29"/>
    <w:rsid w:val="003B0369"/>
    <w:rsid w:val="003B23C2"/>
    <w:rsid w:val="003B280E"/>
    <w:rsid w:val="003B2A27"/>
    <w:rsid w:val="003B3B40"/>
    <w:rsid w:val="003B4A9B"/>
    <w:rsid w:val="003C1325"/>
    <w:rsid w:val="003C1FD6"/>
    <w:rsid w:val="003C2AB0"/>
    <w:rsid w:val="003C38B5"/>
    <w:rsid w:val="003C5965"/>
    <w:rsid w:val="003C5D99"/>
    <w:rsid w:val="003C61D6"/>
    <w:rsid w:val="003C650C"/>
    <w:rsid w:val="003D0744"/>
    <w:rsid w:val="003D09F5"/>
    <w:rsid w:val="003D1087"/>
    <w:rsid w:val="003D24C0"/>
    <w:rsid w:val="003D3F83"/>
    <w:rsid w:val="003D5101"/>
    <w:rsid w:val="003E0778"/>
    <w:rsid w:val="003E16C9"/>
    <w:rsid w:val="003E1CA9"/>
    <w:rsid w:val="003E2F59"/>
    <w:rsid w:val="003E4366"/>
    <w:rsid w:val="003E5372"/>
    <w:rsid w:val="003E5D38"/>
    <w:rsid w:val="003E6394"/>
    <w:rsid w:val="003E6DD7"/>
    <w:rsid w:val="003E746B"/>
    <w:rsid w:val="003E77BD"/>
    <w:rsid w:val="003E784A"/>
    <w:rsid w:val="003F0789"/>
    <w:rsid w:val="003F0D97"/>
    <w:rsid w:val="003F2390"/>
    <w:rsid w:val="003F3632"/>
    <w:rsid w:val="003F4519"/>
    <w:rsid w:val="003F5671"/>
    <w:rsid w:val="003F56B8"/>
    <w:rsid w:val="0040121B"/>
    <w:rsid w:val="00401882"/>
    <w:rsid w:val="00401907"/>
    <w:rsid w:val="004028A9"/>
    <w:rsid w:val="00403FFF"/>
    <w:rsid w:val="00405324"/>
    <w:rsid w:val="00407CA9"/>
    <w:rsid w:val="004100C8"/>
    <w:rsid w:val="0041060F"/>
    <w:rsid w:val="00410C51"/>
    <w:rsid w:val="0041176C"/>
    <w:rsid w:val="00411DBD"/>
    <w:rsid w:val="00412ACE"/>
    <w:rsid w:val="0041314D"/>
    <w:rsid w:val="004135A1"/>
    <w:rsid w:val="004145D2"/>
    <w:rsid w:val="00415B4A"/>
    <w:rsid w:val="004161DE"/>
    <w:rsid w:val="00420CD6"/>
    <w:rsid w:val="00421E44"/>
    <w:rsid w:val="00422D18"/>
    <w:rsid w:val="00423D05"/>
    <w:rsid w:val="004252E4"/>
    <w:rsid w:val="00426CB4"/>
    <w:rsid w:val="00430786"/>
    <w:rsid w:val="00431249"/>
    <w:rsid w:val="004321E7"/>
    <w:rsid w:val="00432A01"/>
    <w:rsid w:val="00432EE0"/>
    <w:rsid w:val="0043330D"/>
    <w:rsid w:val="00433527"/>
    <w:rsid w:val="00434C19"/>
    <w:rsid w:val="00437742"/>
    <w:rsid w:val="00437DC5"/>
    <w:rsid w:val="004443CE"/>
    <w:rsid w:val="004451FE"/>
    <w:rsid w:val="00445DF9"/>
    <w:rsid w:val="0044785D"/>
    <w:rsid w:val="00450810"/>
    <w:rsid w:val="00452087"/>
    <w:rsid w:val="0045208E"/>
    <w:rsid w:val="004536E7"/>
    <w:rsid w:val="00453820"/>
    <w:rsid w:val="00454343"/>
    <w:rsid w:val="004564B8"/>
    <w:rsid w:val="004603C4"/>
    <w:rsid w:val="00460F20"/>
    <w:rsid w:val="004611DF"/>
    <w:rsid w:val="00462245"/>
    <w:rsid w:val="00462C59"/>
    <w:rsid w:val="00463428"/>
    <w:rsid w:val="00464915"/>
    <w:rsid w:val="004701A6"/>
    <w:rsid w:val="00470690"/>
    <w:rsid w:val="00470737"/>
    <w:rsid w:val="00470C1E"/>
    <w:rsid w:val="004727FC"/>
    <w:rsid w:val="00473326"/>
    <w:rsid w:val="004747A5"/>
    <w:rsid w:val="00477144"/>
    <w:rsid w:val="0047732D"/>
    <w:rsid w:val="00477CB9"/>
    <w:rsid w:val="00480FE3"/>
    <w:rsid w:val="004821FC"/>
    <w:rsid w:val="0048221E"/>
    <w:rsid w:val="004855F4"/>
    <w:rsid w:val="004857DB"/>
    <w:rsid w:val="004876BD"/>
    <w:rsid w:val="00491380"/>
    <w:rsid w:val="00491BAF"/>
    <w:rsid w:val="00491D66"/>
    <w:rsid w:val="0049280F"/>
    <w:rsid w:val="00494053"/>
    <w:rsid w:val="0049459F"/>
    <w:rsid w:val="00494D2C"/>
    <w:rsid w:val="00496503"/>
    <w:rsid w:val="004A23CD"/>
    <w:rsid w:val="004A38DD"/>
    <w:rsid w:val="004A3E3D"/>
    <w:rsid w:val="004A657C"/>
    <w:rsid w:val="004B1111"/>
    <w:rsid w:val="004B1F89"/>
    <w:rsid w:val="004B43AE"/>
    <w:rsid w:val="004B60C6"/>
    <w:rsid w:val="004B66BE"/>
    <w:rsid w:val="004B6809"/>
    <w:rsid w:val="004B6825"/>
    <w:rsid w:val="004B72DC"/>
    <w:rsid w:val="004C0BC8"/>
    <w:rsid w:val="004C30ED"/>
    <w:rsid w:val="004C3DF2"/>
    <w:rsid w:val="004C4982"/>
    <w:rsid w:val="004C5CD6"/>
    <w:rsid w:val="004C5F72"/>
    <w:rsid w:val="004C704B"/>
    <w:rsid w:val="004C7102"/>
    <w:rsid w:val="004D0D64"/>
    <w:rsid w:val="004D144B"/>
    <w:rsid w:val="004D18C3"/>
    <w:rsid w:val="004D1B0F"/>
    <w:rsid w:val="004D4E73"/>
    <w:rsid w:val="004D5675"/>
    <w:rsid w:val="004D6672"/>
    <w:rsid w:val="004D6B0B"/>
    <w:rsid w:val="004E090A"/>
    <w:rsid w:val="004E185C"/>
    <w:rsid w:val="004E1D97"/>
    <w:rsid w:val="004E2987"/>
    <w:rsid w:val="004E362B"/>
    <w:rsid w:val="004E3800"/>
    <w:rsid w:val="004E75FC"/>
    <w:rsid w:val="004E7740"/>
    <w:rsid w:val="004F43EB"/>
    <w:rsid w:val="004F578A"/>
    <w:rsid w:val="004F5D51"/>
    <w:rsid w:val="004F6090"/>
    <w:rsid w:val="004F7AB5"/>
    <w:rsid w:val="004F7D0D"/>
    <w:rsid w:val="0050116A"/>
    <w:rsid w:val="00502218"/>
    <w:rsid w:val="00502FC5"/>
    <w:rsid w:val="005058EA"/>
    <w:rsid w:val="005073FE"/>
    <w:rsid w:val="005078C0"/>
    <w:rsid w:val="00510943"/>
    <w:rsid w:val="00517795"/>
    <w:rsid w:val="00520291"/>
    <w:rsid w:val="00521C8C"/>
    <w:rsid w:val="00522D6F"/>
    <w:rsid w:val="00523639"/>
    <w:rsid w:val="005249E4"/>
    <w:rsid w:val="0053141D"/>
    <w:rsid w:val="0053179F"/>
    <w:rsid w:val="00531FE5"/>
    <w:rsid w:val="00532BC0"/>
    <w:rsid w:val="005378D4"/>
    <w:rsid w:val="005379AB"/>
    <w:rsid w:val="005402FA"/>
    <w:rsid w:val="0054159E"/>
    <w:rsid w:val="005421D7"/>
    <w:rsid w:val="0054392B"/>
    <w:rsid w:val="00551B9A"/>
    <w:rsid w:val="0055377F"/>
    <w:rsid w:val="0055515C"/>
    <w:rsid w:val="0055563A"/>
    <w:rsid w:val="00555E02"/>
    <w:rsid w:val="0055728E"/>
    <w:rsid w:val="005575EB"/>
    <w:rsid w:val="005609C3"/>
    <w:rsid w:val="005620FD"/>
    <w:rsid w:val="00562CE0"/>
    <w:rsid w:val="00562FE0"/>
    <w:rsid w:val="00563209"/>
    <w:rsid w:val="0056444E"/>
    <w:rsid w:val="005657BB"/>
    <w:rsid w:val="0056667C"/>
    <w:rsid w:val="00570A55"/>
    <w:rsid w:val="00570AFE"/>
    <w:rsid w:val="00571EE8"/>
    <w:rsid w:val="005729BD"/>
    <w:rsid w:val="00573437"/>
    <w:rsid w:val="00573BE3"/>
    <w:rsid w:val="00580154"/>
    <w:rsid w:val="00580553"/>
    <w:rsid w:val="00582BC0"/>
    <w:rsid w:val="00583C39"/>
    <w:rsid w:val="005851FC"/>
    <w:rsid w:val="00585C04"/>
    <w:rsid w:val="00586A90"/>
    <w:rsid w:val="00587F28"/>
    <w:rsid w:val="005909CF"/>
    <w:rsid w:val="00591A60"/>
    <w:rsid w:val="00591E71"/>
    <w:rsid w:val="00592DA9"/>
    <w:rsid w:val="0059589F"/>
    <w:rsid w:val="00596A01"/>
    <w:rsid w:val="00596C43"/>
    <w:rsid w:val="005A0D41"/>
    <w:rsid w:val="005A16F4"/>
    <w:rsid w:val="005A29D5"/>
    <w:rsid w:val="005A3FD1"/>
    <w:rsid w:val="005A4E89"/>
    <w:rsid w:val="005B22B4"/>
    <w:rsid w:val="005B29D4"/>
    <w:rsid w:val="005B3FF9"/>
    <w:rsid w:val="005B45F5"/>
    <w:rsid w:val="005B4BC1"/>
    <w:rsid w:val="005C109F"/>
    <w:rsid w:val="005C3BF2"/>
    <w:rsid w:val="005C4762"/>
    <w:rsid w:val="005C49D9"/>
    <w:rsid w:val="005C4E84"/>
    <w:rsid w:val="005C4FFE"/>
    <w:rsid w:val="005C5A1F"/>
    <w:rsid w:val="005C6092"/>
    <w:rsid w:val="005D12D9"/>
    <w:rsid w:val="005D1DFF"/>
    <w:rsid w:val="005D2D1B"/>
    <w:rsid w:val="005D329F"/>
    <w:rsid w:val="005D4674"/>
    <w:rsid w:val="005D5A5C"/>
    <w:rsid w:val="005D741C"/>
    <w:rsid w:val="005E0B48"/>
    <w:rsid w:val="005E1331"/>
    <w:rsid w:val="005E1670"/>
    <w:rsid w:val="005E1E0D"/>
    <w:rsid w:val="005E5610"/>
    <w:rsid w:val="005E64B8"/>
    <w:rsid w:val="005F21B0"/>
    <w:rsid w:val="005F48ED"/>
    <w:rsid w:val="005F784A"/>
    <w:rsid w:val="00601075"/>
    <w:rsid w:val="00601526"/>
    <w:rsid w:val="006015BA"/>
    <w:rsid w:val="006032FD"/>
    <w:rsid w:val="00605726"/>
    <w:rsid w:val="00605E9D"/>
    <w:rsid w:val="0060641D"/>
    <w:rsid w:val="00606DCC"/>
    <w:rsid w:val="00606E78"/>
    <w:rsid w:val="00607BF1"/>
    <w:rsid w:val="0061051B"/>
    <w:rsid w:val="006120AD"/>
    <w:rsid w:val="006133A9"/>
    <w:rsid w:val="00614C47"/>
    <w:rsid w:val="00615A7A"/>
    <w:rsid w:val="006170D9"/>
    <w:rsid w:val="006175AE"/>
    <w:rsid w:val="006244F3"/>
    <w:rsid w:val="00625D67"/>
    <w:rsid w:val="0062779E"/>
    <w:rsid w:val="00630D4D"/>
    <w:rsid w:val="006313F2"/>
    <w:rsid w:val="00632A74"/>
    <w:rsid w:val="00635525"/>
    <w:rsid w:val="00635979"/>
    <w:rsid w:val="006367E2"/>
    <w:rsid w:val="00636C18"/>
    <w:rsid w:val="006401AB"/>
    <w:rsid w:val="00640EE1"/>
    <w:rsid w:val="00641471"/>
    <w:rsid w:val="00643A91"/>
    <w:rsid w:val="00644F04"/>
    <w:rsid w:val="006457F1"/>
    <w:rsid w:val="00645958"/>
    <w:rsid w:val="006470CD"/>
    <w:rsid w:val="00650D01"/>
    <w:rsid w:val="00652D1B"/>
    <w:rsid w:val="0065376C"/>
    <w:rsid w:val="00654D42"/>
    <w:rsid w:val="00655703"/>
    <w:rsid w:val="00655B63"/>
    <w:rsid w:val="00655E26"/>
    <w:rsid w:val="006570FF"/>
    <w:rsid w:val="006637B7"/>
    <w:rsid w:val="006658A9"/>
    <w:rsid w:val="00666E02"/>
    <w:rsid w:val="006672AD"/>
    <w:rsid w:val="00670D4A"/>
    <w:rsid w:val="0067167C"/>
    <w:rsid w:val="0067194B"/>
    <w:rsid w:val="00672425"/>
    <w:rsid w:val="00672496"/>
    <w:rsid w:val="006736BC"/>
    <w:rsid w:val="00675588"/>
    <w:rsid w:val="006761E5"/>
    <w:rsid w:val="006767F8"/>
    <w:rsid w:val="006778EA"/>
    <w:rsid w:val="00680C10"/>
    <w:rsid w:val="00683164"/>
    <w:rsid w:val="006838B7"/>
    <w:rsid w:val="0068583B"/>
    <w:rsid w:val="0068737A"/>
    <w:rsid w:val="00691DDB"/>
    <w:rsid w:val="00692DD3"/>
    <w:rsid w:val="0069390E"/>
    <w:rsid w:val="00694F87"/>
    <w:rsid w:val="00694FD9"/>
    <w:rsid w:val="00695395"/>
    <w:rsid w:val="006975D5"/>
    <w:rsid w:val="006A1CE2"/>
    <w:rsid w:val="006A25BD"/>
    <w:rsid w:val="006A2910"/>
    <w:rsid w:val="006A2AAA"/>
    <w:rsid w:val="006A2EE0"/>
    <w:rsid w:val="006A4655"/>
    <w:rsid w:val="006A763F"/>
    <w:rsid w:val="006B0422"/>
    <w:rsid w:val="006B0C21"/>
    <w:rsid w:val="006B1228"/>
    <w:rsid w:val="006B23D7"/>
    <w:rsid w:val="006B2B1F"/>
    <w:rsid w:val="006B2B3C"/>
    <w:rsid w:val="006C0CAE"/>
    <w:rsid w:val="006C17E0"/>
    <w:rsid w:val="006C1D81"/>
    <w:rsid w:val="006C7038"/>
    <w:rsid w:val="006C7BF5"/>
    <w:rsid w:val="006D3D40"/>
    <w:rsid w:val="006D5F4D"/>
    <w:rsid w:val="006E2181"/>
    <w:rsid w:val="006E5218"/>
    <w:rsid w:val="006E7112"/>
    <w:rsid w:val="006E73EF"/>
    <w:rsid w:val="006F31E4"/>
    <w:rsid w:val="006F67BF"/>
    <w:rsid w:val="006F7C1C"/>
    <w:rsid w:val="00701466"/>
    <w:rsid w:val="00702510"/>
    <w:rsid w:val="00703415"/>
    <w:rsid w:val="00706761"/>
    <w:rsid w:val="00707562"/>
    <w:rsid w:val="007079C9"/>
    <w:rsid w:val="00707F06"/>
    <w:rsid w:val="00711713"/>
    <w:rsid w:val="0071490A"/>
    <w:rsid w:val="00714D4D"/>
    <w:rsid w:val="00715962"/>
    <w:rsid w:val="00715C75"/>
    <w:rsid w:val="007166DC"/>
    <w:rsid w:val="00716F9F"/>
    <w:rsid w:val="007171B3"/>
    <w:rsid w:val="00717220"/>
    <w:rsid w:val="00720769"/>
    <w:rsid w:val="0072090B"/>
    <w:rsid w:val="00720AF1"/>
    <w:rsid w:val="007214C7"/>
    <w:rsid w:val="00723079"/>
    <w:rsid w:val="007246A2"/>
    <w:rsid w:val="00725512"/>
    <w:rsid w:val="00725AA7"/>
    <w:rsid w:val="00725CBE"/>
    <w:rsid w:val="007261C3"/>
    <w:rsid w:val="007266D3"/>
    <w:rsid w:val="00726BC6"/>
    <w:rsid w:val="007271F6"/>
    <w:rsid w:val="00727F23"/>
    <w:rsid w:val="00732029"/>
    <w:rsid w:val="00735160"/>
    <w:rsid w:val="00735E33"/>
    <w:rsid w:val="00737549"/>
    <w:rsid w:val="00740AD2"/>
    <w:rsid w:val="007456EA"/>
    <w:rsid w:val="00751627"/>
    <w:rsid w:val="007530C6"/>
    <w:rsid w:val="00753861"/>
    <w:rsid w:val="0075758F"/>
    <w:rsid w:val="007604BB"/>
    <w:rsid w:val="00760C1B"/>
    <w:rsid w:val="0076280B"/>
    <w:rsid w:val="00763494"/>
    <w:rsid w:val="00763702"/>
    <w:rsid w:val="007637F2"/>
    <w:rsid w:val="007668E2"/>
    <w:rsid w:val="00767C58"/>
    <w:rsid w:val="0077109E"/>
    <w:rsid w:val="00772909"/>
    <w:rsid w:val="00776B23"/>
    <w:rsid w:val="00776F43"/>
    <w:rsid w:val="007837B1"/>
    <w:rsid w:val="00784377"/>
    <w:rsid w:val="007848F0"/>
    <w:rsid w:val="00785232"/>
    <w:rsid w:val="007875EB"/>
    <w:rsid w:val="00793004"/>
    <w:rsid w:val="00794D82"/>
    <w:rsid w:val="007959C3"/>
    <w:rsid w:val="00795F64"/>
    <w:rsid w:val="00796ABB"/>
    <w:rsid w:val="0079701E"/>
    <w:rsid w:val="007A0D25"/>
    <w:rsid w:val="007A21EB"/>
    <w:rsid w:val="007A4C06"/>
    <w:rsid w:val="007A594B"/>
    <w:rsid w:val="007A5A97"/>
    <w:rsid w:val="007A5AE6"/>
    <w:rsid w:val="007A6D82"/>
    <w:rsid w:val="007B1649"/>
    <w:rsid w:val="007B1A93"/>
    <w:rsid w:val="007B4776"/>
    <w:rsid w:val="007B4918"/>
    <w:rsid w:val="007B6D09"/>
    <w:rsid w:val="007C031C"/>
    <w:rsid w:val="007C0E74"/>
    <w:rsid w:val="007C2A2F"/>
    <w:rsid w:val="007C2DEC"/>
    <w:rsid w:val="007C36C9"/>
    <w:rsid w:val="007C5643"/>
    <w:rsid w:val="007C5D32"/>
    <w:rsid w:val="007D0556"/>
    <w:rsid w:val="007D39B0"/>
    <w:rsid w:val="007D44BA"/>
    <w:rsid w:val="007D5570"/>
    <w:rsid w:val="007D615F"/>
    <w:rsid w:val="007D6401"/>
    <w:rsid w:val="007E01E4"/>
    <w:rsid w:val="007E1DBB"/>
    <w:rsid w:val="007E2049"/>
    <w:rsid w:val="007E3269"/>
    <w:rsid w:val="007E508A"/>
    <w:rsid w:val="007E50B2"/>
    <w:rsid w:val="007E762B"/>
    <w:rsid w:val="007E7A12"/>
    <w:rsid w:val="007F1215"/>
    <w:rsid w:val="007F13BD"/>
    <w:rsid w:val="007F4607"/>
    <w:rsid w:val="007F4B8C"/>
    <w:rsid w:val="007F5161"/>
    <w:rsid w:val="007F7107"/>
    <w:rsid w:val="00800D4C"/>
    <w:rsid w:val="00800EA7"/>
    <w:rsid w:val="00802328"/>
    <w:rsid w:val="00802341"/>
    <w:rsid w:val="00802922"/>
    <w:rsid w:val="00806BB1"/>
    <w:rsid w:val="00807E11"/>
    <w:rsid w:val="0081030F"/>
    <w:rsid w:val="0081040B"/>
    <w:rsid w:val="008117B4"/>
    <w:rsid w:val="00811AA9"/>
    <w:rsid w:val="00812ABD"/>
    <w:rsid w:val="00812F4A"/>
    <w:rsid w:val="00814550"/>
    <w:rsid w:val="00815EB6"/>
    <w:rsid w:val="00816954"/>
    <w:rsid w:val="008170F1"/>
    <w:rsid w:val="008172E2"/>
    <w:rsid w:val="0081761D"/>
    <w:rsid w:val="00820382"/>
    <w:rsid w:val="0082087D"/>
    <w:rsid w:val="00822DBD"/>
    <w:rsid w:val="00824590"/>
    <w:rsid w:val="008254E7"/>
    <w:rsid w:val="008265CB"/>
    <w:rsid w:val="008269CB"/>
    <w:rsid w:val="00831083"/>
    <w:rsid w:val="0083152C"/>
    <w:rsid w:val="00833A00"/>
    <w:rsid w:val="00833E4A"/>
    <w:rsid w:val="00835767"/>
    <w:rsid w:val="00835771"/>
    <w:rsid w:val="008361A0"/>
    <w:rsid w:val="00840526"/>
    <w:rsid w:val="00841DD6"/>
    <w:rsid w:val="008423F0"/>
    <w:rsid w:val="00842933"/>
    <w:rsid w:val="00845D6B"/>
    <w:rsid w:val="0084633C"/>
    <w:rsid w:val="00850FD7"/>
    <w:rsid w:val="0085460E"/>
    <w:rsid w:val="00855742"/>
    <w:rsid w:val="00857A88"/>
    <w:rsid w:val="0086082C"/>
    <w:rsid w:val="00860B19"/>
    <w:rsid w:val="00864ADC"/>
    <w:rsid w:val="00864F38"/>
    <w:rsid w:val="008662E2"/>
    <w:rsid w:val="008665F6"/>
    <w:rsid w:val="008666F1"/>
    <w:rsid w:val="0087237D"/>
    <w:rsid w:val="00873F74"/>
    <w:rsid w:val="00876D71"/>
    <w:rsid w:val="00880153"/>
    <w:rsid w:val="00880F97"/>
    <w:rsid w:val="0088133A"/>
    <w:rsid w:val="00882348"/>
    <w:rsid w:val="00882E01"/>
    <w:rsid w:val="0088492A"/>
    <w:rsid w:val="00884F19"/>
    <w:rsid w:val="008851CD"/>
    <w:rsid w:val="00886CB5"/>
    <w:rsid w:val="0089285E"/>
    <w:rsid w:val="0089436C"/>
    <w:rsid w:val="00894A8A"/>
    <w:rsid w:val="00894AC7"/>
    <w:rsid w:val="00896718"/>
    <w:rsid w:val="00897433"/>
    <w:rsid w:val="008A5C95"/>
    <w:rsid w:val="008A7AA6"/>
    <w:rsid w:val="008A7C3D"/>
    <w:rsid w:val="008B0AB0"/>
    <w:rsid w:val="008B10DB"/>
    <w:rsid w:val="008B271E"/>
    <w:rsid w:val="008B418D"/>
    <w:rsid w:val="008B484B"/>
    <w:rsid w:val="008B534C"/>
    <w:rsid w:val="008B55A8"/>
    <w:rsid w:val="008B6256"/>
    <w:rsid w:val="008B65CB"/>
    <w:rsid w:val="008B66ED"/>
    <w:rsid w:val="008B795B"/>
    <w:rsid w:val="008B7D61"/>
    <w:rsid w:val="008C17F1"/>
    <w:rsid w:val="008C24B1"/>
    <w:rsid w:val="008C2785"/>
    <w:rsid w:val="008C4A05"/>
    <w:rsid w:val="008C7146"/>
    <w:rsid w:val="008D1306"/>
    <w:rsid w:val="008D1D62"/>
    <w:rsid w:val="008D2699"/>
    <w:rsid w:val="008D365C"/>
    <w:rsid w:val="008D370F"/>
    <w:rsid w:val="008D5382"/>
    <w:rsid w:val="008D55BE"/>
    <w:rsid w:val="008D62D2"/>
    <w:rsid w:val="008D7622"/>
    <w:rsid w:val="008E02D5"/>
    <w:rsid w:val="008E0447"/>
    <w:rsid w:val="008E19E9"/>
    <w:rsid w:val="008E1F0C"/>
    <w:rsid w:val="008E284D"/>
    <w:rsid w:val="008E2DED"/>
    <w:rsid w:val="008E71EB"/>
    <w:rsid w:val="008F1947"/>
    <w:rsid w:val="008F24AF"/>
    <w:rsid w:val="008F311A"/>
    <w:rsid w:val="008F4DED"/>
    <w:rsid w:val="008F61A9"/>
    <w:rsid w:val="009011F9"/>
    <w:rsid w:val="009021A6"/>
    <w:rsid w:val="009030BF"/>
    <w:rsid w:val="00903B52"/>
    <w:rsid w:val="0090459A"/>
    <w:rsid w:val="00905533"/>
    <w:rsid w:val="0090694E"/>
    <w:rsid w:val="00906FB7"/>
    <w:rsid w:val="0091032F"/>
    <w:rsid w:val="00911FC7"/>
    <w:rsid w:val="0091296D"/>
    <w:rsid w:val="009135B0"/>
    <w:rsid w:val="00914368"/>
    <w:rsid w:val="00921A86"/>
    <w:rsid w:val="00922154"/>
    <w:rsid w:val="00923776"/>
    <w:rsid w:val="00931076"/>
    <w:rsid w:val="0093184F"/>
    <w:rsid w:val="00932468"/>
    <w:rsid w:val="009326C2"/>
    <w:rsid w:val="00932F14"/>
    <w:rsid w:val="009338C8"/>
    <w:rsid w:val="009345D9"/>
    <w:rsid w:val="00934B15"/>
    <w:rsid w:val="00935ABB"/>
    <w:rsid w:val="009377C6"/>
    <w:rsid w:val="00940C66"/>
    <w:rsid w:val="00940C87"/>
    <w:rsid w:val="00940E8F"/>
    <w:rsid w:val="00941C72"/>
    <w:rsid w:val="00942126"/>
    <w:rsid w:val="00942B62"/>
    <w:rsid w:val="00943DEA"/>
    <w:rsid w:val="0095323B"/>
    <w:rsid w:val="009544A2"/>
    <w:rsid w:val="00955494"/>
    <w:rsid w:val="009563FD"/>
    <w:rsid w:val="00956A0C"/>
    <w:rsid w:val="00956BD9"/>
    <w:rsid w:val="00962489"/>
    <w:rsid w:val="009635A8"/>
    <w:rsid w:val="00963D99"/>
    <w:rsid w:val="009655F0"/>
    <w:rsid w:val="009659F2"/>
    <w:rsid w:val="00967CD3"/>
    <w:rsid w:val="00973622"/>
    <w:rsid w:val="00976370"/>
    <w:rsid w:val="009824BA"/>
    <w:rsid w:val="009852D6"/>
    <w:rsid w:val="009903E1"/>
    <w:rsid w:val="00990C2C"/>
    <w:rsid w:val="00992C5F"/>
    <w:rsid w:val="00996298"/>
    <w:rsid w:val="00997518"/>
    <w:rsid w:val="00997C63"/>
    <w:rsid w:val="009A0561"/>
    <w:rsid w:val="009A2430"/>
    <w:rsid w:val="009A283A"/>
    <w:rsid w:val="009A2924"/>
    <w:rsid w:val="009A3E08"/>
    <w:rsid w:val="009A4E87"/>
    <w:rsid w:val="009A5171"/>
    <w:rsid w:val="009B2F48"/>
    <w:rsid w:val="009B43F1"/>
    <w:rsid w:val="009B4E18"/>
    <w:rsid w:val="009B5BA8"/>
    <w:rsid w:val="009B77D4"/>
    <w:rsid w:val="009C1D07"/>
    <w:rsid w:val="009C3528"/>
    <w:rsid w:val="009C5498"/>
    <w:rsid w:val="009C5BC1"/>
    <w:rsid w:val="009C6079"/>
    <w:rsid w:val="009D1C05"/>
    <w:rsid w:val="009D3980"/>
    <w:rsid w:val="009D5319"/>
    <w:rsid w:val="009D5879"/>
    <w:rsid w:val="009D70EF"/>
    <w:rsid w:val="009E00DF"/>
    <w:rsid w:val="009E1844"/>
    <w:rsid w:val="009E24CC"/>
    <w:rsid w:val="009E2AF6"/>
    <w:rsid w:val="009E45C9"/>
    <w:rsid w:val="009E4829"/>
    <w:rsid w:val="009E4A30"/>
    <w:rsid w:val="009E7A43"/>
    <w:rsid w:val="009F0D1B"/>
    <w:rsid w:val="009F11C8"/>
    <w:rsid w:val="009F1666"/>
    <w:rsid w:val="009F4765"/>
    <w:rsid w:val="009F49D8"/>
    <w:rsid w:val="009F5BBD"/>
    <w:rsid w:val="009F634B"/>
    <w:rsid w:val="009F696D"/>
    <w:rsid w:val="009F6BC6"/>
    <w:rsid w:val="009F74EF"/>
    <w:rsid w:val="00A00BE0"/>
    <w:rsid w:val="00A0228C"/>
    <w:rsid w:val="00A02826"/>
    <w:rsid w:val="00A04D4E"/>
    <w:rsid w:val="00A0518D"/>
    <w:rsid w:val="00A10454"/>
    <w:rsid w:val="00A10D05"/>
    <w:rsid w:val="00A15D5A"/>
    <w:rsid w:val="00A17328"/>
    <w:rsid w:val="00A20E44"/>
    <w:rsid w:val="00A22FA2"/>
    <w:rsid w:val="00A232EA"/>
    <w:rsid w:val="00A2367C"/>
    <w:rsid w:val="00A23812"/>
    <w:rsid w:val="00A23A20"/>
    <w:rsid w:val="00A23AEE"/>
    <w:rsid w:val="00A24443"/>
    <w:rsid w:val="00A24B3D"/>
    <w:rsid w:val="00A26418"/>
    <w:rsid w:val="00A268B9"/>
    <w:rsid w:val="00A26E17"/>
    <w:rsid w:val="00A26EB0"/>
    <w:rsid w:val="00A2703A"/>
    <w:rsid w:val="00A2740B"/>
    <w:rsid w:val="00A27436"/>
    <w:rsid w:val="00A27D71"/>
    <w:rsid w:val="00A27EE9"/>
    <w:rsid w:val="00A30383"/>
    <w:rsid w:val="00A3129F"/>
    <w:rsid w:val="00A31EFB"/>
    <w:rsid w:val="00A33DFF"/>
    <w:rsid w:val="00A35115"/>
    <w:rsid w:val="00A356BE"/>
    <w:rsid w:val="00A3696D"/>
    <w:rsid w:val="00A36B4E"/>
    <w:rsid w:val="00A36D9A"/>
    <w:rsid w:val="00A451DC"/>
    <w:rsid w:val="00A45DA6"/>
    <w:rsid w:val="00A472C6"/>
    <w:rsid w:val="00A506DD"/>
    <w:rsid w:val="00A523FB"/>
    <w:rsid w:val="00A551BE"/>
    <w:rsid w:val="00A554AB"/>
    <w:rsid w:val="00A57062"/>
    <w:rsid w:val="00A57AC3"/>
    <w:rsid w:val="00A57FC7"/>
    <w:rsid w:val="00A6248C"/>
    <w:rsid w:val="00A658DA"/>
    <w:rsid w:val="00A67781"/>
    <w:rsid w:val="00A719AC"/>
    <w:rsid w:val="00A72ADA"/>
    <w:rsid w:val="00A751E6"/>
    <w:rsid w:val="00A75324"/>
    <w:rsid w:val="00A7585F"/>
    <w:rsid w:val="00A761F9"/>
    <w:rsid w:val="00A76637"/>
    <w:rsid w:val="00A83EBB"/>
    <w:rsid w:val="00A84407"/>
    <w:rsid w:val="00A87E0E"/>
    <w:rsid w:val="00A9064C"/>
    <w:rsid w:val="00A925E2"/>
    <w:rsid w:val="00A92B53"/>
    <w:rsid w:val="00A938F9"/>
    <w:rsid w:val="00A94255"/>
    <w:rsid w:val="00A94FA6"/>
    <w:rsid w:val="00A95381"/>
    <w:rsid w:val="00A95A8F"/>
    <w:rsid w:val="00AA0531"/>
    <w:rsid w:val="00AA236E"/>
    <w:rsid w:val="00AA30FE"/>
    <w:rsid w:val="00AA332B"/>
    <w:rsid w:val="00AA49A0"/>
    <w:rsid w:val="00AA5957"/>
    <w:rsid w:val="00AA6710"/>
    <w:rsid w:val="00AA6ABB"/>
    <w:rsid w:val="00AB0681"/>
    <w:rsid w:val="00AB0801"/>
    <w:rsid w:val="00AB2ECA"/>
    <w:rsid w:val="00AB35D3"/>
    <w:rsid w:val="00AB592B"/>
    <w:rsid w:val="00AB5C7A"/>
    <w:rsid w:val="00AC1373"/>
    <w:rsid w:val="00AC3A15"/>
    <w:rsid w:val="00AC6AE0"/>
    <w:rsid w:val="00AC74BE"/>
    <w:rsid w:val="00AD0D0C"/>
    <w:rsid w:val="00AD1454"/>
    <w:rsid w:val="00AD25E9"/>
    <w:rsid w:val="00AD2C13"/>
    <w:rsid w:val="00AD3EC7"/>
    <w:rsid w:val="00AD4B2D"/>
    <w:rsid w:val="00AD520B"/>
    <w:rsid w:val="00AD5E20"/>
    <w:rsid w:val="00AE25CB"/>
    <w:rsid w:val="00AE2A21"/>
    <w:rsid w:val="00AE30FA"/>
    <w:rsid w:val="00AE3733"/>
    <w:rsid w:val="00AE38DF"/>
    <w:rsid w:val="00AE3BCC"/>
    <w:rsid w:val="00AE69DA"/>
    <w:rsid w:val="00AF230A"/>
    <w:rsid w:val="00AF2E32"/>
    <w:rsid w:val="00AF5000"/>
    <w:rsid w:val="00AF6833"/>
    <w:rsid w:val="00AF72FD"/>
    <w:rsid w:val="00B0154A"/>
    <w:rsid w:val="00B04912"/>
    <w:rsid w:val="00B117F9"/>
    <w:rsid w:val="00B1275B"/>
    <w:rsid w:val="00B12990"/>
    <w:rsid w:val="00B12F73"/>
    <w:rsid w:val="00B1313F"/>
    <w:rsid w:val="00B13604"/>
    <w:rsid w:val="00B15236"/>
    <w:rsid w:val="00B20DCC"/>
    <w:rsid w:val="00B2111A"/>
    <w:rsid w:val="00B217F1"/>
    <w:rsid w:val="00B22B2C"/>
    <w:rsid w:val="00B23896"/>
    <w:rsid w:val="00B30516"/>
    <w:rsid w:val="00B30DC0"/>
    <w:rsid w:val="00B30DEF"/>
    <w:rsid w:val="00B34649"/>
    <w:rsid w:val="00B3558A"/>
    <w:rsid w:val="00B3658C"/>
    <w:rsid w:val="00B36680"/>
    <w:rsid w:val="00B418C5"/>
    <w:rsid w:val="00B425C3"/>
    <w:rsid w:val="00B4290E"/>
    <w:rsid w:val="00B43473"/>
    <w:rsid w:val="00B4373D"/>
    <w:rsid w:val="00B440AD"/>
    <w:rsid w:val="00B44866"/>
    <w:rsid w:val="00B44CD4"/>
    <w:rsid w:val="00B45404"/>
    <w:rsid w:val="00B4700D"/>
    <w:rsid w:val="00B479BB"/>
    <w:rsid w:val="00B5088B"/>
    <w:rsid w:val="00B53E7E"/>
    <w:rsid w:val="00B55E94"/>
    <w:rsid w:val="00B5735D"/>
    <w:rsid w:val="00B61649"/>
    <w:rsid w:val="00B62BBB"/>
    <w:rsid w:val="00B630D4"/>
    <w:rsid w:val="00B6342E"/>
    <w:rsid w:val="00B63F31"/>
    <w:rsid w:val="00B63F70"/>
    <w:rsid w:val="00B65FCB"/>
    <w:rsid w:val="00B66DC2"/>
    <w:rsid w:val="00B67496"/>
    <w:rsid w:val="00B7113F"/>
    <w:rsid w:val="00B7230B"/>
    <w:rsid w:val="00B72656"/>
    <w:rsid w:val="00B73A28"/>
    <w:rsid w:val="00B74761"/>
    <w:rsid w:val="00B81C90"/>
    <w:rsid w:val="00B81DE9"/>
    <w:rsid w:val="00B82463"/>
    <w:rsid w:val="00B8279B"/>
    <w:rsid w:val="00B843D5"/>
    <w:rsid w:val="00B853D3"/>
    <w:rsid w:val="00B86CF6"/>
    <w:rsid w:val="00B93257"/>
    <w:rsid w:val="00B95E5C"/>
    <w:rsid w:val="00B9625E"/>
    <w:rsid w:val="00BA08A4"/>
    <w:rsid w:val="00BA1001"/>
    <w:rsid w:val="00BA2BCF"/>
    <w:rsid w:val="00BA2CCD"/>
    <w:rsid w:val="00BA3601"/>
    <w:rsid w:val="00BA3685"/>
    <w:rsid w:val="00BA5B14"/>
    <w:rsid w:val="00BA637A"/>
    <w:rsid w:val="00BA71E2"/>
    <w:rsid w:val="00BA73B6"/>
    <w:rsid w:val="00BA7573"/>
    <w:rsid w:val="00BA7974"/>
    <w:rsid w:val="00BA7E27"/>
    <w:rsid w:val="00BB09C5"/>
    <w:rsid w:val="00BB2603"/>
    <w:rsid w:val="00BB4C7B"/>
    <w:rsid w:val="00BB4FCD"/>
    <w:rsid w:val="00BB6128"/>
    <w:rsid w:val="00BC04E9"/>
    <w:rsid w:val="00BC05B6"/>
    <w:rsid w:val="00BC4AAB"/>
    <w:rsid w:val="00BD13EA"/>
    <w:rsid w:val="00BD3189"/>
    <w:rsid w:val="00BD3256"/>
    <w:rsid w:val="00BD34F7"/>
    <w:rsid w:val="00BD3E9B"/>
    <w:rsid w:val="00BD3F52"/>
    <w:rsid w:val="00BD46DB"/>
    <w:rsid w:val="00BD636F"/>
    <w:rsid w:val="00BE082F"/>
    <w:rsid w:val="00BE0F3D"/>
    <w:rsid w:val="00BE3808"/>
    <w:rsid w:val="00BE68A0"/>
    <w:rsid w:val="00BF144F"/>
    <w:rsid w:val="00BF2574"/>
    <w:rsid w:val="00BF7012"/>
    <w:rsid w:val="00BF705F"/>
    <w:rsid w:val="00BF7CCE"/>
    <w:rsid w:val="00C02A7E"/>
    <w:rsid w:val="00C02EAB"/>
    <w:rsid w:val="00C03B88"/>
    <w:rsid w:val="00C03BE9"/>
    <w:rsid w:val="00C04A8B"/>
    <w:rsid w:val="00C05C03"/>
    <w:rsid w:val="00C062E9"/>
    <w:rsid w:val="00C07B64"/>
    <w:rsid w:val="00C10192"/>
    <w:rsid w:val="00C108A7"/>
    <w:rsid w:val="00C118AE"/>
    <w:rsid w:val="00C11924"/>
    <w:rsid w:val="00C11E8B"/>
    <w:rsid w:val="00C12CE1"/>
    <w:rsid w:val="00C13721"/>
    <w:rsid w:val="00C13F31"/>
    <w:rsid w:val="00C143E1"/>
    <w:rsid w:val="00C14F1A"/>
    <w:rsid w:val="00C14FE4"/>
    <w:rsid w:val="00C15A15"/>
    <w:rsid w:val="00C15B5E"/>
    <w:rsid w:val="00C2137F"/>
    <w:rsid w:val="00C22739"/>
    <w:rsid w:val="00C24785"/>
    <w:rsid w:val="00C24944"/>
    <w:rsid w:val="00C26EBA"/>
    <w:rsid w:val="00C3066D"/>
    <w:rsid w:val="00C30D69"/>
    <w:rsid w:val="00C318D9"/>
    <w:rsid w:val="00C333DA"/>
    <w:rsid w:val="00C33E79"/>
    <w:rsid w:val="00C3613D"/>
    <w:rsid w:val="00C45083"/>
    <w:rsid w:val="00C46764"/>
    <w:rsid w:val="00C50338"/>
    <w:rsid w:val="00C513EA"/>
    <w:rsid w:val="00C52416"/>
    <w:rsid w:val="00C543F4"/>
    <w:rsid w:val="00C55292"/>
    <w:rsid w:val="00C5621B"/>
    <w:rsid w:val="00C610AB"/>
    <w:rsid w:val="00C6291C"/>
    <w:rsid w:val="00C633CB"/>
    <w:rsid w:val="00C64A14"/>
    <w:rsid w:val="00C65B12"/>
    <w:rsid w:val="00C65D33"/>
    <w:rsid w:val="00C664CD"/>
    <w:rsid w:val="00C66802"/>
    <w:rsid w:val="00C66AA1"/>
    <w:rsid w:val="00C7169E"/>
    <w:rsid w:val="00C72341"/>
    <w:rsid w:val="00C736B7"/>
    <w:rsid w:val="00C74C5A"/>
    <w:rsid w:val="00C74EBB"/>
    <w:rsid w:val="00C75FD7"/>
    <w:rsid w:val="00C773A1"/>
    <w:rsid w:val="00C80C8D"/>
    <w:rsid w:val="00C81C8C"/>
    <w:rsid w:val="00C81D4A"/>
    <w:rsid w:val="00C82C43"/>
    <w:rsid w:val="00C832D6"/>
    <w:rsid w:val="00C85F9C"/>
    <w:rsid w:val="00C8762C"/>
    <w:rsid w:val="00C92B68"/>
    <w:rsid w:val="00C956B9"/>
    <w:rsid w:val="00C9706B"/>
    <w:rsid w:val="00C97BD4"/>
    <w:rsid w:val="00CA00F9"/>
    <w:rsid w:val="00CA13E5"/>
    <w:rsid w:val="00CA15D7"/>
    <w:rsid w:val="00CA2961"/>
    <w:rsid w:val="00CA2E41"/>
    <w:rsid w:val="00CA4C09"/>
    <w:rsid w:val="00CA6E71"/>
    <w:rsid w:val="00CA7F6A"/>
    <w:rsid w:val="00CB0036"/>
    <w:rsid w:val="00CB0BE9"/>
    <w:rsid w:val="00CB3E54"/>
    <w:rsid w:val="00CB3FDC"/>
    <w:rsid w:val="00CB50D7"/>
    <w:rsid w:val="00CB60F4"/>
    <w:rsid w:val="00CB6E52"/>
    <w:rsid w:val="00CB7177"/>
    <w:rsid w:val="00CB759C"/>
    <w:rsid w:val="00CB7CED"/>
    <w:rsid w:val="00CC0278"/>
    <w:rsid w:val="00CC070F"/>
    <w:rsid w:val="00CC16CF"/>
    <w:rsid w:val="00CC1998"/>
    <w:rsid w:val="00CC23B3"/>
    <w:rsid w:val="00CC372E"/>
    <w:rsid w:val="00CC4946"/>
    <w:rsid w:val="00CC4D8C"/>
    <w:rsid w:val="00CC6358"/>
    <w:rsid w:val="00CC64A1"/>
    <w:rsid w:val="00CC72E7"/>
    <w:rsid w:val="00CD0364"/>
    <w:rsid w:val="00CD047B"/>
    <w:rsid w:val="00CD3B19"/>
    <w:rsid w:val="00CD6AE1"/>
    <w:rsid w:val="00CD6FB1"/>
    <w:rsid w:val="00CD7261"/>
    <w:rsid w:val="00CD7A51"/>
    <w:rsid w:val="00CE0926"/>
    <w:rsid w:val="00CE2DB4"/>
    <w:rsid w:val="00CE3E2E"/>
    <w:rsid w:val="00CE523E"/>
    <w:rsid w:val="00CF0702"/>
    <w:rsid w:val="00CF0DA5"/>
    <w:rsid w:val="00CF1F8A"/>
    <w:rsid w:val="00CF27F8"/>
    <w:rsid w:val="00CF3B11"/>
    <w:rsid w:val="00CF445B"/>
    <w:rsid w:val="00CF44BA"/>
    <w:rsid w:val="00CF47F6"/>
    <w:rsid w:val="00CF51F1"/>
    <w:rsid w:val="00CF52BA"/>
    <w:rsid w:val="00CF7537"/>
    <w:rsid w:val="00CF7B0C"/>
    <w:rsid w:val="00D00898"/>
    <w:rsid w:val="00D00A40"/>
    <w:rsid w:val="00D01D50"/>
    <w:rsid w:val="00D03272"/>
    <w:rsid w:val="00D04209"/>
    <w:rsid w:val="00D0658F"/>
    <w:rsid w:val="00D06AF7"/>
    <w:rsid w:val="00D06BCD"/>
    <w:rsid w:val="00D10505"/>
    <w:rsid w:val="00D1209C"/>
    <w:rsid w:val="00D12543"/>
    <w:rsid w:val="00D1431C"/>
    <w:rsid w:val="00D14861"/>
    <w:rsid w:val="00D15E9E"/>
    <w:rsid w:val="00D200B6"/>
    <w:rsid w:val="00D262A5"/>
    <w:rsid w:val="00D265F7"/>
    <w:rsid w:val="00D270A4"/>
    <w:rsid w:val="00D2795F"/>
    <w:rsid w:val="00D279E9"/>
    <w:rsid w:val="00D3033E"/>
    <w:rsid w:val="00D318D3"/>
    <w:rsid w:val="00D31E18"/>
    <w:rsid w:val="00D31FE9"/>
    <w:rsid w:val="00D32566"/>
    <w:rsid w:val="00D33273"/>
    <w:rsid w:val="00D34E1B"/>
    <w:rsid w:val="00D36124"/>
    <w:rsid w:val="00D36EED"/>
    <w:rsid w:val="00D376BA"/>
    <w:rsid w:val="00D37B52"/>
    <w:rsid w:val="00D37E87"/>
    <w:rsid w:val="00D421FA"/>
    <w:rsid w:val="00D42238"/>
    <w:rsid w:val="00D42EE0"/>
    <w:rsid w:val="00D434A0"/>
    <w:rsid w:val="00D43596"/>
    <w:rsid w:val="00D45634"/>
    <w:rsid w:val="00D47278"/>
    <w:rsid w:val="00D51575"/>
    <w:rsid w:val="00D51D67"/>
    <w:rsid w:val="00D53154"/>
    <w:rsid w:val="00D537C3"/>
    <w:rsid w:val="00D5568A"/>
    <w:rsid w:val="00D559B3"/>
    <w:rsid w:val="00D56E33"/>
    <w:rsid w:val="00D57205"/>
    <w:rsid w:val="00D5722D"/>
    <w:rsid w:val="00D611E4"/>
    <w:rsid w:val="00D63D73"/>
    <w:rsid w:val="00D64195"/>
    <w:rsid w:val="00D64452"/>
    <w:rsid w:val="00D655FB"/>
    <w:rsid w:val="00D66E1E"/>
    <w:rsid w:val="00D7039B"/>
    <w:rsid w:val="00D70696"/>
    <w:rsid w:val="00D7176B"/>
    <w:rsid w:val="00D71B18"/>
    <w:rsid w:val="00D738A9"/>
    <w:rsid w:val="00D7479F"/>
    <w:rsid w:val="00D74934"/>
    <w:rsid w:val="00D75722"/>
    <w:rsid w:val="00D7598C"/>
    <w:rsid w:val="00D80CF5"/>
    <w:rsid w:val="00D81A6A"/>
    <w:rsid w:val="00D82CD1"/>
    <w:rsid w:val="00D83A85"/>
    <w:rsid w:val="00D85314"/>
    <w:rsid w:val="00D8544E"/>
    <w:rsid w:val="00D87994"/>
    <w:rsid w:val="00D91506"/>
    <w:rsid w:val="00D92F3D"/>
    <w:rsid w:val="00D93DCB"/>
    <w:rsid w:val="00D95192"/>
    <w:rsid w:val="00DA07DF"/>
    <w:rsid w:val="00DA1F46"/>
    <w:rsid w:val="00DA2707"/>
    <w:rsid w:val="00DA5BBA"/>
    <w:rsid w:val="00DA7667"/>
    <w:rsid w:val="00DB1244"/>
    <w:rsid w:val="00DB18C0"/>
    <w:rsid w:val="00DB2376"/>
    <w:rsid w:val="00DB26D2"/>
    <w:rsid w:val="00DB2B3A"/>
    <w:rsid w:val="00DB4DDA"/>
    <w:rsid w:val="00DB67C9"/>
    <w:rsid w:val="00DB7E71"/>
    <w:rsid w:val="00DC0C95"/>
    <w:rsid w:val="00DC396B"/>
    <w:rsid w:val="00DC4F0B"/>
    <w:rsid w:val="00DC4F39"/>
    <w:rsid w:val="00DC6A9D"/>
    <w:rsid w:val="00DC73AC"/>
    <w:rsid w:val="00DD0344"/>
    <w:rsid w:val="00DD09F4"/>
    <w:rsid w:val="00DD180D"/>
    <w:rsid w:val="00DD26DD"/>
    <w:rsid w:val="00DD42AA"/>
    <w:rsid w:val="00DD62CE"/>
    <w:rsid w:val="00DD6580"/>
    <w:rsid w:val="00DE0024"/>
    <w:rsid w:val="00DE00F6"/>
    <w:rsid w:val="00DE272E"/>
    <w:rsid w:val="00DE6020"/>
    <w:rsid w:val="00DE7266"/>
    <w:rsid w:val="00DF1030"/>
    <w:rsid w:val="00DF2373"/>
    <w:rsid w:val="00DF37CD"/>
    <w:rsid w:val="00DF402D"/>
    <w:rsid w:val="00DF4726"/>
    <w:rsid w:val="00DF5725"/>
    <w:rsid w:val="00DF5C3B"/>
    <w:rsid w:val="00E00FEB"/>
    <w:rsid w:val="00E01D7F"/>
    <w:rsid w:val="00E02711"/>
    <w:rsid w:val="00E032B5"/>
    <w:rsid w:val="00E03F59"/>
    <w:rsid w:val="00E05886"/>
    <w:rsid w:val="00E05C03"/>
    <w:rsid w:val="00E067E8"/>
    <w:rsid w:val="00E072D3"/>
    <w:rsid w:val="00E07DF3"/>
    <w:rsid w:val="00E10490"/>
    <w:rsid w:val="00E13C6A"/>
    <w:rsid w:val="00E14E42"/>
    <w:rsid w:val="00E17180"/>
    <w:rsid w:val="00E17C72"/>
    <w:rsid w:val="00E2051B"/>
    <w:rsid w:val="00E21C67"/>
    <w:rsid w:val="00E21FC6"/>
    <w:rsid w:val="00E27C88"/>
    <w:rsid w:val="00E322F7"/>
    <w:rsid w:val="00E32D71"/>
    <w:rsid w:val="00E3363C"/>
    <w:rsid w:val="00E33706"/>
    <w:rsid w:val="00E36EE7"/>
    <w:rsid w:val="00E37F2C"/>
    <w:rsid w:val="00E41558"/>
    <w:rsid w:val="00E417BD"/>
    <w:rsid w:val="00E41CDD"/>
    <w:rsid w:val="00E430C9"/>
    <w:rsid w:val="00E431A9"/>
    <w:rsid w:val="00E4391C"/>
    <w:rsid w:val="00E44873"/>
    <w:rsid w:val="00E4686E"/>
    <w:rsid w:val="00E469DF"/>
    <w:rsid w:val="00E51477"/>
    <w:rsid w:val="00E52EA5"/>
    <w:rsid w:val="00E537CE"/>
    <w:rsid w:val="00E603C9"/>
    <w:rsid w:val="00E60D91"/>
    <w:rsid w:val="00E64128"/>
    <w:rsid w:val="00E644B9"/>
    <w:rsid w:val="00E655C7"/>
    <w:rsid w:val="00E669E2"/>
    <w:rsid w:val="00E72850"/>
    <w:rsid w:val="00E72E44"/>
    <w:rsid w:val="00E74529"/>
    <w:rsid w:val="00E747A4"/>
    <w:rsid w:val="00E75C13"/>
    <w:rsid w:val="00E76135"/>
    <w:rsid w:val="00E7652D"/>
    <w:rsid w:val="00E77DBE"/>
    <w:rsid w:val="00E82F4F"/>
    <w:rsid w:val="00E833EC"/>
    <w:rsid w:val="00E864DF"/>
    <w:rsid w:val="00E93AE2"/>
    <w:rsid w:val="00E94B47"/>
    <w:rsid w:val="00E95C8A"/>
    <w:rsid w:val="00E977AF"/>
    <w:rsid w:val="00EA09E6"/>
    <w:rsid w:val="00EA2B6F"/>
    <w:rsid w:val="00EA3CA8"/>
    <w:rsid w:val="00EB15C3"/>
    <w:rsid w:val="00EB2CC3"/>
    <w:rsid w:val="00EB4AB4"/>
    <w:rsid w:val="00EB6A6D"/>
    <w:rsid w:val="00EB7D76"/>
    <w:rsid w:val="00EB7E1A"/>
    <w:rsid w:val="00EC02FA"/>
    <w:rsid w:val="00EC2844"/>
    <w:rsid w:val="00EC3929"/>
    <w:rsid w:val="00EC5500"/>
    <w:rsid w:val="00EC7290"/>
    <w:rsid w:val="00ED13F3"/>
    <w:rsid w:val="00ED18F8"/>
    <w:rsid w:val="00ED26D2"/>
    <w:rsid w:val="00ED3F65"/>
    <w:rsid w:val="00ED747D"/>
    <w:rsid w:val="00ED779F"/>
    <w:rsid w:val="00EE377D"/>
    <w:rsid w:val="00EE4404"/>
    <w:rsid w:val="00EE6EDA"/>
    <w:rsid w:val="00EE778E"/>
    <w:rsid w:val="00EF2C48"/>
    <w:rsid w:val="00EF2E06"/>
    <w:rsid w:val="00EF3504"/>
    <w:rsid w:val="00EF4EAF"/>
    <w:rsid w:val="00EF60F7"/>
    <w:rsid w:val="00EF6719"/>
    <w:rsid w:val="00EF6C6C"/>
    <w:rsid w:val="00EF7618"/>
    <w:rsid w:val="00F00184"/>
    <w:rsid w:val="00F031ED"/>
    <w:rsid w:val="00F03690"/>
    <w:rsid w:val="00F03940"/>
    <w:rsid w:val="00F042C8"/>
    <w:rsid w:val="00F05024"/>
    <w:rsid w:val="00F0512B"/>
    <w:rsid w:val="00F05337"/>
    <w:rsid w:val="00F056FC"/>
    <w:rsid w:val="00F0632F"/>
    <w:rsid w:val="00F069AE"/>
    <w:rsid w:val="00F077FD"/>
    <w:rsid w:val="00F0787C"/>
    <w:rsid w:val="00F10476"/>
    <w:rsid w:val="00F11E73"/>
    <w:rsid w:val="00F133DC"/>
    <w:rsid w:val="00F135D8"/>
    <w:rsid w:val="00F13C41"/>
    <w:rsid w:val="00F14164"/>
    <w:rsid w:val="00F148F7"/>
    <w:rsid w:val="00F15576"/>
    <w:rsid w:val="00F20EF5"/>
    <w:rsid w:val="00F2100F"/>
    <w:rsid w:val="00F21815"/>
    <w:rsid w:val="00F31299"/>
    <w:rsid w:val="00F3141C"/>
    <w:rsid w:val="00F3507E"/>
    <w:rsid w:val="00F3534A"/>
    <w:rsid w:val="00F35BFB"/>
    <w:rsid w:val="00F35FB0"/>
    <w:rsid w:val="00F3635F"/>
    <w:rsid w:val="00F36ACC"/>
    <w:rsid w:val="00F3709D"/>
    <w:rsid w:val="00F4033C"/>
    <w:rsid w:val="00F4499B"/>
    <w:rsid w:val="00F47A08"/>
    <w:rsid w:val="00F50BCC"/>
    <w:rsid w:val="00F51609"/>
    <w:rsid w:val="00F51D84"/>
    <w:rsid w:val="00F52487"/>
    <w:rsid w:val="00F527CA"/>
    <w:rsid w:val="00F52B35"/>
    <w:rsid w:val="00F52EE7"/>
    <w:rsid w:val="00F534C0"/>
    <w:rsid w:val="00F55C25"/>
    <w:rsid w:val="00F55CE3"/>
    <w:rsid w:val="00F55E15"/>
    <w:rsid w:val="00F61244"/>
    <w:rsid w:val="00F6125F"/>
    <w:rsid w:val="00F61E34"/>
    <w:rsid w:val="00F61EEF"/>
    <w:rsid w:val="00F61F40"/>
    <w:rsid w:val="00F623AC"/>
    <w:rsid w:val="00F631F9"/>
    <w:rsid w:val="00F6374F"/>
    <w:rsid w:val="00F63752"/>
    <w:rsid w:val="00F63D5B"/>
    <w:rsid w:val="00F65B7A"/>
    <w:rsid w:val="00F72A22"/>
    <w:rsid w:val="00F73727"/>
    <w:rsid w:val="00F74DEA"/>
    <w:rsid w:val="00F766A7"/>
    <w:rsid w:val="00F77183"/>
    <w:rsid w:val="00F80346"/>
    <w:rsid w:val="00F80639"/>
    <w:rsid w:val="00F81006"/>
    <w:rsid w:val="00F831B9"/>
    <w:rsid w:val="00F85325"/>
    <w:rsid w:val="00F87DAB"/>
    <w:rsid w:val="00F90A94"/>
    <w:rsid w:val="00F92E6A"/>
    <w:rsid w:val="00F933C8"/>
    <w:rsid w:val="00F9503F"/>
    <w:rsid w:val="00F95309"/>
    <w:rsid w:val="00F970A9"/>
    <w:rsid w:val="00FA040A"/>
    <w:rsid w:val="00FA1214"/>
    <w:rsid w:val="00FA2BF7"/>
    <w:rsid w:val="00FA7DDC"/>
    <w:rsid w:val="00FB2C43"/>
    <w:rsid w:val="00FB3FF4"/>
    <w:rsid w:val="00FB5B57"/>
    <w:rsid w:val="00FB5F99"/>
    <w:rsid w:val="00FB68E8"/>
    <w:rsid w:val="00FC0F42"/>
    <w:rsid w:val="00FC22A6"/>
    <w:rsid w:val="00FC2B88"/>
    <w:rsid w:val="00FC30C7"/>
    <w:rsid w:val="00FC49DD"/>
    <w:rsid w:val="00FC516B"/>
    <w:rsid w:val="00FC6A43"/>
    <w:rsid w:val="00FC74E5"/>
    <w:rsid w:val="00FD0735"/>
    <w:rsid w:val="00FD0C1F"/>
    <w:rsid w:val="00FD1EAB"/>
    <w:rsid w:val="00FD22B1"/>
    <w:rsid w:val="00FD2A34"/>
    <w:rsid w:val="00FD33F1"/>
    <w:rsid w:val="00FD3566"/>
    <w:rsid w:val="00FD53EA"/>
    <w:rsid w:val="00FD6FBB"/>
    <w:rsid w:val="00FE2013"/>
    <w:rsid w:val="00FE227D"/>
    <w:rsid w:val="00FE2C91"/>
    <w:rsid w:val="00FE42F1"/>
    <w:rsid w:val="00FE5397"/>
    <w:rsid w:val="00FE5BCA"/>
    <w:rsid w:val="00FF11CB"/>
    <w:rsid w:val="00FF2163"/>
    <w:rsid w:val="00FF240F"/>
    <w:rsid w:val="00FF32DC"/>
    <w:rsid w:val="00FF6640"/>
    <w:rsid w:val="00FF6E87"/>
    <w:rsid w:val="00FF74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28B82CD"/>
  <w15:docId w15:val="{1FC144A8-E93A-48BD-A92F-05AF7D4E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3154"/>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PlaceholderText">
    <w:name w:val="Placeholder Text"/>
    <w:basedOn w:val="DefaultParagraphFont"/>
    <w:uiPriority w:val="99"/>
    <w:semiHidden/>
    <w:rsid w:val="003029C4"/>
    <w:rPr>
      <w:color w:val="808080"/>
    </w:rPr>
  </w:style>
  <w:style w:type="character" w:styleId="EndnoteReference">
    <w:name w:val="endnote reference"/>
    <w:basedOn w:val="DefaultParagraphFont"/>
    <w:rsid w:val="0012146C"/>
    <w:rPr>
      <w:vertAlign w:val="superscript"/>
    </w:rPr>
  </w:style>
  <w:style w:type="paragraph" w:styleId="CommentSubject">
    <w:name w:val="annotation subject"/>
    <w:basedOn w:val="CommentText"/>
    <w:next w:val="CommentText"/>
    <w:link w:val="CommentSubjectChar"/>
    <w:rsid w:val="007261C3"/>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7261C3"/>
    <w:rPr>
      <w:szCs w:val="24"/>
    </w:rPr>
  </w:style>
  <w:style w:type="character" w:customStyle="1" w:styleId="CommentSubjectChar">
    <w:name w:val="Comment Subject Char"/>
    <w:basedOn w:val="CommentTextChar"/>
    <w:link w:val="CommentSubject"/>
    <w:rsid w:val="007261C3"/>
    <w:rPr>
      <w:b/>
      <w:bCs/>
      <w:szCs w:val="24"/>
    </w:rPr>
  </w:style>
  <w:style w:type="paragraph" w:styleId="Bibliography">
    <w:name w:val="Bibliography"/>
    <w:basedOn w:val="Normal"/>
    <w:next w:val="Normal"/>
    <w:uiPriority w:val="37"/>
    <w:unhideWhenUsed/>
    <w:rsid w:val="00D0658F"/>
    <w:pPr>
      <w:spacing w:after="240"/>
      <w:ind w:left="720" w:hanging="720"/>
    </w:pPr>
  </w:style>
  <w:style w:type="character" w:styleId="Hyperlink">
    <w:name w:val="Hyperlink"/>
    <w:basedOn w:val="DefaultParagraphFont"/>
    <w:rsid w:val="002120B2"/>
    <w:rPr>
      <w:color w:val="78A22F" w:themeColor="hyperlink"/>
      <w:u w:val="single"/>
    </w:rPr>
  </w:style>
  <w:style w:type="paragraph" w:customStyle="1" w:styleId="Heading1NotTOC">
    <w:name w:val="Heading 1 Not TOC"/>
    <w:basedOn w:val="Heading1"/>
    <w:next w:val="BodyText"/>
    <w:rsid w:val="002E6710"/>
    <w:rPr>
      <w:kern w:val="28"/>
      <w:szCs w:val="26"/>
      <w:lang w:eastAsia="en-US"/>
    </w:rPr>
  </w:style>
  <w:style w:type="paragraph" w:customStyle="1" w:styleId="Copyrightheading">
    <w:name w:val="Copyright heading"/>
    <w:basedOn w:val="TOC1"/>
    <w:link w:val="CopyrightheadingChar"/>
    <w:qFormat/>
    <w:rsid w:val="002E6710"/>
    <w:pPr>
      <w:spacing w:line="300" w:lineRule="exact"/>
    </w:pPr>
    <w:rPr>
      <w:sz w:val="22"/>
    </w:rPr>
  </w:style>
  <w:style w:type="character" w:customStyle="1" w:styleId="CopyrightheadingChar">
    <w:name w:val="Copyright heading Char"/>
    <w:basedOn w:val="TOC1Char"/>
    <w:link w:val="Copyrightheading"/>
    <w:rsid w:val="002E6710"/>
    <w:rPr>
      <w:rFonts w:ascii="Arial" w:hAnsi="Arial"/>
      <w:b/>
      <w:sz w:val="22"/>
      <w:szCs w:val="26"/>
      <w:lang w:eastAsia="en-US"/>
    </w:rPr>
  </w:style>
  <w:style w:type="paragraph" w:customStyle="1" w:styleId="Copyrightsubtitle">
    <w:name w:val="Copyright subtitle"/>
    <w:basedOn w:val="BodyText"/>
    <w:rsid w:val="002E6710"/>
    <w:rPr>
      <w:rFonts w:ascii="Arial" w:hAnsi="Arial"/>
      <w:b/>
      <w:sz w:val="22"/>
      <w:szCs w:val="25"/>
    </w:rPr>
  </w:style>
  <w:style w:type="paragraph" w:customStyle="1" w:styleId="Copyrightbodytext">
    <w:name w:val="Copyright bodytext"/>
    <w:basedOn w:val="BodyText"/>
    <w:link w:val="CopyrightbodytextChar"/>
    <w:qFormat/>
    <w:rsid w:val="002E6710"/>
    <w:pPr>
      <w:spacing w:before="60"/>
    </w:pPr>
  </w:style>
  <w:style w:type="character" w:customStyle="1" w:styleId="CopyrightbodytextChar">
    <w:name w:val="Copyright bodytext Char"/>
    <w:basedOn w:val="BodyTextChar"/>
    <w:link w:val="Copyrightbodytext"/>
    <w:rsid w:val="002E67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7177">
      <w:bodyDiv w:val="1"/>
      <w:marLeft w:val="0"/>
      <w:marRight w:val="0"/>
      <w:marTop w:val="0"/>
      <w:marBottom w:val="0"/>
      <w:divBdr>
        <w:top w:val="none" w:sz="0" w:space="0" w:color="auto"/>
        <w:left w:val="none" w:sz="0" w:space="0" w:color="auto"/>
        <w:bottom w:val="none" w:sz="0" w:space="0" w:color="auto"/>
        <w:right w:val="none" w:sz="0" w:space="0" w:color="auto"/>
      </w:divBdr>
    </w:div>
    <w:div w:id="177089282">
      <w:bodyDiv w:val="1"/>
      <w:marLeft w:val="0"/>
      <w:marRight w:val="0"/>
      <w:marTop w:val="0"/>
      <w:marBottom w:val="0"/>
      <w:divBdr>
        <w:top w:val="none" w:sz="0" w:space="0" w:color="auto"/>
        <w:left w:val="none" w:sz="0" w:space="0" w:color="auto"/>
        <w:bottom w:val="none" w:sz="0" w:space="0" w:color="auto"/>
        <w:right w:val="none" w:sz="0" w:space="0" w:color="auto"/>
      </w:divBdr>
    </w:div>
    <w:div w:id="360713152">
      <w:bodyDiv w:val="1"/>
      <w:marLeft w:val="0"/>
      <w:marRight w:val="0"/>
      <w:marTop w:val="0"/>
      <w:marBottom w:val="0"/>
      <w:divBdr>
        <w:top w:val="none" w:sz="0" w:space="0" w:color="auto"/>
        <w:left w:val="none" w:sz="0" w:space="0" w:color="auto"/>
        <w:bottom w:val="none" w:sz="0" w:space="0" w:color="auto"/>
        <w:right w:val="none" w:sz="0" w:space="0" w:color="auto"/>
      </w:divBdr>
    </w:div>
    <w:div w:id="620838884">
      <w:bodyDiv w:val="1"/>
      <w:marLeft w:val="0"/>
      <w:marRight w:val="0"/>
      <w:marTop w:val="0"/>
      <w:marBottom w:val="0"/>
      <w:divBdr>
        <w:top w:val="none" w:sz="0" w:space="0" w:color="auto"/>
        <w:left w:val="none" w:sz="0" w:space="0" w:color="auto"/>
        <w:bottom w:val="none" w:sz="0" w:space="0" w:color="auto"/>
        <w:right w:val="none" w:sz="0" w:space="0" w:color="auto"/>
      </w:divBdr>
    </w:div>
    <w:div w:id="781344314">
      <w:bodyDiv w:val="1"/>
      <w:marLeft w:val="0"/>
      <w:marRight w:val="0"/>
      <w:marTop w:val="0"/>
      <w:marBottom w:val="0"/>
      <w:divBdr>
        <w:top w:val="none" w:sz="0" w:space="0" w:color="auto"/>
        <w:left w:val="none" w:sz="0" w:space="0" w:color="auto"/>
        <w:bottom w:val="none" w:sz="0" w:space="0" w:color="auto"/>
        <w:right w:val="none" w:sz="0" w:space="0" w:color="auto"/>
      </w:divBdr>
      <w:divsChild>
        <w:div w:id="1629583709">
          <w:marLeft w:val="0"/>
          <w:marRight w:val="0"/>
          <w:marTop w:val="0"/>
          <w:marBottom w:val="0"/>
          <w:divBdr>
            <w:top w:val="none" w:sz="0" w:space="0" w:color="auto"/>
            <w:left w:val="none" w:sz="0" w:space="0" w:color="auto"/>
            <w:bottom w:val="none" w:sz="0" w:space="0" w:color="auto"/>
            <w:right w:val="none" w:sz="0" w:space="0" w:color="auto"/>
          </w:divBdr>
          <w:divsChild>
            <w:div w:id="150606698">
              <w:marLeft w:val="0"/>
              <w:marRight w:val="0"/>
              <w:marTop w:val="0"/>
              <w:marBottom w:val="0"/>
              <w:divBdr>
                <w:top w:val="none" w:sz="0" w:space="0" w:color="auto"/>
                <w:left w:val="none" w:sz="0" w:space="0" w:color="auto"/>
                <w:bottom w:val="none" w:sz="0" w:space="0" w:color="auto"/>
                <w:right w:val="none" w:sz="0" w:space="0" w:color="auto"/>
              </w:divBdr>
              <w:divsChild>
                <w:div w:id="1410735857">
                  <w:marLeft w:val="0"/>
                  <w:marRight w:val="180"/>
                  <w:marTop w:val="0"/>
                  <w:marBottom w:val="0"/>
                  <w:divBdr>
                    <w:top w:val="none" w:sz="0" w:space="0" w:color="auto"/>
                    <w:left w:val="none" w:sz="0" w:space="0" w:color="auto"/>
                    <w:bottom w:val="none" w:sz="0" w:space="0" w:color="auto"/>
                    <w:right w:val="none" w:sz="0" w:space="0" w:color="auto"/>
                  </w:divBdr>
                </w:div>
                <w:div w:id="392238196">
                  <w:marLeft w:val="0"/>
                  <w:marRight w:val="180"/>
                  <w:marTop w:val="0"/>
                  <w:marBottom w:val="0"/>
                  <w:divBdr>
                    <w:top w:val="none" w:sz="0" w:space="0" w:color="auto"/>
                    <w:left w:val="none" w:sz="0" w:space="0" w:color="auto"/>
                    <w:bottom w:val="none" w:sz="0" w:space="0" w:color="auto"/>
                    <w:right w:val="none" w:sz="0" w:space="0" w:color="auto"/>
                  </w:divBdr>
                </w:div>
                <w:div w:id="78866982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79122499">
          <w:marLeft w:val="0"/>
          <w:marRight w:val="0"/>
          <w:marTop w:val="0"/>
          <w:marBottom w:val="0"/>
          <w:divBdr>
            <w:top w:val="none" w:sz="0" w:space="0" w:color="auto"/>
            <w:left w:val="none" w:sz="0" w:space="0" w:color="auto"/>
            <w:bottom w:val="none" w:sz="0" w:space="0" w:color="auto"/>
            <w:right w:val="none" w:sz="0" w:space="0" w:color="auto"/>
          </w:divBdr>
        </w:div>
        <w:div w:id="1770815079">
          <w:marLeft w:val="0"/>
          <w:marRight w:val="0"/>
          <w:marTop w:val="0"/>
          <w:marBottom w:val="0"/>
          <w:divBdr>
            <w:top w:val="none" w:sz="0" w:space="0" w:color="auto"/>
            <w:left w:val="none" w:sz="0" w:space="0" w:color="auto"/>
            <w:bottom w:val="none" w:sz="0" w:space="0" w:color="auto"/>
            <w:right w:val="none" w:sz="0" w:space="0" w:color="auto"/>
          </w:divBdr>
        </w:div>
        <w:div w:id="1417432673">
          <w:marLeft w:val="0"/>
          <w:marRight w:val="0"/>
          <w:marTop w:val="0"/>
          <w:marBottom w:val="0"/>
          <w:divBdr>
            <w:top w:val="none" w:sz="0" w:space="0" w:color="auto"/>
            <w:left w:val="none" w:sz="0" w:space="0" w:color="auto"/>
            <w:bottom w:val="none" w:sz="0" w:space="0" w:color="auto"/>
            <w:right w:val="none" w:sz="0" w:space="0" w:color="auto"/>
          </w:divBdr>
        </w:div>
      </w:divsChild>
    </w:div>
    <w:div w:id="1253276901">
      <w:bodyDiv w:val="1"/>
      <w:marLeft w:val="0"/>
      <w:marRight w:val="0"/>
      <w:marTop w:val="0"/>
      <w:marBottom w:val="0"/>
      <w:divBdr>
        <w:top w:val="none" w:sz="0" w:space="0" w:color="auto"/>
        <w:left w:val="none" w:sz="0" w:space="0" w:color="auto"/>
        <w:bottom w:val="none" w:sz="0" w:space="0" w:color="auto"/>
        <w:right w:val="none" w:sz="0" w:space="0" w:color="auto"/>
      </w:divBdr>
    </w:div>
    <w:div w:id="1432241631">
      <w:bodyDiv w:val="1"/>
      <w:marLeft w:val="0"/>
      <w:marRight w:val="0"/>
      <w:marTop w:val="0"/>
      <w:marBottom w:val="0"/>
      <w:divBdr>
        <w:top w:val="none" w:sz="0" w:space="0" w:color="auto"/>
        <w:left w:val="none" w:sz="0" w:space="0" w:color="auto"/>
        <w:bottom w:val="none" w:sz="0" w:space="0" w:color="auto"/>
        <w:right w:val="none" w:sz="0" w:space="0" w:color="auto"/>
      </w:divBdr>
    </w:div>
    <w:div w:id="1478763439">
      <w:bodyDiv w:val="1"/>
      <w:marLeft w:val="0"/>
      <w:marRight w:val="0"/>
      <w:marTop w:val="0"/>
      <w:marBottom w:val="0"/>
      <w:divBdr>
        <w:top w:val="none" w:sz="0" w:space="0" w:color="auto"/>
        <w:left w:val="none" w:sz="0" w:space="0" w:color="auto"/>
        <w:bottom w:val="none" w:sz="0" w:space="0" w:color="auto"/>
        <w:right w:val="none" w:sz="0" w:space="0" w:color="auto"/>
      </w:divBdr>
    </w:div>
    <w:div w:id="1539704579">
      <w:bodyDiv w:val="1"/>
      <w:marLeft w:val="0"/>
      <w:marRight w:val="0"/>
      <w:marTop w:val="0"/>
      <w:marBottom w:val="0"/>
      <w:divBdr>
        <w:top w:val="none" w:sz="0" w:space="0" w:color="auto"/>
        <w:left w:val="none" w:sz="0" w:space="0" w:color="auto"/>
        <w:bottom w:val="none" w:sz="0" w:space="0" w:color="auto"/>
        <w:right w:val="none" w:sz="0" w:space="0" w:color="auto"/>
      </w:divBdr>
    </w:div>
    <w:div w:id="1579172767">
      <w:bodyDiv w:val="1"/>
      <w:marLeft w:val="0"/>
      <w:marRight w:val="0"/>
      <w:marTop w:val="0"/>
      <w:marBottom w:val="0"/>
      <w:divBdr>
        <w:top w:val="none" w:sz="0" w:space="0" w:color="auto"/>
        <w:left w:val="none" w:sz="0" w:space="0" w:color="auto"/>
        <w:bottom w:val="none" w:sz="0" w:space="0" w:color="auto"/>
        <w:right w:val="none" w:sz="0" w:space="0" w:color="auto"/>
      </w:divBdr>
    </w:div>
    <w:div w:id="177748119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33589207">
      <w:bodyDiv w:val="1"/>
      <w:marLeft w:val="0"/>
      <w:marRight w:val="0"/>
      <w:marTop w:val="0"/>
      <w:marBottom w:val="0"/>
      <w:divBdr>
        <w:top w:val="none" w:sz="0" w:space="0" w:color="auto"/>
        <w:left w:val="none" w:sz="0" w:space="0" w:color="auto"/>
        <w:bottom w:val="none" w:sz="0" w:space="0" w:color="auto"/>
        <w:right w:val="none" w:sz="0" w:space="0" w:color="auto"/>
      </w:divBdr>
      <w:divsChild>
        <w:div w:id="1708489717">
          <w:marLeft w:val="0"/>
          <w:marRight w:val="0"/>
          <w:marTop w:val="0"/>
          <w:marBottom w:val="0"/>
          <w:divBdr>
            <w:top w:val="none" w:sz="0" w:space="0" w:color="auto"/>
            <w:left w:val="none" w:sz="0" w:space="0" w:color="auto"/>
            <w:bottom w:val="none" w:sz="0" w:space="0" w:color="auto"/>
            <w:right w:val="none" w:sz="0" w:space="0" w:color="auto"/>
          </w:divBdr>
          <w:divsChild>
            <w:div w:id="1062220342">
              <w:marLeft w:val="0"/>
              <w:marRight w:val="0"/>
              <w:marTop w:val="0"/>
              <w:marBottom w:val="0"/>
              <w:divBdr>
                <w:top w:val="none" w:sz="0" w:space="0" w:color="auto"/>
                <w:left w:val="none" w:sz="0" w:space="0" w:color="auto"/>
                <w:bottom w:val="none" w:sz="0" w:space="0" w:color="auto"/>
                <w:right w:val="none" w:sz="0" w:space="0" w:color="auto"/>
              </w:divBdr>
              <w:divsChild>
                <w:div w:id="1586501154">
                  <w:marLeft w:val="0"/>
                  <w:marRight w:val="180"/>
                  <w:marTop w:val="0"/>
                  <w:marBottom w:val="0"/>
                  <w:divBdr>
                    <w:top w:val="none" w:sz="0" w:space="0" w:color="auto"/>
                    <w:left w:val="none" w:sz="0" w:space="0" w:color="auto"/>
                    <w:bottom w:val="none" w:sz="0" w:space="0" w:color="auto"/>
                    <w:right w:val="none" w:sz="0" w:space="0" w:color="auto"/>
                  </w:divBdr>
                </w:div>
                <w:div w:id="541017374">
                  <w:marLeft w:val="0"/>
                  <w:marRight w:val="180"/>
                  <w:marTop w:val="0"/>
                  <w:marBottom w:val="0"/>
                  <w:divBdr>
                    <w:top w:val="none" w:sz="0" w:space="0" w:color="auto"/>
                    <w:left w:val="none" w:sz="0" w:space="0" w:color="auto"/>
                    <w:bottom w:val="none" w:sz="0" w:space="0" w:color="auto"/>
                    <w:right w:val="none" w:sz="0" w:space="0" w:color="auto"/>
                  </w:divBdr>
                </w:div>
                <w:div w:id="51230851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480851620">
          <w:marLeft w:val="0"/>
          <w:marRight w:val="0"/>
          <w:marTop w:val="0"/>
          <w:marBottom w:val="0"/>
          <w:divBdr>
            <w:top w:val="none" w:sz="0" w:space="0" w:color="auto"/>
            <w:left w:val="none" w:sz="0" w:space="0" w:color="auto"/>
            <w:bottom w:val="none" w:sz="0" w:space="0" w:color="auto"/>
            <w:right w:val="none" w:sz="0" w:space="0" w:color="auto"/>
          </w:divBdr>
        </w:div>
        <w:div w:id="1195771095">
          <w:marLeft w:val="0"/>
          <w:marRight w:val="0"/>
          <w:marTop w:val="0"/>
          <w:marBottom w:val="0"/>
          <w:divBdr>
            <w:top w:val="none" w:sz="0" w:space="0" w:color="auto"/>
            <w:left w:val="none" w:sz="0" w:space="0" w:color="auto"/>
            <w:bottom w:val="none" w:sz="0" w:space="0" w:color="auto"/>
            <w:right w:val="none" w:sz="0" w:space="0" w:color="auto"/>
          </w:divBdr>
        </w:div>
        <w:div w:id="760414703">
          <w:marLeft w:val="0"/>
          <w:marRight w:val="0"/>
          <w:marTop w:val="0"/>
          <w:marBottom w:val="0"/>
          <w:divBdr>
            <w:top w:val="none" w:sz="0" w:space="0" w:color="auto"/>
            <w:left w:val="none" w:sz="0" w:space="0" w:color="auto"/>
            <w:bottom w:val="none" w:sz="0" w:space="0" w:color="auto"/>
            <w:right w:val="none" w:sz="0" w:space="0" w:color="auto"/>
          </w:divBdr>
        </w:div>
      </w:divsChild>
    </w:div>
    <w:div w:id="2027563062">
      <w:bodyDiv w:val="1"/>
      <w:marLeft w:val="0"/>
      <w:marRight w:val="0"/>
      <w:marTop w:val="0"/>
      <w:marBottom w:val="0"/>
      <w:divBdr>
        <w:top w:val="none" w:sz="0" w:space="0" w:color="auto"/>
        <w:left w:val="none" w:sz="0" w:space="0" w:color="auto"/>
        <w:bottom w:val="none" w:sz="0" w:space="0" w:color="auto"/>
        <w:right w:val="none" w:sz="0" w:space="0" w:color="auto"/>
      </w:divBdr>
      <w:divsChild>
        <w:div w:id="996689907">
          <w:marLeft w:val="0"/>
          <w:marRight w:val="0"/>
          <w:marTop w:val="0"/>
          <w:marBottom w:val="0"/>
          <w:divBdr>
            <w:top w:val="none" w:sz="0" w:space="0" w:color="auto"/>
            <w:left w:val="none" w:sz="0" w:space="0" w:color="auto"/>
            <w:bottom w:val="none" w:sz="0" w:space="0" w:color="auto"/>
            <w:right w:val="none" w:sz="0" w:space="0" w:color="auto"/>
          </w:divBdr>
        </w:div>
        <w:div w:id="1225917974">
          <w:marLeft w:val="0"/>
          <w:marRight w:val="0"/>
          <w:marTop w:val="0"/>
          <w:marBottom w:val="0"/>
          <w:divBdr>
            <w:top w:val="none" w:sz="0" w:space="0" w:color="auto"/>
            <w:left w:val="none" w:sz="0" w:space="0" w:color="auto"/>
            <w:bottom w:val="none" w:sz="0" w:space="0" w:color="auto"/>
            <w:right w:val="none" w:sz="0" w:space="0" w:color="auto"/>
          </w:divBdr>
        </w:div>
        <w:div w:id="156964107">
          <w:marLeft w:val="0"/>
          <w:marRight w:val="0"/>
          <w:marTop w:val="0"/>
          <w:marBottom w:val="0"/>
          <w:divBdr>
            <w:top w:val="none" w:sz="0" w:space="0" w:color="auto"/>
            <w:left w:val="none" w:sz="0" w:space="0" w:color="auto"/>
            <w:bottom w:val="none" w:sz="0" w:space="0" w:color="auto"/>
            <w:right w:val="none" w:sz="0" w:space="0" w:color="auto"/>
          </w:divBdr>
        </w:div>
        <w:div w:id="1152017962">
          <w:marLeft w:val="0"/>
          <w:marRight w:val="0"/>
          <w:marTop w:val="0"/>
          <w:marBottom w:val="0"/>
          <w:divBdr>
            <w:top w:val="none" w:sz="0" w:space="0" w:color="auto"/>
            <w:left w:val="none" w:sz="0" w:space="0" w:color="auto"/>
            <w:bottom w:val="none" w:sz="0" w:space="0" w:color="auto"/>
            <w:right w:val="none" w:sz="0" w:space="0" w:color="auto"/>
          </w:divBdr>
        </w:div>
        <w:div w:id="2098623986">
          <w:marLeft w:val="0"/>
          <w:marRight w:val="0"/>
          <w:marTop w:val="0"/>
          <w:marBottom w:val="0"/>
          <w:divBdr>
            <w:top w:val="none" w:sz="0" w:space="0" w:color="auto"/>
            <w:left w:val="none" w:sz="0" w:space="0" w:color="auto"/>
            <w:bottom w:val="none" w:sz="0" w:space="0" w:color="auto"/>
            <w:right w:val="none" w:sz="0" w:space="0" w:color="auto"/>
          </w:divBdr>
        </w:div>
        <w:div w:id="1832714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tsanhonour.gov.au/coat-arms/index.cfm" TargetMode="External"/><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creativecommons.org/licenses/by/3.0/au" TargetMode="External"/><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image" Target="media/image3.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www.itsanhonour.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eader" Target="header1.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Dev\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eports" ma:contentTypeID="0x0101007916246811615643A710C6FEAFF56A87110400A28C3A6819EB5740848FC9F755A22EF7" ma:contentTypeVersion="16" ma:contentTypeDescription="" ma:contentTypeScope="" ma:versionID="2b7dfb802c98d087556d07a1cf957bc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b614c2dcb94a99cb128c23506a0d77cd"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8"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609e2780-d171-4fcc-ba6e-ba515af27ffb"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element name="Draft_x0020_Report_x0020_Status" ma:index="17" nillable="true" ma:displayName="Draft Report Status" ma:default="In initial draft state" ma:internalName="Draft_x0020_Report_x0020_Status" ma:readOnly="false" ma:requiredMultiChoice="tru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raft_x0020_Report_x0020_Status xmlns="3f4bcce7-ac1a-4c9d-aa3e-7e77695652db">
      <Value>In initial draft state</Value>
    </Draft_x0020_Report_x0020_Status>
    <TaxKeywordTaxHTField xmlns="3f4bcce7-ac1a-4c9d-aa3e-7e77695652db">
      <Terms xmlns="http://schemas.microsoft.com/office/infopath/2007/PartnerControls"/>
    </TaxKeywordTaxHTField>
    <V3Comments xmlns="http://schemas.microsoft.com/sharepoint/v3">clean</V3Comments>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Draft Report</TermName>
          <TermId xmlns="http://schemas.microsoft.com/office/infopath/2007/PartnerControls">84e4af37-8871-4c42-ad2f-98d46afe06b0</TermId>
        </TermInfo>
      </Terms>
    </p7a0baa8c88445a78b6f55906390ba17>
    <TaxCatchAll xmlns="3f4bcce7-ac1a-4c9d-aa3e-7e77695652db">
      <Value>24</Value>
    </TaxCatchAll>
    <TaxCatchAllLabel xmlns="3f4bcce7-ac1a-4c9d-aa3e-7e77695652db"/>
    <_dlc_DocId xmlns="3f4bcce7-ac1a-4c9d-aa3e-7e77695652db">PCDOC-449087117-26</_dlc_DocId>
    <_dlc_DocIdUrl xmlns="3f4bcce7-ac1a-4c9d-aa3e-7e77695652db">
      <Url>https://inet.pc.gov.au/pmo/inq/regecon/_layouts/15/DocIdRedir.aspx?ID=PCDOC-449087117-26</Url>
      <Description>PCDOC-449087117-26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079B7-2585-44D3-BD96-CC77D89A1422}">
  <ds:schemaRefs>
    <ds:schemaRef ds:uri="http://schemas.microsoft.com/office/2006/metadata/customXsn"/>
  </ds:schemaRefs>
</ds:datastoreItem>
</file>

<file path=customXml/itemProps2.xml><?xml version="1.0" encoding="utf-8"?>
<ds:datastoreItem xmlns:ds="http://schemas.openxmlformats.org/officeDocument/2006/customXml" ds:itemID="{7E1A3DBC-A835-4119-BD80-3E0E45324961}">
  <ds:schemaRefs>
    <ds:schemaRef ds:uri="Microsoft.SharePoint.Taxonomy.ContentTypeSync"/>
  </ds:schemaRefs>
</ds:datastoreItem>
</file>

<file path=customXml/itemProps3.xml><?xml version="1.0" encoding="utf-8"?>
<ds:datastoreItem xmlns:ds="http://schemas.openxmlformats.org/officeDocument/2006/customXml" ds:itemID="{D43C9027-43F9-45C5-B629-8899522F1DE2}">
  <ds:schemaRefs>
    <ds:schemaRef ds:uri="http://schemas.microsoft.com/sharepoint/events"/>
  </ds:schemaRefs>
</ds:datastoreItem>
</file>

<file path=customXml/itemProps4.xml><?xml version="1.0" encoding="utf-8"?>
<ds:datastoreItem xmlns:ds="http://schemas.openxmlformats.org/officeDocument/2006/customXml" ds:itemID="{64E77607-95D6-43F1-BB90-D1D4EBC1B204}">
  <ds:schemaRefs>
    <ds:schemaRef ds:uri="http://schemas.microsoft.com/sharepoint/v3/contenttype/forms"/>
  </ds:schemaRefs>
</ds:datastoreItem>
</file>

<file path=customXml/itemProps5.xml><?xml version="1.0" encoding="utf-8"?>
<ds:datastoreItem xmlns:ds="http://schemas.openxmlformats.org/officeDocument/2006/customXml" ds:itemID="{45F4D89F-CA5E-4A58-BE54-932585071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E11C51-7E22-490C-B071-79EA70001BB9}">
  <ds:schemaRefs>
    <ds:schemaRef ds:uri="http://purl.org/dc/elements/1.1/"/>
    <ds:schemaRef ds:uri="http://schemas.microsoft.com/sharepoint/v3"/>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3f4bcce7-ac1a-4c9d-aa3e-7e77695652db"/>
    <ds:schemaRef ds:uri="http://purl.org/dc/dcmitype/"/>
    <ds:schemaRef ds:uri="http://purl.org/dc/terms/"/>
  </ds:schemaRefs>
</ds:datastoreItem>
</file>

<file path=customXml/itemProps7.xml><?xml version="1.0" encoding="utf-8"?>
<ds:datastoreItem xmlns:ds="http://schemas.openxmlformats.org/officeDocument/2006/customXml" ds:itemID="{B6C27CF6-D490-4B1D-9694-34307BD5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19</TotalTime>
  <Pages>26</Pages>
  <Words>7636</Words>
  <Characters>44906</Characters>
  <Application>Microsoft Office Word</Application>
  <DocSecurity>0</DocSecurity>
  <Lines>374</Lines>
  <Paragraphs>104</Paragraphs>
  <ScaleCrop>false</ScaleCrop>
  <HeadingPairs>
    <vt:vector size="2" baseType="variant">
      <vt:variant>
        <vt:lpstr>Title</vt:lpstr>
      </vt:variant>
      <vt:variant>
        <vt:i4>1</vt:i4>
      </vt:variant>
    </vt:vector>
  </HeadingPairs>
  <TitlesOfParts>
    <vt:vector size="1" baseType="lpstr">
      <vt:lpstr>Developing an index of regional adaptive capacity - Technical Supplement</vt:lpstr>
    </vt:vector>
  </TitlesOfParts>
  <Company/>
  <LinksUpToDate>false</LinksUpToDate>
  <CharactersWithSpaces>52438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an index of regional adaptive capacity - Technical Supplement</dc:title>
  <dc:subject>Transitioning regional economies - Initial Report</dc:subject>
  <dc:creator>Productivity Commission</dc:creator>
  <dc:description/>
  <cp:lastModifiedBy>Cross, Michelle</cp:lastModifiedBy>
  <cp:revision>6</cp:revision>
  <cp:lastPrinted>2017-06-01T02:46:00Z</cp:lastPrinted>
  <dcterms:created xsi:type="dcterms:W3CDTF">2017-06-01T02:30:00Z</dcterms:created>
  <dcterms:modified xsi:type="dcterms:W3CDTF">2017-06-01T02:49:00Z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0x0101007916246811615643A710C6FEAFF56A87110400A28C3A6819EB5740848FC9F755A22EF7</vt:lpwstr>
  </property>
  <property fmtid="{D5CDD505-2E9C-101B-9397-08002B2CF9AE}" pid="3" name="_dlc_DocIdItemGuid">
    <vt:lpwstr>32847d92-3528-4aff-a630-ffcdb2ede335</vt:lpwstr>
  </property>
  <property fmtid="{D5CDD505-2E9C-101B-9397-08002B2CF9AE}" pid="4" name="Record Tag">
    <vt:lpwstr>24;#Draft Report|84e4af37-8871-4c42-ad2f-98d46afe06b0</vt:lpwstr>
  </property>
  <property fmtid="{D5CDD505-2E9C-101B-9397-08002B2CF9AE}" pid="5" name="TaxKeyword">
    <vt:lpwstr/>
  </property>
  <property fmtid="{D5CDD505-2E9C-101B-9397-08002B2CF9AE}" pid="6" name="ZOTERO_PREF_1">
    <vt:lpwstr>&lt;data data-version="3" zotero-version="4.0.29.10"&gt;&lt;session id="9VWqtTJa"/&gt;&lt;style id="http://www.zotero.org/styles/unisa-harvard" hasBibliography="1" bibliographyStyleHasBeenSet="1"/&gt;&lt;prefs&gt;&lt;pref name="fieldType" value="Field"/&gt;&lt;pref name="storeReferences"</vt:lpwstr>
  </property>
  <property fmtid="{D5CDD505-2E9C-101B-9397-08002B2CF9AE}" pid="7" name="ZOTERO_PREF_2">
    <vt:lpwstr> value="true"/&gt;&lt;pref name="automaticJournalAbbreviations" value="true"/&gt;&lt;pref name="noteType" value=""/&gt;&lt;/prefs&gt;&lt;/data&gt;</vt:lpwstr>
  </property>
</Properties>
</file>