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89D69" w14:textId="057D820D" w:rsidR="00A33DFF" w:rsidRDefault="002D2E00" w:rsidP="003802FF">
      <w:pPr>
        <w:pStyle w:val="Heading1"/>
      </w:pPr>
      <w:bookmarkStart w:id="0" w:name="_AppendixNotByChapter"/>
      <w:bookmarkStart w:id="1" w:name="ChapterNumber"/>
      <w:bookmarkStart w:id="2" w:name="_GoBack"/>
      <w:bookmarkEnd w:id="0"/>
      <w:bookmarkEnd w:id="2"/>
      <w:r>
        <w:t>B</w:t>
      </w:r>
      <w:bookmarkEnd w:id="1"/>
      <w:r>
        <w:tab/>
      </w:r>
      <w:bookmarkStart w:id="3" w:name="ChapterTitle"/>
      <w:r>
        <w:t>Analysing transport safety outcomes and heavy vehicle productivity</w:t>
      </w:r>
      <w:bookmarkEnd w:id="3"/>
    </w:p>
    <w:p w14:paraId="72B7DCCC" w14:textId="00EB9521" w:rsidR="00EA23A9" w:rsidRDefault="0004398E" w:rsidP="00D84C38">
      <w:pPr>
        <w:pStyle w:val="BodyText"/>
      </w:pPr>
      <w:bookmarkStart w:id="4" w:name="begin"/>
      <w:bookmarkEnd w:id="4"/>
      <w:r>
        <w:t xml:space="preserve">The Commission used qualitative and quantitative evidence to assess the effects of the national transport reforms on safety and productivity. Transport industry representatives, regulators and other government agencies provided evidence through their submissions to the inquiry and through consultations. </w:t>
      </w:r>
      <w:r w:rsidR="00511D92">
        <w:t>The Commission</w:t>
      </w:r>
      <w:r>
        <w:t xml:space="preserve"> is grateful to</w:t>
      </w:r>
      <w:r w:rsidR="00511D92">
        <w:t xml:space="preserve"> </w:t>
      </w:r>
      <w:r w:rsidR="00A52C67">
        <w:t xml:space="preserve">the following organisations for their assistance in accessing and understanding </w:t>
      </w:r>
      <w:r w:rsidR="00F462EB">
        <w:t xml:space="preserve">various </w:t>
      </w:r>
      <w:r w:rsidR="00A52C67">
        <w:t>data holdings</w:t>
      </w:r>
      <w:r w:rsidR="00F462EB">
        <w:t>, and in providing permission to publish analysis using unpublished data</w:t>
      </w:r>
      <w:r w:rsidR="00EA23A9">
        <w:t>:</w:t>
      </w:r>
    </w:p>
    <w:p w14:paraId="772C3BB1" w14:textId="77777777" w:rsidR="00F462EB" w:rsidRDefault="0050359D" w:rsidP="00F462EB">
      <w:pPr>
        <w:pStyle w:val="ListBullet"/>
      </w:pPr>
      <w:r>
        <w:t>the Bureau of Infrastructure, Transport and Regional Economics (</w:t>
      </w:r>
      <w:proofErr w:type="spellStart"/>
      <w:r>
        <w:t>BITRE</w:t>
      </w:r>
      <w:proofErr w:type="spellEnd"/>
      <w:r>
        <w:t>)</w:t>
      </w:r>
    </w:p>
    <w:p w14:paraId="1DBEA426" w14:textId="67BE649F" w:rsidR="0050359D" w:rsidRDefault="0050359D" w:rsidP="00F462EB">
      <w:pPr>
        <w:pStyle w:val="ListBullet"/>
      </w:pPr>
      <w:r>
        <w:t>State and Territory road safety authorities</w:t>
      </w:r>
    </w:p>
    <w:p w14:paraId="47246B7E" w14:textId="77777777" w:rsidR="00F462EB" w:rsidRDefault="00511D92" w:rsidP="00F462EB">
      <w:pPr>
        <w:pStyle w:val="ListBullet"/>
      </w:pPr>
      <w:r>
        <w:t xml:space="preserve">the </w:t>
      </w:r>
      <w:r w:rsidR="00EA23A9">
        <w:t>National Heavy Vehicle Regulator (</w:t>
      </w:r>
      <w:proofErr w:type="spellStart"/>
      <w:r w:rsidR="00EA23A9">
        <w:t>NHVR</w:t>
      </w:r>
      <w:proofErr w:type="spellEnd"/>
      <w:r w:rsidR="00EA23A9">
        <w:t>)</w:t>
      </w:r>
    </w:p>
    <w:p w14:paraId="24BDBE8E" w14:textId="4609A78F" w:rsidR="00F462EB" w:rsidRDefault="00C8591B" w:rsidP="00F462EB">
      <w:pPr>
        <w:pStyle w:val="ListBullet"/>
      </w:pPr>
      <w:r>
        <w:rPr>
          <w:lang w:eastAsia="en-US"/>
        </w:rPr>
        <w:t>the Office of the National Rail Safety Regulator</w:t>
      </w:r>
      <w:r w:rsidR="00EA23A9">
        <w:rPr>
          <w:lang w:eastAsia="en-US"/>
        </w:rPr>
        <w:t xml:space="preserve"> (</w:t>
      </w:r>
      <w:proofErr w:type="spellStart"/>
      <w:r w:rsidR="00EA23A9">
        <w:rPr>
          <w:lang w:eastAsia="en-US"/>
        </w:rPr>
        <w:t>ONRSR</w:t>
      </w:r>
      <w:proofErr w:type="spellEnd"/>
      <w:r w:rsidR="00EA23A9">
        <w:rPr>
          <w:lang w:eastAsia="en-US"/>
        </w:rPr>
        <w:t>)</w:t>
      </w:r>
    </w:p>
    <w:p w14:paraId="0A212346" w14:textId="7B6DE646" w:rsidR="00F462EB" w:rsidRDefault="00C8591B" w:rsidP="00F462EB">
      <w:pPr>
        <w:pStyle w:val="ListBullet"/>
      </w:pPr>
      <w:r>
        <w:rPr>
          <w:lang w:eastAsia="en-US"/>
        </w:rPr>
        <w:t>the Australian Maritime Safety Authority (</w:t>
      </w:r>
      <w:proofErr w:type="spellStart"/>
      <w:r w:rsidR="00511D92">
        <w:t>AMSA</w:t>
      </w:r>
      <w:proofErr w:type="spellEnd"/>
      <w:r>
        <w:t xml:space="preserve">) </w:t>
      </w:r>
    </w:p>
    <w:p w14:paraId="190C0081" w14:textId="5F2AF430" w:rsidR="00511D92" w:rsidRDefault="00C8591B" w:rsidP="00F462EB">
      <w:pPr>
        <w:pStyle w:val="ListBullet"/>
      </w:pPr>
      <w:r>
        <w:t>Transport Certification Australia (TCA)</w:t>
      </w:r>
      <w:r w:rsidR="00511D92">
        <w:t>.</w:t>
      </w:r>
    </w:p>
    <w:p w14:paraId="6243BFD6" w14:textId="77777777" w:rsidR="005E600B" w:rsidRDefault="005E600B" w:rsidP="005E600B">
      <w:pPr>
        <w:pStyle w:val="BodyText"/>
      </w:pPr>
      <w:r>
        <w:t>The best available data have been accessed to provide evidence about safety and productivity. However, assembling the data has taken time and the data are often incomplete, inconsistent, or unavailable. Further, isolating the impact of regulatory reform when many factors are at work is contentious.</w:t>
      </w:r>
    </w:p>
    <w:p w14:paraId="201C2270" w14:textId="0C32B0E1" w:rsidR="00D84C38" w:rsidRDefault="00511D92" w:rsidP="00D84C38">
      <w:pPr>
        <w:pStyle w:val="BodyText"/>
      </w:pPr>
      <w:r>
        <w:t>The</w:t>
      </w:r>
      <w:r w:rsidR="00655598" w:rsidDel="00511D92">
        <w:t xml:space="preserve"> </w:t>
      </w:r>
      <w:r w:rsidR="00655598">
        <w:t>analysis of transport safety</w:t>
      </w:r>
      <w:r>
        <w:t xml:space="preserve"> is set out in section</w:t>
      </w:r>
      <w:r w:rsidR="003F5A4C">
        <w:t>s</w:t>
      </w:r>
      <w:r w:rsidR="00EA23A9">
        <w:t> </w:t>
      </w:r>
      <w:proofErr w:type="spellStart"/>
      <w:r>
        <w:t>B.1</w:t>
      </w:r>
      <w:proofErr w:type="spellEnd"/>
      <w:r>
        <w:t xml:space="preserve"> </w:t>
      </w:r>
      <w:r w:rsidR="003F5A4C">
        <w:t xml:space="preserve">and </w:t>
      </w:r>
      <w:proofErr w:type="spellStart"/>
      <w:r w:rsidR="003F5A4C">
        <w:t>B.2</w:t>
      </w:r>
      <w:proofErr w:type="spellEnd"/>
      <w:r w:rsidR="003F5A4C">
        <w:t xml:space="preserve"> </w:t>
      </w:r>
      <w:r>
        <w:t xml:space="preserve">and analysis of </w:t>
      </w:r>
      <w:r w:rsidR="00655598">
        <w:t>heavy vehicle productivity</w:t>
      </w:r>
      <w:r>
        <w:t xml:space="preserve"> is set out in section</w:t>
      </w:r>
      <w:r w:rsidR="00EA23A9">
        <w:t> </w:t>
      </w:r>
      <w:proofErr w:type="spellStart"/>
      <w:r>
        <w:t>B.</w:t>
      </w:r>
      <w:r w:rsidR="003F5A4C">
        <w:t>3</w:t>
      </w:r>
      <w:proofErr w:type="spellEnd"/>
      <w:r w:rsidR="00655598">
        <w:t xml:space="preserve">. </w:t>
      </w:r>
    </w:p>
    <w:p w14:paraId="752720C8" w14:textId="647F5893" w:rsidR="00B57D69" w:rsidRDefault="00B57D69" w:rsidP="00B57D69">
      <w:pPr>
        <w:pStyle w:val="Heading2"/>
      </w:pPr>
      <w:proofErr w:type="spellStart"/>
      <w:r>
        <w:t>B.</w:t>
      </w:r>
      <w:r w:rsidR="0050117B">
        <w:rPr>
          <w:noProof/>
        </w:rPr>
        <w:t>1</w:t>
      </w:r>
      <w:proofErr w:type="spellEnd"/>
      <w:r>
        <w:tab/>
        <w:t>Transport safety</w:t>
      </w:r>
      <w:r w:rsidR="00A15C21">
        <w:t xml:space="preserve"> </w:t>
      </w:r>
      <w:r w:rsidR="003F5A4C">
        <w:t>data</w:t>
      </w:r>
    </w:p>
    <w:p w14:paraId="3DA8C4E1" w14:textId="1BD574BA" w:rsidR="00F7613B" w:rsidRDefault="0004398E" w:rsidP="00B57D69">
      <w:pPr>
        <w:pStyle w:val="BodyText"/>
      </w:pPr>
      <w:r>
        <w:t>Chapter</w:t>
      </w:r>
      <w:r w:rsidR="000F678D">
        <w:t> </w:t>
      </w:r>
      <w:r>
        <w:t>5 set</w:t>
      </w:r>
      <w:r w:rsidR="00202353">
        <w:t>s</w:t>
      </w:r>
      <w:r>
        <w:t xml:space="preserve"> out the assessment </w:t>
      </w:r>
      <w:r w:rsidR="00067B73">
        <w:t xml:space="preserve">of </w:t>
      </w:r>
      <w:r>
        <w:t xml:space="preserve">safety outcomes based on published and unpublished </w:t>
      </w:r>
      <w:r w:rsidR="007F2EF5">
        <w:t>data.</w:t>
      </w:r>
      <w:r>
        <w:t xml:space="preserve"> </w:t>
      </w:r>
      <w:r w:rsidR="00F462EB">
        <w:t>Published</w:t>
      </w:r>
      <w:r w:rsidR="00F05AC7">
        <w:t xml:space="preserve"> sources of data include</w:t>
      </w:r>
      <w:r w:rsidR="00F7613B">
        <w:t>:</w:t>
      </w:r>
    </w:p>
    <w:p w14:paraId="5CDDB33C" w14:textId="6A90A82D" w:rsidR="00F7613B" w:rsidRDefault="00F05AC7" w:rsidP="00F462EB">
      <w:pPr>
        <w:pStyle w:val="ListBullet"/>
      </w:pPr>
      <w:r>
        <w:t xml:space="preserve">fatalities data </w:t>
      </w:r>
      <w:r w:rsidR="00ED522C">
        <w:t xml:space="preserve">published by the </w:t>
      </w:r>
      <w:r>
        <w:t>ABS</w:t>
      </w:r>
      <w:r w:rsidR="009A7011">
        <w:t xml:space="preserve"> </w:t>
      </w:r>
      <w:r w:rsidR="00D10E0A" w:rsidRPr="00D10E0A">
        <w:t>(</w:t>
      </w:r>
      <w:proofErr w:type="spellStart"/>
      <w:r w:rsidR="00D10E0A" w:rsidRPr="00D10E0A">
        <w:t>2019a</w:t>
      </w:r>
      <w:proofErr w:type="spellEnd"/>
      <w:r w:rsidR="00D10E0A" w:rsidRPr="00D10E0A">
        <w:t>)</w:t>
      </w:r>
    </w:p>
    <w:p w14:paraId="5EFB17B7" w14:textId="5500C22E" w:rsidR="00F7613B" w:rsidRDefault="00ED522C" w:rsidP="00F462EB">
      <w:pPr>
        <w:pStyle w:val="ListBullet"/>
      </w:pPr>
      <w:r>
        <w:t xml:space="preserve">heavy vehicle crash data published by Transport for New South Wales </w:t>
      </w:r>
      <w:r w:rsidR="00D10E0A" w:rsidRPr="00D10E0A">
        <w:t>(2019)</w:t>
      </w:r>
    </w:p>
    <w:p w14:paraId="0ED43D40" w14:textId="2D665B28" w:rsidR="00F7613B" w:rsidRDefault="00ED522C" w:rsidP="00F462EB">
      <w:pPr>
        <w:pStyle w:val="ListBullet"/>
      </w:pPr>
      <w:r>
        <w:t xml:space="preserve">rail safety data published </w:t>
      </w:r>
      <w:r w:rsidR="000B222B">
        <w:t xml:space="preserve">by </w:t>
      </w:r>
      <w:proofErr w:type="spellStart"/>
      <w:r>
        <w:rPr>
          <w:lang w:eastAsia="en-US"/>
        </w:rPr>
        <w:t>ONRSR</w:t>
      </w:r>
      <w:proofErr w:type="spellEnd"/>
      <w:r w:rsidR="004E5016">
        <w:rPr>
          <w:lang w:eastAsia="en-US"/>
        </w:rPr>
        <w:t xml:space="preserve"> </w:t>
      </w:r>
      <w:r w:rsidR="00D10E0A" w:rsidRPr="00D10E0A">
        <w:t>(2018)</w:t>
      </w:r>
      <w:r w:rsidR="0050359D">
        <w:t>.</w:t>
      </w:r>
    </w:p>
    <w:p w14:paraId="4A7836AF" w14:textId="7F3E724C" w:rsidR="0040424A" w:rsidRDefault="001E6EC5">
      <w:pPr>
        <w:pStyle w:val="BodyText"/>
      </w:pPr>
      <w:r>
        <w:t>The sources of</w:t>
      </w:r>
      <w:r w:rsidR="00F05AC7">
        <w:t xml:space="preserve"> unpublished</w:t>
      </w:r>
      <w:r>
        <w:t xml:space="preserve"> data are detailed in </w:t>
      </w:r>
      <w:r w:rsidR="007C2DB8">
        <w:t>t</w:t>
      </w:r>
      <w:r>
        <w:t>able </w:t>
      </w:r>
      <w:proofErr w:type="spellStart"/>
      <w:r>
        <w:t>B.1</w:t>
      </w:r>
      <w:proofErr w:type="spellEnd"/>
      <w:r w:rsidR="00ED522C">
        <w:t xml:space="preserve"> and described below</w:t>
      </w:r>
      <w:r w:rsidR="00B57D69" w:rsidRPr="00B57D69">
        <w:t>.</w:t>
      </w:r>
    </w:p>
    <w:p w14:paraId="5A4768F8" w14:textId="1C45C3FF" w:rsidR="00640863" w:rsidRDefault="00640863" w:rsidP="00640863">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640863" w14:paraId="69C113FD" w14:textId="77777777" w:rsidTr="00640863">
        <w:trPr>
          <w:tblHeader/>
        </w:trPr>
        <w:tc>
          <w:tcPr>
            <w:tcW w:w="5000" w:type="pct"/>
            <w:tcBorders>
              <w:top w:val="single" w:sz="6" w:space="0" w:color="78A22F"/>
              <w:left w:val="nil"/>
              <w:bottom w:val="nil"/>
              <w:right w:val="nil"/>
            </w:tcBorders>
            <w:shd w:val="clear" w:color="auto" w:fill="auto"/>
          </w:tcPr>
          <w:p w14:paraId="1D949FBF" w14:textId="4A655B35" w:rsidR="00640863" w:rsidRPr="00784A05" w:rsidRDefault="00640863" w:rsidP="00CF706F">
            <w:pPr>
              <w:pStyle w:val="TableTitle"/>
            </w:pPr>
            <w:r>
              <w:rPr>
                <w:b w:val="0"/>
              </w:rPr>
              <w:t xml:space="preserve">Table </w:t>
            </w:r>
            <w:proofErr w:type="spellStart"/>
            <w:r w:rsidR="002D2E00">
              <w:rPr>
                <w:b w:val="0"/>
              </w:rPr>
              <w:t>B.</w:t>
            </w:r>
            <w:r w:rsidR="0050117B">
              <w:rPr>
                <w:b w:val="0"/>
                <w:noProof/>
              </w:rPr>
              <w:t>1</w:t>
            </w:r>
            <w:proofErr w:type="spellEnd"/>
            <w:r>
              <w:tab/>
            </w:r>
            <w:r w:rsidR="00697C74">
              <w:t>Unpublished</w:t>
            </w:r>
            <w:r w:rsidR="00283D99">
              <w:t xml:space="preserve"> s</w:t>
            </w:r>
            <w:r w:rsidR="001661E6">
              <w:t>ources of</w:t>
            </w:r>
            <w:r w:rsidR="00872C20">
              <w:t xml:space="preserve"> </w:t>
            </w:r>
            <w:r w:rsidR="00CF706F">
              <w:t xml:space="preserve">transport </w:t>
            </w:r>
            <w:r w:rsidR="00B110F5">
              <w:t>s</w:t>
            </w:r>
            <w:r>
              <w:t>afety data</w:t>
            </w:r>
          </w:p>
        </w:tc>
      </w:tr>
      <w:tr w:rsidR="00640863" w14:paraId="2BDA9EB7" w14:textId="77777777" w:rsidTr="00640863">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890"/>
              <w:gridCol w:w="1230"/>
              <w:gridCol w:w="6385"/>
            </w:tblGrid>
            <w:tr w:rsidR="00640863" w14:paraId="337C4156" w14:textId="77777777" w:rsidTr="00221732">
              <w:trPr>
                <w:trHeight w:val="321"/>
                <w:tblHeader/>
              </w:trPr>
              <w:tc>
                <w:tcPr>
                  <w:tcW w:w="523" w:type="pct"/>
                  <w:tcBorders>
                    <w:top w:val="single" w:sz="6" w:space="0" w:color="BFBFBF"/>
                    <w:bottom w:val="single" w:sz="6" w:space="0" w:color="BFBFBF"/>
                  </w:tcBorders>
                  <w:shd w:val="clear" w:color="auto" w:fill="auto"/>
                  <w:tcMar>
                    <w:top w:w="28" w:type="dxa"/>
                  </w:tcMar>
                </w:tcPr>
                <w:p w14:paraId="2F28BFB1" w14:textId="401C8F4A" w:rsidR="00640863" w:rsidRPr="000D332F" w:rsidRDefault="00C1704A" w:rsidP="00135A05">
                  <w:pPr>
                    <w:pStyle w:val="TableColumnHeading"/>
                    <w:jc w:val="left"/>
                  </w:pPr>
                  <w:r w:rsidRPr="000D332F">
                    <w:t>Dataset</w:t>
                  </w:r>
                </w:p>
              </w:tc>
              <w:tc>
                <w:tcPr>
                  <w:tcW w:w="723" w:type="pct"/>
                  <w:tcBorders>
                    <w:top w:val="single" w:sz="6" w:space="0" w:color="BFBFBF"/>
                    <w:bottom w:val="single" w:sz="6" w:space="0" w:color="BFBFBF"/>
                  </w:tcBorders>
                </w:tcPr>
                <w:p w14:paraId="494EC550" w14:textId="376E529C" w:rsidR="00640863" w:rsidRPr="000D332F" w:rsidRDefault="00B57D69" w:rsidP="00135A05">
                  <w:pPr>
                    <w:pStyle w:val="TableColumnHeading"/>
                    <w:jc w:val="left"/>
                  </w:pPr>
                  <w:r>
                    <w:t>Source</w:t>
                  </w:r>
                </w:p>
              </w:tc>
              <w:tc>
                <w:tcPr>
                  <w:tcW w:w="3754" w:type="pct"/>
                  <w:tcBorders>
                    <w:top w:val="single" w:sz="6" w:space="0" w:color="BFBFBF"/>
                    <w:bottom w:val="single" w:sz="6" w:space="0" w:color="BFBFBF"/>
                  </w:tcBorders>
                  <w:shd w:val="clear" w:color="auto" w:fill="auto"/>
                  <w:tcMar>
                    <w:top w:w="28" w:type="dxa"/>
                  </w:tcMar>
                </w:tcPr>
                <w:p w14:paraId="6DF469FF" w14:textId="2EC3E39D" w:rsidR="00640863" w:rsidRPr="000D332F" w:rsidRDefault="00640863" w:rsidP="00135A05">
                  <w:pPr>
                    <w:pStyle w:val="TableColumnHeading"/>
                    <w:jc w:val="left"/>
                  </w:pPr>
                  <w:r w:rsidRPr="000D332F">
                    <w:t>Description</w:t>
                  </w:r>
                </w:p>
              </w:tc>
            </w:tr>
            <w:tr w:rsidR="00640863" w14:paraId="04106C05" w14:textId="77777777" w:rsidTr="00221732">
              <w:tc>
                <w:tcPr>
                  <w:tcW w:w="523" w:type="pct"/>
                  <w:tcBorders>
                    <w:top w:val="single" w:sz="6" w:space="0" w:color="BFBFBF"/>
                    <w:bottom w:val="single" w:sz="4" w:space="0" w:color="BFBFBF"/>
                  </w:tcBorders>
                </w:tcPr>
                <w:p w14:paraId="40E34088" w14:textId="463961E2" w:rsidR="00640863" w:rsidRDefault="00640863" w:rsidP="00640863">
                  <w:pPr>
                    <w:pStyle w:val="TableUnitsRow"/>
                    <w:jc w:val="left"/>
                  </w:pPr>
                  <w:r>
                    <w:t xml:space="preserve">National Crash </w:t>
                  </w:r>
                  <w:r w:rsidR="00A15C21">
                    <w:t>D</w:t>
                  </w:r>
                  <w:r>
                    <w:t>atabase (</w:t>
                  </w:r>
                  <w:proofErr w:type="spellStart"/>
                  <w:r>
                    <w:t>NCD</w:t>
                  </w:r>
                  <w:proofErr w:type="spellEnd"/>
                  <w:r>
                    <w:t>)</w:t>
                  </w:r>
                </w:p>
              </w:tc>
              <w:tc>
                <w:tcPr>
                  <w:tcW w:w="723" w:type="pct"/>
                  <w:tcBorders>
                    <w:top w:val="single" w:sz="6" w:space="0" w:color="BFBFBF"/>
                    <w:bottom w:val="single" w:sz="4" w:space="0" w:color="BFBFBF"/>
                  </w:tcBorders>
                </w:tcPr>
                <w:p w14:paraId="692F7566" w14:textId="7208A99D" w:rsidR="00C1704A" w:rsidRDefault="00834642" w:rsidP="00135A05">
                  <w:pPr>
                    <w:pStyle w:val="TableBodyText"/>
                    <w:jc w:val="left"/>
                  </w:pPr>
                  <w:r w:rsidRPr="00B57D69">
                    <w:t xml:space="preserve">Bureau of Infrastructure, Transport and Regional Economics </w:t>
                  </w:r>
                  <w:r>
                    <w:t>(</w:t>
                  </w:r>
                  <w:proofErr w:type="spellStart"/>
                  <w:r w:rsidR="00A15C21">
                    <w:t>BITRE</w:t>
                  </w:r>
                  <w:proofErr w:type="spellEnd"/>
                  <w:r>
                    <w:t>)</w:t>
                  </w:r>
                </w:p>
              </w:tc>
              <w:tc>
                <w:tcPr>
                  <w:tcW w:w="3754" w:type="pct"/>
                  <w:tcBorders>
                    <w:top w:val="single" w:sz="6" w:space="0" w:color="BFBFBF"/>
                    <w:bottom w:val="single" w:sz="4" w:space="0" w:color="BFBFBF"/>
                  </w:tcBorders>
                </w:tcPr>
                <w:p w14:paraId="60F8198A" w14:textId="28475D06" w:rsidR="00430E67" w:rsidRPr="003B1F46" w:rsidRDefault="00430E67" w:rsidP="00F462EB">
                  <w:pPr>
                    <w:pStyle w:val="TableBodyText"/>
                    <w:jc w:val="left"/>
                  </w:pPr>
                  <w:proofErr w:type="spellStart"/>
                  <w:r w:rsidRPr="003B1F46">
                    <w:t>BITRE</w:t>
                  </w:r>
                  <w:proofErr w:type="spellEnd"/>
                  <w:r w:rsidRPr="003B1F46">
                    <w:t xml:space="preserve"> developed the </w:t>
                  </w:r>
                  <w:proofErr w:type="spellStart"/>
                  <w:r w:rsidR="00102DEA" w:rsidRPr="003B1F46">
                    <w:t>NCD</w:t>
                  </w:r>
                  <w:proofErr w:type="spellEnd"/>
                  <w:r w:rsidRPr="003B1F46">
                    <w:t xml:space="preserve"> in 2010 to support the </w:t>
                  </w:r>
                  <w:r w:rsidR="00AA1344">
                    <w:t>annual reporting of progress a</w:t>
                  </w:r>
                  <w:r w:rsidR="00C674E2" w:rsidRPr="00DB52C5">
                    <w:t>gainst the</w:t>
                  </w:r>
                  <w:r w:rsidR="00C674E2" w:rsidRPr="00202353">
                    <w:rPr>
                      <w:i/>
                    </w:rPr>
                    <w:t xml:space="preserve"> National Road Safety Strategy 2011–2020 </w:t>
                  </w:r>
                  <w:r w:rsidR="00C674E2" w:rsidRPr="00DB52C5">
                    <w:t xml:space="preserve">targets. State and </w:t>
                  </w:r>
                  <w:r w:rsidR="006050E9">
                    <w:t>T</w:t>
                  </w:r>
                  <w:r w:rsidR="00C674E2" w:rsidRPr="00DB52C5">
                    <w:t>erritor</w:t>
                  </w:r>
                  <w:r w:rsidR="003E4252">
                    <w:t xml:space="preserve">y </w:t>
                  </w:r>
                  <w:r w:rsidR="006050E9">
                    <w:t>g</w:t>
                  </w:r>
                  <w:r w:rsidR="003E4252">
                    <w:t>overnments</w:t>
                  </w:r>
                  <w:r w:rsidR="00C674E2" w:rsidRPr="00DB52C5">
                    <w:t xml:space="preserve"> supply </w:t>
                  </w:r>
                  <w:r w:rsidR="008107A6" w:rsidRPr="00DB52C5">
                    <w:t>fatality and injury crash data</w:t>
                  </w:r>
                  <w:r w:rsidR="0089002C">
                    <w:t>,</w:t>
                  </w:r>
                  <w:r w:rsidR="008107A6" w:rsidRPr="00DB52C5">
                    <w:t xml:space="preserve"> </w:t>
                  </w:r>
                  <w:r w:rsidR="00C674E2" w:rsidRPr="00DB52C5">
                    <w:t xml:space="preserve">which </w:t>
                  </w:r>
                  <w:proofErr w:type="spellStart"/>
                  <w:r w:rsidR="00C674E2" w:rsidRPr="00EE06D2">
                    <w:rPr>
                      <w:rStyle w:val="BodyTextChar"/>
                      <w:sz w:val="18"/>
                    </w:rPr>
                    <w:t>BITRE</w:t>
                  </w:r>
                  <w:proofErr w:type="spellEnd"/>
                  <w:r w:rsidR="00C674E2" w:rsidRPr="00EE06D2">
                    <w:rPr>
                      <w:rStyle w:val="BodyTextChar"/>
                      <w:sz w:val="18"/>
                    </w:rPr>
                    <w:t xml:space="preserve"> combines into the </w:t>
                  </w:r>
                  <w:proofErr w:type="spellStart"/>
                  <w:r w:rsidR="000615CD">
                    <w:rPr>
                      <w:rStyle w:val="BodyTextChar"/>
                      <w:sz w:val="18"/>
                    </w:rPr>
                    <w:t>NCD</w:t>
                  </w:r>
                  <w:proofErr w:type="spellEnd"/>
                  <w:r w:rsidR="00AA1344">
                    <w:rPr>
                      <w:rStyle w:val="BodyTextChar"/>
                      <w:sz w:val="18"/>
                    </w:rPr>
                    <w:t>.</w:t>
                  </w:r>
                  <w:r w:rsidR="00C674E2" w:rsidRPr="00EE06D2">
                    <w:rPr>
                      <w:rStyle w:val="BodyTextChar"/>
                      <w:sz w:val="18"/>
                    </w:rPr>
                    <w:t xml:space="preserve"> </w:t>
                  </w:r>
                  <w:r w:rsidRPr="003B1F46">
                    <w:t xml:space="preserve">As part of this reporting function, </w:t>
                  </w:r>
                  <w:proofErr w:type="spellStart"/>
                  <w:r w:rsidRPr="003B1F46">
                    <w:t>BITRE</w:t>
                  </w:r>
                  <w:proofErr w:type="spellEnd"/>
                  <w:r w:rsidRPr="003B1F46">
                    <w:t xml:space="preserve"> </w:t>
                  </w:r>
                  <w:r w:rsidR="008D33BA">
                    <w:t xml:space="preserve">has worked </w:t>
                  </w:r>
                  <w:r w:rsidRPr="003B1F46">
                    <w:t>with jurisdictions to develop new indicators and a set of standardised national variables</w:t>
                  </w:r>
                  <w:r w:rsidR="003B1F46">
                    <w:t xml:space="preserve"> </w:t>
                  </w:r>
                  <w:r w:rsidR="003B1F46">
                    <w:rPr>
                      <w:rStyle w:val="BodyTextChar"/>
                      <w:sz w:val="18"/>
                    </w:rPr>
                    <w:t>(</w:t>
                  </w:r>
                  <w:r w:rsidR="00834642">
                    <w:rPr>
                      <w:rStyle w:val="BodyTextChar"/>
                      <w:sz w:val="18"/>
                    </w:rPr>
                    <w:t>including</w:t>
                  </w:r>
                  <w:r w:rsidR="003B1F46">
                    <w:rPr>
                      <w:rStyle w:val="BodyTextChar"/>
                      <w:sz w:val="18"/>
                    </w:rPr>
                    <w:t xml:space="preserve"> </w:t>
                  </w:r>
                  <w:r w:rsidR="00170032">
                    <w:rPr>
                      <w:rStyle w:val="BodyTextChar"/>
                      <w:sz w:val="18"/>
                    </w:rPr>
                    <w:t>an indicator for</w:t>
                  </w:r>
                  <w:r w:rsidR="003B1F46">
                    <w:rPr>
                      <w:rStyle w:val="BodyTextChar"/>
                      <w:sz w:val="18"/>
                    </w:rPr>
                    <w:t xml:space="preserve"> crash</w:t>
                  </w:r>
                  <w:r w:rsidR="00170032">
                    <w:rPr>
                      <w:rStyle w:val="BodyTextChar"/>
                      <w:sz w:val="18"/>
                    </w:rPr>
                    <w:t xml:space="preserve"> severity, </w:t>
                  </w:r>
                  <w:r w:rsidR="00834642">
                    <w:rPr>
                      <w:rStyle w:val="BodyTextChar"/>
                      <w:sz w:val="18"/>
                    </w:rPr>
                    <w:t xml:space="preserve">and </w:t>
                  </w:r>
                  <w:r w:rsidR="003B1F46">
                    <w:rPr>
                      <w:rStyle w:val="BodyTextChar"/>
                      <w:sz w:val="18"/>
                    </w:rPr>
                    <w:t xml:space="preserve">the number </w:t>
                  </w:r>
                  <w:r w:rsidR="00834642">
                    <w:rPr>
                      <w:rStyle w:val="BodyTextChar"/>
                      <w:sz w:val="18"/>
                    </w:rPr>
                    <w:t xml:space="preserve">and type </w:t>
                  </w:r>
                  <w:r w:rsidR="003B1F46">
                    <w:rPr>
                      <w:rStyle w:val="BodyTextChar"/>
                      <w:sz w:val="18"/>
                    </w:rPr>
                    <w:t>of vehicle</w:t>
                  </w:r>
                  <w:r w:rsidR="000615CD">
                    <w:rPr>
                      <w:rStyle w:val="BodyTextChar"/>
                      <w:sz w:val="18"/>
                    </w:rPr>
                    <w:t>s</w:t>
                  </w:r>
                  <w:r w:rsidR="003B1F46">
                    <w:rPr>
                      <w:rStyle w:val="BodyTextChar"/>
                      <w:sz w:val="18"/>
                    </w:rPr>
                    <w:t xml:space="preserve"> involved</w:t>
                  </w:r>
                  <w:r w:rsidR="00170032">
                    <w:t>).</w:t>
                  </w:r>
                  <w:r w:rsidR="00792CA7">
                    <w:t xml:space="preserve"> </w:t>
                  </w:r>
                  <w:r w:rsidR="003E4252">
                    <w:t>However</w:t>
                  </w:r>
                  <w:r w:rsidR="000C0475">
                    <w:t>, t</w:t>
                  </w:r>
                  <w:r w:rsidR="00792CA7">
                    <w:t xml:space="preserve">here </w:t>
                  </w:r>
                  <w:r w:rsidR="000C0475">
                    <w:t>remain</w:t>
                  </w:r>
                  <w:r w:rsidR="00792CA7">
                    <w:t xml:space="preserve"> some differences in the definitions of a ‘crash involving injury’ across jurisdictions.</w:t>
                  </w:r>
                </w:p>
                <w:p w14:paraId="5CB7BBA5" w14:textId="1AA1C3BA" w:rsidR="00675AD1" w:rsidRPr="00D43FA4" w:rsidRDefault="00585216" w:rsidP="007B057F">
                  <w:pPr>
                    <w:pStyle w:val="TableBodyText"/>
                    <w:jc w:val="left"/>
                    <w:rPr>
                      <w:spacing w:val="-2"/>
                    </w:rPr>
                  </w:pPr>
                  <w:r w:rsidRPr="00D43FA4">
                    <w:rPr>
                      <w:spacing w:val="-2"/>
                    </w:rPr>
                    <w:t xml:space="preserve">State and </w:t>
                  </w:r>
                  <w:r w:rsidR="00202353" w:rsidRPr="00D43FA4">
                    <w:rPr>
                      <w:spacing w:val="-2"/>
                    </w:rPr>
                    <w:t>T</w:t>
                  </w:r>
                  <w:r w:rsidRPr="00D43FA4">
                    <w:rPr>
                      <w:spacing w:val="-2"/>
                    </w:rPr>
                    <w:t xml:space="preserve">erritory </w:t>
                  </w:r>
                  <w:r w:rsidR="007B057F" w:rsidRPr="00D43FA4">
                    <w:rPr>
                      <w:spacing w:val="-2"/>
                    </w:rPr>
                    <w:t>g</w:t>
                  </w:r>
                  <w:r w:rsidRPr="00D43FA4">
                    <w:rPr>
                      <w:spacing w:val="-2"/>
                    </w:rPr>
                    <w:t xml:space="preserve">overnments (other than the ACT) provided the Commission with written agreement to access unit record data and publish data and analysis from the </w:t>
                  </w:r>
                  <w:proofErr w:type="spellStart"/>
                  <w:r w:rsidRPr="00D43FA4">
                    <w:rPr>
                      <w:spacing w:val="-2"/>
                    </w:rPr>
                    <w:t>NCD</w:t>
                  </w:r>
                  <w:proofErr w:type="spellEnd"/>
                  <w:r w:rsidR="00855B64" w:rsidRPr="00D43FA4">
                    <w:rPr>
                      <w:spacing w:val="-2"/>
                    </w:rPr>
                    <w:t xml:space="preserve">. </w:t>
                  </w:r>
                  <w:r w:rsidR="000C0475" w:rsidRPr="00D43FA4" w:rsidDel="00585216">
                    <w:rPr>
                      <w:spacing w:val="-2"/>
                    </w:rPr>
                    <w:t xml:space="preserve">Data </w:t>
                  </w:r>
                  <w:r w:rsidR="00CF25FA" w:rsidRPr="00D43FA4" w:rsidDel="00585216">
                    <w:rPr>
                      <w:spacing w:val="-2"/>
                    </w:rPr>
                    <w:t>were</w:t>
                  </w:r>
                  <w:r w:rsidR="000C0475" w:rsidRPr="00D43FA4" w:rsidDel="00585216">
                    <w:rPr>
                      <w:spacing w:val="-2"/>
                    </w:rPr>
                    <w:t xml:space="preserve"> provided for the period 2008</w:t>
                  </w:r>
                  <w:r w:rsidR="00FE4B97" w:rsidRPr="00D43FA4">
                    <w:rPr>
                      <w:spacing w:val="-2"/>
                    </w:rPr>
                    <w:t>–</w:t>
                  </w:r>
                  <w:r w:rsidR="000C0475" w:rsidRPr="00D43FA4" w:rsidDel="00585216">
                    <w:rPr>
                      <w:spacing w:val="-2"/>
                    </w:rPr>
                    <w:t>2017</w:t>
                  </w:r>
                  <w:r w:rsidR="000C0475" w:rsidRPr="00D43FA4">
                    <w:rPr>
                      <w:spacing w:val="-2"/>
                    </w:rPr>
                    <w:t>.</w:t>
                  </w:r>
                </w:p>
              </w:tc>
            </w:tr>
            <w:tr w:rsidR="00640863" w14:paraId="327D6AD1" w14:textId="77777777" w:rsidTr="00221732">
              <w:tc>
                <w:tcPr>
                  <w:tcW w:w="523" w:type="pct"/>
                  <w:tcBorders>
                    <w:top w:val="single" w:sz="4" w:space="0" w:color="BFBFBF"/>
                    <w:bottom w:val="single" w:sz="4" w:space="0" w:color="BFBFBF"/>
                  </w:tcBorders>
                </w:tcPr>
                <w:p w14:paraId="050CA75B" w14:textId="074E9259" w:rsidR="00640863" w:rsidRDefault="00C1704A" w:rsidP="00E673E9">
                  <w:pPr>
                    <w:pStyle w:val="TableBodyText"/>
                    <w:jc w:val="left"/>
                  </w:pPr>
                  <w:r>
                    <w:t xml:space="preserve">Rail </w:t>
                  </w:r>
                  <w:r w:rsidR="00645396">
                    <w:t>s</w:t>
                  </w:r>
                  <w:r>
                    <w:t xml:space="preserve">afety </w:t>
                  </w:r>
                </w:p>
              </w:tc>
              <w:tc>
                <w:tcPr>
                  <w:tcW w:w="723" w:type="pct"/>
                  <w:tcBorders>
                    <w:top w:val="single" w:sz="4" w:space="0" w:color="BFBFBF"/>
                    <w:bottom w:val="single" w:sz="4" w:space="0" w:color="BFBFBF"/>
                  </w:tcBorders>
                </w:tcPr>
                <w:p w14:paraId="517CEFA0" w14:textId="488102AB" w:rsidR="00640863" w:rsidRDefault="00834642" w:rsidP="00DB52C5">
                  <w:pPr>
                    <w:pStyle w:val="TableBodyText"/>
                    <w:jc w:val="left"/>
                  </w:pPr>
                  <w:r>
                    <w:rPr>
                      <w:lang w:eastAsia="en-US"/>
                    </w:rPr>
                    <w:t>Office of the National Rail Safety Regulator (</w:t>
                  </w:r>
                  <w:proofErr w:type="spellStart"/>
                  <w:r w:rsidR="00C1704A">
                    <w:t>ONRSR</w:t>
                  </w:r>
                  <w:proofErr w:type="spellEnd"/>
                  <w:r>
                    <w:t>)</w:t>
                  </w:r>
                </w:p>
              </w:tc>
              <w:tc>
                <w:tcPr>
                  <w:tcW w:w="3754" w:type="pct"/>
                  <w:tcBorders>
                    <w:top w:val="single" w:sz="4" w:space="0" w:color="BFBFBF"/>
                    <w:bottom w:val="single" w:sz="4" w:space="0" w:color="BFBFBF"/>
                  </w:tcBorders>
                </w:tcPr>
                <w:p w14:paraId="32CDC40F" w14:textId="31FF61F6" w:rsidR="00B44B87" w:rsidRDefault="00585216" w:rsidP="00F462EB">
                  <w:pPr>
                    <w:pStyle w:val="TableBodyText"/>
                    <w:jc w:val="left"/>
                  </w:pPr>
                  <w:proofErr w:type="spellStart"/>
                  <w:r>
                    <w:t>ONRSR</w:t>
                  </w:r>
                  <w:proofErr w:type="spellEnd"/>
                  <w:r>
                    <w:t xml:space="preserve"> has published </w:t>
                  </w:r>
                  <w:r w:rsidR="00BF3323">
                    <w:t xml:space="preserve">annual rail safety reports </w:t>
                  </w:r>
                  <w:r w:rsidR="0089002C">
                    <w:t xml:space="preserve">since </w:t>
                  </w:r>
                  <w:r w:rsidR="00BF3323">
                    <w:t>2012</w:t>
                  </w:r>
                  <w:r w:rsidR="00DE65A3">
                    <w:noBreakHyphen/>
                  </w:r>
                  <w:r w:rsidR="00BF3323">
                    <w:t>13</w:t>
                  </w:r>
                  <w:r w:rsidR="00243563" w:rsidRPr="00E7412B">
                    <w:t xml:space="preserve">. </w:t>
                  </w:r>
                  <w:r w:rsidR="00C72120">
                    <w:t>In most instances data are published only for States and Territories that signed up to the</w:t>
                  </w:r>
                  <w:r w:rsidR="00834642">
                    <w:t xml:space="preserve"> Rail Safety National Law</w:t>
                  </w:r>
                  <w:r w:rsidR="00C72120">
                    <w:t>, and for the time period since their enrolment.</w:t>
                  </w:r>
                  <w:r w:rsidR="00726340">
                    <w:t xml:space="preserve"> </w:t>
                  </w:r>
                  <w:r w:rsidR="00A01F9A">
                    <w:t>D</w:t>
                  </w:r>
                  <w:r w:rsidR="00726340">
                    <w:t>ata are not available for Victoria, Queensland, Western Australia and the ACT over the full time period</w:t>
                  </w:r>
                  <w:r w:rsidR="00A01F9A">
                    <w:t xml:space="preserve"> as they signed up after 2013</w:t>
                  </w:r>
                  <w:r w:rsidR="00726340">
                    <w:t xml:space="preserve">. </w:t>
                  </w:r>
                </w:p>
                <w:p w14:paraId="7E2BE6A9" w14:textId="0D10F985" w:rsidR="00874E84" w:rsidRDefault="00645396" w:rsidP="00874E84">
                  <w:pPr>
                    <w:pStyle w:val="TableBodyText"/>
                    <w:jc w:val="left"/>
                  </w:pPr>
                  <w:proofErr w:type="spellStart"/>
                  <w:r>
                    <w:t>ONRSR</w:t>
                  </w:r>
                  <w:proofErr w:type="spellEnd"/>
                  <w:r>
                    <w:t xml:space="preserve"> provided a</w:t>
                  </w:r>
                  <w:r w:rsidR="00E7412B" w:rsidRPr="00E7412B">
                    <w:t xml:space="preserve">dditional </w:t>
                  </w:r>
                  <w:r w:rsidR="00E7412B">
                    <w:t>(</w:t>
                  </w:r>
                  <w:r w:rsidR="00E7412B" w:rsidRPr="00E7412B">
                    <w:t>unpublished</w:t>
                  </w:r>
                  <w:r w:rsidR="00E7412B">
                    <w:t>)</w:t>
                  </w:r>
                  <w:r w:rsidR="00E7412B" w:rsidRPr="00E7412B">
                    <w:t xml:space="preserve"> data on </w:t>
                  </w:r>
                  <w:r w:rsidR="005256DA">
                    <w:t>fatalities,</w:t>
                  </w:r>
                  <w:r w:rsidR="00E7412B" w:rsidRPr="00E7412B">
                    <w:t xml:space="preserve"> </w:t>
                  </w:r>
                  <w:r w:rsidR="00E7412B">
                    <w:t>l</w:t>
                  </w:r>
                  <w:r w:rsidR="00E7412B" w:rsidRPr="00E7412B">
                    <w:t>evel crossing collisions</w:t>
                  </w:r>
                  <w:r w:rsidR="007512AE">
                    <w:t>,</w:t>
                  </w:r>
                  <w:r w:rsidR="00E7412B" w:rsidRPr="00E7412B">
                    <w:t xml:space="preserve"> </w:t>
                  </w:r>
                  <w:r w:rsidR="00E7412B">
                    <w:t>r</w:t>
                  </w:r>
                  <w:r w:rsidR="00675AD1">
                    <w:t xml:space="preserve">unning line derailments, </w:t>
                  </w:r>
                  <w:r w:rsidR="00726340">
                    <w:t>running line collisions</w:t>
                  </w:r>
                  <w:r w:rsidR="007A7C8C">
                    <w:t xml:space="preserve">, </w:t>
                  </w:r>
                  <w:r w:rsidR="00E7412B" w:rsidRPr="00E7412B">
                    <w:t xml:space="preserve">train </w:t>
                  </w:r>
                  <w:r w:rsidR="00675AD1">
                    <w:t>kilometres travelled</w:t>
                  </w:r>
                  <w:r w:rsidR="007512AE">
                    <w:t xml:space="preserve"> </w:t>
                  </w:r>
                  <w:r w:rsidR="005256DA">
                    <w:t xml:space="preserve">and track kilometres managed </w:t>
                  </w:r>
                  <w:r w:rsidR="00E7412B">
                    <w:t>for the period 2013</w:t>
                  </w:r>
                  <w:r w:rsidR="00DE65A3">
                    <w:noBreakHyphen/>
                  </w:r>
                  <w:r w:rsidR="00BF3323">
                    <w:t>14 to 2018</w:t>
                  </w:r>
                  <w:r w:rsidR="00545429">
                    <w:noBreakHyphen/>
                  </w:r>
                  <w:r w:rsidR="00E7412B">
                    <w:t>19.</w:t>
                  </w:r>
                  <w:r w:rsidR="00726340">
                    <w:t xml:space="preserve"> </w:t>
                  </w:r>
                  <w:r w:rsidR="005256DA">
                    <w:t xml:space="preserve">Data for Victoria, Queensland and Western Australia </w:t>
                  </w:r>
                  <w:r w:rsidR="00874E84">
                    <w:t>are from 1 </w:t>
                  </w:r>
                  <w:r w:rsidR="005256DA">
                    <w:t>July 2014 only, while data for other jurisdictions cover the full period.</w:t>
                  </w:r>
                  <w:r w:rsidR="007A7C8C">
                    <w:t xml:space="preserve"> </w:t>
                  </w:r>
                  <w:r w:rsidR="005256DA">
                    <w:t>Some of the</w:t>
                  </w:r>
                  <w:r w:rsidR="00874E84">
                    <w:t>se</w:t>
                  </w:r>
                  <w:r w:rsidR="005256DA">
                    <w:t xml:space="preserve"> data were collected by state </w:t>
                  </w:r>
                  <w:r w:rsidR="00874E84">
                    <w:t>regulators for periods that pre</w:t>
                  </w:r>
                  <w:r w:rsidR="00874E84">
                    <w:noBreakHyphen/>
                  </w:r>
                  <w:r w:rsidR="005256DA">
                    <w:t xml:space="preserve">dated </w:t>
                  </w:r>
                  <w:proofErr w:type="spellStart"/>
                  <w:r w:rsidR="005256DA">
                    <w:t>ONRSR’s</w:t>
                  </w:r>
                  <w:proofErr w:type="spellEnd"/>
                  <w:r w:rsidR="005256DA">
                    <w:t xml:space="preserve"> regulatory oversight in those states.</w:t>
                  </w:r>
                </w:p>
                <w:p w14:paraId="4101B55A" w14:textId="3C189249" w:rsidR="00CF2112" w:rsidRDefault="00874E84" w:rsidP="00F462EB">
                  <w:pPr>
                    <w:pStyle w:val="TableBodyText"/>
                    <w:jc w:val="left"/>
                  </w:pPr>
                  <w:r>
                    <w:t xml:space="preserve">Both published and unpublished data from </w:t>
                  </w:r>
                  <w:proofErr w:type="spellStart"/>
                  <w:r>
                    <w:t>ONRSR</w:t>
                  </w:r>
                  <w:proofErr w:type="spellEnd"/>
                  <w:r>
                    <w:t xml:space="preserve"> exclude</w:t>
                  </w:r>
                  <w:r w:rsidRPr="00393CB5">
                    <w:t xml:space="preserve"> V</w:t>
                  </w:r>
                  <w:r>
                    <w:t>ictorian o</w:t>
                  </w:r>
                  <w:r w:rsidRPr="00393CB5">
                    <w:t>perators regulated under state legislation</w:t>
                  </w:r>
                  <w:r>
                    <w:t xml:space="preserve"> for the whole reporting period.</w:t>
                  </w:r>
                </w:p>
              </w:tc>
            </w:tr>
            <w:tr w:rsidR="00640863" w14:paraId="31512B3C" w14:textId="77777777" w:rsidTr="00221732">
              <w:tc>
                <w:tcPr>
                  <w:tcW w:w="523" w:type="pct"/>
                  <w:tcBorders>
                    <w:top w:val="single" w:sz="4" w:space="0" w:color="BFBFBF"/>
                    <w:bottom w:val="single" w:sz="6" w:space="0" w:color="BFBFBF"/>
                  </w:tcBorders>
                  <w:shd w:val="clear" w:color="auto" w:fill="auto"/>
                </w:tcPr>
                <w:p w14:paraId="466A7E59" w14:textId="36DA2F14" w:rsidR="00640863" w:rsidRDefault="00DD0949" w:rsidP="00DD0949">
                  <w:pPr>
                    <w:pStyle w:val="TableBodyText"/>
                    <w:jc w:val="left"/>
                  </w:pPr>
                  <w:r>
                    <w:t>Maritime incidents</w:t>
                  </w:r>
                </w:p>
              </w:tc>
              <w:tc>
                <w:tcPr>
                  <w:tcW w:w="723" w:type="pct"/>
                  <w:tcBorders>
                    <w:top w:val="single" w:sz="4" w:space="0" w:color="BFBFBF"/>
                    <w:bottom w:val="single" w:sz="6" w:space="0" w:color="BFBFBF"/>
                  </w:tcBorders>
                </w:tcPr>
                <w:p w14:paraId="7E7DEAA1" w14:textId="34148FE2" w:rsidR="00640863" w:rsidRDefault="00834642" w:rsidP="00510AB5">
                  <w:pPr>
                    <w:pStyle w:val="TableBodyText"/>
                    <w:jc w:val="left"/>
                  </w:pPr>
                  <w:r>
                    <w:rPr>
                      <w:lang w:eastAsia="en-US"/>
                    </w:rPr>
                    <w:t>Australian Maritime Safety Authority</w:t>
                  </w:r>
                  <w:r>
                    <w:t xml:space="preserve"> (</w:t>
                  </w:r>
                  <w:proofErr w:type="spellStart"/>
                  <w:r w:rsidR="00CB5376">
                    <w:t>AMSA</w:t>
                  </w:r>
                  <w:proofErr w:type="spellEnd"/>
                  <w:r>
                    <w:t>)</w:t>
                  </w:r>
                </w:p>
              </w:tc>
              <w:tc>
                <w:tcPr>
                  <w:tcW w:w="3754" w:type="pct"/>
                  <w:tcBorders>
                    <w:top w:val="single" w:sz="4" w:space="0" w:color="BFBFBF"/>
                    <w:bottom w:val="single" w:sz="6" w:space="0" w:color="BFBFBF"/>
                  </w:tcBorders>
                  <w:shd w:val="clear" w:color="auto" w:fill="auto"/>
                </w:tcPr>
                <w:p w14:paraId="08C41072" w14:textId="1B9216AB" w:rsidR="00CB5376" w:rsidRPr="001629D0" w:rsidRDefault="00E76FC4" w:rsidP="00F462EB">
                  <w:pPr>
                    <w:pStyle w:val="TableBodyText"/>
                    <w:jc w:val="left"/>
                    <w:rPr>
                      <w:spacing w:val="-2"/>
                    </w:rPr>
                  </w:pPr>
                  <w:proofErr w:type="spellStart"/>
                  <w:r w:rsidRPr="001629D0">
                    <w:rPr>
                      <w:spacing w:val="-2"/>
                    </w:rPr>
                    <w:t>AMSA</w:t>
                  </w:r>
                  <w:proofErr w:type="spellEnd"/>
                  <w:r w:rsidRPr="001629D0">
                    <w:rPr>
                      <w:spacing w:val="-2"/>
                    </w:rPr>
                    <w:t xml:space="preserve"> </w:t>
                  </w:r>
                  <w:r w:rsidR="00675AD1" w:rsidRPr="001629D0">
                    <w:rPr>
                      <w:spacing w:val="-2"/>
                    </w:rPr>
                    <w:t>provided</w:t>
                  </w:r>
                  <w:r w:rsidR="00116367" w:rsidRPr="001629D0">
                    <w:rPr>
                      <w:spacing w:val="-2"/>
                    </w:rPr>
                    <w:t xml:space="preserve"> </w:t>
                  </w:r>
                  <w:r w:rsidR="00E83FDC" w:rsidRPr="001629D0">
                    <w:rPr>
                      <w:spacing w:val="-2"/>
                    </w:rPr>
                    <w:t>maritime incident data</w:t>
                  </w:r>
                  <w:r w:rsidR="006B0351" w:rsidRPr="001629D0">
                    <w:rPr>
                      <w:spacing w:val="-2"/>
                    </w:rPr>
                    <w:t>, detailing both incidents that involved casualties and no casualties,</w:t>
                  </w:r>
                  <w:r w:rsidR="00E83FDC" w:rsidRPr="001629D0">
                    <w:rPr>
                      <w:spacing w:val="-2"/>
                    </w:rPr>
                    <w:t xml:space="preserve"> </w:t>
                  </w:r>
                  <w:r w:rsidR="00116367" w:rsidRPr="001629D0">
                    <w:rPr>
                      <w:spacing w:val="-2"/>
                    </w:rPr>
                    <w:t>for</w:t>
                  </w:r>
                  <w:r w:rsidR="00E83FDC" w:rsidRPr="001629D0">
                    <w:rPr>
                      <w:spacing w:val="-2"/>
                    </w:rPr>
                    <w:t xml:space="preserve"> the period </w:t>
                  </w:r>
                  <w:r w:rsidR="0001566B" w:rsidRPr="001629D0">
                    <w:rPr>
                      <w:spacing w:val="-2"/>
                    </w:rPr>
                    <w:t>1992</w:t>
                  </w:r>
                  <w:r w:rsidR="00C20CD2" w:rsidRPr="001629D0">
                    <w:rPr>
                      <w:spacing w:val="-2"/>
                    </w:rPr>
                    <w:t>–</w:t>
                  </w:r>
                  <w:r w:rsidR="00E83FDC" w:rsidRPr="001629D0">
                    <w:rPr>
                      <w:spacing w:val="-2"/>
                    </w:rPr>
                    <w:t xml:space="preserve">2019. </w:t>
                  </w:r>
                  <w:r w:rsidR="00B77214" w:rsidRPr="001629D0">
                    <w:rPr>
                      <w:spacing w:val="-2"/>
                    </w:rPr>
                    <w:t xml:space="preserve">Much of </w:t>
                  </w:r>
                  <w:r w:rsidR="001629D0" w:rsidRPr="001629D0">
                    <w:rPr>
                      <w:spacing w:val="-2"/>
                    </w:rPr>
                    <w:t xml:space="preserve">this was </w:t>
                  </w:r>
                  <w:r w:rsidR="00B77214" w:rsidRPr="001629D0">
                    <w:rPr>
                      <w:spacing w:val="-2"/>
                    </w:rPr>
                    <w:t xml:space="preserve">inherited from state agencies as part of the transition to the national regulator and for that reason </w:t>
                  </w:r>
                  <w:proofErr w:type="spellStart"/>
                  <w:r w:rsidR="00B77214" w:rsidRPr="001629D0">
                    <w:rPr>
                      <w:spacing w:val="-2"/>
                    </w:rPr>
                    <w:t>AMSA</w:t>
                  </w:r>
                  <w:proofErr w:type="spellEnd"/>
                  <w:r w:rsidR="00B77214" w:rsidRPr="001629D0">
                    <w:rPr>
                      <w:spacing w:val="-2"/>
                    </w:rPr>
                    <w:t xml:space="preserve"> noted it could not guarantee the completeness </w:t>
                  </w:r>
                  <w:r w:rsidR="001629D0">
                    <w:rPr>
                      <w:spacing w:val="-2"/>
                    </w:rPr>
                    <w:t xml:space="preserve">or quality </w:t>
                  </w:r>
                  <w:r w:rsidR="00B77214" w:rsidRPr="001629D0">
                    <w:rPr>
                      <w:spacing w:val="-2"/>
                    </w:rPr>
                    <w:t xml:space="preserve">of earlier data. </w:t>
                  </w:r>
                  <w:r w:rsidR="00E83FDC" w:rsidRPr="001629D0">
                    <w:rPr>
                      <w:spacing w:val="-2"/>
                    </w:rPr>
                    <w:t xml:space="preserve">Data </w:t>
                  </w:r>
                  <w:r w:rsidR="00102DEA" w:rsidRPr="001629D0">
                    <w:rPr>
                      <w:spacing w:val="-2"/>
                    </w:rPr>
                    <w:t xml:space="preserve">were </w:t>
                  </w:r>
                  <w:r w:rsidR="00E83FDC" w:rsidRPr="001629D0">
                    <w:rPr>
                      <w:spacing w:val="-2"/>
                    </w:rPr>
                    <w:t>provided in three datasets</w:t>
                  </w:r>
                  <w:r w:rsidR="0089002C" w:rsidRPr="001629D0">
                    <w:rPr>
                      <w:spacing w:val="-2"/>
                    </w:rPr>
                    <w:t xml:space="preserve"> (A, B and C)</w:t>
                  </w:r>
                  <w:r w:rsidR="009228B0" w:rsidRPr="001629D0">
                    <w:rPr>
                      <w:spacing w:val="-2"/>
                    </w:rPr>
                    <w:t>.</w:t>
                  </w:r>
                </w:p>
                <w:p w14:paraId="76FE2445" w14:textId="322ED7A8" w:rsidR="00CB5376" w:rsidRPr="00044570" w:rsidRDefault="0089002C" w:rsidP="00F462EB">
                  <w:pPr>
                    <w:pStyle w:val="TableBodyText"/>
                    <w:jc w:val="left"/>
                  </w:pPr>
                  <w:r w:rsidRPr="00044570">
                    <w:t>D</w:t>
                  </w:r>
                  <w:r w:rsidR="00E83FDC" w:rsidRPr="00044570">
                    <w:t>ataset</w:t>
                  </w:r>
                  <w:r w:rsidR="00E7412B" w:rsidRPr="00044570">
                    <w:t xml:space="preserve"> A contain</w:t>
                  </w:r>
                  <w:r w:rsidR="006E097E" w:rsidRPr="00044570">
                    <w:t>s</w:t>
                  </w:r>
                  <w:r w:rsidR="00E7412B" w:rsidRPr="00044570">
                    <w:t xml:space="preserve"> information on maritime incidents</w:t>
                  </w:r>
                  <w:r w:rsidR="00A71ED4" w:rsidRPr="00044570">
                    <w:t xml:space="preserve"> </w:t>
                  </w:r>
                  <w:r w:rsidR="00E76FC4" w:rsidRPr="00044570">
                    <w:t>for</w:t>
                  </w:r>
                  <w:r w:rsidR="00E83FDC" w:rsidRPr="00044570">
                    <w:t xml:space="preserve"> </w:t>
                  </w:r>
                  <w:r w:rsidR="001679AD" w:rsidRPr="00044570">
                    <w:t>March</w:t>
                  </w:r>
                  <w:r w:rsidR="00E83FDC" w:rsidRPr="00044570">
                    <w:t xml:space="preserve"> </w:t>
                  </w:r>
                  <w:r w:rsidR="008D33BA" w:rsidRPr="00044570">
                    <w:t>1992</w:t>
                  </w:r>
                  <w:r w:rsidR="009228B0" w:rsidRPr="00044570">
                    <w:t>–</w:t>
                  </w:r>
                  <w:r w:rsidR="001679AD" w:rsidRPr="00044570">
                    <w:t>November 2017</w:t>
                  </w:r>
                  <w:r w:rsidR="00553E91" w:rsidRPr="00044570">
                    <w:t xml:space="preserve"> collated </w:t>
                  </w:r>
                  <w:r w:rsidR="0057599A">
                    <w:t>through</w:t>
                  </w:r>
                  <w:r w:rsidR="0057599A" w:rsidRPr="00044570">
                    <w:t xml:space="preserve"> </w:t>
                  </w:r>
                  <w:r w:rsidR="00553E91" w:rsidRPr="00044570">
                    <w:t xml:space="preserve">the </w:t>
                  </w:r>
                  <w:r w:rsidR="00A43214" w:rsidRPr="00044570">
                    <w:t>pre</w:t>
                  </w:r>
                  <w:r w:rsidR="00927392" w:rsidRPr="00044570">
                    <w:noBreakHyphen/>
                  </w:r>
                  <w:r w:rsidR="00A43214" w:rsidRPr="00044570">
                    <w:t xml:space="preserve">existing </w:t>
                  </w:r>
                  <w:r w:rsidR="00553E91" w:rsidRPr="00044570">
                    <w:t>National Marine Safety Commi</w:t>
                  </w:r>
                  <w:r w:rsidR="00FF1E81" w:rsidRPr="00044570">
                    <w:t>ttee</w:t>
                  </w:r>
                  <w:r w:rsidR="00553E91" w:rsidRPr="00044570">
                    <w:t xml:space="preserve"> (</w:t>
                  </w:r>
                  <w:proofErr w:type="spellStart"/>
                  <w:r w:rsidR="00553E91" w:rsidRPr="00044570">
                    <w:t>NMSC</w:t>
                  </w:r>
                  <w:proofErr w:type="spellEnd"/>
                  <w:r w:rsidR="00553E91" w:rsidRPr="00044570">
                    <w:t>)</w:t>
                  </w:r>
                  <w:r w:rsidR="00B77214">
                    <w:t xml:space="preserve"> reporting process</w:t>
                  </w:r>
                  <w:r w:rsidR="001679AD" w:rsidRPr="00044570">
                    <w:t xml:space="preserve">. Data prior to 2001 </w:t>
                  </w:r>
                  <w:r w:rsidR="00980668" w:rsidRPr="00044570">
                    <w:t>w</w:t>
                  </w:r>
                  <w:r w:rsidR="00C72120" w:rsidRPr="00044570">
                    <w:t>ere</w:t>
                  </w:r>
                  <w:r w:rsidR="00980668" w:rsidRPr="00044570">
                    <w:t xml:space="preserve"> for</w:t>
                  </w:r>
                  <w:r w:rsidR="001679AD" w:rsidRPr="00044570">
                    <w:t xml:space="preserve"> W</w:t>
                  </w:r>
                  <w:r w:rsidR="00C72120" w:rsidRPr="00044570">
                    <w:t>estern Australia</w:t>
                  </w:r>
                  <w:r w:rsidR="001679AD" w:rsidRPr="00044570">
                    <w:t xml:space="preserve"> and Q</w:t>
                  </w:r>
                  <w:r w:rsidR="00C72120" w:rsidRPr="00044570">
                    <w:t>ueensland</w:t>
                  </w:r>
                  <w:r w:rsidR="001679AD" w:rsidRPr="00044570">
                    <w:t xml:space="preserve"> only.</w:t>
                  </w:r>
                  <w:r w:rsidR="00A71ED4" w:rsidRPr="00044570">
                    <w:t xml:space="preserve"> </w:t>
                  </w:r>
                  <w:r w:rsidR="002B7959" w:rsidRPr="002B7959">
                    <w:t>South Australia, Tasmania and the Northern Territory were included</w:t>
                  </w:r>
                  <w:r w:rsidR="002B7959">
                    <w:t xml:space="preserve"> from 2001</w:t>
                  </w:r>
                  <w:r w:rsidR="002B7959" w:rsidRPr="002B7959">
                    <w:t>.</w:t>
                  </w:r>
                  <w:r w:rsidR="002B7959">
                    <w:t xml:space="preserve"> </w:t>
                  </w:r>
                  <w:r w:rsidR="00A71ED4" w:rsidRPr="00044570">
                    <w:t>Data for Victoria and New South Wales w</w:t>
                  </w:r>
                  <w:r w:rsidR="00102DEA" w:rsidRPr="00044570">
                    <w:t>ere</w:t>
                  </w:r>
                  <w:r w:rsidR="00A71ED4" w:rsidRPr="00044570">
                    <w:t xml:space="preserve"> not included</w:t>
                  </w:r>
                  <w:r w:rsidR="001679AD" w:rsidRPr="00044570">
                    <w:t xml:space="preserve"> </w:t>
                  </w:r>
                  <w:r w:rsidR="0015222B" w:rsidRPr="00044570">
                    <w:t xml:space="preserve">for </w:t>
                  </w:r>
                  <w:r w:rsidR="001679AD" w:rsidRPr="00044570">
                    <w:t>the whole reporting period.</w:t>
                  </w:r>
                  <w:r w:rsidR="00A71ED4" w:rsidRPr="00044570">
                    <w:t xml:space="preserve"> </w:t>
                  </w:r>
                  <w:r w:rsidR="00116367" w:rsidRPr="00044570">
                    <w:t>The data</w:t>
                  </w:r>
                  <w:r w:rsidR="004E5762">
                    <w:t>set</w:t>
                  </w:r>
                  <w:r w:rsidR="00B23F4E" w:rsidRPr="00044570">
                    <w:t xml:space="preserve"> include</w:t>
                  </w:r>
                  <w:r w:rsidR="004E5762">
                    <w:t>s</w:t>
                  </w:r>
                  <w:r w:rsidR="00B23F4E" w:rsidRPr="00044570">
                    <w:t xml:space="preserve"> </w:t>
                  </w:r>
                  <w:r w:rsidR="00980668" w:rsidRPr="00044570">
                    <w:t xml:space="preserve">unit level </w:t>
                  </w:r>
                  <w:r w:rsidR="00B23F4E" w:rsidRPr="00044570">
                    <w:t>indicators</w:t>
                  </w:r>
                  <w:r w:rsidR="00116367" w:rsidRPr="00044570">
                    <w:t xml:space="preserve"> </w:t>
                  </w:r>
                  <w:r w:rsidR="001679AD" w:rsidRPr="00044570">
                    <w:t>for: jurisdiction, date, vessel type, weather, wind, visibility</w:t>
                  </w:r>
                  <w:r w:rsidR="00C72120" w:rsidRPr="00044570">
                    <w:t xml:space="preserve"> and</w:t>
                  </w:r>
                  <w:r w:rsidR="001679AD" w:rsidRPr="00044570">
                    <w:t xml:space="preserve"> accident type (for example collision, grounding, capsizing). </w:t>
                  </w:r>
                </w:p>
                <w:p w14:paraId="52BF91A4" w14:textId="36F2A87E" w:rsidR="00CB5376" w:rsidRPr="00044570" w:rsidRDefault="0089002C" w:rsidP="00F462EB">
                  <w:pPr>
                    <w:pStyle w:val="TableBodyText"/>
                    <w:jc w:val="left"/>
                  </w:pPr>
                  <w:r w:rsidRPr="00044570">
                    <w:t>D</w:t>
                  </w:r>
                  <w:r w:rsidR="00A71ED4" w:rsidRPr="00044570">
                    <w:t>ataset B</w:t>
                  </w:r>
                  <w:r w:rsidR="00116367" w:rsidRPr="00044570">
                    <w:t xml:space="preserve"> contain</w:t>
                  </w:r>
                  <w:r w:rsidR="006E097E" w:rsidRPr="00044570">
                    <w:t>s</w:t>
                  </w:r>
                  <w:r w:rsidR="00116367" w:rsidRPr="00044570">
                    <w:t xml:space="preserve"> </w:t>
                  </w:r>
                  <w:r w:rsidR="00A71ED4" w:rsidRPr="00044570">
                    <w:t xml:space="preserve">information on maritime incidents over the period </w:t>
                  </w:r>
                  <w:r w:rsidR="001679AD" w:rsidRPr="00044570">
                    <w:t xml:space="preserve">July </w:t>
                  </w:r>
                  <w:r w:rsidR="00A71ED4" w:rsidRPr="00044570">
                    <w:t>2013</w:t>
                  </w:r>
                  <w:r w:rsidR="009228B0" w:rsidRPr="00044570">
                    <w:t>–</w:t>
                  </w:r>
                  <w:r w:rsidR="001679AD" w:rsidRPr="00044570">
                    <w:t xml:space="preserve">December </w:t>
                  </w:r>
                  <w:r w:rsidR="00A71ED4" w:rsidRPr="00044570">
                    <w:t>2017</w:t>
                  </w:r>
                  <w:r w:rsidR="002B7959">
                    <w:t xml:space="preserve">, </w:t>
                  </w:r>
                  <w:r w:rsidR="002B7959" w:rsidRPr="002B7959">
                    <w:t xml:space="preserve">since </w:t>
                  </w:r>
                  <w:proofErr w:type="spellStart"/>
                  <w:r w:rsidR="002B7959" w:rsidRPr="002B7959">
                    <w:t>AMSA</w:t>
                  </w:r>
                  <w:proofErr w:type="spellEnd"/>
                  <w:r w:rsidR="002B7959" w:rsidRPr="002B7959">
                    <w:t xml:space="preserve"> became the national regulator</w:t>
                  </w:r>
                  <w:r w:rsidR="00A71ED4" w:rsidRPr="00044570">
                    <w:t xml:space="preserve">. Maritime incidents were collated by </w:t>
                  </w:r>
                  <w:proofErr w:type="spellStart"/>
                  <w:r w:rsidR="00A71ED4" w:rsidRPr="00044570">
                    <w:t>AMSA</w:t>
                  </w:r>
                  <w:proofErr w:type="spellEnd"/>
                  <w:r w:rsidR="00A71ED4" w:rsidRPr="00044570">
                    <w:t xml:space="preserve"> using the</w:t>
                  </w:r>
                  <w:r w:rsidR="002B7959">
                    <w:t>ir own</w:t>
                  </w:r>
                  <w:r w:rsidR="00A71ED4" w:rsidRPr="00044570">
                    <w:t xml:space="preserve"> reporting </w:t>
                  </w:r>
                  <w:r w:rsidR="002B7959">
                    <w:t xml:space="preserve">process with the </w:t>
                  </w:r>
                  <w:proofErr w:type="spellStart"/>
                  <w:r w:rsidR="002B7959">
                    <w:t>NMSC</w:t>
                  </w:r>
                  <w:proofErr w:type="spellEnd"/>
                  <w:r w:rsidR="002B7959">
                    <w:t xml:space="preserve"> approach as a base</w:t>
                  </w:r>
                  <w:r w:rsidR="009228B0" w:rsidRPr="00044570">
                    <w:t>.</w:t>
                  </w:r>
                  <w:r w:rsidR="001679AD" w:rsidRPr="00044570">
                    <w:t xml:space="preserve"> Indicators are similar to dataset A, but include a variable for incident severity (fatal</w:t>
                  </w:r>
                  <w:r w:rsidR="00815E8F" w:rsidRPr="00044570">
                    <w:t>, serious or</w:t>
                  </w:r>
                  <w:r w:rsidR="00A52B08" w:rsidRPr="00044570">
                    <w:t xml:space="preserve"> minor</w:t>
                  </w:r>
                  <w:r w:rsidR="001679AD" w:rsidRPr="00044570">
                    <w:t xml:space="preserve">) and </w:t>
                  </w:r>
                  <w:r w:rsidR="00C72120" w:rsidRPr="00044570">
                    <w:t xml:space="preserve">a </w:t>
                  </w:r>
                  <w:r w:rsidR="001679AD" w:rsidRPr="00044570">
                    <w:t>free</w:t>
                  </w:r>
                  <w:r w:rsidR="00927392" w:rsidRPr="00044570">
                    <w:noBreakHyphen/>
                  </w:r>
                  <w:r w:rsidR="001679AD" w:rsidRPr="00044570">
                    <w:t xml:space="preserve">text field that provides additional context </w:t>
                  </w:r>
                  <w:r w:rsidR="002363D3" w:rsidRPr="00044570">
                    <w:t>for</w:t>
                  </w:r>
                  <w:r w:rsidR="001679AD" w:rsidRPr="00044570">
                    <w:t xml:space="preserve"> each incident</w:t>
                  </w:r>
                  <w:r w:rsidR="00553E91" w:rsidRPr="00044570">
                    <w:t>.</w:t>
                  </w:r>
                </w:p>
                <w:p w14:paraId="79F77AAA" w14:textId="5D25386B" w:rsidR="001679AD" w:rsidRPr="00044570" w:rsidRDefault="0089002C" w:rsidP="00F462EB">
                  <w:pPr>
                    <w:pStyle w:val="TableBodyText"/>
                    <w:jc w:val="left"/>
                  </w:pPr>
                  <w:r w:rsidRPr="00044570">
                    <w:t>D</w:t>
                  </w:r>
                  <w:r w:rsidR="00A71ED4" w:rsidRPr="00044570">
                    <w:t xml:space="preserve">ataset C </w:t>
                  </w:r>
                  <w:r w:rsidR="006572CB" w:rsidRPr="00044570">
                    <w:t>contain</w:t>
                  </w:r>
                  <w:r w:rsidR="006E097E" w:rsidRPr="00044570">
                    <w:t>s</w:t>
                  </w:r>
                  <w:r w:rsidR="00A71ED4" w:rsidRPr="00044570">
                    <w:t xml:space="preserve"> information on maritime incidents </w:t>
                  </w:r>
                  <w:r w:rsidR="002B7959">
                    <w:t xml:space="preserve">reported directly to </w:t>
                  </w:r>
                  <w:proofErr w:type="spellStart"/>
                  <w:r w:rsidR="002B7959">
                    <w:t>AMSA</w:t>
                  </w:r>
                  <w:proofErr w:type="spellEnd"/>
                  <w:r w:rsidR="002B7959">
                    <w:t xml:space="preserve">, using </w:t>
                  </w:r>
                  <w:r w:rsidR="004905D6">
                    <w:t>an updated</w:t>
                  </w:r>
                  <w:r w:rsidR="002B7959" w:rsidRPr="002B7959">
                    <w:t xml:space="preserve"> approach </w:t>
                  </w:r>
                  <w:r w:rsidR="004905D6">
                    <w:t xml:space="preserve">to that used </w:t>
                  </w:r>
                  <w:r w:rsidR="00D31A89">
                    <w:t>for</w:t>
                  </w:r>
                  <w:r w:rsidR="002B7959" w:rsidRPr="002B7959">
                    <w:t xml:space="preserve"> dataset B</w:t>
                  </w:r>
                  <w:r w:rsidR="002B7959">
                    <w:t>,</w:t>
                  </w:r>
                  <w:r w:rsidR="00116367" w:rsidRPr="00044570">
                    <w:t xml:space="preserve"> </w:t>
                  </w:r>
                  <w:r w:rsidR="001679AD" w:rsidRPr="00044570">
                    <w:t>over the period September 2017–August 2019.</w:t>
                  </w:r>
                </w:p>
                <w:p w14:paraId="3F9F1B93" w14:textId="21BA6479" w:rsidR="00675AD1" w:rsidRDefault="00CB5376" w:rsidP="00F462EB">
                  <w:pPr>
                    <w:pStyle w:val="TableBodyText"/>
                    <w:jc w:val="left"/>
                  </w:pPr>
                  <w:r w:rsidRPr="00044570">
                    <w:t xml:space="preserve">There are inconsistencies in </w:t>
                  </w:r>
                  <w:r w:rsidR="0015222B" w:rsidRPr="00044570">
                    <w:t>the data</w:t>
                  </w:r>
                  <w:r w:rsidR="00013BC9" w:rsidRPr="00044570" w:rsidDel="0015222B">
                    <w:t xml:space="preserve"> </w:t>
                  </w:r>
                  <w:r w:rsidR="00013BC9" w:rsidRPr="00044570">
                    <w:t>within and</w:t>
                  </w:r>
                  <w:r w:rsidRPr="00044570">
                    <w:t xml:space="preserve"> across</w:t>
                  </w:r>
                  <w:r w:rsidR="0015222B" w:rsidRPr="00044570">
                    <w:t xml:space="preserve"> the</w:t>
                  </w:r>
                  <w:r w:rsidRPr="00044570">
                    <w:t xml:space="preserve"> </w:t>
                  </w:r>
                  <w:r w:rsidR="00116367" w:rsidRPr="00044570">
                    <w:t>datasets</w:t>
                  </w:r>
                  <w:r w:rsidRPr="00044570">
                    <w:t>, and in some instances dup</w:t>
                  </w:r>
                  <w:r w:rsidR="00E7412B" w:rsidRPr="00044570">
                    <w:t xml:space="preserve">lication of </w:t>
                  </w:r>
                  <w:r w:rsidR="0015222B" w:rsidRPr="00044570">
                    <w:t xml:space="preserve">data for </w:t>
                  </w:r>
                  <w:r w:rsidR="00E7412B" w:rsidRPr="00044570">
                    <w:t>mar</w:t>
                  </w:r>
                  <w:r w:rsidR="008C59AF" w:rsidRPr="00044570">
                    <w:t>itime incidents.</w:t>
                  </w:r>
                </w:p>
              </w:tc>
            </w:tr>
          </w:tbl>
          <w:p w14:paraId="37E6C9DB" w14:textId="74E30530" w:rsidR="00640863" w:rsidRDefault="00640863" w:rsidP="00640863">
            <w:pPr>
              <w:pStyle w:val="Box"/>
            </w:pPr>
          </w:p>
        </w:tc>
      </w:tr>
      <w:tr w:rsidR="00640863" w14:paraId="1CAA4DF6" w14:textId="77777777" w:rsidTr="00640863">
        <w:tc>
          <w:tcPr>
            <w:tcW w:w="5000" w:type="pct"/>
            <w:tcBorders>
              <w:top w:val="nil"/>
              <w:left w:val="nil"/>
              <w:bottom w:val="single" w:sz="6" w:space="0" w:color="78A22F"/>
              <w:right w:val="nil"/>
            </w:tcBorders>
            <w:shd w:val="clear" w:color="auto" w:fill="auto"/>
          </w:tcPr>
          <w:p w14:paraId="0BB0E769" w14:textId="485C2483" w:rsidR="00640863" w:rsidRDefault="00640863" w:rsidP="00640863">
            <w:pPr>
              <w:pStyle w:val="Box"/>
              <w:spacing w:before="0" w:line="120" w:lineRule="exact"/>
            </w:pPr>
          </w:p>
        </w:tc>
      </w:tr>
      <w:tr w:rsidR="00640863" w:rsidRPr="000863A5" w14:paraId="07A22F32" w14:textId="77777777" w:rsidTr="00640863">
        <w:tc>
          <w:tcPr>
            <w:tcW w:w="5000" w:type="pct"/>
            <w:tcBorders>
              <w:top w:val="single" w:sz="6" w:space="0" w:color="78A22F"/>
              <w:left w:val="nil"/>
              <w:bottom w:val="nil"/>
              <w:right w:val="nil"/>
            </w:tcBorders>
          </w:tcPr>
          <w:p w14:paraId="4C7D8D4A" w14:textId="20FBF17D" w:rsidR="00640863" w:rsidRPr="00626D32" w:rsidRDefault="00640863" w:rsidP="00640863">
            <w:pPr>
              <w:pStyle w:val="BoxSpaceBelow"/>
            </w:pPr>
          </w:p>
        </w:tc>
      </w:tr>
    </w:tbl>
    <w:p w14:paraId="6100C00E" w14:textId="52989997" w:rsidR="00FF7D89" w:rsidRDefault="00FF7D89" w:rsidP="00FF7D89">
      <w:pPr>
        <w:pStyle w:val="BodyText"/>
      </w:pPr>
      <w:r>
        <w:t>T</w:t>
      </w:r>
      <w:r w:rsidRPr="00B57D69">
        <w:t>he National Crash Database (</w:t>
      </w:r>
      <w:proofErr w:type="spellStart"/>
      <w:r w:rsidRPr="00B57D69">
        <w:t>NCD</w:t>
      </w:r>
      <w:proofErr w:type="spellEnd"/>
      <w:r w:rsidRPr="00B57D69">
        <w:t xml:space="preserve">) </w:t>
      </w:r>
      <w:r w:rsidR="000C0475">
        <w:t xml:space="preserve">was </w:t>
      </w:r>
      <w:r>
        <w:t>used t</w:t>
      </w:r>
      <w:r w:rsidRPr="00B57D69">
        <w:t xml:space="preserve">o examine the impact of the </w:t>
      </w:r>
      <w:r>
        <w:t>Heavy Vehicle National Law (</w:t>
      </w:r>
      <w:proofErr w:type="spellStart"/>
      <w:r w:rsidRPr="00B57D69">
        <w:t>HVNL</w:t>
      </w:r>
      <w:proofErr w:type="spellEnd"/>
      <w:r>
        <w:t xml:space="preserve">) on safety. The method used to assess the impact of the </w:t>
      </w:r>
      <w:proofErr w:type="spellStart"/>
      <w:r>
        <w:t>HVNL</w:t>
      </w:r>
      <w:proofErr w:type="spellEnd"/>
      <w:r>
        <w:t xml:space="preserve"> on safety is discussed </w:t>
      </w:r>
      <w:r w:rsidR="003F5A4C">
        <w:t xml:space="preserve">in section </w:t>
      </w:r>
      <w:proofErr w:type="spellStart"/>
      <w:r w:rsidR="003F5A4C">
        <w:t>B.2</w:t>
      </w:r>
      <w:proofErr w:type="spellEnd"/>
      <w:r>
        <w:t>.</w:t>
      </w:r>
    </w:p>
    <w:p w14:paraId="6EEAFCD6" w14:textId="1401A64C" w:rsidR="00D277DF" w:rsidRPr="00E7412B" w:rsidRDefault="00D277DF" w:rsidP="00D277DF">
      <w:pPr>
        <w:pStyle w:val="BodyText"/>
      </w:pPr>
      <w:r>
        <w:lastRenderedPageBreak/>
        <w:t>National rail safety data were sourced from annual safety reports</w:t>
      </w:r>
      <w:r w:rsidR="00294DA7">
        <w:t xml:space="preserve"> </w:t>
      </w:r>
      <w:r w:rsidR="00554F82">
        <w:t xml:space="preserve">prepared by </w:t>
      </w:r>
      <w:proofErr w:type="spellStart"/>
      <w:r w:rsidR="00554F82">
        <w:t>ONRSR</w:t>
      </w:r>
      <w:proofErr w:type="spellEnd"/>
      <w:r w:rsidR="00554F82">
        <w:t xml:space="preserve"> and </w:t>
      </w:r>
      <w:r w:rsidR="00294DA7">
        <w:t xml:space="preserve">unpublished data provided by </w:t>
      </w:r>
      <w:proofErr w:type="spellStart"/>
      <w:r w:rsidR="00294DA7">
        <w:t>ONRSR</w:t>
      </w:r>
      <w:proofErr w:type="spellEnd"/>
      <w:r>
        <w:t xml:space="preserve">. </w:t>
      </w:r>
      <w:r w:rsidR="00554F82">
        <w:t>A</w:t>
      </w:r>
      <w:r>
        <w:t xml:space="preserve"> causal impact of the</w:t>
      </w:r>
      <w:r w:rsidR="00834642">
        <w:t xml:space="preserve"> </w:t>
      </w:r>
      <w:r w:rsidR="00554F82">
        <w:t xml:space="preserve">introduction </w:t>
      </w:r>
      <w:r>
        <w:t>of the</w:t>
      </w:r>
      <w:r w:rsidR="00834642">
        <w:t xml:space="preserve"> Rail Safety National Law</w:t>
      </w:r>
      <w:r>
        <w:t xml:space="preserve"> </w:t>
      </w:r>
      <w:r w:rsidR="00834642">
        <w:t>(</w:t>
      </w:r>
      <w:proofErr w:type="spellStart"/>
      <w:r>
        <w:t>RSNL</w:t>
      </w:r>
      <w:proofErr w:type="spellEnd"/>
      <w:r w:rsidR="00834642">
        <w:t>)</w:t>
      </w:r>
      <w:r>
        <w:t xml:space="preserve"> on safety </w:t>
      </w:r>
      <w:r w:rsidR="00554F82">
        <w:t xml:space="preserve">outcomes </w:t>
      </w:r>
      <w:r w:rsidR="0015222B">
        <w:t xml:space="preserve">could not be </w:t>
      </w:r>
      <w:r w:rsidR="00A11BF6">
        <w:t xml:space="preserve">investigated </w:t>
      </w:r>
      <w:r>
        <w:t>due to the lack of pre</w:t>
      </w:r>
      <w:r w:rsidR="00DE65A3">
        <w:noBreakHyphen/>
      </w:r>
      <w:r>
        <w:t>reform data and the staggered sign</w:t>
      </w:r>
      <w:r w:rsidR="00DE65A3">
        <w:noBreakHyphen/>
      </w:r>
      <w:r>
        <w:t>up of</w:t>
      </w:r>
      <w:r w:rsidR="00792CA7">
        <w:t xml:space="preserve"> Australian States and Territories (henceforth, jurisdictions)</w:t>
      </w:r>
      <w:r>
        <w:t xml:space="preserve"> to the </w:t>
      </w:r>
      <w:proofErr w:type="spellStart"/>
      <w:r>
        <w:t>RSNL</w:t>
      </w:r>
      <w:proofErr w:type="spellEnd"/>
      <w:r>
        <w:t>.</w:t>
      </w:r>
    </w:p>
    <w:p w14:paraId="24240EA2" w14:textId="33625954" w:rsidR="001E6EC5" w:rsidRDefault="00BB012E" w:rsidP="001E6EC5">
      <w:pPr>
        <w:pStyle w:val="BodyText"/>
      </w:pPr>
      <w:proofErr w:type="spellStart"/>
      <w:r>
        <w:t>AMSA</w:t>
      </w:r>
      <w:proofErr w:type="spellEnd"/>
      <w:r>
        <w:t xml:space="preserve"> provided m</w:t>
      </w:r>
      <w:r w:rsidR="00D40A75">
        <w:t xml:space="preserve">aritime incident data, detailing both incidents </w:t>
      </w:r>
      <w:r w:rsidR="006B0351">
        <w:t>that involved casualties and no casualties</w:t>
      </w:r>
      <w:r w:rsidR="00D40A75">
        <w:t>, in three separate datasets (</w:t>
      </w:r>
      <w:r w:rsidR="002363D3">
        <w:t xml:space="preserve">table </w:t>
      </w:r>
      <w:proofErr w:type="spellStart"/>
      <w:r w:rsidR="00D40A75">
        <w:t>B.1</w:t>
      </w:r>
      <w:proofErr w:type="spellEnd"/>
      <w:r w:rsidR="00D40A75">
        <w:t>). The Commission attempted to standardise and merge these datasets, but the task is complicated by inconsistent reporting on variables both within and across datasets.</w:t>
      </w:r>
      <w:r w:rsidR="001E6EC5">
        <w:t xml:space="preserve"> </w:t>
      </w:r>
      <w:r w:rsidR="008C4A5E">
        <w:t>C</w:t>
      </w:r>
      <w:r w:rsidR="00C20B9E" w:rsidRPr="0040424A">
        <w:t>ausal analysis</w:t>
      </w:r>
      <w:r>
        <w:t xml:space="preserve"> to link the impact of the Maritime Safety National Law (</w:t>
      </w:r>
      <w:proofErr w:type="spellStart"/>
      <w:r>
        <w:t>MSNL</w:t>
      </w:r>
      <w:proofErr w:type="spellEnd"/>
      <w:r>
        <w:t>) to maritime safety outcomes</w:t>
      </w:r>
      <w:r w:rsidR="00C20B9E">
        <w:t xml:space="preserve"> </w:t>
      </w:r>
      <w:r w:rsidR="008C4A5E">
        <w:t xml:space="preserve">was not undertaken </w:t>
      </w:r>
      <w:r w:rsidR="0015222B">
        <w:t>because of</w:t>
      </w:r>
      <w:r w:rsidR="001E6EC5">
        <w:t xml:space="preserve"> </w:t>
      </w:r>
      <w:r w:rsidR="00C20B9E">
        <w:t xml:space="preserve">data </w:t>
      </w:r>
      <w:r w:rsidR="001E6EC5">
        <w:t>inconsistencies, the</w:t>
      </w:r>
      <w:r w:rsidR="001E6EC5" w:rsidRPr="0040424A">
        <w:t xml:space="preserve"> lack of a valid </w:t>
      </w:r>
      <w:r w:rsidR="001E6EC5" w:rsidRPr="00DC0E9D">
        <w:t>counterfactual</w:t>
      </w:r>
      <w:r w:rsidR="001E6EC5" w:rsidRPr="0040424A">
        <w:t xml:space="preserve"> </w:t>
      </w:r>
      <w:r w:rsidR="00C20B9E">
        <w:t>and the fact that the</w:t>
      </w:r>
      <w:r w:rsidR="00FE249A">
        <w:t xml:space="preserve"> total</w:t>
      </w:r>
      <w:r w:rsidR="00C20B9E">
        <w:t xml:space="preserve"> number of maritime fatalities is</w:t>
      </w:r>
      <w:r w:rsidR="00A43214">
        <w:t xml:space="preserve"> relatively</w:t>
      </w:r>
      <w:r w:rsidR="00C20B9E">
        <w:t xml:space="preserve"> small</w:t>
      </w:r>
      <w:r w:rsidR="00CA33A9">
        <w:t>, making it difficult to attribute any small changes to the reform.</w:t>
      </w:r>
      <w:r w:rsidR="00A43214">
        <w:t xml:space="preserve"> Further</w:t>
      </w:r>
      <w:r w:rsidR="007B6AA4">
        <w:t>, u</w:t>
      </w:r>
      <w:r w:rsidR="00A43214">
        <w:t>nlike in</w:t>
      </w:r>
      <w:r w:rsidR="00554F82">
        <w:t xml:space="preserve"> the</w:t>
      </w:r>
      <w:r w:rsidR="00A43214">
        <w:t xml:space="preserve"> heavy vehicle and rail sectors, there </w:t>
      </w:r>
      <w:r w:rsidR="00177D26">
        <w:t xml:space="preserve">is </w:t>
      </w:r>
      <w:r w:rsidR="00A43214">
        <w:t xml:space="preserve">a lack of data to control for changes in </w:t>
      </w:r>
      <w:r w:rsidR="00554F82">
        <w:t>the level of</w:t>
      </w:r>
      <w:r w:rsidR="00A43214">
        <w:t xml:space="preserve"> maritime activity, such as a measure of total nautical miles travelled over time.</w:t>
      </w:r>
    </w:p>
    <w:p w14:paraId="36389D6C" w14:textId="6F9E63F8" w:rsidR="00B77BCD" w:rsidRDefault="003F5A4C">
      <w:pPr>
        <w:pStyle w:val="Heading2"/>
      </w:pPr>
      <w:proofErr w:type="spellStart"/>
      <w:r>
        <w:t>B.</w:t>
      </w:r>
      <w:r w:rsidR="0050117B">
        <w:rPr>
          <w:noProof/>
        </w:rPr>
        <w:t>2</w:t>
      </w:r>
      <w:proofErr w:type="spellEnd"/>
      <w:r>
        <w:rPr>
          <w:noProof/>
        </w:rPr>
        <w:tab/>
      </w:r>
      <w:r>
        <w:t>H</w:t>
      </w:r>
      <w:r w:rsidR="00BF214A">
        <w:t>eavy vehicle safety</w:t>
      </w:r>
    </w:p>
    <w:p w14:paraId="530F4D0E" w14:textId="39A301ED" w:rsidR="009646A6" w:rsidRDefault="00845912" w:rsidP="000D718E">
      <w:pPr>
        <w:pStyle w:val="BodyText"/>
      </w:pPr>
      <w:r w:rsidRPr="00F82C26" w:rsidDel="00BA7A1A">
        <w:t>A</w:t>
      </w:r>
      <w:r w:rsidRPr="00F82C26">
        <w:t xml:space="preserve"> principal </w:t>
      </w:r>
      <w:r w:rsidR="003223BB">
        <w:t>focus</w:t>
      </w:r>
      <w:r w:rsidRPr="00F82C26">
        <w:t xml:space="preserve"> of the </w:t>
      </w:r>
      <w:proofErr w:type="spellStart"/>
      <w:r>
        <w:t>HVNL</w:t>
      </w:r>
      <w:proofErr w:type="spellEnd"/>
      <w:r w:rsidRPr="00F82C26">
        <w:t xml:space="preserve"> and the</w:t>
      </w:r>
      <w:r>
        <w:t xml:space="preserve"> </w:t>
      </w:r>
      <w:proofErr w:type="spellStart"/>
      <w:r w:rsidR="00FA64E3">
        <w:t>NHVR</w:t>
      </w:r>
      <w:proofErr w:type="spellEnd"/>
      <w:r w:rsidRPr="00F82C26">
        <w:t xml:space="preserve"> has been to improve the safety</w:t>
      </w:r>
      <w:r>
        <w:t xml:space="preserve"> </w:t>
      </w:r>
      <w:r w:rsidRPr="00F82C26">
        <w:t>of the heavy vehicle sector.</w:t>
      </w:r>
      <w:r w:rsidR="003166E3">
        <w:t xml:space="preserve"> </w:t>
      </w:r>
      <w:r w:rsidR="000D718E">
        <w:t xml:space="preserve">Heavy vehicle safety has improved, with the number of heavy vehicle crashes involving injury or death per kilometre travelled decreasing by about 40 per cent between 2008 and 2018 (chapter 5). </w:t>
      </w:r>
    </w:p>
    <w:p w14:paraId="32BAB131" w14:textId="622755CD" w:rsidR="000D718E" w:rsidRDefault="00546A0B" w:rsidP="000D718E">
      <w:pPr>
        <w:pStyle w:val="BodyText"/>
      </w:pPr>
      <w:r>
        <w:t>The</w:t>
      </w:r>
      <w:r w:rsidR="000D718E">
        <w:t xml:space="preserve"> task has been to examine whether there </w:t>
      </w:r>
      <w:r w:rsidR="000D718E" w:rsidRPr="00C57B2C">
        <w:t xml:space="preserve">is evidence supporting the role of </w:t>
      </w:r>
      <w:r w:rsidR="000D718E">
        <w:t>the national reforms</w:t>
      </w:r>
      <w:r w:rsidR="000D718E" w:rsidRPr="00C57B2C">
        <w:t xml:space="preserve"> in explaining </w:t>
      </w:r>
      <w:r w:rsidR="000D718E">
        <w:t xml:space="preserve">the </w:t>
      </w:r>
      <w:r w:rsidR="000D718E" w:rsidRPr="00C57B2C">
        <w:t>patterns observed in the raw data</w:t>
      </w:r>
      <w:r w:rsidR="000D718E">
        <w:t>. That is, to determine the extent to which the changes in heavy vehicle crash rates occurring in the post</w:t>
      </w:r>
      <w:r w:rsidR="00FE4B97">
        <w:noBreakHyphen/>
      </w:r>
      <w:r w:rsidR="000D718E">
        <w:t>reform</w:t>
      </w:r>
      <w:r w:rsidR="000D718E" w:rsidDel="004862EC">
        <w:t xml:space="preserve"> </w:t>
      </w:r>
      <w:r w:rsidR="000D718E">
        <w:t xml:space="preserve">period can be attributed to the </w:t>
      </w:r>
      <w:proofErr w:type="spellStart"/>
      <w:r w:rsidR="000D718E">
        <w:t>HVNL</w:t>
      </w:r>
      <w:proofErr w:type="spellEnd"/>
      <w:r w:rsidR="000D718E">
        <w:t>, as opposed to other factors (such as ongoing improvements in vehicle design and safety features).</w:t>
      </w:r>
    </w:p>
    <w:p w14:paraId="3F2C84B6" w14:textId="5F09C295" w:rsidR="000D718E" w:rsidRDefault="000D718E" w:rsidP="000D718E">
      <w:pPr>
        <w:pStyle w:val="BodyText"/>
      </w:pPr>
      <w:r>
        <w:t xml:space="preserve">This is a challenging task because there is no way </w:t>
      </w:r>
      <w:r w:rsidR="00DC6883">
        <w:t>to know the trends in heavy vehicle crash rates that would have prevailed in the absence of the national transport reforms</w:t>
      </w:r>
      <w:r>
        <w:t xml:space="preserve">. </w:t>
      </w:r>
      <w:r w:rsidR="0042076E">
        <w:t>However, there are two comparison</w:t>
      </w:r>
      <w:r w:rsidR="002363D3">
        <w:t>s</w:t>
      </w:r>
      <w:r w:rsidR="0042076E">
        <w:t xml:space="preserve"> that can provide possible counterfactual scenarios</w:t>
      </w:r>
      <w:r w:rsidR="00DC6883">
        <w:t>:</w:t>
      </w:r>
    </w:p>
    <w:p w14:paraId="7DB5ECB3" w14:textId="5C201A61" w:rsidR="000D718E" w:rsidRDefault="00CD16DA" w:rsidP="000D718E">
      <w:pPr>
        <w:pStyle w:val="ListBullet"/>
      </w:pPr>
      <w:r>
        <w:t xml:space="preserve">heavy vehicles in </w:t>
      </w:r>
      <w:r w:rsidR="000D718E">
        <w:t>Western Australia and the Northern Territory</w:t>
      </w:r>
      <w:r>
        <w:t xml:space="preserve"> — the two jurisdictions that </w:t>
      </w:r>
      <w:r w:rsidR="000D718E">
        <w:t xml:space="preserve">did not sign up to the </w:t>
      </w:r>
      <w:proofErr w:type="spellStart"/>
      <w:r w:rsidR="000D718E">
        <w:t>HVNL</w:t>
      </w:r>
      <w:proofErr w:type="spellEnd"/>
    </w:p>
    <w:p w14:paraId="05DF0616" w14:textId="7A0DBC12" w:rsidR="009F544C" w:rsidRDefault="00235E85" w:rsidP="000D718E">
      <w:pPr>
        <w:pStyle w:val="ListBullet"/>
      </w:pPr>
      <w:r>
        <w:t>n</w:t>
      </w:r>
      <w:r w:rsidR="000D718E">
        <w:t>on</w:t>
      </w:r>
      <w:r w:rsidR="000D718E">
        <w:noBreakHyphen/>
        <w:t xml:space="preserve">heavy vehicles (such as light commercial vehicles and cars) in </w:t>
      </w:r>
      <w:proofErr w:type="spellStart"/>
      <w:r w:rsidR="000D718E">
        <w:t>HVNL</w:t>
      </w:r>
      <w:proofErr w:type="spellEnd"/>
      <w:r w:rsidR="000D718E">
        <w:t xml:space="preserve"> jurisdictions</w:t>
      </w:r>
      <w:r w:rsidR="00CD16DA">
        <w:t xml:space="preserve">. These </w:t>
      </w:r>
      <w:r w:rsidR="000D718E">
        <w:t xml:space="preserve">operated under similar conditions to heavy vehicles (in terms of road infrastructure, maintenance and road safety awareness campaigns, for example) but were not subject to </w:t>
      </w:r>
      <w:r w:rsidR="000D718E" w:rsidDel="00F15705">
        <w:t xml:space="preserve">the </w:t>
      </w:r>
      <w:r w:rsidR="000D718E">
        <w:t>heavy vehicle reforms.</w:t>
      </w:r>
    </w:p>
    <w:p w14:paraId="5D1DAE9E" w14:textId="7645002E" w:rsidR="00CD16DA" w:rsidRDefault="004D6AB1" w:rsidP="009F544C">
      <w:pPr>
        <w:pStyle w:val="BodyText"/>
      </w:pPr>
      <w:r>
        <w:t xml:space="preserve">Heavy vehicle crash rates in jurisdictions </w:t>
      </w:r>
      <w:r w:rsidR="00DC6883">
        <w:t>that have implemented the</w:t>
      </w:r>
      <w:r>
        <w:t xml:space="preserve"> </w:t>
      </w:r>
      <w:proofErr w:type="spellStart"/>
      <w:r>
        <w:t>HVNL</w:t>
      </w:r>
      <w:proofErr w:type="spellEnd"/>
      <w:r>
        <w:t xml:space="preserve"> </w:t>
      </w:r>
      <w:r w:rsidR="00150DBC">
        <w:t>were compared with crash rates for</w:t>
      </w:r>
      <w:r>
        <w:t xml:space="preserve"> these two control groups by examining trends over time </w:t>
      </w:r>
      <w:r w:rsidR="004A0C6A">
        <w:t xml:space="preserve">in charts </w:t>
      </w:r>
      <w:r>
        <w:t xml:space="preserve">and </w:t>
      </w:r>
      <w:r w:rsidR="0042076E">
        <w:t>through</w:t>
      </w:r>
      <w:r>
        <w:t xml:space="preserve"> statistical techniques.</w:t>
      </w:r>
    </w:p>
    <w:p w14:paraId="588ECF22" w14:textId="501E70E8" w:rsidR="00235E85" w:rsidRPr="00CC4265" w:rsidRDefault="00235E85" w:rsidP="00CC4265">
      <w:pPr>
        <w:pStyle w:val="Heading3"/>
      </w:pPr>
      <w:r w:rsidRPr="00CC4265">
        <w:lastRenderedPageBreak/>
        <w:t>Statistical methodology</w:t>
      </w:r>
    </w:p>
    <w:p w14:paraId="205E79D2" w14:textId="0634B811" w:rsidR="00E842E7" w:rsidRDefault="00324938" w:rsidP="00E842E7">
      <w:pPr>
        <w:pStyle w:val="BodyText"/>
      </w:pPr>
      <w:r>
        <w:t>An analytical technique called difference</w:t>
      </w:r>
      <w:r w:rsidR="000F678D">
        <w:noBreakHyphen/>
      </w:r>
      <w:r>
        <w:t>in</w:t>
      </w:r>
      <w:r w:rsidR="000F678D">
        <w:noBreakHyphen/>
      </w:r>
      <w:r>
        <w:t xml:space="preserve">differences was used </w:t>
      </w:r>
      <w:r w:rsidR="006205E2">
        <w:t xml:space="preserve">to estimate the effect of the </w:t>
      </w:r>
      <w:proofErr w:type="spellStart"/>
      <w:r w:rsidR="006205E2">
        <w:t>HVNL</w:t>
      </w:r>
      <w:proofErr w:type="spellEnd"/>
      <w:r w:rsidR="006205E2">
        <w:t xml:space="preserve"> </w:t>
      </w:r>
      <w:r w:rsidR="00BA474C">
        <w:t>on</w:t>
      </w:r>
      <w:r w:rsidR="006205E2">
        <w:t xml:space="preserve"> heavy vehicle </w:t>
      </w:r>
      <w:r w:rsidR="00BA474C">
        <w:t xml:space="preserve">safety outcomes </w:t>
      </w:r>
      <w:r w:rsidR="006205E2">
        <w:t>(box </w:t>
      </w:r>
      <w:proofErr w:type="spellStart"/>
      <w:r w:rsidR="006205E2">
        <w:t>B.1</w:t>
      </w:r>
      <w:proofErr w:type="spellEnd"/>
      <w:r w:rsidR="006205E2">
        <w:t xml:space="preserve">). </w:t>
      </w:r>
      <w:r>
        <w:t>This approach is appropriate due to the existence of control groups and data on pre</w:t>
      </w:r>
      <w:r>
        <w:noBreakHyphen/>
        <w:t xml:space="preserve">reform safety outcomes. </w:t>
      </w:r>
    </w:p>
    <w:p w14:paraId="7846D6B1" w14:textId="75E141D7" w:rsidR="0021722E" w:rsidRDefault="0021722E" w:rsidP="0021722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21722E" w14:paraId="6E07BC20" w14:textId="77777777" w:rsidTr="00E205D3">
        <w:trPr>
          <w:tblHeader/>
        </w:trPr>
        <w:tc>
          <w:tcPr>
            <w:tcW w:w="5000" w:type="pct"/>
            <w:tcBorders>
              <w:top w:val="single" w:sz="6" w:space="0" w:color="78A22F"/>
              <w:left w:val="nil"/>
              <w:bottom w:val="nil"/>
              <w:right w:val="nil"/>
            </w:tcBorders>
            <w:shd w:val="clear" w:color="auto" w:fill="F2F2F2"/>
          </w:tcPr>
          <w:p w14:paraId="72D84624" w14:textId="7C05C4EF" w:rsidR="0021722E" w:rsidRDefault="0021722E" w:rsidP="00E205D3">
            <w:pPr>
              <w:pStyle w:val="BoxTitle"/>
            </w:pPr>
            <w:r>
              <w:rPr>
                <w:b w:val="0"/>
              </w:rPr>
              <w:t xml:space="preserve">Box </w:t>
            </w:r>
            <w:proofErr w:type="spellStart"/>
            <w:r>
              <w:rPr>
                <w:b w:val="0"/>
              </w:rPr>
              <w:t>B.</w:t>
            </w:r>
            <w:r w:rsidR="0050117B">
              <w:rPr>
                <w:b w:val="0"/>
                <w:noProof/>
              </w:rPr>
              <w:t>1</w:t>
            </w:r>
            <w:proofErr w:type="spellEnd"/>
            <w:r>
              <w:tab/>
              <w:t>The difference</w:t>
            </w:r>
            <w:r w:rsidR="00DE65A3">
              <w:noBreakHyphen/>
            </w:r>
            <w:r>
              <w:t>in</w:t>
            </w:r>
            <w:r w:rsidR="00DE65A3">
              <w:noBreakHyphen/>
            </w:r>
            <w:r>
              <w:t>differences method</w:t>
            </w:r>
          </w:p>
        </w:tc>
      </w:tr>
      <w:tr w:rsidR="0021722E" w14:paraId="68C9FF77" w14:textId="77777777" w:rsidTr="00E205D3">
        <w:tc>
          <w:tcPr>
            <w:tcW w:w="5000" w:type="pct"/>
            <w:tcBorders>
              <w:top w:val="nil"/>
              <w:left w:val="nil"/>
              <w:bottom w:val="nil"/>
              <w:right w:val="nil"/>
            </w:tcBorders>
            <w:shd w:val="clear" w:color="auto" w:fill="F2F2F2"/>
          </w:tcPr>
          <w:p w14:paraId="219F6DF5" w14:textId="5E4AF4BC" w:rsidR="00C85038" w:rsidRDefault="0021722E" w:rsidP="00DD4C32">
            <w:pPr>
              <w:pStyle w:val="Box"/>
            </w:pPr>
            <w:r w:rsidRPr="00BF077C">
              <w:t>Difference</w:t>
            </w:r>
            <w:r w:rsidR="00DE65A3">
              <w:noBreakHyphen/>
            </w:r>
            <w:r w:rsidRPr="00BF077C">
              <w:t>in</w:t>
            </w:r>
            <w:r w:rsidR="00DE65A3">
              <w:noBreakHyphen/>
            </w:r>
            <w:r w:rsidRPr="00BF077C">
              <w:t>d</w:t>
            </w:r>
            <w:r>
              <w:t xml:space="preserve">ifferences is a statistical technique </w:t>
            </w:r>
            <w:r w:rsidRPr="008B3FF3">
              <w:t>that makes use of longitudinal data to estimate the effect of a specific intervention or treatment (</w:t>
            </w:r>
            <w:r>
              <w:t>such as a passage of law or enactment of policy</w:t>
            </w:r>
            <w:r w:rsidRPr="008B3FF3">
              <w:t>)</w:t>
            </w:r>
            <w:r w:rsidR="00DD4C32">
              <w:t xml:space="preserve">. The technique compares </w:t>
            </w:r>
            <w:r w:rsidRPr="008B3FF3">
              <w:t>changes</w:t>
            </w:r>
            <w:r>
              <w:t xml:space="preserve"> </w:t>
            </w:r>
            <w:r w:rsidRPr="008B3FF3">
              <w:t xml:space="preserve">in </w:t>
            </w:r>
            <w:r w:rsidR="00FC33FD">
              <w:t>the variable of interest</w:t>
            </w:r>
            <w:r w:rsidR="00FC33FD" w:rsidRPr="008B3FF3">
              <w:t xml:space="preserve"> </w:t>
            </w:r>
            <w:r w:rsidR="00FC33FD">
              <w:t>among</w:t>
            </w:r>
            <w:r w:rsidRPr="008B3FF3">
              <w:t xml:space="preserve"> a population that is </w:t>
            </w:r>
            <w:r>
              <w:t xml:space="preserve">subject to the treatment </w:t>
            </w:r>
            <w:r w:rsidRPr="008B3FF3">
              <w:t xml:space="preserve">(the </w:t>
            </w:r>
            <w:r>
              <w:t>treated</w:t>
            </w:r>
            <w:r w:rsidRPr="008B3FF3">
              <w:t xml:space="preserve"> group) and a population that is not (the control group)</w:t>
            </w:r>
            <w:r w:rsidR="00A11BF6">
              <w:t xml:space="preserve"> </w:t>
            </w:r>
            <w:r w:rsidR="00D10E0A" w:rsidRPr="00D10E0A">
              <w:rPr>
                <w:rFonts w:cs="Arial"/>
                <w:szCs w:val="24"/>
              </w:rPr>
              <w:t xml:space="preserve">(Angrist and </w:t>
            </w:r>
            <w:proofErr w:type="spellStart"/>
            <w:r w:rsidR="00D10E0A" w:rsidRPr="00D10E0A">
              <w:rPr>
                <w:rFonts w:cs="Arial"/>
                <w:szCs w:val="24"/>
              </w:rPr>
              <w:t>Pischke</w:t>
            </w:r>
            <w:proofErr w:type="spellEnd"/>
            <w:r w:rsidR="00D10E0A" w:rsidRPr="00D10E0A">
              <w:rPr>
                <w:rFonts w:cs="Arial"/>
                <w:szCs w:val="24"/>
              </w:rPr>
              <w:t> 2009)</w:t>
            </w:r>
            <w:r w:rsidRPr="008B3FF3">
              <w:t>.</w:t>
            </w:r>
            <w:r>
              <w:t xml:space="preserve"> </w:t>
            </w:r>
            <w:r w:rsidR="00015CA2">
              <w:t>This technique has been used to examine a range of policy issues —</w:t>
            </w:r>
            <w:r w:rsidR="007374EE">
              <w:t xml:space="preserve"> </w:t>
            </w:r>
            <w:r w:rsidR="00FC33FD">
              <w:t>such as</w:t>
            </w:r>
            <w:r w:rsidR="00015CA2" w:rsidDel="00FC33FD">
              <w:t xml:space="preserve"> </w:t>
            </w:r>
            <w:r w:rsidR="00015CA2">
              <w:t>the relationship between minimum wages and employment</w:t>
            </w:r>
            <w:r w:rsidR="00A11BF6">
              <w:t xml:space="preserve"> </w:t>
            </w:r>
            <w:r w:rsidR="00D10E0A" w:rsidRPr="00D10E0A">
              <w:rPr>
                <w:rFonts w:cs="Arial"/>
                <w:szCs w:val="24"/>
              </w:rPr>
              <w:t>(Card and Krueger 1994)</w:t>
            </w:r>
            <w:r w:rsidR="00015CA2">
              <w:t>, trade liber</w:t>
            </w:r>
            <w:r w:rsidR="00A11BF6">
              <w:t xml:space="preserve">alisation and per capita income </w:t>
            </w:r>
            <w:r w:rsidR="00D10E0A" w:rsidRPr="00D10E0A">
              <w:rPr>
                <w:rFonts w:cs="Arial"/>
                <w:szCs w:val="24"/>
              </w:rPr>
              <w:t>(Slaughter 2001)</w:t>
            </w:r>
            <w:r w:rsidR="00265BCB">
              <w:t xml:space="preserve"> </w:t>
            </w:r>
            <w:r w:rsidR="00015CA2">
              <w:t xml:space="preserve">and </w:t>
            </w:r>
            <w:r w:rsidR="00ED3385">
              <w:t>medical mariju</w:t>
            </w:r>
            <w:r w:rsidR="00A11BF6">
              <w:t xml:space="preserve">ana laws and traffic fatalities </w:t>
            </w:r>
            <w:r w:rsidR="00D10E0A" w:rsidRPr="00D10E0A">
              <w:rPr>
                <w:rFonts w:cs="Arial"/>
                <w:szCs w:val="24"/>
              </w:rPr>
              <w:t>(Anderson, Hansen and Rees 2013)</w:t>
            </w:r>
            <w:r w:rsidR="00A11BF6">
              <w:t>.</w:t>
            </w:r>
          </w:p>
          <w:p w14:paraId="00376929" w14:textId="4A4B634F" w:rsidR="00DA72EE" w:rsidRDefault="009F544C" w:rsidP="00055D77">
            <w:pPr>
              <w:pStyle w:val="Box"/>
            </w:pPr>
            <w:r>
              <w:t>In order to estimate a causal effect using a difference</w:t>
            </w:r>
            <w:r w:rsidR="000F678D">
              <w:noBreakHyphen/>
            </w:r>
            <w:r>
              <w:t>in</w:t>
            </w:r>
            <w:r w:rsidR="000F678D">
              <w:noBreakHyphen/>
            </w:r>
            <w:r>
              <w:t xml:space="preserve">differences </w:t>
            </w:r>
            <w:r w:rsidR="00055D77">
              <w:t>method</w:t>
            </w:r>
            <w:r>
              <w:t>, a number of assumptions must be satisfied. Most notably, this approach requires that i</w:t>
            </w:r>
            <w:r w:rsidRPr="00E00CEF">
              <w:t xml:space="preserve">n the absence of </w:t>
            </w:r>
            <w:r>
              <w:t xml:space="preserve">the </w:t>
            </w:r>
            <w:r w:rsidRPr="00E00CEF">
              <w:t>treatment, th</w:t>
            </w:r>
            <w:r>
              <w:t>e difference between the ‘treated</w:t>
            </w:r>
            <w:r w:rsidRPr="00E00CEF">
              <w:t>’ and ‘control’ group is constant over time</w:t>
            </w:r>
            <w:r>
              <w:t xml:space="preserve"> (common trend assumption). However, additional control variables can be added to the specification to account for time</w:t>
            </w:r>
            <w:r w:rsidR="000F678D">
              <w:noBreakHyphen/>
            </w:r>
            <w:r>
              <w:t xml:space="preserve">varying factors that might affect the difference between the two groups over time. Other assumptions are that the treatment is unrelated to outcomes before the treatment, and that the composition of treated and control groups is stable over time. </w:t>
            </w:r>
          </w:p>
        </w:tc>
      </w:tr>
      <w:tr w:rsidR="0021722E" w14:paraId="311042CA" w14:textId="77777777" w:rsidTr="00CC4265">
        <w:trPr>
          <w:trHeight w:val="74"/>
        </w:trPr>
        <w:tc>
          <w:tcPr>
            <w:tcW w:w="5000" w:type="pct"/>
            <w:tcBorders>
              <w:top w:val="nil"/>
              <w:left w:val="nil"/>
              <w:bottom w:val="single" w:sz="6" w:space="0" w:color="78A22F"/>
              <w:right w:val="nil"/>
            </w:tcBorders>
            <w:shd w:val="clear" w:color="auto" w:fill="F2F2F2"/>
          </w:tcPr>
          <w:p w14:paraId="285A7391" w14:textId="77777777" w:rsidR="0021722E" w:rsidRDefault="0021722E" w:rsidP="00E205D3">
            <w:pPr>
              <w:pStyle w:val="Box"/>
              <w:spacing w:before="0" w:line="120" w:lineRule="exact"/>
            </w:pPr>
          </w:p>
        </w:tc>
      </w:tr>
      <w:tr w:rsidR="0021722E" w:rsidRPr="00626D32" w14:paraId="23F45B99" w14:textId="77777777" w:rsidTr="00E205D3">
        <w:tc>
          <w:tcPr>
            <w:tcW w:w="5000" w:type="pct"/>
            <w:tcBorders>
              <w:top w:val="single" w:sz="6" w:space="0" w:color="78A22F"/>
              <w:left w:val="nil"/>
              <w:bottom w:val="nil"/>
              <w:right w:val="nil"/>
            </w:tcBorders>
          </w:tcPr>
          <w:p w14:paraId="57DF134D" w14:textId="7C547753" w:rsidR="0021722E" w:rsidRPr="00626D32" w:rsidRDefault="0021722E" w:rsidP="00E205D3">
            <w:pPr>
              <w:pStyle w:val="BoxSpaceBelow"/>
            </w:pPr>
          </w:p>
        </w:tc>
      </w:tr>
    </w:tbl>
    <w:p w14:paraId="27B1DFD6" w14:textId="37A253CA" w:rsidR="00A55372" w:rsidRDefault="00BA474C" w:rsidP="0057089E">
      <w:pPr>
        <w:pStyle w:val="BodyText"/>
      </w:pPr>
      <w:r>
        <w:t xml:space="preserve">This statistical technique was used to compare changes in heavy vehicle crash rates in </w:t>
      </w:r>
      <w:proofErr w:type="spellStart"/>
      <w:r>
        <w:t>HVNL</w:t>
      </w:r>
      <w:proofErr w:type="spellEnd"/>
      <w:r>
        <w:t xml:space="preserve"> jurisdictions and the two control groups before and after the national reforms. Two models were estimated. </w:t>
      </w:r>
      <w:r w:rsidR="001528CE">
        <w:t>First, a</w:t>
      </w:r>
      <w:r w:rsidR="006B356B">
        <w:t xml:space="preserve"> difference</w:t>
      </w:r>
      <w:r w:rsidR="000F678D">
        <w:noBreakHyphen/>
      </w:r>
      <w:r w:rsidR="006B356B">
        <w:t>in</w:t>
      </w:r>
      <w:r w:rsidR="000F678D">
        <w:noBreakHyphen/>
      </w:r>
      <w:r w:rsidR="006B356B">
        <w:t>difference</w:t>
      </w:r>
      <w:r w:rsidR="00055D77">
        <w:t>s</w:t>
      </w:r>
      <w:r w:rsidR="006B356B">
        <w:t xml:space="preserve"> estimation was performed comparing heavy vehicle crash rates in </w:t>
      </w:r>
      <w:proofErr w:type="spellStart"/>
      <w:r w:rsidR="006B356B">
        <w:t>HVNL</w:t>
      </w:r>
      <w:proofErr w:type="spellEnd"/>
      <w:r w:rsidR="006B356B">
        <w:t xml:space="preserve"> and non</w:t>
      </w:r>
      <w:r w:rsidR="000F678D">
        <w:noBreakHyphen/>
      </w:r>
      <w:proofErr w:type="spellStart"/>
      <w:r w:rsidR="006B356B">
        <w:t>HVNL</w:t>
      </w:r>
      <w:proofErr w:type="spellEnd"/>
      <w:r w:rsidR="006B356B">
        <w:t xml:space="preserve"> jurisdictions (model 1). </w:t>
      </w:r>
      <w:r w:rsidR="005A4E0D">
        <w:t>Using the same model, a</w:t>
      </w:r>
      <w:r w:rsidR="006B356B">
        <w:t>dditional estimations were performed on different types of crash</w:t>
      </w:r>
      <w:r w:rsidR="002A1924">
        <w:t>es (such as crashes that involved articulated heavy vehicle</w:t>
      </w:r>
      <w:r w:rsidR="002741B6">
        <w:t>s only</w:t>
      </w:r>
      <w:r w:rsidR="002A1924">
        <w:t>)</w:t>
      </w:r>
      <w:r w:rsidR="001528CE">
        <w:t>. Second</w:t>
      </w:r>
      <w:r w:rsidR="002663DA">
        <w:t>, as an additional</w:t>
      </w:r>
      <w:r w:rsidR="00FF65A2">
        <w:t xml:space="preserve"> robustness</w:t>
      </w:r>
      <w:r w:rsidR="002663DA">
        <w:t xml:space="preserve"> check,</w:t>
      </w:r>
      <w:r w:rsidR="006B356B">
        <w:t xml:space="preserve"> </w:t>
      </w:r>
      <w:r w:rsidR="00CD3AA2">
        <w:t>an alternative</w:t>
      </w:r>
      <w:r w:rsidR="006B356B">
        <w:t xml:space="preserve"> model</w:t>
      </w:r>
      <w:r w:rsidR="002A1924">
        <w:t xml:space="preserve"> was estimated</w:t>
      </w:r>
      <w:r w:rsidR="005912F9">
        <w:t xml:space="preserve"> </w:t>
      </w:r>
      <w:r w:rsidR="006B356B">
        <w:t>by comparing heavy and non</w:t>
      </w:r>
      <w:r w:rsidR="000F678D">
        <w:noBreakHyphen/>
      </w:r>
      <w:r w:rsidR="006B356B">
        <w:t xml:space="preserve">heavy </w:t>
      </w:r>
      <w:r w:rsidR="00013087">
        <w:t>vehicle crash rates</w:t>
      </w:r>
      <w:r w:rsidR="006B356B">
        <w:t xml:space="preserve"> in </w:t>
      </w:r>
      <w:proofErr w:type="spellStart"/>
      <w:r w:rsidR="006B356B">
        <w:t>HVNL</w:t>
      </w:r>
      <w:proofErr w:type="spellEnd"/>
      <w:r w:rsidR="006B356B">
        <w:t xml:space="preserve"> </w:t>
      </w:r>
      <w:r w:rsidR="009F544C">
        <w:t>jurisdictions</w:t>
      </w:r>
      <w:r w:rsidR="006B356B">
        <w:t xml:space="preserve"> (model 2).</w:t>
      </w:r>
    </w:p>
    <w:p w14:paraId="721A76B7" w14:textId="5F297621" w:rsidR="00A03913" w:rsidRDefault="00A03913" w:rsidP="00BA474C">
      <w:pPr>
        <w:pStyle w:val="BodyText"/>
      </w:pPr>
      <w:r>
        <w:t>By including jurisdiction</w:t>
      </w:r>
      <w:r w:rsidR="000F678D">
        <w:noBreakHyphen/>
      </w:r>
      <w:r>
        <w:t>level fixed effects</w:t>
      </w:r>
      <w:r w:rsidR="002E13CB">
        <w:t xml:space="preserve"> in the models</w:t>
      </w:r>
      <w:r>
        <w:t>, t</w:t>
      </w:r>
      <w:r w:rsidRPr="002D0EC7">
        <w:t xml:space="preserve">his approach </w:t>
      </w:r>
      <w:r>
        <w:t>controls</w:t>
      </w:r>
      <w:r w:rsidRPr="00C85038">
        <w:t xml:space="preserve"> for time</w:t>
      </w:r>
      <w:r w:rsidRPr="00C85038">
        <w:noBreakHyphen/>
      </w:r>
      <w:r w:rsidRPr="00BB03AA">
        <w:t>invariant</w:t>
      </w:r>
      <w:r>
        <w:t xml:space="preserve"> </w:t>
      </w:r>
      <w:r w:rsidRPr="002D0EC7">
        <w:t xml:space="preserve">differences between </w:t>
      </w:r>
      <w:r w:rsidRPr="00C85038">
        <w:t>jurisdictions</w:t>
      </w:r>
      <w:r>
        <w:t xml:space="preserve"> that affect crash rates. Fo</w:t>
      </w:r>
      <w:r w:rsidRPr="00C85038">
        <w:t xml:space="preserve">r example, </w:t>
      </w:r>
      <w:r w:rsidRPr="00BB03AA">
        <w:t>in the case of model 1</w:t>
      </w:r>
      <w:r w:rsidR="002E13CB">
        <w:t>,</w:t>
      </w:r>
      <w:r w:rsidRPr="00BB03AA">
        <w:t xml:space="preserve"> this approach controls for differences </w:t>
      </w:r>
      <w:r w:rsidR="00A55372">
        <w:t xml:space="preserve">in </w:t>
      </w:r>
      <w:r w:rsidRPr="00BB03AA">
        <w:t>geography and road geometry</w:t>
      </w:r>
      <w:r w:rsidR="00A55372">
        <w:t xml:space="preserve"> (such as the </w:t>
      </w:r>
      <w:r w:rsidR="00F055DE">
        <w:t xml:space="preserve">remoteness of the landscape and </w:t>
      </w:r>
      <w:r w:rsidR="00A55372">
        <w:t>degree of curvature on major freight routes)</w:t>
      </w:r>
      <w:r w:rsidRPr="00BB03AA">
        <w:t xml:space="preserve"> between </w:t>
      </w:r>
      <w:proofErr w:type="spellStart"/>
      <w:r w:rsidRPr="00BB03AA">
        <w:t>HVNL</w:t>
      </w:r>
      <w:proofErr w:type="spellEnd"/>
      <w:r w:rsidRPr="00BB03AA">
        <w:t xml:space="preserve"> and non</w:t>
      </w:r>
      <w:r w:rsidRPr="00BB03AA">
        <w:noBreakHyphen/>
      </w:r>
      <w:proofErr w:type="spellStart"/>
      <w:r w:rsidRPr="00BB03AA">
        <w:t>HVNL</w:t>
      </w:r>
      <w:proofErr w:type="spellEnd"/>
      <w:r w:rsidRPr="00BB03AA">
        <w:t xml:space="preserve"> jurisdictions.</w:t>
      </w:r>
      <w:r>
        <w:t xml:space="preserve"> </w:t>
      </w:r>
      <w:r w:rsidR="005D4391">
        <w:t>The approach</w:t>
      </w:r>
      <w:r>
        <w:t xml:space="preserve"> also include</w:t>
      </w:r>
      <w:r w:rsidR="005D4391">
        <w:t>s</w:t>
      </w:r>
      <w:r>
        <w:t xml:space="preserve"> time fixed effects. This</w:t>
      </w:r>
      <w:r w:rsidRPr="00BB03AA">
        <w:t xml:space="preserve"> controls for trends in factors that affect crash rates that are common to all jurisdictions, such as the increasing prevalence of mobile phone usage while driving, or improvements in road safety technology.</w:t>
      </w:r>
    </w:p>
    <w:p w14:paraId="1AB45E3B" w14:textId="77777777" w:rsidR="002D0EC7" w:rsidRDefault="002D0EC7" w:rsidP="00383D39">
      <w:pPr>
        <w:pStyle w:val="Heading3"/>
        <w:spacing w:line="280" w:lineRule="exact"/>
      </w:pPr>
      <w:r>
        <w:lastRenderedPageBreak/>
        <w:t xml:space="preserve">Heavy vehicle crashes in </w:t>
      </w:r>
      <w:proofErr w:type="spellStart"/>
      <w:r>
        <w:t>HVNL</w:t>
      </w:r>
      <w:proofErr w:type="spellEnd"/>
      <w:r>
        <w:t xml:space="preserve"> and non</w:t>
      </w:r>
      <w:r>
        <w:noBreakHyphen/>
      </w:r>
      <w:proofErr w:type="spellStart"/>
      <w:r>
        <w:t>HVNL</w:t>
      </w:r>
      <w:proofErr w:type="spellEnd"/>
      <w:r>
        <w:t xml:space="preserve"> jurisdictions</w:t>
      </w:r>
    </w:p>
    <w:p w14:paraId="72BB424B" w14:textId="50726933" w:rsidR="000C3E7F" w:rsidRPr="000C3E7F" w:rsidRDefault="000C3E7F" w:rsidP="00383D39">
      <w:pPr>
        <w:pStyle w:val="Heading4"/>
        <w:spacing w:before="240" w:line="280" w:lineRule="exact"/>
      </w:pPr>
      <w:r>
        <w:t>Model specification</w:t>
      </w:r>
    </w:p>
    <w:p w14:paraId="3EB2705E" w14:textId="2F052549" w:rsidR="00684DCC" w:rsidRPr="00D274E1" w:rsidRDefault="00775CC2" w:rsidP="00684DCC">
      <w:pPr>
        <w:pStyle w:val="BodyText"/>
        <w:spacing w:after="360"/>
      </w:pPr>
      <w:r>
        <w:t>U</w:t>
      </w:r>
      <w:r w:rsidR="007B676D">
        <w:t>sing model 1</w:t>
      </w:r>
      <w:r>
        <w:t>,</w:t>
      </w:r>
      <w:r w:rsidR="002967B0">
        <w:t xml:space="preserve"> the </w:t>
      </w:r>
      <w:r w:rsidR="00684DCC" w:rsidRPr="00D274E1" w:rsidDel="002967B0">
        <w:t xml:space="preserve">following </w:t>
      </w:r>
      <w:r w:rsidR="00BC4078">
        <w:t>difference</w:t>
      </w:r>
      <w:r w:rsidR="000F678D">
        <w:noBreakHyphen/>
      </w:r>
      <w:r w:rsidR="00BC4078">
        <w:t>in</w:t>
      </w:r>
      <w:r w:rsidR="000F678D">
        <w:noBreakHyphen/>
      </w:r>
      <w:r w:rsidR="00BC4078">
        <w:t>differences</w:t>
      </w:r>
      <w:r w:rsidR="0013262A">
        <w:t xml:space="preserve"> </w:t>
      </w:r>
      <w:r w:rsidR="00684DCC" w:rsidRPr="00D274E1" w:rsidDel="007B676D">
        <w:t xml:space="preserve">model </w:t>
      </w:r>
      <w:r w:rsidR="00684DCC" w:rsidRPr="00D274E1">
        <w:t xml:space="preserve">for </w:t>
      </w:r>
      <w:r w:rsidR="002663DA">
        <w:t>jurisdiction</w:t>
      </w:r>
      <w:r w:rsidR="002663DA" w:rsidRPr="00D274E1">
        <w:t xml:space="preserve"> </w:t>
      </w:r>
      <m:oMath>
        <m:r>
          <w:rPr>
            <w:rFonts w:ascii="Cambria Math" w:hAnsi="Cambria Math"/>
          </w:rPr>
          <m:t>i</m:t>
        </m:r>
      </m:oMath>
      <w:r w:rsidR="00684DCC" w:rsidRPr="00D274E1">
        <w:t>, in year</w:t>
      </w:r>
      <w:r w:rsidR="00DE65A3">
        <w:noBreakHyphen/>
      </w:r>
      <w:r w:rsidR="00684DCC" w:rsidRPr="00D274E1">
        <w:t xml:space="preserve">quarter </w:t>
      </w:r>
      <m:oMath>
        <m:r>
          <w:rPr>
            <w:rFonts w:ascii="Cambria Math" w:hAnsi="Cambria Math"/>
          </w:rPr>
          <m:t>t</m:t>
        </m:r>
      </m:oMath>
      <w:r w:rsidR="0041055E">
        <w:t xml:space="preserve"> was estimated</w:t>
      </w:r>
      <w:r w:rsidR="00BC4078">
        <w:t xml:space="preserve"> using ordinary least squares</w:t>
      </w:r>
      <w:r w:rsidR="002E13CB">
        <w:t xml:space="preserve">, where </w:t>
      </w:r>
      <m:oMath>
        <m:sSub>
          <m:sSubPr>
            <m:ctrlPr>
              <w:rPr>
                <w:rFonts w:ascii="Cambria Math" w:hAnsi="Cambria Math"/>
                <w:i/>
              </w:rPr>
            </m:ctrlPr>
          </m:sSubPr>
          <m:e>
            <m:r>
              <w:rPr>
                <w:rFonts w:ascii="Cambria Math" w:hAnsi="Cambria Math"/>
              </w:rPr>
              <m:t>Crash rate</m:t>
            </m:r>
          </m:e>
          <m:sub>
            <m:r>
              <w:rPr>
                <w:rFonts w:ascii="Cambria Math" w:hAnsi="Cambria Math"/>
              </w:rPr>
              <m:t>it</m:t>
            </m:r>
          </m:sub>
        </m:sSub>
      </m:oMath>
      <w:r w:rsidR="002E13CB">
        <w:t xml:space="preserve"> is the number of heavy vehicle crashes</w:t>
      </w:r>
      <w:r w:rsidR="002E13CB" w:rsidRPr="00671D50">
        <w:t xml:space="preserve"> per </w:t>
      </w:r>
      <w:r w:rsidR="002E13CB">
        <w:t>billion heavy vehicle kilometres</w:t>
      </w:r>
      <w:r w:rsidR="002E13CB" w:rsidRPr="00671D50">
        <w:t xml:space="preserve"> </w:t>
      </w:r>
      <w:r w:rsidR="002E13CB">
        <w:t>travelled.</w:t>
      </w:r>
      <w:r w:rsidR="002741B6">
        <w:t xml:space="preserve"> </w:t>
      </w:r>
    </w:p>
    <w:p w14:paraId="5E8D9EC9" w14:textId="20CC66DC" w:rsidR="00684DCC" w:rsidRPr="003528BE" w:rsidRDefault="00030F64" w:rsidP="00684DCC">
      <w:pPr>
        <w:pStyle w:val="BodyText"/>
        <w:spacing w:after="360"/>
      </w:pPr>
      <m:oMathPara>
        <m:oMathParaPr>
          <m:jc m:val="left"/>
        </m:oMathParaPr>
        <m:oMath>
          <m:sSub>
            <m:sSubPr>
              <m:ctrlPr>
                <w:rPr>
                  <w:rFonts w:ascii="Cambria Math" w:hAnsi="Cambria Math"/>
                  <w:i/>
                </w:rPr>
              </m:ctrlPr>
            </m:sSubPr>
            <m:e>
              <m:r>
                <w:rPr>
                  <w:rFonts w:ascii="Cambria Math" w:hAnsi="Cambria Math"/>
                </w:rPr>
                <m:t>Crash rate</m:t>
              </m:r>
            </m:e>
            <m:sub>
              <m:r>
                <w:rPr>
                  <w:rFonts w:ascii="Cambria Math" w:hAnsi="Cambria Math"/>
                </w:rPr>
                <m:t>it</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D</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s</m:t>
              </m:r>
            </m:sub>
          </m:sSub>
          <m:r>
            <w:rPr>
              <w:rFonts w:ascii="Cambria Math" w:hAnsi="Cambria Math"/>
            </w:rPr>
            <m:t>stat</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t+</m:t>
          </m:r>
          <m:sSub>
            <m:sSubPr>
              <m:ctrlPr>
                <w:rPr>
                  <w:rFonts w:ascii="Cambria Math" w:hAnsi="Cambria Math"/>
                  <w:i/>
                </w:rPr>
              </m:ctrlPr>
            </m:sSubPr>
            <m:e>
              <m:sSup>
                <m:sSupPr>
                  <m:ctrlPr>
                    <w:rPr>
                      <w:rFonts w:ascii="Cambria Math" w:hAnsi="Cambria Math"/>
                      <w:i/>
                    </w:rPr>
                  </m:ctrlPr>
                </m:sSupPr>
                <m:e>
                  <m:r>
                    <w:rPr>
                      <w:rFonts w:ascii="Cambria Math" w:hAnsi="Cambria Math"/>
                    </w:rPr>
                    <m:t>β</m:t>
                  </m:r>
                </m:e>
                <m:sup>
                  <m:r>
                    <w:rPr>
                      <w:rFonts w:ascii="Cambria Math" w:hAnsi="Cambria Math"/>
                    </w:rPr>
                    <m:t>'</m:t>
                  </m:r>
                </m:sup>
              </m:sSup>
              <m:r>
                <w:rPr>
                  <w:rFonts w:ascii="Cambria Math" w:hAnsi="Cambria Math"/>
                </w:rPr>
                <m:t>X</m:t>
              </m:r>
            </m:e>
            <m:sub>
              <m:r>
                <w:rPr>
                  <w:rFonts w:ascii="Cambria Math" w:hAnsi="Cambria Math"/>
                </w:rPr>
                <m:t>it</m:t>
              </m:r>
            </m:sub>
          </m:sSub>
          <m:sSub>
            <m:sSubPr>
              <m:ctrlPr>
                <w:rPr>
                  <w:rFonts w:ascii="Cambria Math" w:hAnsi="Cambria Math"/>
                  <w:i/>
                </w:rPr>
              </m:ctrlPr>
            </m:sSubPr>
            <m:e>
              <m:r>
                <w:rPr>
                  <w:rFonts w:ascii="Cambria Math" w:hAnsi="Cambria Math"/>
                </w:rPr>
                <m:t xml:space="preserve"> + ε</m:t>
              </m:r>
            </m:e>
            <m:sub>
              <m:r>
                <w:rPr>
                  <w:rFonts w:ascii="Cambria Math" w:hAnsi="Cambria Math"/>
                </w:rPr>
                <m:t>it</m:t>
              </m:r>
            </m:sub>
          </m:sSub>
        </m:oMath>
      </m:oMathPara>
    </w:p>
    <w:p w14:paraId="76F36211" w14:textId="7E147DDF" w:rsidR="000A5728" w:rsidRDefault="00733D6C" w:rsidP="00BC4078">
      <w:pPr>
        <w:pStyle w:val="BodyText"/>
      </w:pPr>
      <w:r>
        <w:t>Descriptions of the</w:t>
      </w:r>
      <w:r w:rsidR="001151C4">
        <w:t xml:space="preserve"> variables and parameters</w:t>
      </w:r>
      <w:r>
        <w:t xml:space="preserve"> used in </w:t>
      </w:r>
      <w:r w:rsidR="001151C4">
        <w:t xml:space="preserve">model 1 are detailed </w:t>
      </w:r>
      <w:r w:rsidR="001319D4">
        <w:t>in table</w:t>
      </w:r>
      <w:r w:rsidR="00A7237D">
        <w:t> </w:t>
      </w:r>
      <w:proofErr w:type="spellStart"/>
      <w:r w:rsidR="001319D4">
        <w:t>B.2</w:t>
      </w:r>
      <w:proofErr w:type="spellEnd"/>
      <w:r w:rsidR="001319D4">
        <w:t>.</w:t>
      </w:r>
    </w:p>
    <w:p w14:paraId="740055ED" w14:textId="77777777" w:rsidR="009F544C" w:rsidRDefault="009F544C" w:rsidP="009F544C">
      <w:pPr>
        <w:pStyle w:val="BodyText"/>
      </w:pPr>
      <w:r>
        <w:t>Three empirical specifications were used:</w:t>
      </w:r>
    </w:p>
    <w:p w14:paraId="4BED5078" w14:textId="77777777" w:rsidR="009F544C" w:rsidRDefault="009F544C" w:rsidP="009F544C">
      <w:pPr>
        <w:pStyle w:val="ListBullet"/>
      </w:pPr>
      <w:r>
        <w:t>specification 1 — baseline specification with time fixed effects and jurisdiction fixed effects</w:t>
      </w:r>
    </w:p>
    <w:p w14:paraId="6A34F0AB" w14:textId="77777777" w:rsidR="009F544C" w:rsidRDefault="009F544C" w:rsidP="009F544C">
      <w:pPr>
        <w:pStyle w:val="ListBullet"/>
      </w:pPr>
      <w:r>
        <w:t xml:space="preserve">specification 2 — </w:t>
      </w:r>
      <w:r w:rsidDel="0012513A">
        <w:t xml:space="preserve">the </w:t>
      </w:r>
      <w:r>
        <w:t>baseline specification with the addition of jurisdiction</w:t>
      </w:r>
      <w:r>
        <w:noBreakHyphen/>
        <w:t>specific linear time trends</w:t>
      </w:r>
    </w:p>
    <w:p w14:paraId="0C01D19A" w14:textId="77777777" w:rsidR="009F544C" w:rsidRDefault="009F544C" w:rsidP="009F544C">
      <w:pPr>
        <w:pStyle w:val="ListBullet"/>
      </w:pPr>
      <w:r>
        <w:t>specification 3 — the baseline specification with the addition of jurisdiction</w:t>
      </w:r>
      <w:r>
        <w:noBreakHyphen/>
        <w:t>specific linear time trends and control variables.</w:t>
      </w:r>
    </w:p>
    <w:p w14:paraId="3CD2AFA0" w14:textId="3B2DF7FE" w:rsidR="009F544C" w:rsidRDefault="009F544C" w:rsidP="009F544C">
      <w:pPr>
        <w:pStyle w:val="BodyText"/>
      </w:pPr>
      <w:r>
        <w:t>Specification 3 is</w:t>
      </w:r>
      <w:r w:rsidDel="00712221">
        <w:t xml:space="preserve"> </w:t>
      </w:r>
      <w:r>
        <w:t xml:space="preserve">preferred because it includes the most control variables for factors that could affect crash rates, allowing it to better isolate the effect of the </w:t>
      </w:r>
      <w:proofErr w:type="spellStart"/>
      <w:r>
        <w:t>HVNL</w:t>
      </w:r>
      <w:proofErr w:type="spellEnd"/>
      <w:r>
        <w:t>.</w:t>
      </w:r>
    </w:p>
    <w:p w14:paraId="7A60D594" w14:textId="5ECDEAFD" w:rsidR="002967B0" w:rsidRPr="00EA18DE" w:rsidRDefault="002967B0" w:rsidP="00EA18D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2967B0" w14:paraId="2F4E4210" w14:textId="77777777" w:rsidTr="00021ABE">
        <w:trPr>
          <w:tblHeader/>
        </w:trPr>
        <w:tc>
          <w:tcPr>
            <w:tcW w:w="5000" w:type="pct"/>
            <w:tcBorders>
              <w:top w:val="single" w:sz="6" w:space="0" w:color="78A22F"/>
              <w:left w:val="nil"/>
              <w:bottom w:val="nil"/>
              <w:right w:val="nil"/>
            </w:tcBorders>
            <w:shd w:val="clear" w:color="auto" w:fill="auto"/>
          </w:tcPr>
          <w:p w14:paraId="6FEE981B" w14:textId="61143E59" w:rsidR="002967B0" w:rsidRPr="00784A05" w:rsidRDefault="002967B0" w:rsidP="00021ABE">
            <w:pPr>
              <w:pStyle w:val="TableTitle"/>
            </w:pPr>
            <w:r>
              <w:rPr>
                <w:b w:val="0"/>
              </w:rPr>
              <w:t xml:space="preserve">Table </w:t>
            </w:r>
            <w:proofErr w:type="spellStart"/>
            <w:r>
              <w:rPr>
                <w:b w:val="0"/>
              </w:rPr>
              <w:t>B.</w:t>
            </w:r>
            <w:r w:rsidR="0050117B">
              <w:rPr>
                <w:b w:val="0"/>
                <w:noProof/>
              </w:rPr>
              <w:t>2</w:t>
            </w:r>
            <w:proofErr w:type="spellEnd"/>
            <w:r>
              <w:tab/>
            </w:r>
            <w:r w:rsidR="005B57F9">
              <w:t xml:space="preserve">Model 1 </w:t>
            </w:r>
            <w:r>
              <w:t>variables and parameters</w:t>
            </w:r>
          </w:p>
        </w:tc>
      </w:tr>
      <w:tr w:rsidR="002967B0" w14:paraId="08DFEC4B" w14:textId="77777777" w:rsidTr="00021ABE">
        <w:tc>
          <w:tcPr>
            <w:tcW w:w="5000" w:type="pct"/>
            <w:tcBorders>
              <w:top w:val="nil"/>
              <w:left w:val="nil"/>
              <w:bottom w:val="nil"/>
              <w:right w:val="nil"/>
            </w:tcBorders>
            <w:shd w:val="clear" w:color="auto" w:fill="auto"/>
          </w:tcPr>
          <w:tbl>
            <w:tblPr>
              <w:tblW w:w="8505" w:type="dxa"/>
              <w:tblCellMar>
                <w:top w:w="28" w:type="dxa"/>
                <w:left w:w="0" w:type="dxa"/>
                <w:right w:w="0" w:type="dxa"/>
              </w:tblCellMar>
              <w:tblLook w:val="0000" w:firstRow="0" w:lastRow="0" w:firstColumn="0" w:lastColumn="0" w:noHBand="0" w:noVBand="0"/>
            </w:tblPr>
            <w:tblGrid>
              <w:gridCol w:w="942"/>
              <w:gridCol w:w="5295"/>
              <w:gridCol w:w="713"/>
              <w:gridCol w:w="852"/>
              <w:gridCol w:w="703"/>
            </w:tblGrid>
            <w:tr w:rsidR="00245532" w14:paraId="0F663EF7" w14:textId="35264E54" w:rsidTr="00245532">
              <w:tc>
                <w:tcPr>
                  <w:tcW w:w="554" w:type="pct"/>
                  <w:vMerge w:val="restart"/>
                  <w:tcBorders>
                    <w:top w:val="single" w:sz="4" w:space="0" w:color="BFBFBF"/>
                  </w:tcBorders>
                </w:tcPr>
                <w:p w14:paraId="63486A46" w14:textId="5BAF5841" w:rsidR="00245532" w:rsidRPr="001151C4" w:rsidRDefault="00245532">
                  <w:pPr>
                    <w:pStyle w:val="TableColumnHeading"/>
                    <w:jc w:val="left"/>
                  </w:pPr>
                  <w:r>
                    <w:t>Variable/ parameter</w:t>
                  </w:r>
                </w:p>
              </w:tc>
              <w:tc>
                <w:tcPr>
                  <w:tcW w:w="3113" w:type="pct"/>
                  <w:vMerge w:val="restart"/>
                  <w:tcBorders>
                    <w:top w:val="single" w:sz="4" w:space="0" w:color="BFBFBF"/>
                  </w:tcBorders>
                </w:tcPr>
                <w:p w14:paraId="6C21E40E" w14:textId="4228A9E6" w:rsidR="00245532" w:rsidRDefault="00245532">
                  <w:pPr>
                    <w:pStyle w:val="TableColumnHeading"/>
                    <w:jc w:val="left"/>
                  </w:pPr>
                  <w:r>
                    <w:t>Variable or parameter descriptions</w:t>
                  </w:r>
                </w:p>
              </w:tc>
              <w:tc>
                <w:tcPr>
                  <w:tcW w:w="1333" w:type="pct"/>
                  <w:gridSpan w:val="3"/>
                  <w:tcBorders>
                    <w:top w:val="single" w:sz="4" w:space="0" w:color="BFBFBF"/>
                  </w:tcBorders>
                </w:tcPr>
                <w:p w14:paraId="0DADD186" w14:textId="1A8CE304" w:rsidR="00245532" w:rsidDel="0089294D" w:rsidRDefault="00245532">
                  <w:pPr>
                    <w:pStyle w:val="TableColumnHeading"/>
                    <w:jc w:val="center"/>
                  </w:pPr>
                  <w:r>
                    <w:t>Included in specification:</w:t>
                  </w:r>
                </w:p>
              </w:tc>
            </w:tr>
            <w:tr w:rsidR="00245532" w14:paraId="24A1AEF5" w14:textId="2F8D2C16" w:rsidTr="00245532">
              <w:tc>
                <w:tcPr>
                  <w:tcW w:w="554" w:type="pct"/>
                  <w:vMerge/>
                  <w:tcBorders>
                    <w:bottom w:val="single" w:sz="4" w:space="0" w:color="BFBFBF"/>
                  </w:tcBorders>
                </w:tcPr>
                <w:p w14:paraId="6EB17DFC" w14:textId="29D55DE9" w:rsidR="00245532" w:rsidRDefault="00245532" w:rsidP="00021ABE">
                  <w:pPr>
                    <w:pStyle w:val="TableUnitsRow"/>
                    <w:jc w:val="left"/>
                  </w:pPr>
                </w:p>
              </w:tc>
              <w:tc>
                <w:tcPr>
                  <w:tcW w:w="3113" w:type="pct"/>
                  <w:vMerge/>
                  <w:tcBorders>
                    <w:bottom w:val="single" w:sz="4" w:space="0" w:color="BFBFBF"/>
                  </w:tcBorders>
                </w:tcPr>
                <w:p w14:paraId="2A3B1F6A" w14:textId="6088A40F" w:rsidR="00245532" w:rsidRDefault="00245532" w:rsidP="00021ABE">
                  <w:pPr>
                    <w:pStyle w:val="TableUnitsRow"/>
                    <w:jc w:val="left"/>
                  </w:pPr>
                </w:p>
              </w:tc>
              <w:tc>
                <w:tcPr>
                  <w:tcW w:w="419" w:type="pct"/>
                  <w:tcBorders>
                    <w:bottom w:val="single" w:sz="4" w:space="0" w:color="BFBFBF"/>
                  </w:tcBorders>
                </w:tcPr>
                <w:p w14:paraId="38F598E3" w14:textId="2134CEDC" w:rsidR="00245532" w:rsidRDefault="00245532">
                  <w:pPr>
                    <w:pStyle w:val="TableUnitsRow"/>
                    <w:ind w:right="28"/>
                    <w:jc w:val="center"/>
                  </w:pPr>
                  <w:r>
                    <w:t>(1)</w:t>
                  </w:r>
                </w:p>
              </w:tc>
              <w:tc>
                <w:tcPr>
                  <w:tcW w:w="501" w:type="pct"/>
                  <w:tcBorders>
                    <w:bottom w:val="single" w:sz="4" w:space="0" w:color="BFBFBF"/>
                  </w:tcBorders>
                </w:tcPr>
                <w:p w14:paraId="40F71721" w14:textId="354B7108" w:rsidR="00245532" w:rsidRDefault="00245532">
                  <w:pPr>
                    <w:pStyle w:val="TableUnitsRow"/>
                    <w:ind w:right="28"/>
                    <w:jc w:val="center"/>
                  </w:pPr>
                  <w:r>
                    <w:t>(2)</w:t>
                  </w:r>
                </w:p>
              </w:tc>
              <w:tc>
                <w:tcPr>
                  <w:tcW w:w="413" w:type="pct"/>
                  <w:tcBorders>
                    <w:bottom w:val="single" w:sz="4" w:space="0" w:color="BFBFBF"/>
                  </w:tcBorders>
                </w:tcPr>
                <w:p w14:paraId="623F1E95" w14:textId="29D183D1" w:rsidR="00245532" w:rsidRDefault="00245532">
                  <w:pPr>
                    <w:pStyle w:val="TableUnitsRow"/>
                    <w:ind w:right="28"/>
                    <w:jc w:val="center"/>
                  </w:pPr>
                  <w:r>
                    <w:t>(3)</w:t>
                  </w:r>
                </w:p>
              </w:tc>
            </w:tr>
            <w:tr w:rsidR="00A0126E" w14:paraId="5574A6EC" w14:textId="1DB02770" w:rsidTr="00245532">
              <w:tc>
                <w:tcPr>
                  <w:tcW w:w="554" w:type="pct"/>
                  <w:tcBorders>
                    <w:top w:val="single" w:sz="4" w:space="0" w:color="BFBFBF"/>
                  </w:tcBorders>
                  <w:shd w:val="clear" w:color="auto" w:fill="auto"/>
                </w:tcPr>
                <w:p w14:paraId="608A4BD1" w14:textId="100EEFFA" w:rsidR="00A0126E" w:rsidRDefault="00030F64" w:rsidP="00A0126E">
                  <w:pPr>
                    <w:pStyle w:val="TableUnitsRow"/>
                    <w:jc w:val="left"/>
                    <w:rPr>
                      <w:rFonts w:ascii="Times New Roman" w:hAnsi="Times New Roman"/>
                      <w:i/>
                    </w:rPr>
                  </w:pPr>
                  <m:oMath>
                    <m:sSub>
                      <m:sSubPr>
                        <m:ctrlPr>
                          <w:rPr>
                            <w:rFonts w:ascii="Cambria Math" w:hAnsi="Cambria Math"/>
                            <w:i/>
                          </w:rPr>
                        </m:ctrlPr>
                      </m:sSubPr>
                      <m:e>
                        <m:r>
                          <w:rPr>
                            <w:rFonts w:ascii="Cambria Math" w:hAnsi="Cambria Math"/>
                          </w:rPr>
                          <m:t>β</m:t>
                        </m:r>
                      </m:e>
                      <m:sub>
                        <m:r>
                          <w:rPr>
                            <w:rFonts w:ascii="Cambria Math" w:hAnsi="Cambria Math"/>
                          </w:rPr>
                          <m:t>0</m:t>
                        </m:r>
                      </m:sub>
                    </m:sSub>
                  </m:oMath>
                  <w:r w:rsidR="00A0126E">
                    <w:rPr>
                      <w:rFonts w:ascii="Times New Roman" w:hAnsi="Times New Roman"/>
                      <w:i/>
                    </w:rPr>
                    <w:t xml:space="preserve"> </w:t>
                  </w:r>
                </w:p>
              </w:tc>
              <w:tc>
                <w:tcPr>
                  <w:tcW w:w="3113" w:type="pct"/>
                  <w:tcBorders>
                    <w:top w:val="single" w:sz="4" w:space="0" w:color="BFBFBF"/>
                  </w:tcBorders>
                  <w:shd w:val="clear" w:color="auto" w:fill="auto"/>
                </w:tcPr>
                <w:p w14:paraId="348B72B5" w14:textId="5873BE15" w:rsidR="00A0126E" w:rsidRDefault="00A0126E" w:rsidP="00A0126E">
                  <w:pPr>
                    <w:pStyle w:val="TableUnitsRow"/>
                    <w:ind w:right="28"/>
                    <w:jc w:val="left"/>
                  </w:pPr>
                  <w:r>
                    <w:t>Intercept</w:t>
                  </w:r>
                </w:p>
              </w:tc>
              <w:tc>
                <w:tcPr>
                  <w:tcW w:w="419" w:type="pct"/>
                  <w:tcBorders>
                    <w:top w:val="single" w:sz="4" w:space="0" w:color="BFBFBF"/>
                  </w:tcBorders>
                </w:tcPr>
                <w:p w14:paraId="4E7DD790" w14:textId="0986EE42" w:rsidR="00A0126E" w:rsidRDefault="00A0126E" w:rsidP="00A0126E">
                  <w:pPr>
                    <w:pStyle w:val="TableUnitsRow"/>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501" w:type="pct"/>
                  <w:tcBorders>
                    <w:top w:val="single" w:sz="4" w:space="0" w:color="BFBFBF"/>
                  </w:tcBorders>
                </w:tcPr>
                <w:p w14:paraId="4CC381F5" w14:textId="0819D6CE" w:rsidR="00A0126E" w:rsidRDefault="00A0126E" w:rsidP="00A0126E">
                  <w:pPr>
                    <w:pStyle w:val="TableUnitsRow"/>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413" w:type="pct"/>
                  <w:tcBorders>
                    <w:top w:val="single" w:sz="4" w:space="0" w:color="BFBFBF"/>
                  </w:tcBorders>
                </w:tcPr>
                <w:p w14:paraId="035D7B42" w14:textId="3594C42F" w:rsidR="00A0126E" w:rsidRDefault="00A0126E" w:rsidP="00A0126E">
                  <w:pPr>
                    <w:pStyle w:val="TableUnitsRow"/>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r>
            <w:tr w:rsidR="00A0126E" w14:paraId="440480C6" w14:textId="5C35351D" w:rsidTr="00245532">
              <w:tc>
                <w:tcPr>
                  <w:tcW w:w="554" w:type="pct"/>
                  <w:shd w:val="clear" w:color="auto" w:fill="auto"/>
                </w:tcPr>
                <w:p w14:paraId="773481D3" w14:textId="5312B74D" w:rsidR="00A0126E" w:rsidRDefault="00030F64" w:rsidP="00A0126E">
                  <w:pPr>
                    <w:pStyle w:val="TableBodyText"/>
                    <w:jc w:val="left"/>
                  </w:pPr>
                  <m:oMath>
                    <m:sSub>
                      <m:sSubPr>
                        <m:ctrlPr>
                          <w:rPr>
                            <w:rFonts w:ascii="Cambria Math" w:hAnsi="Cambria Math"/>
                          </w:rPr>
                        </m:ctrlPr>
                      </m:sSubPr>
                      <m:e>
                        <m:r>
                          <w:rPr>
                            <w:rFonts w:ascii="Cambria Math" w:hAnsi="Cambria Math"/>
                          </w:rPr>
                          <m:t>γ</m:t>
                        </m:r>
                      </m:e>
                      <m:sub>
                        <m:r>
                          <w:rPr>
                            <w:rFonts w:ascii="Cambria Math" w:hAnsi="Cambria Math"/>
                          </w:rPr>
                          <m:t>i</m:t>
                        </m:r>
                      </m:sub>
                    </m:sSub>
                  </m:oMath>
                  <w:r w:rsidR="00A0126E">
                    <w:t xml:space="preserve"> </w:t>
                  </w:r>
                </w:p>
              </w:tc>
              <w:tc>
                <w:tcPr>
                  <w:tcW w:w="3113" w:type="pct"/>
                  <w:shd w:val="clear" w:color="auto" w:fill="auto"/>
                </w:tcPr>
                <w:p w14:paraId="3465708B" w14:textId="6D4F7803" w:rsidR="00A0126E" w:rsidRDefault="00A0126E" w:rsidP="00A0126E">
                  <w:pPr>
                    <w:pStyle w:val="TableBodyText"/>
                    <w:ind w:right="28"/>
                    <w:jc w:val="left"/>
                  </w:pPr>
                  <w:r>
                    <w:t>Jurisdiction fixed effects</w:t>
                  </w:r>
                </w:p>
              </w:tc>
              <w:tc>
                <w:tcPr>
                  <w:tcW w:w="419" w:type="pct"/>
                </w:tcPr>
                <w:p w14:paraId="37D60E3A" w14:textId="5A800FDD" w:rsidR="00A0126E" w:rsidRDefault="00A0126E" w:rsidP="00A0126E">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501" w:type="pct"/>
                </w:tcPr>
                <w:p w14:paraId="29EC9DFE" w14:textId="239F2D6E" w:rsidR="00A0126E" w:rsidRDefault="00A0126E" w:rsidP="00A0126E">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413" w:type="pct"/>
                </w:tcPr>
                <w:p w14:paraId="7575CFBE" w14:textId="5DFC8A47" w:rsidR="00A0126E" w:rsidRDefault="00A0126E" w:rsidP="00A0126E">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r>
            <w:tr w:rsidR="00A0126E" w14:paraId="34C6259C" w14:textId="6FA28333" w:rsidTr="00245532">
              <w:tc>
                <w:tcPr>
                  <w:tcW w:w="554" w:type="pct"/>
                  <w:shd w:val="clear" w:color="auto" w:fill="auto"/>
                </w:tcPr>
                <w:p w14:paraId="7BCCFBE0" w14:textId="01E1EB76" w:rsidR="00A0126E" w:rsidRDefault="00030F64" w:rsidP="00A0126E">
                  <w:pPr>
                    <w:pStyle w:val="TableBodyText"/>
                    <w:jc w:val="left"/>
                  </w:pPr>
                  <m:oMath>
                    <m:sSub>
                      <m:sSubPr>
                        <m:ctrlPr>
                          <w:rPr>
                            <w:rFonts w:ascii="Cambria Math" w:hAnsi="Cambria Math"/>
                            <w:i/>
                          </w:rPr>
                        </m:ctrlPr>
                      </m:sSubPr>
                      <m:e>
                        <m:r>
                          <w:rPr>
                            <w:rFonts w:ascii="Cambria Math" w:hAnsi="Cambria Math"/>
                          </w:rPr>
                          <m:t>λ</m:t>
                        </m:r>
                      </m:e>
                      <m:sub>
                        <m:r>
                          <w:rPr>
                            <w:rFonts w:ascii="Cambria Math" w:hAnsi="Cambria Math"/>
                          </w:rPr>
                          <m:t>t</m:t>
                        </m:r>
                      </m:sub>
                    </m:sSub>
                  </m:oMath>
                  <w:r w:rsidR="00A0126E">
                    <w:t xml:space="preserve"> </w:t>
                  </w:r>
                </w:p>
              </w:tc>
              <w:tc>
                <w:tcPr>
                  <w:tcW w:w="3113" w:type="pct"/>
                  <w:shd w:val="clear" w:color="auto" w:fill="auto"/>
                </w:tcPr>
                <w:p w14:paraId="01E7B950" w14:textId="63C1B270" w:rsidR="00A0126E" w:rsidRDefault="00A0126E" w:rsidP="00A0126E">
                  <w:pPr>
                    <w:pStyle w:val="TableBodyText"/>
                    <w:ind w:right="28"/>
                    <w:jc w:val="left"/>
                  </w:pPr>
                  <w:r>
                    <w:t>Time (year</w:t>
                  </w:r>
                  <w:r>
                    <w:noBreakHyphen/>
                    <w:t>quarter) fixed effects</w:t>
                  </w:r>
                </w:p>
              </w:tc>
              <w:tc>
                <w:tcPr>
                  <w:tcW w:w="419" w:type="pct"/>
                </w:tcPr>
                <w:p w14:paraId="5EDA977E" w14:textId="6A5E22F2" w:rsidR="00A0126E" w:rsidRDefault="00A0126E" w:rsidP="00A0126E">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501" w:type="pct"/>
                </w:tcPr>
                <w:p w14:paraId="02F29BC9" w14:textId="1B6B8C8F" w:rsidR="00A0126E" w:rsidRDefault="00A0126E" w:rsidP="00A0126E">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413" w:type="pct"/>
                </w:tcPr>
                <w:p w14:paraId="304F2DC9" w14:textId="6613D266" w:rsidR="00A0126E" w:rsidRDefault="00A0126E" w:rsidP="00A0126E">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r>
            <w:tr w:rsidR="00A0126E" w14:paraId="384A453D" w14:textId="49E6F4A2" w:rsidTr="00245532">
              <w:tc>
                <w:tcPr>
                  <w:tcW w:w="554" w:type="pct"/>
                  <w:shd w:val="clear" w:color="auto" w:fill="auto"/>
                </w:tcPr>
                <w:p w14:paraId="309D9170" w14:textId="20E4BAE0" w:rsidR="00A0126E" w:rsidRDefault="00030F64" w:rsidP="00A0126E">
                  <w:pPr>
                    <w:pStyle w:val="TableBodyText"/>
                    <w:jc w:val="left"/>
                    <w:rPr>
                      <w:rFonts w:ascii="Times New Roman" w:hAnsi="Times New Roman"/>
                      <w:i/>
                    </w:rPr>
                  </w:pPr>
                  <m:oMath>
                    <m:sSub>
                      <m:sSubPr>
                        <m:ctrlPr>
                          <w:rPr>
                            <w:rFonts w:ascii="Cambria Math" w:hAnsi="Cambria Math"/>
                          </w:rPr>
                        </m:ctrlPr>
                      </m:sSubPr>
                      <m:e>
                        <m:r>
                          <w:rPr>
                            <w:rFonts w:ascii="Cambria Math" w:hAnsi="Cambria Math"/>
                          </w:rPr>
                          <m:t>D</m:t>
                        </m:r>
                      </m:e>
                      <m:sub>
                        <m:r>
                          <w:rPr>
                            <w:rFonts w:ascii="Cambria Math" w:hAnsi="Cambria Math"/>
                          </w:rPr>
                          <m:t>it</m:t>
                        </m:r>
                      </m:sub>
                    </m:sSub>
                  </m:oMath>
                  <w:r w:rsidR="00A0126E">
                    <w:rPr>
                      <w:rFonts w:ascii="Times New Roman" w:hAnsi="Times New Roman"/>
                      <w:i/>
                    </w:rPr>
                    <w:t xml:space="preserve"> </w:t>
                  </w:r>
                </w:p>
              </w:tc>
              <w:tc>
                <w:tcPr>
                  <w:tcW w:w="3113" w:type="pct"/>
                  <w:shd w:val="clear" w:color="auto" w:fill="auto"/>
                </w:tcPr>
                <w:p w14:paraId="27E13F45" w14:textId="3CB77CF9" w:rsidR="00A0126E" w:rsidRDefault="00A0126E" w:rsidP="00A0126E">
                  <w:pPr>
                    <w:pStyle w:val="TableBodyText"/>
                    <w:ind w:right="28"/>
                    <w:jc w:val="left"/>
                  </w:pPr>
                  <w:r>
                    <w:t>D</w:t>
                  </w:r>
                  <w:r w:rsidRPr="00671D50">
                    <w:t xml:space="preserve">ummy variable indicating 1 for when the </w:t>
                  </w:r>
                  <w:proofErr w:type="spellStart"/>
                  <w:r>
                    <w:t>HVNL</w:t>
                  </w:r>
                  <w:proofErr w:type="spellEnd"/>
                  <w:r w:rsidRPr="00671D50">
                    <w:t xml:space="preserve"> applies</w:t>
                  </w:r>
                  <w:r>
                    <w:t xml:space="preserve"> for </w:t>
                  </w:r>
                  <w:proofErr w:type="spellStart"/>
                  <w:r>
                    <w:t>HVNL</w:t>
                  </w:r>
                  <w:proofErr w:type="spellEnd"/>
                  <w:r>
                    <w:t xml:space="preserve"> jurisdictions</w:t>
                  </w:r>
                </w:p>
              </w:tc>
              <w:tc>
                <w:tcPr>
                  <w:tcW w:w="419" w:type="pct"/>
                </w:tcPr>
                <w:p w14:paraId="0C90467D" w14:textId="623DE1F0" w:rsidR="00A0126E" w:rsidRDefault="00A0126E" w:rsidP="00A0126E">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501" w:type="pct"/>
                </w:tcPr>
                <w:p w14:paraId="15ECDD43" w14:textId="68D35E02" w:rsidR="00A0126E" w:rsidRDefault="00A0126E" w:rsidP="00A0126E">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413" w:type="pct"/>
                </w:tcPr>
                <w:p w14:paraId="3AF1217E" w14:textId="7B4C04E5" w:rsidR="00A0126E" w:rsidRDefault="00A0126E" w:rsidP="00A0126E">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r>
            <w:tr w:rsidR="00A0126E" w14:paraId="7CA8BD90" w14:textId="4A982DDE" w:rsidTr="00245532">
              <w:tc>
                <w:tcPr>
                  <w:tcW w:w="554" w:type="pct"/>
                  <w:shd w:val="clear" w:color="auto" w:fill="auto"/>
                </w:tcPr>
                <w:p w14:paraId="144EFDEB" w14:textId="6883BC89" w:rsidR="00A0126E" w:rsidRDefault="00030F64" w:rsidP="00A0126E">
                  <w:pPr>
                    <w:pStyle w:val="TableBodyText"/>
                    <w:jc w:val="left"/>
                    <w:rPr>
                      <w:rFonts w:ascii="Times New Roman" w:hAnsi="Times New Roman"/>
                      <w:i/>
                    </w:rPr>
                  </w:pP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r w:rsidR="00A0126E">
                    <w:rPr>
                      <w:rFonts w:ascii="Times New Roman" w:hAnsi="Times New Roman"/>
                      <w:i/>
                    </w:rPr>
                    <w:t xml:space="preserve"> </w:t>
                  </w:r>
                </w:p>
              </w:tc>
              <w:tc>
                <w:tcPr>
                  <w:tcW w:w="3113" w:type="pct"/>
                  <w:shd w:val="clear" w:color="auto" w:fill="auto"/>
                </w:tcPr>
                <w:p w14:paraId="356FE229" w14:textId="0B4D5496" w:rsidR="00A0126E" w:rsidRDefault="00A0126E" w:rsidP="00A0126E">
                  <w:pPr>
                    <w:pStyle w:val="TableBodyText"/>
                    <w:ind w:right="28"/>
                    <w:jc w:val="left"/>
                  </w:pPr>
                  <w:r>
                    <w:t xml:space="preserve">Effect of the </w:t>
                  </w:r>
                  <w:proofErr w:type="spellStart"/>
                  <w:r>
                    <w:t>HVNL</w:t>
                  </w:r>
                  <w:proofErr w:type="spellEnd"/>
                  <w:r>
                    <w:t xml:space="preserve"> (treatment effect)</w:t>
                  </w:r>
                </w:p>
              </w:tc>
              <w:tc>
                <w:tcPr>
                  <w:tcW w:w="419" w:type="pct"/>
                </w:tcPr>
                <w:p w14:paraId="50C3CB2F" w14:textId="505F5F8B" w:rsidR="00A0126E" w:rsidRDefault="00A0126E" w:rsidP="00A0126E">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501" w:type="pct"/>
                </w:tcPr>
                <w:p w14:paraId="0256B9A6" w14:textId="2E93CDEE" w:rsidR="00A0126E" w:rsidRDefault="00A0126E" w:rsidP="00A0126E">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413" w:type="pct"/>
                </w:tcPr>
                <w:p w14:paraId="541CB42D" w14:textId="77A0DFBD" w:rsidR="00A0126E" w:rsidRDefault="00A0126E" w:rsidP="00A0126E">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r>
            <w:tr w:rsidR="00A0126E" w14:paraId="77121CE4" w14:textId="4CE9B81E" w:rsidTr="00346EB6">
              <w:tc>
                <w:tcPr>
                  <w:tcW w:w="554" w:type="pct"/>
                  <w:shd w:val="clear" w:color="auto" w:fill="auto"/>
                  <w:vAlign w:val="bottom"/>
                </w:tcPr>
                <w:p w14:paraId="707D4169" w14:textId="01C7C957" w:rsidR="00A0126E" w:rsidRPr="00231948" w:rsidRDefault="00A0126E" w:rsidP="00346EB6">
                  <w:pPr>
                    <w:pStyle w:val="TableBodyText"/>
                    <w:jc w:val="left"/>
                    <w:rPr>
                      <w:rFonts w:ascii="Times New Roman" w:hAnsi="Times New Roman"/>
                      <w:i/>
                    </w:rPr>
                  </w:pPr>
                  <m:oMath>
                    <m:r>
                      <w:rPr>
                        <w:rFonts w:ascii="Cambria Math" w:hAnsi="Cambria Math"/>
                      </w:rPr>
                      <m:t>stat</m:t>
                    </m:r>
                    <m:sSub>
                      <m:sSubPr>
                        <m:ctrlPr>
                          <w:rPr>
                            <w:rFonts w:ascii="Cambria Math" w:hAnsi="Cambria Math"/>
                          </w:rPr>
                        </m:ctrlPr>
                      </m:sSubPr>
                      <m:e>
                        <m:r>
                          <w:rPr>
                            <w:rFonts w:ascii="Cambria Math" w:hAnsi="Cambria Math"/>
                          </w:rPr>
                          <m:t>e</m:t>
                        </m:r>
                      </m:e>
                      <m:sub>
                        <m:r>
                          <w:rPr>
                            <w:rFonts w:ascii="Cambria Math" w:hAnsi="Cambria Math"/>
                          </w:rPr>
                          <m:t>i</m:t>
                        </m:r>
                      </m:sub>
                    </m:sSub>
                    <m:r>
                      <w:rPr>
                        <w:rFonts w:ascii="Cambria Math" w:hAnsi="Cambria Math"/>
                      </w:rPr>
                      <m:t>t</m:t>
                    </m:r>
                  </m:oMath>
                  <w:r>
                    <w:rPr>
                      <w:rFonts w:ascii="Times New Roman" w:hAnsi="Times New Roman"/>
                      <w:i/>
                    </w:rPr>
                    <w:t xml:space="preserve"> </w:t>
                  </w:r>
                </w:p>
              </w:tc>
              <w:tc>
                <w:tcPr>
                  <w:tcW w:w="3113" w:type="pct"/>
                  <w:shd w:val="clear" w:color="auto" w:fill="auto"/>
                  <w:vAlign w:val="bottom"/>
                </w:tcPr>
                <w:p w14:paraId="10433BFA" w14:textId="2DF56A27" w:rsidR="00A0126E" w:rsidRDefault="00346EB6" w:rsidP="00346EB6">
                  <w:pPr>
                    <w:pStyle w:val="TableBodyText"/>
                    <w:ind w:right="0"/>
                    <w:jc w:val="left"/>
                  </w:pPr>
                  <w:r>
                    <w:t>Jurisdiction</w:t>
                  </w:r>
                  <w:r>
                    <w:noBreakHyphen/>
                  </w:r>
                  <w:r w:rsidRPr="00671D50">
                    <w:t>specific linear time trends</w:t>
                  </w:r>
                  <w:r w:rsidRPr="008E77FE">
                    <w:rPr>
                      <w:rStyle w:val="NoteLabel"/>
                    </w:rPr>
                    <w:t>a</w:t>
                  </w:r>
                  <w:r>
                    <w:t xml:space="preserve"> </w:t>
                  </w:r>
                </w:p>
              </w:tc>
              <w:tc>
                <w:tcPr>
                  <w:tcW w:w="419" w:type="pct"/>
                  <w:vAlign w:val="bottom"/>
                </w:tcPr>
                <w:p w14:paraId="3C556F08" w14:textId="38CEFA82" w:rsidR="00A0126E" w:rsidRDefault="00A0126E" w:rsidP="00346EB6">
                  <w:pPr>
                    <w:pStyle w:val="TableBodyText"/>
                    <w:ind w:right="28"/>
                    <w:jc w:val="left"/>
                    <w:rPr>
                      <w:rFonts w:ascii="Segoe UI Symbol" w:hAnsi="Segoe UI Symbol" w:cs="Segoe UI Symbol"/>
                      <w:color w:val="222222"/>
                      <w:shd w:val="clear" w:color="auto" w:fill="FFFFFF"/>
                    </w:rPr>
                  </w:pPr>
                </w:p>
              </w:tc>
              <w:tc>
                <w:tcPr>
                  <w:tcW w:w="501" w:type="pct"/>
                  <w:vAlign w:val="bottom"/>
                </w:tcPr>
                <w:p w14:paraId="34914FC9" w14:textId="2F7FB77B" w:rsidR="00A0126E" w:rsidRDefault="00A0126E" w:rsidP="00346EB6">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413" w:type="pct"/>
                  <w:vAlign w:val="bottom"/>
                </w:tcPr>
                <w:p w14:paraId="45AEAF9B" w14:textId="5AC0D602" w:rsidR="00A0126E" w:rsidRDefault="00A0126E" w:rsidP="00346EB6">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r>
            <w:tr w:rsidR="00A0126E" w14:paraId="66EEFFCA" w14:textId="44162109" w:rsidTr="00245532">
              <w:tc>
                <w:tcPr>
                  <w:tcW w:w="554" w:type="pct"/>
                  <w:shd w:val="clear" w:color="auto" w:fill="auto"/>
                </w:tcPr>
                <w:p w14:paraId="0CEB56A9" w14:textId="348A8FB0" w:rsidR="00A0126E" w:rsidRDefault="00030F64" w:rsidP="00A0126E">
                  <w:pPr>
                    <w:pStyle w:val="TableBodyText"/>
                    <w:jc w:val="left"/>
                    <w:rPr>
                      <w:rFonts w:ascii="Times New Roman" w:hAnsi="Times New Roman"/>
                      <w:i/>
                    </w:rPr>
                  </w:pPr>
                  <m:oMath>
                    <m:sSub>
                      <m:sSubPr>
                        <m:ctrlPr>
                          <w:rPr>
                            <w:rFonts w:ascii="Cambria Math" w:hAnsi="Cambria Math"/>
                            <w:i/>
                          </w:rPr>
                        </m:ctrlPr>
                      </m:sSubPr>
                      <m:e>
                        <m:r>
                          <w:rPr>
                            <w:rFonts w:ascii="Cambria Math" w:hAnsi="Cambria Math"/>
                          </w:rPr>
                          <m:t>β</m:t>
                        </m:r>
                      </m:e>
                      <m:sub>
                        <m:r>
                          <w:rPr>
                            <w:rFonts w:ascii="Cambria Math" w:hAnsi="Cambria Math"/>
                          </w:rPr>
                          <m:t>s</m:t>
                        </m:r>
                      </m:sub>
                    </m:sSub>
                  </m:oMath>
                  <w:r w:rsidR="00A0126E">
                    <w:rPr>
                      <w:rFonts w:ascii="Times New Roman" w:hAnsi="Times New Roman"/>
                      <w:i/>
                    </w:rPr>
                    <w:t xml:space="preserve"> </w:t>
                  </w:r>
                </w:p>
              </w:tc>
              <w:tc>
                <w:tcPr>
                  <w:tcW w:w="3113" w:type="pct"/>
                  <w:shd w:val="clear" w:color="auto" w:fill="auto"/>
                </w:tcPr>
                <w:p w14:paraId="3B684060" w14:textId="7235AE95" w:rsidR="00A0126E" w:rsidRDefault="00A0126E" w:rsidP="00A0126E">
                  <w:pPr>
                    <w:pStyle w:val="TableBodyText"/>
                    <w:ind w:right="28"/>
                    <w:jc w:val="left"/>
                  </w:pPr>
                  <w:r>
                    <w:t>Vector of coefficients corresponding to each respective jurisdiction</w:t>
                  </w:r>
                  <w:r>
                    <w:noBreakHyphen/>
                    <w:t>year</w:t>
                  </w:r>
                  <w:r>
                    <w:noBreakHyphen/>
                    <w:t>quarter interaction</w:t>
                  </w:r>
                </w:p>
              </w:tc>
              <w:tc>
                <w:tcPr>
                  <w:tcW w:w="419" w:type="pct"/>
                </w:tcPr>
                <w:p w14:paraId="75C7B0FF" w14:textId="4200A411" w:rsidR="00A0126E" w:rsidRDefault="00A0126E" w:rsidP="00A0126E">
                  <w:pPr>
                    <w:pStyle w:val="TableBodyText"/>
                    <w:ind w:right="28"/>
                    <w:jc w:val="center"/>
                    <w:rPr>
                      <w:rFonts w:ascii="Segoe UI Symbol" w:hAnsi="Segoe UI Symbol" w:cs="Segoe UI Symbol"/>
                      <w:color w:val="222222"/>
                      <w:shd w:val="clear" w:color="auto" w:fill="FFFFFF"/>
                    </w:rPr>
                  </w:pPr>
                </w:p>
              </w:tc>
              <w:tc>
                <w:tcPr>
                  <w:tcW w:w="501" w:type="pct"/>
                </w:tcPr>
                <w:p w14:paraId="08DE1875" w14:textId="3A5BFD3F" w:rsidR="00A0126E" w:rsidRDefault="00A0126E" w:rsidP="00A0126E">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413" w:type="pct"/>
                </w:tcPr>
                <w:p w14:paraId="4B5CF0AF" w14:textId="43328B8A" w:rsidR="00A0126E" w:rsidRDefault="00A0126E" w:rsidP="00A0126E">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r>
            <w:tr w:rsidR="00A0126E" w14:paraId="5E083495" w14:textId="385D4E95" w:rsidTr="00245532">
              <w:tc>
                <w:tcPr>
                  <w:tcW w:w="554" w:type="pct"/>
                  <w:shd w:val="clear" w:color="auto" w:fill="auto"/>
                </w:tcPr>
                <w:p w14:paraId="79D7C79D" w14:textId="17301E30" w:rsidR="00A0126E" w:rsidRDefault="00030F64" w:rsidP="00A0126E">
                  <w:pPr>
                    <w:pStyle w:val="TableBodyText"/>
                    <w:jc w:val="left"/>
                    <w:rPr>
                      <w:rFonts w:ascii="Times New Roman" w:hAnsi="Times New Roman"/>
                      <w:i/>
                    </w:rPr>
                  </w:pPr>
                  <m:oMath>
                    <m:sSub>
                      <m:sSubPr>
                        <m:ctrlPr>
                          <w:rPr>
                            <w:rFonts w:ascii="Cambria Math" w:hAnsi="Cambria Math"/>
                          </w:rPr>
                        </m:ctrlPr>
                      </m:sSubPr>
                      <m:e>
                        <m:r>
                          <w:rPr>
                            <w:rFonts w:ascii="Cambria Math" w:hAnsi="Cambria Math"/>
                          </w:rPr>
                          <m:t>X</m:t>
                        </m:r>
                      </m:e>
                      <m:sub>
                        <m:r>
                          <w:rPr>
                            <w:rFonts w:ascii="Cambria Math" w:hAnsi="Cambria Math"/>
                          </w:rPr>
                          <m:t>it</m:t>
                        </m:r>
                      </m:sub>
                    </m:sSub>
                  </m:oMath>
                  <w:r w:rsidR="00A0126E">
                    <w:rPr>
                      <w:rFonts w:ascii="Times New Roman" w:hAnsi="Times New Roman"/>
                      <w:i/>
                    </w:rPr>
                    <w:t xml:space="preserve"> </w:t>
                  </w:r>
                </w:p>
              </w:tc>
              <w:tc>
                <w:tcPr>
                  <w:tcW w:w="3113" w:type="pct"/>
                  <w:shd w:val="clear" w:color="auto" w:fill="auto"/>
                </w:tcPr>
                <w:p w14:paraId="6611CD11" w14:textId="67D38ABD" w:rsidR="00A0126E" w:rsidRDefault="00A0126E" w:rsidP="00A0126E">
                  <w:pPr>
                    <w:pStyle w:val="TableBodyText"/>
                    <w:ind w:right="28"/>
                    <w:jc w:val="left"/>
                  </w:pPr>
                  <w:r>
                    <w:t>V</w:t>
                  </w:r>
                  <w:r w:rsidRPr="00671D50">
                    <w:t>ector of control</w:t>
                  </w:r>
                  <w:r>
                    <w:t xml:space="preserve"> variables</w:t>
                  </w:r>
                  <w:r w:rsidRPr="00671D50">
                    <w:t xml:space="preserve"> to account for changes in</w:t>
                  </w:r>
                  <w:r>
                    <w:t xml:space="preserve"> jurisdiction</w:t>
                  </w:r>
                  <w:r>
                    <w:noBreakHyphen/>
                    <w:t>level</w:t>
                  </w:r>
                  <w:r w:rsidRPr="00671D50">
                    <w:t xml:space="preserve"> </w:t>
                  </w:r>
                  <w:r>
                    <w:t>vehicle kilometres travelled (of both heavy and non</w:t>
                  </w:r>
                  <w:r>
                    <w:noBreakHyphen/>
                    <w:t xml:space="preserve">heavy vehicles) and jurisdiction </w:t>
                  </w:r>
                  <w:r w:rsidRPr="00671D50">
                    <w:t>populations over time</w:t>
                  </w:r>
                </w:p>
              </w:tc>
              <w:tc>
                <w:tcPr>
                  <w:tcW w:w="419" w:type="pct"/>
                </w:tcPr>
                <w:p w14:paraId="039CA87F" w14:textId="55765124" w:rsidR="00A0126E" w:rsidRDefault="00A0126E" w:rsidP="00A0126E">
                  <w:pPr>
                    <w:pStyle w:val="TableBodyText"/>
                    <w:ind w:right="28"/>
                    <w:jc w:val="center"/>
                    <w:rPr>
                      <w:rFonts w:ascii="Segoe UI Symbol" w:hAnsi="Segoe UI Symbol" w:cs="Segoe UI Symbol"/>
                      <w:color w:val="222222"/>
                      <w:shd w:val="clear" w:color="auto" w:fill="FFFFFF"/>
                    </w:rPr>
                  </w:pPr>
                </w:p>
              </w:tc>
              <w:tc>
                <w:tcPr>
                  <w:tcW w:w="501" w:type="pct"/>
                </w:tcPr>
                <w:p w14:paraId="2BF8C51D" w14:textId="4C93286A" w:rsidR="00A0126E" w:rsidRDefault="00A0126E" w:rsidP="00A0126E">
                  <w:pPr>
                    <w:pStyle w:val="TableBodyText"/>
                    <w:ind w:right="28"/>
                    <w:jc w:val="center"/>
                    <w:rPr>
                      <w:rFonts w:ascii="Segoe UI Symbol" w:hAnsi="Segoe UI Symbol" w:cs="Segoe UI Symbol"/>
                      <w:color w:val="222222"/>
                      <w:shd w:val="clear" w:color="auto" w:fill="FFFFFF"/>
                    </w:rPr>
                  </w:pPr>
                </w:p>
              </w:tc>
              <w:tc>
                <w:tcPr>
                  <w:tcW w:w="413" w:type="pct"/>
                </w:tcPr>
                <w:p w14:paraId="01AEAD20" w14:textId="2E6FCD9D" w:rsidR="00A0126E" w:rsidRDefault="00A0126E" w:rsidP="00A0126E">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r>
            <w:tr w:rsidR="00A0126E" w14:paraId="60D18FEA" w14:textId="1BD11742" w:rsidTr="00245532">
              <w:tc>
                <w:tcPr>
                  <w:tcW w:w="554" w:type="pct"/>
                  <w:tcBorders>
                    <w:bottom w:val="single" w:sz="6" w:space="0" w:color="BFBFBF"/>
                  </w:tcBorders>
                  <w:shd w:val="clear" w:color="auto" w:fill="auto"/>
                </w:tcPr>
                <w:p w14:paraId="33E72629" w14:textId="4204A334" w:rsidR="00A0126E" w:rsidRPr="00DD79EE" w:rsidRDefault="00030F64" w:rsidP="00A0126E">
                  <w:pPr>
                    <w:pStyle w:val="TableBodyText"/>
                    <w:jc w:val="left"/>
                    <w:rPr>
                      <w:rFonts w:ascii="Times New Roman" w:hAnsi="Times New Roman"/>
                      <w:i/>
                    </w:rPr>
                  </w:pPr>
                  <m:oMathPara>
                    <m:oMathParaPr>
                      <m:jc m:val="left"/>
                    </m:oMathParaPr>
                    <m:oMath>
                      <m:sSup>
                        <m:sSupPr>
                          <m:ctrlPr>
                            <w:rPr>
                              <w:rFonts w:ascii="Cambria Math" w:hAnsi="Cambria Math"/>
                              <w:i/>
                            </w:rPr>
                          </m:ctrlPr>
                        </m:sSupPr>
                        <m:e>
                          <m:r>
                            <w:rPr>
                              <w:rFonts w:ascii="Cambria Math" w:hAnsi="Cambria Math"/>
                            </w:rPr>
                            <m:t>β</m:t>
                          </m:r>
                        </m:e>
                        <m:sup>
                          <m:r>
                            <w:rPr>
                              <w:rFonts w:ascii="Cambria Math" w:hAnsi="Cambria Math"/>
                            </w:rPr>
                            <m:t>'</m:t>
                          </m:r>
                        </m:sup>
                      </m:sSup>
                    </m:oMath>
                  </m:oMathPara>
                </w:p>
              </w:tc>
              <w:tc>
                <w:tcPr>
                  <w:tcW w:w="3113" w:type="pct"/>
                  <w:tcBorders>
                    <w:bottom w:val="single" w:sz="6" w:space="0" w:color="BFBFBF"/>
                  </w:tcBorders>
                  <w:shd w:val="clear" w:color="auto" w:fill="auto"/>
                </w:tcPr>
                <w:p w14:paraId="45AFC88A" w14:textId="490A49DF" w:rsidR="00A0126E" w:rsidRDefault="00A0126E" w:rsidP="00A0126E">
                  <w:pPr>
                    <w:pStyle w:val="TableBodyText"/>
                    <w:ind w:right="28"/>
                    <w:jc w:val="left"/>
                  </w:pPr>
                  <w:r>
                    <w:t>Vector of coefficients corresponding to each respective control variable</w:t>
                  </w:r>
                </w:p>
              </w:tc>
              <w:tc>
                <w:tcPr>
                  <w:tcW w:w="419" w:type="pct"/>
                  <w:tcBorders>
                    <w:bottom w:val="single" w:sz="6" w:space="0" w:color="BFBFBF"/>
                  </w:tcBorders>
                </w:tcPr>
                <w:p w14:paraId="2EAEB21A" w14:textId="32499B51" w:rsidR="00A0126E" w:rsidRDefault="00A0126E" w:rsidP="00A0126E">
                  <w:pPr>
                    <w:pStyle w:val="TableBodyText"/>
                    <w:ind w:right="28"/>
                    <w:jc w:val="center"/>
                    <w:rPr>
                      <w:rFonts w:ascii="Segoe UI Symbol" w:hAnsi="Segoe UI Symbol" w:cs="Segoe UI Symbol"/>
                      <w:color w:val="222222"/>
                      <w:shd w:val="clear" w:color="auto" w:fill="FFFFFF"/>
                    </w:rPr>
                  </w:pPr>
                </w:p>
              </w:tc>
              <w:tc>
                <w:tcPr>
                  <w:tcW w:w="501" w:type="pct"/>
                  <w:tcBorders>
                    <w:bottom w:val="single" w:sz="6" w:space="0" w:color="BFBFBF"/>
                  </w:tcBorders>
                </w:tcPr>
                <w:p w14:paraId="7EF35CFE" w14:textId="670F031B" w:rsidR="00A0126E" w:rsidRDefault="00A0126E" w:rsidP="00A0126E">
                  <w:pPr>
                    <w:pStyle w:val="TableBodyText"/>
                    <w:ind w:right="28"/>
                    <w:jc w:val="center"/>
                    <w:rPr>
                      <w:rFonts w:ascii="Segoe UI Symbol" w:hAnsi="Segoe UI Symbol" w:cs="Segoe UI Symbol"/>
                      <w:color w:val="222222"/>
                      <w:shd w:val="clear" w:color="auto" w:fill="FFFFFF"/>
                    </w:rPr>
                  </w:pPr>
                </w:p>
              </w:tc>
              <w:tc>
                <w:tcPr>
                  <w:tcW w:w="413" w:type="pct"/>
                  <w:tcBorders>
                    <w:bottom w:val="single" w:sz="6" w:space="0" w:color="BFBFBF"/>
                  </w:tcBorders>
                </w:tcPr>
                <w:p w14:paraId="59437C66" w14:textId="351D0441" w:rsidR="00A0126E" w:rsidRDefault="00A0126E" w:rsidP="00A0126E">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r>
          </w:tbl>
          <w:p w14:paraId="628AFB84" w14:textId="77777777" w:rsidR="002967B0" w:rsidRDefault="002967B0" w:rsidP="00021ABE">
            <w:pPr>
              <w:pStyle w:val="Box"/>
            </w:pPr>
          </w:p>
        </w:tc>
      </w:tr>
      <w:tr w:rsidR="002967B0" w14:paraId="601C2922" w14:textId="77777777" w:rsidTr="00021ABE">
        <w:tc>
          <w:tcPr>
            <w:tcW w:w="5000" w:type="pct"/>
            <w:tcBorders>
              <w:top w:val="nil"/>
              <w:left w:val="nil"/>
              <w:bottom w:val="nil"/>
              <w:right w:val="nil"/>
            </w:tcBorders>
            <w:shd w:val="clear" w:color="auto" w:fill="auto"/>
          </w:tcPr>
          <w:p w14:paraId="1178BDF5" w14:textId="144F403A" w:rsidR="002967B0" w:rsidRDefault="002967B0" w:rsidP="002663DA">
            <w:pPr>
              <w:pStyle w:val="Note"/>
              <w:rPr>
                <w:i/>
              </w:rPr>
            </w:pPr>
            <w:r w:rsidRPr="008E77FE">
              <w:rPr>
                <w:rStyle w:val="NoteLabel"/>
              </w:rPr>
              <w:t>a</w:t>
            </w:r>
            <w:r>
              <w:t xml:space="preserve"> </w:t>
            </w:r>
            <w:r w:rsidR="00DA72EE">
              <w:t>Jurisdiction</w:t>
            </w:r>
            <w:r w:rsidR="00DA72EE">
              <w:noBreakHyphen/>
              <w:t>specific linear time trends are incorporated through an interaction term between jurisdiction indicator variables</w:t>
            </w:r>
            <w:r w:rsidR="00B57DAE">
              <w:t xml:space="preserve"> and</w:t>
            </w:r>
            <w:r w:rsidR="00DA72EE">
              <w:t xml:space="preserve"> a variable indicating the </w:t>
            </w:r>
            <w:r w:rsidR="005E0A39">
              <w:t>period</w:t>
            </w:r>
            <w:r w:rsidR="00DA72EE">
              <w:t xml:space="preserve"> of time since 2008 (the first data point in the </w:t>
            </w:r>
            <w:proofErr w:type="spellStart"/>
            <w:r w:rsidR="00DA72EE">
              <w:t>NCD</w:t>
            </w:r>
            <w:proofErr w:type="spellEnd"/>
            <w:r w:rsidR="00DA72EE">
              <w:t>).This</w:t>
            </w:r>
            <w:r>
              <w:t xml:space="preserve"> </w:t>
            </w:r>
            <w:r w:rsidRPr="00671D50">
              <w:t>control</w:t>
            </w:r>
            <w:r w:rsidR="00EA225D">
              <w:t>s</w:t>
            </w:r>
            <w:r w:rsidRPr="00671D50">
              <w:t xml:space="preserve"> for unobserved</w:t>
            </w:r>
            <w:r>
              <w:t xml:space="preserve"> factors</w:t>
            </w:r>
            <w:r w:rsidRPr="00671D50">
              <w:t xml:space="preserve"> </w:t>
            </w:r>
            <w:r>
              <w:t>(</w:t>
            </w:r>
            <w:r w:rsidRPr="00671D50">
              <w:t xml:space="preserve">such as attitudes towards </w:t>
            </w:r>
            <w:r>
              <w:t>road safety and road management)</w:t>
            </w:r>
            <w:r w:rsidRPr="00671D50">
              <w:t xml:space="preserve"> </w:t>
            </w:r>
            <w:r>
              <w:t>that trend smoothly in</w:t>
            </w:r>
            <w:r w:rsidRPr="00671D50">
              <w:t xml:space="preserve"> each </w:t>
            </w:r>
            <w:r w:rsidR="002663DA">
              <w:t>jurisdiction</w:t>
            </w:r>
            <w:r>
              <w:t>.</w:t>
            </w:r>
          </w:p>
        </w:tc>
      </w:tr>
      <w:tr w:rsidR="002967B0" w14:paraId="738431D9" w14:textId="77777777" w:rsidTr="00021ABE">
        <w:tc>
          <w:tcPr>
            <w:tcW w:w="5000" w:type="pct"/>
            <w:tcBorders>
              <w:top w:val="nil"/>
              <w:left w:val="nil"/>
              <w:bottom w:val="single" w:sz="6" w:space="0" w:color="78A22F"/>
              <w:right w:val="nil"/>
            </w:tcBorders>
            <w:shd w:val="clear" w:color="auto" w:fill="auto"/>
          </w:tcPr>
          <w:p w14:paraId="3362E1FB" w14:textId="77777777" w:rsidR="002967B0" w:rsidRDefault="002967B0" w:rsidP="00346EB6">
            <w:pPr>
              <w:pStyle w:val="Box"/>
              <w:keepNext w:val="0"/>
              <w:spacing w:before="0" w:line="120" w:lineRule="exact"/>
            </w:pPr>
          </w:p>
        </w:tc>
      </w:tr>
    </w:tbl>
    <w:p w14:paraId="48388AF5" w14:textId="77777777" w:rsidR="003927A0" w:rsidRDefault="003927A0" w:rsidP="003927A0">
      <w:pPr>
        <w:pStyle w:val="Heading4"/>
      </w:pPr>
      <w:r>
        <w:lastRenderedPageBreak/>
        <w:t>Pre</w:t>
      </w:r>
      <w:r>
        <w:noBreakHyphen/>
        <w:t xml:space="preserve"> and post</w:t>
      </w:r>
      <w:r>
        <w:noBreakHyphen/>
        <w:t>reform trends</w:t>
      </w:r>
    </w:p>
    <w:p w14:paraId="3C37BCE2" w14:textId="05F397A5" w:rsidR="003927A0" w:rsidRDefault="00E14017" w:rsidP="003927A0">
      <w:pPr>
        <w:pStyle w:val="BodyText"/>
      </w:pPr>
      <w:r w:rsidRPr="007C0E83">
        <w:t>Pre</w:t>
      </w:r>
      <w:r w:rsidRPr="006E5B50">
        <w:noBreakHyphen/>
        <w:t xml:space="preserve"> and p</w:t>
      </w:r>
      <w:r w:rsidRPr="00CC4265">
        <w:t>ost</w:t>
      </w:r>
      <w:r w:rsidRPr="00CC4265">
        <w:noBreakHyphen/>
        <w:t>reform trends</w:t>
      </w:r>
      <w:r w:rsidRPr="001D736B">
        <w:t xml:space="preserve"> in</w:t>
      </w:r>
      <w:r w:rsidRPr="00A110BF">
        <w:t xml:space="preserve"> crashes</w:t>
      </w:r>
      <w:r w:rsidRPr="00A110BF" w:rsidDel="00426B55">
        <w:t xml:space="preserve"> </w:t>
      </w:r>
      <w:r w:rsidRPr="00A110BF">
        <w:t xml:space="preserve">for heavy vehicles in </w:t>
      </w:r>
      <w:proofErr w:type="spellStart"/>
      <w:r w:rsidRPr="00A110BF">
        <w:t>HVNL</w:t>
      </w:r>
      <w:proofErr w:type="spellEnd"/>
      <w:r w:rsidRPr="00A110BF">
        <w:t xml:space="preserve"> and non</w:t>
      </w:r>
      <w:r w:rsidR="000F678D">
        <w:noBreakHyphen/>
      </w:r>
      <w:proofErr w:type="spellStart"/>
      <w:r w:rsidRPr="00A110BF">
        <w:t>HVNL</w:t>
      </w:r>
      <w:proofErr w:type="spellEnd"/>
      <w:r w:rsidRPr="00A110BF">
        <w:t xml:space="preserve"> jurisdictions are depicted in </w:t>
      </w:r>
      <w:r w:rsidR="0056635C" w:rsidRPr="002663DA">
        <w:t>figure </w:t>
      </w:r>
      <w:proofErr w:type="spellStart"/>
      <w:r w:rsidR="0056635C" w:rsidRPr="002663DA">
        <w:t>B</w:t>
      </w:r>
      <w:r w:rsidR="000F65D3" w:rsidRPr="002663DA">
        <w:t>.</w:t>
      </w:r>
      <w:r w:rsidR="007C6F77" w:rsidRPr="002819B1">
        <w:t>1</w:t>
      </w:r>
      <w:proofErr w:type="spellEnd"/>
      <w:r w:rsidRPr="002819B1">
        <w:t xml:space="preserve">. </w:t>
      </w:r>
      <w:r w:rsidR="003927A0" w:rsidRPr="002350C5">
        <w:t xml:space="preserve">Crash rates are expressed per billion </w:t>
      </w:r>
      <w:r w:rsidR="00567968" w:rsidRPr="002350C5">
        <w:t xml:space="preserve">heavy </w:t>
      </w:r>
      <w:r w:rsidR="003927A0" w:rsidRPr="002350C5">
        <w:t>vehicle kilometres travelled to account for the different levels of vehicle activity across ju</w:t>
      </w:r>
      <w:r w:rsidR="003927A0" w:rsidRPr="001528CE">
        <w:t>risdictions.</w:t>
      </w:r>
      <w:r w:rsidR="003927A0">
        <w:t xml:space="preserve"> </w:t>
      </w:r>
      <w:r w:rsidR="00005FBD">
        <w:t xml:space="preserve">In examining whether the common trend assumption (box </w:t>
      </w:r>
      <w:proofErr w:type="spellStart"/>
      <w:r w:rsidR="00005FBD">
        <w:t>B.1</w:t>
      </w:r>
      <w:proofErr w:type="spellEnd"/>
      <w:r w:rsidR="00005FBD">
        <w:t>) is satisfied, a</w:t>
      </w:r>
      <w:r w:rsidR="00736331">
        <w:t xml:space="preserve"> slightly </w:t>
      </w:r>
      <w:r w:rsidR="00D93346">
        <w:t xml:space="preserve">steeper </w:t>
      </w:r>
      <w:r w:rsidR="00736331">
        <w:t>downward trend is observed in heavy vehicle crash rates in non</w:t>
      </w:r>
      <w:r w:rsidR="000F678D">
        <w:noBreakHyphen/>
      </w:r>
      <w:proofErr w:type="spellStart"/>
      <w:r w:rsidR="00736331">
        <w:t>HVNL</w:t>
      </w:r>
      <w:proofErr w:type="spellEnd"/>
      <w:r w:rsidR="00736331">
        <w:t xml:space="preserve"> jurisdictions compared to </w:t>
      </w:r>
      <w:proofErr w:type="spellStart"/>
      <w:r w:rsidR="00736331">
        <w:t>HVNL</w:t>
      </w:r>
      <w:proofErr w:type="spellEnd"/>
      <w:r w:rsidR="00736331">
        <w:t xml:space="preserve"> jurisdictions.</w:t>
      </w:r>
      <w:r w:rsidR="00005FBD">
        <w:rPr>
          <w:rStyle w:val="FootnoteReference"/>
        </w:rPr>
        <w:footnoteReference w:id="2"/>
      </w:r>
      <w:r w:rsidR="00736331">
        <w:t xml:space="preserve"> </w:t>
      </w:r>
      <w:r w:rsidR="00132BBE">
        <w:t>In examining the figure, t</w:t>
      </w:r>
      <w:r w:rsidR="00736331">
        <w:t>h</w:t>
      </w:r>
      <w:r w:rsidR="00AC389D">
        <w:t>e</w:t>
      </w:r>
      <w:r w:rsidR="00736331">
        <w:t>s</w:t>
      </w:r>
      <w:r w:rsidR="00AC389D">
        <w:t>e</w:t>
      </w:r>
      <w:r w:rsidR="00736331">
        <w:t xml:space="preserve"> trend</w:t>
      </w:r>
      <w:r w:rsidR="00AC389D">
        <w:t>s</w:t>
      </w:r>
      <w:r w:rsidR="00736331">
        <w:t xml:space="preserve"> appear to be relatively constant across both the pre</w:t>
      </w:r>
      <w:r w:rsidR="00736331">
        <w:noBreakHyphen/>
        <w:t xml:space="preserve"> and post</w:t>
      </w:r>
      <w:r w:rsidR="00736331">
        <w:noBreakHyphen/>
        <w:t>reform periods. This difference in trend</w:t>
      </w:r>
      <w:r w:rsidR="00FF0A47">
        <w:t xml:space="preserve"> is</w:t>
      </w:r>
      <w:r w:rsidR="00736331">
        <w:t xml:space="preserve"> accounted for via the inclusion of jurisdiction</w:t>
      </w:r>
      <w:r w:rsidR="00736331">
        <w:noBreakHyphen/>
        <w:t>specific linear time trends (included in specifications two and three of the difference</w:t>
      </w:r>
      <w:r w:rsidR="000F678D">
        <w:noBreakHyphen/>
      </w:r>
      <w:r w:rsidR="00736331">
        <w:t>in</w:t>
      </w:r>
      <w:r w:rsidR="000F678D">
        <w:noBreakHyphen/>
      </w:r>
      <w:r w:rsidR="00736331">
        <w:t>difference</w:t>
      </w:r>
      <w:r w:rsidR="00FF0A47">
        <w:t>s</w:t>
      </w:r>
      <w:r w:rsidR="00736331">
        <w:t xml:space="preserve"> model).</w:t>
      </w:r>
      <w:r w:rsidR="00672AAA">
        <w:t xml:space="preserve"> T</w:t>
      </w:r>
      <w:r w:rsidR="003927A0">
        <w:t xml:space="preserve">here does not appear to be a substantial deviation from the </w:t>
      </w:r>
      <w:r w:rsidR="00736331">
        <w:t>pre</w:t>
      </w:r>
      <w:r w:rsidR="00736331">
        <w:noBreakHyphen/>
        <w:t>reform trends</w:t>
      </w:r>
      <w:r w:rsidR="00672AAA">
        <w:t xml:space="preserve"> in either </w:t>
      </w:r>
      <w:proofErr w:type="spellStart"/>
      <w:r w:rsidR="00672AAA">
        <w:t>HVNL</w:t>
      </w:r>
      <w:proofErr w:type="spellEnd"/>
      <w:r w:rsidR="00672AAA">
        <w:t xml:space="preserve"> or non</w:t>
      </w:r>
      <w:r w:rsidR="00602928">
        <w:noBreakHyphen/>
      </w:r>
      <w:proofErr w:type="spellStart"/>
      <w:r w:rsidR="00672AAA">
        <w:t>HVNL</w:t>
      </w:r>
      <w:proofErr w:type="spellEnd"/>
      <w:r w:rsidR="00672AAA">
        <w:t xml:space="preserve"> jurisdictions</w:t>
      </w:r>
      <w:r w:rsidR="00736331">
        <w:t xml:space="preserve"> </w:t>
      </w:r>
      <w:r w:rsidR="003927A0">
        <w:t>in the post</w:t>
      </w:r>
      <w:r w:rsidR="00D121DA">
        <w:noBreakHyphen/>
      </w:r>
      <w:r w:rsidR="003927A0">
        <w:t>reform period</w:t>
      </w:r>
      <w:r>
        <w:t xml:space="preserve">. </w:t>
      </w:r>
      <w:r w:rsidR="00602928">
        <w:t xml:space="preserve">This observation does not suggest that the </w:t>
      </w:r>
      <w:proofErr w:type="spellStart"/>
      <w:r w:rsidR="00602928">
        <w:t>HVNL</w:t>
      </w:r>
      <w:proofErr w:type="spellEnd"/>
      <w:r w:rsidR="00602928">
        <w:t xml:space="preserve"> has had an impact one way or the other on heavy vehicle safety</w:t>
      </w:r>
      <w:r w:rsidR="003927A0">
        <w:t>.</w:t>
      </w:r>
      <w:r w:rsidR="003927A0" w:rsidRPr="00C57B2C">
        <w:t xml:space="preserve"> The following section</w:t>
      </w:r>
      <w:r w:rsidR="003927A0" w:rsidRPr="00C57B2C" w:rsidDel="00B01BB4">
        <w:t xml:space="preserve"> </w:t>
      </w:r>
      <w:r w:rsidR="003927A0" w:rsidRPr="00C57B2C">
        <w:t xml:space="preserve">examines whether there is evidence supporting the role of </w:t>
      </w:r>
      <w:r w:rsidR="003927A0">
        <w:t>the national reforms</w:t>
      </w:r>
      <w:r w:rsidR="003927A0" w:rsidRPr="00C57B2C">
        <w:t xml:space="preserve"> in explaining </w:t>
      </w:r>
      <w:r w:rsidR="00381351">
        <w:t xml:space="preserve">the observed improvement in </w:t>
      </w:r>
      <w:r w:rsidR="00EA0E12">
        <w:t>safety outcomes</w:t>
      </w:r>
      <w:r w:rsidR="003927A0" w:rsidRPr="00C57B2C">
        <w:t xml:space="preserve"> after controlling for a variety of factors (as outlined above).</w:t>
      </w:r>
    </w:p>
    <w:p w14:paraId="6092A55C" w14:textId="05D9F0BB" w:rsidR="00055D77" w:rsidRDefault="00055D77" w:rsidP="006730C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55D77" w14:paraId="1D6D4F65" w14:textId="77777777" w:rsidTr="006730C6">
        <w:trPr>
          <w:tblHeader/>
        </w:trPr>
        <w:tc>
          <w:tcPr>
            <w:tcW w:w="5000" w:type="pct"/>
            <w:tcBorders>
              <w:top w:val="single" w:sz="6" w:space="0" w:color="78A22F"/>
              <w:left w:val="nil"/>
              <w:bottom w:val="nil"/>
              <w:right w:val="nil"/>
            </w:tcBorders>
            <w:shd w:val="clear" w:color="auto" w:fill="auto"/>
          </w:tcPr>
          <w:p w14:paraId="74DEA99D" w14:textId="71401B35" w:rsidR="00055D77" w:rsidRDefault="00055D77" w:rsidP="006730C6">
            <w:pPr>
              <w:pStyle w:val="FigureTitle"/>
            </w:pPr>
            <w:r w:rsidRPr="00784A05">
              <w:rPr>
                <w:b w:val="0"/>
              </w:rPr>
              <w:t xml:space="preserve">Figure </w:t>
            </w:r>
            <w:proofErr w:type="spellStart"/>
            <w:r>
              <w:rPr>
                <w:b w:val="0"/>
              </w:rPr>
              <w:t>B.</w:t>
            </w:r>
            <w:r>
              <w:rPr>
                <w:b w:val="0"/>
                <w:noProof/>
              </w:rPr>
              <w:t>1</w:t>
            </w:r>
            <w:proofErr w:type="spellEnd"/>
            <w:r>
              <w:tab/>
            </w:r>
            <w:r w:rsidRPr="00055D77">
              <w:t>Pre</w:t>
            </w:r>
            <w:r w:rsidRPr="00055D77">
              <w:noBreakHyphen/>
              <w:t xml:space="preserve"> and post</w:t>
            </w:r>
            <w:r w:rsidRPr="00055D77">
              <w:noBreakHyphen/>
              <w:t>reform trends in heavy vehicle</w:t>
            </w:r>
            <w:r w:rsidR="00A71EF7">
              <w:t xml:space="preserve"> crash rates</w:t>
            </w:r>
            <w:r w:rsidRPr="00055D77">
              <w:t xml:space="preserve"> in </w:t>
            </w:r>
            <w:proofErr w:type="spellStart"/>
            <w:r w:rsidRPr="00055D77">
              <w:t>HVNL</w:t>
            </w:r>
            <w:proofErr w:type="spellEnd"/>
            <w:r w:rsidRPr="00055D77">
              <w:t xml:space="preserve"> and non</w:t>
            </w:r>
            <w:r w:rsidR="000F678D">
              <w:noBreakHyphen/>
            </w:r>
            <w:proofErr w:type="spellStart"/>
            <w:r w:rsidRPr="00055D77">
              <w:t>HVNL</w:t>
            </w:r>
            <w:proofErr w:type="spellEnd"/>
            <w:r w:rsidRPr="00055D77">
              <w:t xml:space="preserve"> jurisdictions</w:t>
            </w:r>
            <w:proofErr w:type="spellStart"/>
            <w:r w:rsidRPr="00095F91">
              <w:rPr>
                <w:rStyle w:val="NoteLabel"/>
                <w:b/>
              </w:rPr>
              <w:t>a</w:t>
            </w:r>
            <w:r w:rsidRPr="003037CA">
              <w:rPr>
                <w:rStyle w:val="NoteLabel"/>
                <w:b/>
              </w:rPr>
              <w:t>,b</w:t>
            </w:r>
            <w:proofErr w:type="spellEnd"/>
          </w:p>
          <w:p w14:paraId="1D1DDB28" w14:textId="01D47D35" w:rsidR="00055D77" w:rsidRPr="00176D3F" w:rsidRDefault="00055D77" w:rsidP="00055D77">
            <w:pPr>
              <w:pStyle w:val="Subtitle"/>
            </w:pPr>
            <w:r w:rsidRPr="00055D77">
              <w:t>Heavy vehicle crashes involving injury or death per billion heavy vehicle kilometres travelled (</w:t>
            </w:r>
            <w:proofErr w:type="spellStart"/>
            <w:r w:rsidRPr="00055D77">
              <w:t>VKT</w:t>
            </w:r>
            <w:proofErr w:type="spellEnd"/>
            <w:r w:rsidRPr="00055D77">
              <w:t>)</w:t>
            </w:r>
          </w:p>
        </w:tc>
      </w:tr>
      <w:tr w:rsidR="00055D77" w14:paraId="658FB62D" w14:textId="77777777" w:rsidTr="006730C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055D77" w:rsidRPr="00B1465D" w14:paraId="58E87C73" w14:textId="77777777" w:rsidTr="006730C6">
              <w:trPr>
                <w:tblHeader/>
                <w:jc w:val="center"/>
              </w:trPr>
              <w:tc>
                <w:tcPr>
                  <w:tcW w:w="5000" w:type="pct"/>
                  <w:tcBorders>
                    <w:top w:val="nil"/>
                    <w:bottom w:val="nil"/>
                  </w:tcBorders>
                </w:tcPr>
                <w:p w14:paraId="058BA292" w14:textId="20DA2B1B" w:rsidR="00055D77" w:rsidRPr="00B1465D" w:rsidRDefault="00055D77" w:rsidP="006730C6">
                  <w:pPr>
                    <w:pStyle w:val="Figure"/>
                    <w:spacing w:before="60" w:after="60"/>
                    <w:rPr>
                      <w:rFonts w:ascii="Arial" w:hAnsi="Arial" w:cs="Arial"/>
                      <w:sz w:val="18"/>
                      <w:szCs w:val="18"/>
                    </w:rPr>
                  </w:pPr>
                  <w:r w:rsidRPr="008718EE">
                    <w:rPr>
                      <w:rFonts w:ascii="Arial" w:hAnsi="Arial" w:cs="Arial"/>
                      <w:noProof/>
                      <w:sz w:val="18"/>
                      <w:szCs w:val="18"/>
                    </w:rPr>
                    <w:drawing>
                      <wp:inline distT="0" distB="0" distL="0" distR="0" wp14:anchorId="6CB472F6" wp14:editId="61AB447F">
                        <wp:extent cx="5400000" cy="2521947"/>
                        <wp:effectExtent l="0" t="0" r="0" b="0"/>
                        <wp:docPr id="6" name="Picture 6" descr="Figure B.1 shows the number of heavy vehicle crashes involving injury or death per billion vehicle kilometres travelled over the period 2008-2018. Crash rates are presented separately for states that signed up the HVNL, and those that did not. Across both classifications a similar downward trend is observed. " title="Heavy vehicle crashes involving injury or death per billion heavy vehicle kilometres travelled (V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00" cy="2521947"/>
                                </a:xfrm>
                                <a:prstGeom prst="rect">
                                  <a:avLst/>
                                </a:prstGeom>
                                <a:noFill/>
                                <a:ln>
                                  <a:noFill/>
                                </a:ln>
                              </pic:spPr>
                            </pic:pic>
                          </a:graphicData>
                        </a:graphic>
                      </wp:inline>
                    </w:drawing>
                  </w:r>
                </w:p>
              </w:tc>
            </w:tr>
          </w:tbl>
          <w:p w14:paraId="69FB3791" w14:textId="77777777" w:rsidR="00055D77" w:rsidRDefault="00055D77" w:rsidP="006730C6">
            <w:pPr>
              <w:pStyle w:val="Figure"/>
            </w:pPr>
          </w:p>
        </w:tc>
      </w:tr>
      <w:tr w:rsidR="00055D77" w:rsidRPr="00176D3F" w14:paraId="7DEA1F18" w14:textId="77777777" w:rsidTr="006730C6">
        <w:tc>
          <w:tcPr>
            <w:tcW w:w="5000" w:type="pct"/>
            <w:tcBorders>
              <w:top w:val="nil"/>
              <w:left w:val="nil"/>
              <w:bottom w:val="nil"/>
              <w:right w:val="nil"/>
            </w:tcBorders>
            <w:shd w:val="clear" w:color="auto" w:fill="auto"/>
          </w:tcPr>
          <w:p w14:paraId="554CC9E4" w14:textId="421AAD79" w:rsidR="00055D77" w:rsidRPr="00176D3F" w:rsidRDefault="00055D77" w:rsidP="006730C6">
            <w:pPr>
              <w:pStyle w:val="Note"/>
            </w:pPr>
            <w:r>
              <w:rPr>
                <w:rStyle w:val="NoteLabel"/>
              </w:rPr>
              <w:t>a</w:t>
            </w:r>
            <w:r>
              <w:t xml:space="preserve"> Crashes (fatal and non</w:t>
            </w:r>
            <w:r>
              <w:noBreakHyphen/>
              <w:t>fatal) are expressed as crashes per billion heavy vehicle kilometres travelled. Data for ACT not included. The Commission is aware that a quality assurance process is underway for WA crash statistics before 2012.</w:t>
            </w:r>
            <w:r w:rsidRPr="00CB66D5">
              <w:rPr>
                <w:rFonts w:ascii="Times New Roman" w:hAnsi="Times New Roman"/>
                <w:b/>
                <w:position w:val="6"/>
                <w:sz w:val="24"/>
                <w:szCs w:val="24"/>
              </w:rPr>
              <w:t xml:space="preserve"> </w:t>
            </w:r>
            <w:r w:rsidRPr="001C2250">
              <w:rPr>
                <w:rStyle w:val="NoteLabel"/>
              </w:rPr>
              <w:t>b</w:t>
            </w:r>
            <w:r>
              <w:rPr>
                <w:b/>
              </w:rPr>
              <w:t> </w:t>
            </w:r>
            <w:r w:rsidRPr="00CB66D5">
              <w:t xml:space="preserve">The </w:t>
            </w:r>
            <w:proofErr w:type="spellStart"/>
            <w:r w:rsidRPr="00CB66D5">
              <w:t>HVNL</w:t>
            </w:r>
            <w:proofErr w:type="spellEnd"/>
            <w:r w:rsidRPr="00CB66D5">
              <w:t xml:space="preserve"> commenced on 10</w:t>
            </w:r>
            <w:r>
              <w:t> </w:t>
            </w:r>
            <w:r w:rsidRPr="00CB66D5">
              <w:t xml:space="preserve">February 2014 in </w:t>
            </w:r>
            <w:r>
              <w:t>all jurisdictions except for Western Australia and the Northern Territory</w:t>
            </w:r>
            <w:r w:rsidRPr="00CB66D5">
              <w:t>.</w:t>
            </w:r>
          </w:p>
        </w:tc>
      </w:tr>
      <w:tr w:rsidR="00055D77" w:rsidRPr="00176D3F" w14:paraId="3BF8AFDE" w14:textId="77777777" w:rsidTr="006730C6">
        <w:tc>
          <w:tcPr>
            <w:tcW w:w="5000" w:type="pct"/>
            <w:tcBorders>
              <w:top w:val="nil"/>
              <w:left w:val="nil"/>
              <w:bottom w:val="nil"/>
              <w:right w:val="nil"/>
            </w:tcBorders>
            <w:shd w:val="clear" w:color="auto" w:fill="auto"/>
          </w:tcPr>
          <w:p w14:paraId="19B7D1CF" w14:textId="28029EA4" w:rsidR="00055D77" w:rsidRPr="00176D3F" w:rsidRDefault="00055D77" w:rsidP="006730C6">
            <w:pPr>
              <w:pStyle w:val="Source"/>
            </w:pPr>
            <w:r>
              <w:rPr>
                <w:i/>
              </w:rPr>
              <w:t>S</w:t>
            </w:r>
            <w:r w:rsidRPr="00784A05">
              <w:rPr>
                <w:i/>
              </w:rPr>
              <w:t>ource</w:t>
            </w:r>
            <w:r w:rsidRPr="00176D3F">
              <w:t xml:space="preserve">: </w:t>
            </w:r>
            <w:r>
              <w:t>Commission estimates based on National Crash Database (</w:t>
            </w:r>
            <w:proofErr w:type="spellStart"/>
            <w:r>
              <w:t>BITRE</w:t>
            </w:r>
            <w:proofErr w:type="spellEnd"/>
            <w:r>
              <w:t>, unpublished).</w:t>
            </w:r>
          </w:p>
        </w:tc>
      </w:tr>
      <w:tr w:rsidR="00055D77" w14:paraId="10DA9BD7" w14:textId="77777777" w:rsidTr="006730C6">
        <w:tc>
          <w:tcPr>
            <w:tcW w:w="5000" w:type="pct"/>
            <w:tcBorders>
              <w:top w:val="nil"/>
              <w:left w:val="nil"/>
              <w:bottom w:val="single" w:sz="6" w:space="0" w:color="78A22F"/>
              <w:right w:val="nil"/>
            </w:tcBorders>
            <w:shd w:val="clear" w:color="auto" w:fill="auto"/>
          </w:tcPr>
          <w:p w14:paraId="4E7F9DEE" w14:textId="77777777" w:rsidR="00055D77" w:rsidRDefault="00055D77" w:rsidP="006730C6">
            <w:pPr>
              <w:pStyle w:val="Figurespace"/>
            </w:pPr>
          </w:p>
        </w:tc>
      </w:tr>
      <w:tr w:rsidR="00055D77" w:rsidRPr="000863A5" w14:paraId="6A8E961E" w14:textId="77777777" w:rsidTr="006730C6">
        <w:tc>
          <w:tcPr>
            <w:tcW w:w="5000" w:type="pct"/>
            <w:tcBorders>
              <w:top w:val="single" w:sz="6" w:space="0" w:color="78A22F"/>
              <w:left w:val="nil"/>
              <w:bottom w:val="nil"/>
              <w:right w:val="nil"/>
            </w:tcBorders>
          </w:tcPr>
          <w:p w14:paraId="2D993B8F" w14:textId="0018AE7F" w:rsidR="00055D77" w:rsidRPr="00626D32" w:rsidRDefault="00055D77" w:rsidP="006730C6">
            <w:pPr>
              <w:pStyle w:val="BoxSpaceBelow"/>
            </w:pPr>
          </w:p>
        </w:tc>
      </w:tr>
    </w:tbl>
    <w:p w14:paraId="43FF7394" w14:textId="72C3CAEA" w:rsidR="008718EE" w:rsidRDefault="008718EE" w:rsidP="002D2DB3">
      <w:pPr>
        <w:pStyle w:val="BoxSpaceAbove"/>
      </w:pPr>
    </w:p>
    <w:p w14:paraId="3D661BE2" w14:textId="77777777" w:rsidR="00767040" w:rsidRDefault="00767040" w:rsidP="0091380D">
      <w:pPr>
        <w:pStyle w:val="Heading4"/>
        <w:spacing w:before="0"/>
      </w:pPr>
      <w:r>
        <w:t>Regression results</w:t>
      </w:r>
    </w:p>
    <w:p w14:paraId="26DAD84F" w14:textId="6BB17F41" w:rsidR="00767040" w:rsidRDefault="00767040" w:rsidP="00767040">
      <w:pPr>
        <w:pStyle w:val="BodyText"/>
      </w:pPr>
      <w:r>
        <w:t>The</w:t>
      </w:r>
      <w:r w:rsidRPr="00EC0AB8">
        <w:t xml:space="preserve"> estimates for </w:t>
      </w:r>
      <w:r w:rsidR="00282291">
        <w:t>model </w:t>
      </w:r>
      <w:r w:rsidR="00AC16B6">
        <w:t>1 are presented in table </w:t>
      </w:r>
      <w:proofErr w:type="spellStart"/>
      <w:r>
        <w:t>B.3</w:t>
      </w:r>
      <w:proofErr w:type="spellEnd"/>
      <w:r w:rsidRPr="00EC0AB8">
        <w:t xml:space="preserve">. </w:t>
      </w:r>
      <w:r>
        <w:t xml:space="preserve">If the </w:t>
      </w:r>
      <w:proofErr w:type="spellStart"/>
      <w:r>
        <w:t>HVNL</w:t>
      </w:r>
      <w:proofErr w:type="spellEnd"/>
      <w:r>
        <w:t xml:space="preserve"> had improved heavy vehicle safety, the treatment effect would be expected to be significant and negative (reducing the crash rate). However, a</w:t>
      </w:r>
      <w:r w:rsidRPr="00EC0AB8">
        <w:t>cross all specifications</w:t>
      </w:r>
      <w:r>
        <w:t>,</w:t>
      </w:r>
      <w:r w:rsidRPr="00EC0AB8">
        <w:t xml:space="preserve"> there is insufficient evidence to suggest that </w:t>
      </w:r>
      <w:r>
        <w:t xml:space="preserve">the </w:t>
      </w:r>
      <w:proofErr w:type="spellStart"/>
      <w:r>
        <w:t>HVNL</w:t>
      </w:r>
      <w:proofErr w:type="spellEnd"/>
      <w:r>
        <w:t xml:space="preserve"> </w:t>
      </w:r>
      <w:r w:rsidRPr="00EC0AB8">
        <w:t xml:space="preserve">had a </w:t>
      </w:r>
      <w:r>
        <w:t xml:space="preserve">statistically </w:t>
      </w:r>
      <w:r w:rsidRPr="00EC0AB8">
        <w:t>significant impact on heavy vehicle safety.</w:t>
      </w:r>
      <w:r w:rsidRPr="0047100F">
        <w:rPr>
          <w:rStyle w:val="FootnoteReference"/>
        </w:rPr>
        <w:footnoteReference w:id="3"/>
      </w:r>
    </w:p>
    <w:p w14:paraId="57FB0E03" w14:textId="475306A8" w:rsidR="00767040" w:rsidRPr="003802FF" w:rsidRDefault="00767040" w:rsidP="007670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767040" w14:paraId="35D58BA7" w14:textId="77777777" w:rsidTr="00235E85">
        <w:trPr>
          <w:tblHeader/>
        </w:trPr>
        <w:tc>
          <w:tcPr>
            <w:tcW w:w="5000" w:type="pct"/>
            <w:tcBorders>
              <w:top w:val="single" w:sz="6" w:space="0" w:color="78A22F"/>
              <w:left w:val="nil"/>
              <w:bottom w:val="nil"/>
              <w:right w:val="nil"/>
            </w:tcBorders>
            <w:shd w:val="clear" w:color="auto" w:fill="auto"/>
          </w:tcPr>
          <w:p w14:paraId="55556879" w14:textId="4CE4EE07" w:rsidR="00767040" w:rsidRDefault="00767040" w:rsidP="00235E85">
            <w:pPr>
              <w:pStyle w:val="TableTitle"/>
            </w:pPr>
            <w:r>
              <w:rPr>
                <w:b w:val="0"/>
              </w:rPr>
              <w:t xml:space="preserve">Table </w:t>
            </w:r>
            <w:proofErr w:type="spellStart"/>
            <w:r>
              <w:rPr>
                <w:b w:val="0"/>
              </w:rPr>
              <w:t>B.3</w:t>
            </w:r>
            <w:proofErr w:type="spellEnd"/>
            <w:r>
              <w:tab/>
              <w:t xml:space="preserve">Heavy vehicle crashes in </w:t>
            </w:r>
            <w:proofErr w:type="spellStart"/>
            <w:r>
              <w:t>HVNL</w:t>
            </w:r>
            <w:proofErr w:type="spellEnd"/>
            <w:r>
              <w:t xml:space="preserve"> and non</w:t>
            </w:r>
            <w:r>
              <w:noBreakHyphen/>
            </w:r>
            <w:proofErr w:type="spellStart"/>
            <w:r>
              <w:t>HVNL</w:t>
            </w:r>
            <w:proofErr w:type="spellEnd"/>
            <w:r>
              <w:t xml:space="preserve"> jurisdictions</w:t>
            </w:r>
            <w:r w:rsidRPr="002637F5">
              <w:rPr>
                <w:rStyle w:val="NoteLabel"/>
                <w:b/>
              </w:rPr>
              <w:t>a</w:t>
            </w:r>
          </w:p>
          <w:p w14:paraId="4895CC90" w14:textId="77777777" w:rsidR="00767040" w:rsidRPr="00784A05" w:rsidRDefault="00767040" w:rsidP="00235E85">
            <w:pPr>
              <w:pStyle w:val="Subtitle"/>
            </w:pPr>
            <w:r>
              <w:t>Difference</w:t>
            </w:r>
            <w:r>
              <w:noBreakHyphen/>
              <w:t>in</w:t>
            </w:r>
            <w:r>
              <w:noBreakHyphen/>
              <w:t>differences results</w:t>
            </w:r>
          </w:p>
        </w:tc>
      </w:tr>
      <w:tr w:rsidR="00767040" w14:paraId="014DE391" w14:textId="77777777" w:rsidTr="00235E85">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560"/>
              <w:gridCol w:w="2317"/>
              <w:gridCol w:w="2315"/>
              <w:gridCol w:w="2313"/>
            </w:tblGrid>
            <w:tr w:rsidR="00767040" w14:paraId="212AFB35" w14:textId="77777777" w:rsidTr="00235E85">
              <w:trPr>
                <w:tblHeader/>
              </w:trPr>
              <w:tc>
                <w:tcPr>
                  <w:tcW w:w="917" w:type="pct"/>
                  <w:tcBorders>
                    <w:top w:val="single" w:sz="6" w:space="0" w:color="BFBFBF"/>
                    <w:bottom w:val="single" w:sz="6" w:space="0" w:color="BFBFBF"/>
                  </w:tcBorders>
                  <w:shd w:val="clear" w:color="auto" w:fill="auto"/>
                  <w:tcMar>
                    <w:top w:w="28" w:type="dxa"/>
                  </w:tcMar>
                </w:tcPr>
                <w:p w14:paraId="5C5B4940" w14:textId="424936AA" w:rsidR="00767040" w:rsidRPr="001C1CCC" w:rsidRDefault="00767040" w:rsidP="00235E85">
                  <w:pPr>
                    <w:pStyle w:val="TableColumnHeading"/>
                    <w:jc w:val="left"/>
                  </w:pPr>
                </w:p>
              </w:tc>
              <w:tc>
                <w:tcPr>
                  <w:tcW w:w="1362" w:type="pct"/>
                  <w:tcBorders>
                    <w:top w:val="single" w:sz="6" w:space="0" w:color="BFBFBF"/>
                    <w:bottom w:val="single" w:sz="6" w:space="0" w:color="BFBFBF"/>
                  </w:tcBorders>
                </w:tcPr>
                <w:p w14:paraId="3516164F" w14:textId="59D0293C" w:rsidR="00767040" w:rsidRDefault="00E76C2A" w:rsidP="00235E85">
                  <w:pPr>
                    <w:pStyle w:val="TableColumnHeading"/>
                  </w:pPr>
                  <w:r>
                    <w:t xml:space="preserve">Specification </w:t>
                  </w:r>
                  <w:r w:rsidRPr="001C1CCC">
                    <w:t>1</w:t>
                  </w:r>
                </w:p>
                <w:p w14:paraId="2B62AA6B" w14:textId="77777777" w:rsidR="00767040" w:rsidRPr="001C1CCC" w:rsidRDefault="00767040" w:rsidP="00235E85">
                  <w:pPr>
                    <w:pStyle w:val="TableColumnHeading"/>
                  </w:pPr>
                  <w:r>
                    <w:t>Baseline with fixed effects</w:t>
                  </w:r>
                </w:p>
              </w:tc>
              <w:tc>
                <w:tcPr>
                  <w:tcW w:w="1361" w:type="pct"/>
                  <w:tcBorders>
                    <w:top w:val="single" w:sz="6" w:space="0" w:color="BFBFBF"/>
                    <w:bottom w:val="single" w:sz="6" w:space="0" w:color="BFBFBF"/>
                  </w:tcBorders>
                  <w:shd w:val="clear" w:color="auto" w:fill="auto"/>
                  <w:tcMar>
                    <w:top w:w="28" w:type="dxa"/>
                  </w:tcMar>
                </w:tcPr>
                <w:p w14:paraId="03309CEC" w14:textId="64F6A336" w:rsidR="00767040" w:rsidRDefault="00E76C2A" w:rsidP="00235E85">
                  <w:pPr>
                    <w:pStyle w:val="TableColumnHeading"/>
                  </w:pPr>
                  <w:r>
                    <w:t>Specification 2</w:t>
                  </w:r>
                </w:p>
                <w:p w14:paraId="7B00B93C" w14:textId="20CBB275" w:rsidR="00767040" w:rsidRPr="001C1CCC" w:rsidRDefault="00767040" w:rsidP="002663DA">
                  <w:pPr>
                    <w:pStyle w:val="TableColumnHeading"/>
                  </w:pPr>
                  <w:r>
                    <w:t>Baseline with fixed effects</w:t>
                  </w:r>
                  <w:r w:rsidRPr="001C1CCC">
                    <w:t xml:space="preserve"> </w:t>
                  </w:r>
                  <w:r>
                    <w:t xml:space="preserve">and </w:t>
                  </w:r>
                  <w:r w:rsidR="002663DA">
                    <w:t>jurisdiction</w:t>
                  </w:r>
                  <w:r>
                    <w:noBreakHyphen/>
                    <w:t>specific time trends</w:t>
                  </w:r>
                </w:p>
              </w:tc>
              <w:tc>
                <w:tcPr>
                  <w:tcW w:w="1361" w:type="pct"/>
                  <w:tcBorders>
                    <w:top w:val="single" w:sz="6" w:space="0" w:color="BFBFBF"/>
                    <w:bottom w:val="single" w:sz="6" w:space="0" w:color="BFBFBF"/>
                  </w:tcBorders>
                  <w:shd w:val="clear" w:color="auto" w:fill="auto"/>
                  <w:tcMar>
                    <w:top w:w="28" w:type="dxa"/>
                  </w:tcMar>
                </w:tcPr>
                <w:p w14:paraId="65CF3925" w14:textId="1F3AE44E" w:rsidR="00767040" w:rsidRDefault="00E76C2A" w:rsidP="00235E85">
                  <w:pPr>
                    <w:pStyle w:val="TableColumnHeading"/>
                  </w:pPr>
                  <w:r>
                    <w:t>Specification 3</w:t>
                  </w:r>
                </w:p>
                <w:p w14:paraId="59D02512" w14:textId="4730E5EC" w:rsidR="00767040" w:rsidRPr="001C1CCC" w:rsidRDefault="00767040" w:rsidP="00235E85">
                  <w:pPr>
                    <w:pStyle w:val="TableColumnHeading"/>
                  </w:pPr>
                  <w:r>
                    <w:t xml:space="preserve">Baseline with fixed effects, </w:t>
                  </w:r>
                  <w:r w:rsidR="002663DA">
                    <w:t>jurisdiction</w:t>
                  </w:r>
                  <w:r>
                    <w:noBreakHyphen/>
                    <w:t>specific time trends</w:t>
                  </w:r>
                  <w:r w:rsidRPr="001C1CCC">
                    <w:t xml:space="preserve"> </w:t>
                  </w:r>
                  <w:r>
                    <w:t>and control variables</w:t>
                  </w:r>
                </w:p>
              </w:tc>
            </w:tr>
            <w:tr w:rsidR="00767040" w14:paraId="49942F85" w14:textId="77777777" w:rsidTr="00235E85">
              <w:tc>
                <w:tcPr>
                  <w:tcW w:w="917" w:type="pct"/>
                  <w:tcBorders>
                    <w:top w:val="single" w:sz="6" w:space="0" w:color="BFBFBF"/>
                  </w:tcBorders>
                </w:tcPr>
                <w:p w14:paraId="08F3E7AA" w14:textId="77777777" w:rsidR="00767040" w:rsidRPr="001C1CCC" w:rsidRDefault="00767040" w:rsidP="00235E85">
                  <w:pPr>
                    <w:pStyle w:val="TableUnitsRow"/>
                    <w:jc w:val="left"/>
                  </w:pPr>
                  <w:r>
                    <w:t xml:space="preserve">Effect of </w:t>
                  </w:r>
                  <w:proofErr w:type="spellStart"/>
                  <w:r>
                    <w:t>HVNL</w:t>
                  </w:r>
                  <w:proofErr w:type="spellEnd"/>
                </w:p>
              </w:tc>
              <w:tc>
                <w:tcPr>
                  <w:tcW w:w="1362" w:type="pct"/>
                  <w:tcBorders>
                    <w:top w:val="single" w:sz="6" w:space="0" w:color="BFBFBF"/>
                  </w:tcBorders>
                </w:tcPr>
                <w:p w14:paraId="100B1C35" w14:textId="77777777" w:rsidR="00767040" w:rsidRPr="001C1CCC" w:rsidRDefault="00767040" w:rsidP="00235E85">
                  <w:pPr>
                    <w:pStyle w:val="TableBodyText"/>
                  </w:pPr>
                  <w:r>
                    <w:t>1.56</w:t>
                  </w:r>
                </w:p>
              </w:tc>
              <w:tc>
                <w:tcPr>
                  <w:tcW w:w="1361" w:type="pct"/>
                  <w:tcBorders>
                    <w:top w:val="single" w:sz="6" w:space="0" w:color="BFBFBF"/>
                  </w:tcBorders>
                </w:tcPr>
                <w:p w14:paraId="1545E09E" w14:textId="77777777" w:rsidR="00767040" w:rsidRPr="001C1CCC" w:rsidRDefault="00767040" w:rsidP="00235E85">
                  <w:pPr>
                    <w:pStyle w:val="TableBodyText"/>
                  </w:pPr>
                  <w:r>
                    <w:noBreakHyphen/>
                    <w:t>10.53</w:t>
                  </w:r>
                </w:p>
              </w:tc>
              <w:tc>
                <w:tcPr>
                  <w:tcW w:w="1361" w:type="pct"/>
                  <w:tcBorders>
                    <w:top w:val="single" w:sz="6" w:space="0" w:color="BFBFBF"/>
                  </w:tcBorders>
                </w:tcPr>
                <w:p w14:paraId="34C6CC30" w14:textId="77777777" w:rsidR="00767040" w:rsidRPr="001C1CCC" w:rsidRDefault="00767040" w:rsidP="00235E85">
                  <w:pPr>
                    <w:pStyle w:val="TableBodyText"/>
                  </w:pPr>
                  <w:r>
                    <w:noBreakHyphen/>
                    <w:t>8.87</w:t>
                  </w:r>
                </w:p>
              </w:tc>
            </w:tr>
            <w:tr w:rsidR="00767040" w14:paraId="1D8F3572" w14:textId="77777777" w:rsidTr="00317D72">
              <w:tc>
                <w:tcPr>
                  <w:tcW w:w="917" w:type="pct"/>
                  <w:tcBorders>
                    <w:bottom w:val="single" w:sz="4" w:space="0" w:color="BFBFBF"/>
                  </w:tcBorders>
                </w:tcPr>
                <w:p w14:paraId="54EFD23D" w14:textId="77777777" w:rsidR="00767040" w:rsidRPr="001C1CCC" w:rsidRDefault="00767040" w:rsidP="00235E85">
                  <w:pPr>
                    <w:pStyle w:val="TableUnitsRow"/>
                    <w:jc w:val="left"/>
                  </w:pPr>
                  <w:r>
                    <w:t>Standard error</w:t>
                  </w:r>
                </w:p>
              </w:tc>
              <w:tc>
                <w:tcPr>
                  <w:tcW w:w="1362" w:type="pct"/>
                  <w:tcBorders>
                    <w:bottom w:val="single" w:sz="4" w:space="0" w:color="BFBFBF"/>
                  </w:tcBorders>
                </w:tcPr>
                <w:p w14:paraId="0F614E99" w14:textId="77777777" w:rsidR="00767040" w:rsidRPr="001C1CCC" w:rsidRDefault="00767040" w:rsidP="00235E85">
                  <w:pPr>
                    <w:pStyle w:val="TableBodyText"/>
                  </w:pPr>
                  <w:r>
                    <w:t>(10.47</w:t>
                  </w:r>
                  <w:r w:rsidRPr="001C1CCC">
                    <w:t>)</w:t>
                  </w:r>
                </w:p>
              </w:tc>
              <w:tc>
                <w:tcPr>
                  <w:tcW w:w="1361" w:type="pct"/>
                  <w:tcBorders>
                    <w:bottom w:val="single" w:sz="4" w:space="0" w:color="BFBFBF"/>
                  </w:tcBorders>
                </w:tcPr>
                <w:p w14:paraId="2310EE4B" w14:textId="77777777" w:rsidR="00767040" w:rsidRPr="001C1CCC" w:rsidRDefault="00767040" w:rsidP="00235E85">
                  <w:pPr>
                    <w:pStyle w:val="TableBodyText"/>
                  </w:pPr>
                  <w:r w:rsidRPr="001C1CCC">
                    <w:t>(</w:t>
                  </w:r>
                  <w:r>
                    <w:t>20.47)</w:t>
                  </w:r>
                </w:p>
              </w:tc>
              <w:tc>
                <w:tcPr>
                  <w:tcW w:w="1361" w:type="pct"/>
                  <w:tcBorders>
                    <w:bottom w:val="single" w:sz="4" w:space="0" w:color="BFBFBF"/>
                  </w:tcBorders>
                </w:tcPr>
                <w:p w14:paraId="5B927B40" w14:textId="77777777" w:rsidR="00767040" w:rsidRPr="001C1CCC" w:rsidRDefault="00767040" w:rsidP="00235E85">
                  <w:pPr>
                    <w:pStyle w:val="TableBodyText"/>
                  </w:pPr>
                  <w:r w:rsidRPr="001C1CCC">
                    <w:t>(</w:t>
                  </w:r>
                  <w:r>
                    <w:t>20.94)</w:t>
                  </w:r>
                </w:p>
              </w:tc>
            </w:tr>
            <w:tr w:rsidR="00767040" w14:paraId="16E80AA3" w14:textId="77777777" w:rsidTr="00317D72">
              <w:tc>
                <w:tcPr>
                  <w:tcW w:w="917" w:type="pct"/>
                  <w:tcBorders>
                    <w:top w:val="single" w:sz="4" w:space="0" w:color="BFBFBF"/>
                  </w:tcBorders>
                </w:tcPr>
                <w:p w14:paraId="1A021F2C" w14:textId="052D309A" w:rsidR="00767040" w:rsidRPr="001C1CCC" w:rsidRDefault="00767040" w:rsidP="00BB6156">
                  <w:pPr>
                    <w:pStyle w:val="TableUnitsRow"/>
                    <w:jc w:val="left"/>
                  </w:pPr>
                  <w:r w:rsidRPr="001C1CCC">
                    <w:t>R</w:t>
                  </w:r>
                  <w:r w:rsidR="00BB6156">
                    <w:noBreakHyphen/>
                  </w:r>
                  <w:r>
                    <w:t>s</w:t>
                  </w:r>
                  <w:r w:rsidRPr="001C1CCC">
                    <w:t>quared</w:t>
                  </w:r>
                </w:p>
              </w:tc>
              <w:tc>
                <w:tcPr>
                  <w:tcW w:w="1362" w:type="pct"/>
                  <w:tcBorders>
                    <w:top w:val="single" w:sz="4" w:space="0" w:color="BFBFBF"/>
                  </w:tcBorders>
                </w:tcPr>
                <w:p w14:paraId="5E729CC5" w14:textId="77777777" w:rsidR="00767040" w:rsidRPr="001C1CCC" w:rsidRDefault="00767040" w:rsidP="00235E85">
                  <w:pPr>
                    <w:pStyle w:val="TableBodyText"/>
                  </w:pPr>
                  <w:r w:rsidRPr="001C1CCC">
                    <w:t>0.6</w:t>
                  </w:r>
                  <w:r>
                    <w:t>8</w:t>
                  </w:r>
                </w:p>
              </w:tc>
              <w:tc>
                <w:tcPr>
                  <w:tcW w:w="1361" w:type="pct"/>
                  <w:tcBorders>
                    <w:top w:val="single" w:sz="4" w:space="0" w:color="BFBFBF"/>
                  </w:tcBorders>
                </w:tcPr>
                <w:p w14:paraId="6DF51DD6" w14:textId="77777777" w:rsidR="00767040" w:rsidRPr="001C1CCC" w:rsidRDefault="00767040" w:rsidP="00235E85">
                  <w:pPr>
                    <w:pStyle w:val="TableBodyText"/>
                  </w:pPr>
                  <w:r w:rsidRPr="001C1CCC">
                    <w:t>0.7</w:t>
                  </w:r>
                  <w:r>
                    <w:t>4</w:t>
                  </w:r>
                </w:p>
              </w:tc>
              <w:tc>
                <w:tcPr>
                  <w:tcW w:w="1361" w:type="pct"/>
                  <w:tcBorders>
                    <w:top w:val="single" w:sz="4" w:space="0" w:color="BFBFBF"/>
                  </w:tcBorders>
                </w:tcPr>
                <w:p w14:paraId="6F8686A3" w14:textId="77777777" w:rsidR="00767040" w:rsidRPr="001C1CCC" w:rsidRDefault="00767040" w:rsidP="00235E85">
                  <w:pPr>
                    <w:pStyle w:val="TableBodyText"/>
                  </w:pPr>
                  <w:r w:rsidRPr="001C1CCC">
                    <w:t>0.7</w:t>
                  </w:r>
                  <w:r>
                    <w:t>4</w:t>
                  </w:r>
                </w:p>
              </w:tc>
            </w:tr>
            <w:tr w:rsidR="00767040" w14:paraId="01403765" w14:textId="77777777" w:rsidTr="00235E85">
              <w:tc>
                <w:tcPr>
                  <w:tcW w:w="917" w:type="pct"/>
                  <w:tcBorders>
                    <w:bottom w:val="single" w:sz="6" w:space="0" w:color="BFBFBF"/>
                  </w:tcBorders>
                  <w:shd w:val="clear" w:color="auto" w:fill="auto"/>
                </w:tcPr>
                <w:p w14:paraId="5EECC696" w14:textId="77777777" w:rsidR="00767040" w:rsidRPr="001C1CCC" w:rsidRDefault="00767040" w:rsidP="00235E85">
                  <w:pPr>
                    <w:pStyle w:val="TableUnitsRow"/>
                    <w:jc w:val="left"/>
                  </w:pPr>
                  <w:r>
                    <w:t>O</w:t>
                  </w:r>
                  <w:r w:rsidRPr="001C1CCC">
                    <w:t>bservations</w:t>
                  </w:r>
                </w:p>
              </w:tc>
              <w:tc>
                <w:tcPr>
                  <w:tcW w:w="1362" w:type="pct"/>
                  <w:tcBorders>
                    <w:bottom w:val="single" w:sz="6" w:space="0" w:color="BFBFBF"/>
                  </w:tcBorders>
                </w:tcPr>
                <w:p w14:paraId="3C8B4B40" w14:textId="77777777" w:rsidR="00767040" w:rsidRPr="001C1CCC" w:rsidRDefault="00767040" w:rsidP="00235E85">
                  <w:pPr>
                    <w:pStyle w:val="TableBodyText"/>
                  </w:pPr>
                  <w:r w:rsidRPr="001C1CCC">
                    <w:t>2</w:t>
                  </w:r>
                  <w:r>
                    <w:t>79</w:t>
                  </w:r>
                </w:p>
              </w:tc>
              <w:tc>
                <w:tcPr>
                  <w:tcW w:w="1361" w:type="pct"/>
                  <w:tcBorders>
                    <w:bottom w:val="single" w:sz="6" w:space="0" w:color="BFBFBF"/>
                  </w:tcBorders>
                  <w:shd w:val="clear" w:color="auto" w:fill="auto"/>
                </w:tcPr>
                <w:p w14:paraId="46D29929" w14:textId="77777777" w:rsidR="00767040" w:rsidRPr="001C1CCC" w:rsidRDefault="00767040" w:rsidP="00235E85">
                  <w:pPr>
                    <w:pStyle w:val="TableBodyText"/>
                  </w:pPr>
                  <w:r w:rsidRPr="001C1CCC">
                    <w:t>2</w:t>
                  </w:r>
                  <w:r>
                    <w:t>79</w:t>
                  </w:r>
                </w:p>
              </w:tc>
              <w:tc>
                <w:tcPr>
                  <w:tcW w:w="1361" w:type="pct"/>
                  <w:tcBorders>
                    <w:bottom w:val="single" w:sz="6" w:space="0" w:color="BFBFBF"/>
                  </w:tcBorders>
                  <w:shd w:val="clear" w:color="auto" w:fill="auto"/>
                </w:tcPr>
                <w:p w14:paraId="184A9B9B" w14:textId="77777777" w:rsidR="00767040" w:rsidRPr="001C1CCC" w:rsidRDefault="00767040" w:rsidP="00235E85">
                  <w:pPr>
                    <w:pStyle w:val="TableBodyText"/>
                  </w:pPr>
                  <w:r w:rsidRPr="001C1CCC">
                    <w:t>2</w:t>
                  </w:r>
                  <w:r>
                    <w:t>79</w:t>
                  </w:r>
                </w:p>
              </w:tc>
            </w:tr>
          </w:tbl>
          <w:p w14:paraId="1799C601" w14:textId="77777777" w:rsidR="00767040" w:rsidRDefault="00767040" w:rsidP="00235E85">
            <w:pPr>
              <w:pStyle w:val="Box"/>
            </w:pPr>
          </w:p>
        </w:tc>
      </w:tr>
      <w:tr w:rsidR="00767040" w14:paraId="78577760" w14:textId="77777777" w:rsidTr="00235E85">
        <w:trPr>
          <w:trHeight w:val="654"/>
        </w:trPr>
        <w:tc>
          <w:tcPr>
            <w:tcW w:w="5000" w:type="pct"/>
            <w:tcBorders>
              <w:top w:val="nil"/>
              <w:left w:val="nil"/>
              <w:bottom w:val="nil"/>
              <w:right w:val="nil"/>
            </w:tcBorders>
            <w:shd w:val="clear" w:color="auto" w:fill="auto"/>
          </w:tcPr>
          <w:p w14:paraId="241FF06E" w14:textId="51C6E771" w:rsidR="00767040" w:rsidRDefault="00767040" w:rsidP="00235E85">
            <w:pPr>
              <w:pStyle w:val="Note"/>
              <w:rPr>
                <w:i/>
              </w:rPr>
            </w:pPr>
            <w:r w:rsidRPr="008E77FE">
              <w:rPr>
                <w:rStyle w:val="NoteLabel"/>
              </w:rPr>
              <w:t>a</w:t>
            </w:r>
            <w:r>
              <w:t xml:space="preserve"> </w:t>
            </w:r>
            <w:r w:rsidR="0050188F" w:rsidRPr="0050188F">
              <w:t xml:space="preserve">Results using quarterly data from January 2008 to December 2017. The </w:t>
            </w:r>
            <w:proofErr w:type="spellStart"/>
            <w:r w:rsidR="0050188F" w:rsidRPr="0050188F">
              <w:t>HVNL</w:t>
            </w:r>
            <w:proofErr w:type="spellEnd"/>
            <w:r w:rsidR="0050188F" w:rsidRPr="0050188F">
              <w:t xml:space="preserve"> was assumed to apply for relevant jurisdictions from the first quarter of 2014.</w:t>
            </w:r>
            <w:r>
              <w:t xml:space="preserve"> </w:t>
            </w:r>
            <w:r w:rsidRPr="000E6B1D">
              <w:t xml:space="preserve">The dependent variable is the number of heavy </w:t>
            </w:r>
            <w:r>
              <w:t>vehicle crashes</w:t>
            </w:r>
            <w:r w:rsidRPr="000E6B1D">
              <w:t xml:space="preserve"> (involving injury or death) per billion heavy vehicle kilometres. Standard errors </w:t>
            </w:r>
            <w:r>
              <w:t xml:space="preserve">have been </w:t>
            </w:r>
            <w:r w:rsidRPr="000E6B1D">
              <w:t xml:space="preserve">corrected for clustering at the </w:t>
            </w:r>
            <w:r w:rsidR="002663DA">
              <w:t xml:space="preserve">jurisdiction </w:t>
            </w:r>
            <w:r w:rsidRPr="000E6B1D">
              <w:t>level</w:t>
            </w:r>
            <w:r w:rsidRPr="0050188F">
              <w:t>.</w:t>
            </w:r>
            <w:r w:rsidR="00AE57B6">
              <w:t xml:space="preserve"> </w:t>
            </w:r>
            <w:r w:rsidRPr="000E6B1D">
              <w:t>*</w:t>
            </w:r>
            <w:r>
              <w:t xml:space="preserve"> </w:t>
            </w:r>
            <w:r w:rsidRPr="000E6B1D">
              <w:t>p&lt;0.10</w:t>
            </w:r>
            <w:r>
              <w:t>,</w:t>
            </w:r>
            <w:r w:rsidRPr="000E6B1D">
              <w:t xml:space="preserve"> **</w:t>
            </w:r>
            <w:r w:rsidR="00245532">
              <w:t> </w:t>
            </w:r>
            <w:r w:rsidRPr="000E6B1D">
              <w:t>p&lt;0.05</w:t>
            </w:r>
            <w:r>
              <w:t>,</w:t>
            </w:r>
            <w:r w:rsidRPr="000E6B1D">
              <w:t xml:space="preserve"> ***</w:t>
            </w:r>
            <w:r>
              <w:t xml:space="preserve"> </w:t>
            </w:r>
            <w:r w:rsidRPr="000E6B1D">
              <w:t>p&lt;0.01</w:t>
            </w:r>
            <w:r>
              <w:t xml:space="preserve">. </w:t>
            </w:r>
          </w:p>
        </w:tc>
      </w:tr>
      <w:tr w:rsidR="00767040" w14:paraId="5B0E901A" w14:textId="77777777" w:rsidTr="00235E85">
        <w:tc>
          <w:tcPr>
            <w:tcW w:w="5000" w:type="pct"/>
            <w:tcBorders>
              <w:top w:val="nil"/>
              <w:left w:val="nil"/>
              <w:bottom w:val="nil"/>
              <w:right w:val="nil"/>
            </w:tcBorders>
            <w:shd w:val="clear" w:color="auto" w:fill="auto"/>
          </w:tcPr>
          <w:p w14:paraId="4E8B8F8A" w14:textId="77777777" w:rsidR="00767040" w:rsidRDefault="00767040" w:rsidP="00235E85">
            <w:pPr>
              <w:pStyle w:val="Source"/>
            </w:pPr>
            <w:r>
              <w:rPr>
                <w:i/>
              </w:rPr>
              <w:t>S</w:t>
            </w:r>
            <w:r w:rsidRPr="00784A05">
              <w:rPr>
                <w:i/>
              </w:rPr>
              <w:t>ource</w:t>
            </w:r>
            <w:r w:rsidRPr="00176D3F">
              <w:t xml:space="preserve">: </w:t>
            </w:r>
            <w:r>
              <w:t>Commission estimates based on National Crash Database (</w:t>
            </w:r>
            <w:proofErr w:type="spellStart"/>
            <w:r>
              <w:t>BITRE</w:t>
            </w:r>
            <w:proofErr w:type="spellEnd"/>
            <w:r>
              <w:t>, unpublished).</w:t>
            </w:r>
          </w:p>
        </w:tc>
      </w:tr>
      <w:tr w:rsidR="00767040" w14:paraId="1B54948C" w14:textId="77777777" w:rsidTr="00235E85">
        <w:tc>
          <w:tcPr>
            <w:tcW w:w="5000" w:type="pct"/>
            <w:tcBorders>
              <w:top w:val="nil"/>
              <w:left w:val="nil"/>
              <w:bottom w:val="single" w:sz="6" w:space="0" w:color="78A22F"/>
              <w:right w:val="nil"/>
            </w:tcBorders>
            <w:shd w:val="clear" w:color="auto" w:fill="auto"/>
          </w:tcPr>
          <w:p w14:paraId="58BB0FA8" w14:textId="77777777" w:rsidR="00767040" w:rsidRDefault="00767040" w:rsidP="00235E85">
            <w:pPr>
              <w:pStyle w:val="Box"/>
              <w:spacing w:before="0" w:line="120" w:lineRule="exact"/>
            </w:pPr>
          </w:p>
        </w:tc>
      </w:tr>
      <w:tr w:rsidR="00767040" w:rsidRPr="000863A5" w14:paraId="4B6E210A" w14:textId="77777777" w:rsidTr="00235E85">
        <w:tc>
          <w:tcPr>
            <w:tcW w:w="5000" w:type="pct"/>
            <w:tcBorders>
              <w:top w:val="single" w:sz="6" w:space="0" w:color="78A22F"/>
              <w:left w:val="nil"/>
              <w:bottom w:val="nil"/>
              <w:right w:val="nil"/>
            </w:tcBorders>
          </w:tcPr>
          <w:p w14:paraId="16D383A5" w14:textId="5AC39A09" w:rsidR="00767040" w:rsidRPr="00626D32" w:rsidRDefault="00767040" w:rsidP="00235E85">
            <w:pPr>
              <w:pStyle w:val="BoxSpaceBelow"/>
            </w:pPr>
          </w:p>
        </w:tc>
      </w:tr>
    </w:tbl>
    <w:p w14:paraId="1253F757" w14:textId="7E436440" w:rsidR="00282291" w:rsidRPr="00675AD1" w:rsidRDefault="002125F5" w:rsidP="00282291">
      <w:pPr>
        <w:pStyle w:val="BodyText"/>
      </w:pPr>
      <w:r>
        <w:rPr>
          <w:rStyle w:val="BodyTextChar"/>
          <w:rFonts w:eastAsiaTheme="minorHAnsi"/>
        </w:rPr>
        <w:t>A caveat to this finding</w:t>
      </w:r>
      <w:r w:rsidR="00282291">
        <w:rPr>
          <w:rStyle w:val="BodyTextChar"/>
          <w:rFonts w:eastAsiaTheme="minorHAnsi"/>
        </w:rPr>
        <w:t xml:space="preserve"> is that</w:t>
      </w:r>
      <w:r w:rsidR="008141B6">
        <w:rPr>
          <w:rStyle w:val="BodyTextChar"/>
          <w:rFonts w:eastAsiaTheme="minorHAnsi"/>
        </w:rPr>
        <w:t>,</w:t>
      </w:r>
      <w:r w:rsidR="00282291">
        <w:rPr>
          <w:rStyle w:val="BodyTextChar"/>
          <w:rFonts w:eastAsiaTheme="minorHAnsi"/>
        </w:rPr>
        <w:t xml:space="preserve"> after the </w:t>
      </w:r>
      <w:proofErr w:type="spellStart"/>
      <w:r w:rsidR="00282291">
        <w:rPr>
          <w:rStyle w:val="BodyTextChar"/>
          <w:rFonts w:eastAsiaTheme="minorHAnsi"/>
        </w:rPr>
        <w:t>HVNL</w:t>
      </w:r>
      <w:proofErr w:type="spellEnd"/>
      <w:r w:rsidR="00282291">
        <w:rPr>
          <w:rStyle w:val="BodyTextChar"/>
          <w:rFonts w:eastAsiaTheme="minorHAnsi"/>
        </w:rPr>
        <w:t xml:space="preserve"> was enacted</w:t>
      </w:r>
      <w:r w:rsidR="008141B6">
        <w:rPr>
          <w:rStyle w:val="BodyTextChar"/>
          <w:rFonts w:eastAsiaTheme="minorHAnsi"/>
        </w:rPr>
        <w:t>,</w:t>
      </w:r>
      <w:r w:rsidR="00282291">
        <w:rPr>
          <w:rStyle w:val="BodyTextChar"/>
          <w:rFonts w:eastAsiaTheme="minorHAnsi"/>
        </w:rPr>
        <w:t xml:space="preserve"> there have been regulatory changes in Western Australia and the Northern Territory that may have affected heavy vehicle safety outcomes — </w:t>
      </w:r>
      <w:r w:rsidR="00515C5F">
        <w:rPr>
          <w:rStyle w:val="BodyTextChar"/>
          <w:rFonts w:eastAsiaTheme="minorHAnsi"/>
        </w:rPr>
        <w:t>such as the introduction of</w:t>
      </w:r>
      <w:r w:rsidR="00282291">
        <w:rPr>
          <w:rStyle w:val="BodyTextChar"/>
          <w:rFonts w:eastAsiaTheme="minorHAnsi"/>
        </w:rPr>
        <w:t xml:space="preserve"> </w:t>
      </w:r>
      <w:r w:rsidR="00CA2A70">
        <w:rPr>
          <w:rStyle w:val="BodyTextChar"/>
          <w:rFonts w:eastAsiaTheme="minorHAnsi"/>
        </w:rPr>
        <w:t>chain of responsibility laws and</w:t>
      </w:r>
      <w:r w:rsidR="00515C5F">
        <w:rPr>
          <w:rStyle w:val="BodyTextChar"/>
          <w:rFonts w:eastAsiaTheme="minorHAnsi"/>
        </w:rPr>
        <w:t xml:space="preserve"> changes to</w:t>
      </w:r>
      <w:r w:rsidR="00CA2A70">
        <w:rPr>
          <w:rStyle w:val="BodyTextChar"/>
          <w:rFonts w:eastAsiaTheme="minorHAnsi"/>
        </w:rPr>
        <w:t xml:space="preserve"> heavy vehicle road transport compliance requirements</w:t>
      </w:r>
      <w:r w:rsidR="00087A36">
        <w:rPr>
          <w:rStyle w:val="BodyTextChar"/>
          <w:rFonts w:eastAsiaTheme="minorHAnsi"/>
        </w:rPr>
        <w:t xml:space="preserve"> </w:t>
      </w:r>
      <w:r w:rsidR="00D10E0A" w:rsidRPr="00D10E0A">
        <w:rPr>
          <w:szCs w:val="24"/>
        </w:rPr>
        <w:t>(Main Roads Western Australia 2015)</w:t>
      </w:r>
      <w:r w:rsidR="00CA2A70">
        <w:rPr>
          <w:rStyle w:val="BodyTextChar"/>
          <w:rFonts w:eastAsiaTheme="minorHAnsi"/>
        </w:rPr>
        <w:t xml:space="preserve">. </w:t>
      </w:r>
      <w:r w:rsidR="00282291">
        <w:rPr>
          <w:color w:val="000000"/>
        </w:rPr>
        <w:t xml:space="preserve">Adopting the </w:t>
      </w:r>
      <w:proofErr w:type="spellStart"/>
      <w:r w:rsidR="00282291">
        <w:rPr>
          <w:color w:val="000000"/>
        </w:rPr>
        <w:t>HVNL</w:t>
      </w:r>
      <w:proofErr w:type="spellEnd"/>
      <w:r w:rsidR="00282291">
        <w:rPr>
          <w:color w:val="000000"/>
        </w:rPr>
        <w:t xml:space="preserve"> could have affected heavy vehicle safety but parallel regulatory changes in non</w:t>
      </w:r>
      <w:r w:rsidR="00282291">
        <w:rPr>
          <w:color w:val="000000"/>
        </w:rPr>
        <w:noBreakHyphen/>
      </w:r>
      <w:proofErr w:type="spellStart"/>
      <w:r w:rsidR="00282291">
        <w:rPr>
          <w:color w:val="000000"/>
        </w:rPr>
        <w:t>HVNL</w:t>
      </w:r>
      <w:proofErr w:type="spellEnd"/>
      <w:r w:rsidR="00282291">
        <w:rPr>
          <w:color w:val="000000"/>
        </w:rPr>
        <w:t xml:space="preserve"> jurisdictions may have had similar effects, masking the impact of the </w:t>
      </w:r>
      <w:proofErr w:type="spellStart"/>
      <w:r w:rsidR="00282291">
        <w:rPr>
          <w:color w:val="000000"/>
        </w:rPr>
        <w:t>HVNL</w:t>
      </w:r>
      <w:proofErr w:type="spellEnd"/>
      <w:r w:rsidR="00282291">
        <w:rPr>
          <w:color w:val="000000"/>
        </w:rPr>
        <w:t>.</w:t>
      </w:r>
      <w:r w:rsidR="00282291">
        <w:t xml:space="preserve"> </w:t>
      </w:r>
      <w:r w:rsidR="00282291">
        <w:rPr>
          <w:rStyle w:val="BodyTextChar"/>
          <w:rFonts w:eastAsiaTheme="minorHAnsi"/>
        </w:rPr>
        <w:t xml:space="preserve">As such, this analysis does not identify a ‘pure’ treatment effect of the </w:t>
      </w:r>
      <w:proofErr w:type="spellStart"/>
      <w:r w:rsidR="00282291">
        <w:rPr>
          <w:rStyle w:val="BodyTextChar"/>
          <w:rFonts w:eastAsiaTheme="minorHAnsi"/>
        </w:rPr>
        <w:t>HVNL</w:t>
      </w:r>
      <w:proofErr w:type="spellEnd"/>
      <w:r w:rsidR="00282291">
        <w:rPr>
          <w:rStyle w:val="BodyTextChar"/>
          <w:rFonts w:eastAsiaTheme="minorHAnsi"/>
        </w:rPr>
        <w:t xml:space="preserve">. It also captures other differences between </w:t>
      </w:r>
      <w:proofErr w:type="spellStart"/>
      <w:r w:rsidR="00282291">
        <w:rPr>
          <w:rStyle w:val="BodyTextChar"/>
          <w:rFonts w:eastAsiaTheme="minorHAnsi"/>
        </w:rPr>
        <w:t>HVNL</w:t>
      </w:r>
      <w:proofErr w:type="spellEnd"/>
      <w:r w:rsidR="00282291">
        <w:rPr>
          <w:rStyle w:val="BodyTextChar"/>
          <w:rFonts w:eastAsiaTheme="minorHAnsi"/>
        </w:rPr>
        <w:t xml:space="preserve"> and non</w:t>
      </w:r>
      <w:r w:rsidR="00282291">
        <w:rPr>
          <w:rStyle w:val="BodyTextChar"/>
          <w:rFonts w:eastAsiaTheme="minorHAnsi"/>
        </w:rPr>
        <w:noBreakHyphen/>
      </w:r>
      <w:proofErr w:type="spellStart"/>
      <w:r w:rsidR="00282291">
        <w:rPr>
          <w:rStyle w:val="BodyTextChar"/>
          <w:rFonts w:eastAsiaTheme="minorHAnsi"/>
        </w:rPr>
        <w:t>HVNL</w:t>
      </w:r>
      <w:proofErr w:type="spellEnd"/>
      <w:r w:rsidR="00282291">
        <w:rPr>
          <w:rStyle w:val="BodyTextChar"/>
          <w:rFonts w:eastAsiaTheme="minorHAnsi"/>
        </w:rPr>
        <w:t xml:space="preserve"> jurisdictions that occurred during</w:t>
      </w:r>
      <w:r w:rsidR="00282291">
        <w:t xml:space="preserve"> the </w:t>
      </w:r>
      <w:proofErr w:type="spellStart"/>
      <w:r w:rsidR="00282291">
        <w:t>HVNL</w:t>
      </w:r>
      <w:proofErr w:type="spellEnd"/>
      <w:r w:rsidR="00282291">
        <w:t xml:space="preserve"> period</w:t>
      </w:r>
      <w:r w:rsidR="00282291">
        <w:rPr>
          <w:color w:val="000000"/>
        </w:rPr>
        <w:t xml:space="preserve">. </w:t>
      </w:r>
      <w:r w:rsidR="005B3BD6">
        <w:rPr>
          <w:color w:val="000000"/>
        </w:rPr>
        <w:t>A</w:t>
      </w:r>
      <w:r w:rsidR="00282291">
        <w:t>nalysis in the following section (using model 2)</w:t>
      </w:r>
      <w:r w:rsidR="00515C5F">
        <w:t xml:space="preserve"> </w:t>
      </w:r>
      <w:r w:rsidR="00282291">
        <w:t>examines differences between heavy and non</w:t>
      </w:r>
      <w:r w:rsidR="00282291">
        <w:noBreakHyphen/>
        <w:t xml:space="preserve">heavy vehicles in </w:t>
      </w:r>
      <w:proofErr w:type="spellStart"/>
      <w:r w:rsidR="00282291">
        <w:t>HVNL</w:t>
      </w:r>
      <w:proofErr w:type="spellEnd"/>
      <w:r w:rsidR="00282291">
        <w:t xml:space="preserve"> jurisdictions only</w:t>
      </w:r>
      <w:r w:rsidR="00E04592">
        <w:t>,</w:t>
      </w:r>
      <w:r w:rsidR="00282291">
        <w:t xml:space="preserve"> to overcome the potential for parallel regulatory changes in non</w:t>
      </w:r>
      <w:r w:rsidR="000F678D">
        <w:noBreakHyphen/>
      </w:r>
      <w:proofErr w:type="spellStart"/>
      <w:r w:rsidR="00282291">
        <w:t>HVNL</w:t>
      </w:r>
      <w:proofErr w:type="spellEnd"/>
      <w:r w:rsidR="00282291">
        <w:t xml:space="preserve"> jurisdictions to bias results.</w:t>
      </w:r>
      <w:r w:rsidRPr="0047100F" w:rsidDel="002125F5">
        <w:rPr>
          <w:rStyle w:val="FootnoteReference"/>
        </w:rPr>
        <w:t xml:space="preserve"> </w:t>
      </w:r>
    </w:p>
    <w:p w14:paraId="36AD0276" w14:textId="2B94EEA6" w:rsidR="00633926" w:rsidRDefault="00633926" w:rsidP="00D93346">
      <w:pPr>
        <w:pStyle w:val="Heading4"/>
      </w:pPr>
      <w:r>
        <w:lastRenderedPageBreak/>
        <w:t>Robustness checks</w:t>
      </w:r>
    </w:p>
    <w:p w14:paraId="3A7345C4" w14:textId="6358631C" w:rsidR="00A506FC" w:rsidRDefault="00A506FC" w:rsidP="00A506FC">
      <w:pPr>
        <w:pStyle w:val="BodyText"/>
      </w:pPr>
      <w:r>
        <w:t xml:space="preserve">To examine whether the results </w:t>
      </w:r>
      <w:r w:rsidR="00087A36">
        <w:t>in model</w:t>
      </w:r>
      <w:r w:rsidR="002741B6">
        <w:t> </w:t>
      </w:r>
      <w:r w:rsidR="00087A36">
        <w:t>1</w:t>
      </w:r>
      <w:r>
        <w:t xml:space="preserve"> were robust across different types of crashes, the Commission examined:</w:t>
      </w:r>
    </w:p>
    <w:p w14:paraId="35702F23" w14:textId="6E0E178F" w:rsidR="00A506FC" w:rsidRDefault="00A506FC" w:rsidP="00A506FC">
      <w:pPr>
        <w:pStyle w:val="ListBullet"/>
      </w:pPr>
      <w:r>
        <w:t>crashes separately for articulated and heavy rigid trucks</w:t>
      </w:r>
      <w:r>
        <w:rPr>
          <w:rStyle w:val="FootnoteReference"/>
        </w:rPr>
        <w:footnoteReference w:id="4"/>
      </w:r>
    </w:p>
    <w:p w14:paraId="352E3115" w14:textId="4C5170F5" w:rsidR="00A506FC" w:rsidRDefault="00A506FC" w:rsidP="00A506FC">
      <w:pPr>
        <w:pStyle w:val="ListBullet"/>
      </w:pPr>
      <w:r>
        <w:t>crashes involving fatalities only.</w:t>
      </w:r>
    </w:p>
    <w:p w14:paraId="2BCD24A9" w14:textId="1A83D723" w:rsidR="00A506FC" w:rsidRDefault="00204FCF" w:rsidP="00A506FC">
      <w:pPr>
        <w:pStyle w:val="BodyText"/>
      </w:pPr>
      <w:r>
        <w:t>C</w:t>
      </w:r>
      <w:r w:rsidR="00B63196">
        <w:t>rashes involving a fatigued heavy vehicle driver</w:t>
      </w:r>
      <w:r w:rsidR="00A506FC">
        <w:t xml:space="preserve"> could </w:t>
      </w:r>
      <w:r w:rsidR="00A506FC" w:rsidRPr="008B0288">
        <w:t xml:space="preserve">not be rigorously examined </w:t>
      </w:r>
      <w:r w:rsidR="00A506FC">
        <w:t xml:space="preserve">because </w:t>
      </w:r>
      <w:r w:rsidR="00A506FC" w:rsidRPr="008B0288">
        <w:t xml:space="preserve">data </w:t>
      </w:r>
      <w:r w:rsidR="00A506FC">
        <w:t>on driver</w:t>
      </w:r>
      <w:r w:rsidR="00A506FC" w:rsidRPr="008B0288">
        <w:t xml:space="preserve"> fatigue</w:t>
      </w:r>
      <w:r w:rsidR="00A506FC">
        <w:t xml:space="preserve"> </w:t>
      </w:r>
      <w:r w:rsidR="006219F7">
        <w:t>were</w:t>
      </w:r>
      <w:r w:rsidR="00B63196">
        <w:t xml:space="preserve"> inconsistently</w:t>
      </w:r>
      <w:r w:rsidR="00A506FC" w:rsidRPr="008B0288">
        <w:t xml:space="preserve"> reported across </w:t>
      </w:r>
      <w:r w:rsidR="00A506FC">
        <w:t>jurisdictions</w:t>
      </w:r>
      <w:r w:rsidR="00AE75A3" w:rsidRPr="00AE75A3">
        <w:t xml:space="preserve"> </w:t>
      </w:r>
      <w:r w:rsidR="00AE75A3">
        <w:t xml:space="preserve">in the </w:t>
      </w:r>
      <w:proofErr w:type="spellStart"/>
      <w:r w:rsidR="00AE75A3">
        <w:t>NCD</w:t>
      </w:r>
      <w:proofErr w:type="spellEnd"/>
      <w:r w:rsidR="00A506FC">
        <w:t>.</w:t>
      </w:r>
    </w:p>
    <w:p w14:paraId="76AEC126" w14:textId="0FE9EF6B" w:rsidR="00087A36" w:rsidRDefault="00A506FC" w:rsidP="007B3400">
      <w:pPr>
        <w:pStyle w:val="BodyText"/>
      </w:pPr>
      <w:r w:rsidRPr="00EC0AB8">
        <w:t>Table</w:t>
      </w:r>
      <w:r>
        <w:t>s</w:t>
      </w:r>
      <w:r w:rsidRPr="00EC0AB8">
        <w:t> </w:t>
      </w:r>
      <w:proofErr w:type="spellStart"/>
      <w:r w:rsidRPr="00EC0AB8">
        <w:t>B.</w:t>
      </w:r>
      <w:r w:rsidR="00886E54">
        <w:t>4</w:t>
      </w:r>
      <w:proofErr w:type="spellEnd"/>
      <w:r>
        <w:t xml:space="preserve"> and </w:t>
      </w:r>
      <w:proofErr w:type="spellStart"/>
      <w:r>
        <w:t>B.</w:t>
      </w:r>
      <w:r w:rsidR="00886E54">
        <w:t>5</w:t>
      </w:r>
      <w:proofErr w:type="spellEnd"/>
      <w:r w:rsidRPr="00EC0AB8">
        <w:t xml:space="preserve"> present </w:t>
      </w:r>
      <w:r>
        <w:t xml:space="preserve">results for </w:t>
      </w:r>
      <w:r w:rsidRPr="00EC0AB8">
        <w:t>model</w:t>
      </w:r>
      <w:r>
        <w:t>s</w:t>
      </w:r>
      <w:r w:rsidRPr="00EC0AB8">
        <w:t xml:space="preserve"> comparing</w:t>
      </w:r>
      <w:r>
        <w:t xml:space="preserve"> crash</w:t>
      </w:r>
      <w:r w:rsidRPr="00EC0AB8">
        <w:t xml:space="preserve"> rates in </w:t>
      </w:r>
      <w:proofErr w:type="spellStart"/>
      <w:r w:rsidRPr="00EC0AB8">
        <w:t>HVNL</w:t>
      </w:r>
      <w:proofErr w:type="spellEnd"/>
      <w:r w:rsidRPr="00EC0AB8">
        <w:t xml:space="preserve"> and non</w:t>
      </w:r>
      <w:r>
        <w:noBreakHyphen/>
      </w:r>
      <w:proofErr w:type="spellStart"/>
      <w:r w:rsidRPr="00EC0AB8">
        <w:t>HVNL</w:t>
      </w:r>
      <w:proofErr w:type="spellEnd"/>
      <w:r w:rsidRPr="00EC0AB8">
        <w:t xml:space="preserve"> </w:t>
      </w:r>
      <w:r>
        <w:t xml:space="preserve">jurisdictions separately for articulated and heavy rigid vehicles. </w:t>
      </w:r>
      <w:r w:rsidRPr="00EC0AB8">
        <w:t>Table </w:t>
      </w:r>
      <w:proofErr w:type="spellStart"/>
      <w:r w:rsidRPr="00EC0AB8">
        <w:t>B.</w:t>
      </w:r>
      <w:r w:rsidR="00886E54">
        <w:t>6</w:t>
      </w:r>
      <w:proofErr w:type="spellEnd"/>
      <w:r w:rsidRPr="00EC0AB8">
        <w:t xml:space="preserve"> presents </w:t>
      </w:r>
      <w:r>
        <w:t>results for the</w:t>
      </w:r>
      <w:r w:rsidRPr="00EC0AB8">
        <w:t xml:space="preserve"> model comparing</w:t>
      </w:r>
      <w:r>
        <w:t xml:space="preserve"> fatal</w:t>
      </w:r>
      <w:r w:rsidRPr="00EC0AB8">
        <w:t xml:space="preserve"> heavy vehicle crash rates in </w:t>
      </w:r>
      <w:proofErr w:type="spellStart"/>
      <w:r w:rsidRPr="00EC0AB8">
        <w:t>HVNL</w:t>
      </w:r>
      <w:proofErr w:type="spellEnd"/>
      <w:r w:rsidRPr="00EC0AB8">
        <w:t xml:space="preserve"> and non</w:t>
      </w:r>
      <w:r>
        <w:noBreakHyphen/>
      </w:r>
      <w:proofErr w:type="spellStart"/>
      <w:r w:rsidRPr="00EC0AB8">
        <w:t>HVNL</w:t>
      </w:r>
      <w:proofErr w:type="spellEnd"/>
      <w:r w:rsidRPr="00EC0AB8">
        <w:t xml:space="preserve"> </w:t>
      </w:r>
      <w:r>
        <w:t>jurisdictions. Analysis</w:t>
      </w:r>
      <w:r w:rsidR="007B3400">
        <w:t xml:space="preserve"> in table </w:t>
      </w:r>
      <w:proofErr w:type="spellStart"/>
      <w:r w:rsidR="007B3400">
        <w:t>B.</w:t>
      </w:r>
      <w:r w:rsidR="00A7237D">
        <w:t>6</w:t>
      </w:r>
      <w:proofErr w:type="spellEnd"/>
      <w:r>
        <w:t xml:space="preserve"> is conducted using yearly crash rates to account for the low occurrence of fatal </w:t>
      </w:r>
      <w:r w:rsidR="00EF770C">
        <w:t xml:space="preserve">crashes </w:t>
      </w:r>
      <w:r>
        <w:t>in some jurisdictions, which leads to substantial variation in crash rates from one quarter to the next</w:t>
      </w:r>
      <w:r w:rsidRPr="00EC0AB8">
        <w:t>.</w:t>
      </w:r>
      <w:r>
        <w:rPr>
          <w:rStyle w:val="FootnoteReference"/>
        </w:rPr>
        <w:footnoteReference w:id="5"/>
      </w:r>
      <w:r w:rsidRPr="00EC0AB8">
        <w:t xml:space="preserve"> </w:t>
      </w:r>
    </w:p>
    <w:p w14:paraId="78044427" w14:textId="2934B3F6" w:rsidR="00A506FC" w:rsidRDefault="00A506FC" w:rsidP="007B3400">
      <w:pPr>
        <w:pStyle w:val="BodyText"/>
      </w:pPr>
      <w:r>
        <w:t xml:space="preserve">Again, results from the preferred </w:t>
      </w:r>
      <w:r w:rsidRPr="00EC0AB8">
        <w:t>specification</w:t>
      </w:r>
      <w:r>
        <w:t xml:space="preserve"> (specification 3) in all three models show </w:t>
      </w:r>
      <w:r w:rsidRPr="00EC0AB8">
        <w:t xml:space="preserve">there is insufficient evidence to suggest that </w:t>
      </w:r>
      <w:r>
        <w:t xml:space="preserve">the </w:t>
      </w:r>
      <w:proofErr w:type="spellStart"/>
      <w:r>
        <w:t>HVNL</w:t>
      </w:r>
      <w:proofErr w:type="spellEnd"/>
      <w:r>
        <w:t xml:space="preserve"> </w:t>
      </w:r>
      <w:r w:rsidRPr="00EC0AB8">
        <w:t>had a significant impact on heavy vehicle safety.</w:t>
      </w:r>
    </w:p>
    <w:p w14:paraId="5036331E" w14:textId="5817D67E" w:rsidR="00A506FC" w:rsidRPr="003802FF" w:rsidRDefault="00A506FC" w:rsidP="00A506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506FC" w14:paraId="7007826C" w14:textId="77777777" w:rsidTr="00235E85">
        <w:trPr>
          <w:tblHeader/>
        </w:trPr>
        <w:tc>
          <w:tcPr>
            <w:tcW w:w="5000" w:type="pct"/>
            <w:tcBorders>
              <w:top w:val="single" w:sz="6" w:space="0" w:color="78A22F"/>
              <w:left w:val="nil"/>
              <w:bottom w:val="nil"/>
              <w:right w:val="nil"/>
            </w:tcBorders>
            <w:shd w:val="clear" w:color="auto" w:fill="auto"/>
          </w:tcPr>
          <w:p w14:paraId="4A53E1AF" w14:textId="5C755186" w:rsidR="00A506FC" w:rsidRDefault="00A506FC" w:rsidP="00235E85">
            <w:pPr>
              <w:pStyle w:val="TableTitle"/>
            </w:pPr>
            <w:r>
              <w:rPr>
                <w:b w:val="0"/>
              </w:rPr>
              <w:t xml:space="preserve">Table </w:t>
            </w:r>
            <w:proofErr w:type="spellStart"/>
            <w:r>
              <w:rPr>
                <w:b w:val="0"/>
              </w:rPr>
              <w:t>B.</w:t>
            </w:r>
            <w:r w:rsidR="00886E54">
              <w:rPr>
                <w:b w:val="0"/>
              </w:rPr>
              <w:t>4</w:t>
            </w:r>
            <w:proofErr w:type="spellEnd"/>
            <w:r>
              <w:tab/>
              <w:t xml:space="preserve">Articulated vehicle crashes in </w:t>
            </w:r>
            <w:proofErr w:type="spellStart"/>
            <w:r>
              <w:t>HVNL</w:t>
            </w:r>
            <w:proofErr w:type="spellEnd"/>
            <w:r>
              <w:t xml:space="preserve"> and non</w:t>
            </w:r>
            <w:r>
              <w:noBreakHyphen/>
            </w:r>
            <w:proofErr w:type="spellStart"/>
            <w:r>
              <w:t>HVNL</w:t>
            </w:r>
            <w:proofErr w:type="spellEnd"/>
            <w:r>
              <w:t xml:space="preserve"> jurisdictions</w:t>
            </w:r>
            <w:r w:rsidRPr="002637F5">
              <w:rPr>
                <w:rStyle w:val="NoteLabel"/>
                <w:b/>
              </w:rPr>
              <w:t>a</w:t>
            </w:r>
          </w:p>
          <w:p w14:paraId="0F05E3F9" w14:textId="77777777" w:rsidR="00A506FC" w:rsidRPr="00784A05" w:rsidRDefault="00A506FC" w:rsidP="00235E85">
            <w:pPr>
              <w:pStyle w:val="Subtitle"/>
            </w:pPr>
            <w:r>
              <w:t>Difference</w:t>
            </w:r>
            <w:r>
              <w:noBreakHyphen/>
              <w:t>in</w:t>
            </w:r>
            <w:r>
              <w:noBreakHyphen/>
              <w:t>differences results</w:t>
            </w:r>
          </w:p>
        </w:tc>
      </w:tr>
      <w:tr w:rsidR="00A506FC" w14:paraId="0EC6482C" w14:textId="77777777" w:rsidTr="00235E85">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583"/>
              <w:gridCol w:w="2307"/>
              <w:gridCol w:w="2307"/>
              <w:gridCol w:w="2308"/>
            </w:tblGrid>
            <w:tr w:rsidR="00A506FC" w14:paraId="236943BC" w14:textId="77777777" w:rsidTr="00235E85">
              <w:trPr>
                <w:tblHeader/>
              </w:trPr>
              <w:tc>
                <w:tcPr>
                  <w:tcW w:w="931" w:type="pct"/>
                  <w:tcBorders>
                    <w:top w:val="single" w:sz="6" w:space="0" w:color="BFBFBF"/>
                    <w:bottom w:val="single" w:sz="6" w:space="0" w:color="BFBFBF"/>
                  </w:tcBorders>
                  <w:shd w:val="clear" w:color="auto" w:fill="auto"/>
                  <w:tcMar>
                    <w:top w:w="28" w:type="dxa"/>
                  </w:tcMar>
                </w:tcPr>
                <w:p w14:paraId="6B236790" w14:textId="1C929485" w:rsidR="00A506FC" w:rsidRPr="001C1CCC" w:rsidRDefault="00A506FC" w:rsidP="00235E85">
                  <w:pPr>
                    <w:pStyle w:val="TableColumnHeading"/>
                    <w:jc w:val="left"/>
                  </w:pPr>
                </w:p>
              </w:tc>
              <w:tc>
                <w:tcPr>
                  <w:tcW w:w="1356" w:type="pct"/>
                  <w:tcBorders>
                    <w:top w:val="single" w:sz="6" w:space="0" w:color="BFBFBF"/>
                    <w:bottom w:val="single" w:sz="6" w:space="0" w:color="BFBFBF"/>
                  </w:tcBorders>
                </w:tcPr>
                <w:p w14:paraId="4848E2BE" w14:textId="72D08416" w:rsidR="00A506FC" w:rsidRDefault="003C027B" w:rsidP="00235E85">
                  <w:pPr>
                    <w:pStyle w:val="TableColumnHeading"/>
                  </w:pPr>
                  <w:r>
                    <w:t xml:space="preserve">Specification </w:t>
                  </w:r>
                  <w:r w:rsidR="00A506FC" w:rsidRPr="001C1CCC">
                    <w:t>1</w:t>
                  </w:r>
                </w:p>
                <w:p w14:paraId="2F2F6E5D" w14:textId="77777777" w:rsidR="00A506FC" w:rsidRPr="001C1CCC" w:rsidRDefault="00A506FC" w:rsidP="00235E85">
                  <w:pPr>
                    <w:pStyle w:val="TableColumnHeading"/>
                  </w:pPr>
                  <w:r>
                    <w:t>Baseline with fixed effects</w:t>
                  </w:r>
                </w:p>
              </w:tc>
              <w:tc>
                <w:tcPr>
                  <w:tcW w:w="1356" w:type="pct"/>
                  <w:tcBorders>
                    <w:top w:val="single" w:sz="6" w:space="0" w:color="BFBFBF"/>
                    <w:bottom w:val="single" w:sz="6" w:space="0" w:color="BFBFBF"/>
                  </w:tcBorders>
                  <w:shd w:val="clear" w:color="auto" w:fill="auto"/>
                  <w:tcMar>
                    <w:top w:w="28" w:type="dxa"/>
                  </w:tcMar>
                </w:tcPr>
                <w:p w14:paraId="49A9A95F" w14:textId="12A86FE2" w:rsidR="00A506FC" w:rsidRDefault="003C027B" w:rsidP="00235E85">
                  <w:pPr>
                    <w:pStyle w:val="TableColumnHeading"/>
                  </w:pPr>
                  <w:r>
                    <w:t xml:space="preserve">Specification </w:t>
                  </w:r>
                  <w:r w:rsidR="00A506FC">
                    <w:t>2</w:t>
                  </w:r>
                </w:p>
                <w:p w14:paraId="0CD37536" w14:textId="4EAD1446" w:rsidR="00A506FC" w:rsidRPr="001C1CCC" w:rsidRDefault="00A506FC" w:rsidP="00235E85">
                  <w:pPr>
                    <w:pStyle w:val="TableColumnHeading"/>
                  </w:pPr>
                  <w:r>
                    <w:t>Baseline with fixed effects</w:t>
                  </w:r>
                  <w:r w:rsidRPr="001C1CCC">
                    <w:t xml:space="preserve"> </w:t>
                  </w:r>
                  <w:r>
                    <w:t xml:space="preserve">and </w:t>
                  </w:r>
                  <w:r w:rsidR="002663DA">
                    <w:t>jurisdiction</w:t>
                  </w:r>
                  <w:r>
                    <w:noBreakHyphen/>
                    <w:t>specific time trends</w:t>
                  </w:r>
                </w:p>
              </w:tc>
              <w:tc>
                <w:tcPr>
                  <w:tcW w:w="1357" w:type="pct"/>
                  <w:tcBorders>
                    <w:top w:val="single" w:sz="6" w:space="0" w:color="BFBFBF"/>
                    <w:bottom w:val="single" w:sz="6" w:space="0" w:color="BFBFBF"/>
                  </w:tcBorders>
                  <w:shd w:val="clear" w:color="auto" w:fill="auto"/>
                  <w:tcMar>
                    <w:top w:w="28" w:type="dxa"/>
                  </w:tcMar>
                </w:tcPr>
                <w:p w14:paraId="274447F9" w14:textId="1A5AD445" w:rsidR="00A506FC" w:rsidRDefault="003C027B" w:rsidP="00235E85">
                  <w:pPr>
                    <w:pStyle w:val="TableColumnHeading"/>
                  </w:pPr>
                  <w:r>
                    <w:t xml:space="preserve">Specification </w:t>
                  </w:r>
                  <w:r w:rsidR="00A506FC">
                    <w:t>3</w:t>
                  </w:r>
                </w:p>
                <w:p w14:paraId="0189ED82" w14:textId="7C09B3C4" w:rsidR="00A506FC" w:rsidRPr="001C1CCC" w:rsidRDefault="00A506FC" w:rsidP="00235E85">
                  <w:pPr>
                    <w:pStyle w:val="TableColumnHeading"/>
                  </w:pPr>
                  <w:r>
                    <w:t xml:space="preserve">Baseline with fixed effects, </w:t>
                  </w:r>
                  <w:r w:rsidR="002663DA">
                    <w:t>jurisdiction</w:t>
                  </w:r>
                  <w:r>
                    <w:noBreakHyphen/>
                    <w:t>specific time trends</w:t>
                  </w:r>
                  <w:r w:rsidRPr="001C1CCC">
                    <w:t xml:space="preserve"> </w:t>
                  </w:r>
                  <w:r>
                    <w:t>and control variables</w:t>
                  </w:r>
                </w:p>
              </w:tc>
            </w:tr>
            <w:tr w:rsidR="00A506FC" w14:paraId="23E9C3BB" w14:textId="77777777" w:rsidTr="00235E85">
              <w:tc>
                <w:tcPr>
                  <w:tcW w:w="931" w:type="pct"/>
                  <w:tcBorders>
                    <w:top w:val="single" w:sz="6" w:space="0" w:color="BFBFBF"/>
                  </w:tcBorders>
                </w:tcPr>
                <w:p w14:paraId="18583CEC" w14:textId="77777777" w:rsidR="00A506FC" w:rsidRPr="001C1CCC" w:rsidRDefault="00A506FC" w:rsidP="00235E85">
                  <w:pPr>
                    <w:pStyle w:val="TableUnitsRow"/>
                    <w:jc w:val="left"/>
                  </w:pPr>
                  <w:r>
                    <w:t xml:space="preserve">Effect of </w:t>
                  </w:r>
                  <w:proofErr w:type="spellStart"/>
                  <w:r>
                    <w:t>HVNL</w:t>
                  </w:r>
                  <w:proofErr w:type="spellEnd"/>
                </w:p>
              </w:tc>
              <w:tc>
                <w:tcPr>
                  <w:tcW w:w="1356" w:type="pct"/>
                  <w:tcBorders>
                    <w:top w:val="single" w:sz="6" w:space="0" w:color="BFBFBF"/>
                  </w:tcBorders>
                </w:tcPr>
                <w:p w14:paraId="0C25DC80" w14:textId="77777777" w:rsidR="00A506FC" w:rsidRPr="001C1CCC" w:rsidRDefault="00A506FC" w:rsidP="00235E85">
                  <w:pPr>
                    <w:pStyle w:val="TableBodyText"/>
                  </w:pPr>
                  <w:r>
                    <w:rPr>
                      <w:lang w:eastAsia="en-US"/>
                    </w:rPr>
                    <w:t>-47.08***</w:t>
                  </w:r>
                </w:p>
              </w:tc>
              <w:tc>
                <w:tcPr>
                  <w:tcW w:w="1356" w:type="pct"/>
                  <w:tcBorders>
                    <w:top w:val="single" w:sz="6" w:space="0" w:color="BFBFBF"/>
                  </w:tcBorders>
                </w:tcPr>
                <w:p w14:paraId="2388E385" w14:textId="77777777" w:rsidR="00A506FC" w:rsidRPr="001C1CCC" w:rsidRDefault="00A506FC" w:rsidP="00235E85">
                  <w:pPr>
                    <w:pStyle w:val="TableBodyText"/>
                  </w:pPr>
                  <w:r>
                    <w:rPr>
                      <w:lang w:eastAsia="en-US"/>
                    </w:rPr>
                    <w:t>-19.84</w:t>
                  </w:r>
                </w:p>
              </w:tc>
              <w:tc>
                <w:tcPr>
                  <w:tcW w:w="1357" w:type="pct"/>
                  <w:tcBorders>
                    <w:top w:val="single" w:sz="6" w:space="0" w:color="BFBFBF"/>
                  </w:tcBorders>
                </w:tcPr>
                <w:p w14:paraId="558D2C4F" w14:textId="77777777" w:rsidR="00A506FC" w:rsidRPr="001C1CCC" w:rsidRDefault="00A506FC" w:rsidP="00235E85">
                  <w:pPr>
                    <w:pStyle w:val="TableBodyText"/>
                  </w:pPr>
                  <w:r>
                    <w:rPr>
                      <w:lang w:eastAsia="en-US"/>
                    </w:rPr>
                    <w:t>-13.39</w:t>
                  </w:r>
                </w:p>
              </w:tc>
            </w:tr>
            <w:tr w:rsidR="00A506FC" w14:paraId="122457FE" w14:textId="77777777" w:rsidTr="00317D72">
              <w:tc>
                <w:tcPr>
                  <w:tcW w:w="931" w:type="pct"/>
                  <w:tcBorders>
                    <w:bottom w:val="single" w:sz="4" w:space="0" w:color="BFBFBF"/>
                  </w:tcBorders>
                </w:tcPr>
                <w:p w14:paraId="5A06A3D1" w14:textId="77777777" w:rsidR="00A506FC" w:rsidRPr="001C1CCC" w:rsidRDefault="00A506FC" w:rsidP="00235E85">
                  <w:pPr>
                    <w:pStyle w:val="TableUnitsRow"/>
                    <w:jc w:val="left"/>
                  </w:pPr>
                  <w:r>
                    <w:t>Standard error</w:t>
                  </w:r>
                </w:p>
              </w:tc>
              <w:tc>
                <w:tcPr>
                  <w:tcW w:w="1356" w:type="pct"/>
                  <w:tcBorders>
                    <w:bottom w:val="single" w:sz="4" w:space="0" w:color="BFBFBF"/>
                  </w:tcBorders>
                </w:tcPr>
                <w:p w14:paraId="4BC75C52" w14:textId="77777777" w:rsidR="00A506FC" w:rsidRPr="001C1CCC" w:rsidRDefault="00A506FC" w:rsidP="00235E85">
                  <w:pPr>
                    <w:pStyle w:val="TableBodyText"/>
                  </w:pPr>
                  <w:r>
                    <w:rPr>
                      <w:lang w:eastAsia="en-US"/>
                    </w:rPr>
                    <w:t>(15.00)</w:t>
                  </w:r>
                </w:p>
              </w:tc>
              <w:tc>
                <w:tcPr>
                  <w:tcW w:w="1356" w:type="pct"/>
                  <w:tcBorders>
                    <w:bottom w:val="single" w:sz="4" w:space="0" w:color="BFBFBF"/>
                  </w:tcBorders>
                </w:tcPr>
                <w:p w14:paraId="3A2D95FF" w14:textId="77777777" w:rsidR="00A506FC" w:rsidRPr="001C1CCC" w:rsidRDefault="00A506FC" w:rsidP="00235E85">
                  <w:pPr>
                    <w:pStyle w:val="TableBodyText"/>
                  </w:pPr>
                  <w:r>
                    <w:rPr>
                      <w:lang w:eastAsia="en-US"/>
                    </w:rPr>
                    <w:t>(27.68)</w:t>
                  </w:r>
                </w:p>
              </w:tc>
              <w:tc>
                <w:tcPr>
                  <w:tcW w:w="1357" w:type="pct"/>
                  <w:tcBorders>
                    <w:bottom w:val="single" w:sz="4" w:space="0" w:color="BFBFBF"/>
                  </w:tcBorders>
                </w:tcPr>
                <w:p w14:paraId="01E03A2C" w14:textId="77777777" w:rsidR="00A506FC" w:rsidRPr="001C1CCC" w:rsidRDefault="00A506FC" w:rsidP="00235E85">
                  <w:pPr>
                    <w:pStyle w:val="TableBodyText"/>
                  </w:pPr>
                  <w:r>
                    <w:rPr>
                      <w:lang w:eastAsia="en-US"/>
                    </w:rPr>
                    <w:t>(27.80)</w:t>
                  </w:r>
                </w:p>
              </w:tc>
            </w:tr>
            <w:tr w:rsidR="00A506FC" w14:paraId="29383D54" w14:textId="77777777" w:rsidTr="00317D72">
              <w:tc>
                <w:tcPr>
                  <w:tcW w:w="931" w:type="pct"/>
                  <w:tcBorders>
                    <w:top w:val="single" w:sz="4" w:space="0" w:color="BFBFBF"/>
                  </w:tcBorders>
                </w:tcPr>
                <w:p w14:paraId="175072FC" w14:textId="359B13A5" w:rsidR="00A506FC" w:rsidRPr="001C1CCC" w:rsidRDefault="00A506FC" w:rsidP="001032BC">
                  <w:pPr>
                    <w:pStyle w:val="TableUnitsRow"/>
                    <w:jc w:val="left"/>
                  </w:pPr>
                  <w:r w:rsidRPr="001C1CCC">
                    <w:t>R</w:t>
                  </w:r>
                  <w:r w:rsidR="001032BC">
                    <w:noBreakHyphen/>
                  </w:r>
                  <w:r>
                    <w:t>s</w:t>
                  </w:r>
                  <w:r w:rsidRPr="001C1CCC">
                    <w:t>quared</w:t>
                  </w:r>
                </w:p>
              </w:tc>
              <w:tc>
                <w:tcPr>
                  <w:tcW w:w="1356" w:type="pct"/>
                  <w:tcBorders>
                    <w:top w:val="single" w:sz="4" w:space="0" w:color="BFBFBF"/>
                  </w:tcBorders>
                </w:tcPr>
                <w:p w14:paraId="0457F183" w14:textId="77777777" w:rsidR="00A506FC" w:rsidRPr="001C1CCC" w:rsidRDefault="00A506FC" w:rsidP="00235E85">
                  <w:pPr>
                    <w:pStyle w:val="TableBodyText"/>
                  </w:pPr>
                  <w:r>
                    <w:rPr>
                      <w:lang w:eastAsia="en-US"/>
                    </w:rPr>
                    <w:t>0.56</w:t>
                  </w:r>
                </w:p>
              </w:tc>
              <w:tc>
                <w:tcPr>
                  <w:tcW w:w="1356" w:type="pct"/>
                  <w:tcBorders>
                    <w:top w:val="single" w:sz="4" w:space="0" w:color="BFBFBF"/>
                  </w:tcBorders>
                </w:tcPr>
                <w:p w14:paraId="3CD8D866" w14:textId="77777777" w:rsidR="00A506FC" w:rsidRPr="001C1CCC" w:rsidRDefault="00A506FC" w:rsidP="00235E85">
                  <w:pPr>
                    <w:pStyle w:val="TableBodyText"/>
                  </w:pPr>
                  <w:r>
                    <w:rPr>
                      <w:lang w:eastAsia="en-US"/>
                    </w:rPr>
                    <w:t>0.60</w:t>
                  </w:r>
                </w:p>
              </w:tc>
              <w:tc>
                <w:tcPr>
                  <w:tcW w:w="1357" w:type="pct"/>
                  <w:tcBorders>
                    <w:top w:val="single" w:sz="4" w:space="0" w:color="BFBFBF"/>
                  </w:tcBorders>
                </w:tcPr>
                <w:p w14:paraId="65F2A887" w14:textId="77777777" w:rsidR="00A506FC" w:rsidRPr="001C1CCC" w:rsidRDefault="00A506FC" w:rsidP="00235E85">
                  <w:pPr>
                    <w:pStyle w:val="TableBodyText"/>
                  </w:pPr>
                  <w:r>
                    <w:rPr>
                      <w:lang w:eastAsia="en-US"/>
                    </w:rPr>
                    <w:t>0.61</w:t>
                  </w:r>
                </w:p>
              </w:tc>
            </w:tr>
            <w:tr w:rsidR="00A506FC" w14:paraId="10A4A8A8" w14:textId="77777777" w:rsidTr="00235E85">
              <w:tc>
                <w:tcPr>
                  <w:tcW w:w="931" w:type="pct"/>
                  <w:tcBorders>
                    <w:bottom w:val="single" w:sz="6" w:space="0" w:color="BFBFBF"/>
                  </w:tcBorders>
                  <w:shd w:val="clear" w:color="auto" w:fill="auto"/>
                </w:tcPr>
                <w:p w14:paraId="6D9583C6" w14:textId="77777777" w:rsidR="00A506FC" w:rsidRPr="001C1CCC" w:rsidRDefault="00A506FC" w:rsidP="00235E85">
                  <w:pPr>
                    <w:pStyle w:val="TableUnitsRow"/>
                    <w:jc w:val="left"/>
                  </w:pPr>
                  <w:r>
                    <w:t>O</w:t>
                  </w:r>
                  <w:r w:rsidRPr="001C1CCC">
                    <w:t>bservations</w:t>
                  </w:r>
                </w:p>
              </w:tc>
              <w:tc>
                <w:tcPr>
                  <w:tcW w:w="1356" w:type="pct"/>
                  <w:tcBorders>
                    <w:bottom w:val="single" w:sz="6" w:space="0" w:color="BFBFBF"/>
                  </w:tcBorders>
                </w:tcPr>
                <w:p w14:paraId="1BED2EFB" w14:textId="77777777" w:rsidR="00A506FC" w:rsidRPr="001C1CCC" w:rsidRDefault="00A506FC" w:rsidP="00235E85">
                  <w:pPr>
                    <w:pStyle w:val="TableBodyText"/>
                  </w:pPr>
                  <w:r>
                    <w:t>279</w:t>
                  </w:r>
                </w:p>
              </w:tc>
              <w:tc>
                <w:tcPr>
                  <w:tcW w:w="1356" w:type="pct"/>
                  <w:tcBorders>
                    <w:bottom w:val="single" w:sz="6" w:space="0" w:color="BFBFBF"/>
                  </w:tcBorders>
                  <w:shd w:val="clear" w:color="auto" w:fill="auto"/>
                </w:tcPr>
                <w:p w14:paraId="753003F6" w14:textId="77777777" w:rsidR="00A506FC" w:rsidRPr="001C1CCC" w:rsidRDefault="00A506FC" w:rsidP="00235E85">
                  <w:pPr>
                    <w:pStyle w:val="TableBodyText"/>
                  </w:pPr>
                  <w:r>
                    <w:t>279</w:t>
                  </w:r>
                </w:p>
              </w:tc>
              <w:tc>
                <w:tcPr>
                  <w:tcW w:w="1357" w:type="pct"/>
                  <w:tcBorders>
                    <w:bottom w:val="single" w:sz="6" w:space="0" w:color="BFBFBF"/>
                  </w:tcBorders>
                  <w:shd w:val="clear" w:color="auto" w:fill="auto"/>
                </w:tcPr>
                <w:p w14:paraId="4E14D7B9" w14:textId="77777777" w:rsidR="00A506FC" w:rsidRPr="001C1CCC" w:rsidRDefault="00A506FC" w:rsidP="00235E85">
                  <w:pPr>
                    <w:pStyle w:val="TableBodyText"/>
                  </w:pPr>
                  <w:r>
                    <w:t>279</w:t>
                  </w:r>
                </w:p>
              </w:tc>
            </w:tr>
          </w:tbl>
          <w:p w14:paraId="17E6DD58" w14:textId="77777777" w:rsidR="00A506FC" w:rsidRDefault="00A506FC" w:rsidP="00235E85">
            <w:pPr>
              <w:pStyle w:val="Box"/>
            </w:pPr>
          </w:p>
        </w:tc>
      </w:tr>
      <w:tr w:rsidR="00A506FC" w14:paraId="0310A7EE" w14:textId="77777777" w:rsidTr="00235E85">
        <w:trPr>
          <w:trHeight w:val="654"/>
        </w:trPr>
        <w:tc>
          <w:tcPr>
            <w:tcW w:w="5000" w:type="pct"/>
            <w:tcBorders>
              <w:top w:val="nil"/>
              <w:left w:val="nil"/>
              <w:bottom w:val="nil"/>
              <w:right w:val="nil"/>
            </w:tcBorders>
            <w:shd w:val="clear" w:color="auto" w:fill="auto"/>
          </w:tcPr>
          <w:p w14:paraId="67CB733C" w14:textId="6434EA3B" w:rsidR="00A506FC" w:rsidRDefault="00A506FC" w:rsidP="00235E85">
            <w:pPr>
              <w:pStyle w:val="Note"/>
              <w:rPr>
                <w:i/>
              </w:rPr>
            </w:pPr>
            <w:r w:rsidRPr="008E77FE">
              <w:rPr>
                <w:rStyle w:val="NoteLabel"/>
              </w:rPr>
              <w:t>a</w:t>
            </w:r>
            <w:r>
              <w:t xml:space="preserve"> </w:t>
            </w:r>
            <w:r w:rsidR="006F399B" w:rsidRPr="0050188F">
              <w:t xml:space="preserve">Results using quarterly data from January 2008 to December 2017. The </w:t>
            </w:r>
            <w:proofErr w:type="spellStart"/>
            <w:r w:rsidR="006F399B" w:rsidRPr="0050188F">
              <w:t>HVNL</w:t>
            </w:r>
            <w:proofErr w:type="spellEnd"/>
            <w:r w:rsidR="006F399B" w:rsidRPr="0050188F">
              <w:t xml:space="preserve"> was assumed to apply for relevant jurisdictions from the first quarter of 2014.</w:t>
            </w:r>
            <w:r>
              <w:t xml:space="preserve"> </w:t>
            </w:r>
            <w:r w:rsidRPr="000E6B1D">
              <w:t xml:space="preserve">The dependent variable is the number of </w:t>
            </w:r>
            <w:r>
              <w:t>articulated</w:t>
            </w:r>
            <w:r w:rsidRPr="000E6B1D">
              <w:t xml:space="preserve"> </w:t>
            </w:r>
            <w:r>
              <w:t>vehicle crashes</w:t>
            </w:r>
            <w:r w:rsidRPr="000E6B1D">
              <w:t xml:space="preserve"> (involving injury or death) per billion </w:t>
            </w:r>
            <w:r>
              <w:t>articulated</w:t>
            </w:r>
            <w:r w:rsidRPr="000E6B1D">
              <w:t xml:space="preserve"> vehicle kilometres. Standard errors </w:t>
            </w:r>
            <w:r>
              <w:t>have been</w:t>
            </w:r>
            <w:r w:rsidRPr="000E6B1D">
              <w:t xml:space="preserve"> corrected for clustering at the </w:t>
            </w:r>
            <w:r w:rsidR="002663DA">
              <w:t xml:space="preserve">jurisdiction </w:t>
            </w:r>
            <w:r w:rsidRPr="000E6B1D">
              <w:t>level. *</w:t>
            </w:r>
            <w:r>
              <w:t> </w:t>
            </w:r>
            <w:r w:rsidRPr="000E6B1D">
              <w:t>p&lt;0.10</w:t>
            </w:r>
            <w:r>
              <w:t>,</w:t>
            </w:r>
            <w:r w:rsidRPr="000E6B1D">
              <w:t xml:space="preserve"> **</w:t>
            </w:r>
            <w:r>
              <w:t> </w:t>
            </w:r>
            <w:r w:rsidRPr="000E6B1D">
              <w:t>p&lt;0.05</w:t>
            </w:r>
            <w:r>
              <w:t>,</w:t>
            </w:r>
            <w:r w:rsidRPr="000E6B1D">
              <w:t xml:space="preserve"> ***</w:t>
            </w:r>
            <w:r>
              <w:t> </w:t>
            </w:r>
            <w:r w:rsidRPr="000E6B1D">
              <w:t>p&lt;0.01</w:t>
            </w:r>
            <w:r>
              <w:t xml:space="preserve">. </w:t>
            </w:r>
          </w:p>
        </w:tc>
      </w:tr>
      <w:tr w:rsidR="00A506FC" w14:paraId="77B7BC4C" w14:textId="77777777" w:rsidTr="00235E85">
        <w:tc>
          <w:tcPr>
            <w:tcW w:w="5000" w:type="pct"/>
            <w:tcBorders>
              <w:top w:val="nil"/>
              <w:left w:val="nil"/>
              <w:bottom w:val="nil"/>
              <w:right w:val="nil"/>
            </w:tcBorders>
            <w:shd w:val="clear" w:color="auto" w:fill="auto"/>
          </w:tcPr>
          <w:p w14:paraId="310714DA" w14:textId="77777777" w:rsidR="00A506FC" w:rsidRDefault="00A506FC" w:rsidP="00235E85">
            <w:pPr>
              <w:pStyle w:val="Source"/>
            </w:pPr>
            <w:r>
              <w:rPr>
                <w:i/>
              </w:rPr>
              <w:t>S</w:t>
            </w:r>
            <w:r w:rsidRPr="00784A05">
              <w:rPr>
                <w:i/>
              </w:rPr>
              <w:t>ource</w:t>
            </w:r>
            <w:r w:rsidRPr="00176D3F">
              <w:t xml:space="preserve">: </w:t>
            </w:r>
            <w:r>
              <w:t>Commission estimates based on National Crash Database (</w:t>
            </w:r>
            <w:proofErr w:type="spellStart"/>
            <w:r>
              <w:t>BITRE</w:t>
            </w:r>
            <w:proofErr w:type="spellEnd"/>
            <w:r>
              <w:t>, unpublished).</w:t>
            </w:r>
          </w:p>
        </w:tc>
      </w:tr>
      <w:tr w:rsidR="00A506FC" w14:paraId="77F430E5" w14:textId="77777777" w:rsidTr="00235E85">
        <w:tc>
          <w:tcPr>
            <w:tcW w:w="5000" w:type="pct"/>
            <w:tcBorders>
              <w:top w:val="nil"/>
              <w:left w:val="nil"/>
              <w:bottom w:val="single" w:sz="6" w:space="0" w:color="78A22F"/>
              <w:right w:val="nil"/>
            </w:tcBorders>
            <w:shd w:val="clear" w:color="auto" w:fill="auto"/>
          </w:tcPr>
          <w:p w14:paraId="5EBF9CEE" w14:textId="77777777" w:rsidR="00A506FC" w:rsidRDefault="00A506FC" w:rsidP="00235E85">
            <w:pPr>
              <w:pStyle w:val="Box"/>
              <w:spacing w:before="0" w:line="120" w:lineRule="exact"/>
            </w:pPr>
          </w:p>
        </w:tc>
      </w:tr>
      <w:tr w:rsidR="00A506FC" w:rsidRPr="000863A5" w14:paraId="48DDA19B" w14:textId="77777777" w:rsidTr="00235E85">
        <w:tc>
          <w:tcPr>
            <w:tcW w:w="5000" w:type="pct"/>
            <w:tcBorders>
              <w:top w:val="single" w:sz="6" w:space="0" w:color="78A22F"/>
              <w:left w:val="nil"/>
              <w:bottom w:val="nil"/>
              <w:right w:val="nil"/>
            </w:tcBorders>
          </w:tcPr>
          <w:p w14:paraId="6E04CA9B" w14:textId="3DC9E544" w:rsidR="00A506FC" w:rsidRPr="00626D32" w:rsidRDefault="00A506FC" w:rsidP="00235E85">
            <w:pPr>
              <w:pStyle w:val="BoxSpaceBelow"/>
            </w:pPr>
          </w:p>
        </w:tc>
      </w:tr>
    </w:tbl>
    <w:p w14:paraId="798D968A" w14:textId="1674DD81" w:rsidR="00A506FC" w:rsidRPr="003802FF" w:rsidRDefault="00A506FC" w:rsidP="00A506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506FC" w14:paraId="27250FAF" w14:textId="77777777" w:rsidTr="00235E85">
        <w:trPr>
          <w:tblHeader/>
        </w:trPr>
        <w:tc>
          <w:tcPr>
            <w:tcW w:w="5000" w:type="pct"/>
            <w:tcBorders>
              <w:top w:val="single" w:sz="6" w:space="0" w:color="78A22F"/>
              <w:left w:val="nil"/>
              <w:bottom w:val="nil"/>
              <w:right w:val="nil"/>
            </w:tcBorders>
            <w:shd w:val="clear" w:color="auto" w:fill="auto"/>
          </w:tcPr>
          <w:p w14:paraId="47D5272A" w14:textId="06AF7E63" w:rsidR="00A506FC" w:rsidRDefault="00A506FC" w:rsidP="00235E85">
            <w:pPr>
              <w:pStyle w:val="TableTitle"/>
            </w:pPr>
            <w:r>
              <w:rPr>
                <w:b w:val="0"/>
              </w:rPr>
              <w:t xml:space="preserve">Table </w:t>
            </w:r>
            <w:proofErr w:type="spellStart"/>
            <w:r>
              <w:rPr>
                <w:b w:val="0"/>
              </w:rPr>
              <w:t>B.</w:t>
            </w:r>
            <w:r w:rsidR="00886E54">
              <w:rPr>
                <w:b w:val="0"/>
              </w:rPr>
              <w:t>5</w:t>
            </w:r>
            <w:proofErr w:type="spellEnd"/>
            <w:r>
              <w:tab/>
              <w:t xml:space="preserve">Heavy rigid vehicle crashes in </w:t>
            </w:r>
            <w:proofErr w:type="spellStart"/>
            <w:r>
              <w:t>HVNL</w:t>
            </w:r>
            <w:proofErr w:type="spellEnd"/>
            <w:r>
              <w:t xml:space="preserve"> and non</w:t>
            </w:r>
            <w:r>
              <w:noBreakHyphen/>
            </w:r>
            <w:proofErr w:type="spellStart"/>
            <w:r>
              <w:t>HVNL</w:t>
            </w:r>
            <w:proofErr w:type="spellEnd"/>
            <w:r>
              <w:t xml:space="preserve"> jurisdictions</w:t>
            </w:r>
            <w:r w:rsidRPr="002637F5">
              <w:rPr>
                <w:rStyle w:val="NoteLabel"/>
                <w:b/>
              </w:rPr>
              <w:t>a</w:t>
            </w:r>
          </w:p>
          <w:p w14:paraId="574C59FC" w14:textId="77777777" w:rsidR="00A506FC" w:rsidRPr="00784A05" w:rsidRDefault="00A506FC" w:rsidP="00235E85">
            <w:pPr>
              <w:pStyle w:val="Subtitle"/>
            </w:pPr>
            <w:r>
              <w:t>Difference</w:t>
            </w:r>
            <w:r>
              <w:noBreakHyphen/>
              <w:t>in</w:t>
            </w:r>
            <w:r>
              <w:noBreakHyphen/>
              <w:t>differences results</w:t>
            </w:r>
          </w:p>
        </w:tc>
      </w:tr>
      <w:tr w:rsidR="00A506FC" w14:paraId="66204D75" w14:textId="77777777" w:rsidTr="00235E85">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443"/>
              <w:gridCol w:w="2354"/>
              <w:gridCol w:w="2354"/>
              <w:gridCol w:w="2354"/>
            </w:tblGrid>
            <w:tr w:rsidR="00A506FC" w14:paraId="36B1580B" w14:textId="77777777" w:rsidTr="00235E85">
              <w:trPr>
                <w:tblHeader/>
              </w:trPr>
              <w:tc>
                <w:tcPr>
                  <w:tcW w:w="848" w:type="pct"/>
                  <w:tcBorders>
                    <w:top w:val="single" w:sz="6" w:space="0" w:color="BFBFBF"/>
                    <w:bottom w:val="single" w:sz="6" w:space="0" w:color="BFBFBF"/>
                  </w:tcBorders>
                  <w:shd w:val="clear" w:color="auto" w:fill="auto"/>
                  <w:tcMar>
                    <w:top w:w="28" w:type="dxa"/>
                  </w:tcMar>
                </w:tcPr>
                <w:p w14:paraId="53D77F12" w14:textId="2BC9125B" w:rsidR="00A506FC" w:rsidRPr="001C1CCC" w:rsidRDefault="00A506FC" w:rsidP="00235E85">
                  <w:pPr>
                    <w:pStyle w:val="TableColumnHeading"/>
                    <w:jc w:val="left"/>
                  </w:pPr>
                </w:p>
              </w:tc>
              <w:tc>
                <w:tcPr>
                  <w:tcW w:w="1384" w:type="pct"/>
                  <w:tcBorders>
                    <w:top w:val="single" w:sz="6" w:space="0" w:color="BFBFBF"/>
                    <w:bottom w:val="single" w:sz="6" w:space="0" w:color="BFBFBF"/>
                  </w:tcBorders>
                </w:tcPr>
                <w:p w14:paraId="0D32AEDB" w14:textId="40A3F94F" w:rsidR="00A506FC" w:rsidRDefault="004A5264" w:rsidP="00235E85">
                  <w:pPr>
                    <w:pStyle w:val="TableColumnHeading"/>
                  </w:pPr>
                  <w:r>
                    <w:t xml:space="preserve">Specification </w:t>
                  </w:r>
                  <w:r w:rsidR="00A506FC" w:rsidRPr="001C1CCC">
                    <w:t>1</w:t>
                  </w:r>
                </w:p>
                <w:p w14:paraId="6C6ACED0" w14:textId="77777777" w:rsidR="00A506FC" w:rsidRPr="001C1CCC" w:rsidRDefault="00A506FC" w:rsidP="00235E85">
                  <w:pPr>
                    <w:pStyle w:val="TableColumnHeading"/>
                  </w:pPr>
                  <w:r>
                    <w:t>Baseline with fixed effects</w:t>
                  </w:r>
                </w:p>
              </w:tc>
              <w:tc>
                <w:tcPr>
                  <w:tcW w:w="1384" w:type="pct"/>
                  <w:tcBorders>
                    <w:top w:val="single" w:sz="6" w:space="0" w:color="BFBFBF"/>
                    <w:bottom w:val="single" w:sz="6" w:space="0" w:color="BFBFBF"/>
                  </w:tcBorders>
                  <w:shd w:val="clear" w:color="auto" w:fill="auto"/>
                  <w:tcMar>
                    <w:top w:w="28" w:type="dxa"/>
                  </w:tcMar>
                </w:tcPr>
                <w:p w14:paraId="588CF7CC" w14:textId="4474DC9B" w:rsidR="00A506FC" w:rsidRDefault="004A5264" w:rsidP="00235E85">
                  <w:pPr>
                    <w:pStyle w:val="TableColumnHeading"/>
                  </w:pPr>
                  <w:r>
                    <w:t xml:space="preserve">Specification </w:t>
                  </w:r>
                  <w:r w:rsidR="00A506FC">
                    <w:t>2</w:t>
                  </w:r>
                </w:p>
                <w:p w14:paraId="330B3F3A" w14:textId="44022ABA" w:rsidR="00A506FC" w:rsidRPr="001C1CCC" w:rsidRDefault="00A506FC" w:rsidP="00235E85">
                  <w:pPr>
                    <w:pStyle w:val="TableColumnHeading"/>
                  </w:pPr>
                  <w:r>
                    <w:t>Baseline with fixed effects</w:t>
                  </w:r>
                  <w:r w:rsidRPr="001C1CCC">
                    <w:t xml:space="preserve"> </w:t>
                  </w:r>
                  <w:r>
                    <w:t xml:space="preserve">and </w:t>
                  </w:r>
                  <w:r w:rsidR="002663DA">
                    <w:t>jurisdiction</w:t>
                  </w:r>
                  <w:r>
                    <w:noBreakHyphen/>
                    <w:t>specific time trends</w:t>
                  </w:r>
                </w:p>
              </w:tc>
              <w:tc>
                <w:tcPr>
                  <w:tcW w:w="1384" w:type="pct"/>
                  <w:tcBorders>
                    <w:top w:val="single" w:sz="6" w:space="0" w:color="BFBFBF"/>
                    <w:bottom w:val="single" w:sz="6" w:space="0" w:color="BFBFBF"/>
                  </w:tcBorders>
                  <w:shd w:val="clear" w:color="auto" w:fill="auto"/>
                  <w:tcMar>
                    <w:top w:w="28" w:type="dxa"/>
                  </w:tcMar>
                </w:tcPr>
                <w:p w14:paraId="5185600C" w14:textId="7638E62E" w:rsidR="00A506FC" w:rsidRDefault="004A5264" w:rsidP="00235E85">
                  <w:pPr>
                    <w:pStyle w:val="TableColumnHeading"/>
                  </w:pPr>
                  <w:r>
                    <w:t xml:space="preserve">Specification </w:t>
                  </w:r>
                  <w:r w:rsidR="00A506FC">
                    <w:t>3</w:t>
                  </w:r>
                </w:p>
                <w:p w14:paraId="04C28D3F" w14:textId="38F2F35E" w:rsidR="00A506FC" w:rsidRPr="001C1CCC" w:rsidRDefault="00A506FC" w:rsidP="00235E85">
                  <w:pPr>
                    <w:pStyle w:val="TableColumnHeading"/>
                  </w:pPr>
                  <w:r>
                    <w:t xml:space="preserve">Baseline with fixed effects, </w:t>
                  </w:r>
                  <w:r w:rsidR="002663DA">
                    <w:t>jurisdiction</w:t>
                  </w:r>
                  <w:r>
                    <w:noBreakHyphen/>
                    <w:t>specific time trends</w:t>
                  </w:r>
                  <w:r w:rsidRPr="001C1CCC">
                    <w:t xml:space="preserve"> </w:t>
                  </w:r>
                  <w:r>
                    <w:t>and control variables</w:t>
                  </w:r>
                </w:p>
              </w:tc>
            </w:tr>
            <w:tr w:rsidR="00A506FC" w14:paraId="3DF921BF" w14:textId="77777777" w:rsidTr="00235E85">
              <w:tc>
                <w:tcPr>
                  <w:tcW w:w="848" w:type="pct"/>
                  <w:tcBorders>
                    <w:top w:val="single" w:sz="6" w:space="0" w:color="BFBFBF"/>
                  </w:tcBorders>
                </w:tcPr>
                <w:p w14:paraId="4C8B73A4" w14:textId="77777777" w:rsidR="00A506FC" w:rsidRPr="001C1CCC" w:rsidRDefault="00A506FC" w:rsidP="00EA18DE">
                  <w:pPr>
                    <w:pStyle w:val="TableUnitsRow"/>
                    <w:spacing w:before="80"/>
                    <w:jc w:val="left"/>
                  </w:pPr>
                  <w:r>
                    <w:t xml:space="preserve">Effect of </w:t>
                  </w:r>
                  <w:proofErr w:type="spellStart"/>
                  <w:r>
                    <w:t>HVNL</w:t>
                  </w:r>
                  <w:proofErr w:type="spellEnd"/>
                </w:p>
              </w:tc>
              <w:tc>
                <w:tcPr>
                  <w:tcW w:w="1384" w:type="pct"/>
                  <w:tcBorders>
                    <w:top w:val="single" w:sz="6" w:space="0" w:color="BFBFBF"/>
                  </w:tcBorders>
                </w:tcPr>
                <w:p w14:paraId="1CE025A9" w14:textId="77777777" w:rsidR="00A506FC" w:rsidRPr="001C1CCC" w:rsidRDefault="00A506FC" w:rsidP="00EA18DE">
                  <w:pPr>
                    <w:pStyle w:val="TableBodyText"/>
                    <w:spacing w:before="80"/>
                  </w:pPr>
                  <w:r>
                    <w:t>41.82</w:t>
                  </w:r>
                  <w:r>
                    <w:rPr>
                      <w:vertAlign w:val="superscript"/>
                    </w:rPr>
                    <w:t>***</w:t>
                  </w:r>
                </w:p>
              </w:tc>
              <w:tc>
                <w:tcPr>
                  <w:tcW w:w="1384" w:type="pct"/>
                  <w:tcBorders>
                    <w:top w:val="single" w:sz="6" w:space="0" w:color="BFBFBF"/>
                  </w:tcBorders>
                </w:tcPr>
                <w:p w14:paraId="5E117805" w14:textId="77777777" w:rsidR="00A506FC" w:rsidRPr="001C1CCC" w:rsidRDefault="00A506FC" w:rsidP="00EA18DE">
                  <w:pPr>
                    <w:pStyle w:val="TableBodyText"/>
                    <w:spacing w:before="80"/>
                  </w:pPr>
                  <w:r>
                    <w:t>2.70</w:t>
                  </w:r>
                </w:p>
              </w:tc>
              <w:tc>
                <w:tcPr>
                  <w:tcW w:w="1384" w:type="pct"/>
                  <w:tcBorders>
                    <w:top w:val="single" w:sz="6" w:space="0" w:color="BFBFBF"/>
                  </w:tcBorders>
                </w:tcPr>
                <w:p w14:paraId="5F36376C" w14:textId="77777777" w:rsidR="00A506FC" w:rsidRPr="001C1CCC" w:rsidRDefault="00A506FC" w:rsidP="00EA18DE">
                  <w:pPr>
                    <w:pStyle w:val="TableBodyText"/>
                    <w:spacing w:before="80"/>
                  </w:pPr>
                  <w:r>
                    <w:t>0.187</w:t>
                  </w:r>
                </w:p>
              </w:tc>
            </w:tr>
            <w:tr w:rsidR="00A506FC" w14:paraId="31FC2D9F" w14:textId="77777777" w:rsidTr="00317D72">
              <w:tc>
                <w:tcPr>
                  <w:tcW w:w="848" w:type="pct"/>
                  <w:tcBorders>
                    <w:bottom w:val="single" w:sz="4" w:space="0" w:color="BFBFBF"/>
                  </w:tcBorders>
                </w:tcPr>
                <w:p w14:paraId="19906B5D" w14:textId="77777777" w:rsidR="00A506FC" w:rsidRPr="001C1CCC" w:rsidRDefault="00A506FC" w:rsidP="00235E85">
                  <w:pPr>
                    <w:pStyle w:val="TableUnitsRow"/>
                    <w:jc w:val="left"/>
                  </w:pPr>
                  <w:r>
                    <w:t>Standard error</w:t>
                  </w:r>
                </w:p>
              </w:tc>
              <w:tc>
                <w:tcPr>
                  <w:tcW w:w="1384" w:type="pct"/>
                  <w:tcBorders>
                    <w:bottom w:val="single" w:sz="4" w:space="0" w:color="BFBFBF"/>
                  </w:tcBorders>
                </w:tcPr>
                <w:p w14:paraId="5473937E" w14:textId="77777777" w:rsidR="00A506FC" w:rsidRPr="001C1CCC" w:rsidRDefault="00A506FC" w:rsidP="00235E85">
                  <w:pPr>
                    <w:pStyle w:val="TableBodyText"/>
                  </w:pPr>
                  <w:r>
                    <w:t>(12.97)</w:t>
                  </w:r>
                </w:p>
              </w:tc>
              <w:tc>
                <w:tcPr>
                  <w:tcW w:w="1384" w:type="pct"/>
                  <w:tcBorders>
                    <w:bottom w:val="single" w:sz="4" w:space="0" w:color="BFBFBF"/>
                  </w:tcBorders>
                </w:tcPr>
                <w:p w14:paraId="70EE3844" w14:textId="77777777" w:rsidR="00A506FC" w:rsidRPr="001C1CCC" w:rsidRDefault="00A506FC" w:rsidP="00235E85">
                  <w:pPr>
                    <w:pStyle w:val="TableBodyText"/>
                  </w:pPr>
                  <w:r>
                    <w:t>(24.16</w:t>
                  </w:r>
                  <w:r w:rsidDel="00552D0F">
                    <w:t>)</w:t>
                  </w:r>
                </w:p>
              </w:tc>
              <w:tc>
                <w:tcPr>
                  <w:tcW w:w="1384" w:type="pct"/>
                  <w:tcBorders>
                    <w:bottom w:val="single" w:sz="4" w:space="0" w:color="BFBFBF"/>
                  </w:tcBorders>
                </w:tcPr>
                <w:p w14:paraId="7DF16D54" w14:textId="77777777" w:rsidR="00A506FC" w:rsidRPr="001C1CCC" w:rsidRDefault="00A506FC" w:rsidP="00235E85">
                  <w:pPr>
                    <w:pStyle w:val="TableBodyText"/>
                  </w:pPr>
                  <w:r w:rsidDel="00552D0F">
                    <w:t>(</w:t>
                  </w:r>
                  <w:r>
                    <w:t>24.52)</w:t>
                  </w:r>
                </w:p>
              </w:tc>
            </w:tr>
            <w:tr w:rsidR="00A506FC" w14:paraId="1960C857" w14:textId="77777777" w:rsidTr="00317D72">
              <w:tc>
                <w:tcPr>
                  <w:tcW w:w="848" w:type="pct"/>
                  <w:tcBorders>
                    <w:top w:val="single" w:sz="4" w:space="0" w:color="BFBFBF"/>
                  </w:tcBorders>
                </w:tcPr>
                <w:p w14:paraId="326EFB36" w14:textId="4F8B9915" w:rsidR="00A506FC" w:rsidRPr="001C1CCC" w:rsidRDefault="00A506FC" w:rsidP="00235E85">
                  <w:pPr>
                    <w:pStyle w:val="TableUnitsRow"/>
                    <w:jc w:val="left"/>
                  </w:pPr>
                  <w:r w:rsidRPr="001C1CCC">
                    <w:t>R</w:t>
                  </w:r>
                  <w:r w:rsidR="000F678D">
                    <w:noBreakHyphen/>
                  </w:r>
                  <w:r>
                    <w:t>s</w:t>
                  </w:r>
                  <w:r w:rsidRPr="001C1CCC">
                    <w:t>quared</w:t>
                  </w:r>
                </w:p>
              </w:tc>
              <w:tc>
                <w:tcPr>
                  <w:tcW w:w="1384" w:type="pct"/>
                  <w:tcBorders>
                    <w:top w:val="single" w:sz="4" w:space="0" w:color="BFBFBF"/>
                  </w:tcBorders>
                </w:tcPr>
                <w:p w14:paraId="66A82746" w14:textId="77777777" w:rsidR="00A506FC" w:rsidRPr="001C1CCC" w:rsidRDefault="00A506FC" w:rsidP="00235E85">
                  <w:pPr>
                    <w:pStyle w:val="TableBodyText"/>
                  </w:pPr>
                  <w:r>
                    <w:t>0.70</w:t>
                  </w:r>
                </w:p>
              </w:tc>
              <w:tc>
                <w:tcPr>
                  <w:tcW w:w="1384" w:type="pct"/>
                  <w:tcBorders>
                    <w:top w:val="single" w:sz="4" w:space="0" w:color="BFBFBF"/>
                  </w:tcBorders>
                </w:tcPr>
                <w:p w14:paraId="5BF78E68" w14:textId="77777777" w:rsidR="00A506FC" w:rsidRPr="001C1CCC" w:rsidRDefault="00A506FC" w:rsidP="00235E85">
                  <w:pPr>
                    <w:pStyle w:val="TableBodyText"/>
                  </w:pPr>
                  <w:r w:rsidDel="00552D0F">
                    <w:t>0.</w:t>
                  </w:r>
                  <w:r>
                    <w:t>78</w:t>
                  </w:r>
                </w:p>
              </w:tc>
              <w:tc>
                <w:tcPr>
                  <w:tcW w:w="1384" w:type="pct"/>
                  <w:tcBorders>
                    <w:top w:val="single" w:sz="4" w:space="0" w:color="BFBFBF"/>
                  </w:tcBorders>
                </w:tcPr>
                <w:p w14:paraId="431F0DCA" w14:textId="77777777" w:rsidR="00A506FC" w:rsidRPr="001C1CCC" w:rsidRDefault="00A506FC" w:rsidP="00235E85">
                  <w:pPr>
                    <w:pStyle w:val="TableBodyText"/>
                  </w:pPr>
                  <w:r>
                    <w:t>0.78</w:t>
                  </w:r>
                </w:p>
              </w:tc>
            </w:tr>
            <w:tr w:rsidR="00A506FC" w14:paraId="75DC959B" w14:textId="77777777" w:rsidTr="00235E85">
              <w:tc>
                <w:tcPr>
                  <w:tcW w:w="848" w:type="pct"/>
                  <w:tcBorders>
                    <w:bottom w:val="single" w:sz="6" w:space="0" w:color="BFBFBF"/>
                  </w:tcBorders>
                  <w:shd w:val="clear" w:color="auto" w:fill="auto"/>
                </w:tcPr>
                <w:p w14:paraId="30F26FCC" w14:textId="77777777" w:rsidR="00A506FC" w:rsidRPr="001C1CCC" w:rsidRDefault="00A506FC" w:rsidP="00235E85">
                  <w:pPr>
                    <w:pStyle w:val="TableUnitsRow"/>
                    <w:jc w:val="left"/>
                  </w:pPr>
                  <w:r>
                    <w:t>O</w:t>
                  </w:r>
                  <w:r w:rsidRPr="001C1CCC">
                    <w:t>bservations</w:t>
                  </w:r>
                </w:p>
              </w:tc>
              <w:tc>
                <w:tcPr>
                  <w:tcW w:w="1384" w:type="pct"/>
                  <w:tcBorders>
                    <w:bottom w:val="single" w:sz="6" w:space="0" w:color="BFBFBF"/>
                  </w:tcBorders>
                </w:tcPr>
                <w:p w14:paraId="5FB7B5CE" w14:textId="77777777" w:rsidR="00A506FC" w:rsidRPr="001C1CCC" w:rsidRDefault="00A506FC" w:rsidP="00235E85">
                  <w:pPr>
                    <w:pStyle w:val="TableBodyText"/>
                  </w:pPr>
                  <w:r>
                    <w:t>279</w:t>
                  </w:r>
                </w:p>
              </w:tc>
              <w:tc>
                <w:tcPr>
                  <w:tcW w:w="1384" w:type="pct"/>
                  <w:tcBorders>
                    <w:bottom w:val="single" w:sz="6" w:space="0" w:color="BFBFBF"/>
                  </w:tcBorders>
                  <w:shd w:val="clear" w:color="auto" w:fill="auto"/>
                </w:tcPr>
                <w:p w14:paraId="25C691BB" w14:textId="77777777" w:rsidR="00A506FC" w:rsidRPr="001C1CCC" w:rsidRDefault="00A506FC" w:rsidP="00235E85">
                  <w:pPr>
                    <w:pStyle w:val="TableBodyText"/>
                  </w:pPr>
                  <w:r>
                    <w:t>279</w:t>
                  </w:r>
                </w:p>
              </w:tc>
              <w:tc>
                <w:tcPr>
                  <w:tcW w:w="1384" w:type="pct"/>
                  <w:tcBorders>
                    <w:bottom w:val="single" w:sz="6" w:space="0" w:color="BFBFBF"/>
                  </w:tcBorders>
                  <w:shd w:val="clear" w:color="auto" w:fill="auto"/>
                </w:tcPr>
                <w:p w14:paraId="4DD16A01" w14:textId="77777777" w:rsidR="00A506FC" w:rsidRPr="001C1CCC" w:rsidRDefault="00A506FC" w:rsidP="00235E85">
                  <w:pPr>
                    <w:pStyle w:val="TableBodyText"/>
                  </w:pPr>
                  <w:r>
                    <w:t>279</w:t>
                  </w:r>
                </w:p>
              </w:tc>
            </w:tr>
          </w:tbl>
          <w:p w14:paraId="2A645512" w14:textId="77777777" w:rsidR="00A506FC" w:rsidRDefault="00A506FC" w:rsidP="00235E85">
            <w:pPr>
              <w:pStyle w:val="Box"/>
            </w:pPr>
          </w:p>
        </w:tc>
      </w:tr>
      <w:tr w:rsidR="00A506FC" w14:paraId="753DD59C" w14:textId="77777777" w:rsidTr="00235E85">
        <w:trPr>
          <w:trHeight w:val="654"/>
        </w:trPr>
        <w:tc>
          <w:tcPr>
            <w:tcW w:w="5000" w:type="pct"/>
            <w:tcBorders>
              <w:top w:val="nil"/>
              <w:left w:val="nil"/>
              <w:bottom w:val="nil"/>
              <w:right w:val="nil"/>
            </w:tcBorders>
            <w:shd w:val="clear" w:color="auto" w:fill="auto"/>
          </w:tcPr>
          <w:p w14:paraId="00486B02" w14:textId="27223146" w:rsidR="00A506FC" w:rsidRDefault="00A506FC" w:rsidP="00235E85">
            <w:pPr>
              <w:pStyle w:val="Note"/>
              <w:rPr>
                <w:i/>
              </w:rPr>
            </w:pPr>
            <w:r w:rsidRPr="008E77FE">
              <w:rPr>
                <w:rStyle w:val="NoteLabel"/>
              </w:rPr>
              <w:t>a</w:t>
            </w:r>
            <w:r>
              <w:t xml:space="preserve"> </w:t>
            </w:r>
            <w:r w:rsidR="006F399B" w:rsidRPr="0050188F">
              <w:t xml:space="preserve">Results using quarterly data from January 2008 to December 2017. The </w:t>
            </w:r>
            <w:proofErr w:type="spellStart"/>
            <w:r w:rsidR="006F399B" w:rsidRPr="0050188F">
              <w:t>HVNL</w:t>
            </w:r>
            <w:proofErr w:type="spellEnd"/>
            <w:r w:rsidR="006F399B" w:rsidRPr="0050188F">
              <w:t xml:space="preserve"> was assumed to apply for relevant jurisdictions from the first quarter of 2014.</w:t>
            </w:r>
            <w:r>
              <w:t xml:space="preserve"> </w:t>
            </w:r>
            <w:r w:rsidRPr="000E6B1D">
              <w:t xml:space="preserve">The dependent variable is the number of heavy </w:t>
            </w:r>
            <w:r>
              <w:t>rigid vehicle crashes</w:t>
            </w:r>
            <w:r w:rsidRPr="000E6B1D">
              <w:t xml:space="preserve"> (involving injury or death) per billion heavy </w:t>
            </w:r>
            <w:r>
              <w:t xml:space="preserve">rigid </w:t>
            </w:r>
            <w:r w:rsidRPr="000E6B1D">
              <w:t xml:space="preserve">vehicle kilometres. Standard errors </w:t>
            </w:r>
            <w:r>
              <w:t>have been</w:t>
            </w:r>
            <w:r w:rsidRPr="000E6B1D">
              <w:t xml:space="preserve"> corrected for clustering at the </w:t>
            </w:r>
            <w:r w:rsidR="002663DA">
              <w:t xml:space="preserve">jurisdiction </w:t>
            </w:r>
            <w:r w:rsidRPr="000E6B1D">
              <w:t>level. *</w:t>
            </w:r>
            <w:r>
              <w:t> </w:t>
            </w:r>
            <w:r w:rsidRPr="000E6B1D">
              <w:t>p&lt;0.10</w:t>
            </w:r>
            <w:r>
              <w:t>,</w:t>
            </w:r>
            <w:r w:rsidRPr="000E6B1D">
              <w:t xml:space="preserve"> **</w:t>
            </w:r>
            <w:r>
              <w:t> </w:t>
            </w:r>
            <w:r w:rsidRPr="000E6B1D">
              <w:t>p&lt;0.05</w:t>
            </w:r>
            <w:r>
              <w:t>,</w:t>
            </w:r>
            <w:r w:rsidRPr="000E6B1D">
              <w:t xml:space="preserve"> ***p</w:t>
            </w:r>
            <w:r>
              <w:t> </w:t>
            </w:r>
            <w:r w:rsidRPr="000E6B1D">
              <w:t>&lt;0.01</w:t>
            </w:r>
            <w:r>
              <w:t xml:space="preserve">. </w:t>
            </w:r>
          </w:p>
        </w:tc>
      </w:tr>
      <w:tr w:rsidR="00A506FC" w14:paraId="79C94D15" w14:textId="77777777" w:rsidTr="00235E85">
        <w:tc>
          <w:tcPr>
            <w:tcW w:w="5000" w:type="pct"/>
            <w:tcBorders>
              <w:top w:val="nil"/>
              <w:left w:val="nil"/>
              <w:bottom w:val="nil"/>
              <w:right w:val="nil"/>
            </w:tcBorders>
            <w:shd w:val="clear" w:color="auto" w:fill="auto"/>
          </w:tcPr>
          <w:p w14:paraId="6038B01E" w14:textId="77777777" w:rsidR="00A506FC" w:rsidRDefault="00A506FC" w:rsidP="00235E85">
            <w:pPr>
              <w:pStyle w:val="Source"/>
            </w:pPr>
            <w:r>
              <w:rPr>
                <w:i/>
              </w:rPr>
              <w:t>S</w:t>
            </w:r>
            <w:r w:rsidRPr="00784A05">
              <w:rPr>
                <w:i/>
              </w:rPr>
              <w:t>ource</w:t>
            </w:r>
            <w:r w:rsidRPr="00176D3F">
              <w:t xml:space="preserve">: </w:t>
            </w:r>
            <w:r>
              <w:t>Commission estimates based on National Crash Database (</w:t>
            </w:r>
            <w:proofErr w:type="spellStart"/>
            <w:r>
              <w:t>BITRE</w:t>
            </w:r>
            <w:proofErr w:type="spellEnd"/>
            <w:r>
              <w:t>, unpublished).</w:t>
            </w:r>
          </w:p>
        </w:tc>
      </w:tr>
      <w:tr w:rsidR="00A506FC" w14:paraId="01892FEE" w14:textId="77777777" w:rsidTr="00235E85">
        <w:tc>
          <w:tcPr>
            <w:tcW w:w="5000" w:type="pct"/>
            <w:tcBorders>
              <w:top w:val="nil"/>
              <w:left w:val="nil"/>
              <w:bottom w:val="single" w:sz="6" w:space="0" w:color="78A22F"/>
              <w:right w:val="nil"/>
            </w:tcBorders>
            <w:shd w:val="clear" w:color="auto" w:fill="auto"/>
          </w:tcPr>
          <w:p w14:paraId="3A9F04D5" w14:textId="77777777" w:rsidR="00A506FC" w:rsidRDefault="00A506FC" w:rsidP="00235E85">
            <w:pPr>
              <w:pStyle w:val="Box"/>
              <w:spacing w:before="0" w:line="120" w:lineRule="exact"/>
            </w:pPr>
          </w:p>
        </w:tc>
      </w:tr>
      <w:tr w:rsidR="00A506FC" w:rsidRPr="000863A5" w14:paraId="387D8767" w14:textId="77777777" w:rsidTr="00235E85">
        <w:tc>
          <w:tcPr>
            <w:tcW w:w="5000" w:type="pct"/>
            <w:tcBorders>
              <w:top w:val="single" w:sz="6" w:space="0" w:color="78A22F"/>
              <w:left w:val="nil"/>
              <w:bottom w:val="nil"/>
              <w:right w:val="nil"/>
            </w:tcBorders>
          </w:tcPr>
          <w:p w14:paraId="07007B0E" w14:textId="3151CB8C" w:rsidR="00A506FC" w:rsidRPr="00626D32" w:rsidRDefault="00A506FC" w:rsidP="00235E85">
            <w:pPr>
              <w:pStyle w:val="BoxSpaceBelow"/>
            </w:pPr>
          </w:p>
        </w:tc>
      </w:tr>
    </w:tbl>
    <w:p w14:paraId="010E6A70" w14:textId="20DC17B5" w:rsidR="00A506FC" w:rsidRPr="003802FF" w:rsidRDefault="00A506FC" w:rsidP="00A506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506FC" w14:paraId="258D56BE" w14:textId="77777777" w:rsidTr="00235E85">
        <w:trPr>
          <w:tblHeader/>
        </w:trPr>
        <w:tc>
          <w:tcPr>
            <w:tcW w:w="5000" w:type="pct"/>
            <w:tcBorders>
              <w:top w:val="single" w:sz="6" w:space="0" w:color="78A22F"/>
              <w:left w:val="nil"/>
              <w:bottom w:val="nil"/>
              <w:right w:val="nil"/>
            </w:tcBorders>
            <w:shd w:val="clear" w:color="auto" w:fill="auto"/>
          </w:tcPr>
          <w:p w14:paraId="2115FBD8" w14:textId="663709E2" w:rsidR="00A506FC" w:rsidRDefault="00A506FC" w:rsidP="00235E85">
            <w:pPr>
              <w:pStyle w:val="TableTitle"/>
            </w:pPr>
            <w:r>
              <w:rPr>
                <w:b w:val="0"/>
              </w:rPr>
              <w:t xml:space="preserve">Table </w:t>
            </w:r>
            <w:proofErr w:type="spellStart"/>
            <w:r>
              <w:rPr>
                <w:b w:val="0"/>
              </w:rPr>
              <w:t>B.</w:t>
            </w:r>
            <w:r w:rsidR="00886E54">
              <w:rPr>
                <w:b w:val="0"/>
              </w:rPr>
              <w:t>6</w:t>
            </w:r>
            <w:proofErr w:type="spellEnd"/>
            <w:r>
              <w:tab/>
              <w:t xml:space="preserve">Fatal heavy vehicle crashes in </w:t>
            </w:r>
            <w:proofErr w:type="spellStart"/>
            <w:r>
              <w:t>HVNL</w:t>
            </w:r>
            <w:proofErr w:type="spellEnd"/>
            <w:r>
              <w:t xml:space="preserve"> and non</w:t>
            </w:r>
            <w:r>
              <w:noBreakHyphen/>
            </w:r>
            <w:proofErr w:type="spellStart"/>
            <w:r>
              <w:t>HVNL</w:t>
            </w:r>
            <w:proofErr w:type="spellEnd"/>
            <w:r>
              <w:t xml:space="preserve"> jurisdictions</w:t>
            </w:r>
            <w:r w:rsidRPr="002637F5">
              <w:rPr>
                <w:rStyle w:val="NoteLabel"/>
                <w:b/>
              </w:rPr>
              <w:t>a</w:t>
            </w:r>
          </w:p>
          <w:p w14:paraId="636B46F0" w14:textId="77777777" w:rsidR="00A506FC" w:rsidRPr="00784A05" w:rsidRDefault="00A506FC" w:rsidP="00235E85">
            <w:pPr>
              <w:pStyle w:val="Subtitle"/>
            </w:pPr>
            <w:r>
              <w:t>Difference</w:t>
            </w:r>
            <w:r>
              <w:noBreakHyphen/>
              <w:t>in</w:t>
            </w:r>
            <w:r>
              <w:noBreakHyphen/>
              <w:t>differences results</w:t>
            </w:r>
          </w:p>
        </w:tc>
      </w:tr>
      <w:tr w:rsidR="00A506FC" w14:paraId="1FDF0CE0" w14:textId="77777777" w:rsidTr="00235E85">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560"/>
              <w:gridCol w:w="2315"/>
              <w:gridCol w:w="2315"/>
              <w:gridCol w:w="2315"/>
            </w:tblGrid>
            <w:tr w:rsidR="00A506FC" w14:paraId="34D17453" w14:textId="77777777" w:rsidTr="00235E85">
              <w:trPr>
                <w:tblHeader/>
              </w:trPr>
              <w:tc>
                <w:tcPr>
                  <w:tcW w:w="917" w:type="pct"/>
                  <w:tcBorders>
                    <w:top w:val="single" w:sz="6" w:space="0" w:color="BFBFBF"/>
                    <w:bottom w:val="single" w:sz="6" w:space="0" w:color="BFBFBF"/>
                  </w:tcBorders>
                  <w:shd w:val="clear" w:color="auto" w:fill="auto"/>
                  <w:tcMar>
                    <w:top w:w="28" w:type="dxa"/>
                  </w:tcMar>
                </w:tcPr>
                <w:p w14:paraId="3A45883F" w14:textId="5DF987B9" w:rsidR="00A506FC" w:rsidRPr="001C1CCC" w:rsidRDefault="00A506FC" w:rsidP="00235E85">
                  <w:pPr>
                    <w:pStyle w:val="TableColumnHeading"/>
                    <w:jc w:val="left"/>
                  </w:pPr>
                </w:p>
              </w:tc>
              <w:tc>
                <w:tcPr>
                  <w:tcW w:w="1361" w:type="pct"/>
                  <w:tcBorders>
                    <w:top w:val="single" w:sz="6" w:space="0" w:color="BFBFBF"/>
                    <w:bottom w:val="single" w:sz="6" w:space="0" w:color="BFBFBF"/>
                  </w:tcBorders>
                </w:tcPr>
                <w:p w14:paraId="1888AED5" w14:textId="28B0ADE1" w:rsidR="00A506FC" w:rsidRDefault="00212623" w:rsidP="00235E85">
                  <w:pPr>
                    <w:pStyle w:val="TableColumnHeading"/>
                  </w:pPr>
                  <w:r>
                    <w:t>Specification 1</w:t>
                  </w:r>
                </w:p>
                <w:p w14:paraId="4EA7E1F7" w14:textId="77777777" w:rsidR="00A506FC" w:rsidRPr="001C1CCC" w:rsidRDefault="00A506FC" w:rsidP="00235E85">
                  <w:pPr>
                    <w:pStyle w:val="TableColumnHeading"/>
                  </w:pPr>
                  <w:r>
                    <w:t>Baseline with fixed effects</w:t>
                  </w:r>
                </w:p>
              </w:tc>
              <w:tc>
                <w:tcPr>
                  <w:tcW w:w="1361" w:type="pct"/>
                  <w:tcBorders>
                    <w:top w:val="single" w:sz="6" w:space="0" w:color="BFBFBF"/>
                    <w:bottom w:val="single" w:sz="6" w:space="0" w:color="BFBFBF"/>
                  </w:tcBorders>
                  <w:shd w:val="clear" w:color="auto" w:fill="auto"/>
                  <w:tcMar>
                    <w:top w:w="28" w:type="dxa"/>
                  </w:tcMar>
                </w:tcPr>
                <w:p w14:paraId="1994B09A" w14:textId="47BDEAC6" w:rsidR="00A506FC" w:rsidRDefault="00212623" w:rsidP="00235E85">
                  <w:pPr>
                    <w:pStyle w:val="TableColumnHeading"/>
                  </w:pPr>
                  <w:r>
                    <w:t>Specification 2</w:t>
                  </w:r>
                </w:p>
                <w:p w14:paraId="7847BEB0" w14:textId="069F122F" w:rsidR="00A506FC" w:rsidRPr="001C1CCC" w:rsidRDefault="00A506FC" w:rsidP="00235E85">
                  <w:pPr>
                    <w:pStyle w:val="TableColumnHeading"/>
                  </w:pPr>
                  <w:r>
                    <w:t>Baseline with fixed effects</w:t>
                  </w:r>
                  <w:r w:rsidRPr="001C1CCC">
                    <w:t xml:space="preserve"> </w:t>
                  </w:r>
                  <w:r>
                    <w:t xml:space="preserve">and </w:t>
                  </w:r>
                  <w:r w:rsidR="002663DA">
                    <w:t>jurisdiction</w:t>
                  </w:r>
                  <w:r>
                    <w:noBreakHyphen/>
                    <w:t>specific time trends</w:t>
                  </w:r>
                </w:p>
              </w:tc>
              <w:tc>
                <w:tcPr>
                  <w:tcW w:w="1361" w:type="pct"/>
                  <w:tcBorders>
                    <w:top w:val="single" w:sz="6" w:space="0" w:color="BFBFBF"/>
                    <w:bottom w:val="single" w:sz="6" w:space="0" w:color="BFBFBF"/>
                  </w:tcBorders>
                  <w:shd w:val="clear" w:color="auto" w:fill="auto"/>
                  <w:tcMar>
                    <w:top w:w="28" w:type="dxa"/>
                  </w:tcMar>
                </w:tcPr>
                <w:p w14:paraId="736B4F5C" w14:textId="751E5C4E" w:rsidR="00A506FC" w:rsidRDefault="00212623" w:rsidP="00235E85">
                  <w:pPr>
                    <w:pStyle w:val="TableColumnHeading"/>
                  </w:pPr>
                  <w:r>
                    <w:t>Specification 3</w:t>
                  </w:r>
                </w:p>
                <w:p w14:paraId="76D06C23" w14:textId="761645D7" w:rsidR="00A506FC" w:rsidRPr="001C1CCC" w:rsidRDefault="00A506FC" w:rsidP="00235E85">
                  <w:pPr>
                    <w:pStyle w:val="TableColumnHeading"/>
                  </w:pPr>
                  <w:r>
                    <w:t xml:space="preserve">Baseline with fixed effects, </w:t>
                  </w:r>
                  <w:r w:rsidR="002663DA">
                    <w:t>jurisdiction</w:t>
                  </w:r>
                  <w:r>
                    <w:noBreakHyphen/>
                    <w:t>specific time trends</w:t>
                  </w:r>
                  <w:r w:rsidRPr="001C1CCC">
                    <w:t xml:space="preserve"> </w:t>
                  </w:r>
                  <w:r>
                    <w:t>and control variables</w:t>
                  </w:r>
                </w:p>
              </w:tc>
            </w:tr>
            <w:tr w:rsidR="00A506FC" w14:paraId="73C32C2A" w14:textId="77777777" w:rsidTr="00235E85">
              <w:tc>
                <w:tcPr>
                  <w:tcW w:w="917" w:type="pct"/>
                  <w:tcBorders>
                    <w:top w:val="single" w:sz="6" w:space="0" w:color="BFBFBF"/>
                  </w:tcBorders>
                </w:tcPr>
                <w:p w14:paraId="6268667F" w14:textId="77777777" w:rsidR="00A506FC" w:rsidRPr="001C1CCC" w:rsidRDefault="00A506FC" w:rsidP="00EA18DE">
                  <w:pPr>
                    <w:pStyle w:val="TableUnitsRow"/>
                    <w:spacing w:before="80"/>
                    <w:jc w:val="left"/>
                  </w:pPr>
                  <w:r>
                    <w:t xml:space="preserve">Effect of </w:t>
                  </w:r>
                  <w:proofErr w:type="spellStart"/>
                  <w:r>
                    <w:t>HVNL</w:t>
                  </w:r>
                  <w:proofErr w:type="spellEnd"/>
                </w:p>
              </w:tc>
              <w:tc>
                <w:tcPr>
                  <w:tcW w:w="1361" w:type="pct"/>
                  <w:tcBorders>
                    <w:top w:val="single" w:sz="6" w:space="0" w:color="BFBFBF"/>
                  </w:tcBorders>
                </w:tcPr>
                <w:p w14:paraId="5A3107E0" w14:textId="77777777" w:rsidR="00A506FC" w:rsidRPr="001C1CCC" w:rsidRDefault="00A506FC" w:rsidP="00EA18DE">
                  <w:pPr>
                    <w:pStyle w:val="TableBodyText"/>
                    <w:spacing w:before="80"/>
                  </w:pPr>
                  <w:r>
                    <w:t>5.33</w:t>
                  </w:r>
                </w:p>
              </w:tc>
              <w:tc>
                <w:tcPr>
                  <w:tcW w:w="1361" w:type="pct"/>
                  <w:tcBorders>
                    <w:top w:val="single" w:sz="6" w:space="0" w:color="BFBFBF"/>
                  </w:tcBorders>
                </w:tcPr>
                <w:p w14:paraId="2608123D" w14:textId="77777777" w:rsidR="00A506FC" w:rsidRPr="001C1CCC" w:rsidRDefault="00A506FC" w:rsidP="00EA18DE">
                  <w:pPr>
                    <w:pStyle w:val="TableBodyText"/>
                    <w:spacing w:before="80"/>
                  </w:pPr>
                  <w:r>
                    <w:t>8.80*</w:t>
                  </w:r>
                </w:p>
              </w:tc>
              <w:tc>
                <w:tcPr>
                  <w:tcW w:w="1361" w:type="pct"/>
                  <w:tcBorders>
                    <w:top w:val="single" w:sz="6" w:space="0" w:color="BFBFBF"/>
                  </w:tcBorders>
                </w:tcPr>
                <w:p w14:paraId="1EB07D49" w14:textId="77777777" w:rsidR="00A506FC" w:rsidRPr="001C1CCC" w:rsidRDefault="00A506FC" w:rsidP="00EA18DE">
                  <w:pPr>
                    <w:pStyle w:val="TableBodyText"/>
                    <w:spacing w:before="80"/>
                  </w:pPr>
                  <w:r>
                    <w:t>7.99</w:t>
                  </w:r>
                </w:p>
              </w:tc>
            </w:tr>
            <w:tr w:rsidR="00A506FC" w14:paraId="07919A92" w14:textId="77777777" w:rsidTr="00381883">
              <w:tc>
                <w:tcPr>
                  <w:tcW w:w="917" w:type="pct"/>
                  <w:tcBorders>
                    <w:bottom w:val="single" w:sz="4" w:space="0" w:color="BFBFBF"/>
                  </w:tcBorders>
                </w:tcPr>
                <w:p w14:paraId="21822E83" w14:textId="77777777" w:rsidR="00A506FC" w:rsidRPr="001C1CCC" w:rsidRDefault="00A506FC" w:rsidP="00235E85">
                  <w:pPr>
                    <w:pStyle w:val="TableUnitsRow"/>
                    <w:jc w:val="left"/>
                  </w:pPr>
                  <w:r>
                    <w:t>Standard error</w:t>
                  </w:r>
                </w:p>
              </w:tc>
              <w:tc>
                <w:tcPr>
                  <w:tcW w:w="1361" w:type="pct"/>
                  <w:tcBorders>
                    <w:bottom w:val="single" w:sz="4" w:space="0" w:color="BFBFBF"/>
                  </w:tcBorders>
                </w:tcPr>
                <w:p w14:paraId="1A3F16C2" w14:textId="77777777" w:rsidR="00A506FC" w:rsidRPr="001C1CCC" w:rsidRDefault="00A506FC" w:rsidP="00235E85">
                  <w:pPr>
                    <w:pStyle w:val="TableBodyText"/>
                  </w:pPr>
                  <w:r>
                    <w:t>(3.28)</w:t>
                  </w:r>
                </w:p>
              </w:tc>
              <w:tc>
                <w:tcPr>
                  <w:tcW w:w="1361" w:type="pct"/>
                  <w:tcBorders>
                    <w:bottom w:val="single" w:sz="4" w:space="0" w:color="BFBFBF"/>
                  </w:tcBorders>
                </w:tcPr>
                <w:p w14:paraId="0158C8AD" w14:textId="77777777" w:rsidR="00A506FC" w:rsidRPr="001C1CCC" w:rsidRDefault="00A506FC" w:rsidP="00235E85">
                  <w:pPr>
                    <w:pStyle w:val="TableBodyText"/>
                  </w:pPr>
                  <w:r>
                    <w:t>(5.11)</w:t>
                  </w:r>
                </w:p>
              </w:tc>
              <w:tc>
                <w:tcPr>
                  <w:tcW w:w="1361" w:type="pct"/>
                  <w:tcBorders>
                    <w:bottom w:val="single" w:sz="4" w:space="0" w:color="BFBFBF"/>
                  </w:tcBorders>
                </w:tcPr>
                <w:p w14:paraId="4617512A" w14:textId="77777777" w:rsidR="00A506FC" w:rsidRPr="001C1CCC" w:rsidRDefault="00A506FC" w:rsidP="00235E85">
                  <w:pPr>
                    <w:pStyle w:val="TableBodyText"/>
                  </w:pPr>
                  <w:r>
                    <w:t>(5.12)</w:t>
                  </w:r>
                </w:p>
              </w:tc>
            </w:tr>
            <w:tr w:rsidR="00A506FC" w14:paraId="45F61BCB" w14:textId="77777777" w:rsidTr="00381883">
              <w:tc>
                <w:tcPr>
                  <w:tcW w:w="917" w:type="pct"/>
                  <w:tcBorders>
                    <w:top w:val="single" w:sz="4" w:space="0" w:color="BFBFBF"/>
                  </w:tcBorders>
                </w:tcPr>
                <w:p w14:paraId="77E3779A" w14:textId="74D1AF8A" w:rsidR="00A506FC" w:rsidRPr="001C1CCC" w:rsidRDefault="00A506FC" w:rsidP="00235E85">
                  <w:pPr>
                    <w:pStyle w:val="TableUnitsRow"/>
                    <w:jc w:val="left"/>
                  </w:pPr>
                  <w:r w:rsidRPr="001C1CCC">
                    <w:t>R</w:t>
                  </w:r>
                  <w:r w:rsidR="000F678D">
                    <w:noBreakHyphen/>
                  </w:r>
                  <w:r>
                    <w:t>s</w:t>
                  </w:r>
                  <w:r w:rsidRPr="001C1CCC">
                    <w:t>quared</w:t>
                  </w:r>
                </w:p>
              </w:tc>
              <w:tc>
                <w:tcPr>
                  <w:tcW w:w="1361" w:type="pct"/>
                  <w:tcBorders>
                    <w:top w:val="single" w:sz="4" w:space="0" w:color="BFBFBF"/>
                  </w:tcBorders>
                </w:tcPr>
                <w:p w14:paraId="6C70415C" w14:textId="57E45E46" w:rsidR="00A506FC" w:rsidRPr="001C1CCC" w:rsidRDefault="00A506FC" w:rsidP="00235E85">
                  <w:pPr>
                    <w:pStyle w:val="TableBodyText"/>
                  </w:pPr>
                  <w:r>
                    <w:t>0.42</w:t>
                  </w:r>
                </w:p>
              </w:tc>
              <w:tc>
                <w:tcPr>
                  <w:tcW w:w="1361" w:type="pct"/>
                  <w:tcBorders>
                    <w:top w:val="single" w:sz="4" w:space="0" w:color="BFBFBF"/>
                  </w:tcBorders>
                </w:tcPr>
                <w:p w14:paraId="29884E59" w14:textId="77777777" w:rsidR="00A506FC" w:rsidRPr="001C1CCC" w:rsidRDefault="00A506FC" w:rsidP="00235E85">
                  <w:pPr>
                    <w:pStyle w:val="TableBodyText"/>
                  </w:pPr>
                  <w:r>
                    <w:t>0.54</w:t>
                  </w:r>
                </w:p>
              </w:tc>
              <w:tc>
                <w:tcPr>
                  <w:tcW w:w="1361" w:type="pct"/>
                  <w:tcBorders>
                    <w:top w:val="single" w:sz="4" w:space="0" w:color="BFBFBF"/>
                  </w:tcBorders>
                </w:tcPr>
                <w:p w14:paraId="6D3283C5" w14:textId="77777777" w:rsidR="00A506FC" w:rsidRPr="001C1CCC" w:rsidRDefault="00A506FC" w:rsidP="00235E85">
                  <w:pPr>
                    <w:pStyle w:val="TableBodyText"/>
                  </w:pPr>
                  <w:r>
                    <w:t>0.54</w:t>
                  </w:r>
                </w:p>
              </w:tc>
            </w:tr>
            <w:tr w:rsidR="00A506FC" w14:paraId="524B8C56" w14:textId="77777777" w:rsidTr="00235E85">
              <w:tc>
                <w:tcPr>
                  <w:tcW w:w="917" w:type="pct"/>
                  <w:tcBorders>
                    <w:bottom w:val="single" w:sz="6" w:space="0" w:color="BFBFBF"/>
                  </w:tcBorders>
                  <w:shd w:val="clear" w:color="auto" w:fill="auto"/>
                </w:tcPr>
                <w:p w14:paraId="0D952513" w14:textId="77777777" w:rsidR="00A506FC" w:rsidRPr="001C1CCC" w:rsidRDefault="00A506FC" w:rsidP="00235E85">
                  <w:pPr>
                    <w:pStyle w:val="TableUnitsRow"/>
                    <w:jc w:val="left"/>
                  </w:pPr>
                  <w:r>
                    <w:t>O</w:t>
                  </w:r>
                  <w:r w:rsidRPr="001C1CCC">
                    <w:t>bservations</w:t>
                  </w:r>
                </w:p>
              </w:tc>
              <w:tc>
                <w:tcPr>
                  <w:tcW w:w="1361" w:type="pct"/>
                  <w:tcBorders>
                    <w:bottom w:val="single" w:sz="6" w:space="0" w:color="BFBFBF"/>
                  </w:tcBorders>
                </w:tcPr>
                <w:p w14:paraId="2DBBF3B7" w14:textId="77777777" w:rsidR="00A506FC" w:rsidRPr="001C1CCC" w:rsidRDefault="00A506FC" w:rsidP="00235E85">
                  <w:pPr>
                    <w:pStyle w:val="TableBodyText"/>
                  </w:pPr>
                  <w:r>
                    <w:t>70</w:t>
                  </w:r>
                </w:p>
              </w:tc>
              <w:tc>
                <w:tcPr>
                  <w:tcW w:w="1361" w:type="pct"/>
                  <w:tcBorders>
                    <w:bottom w:val="single" w:sz="6" w:space="0" w:color="BFBFBF"/>
                  </w:tcBorders>
                  <w:shd w:val="clear" w:color="auto" w:fill="auto"/>
                </w:tcPr>
                <w:p w14:paraId="1E817498" w14:textId="77777777" w:rsidR="00A506FC" w:rsidRPr="001C1CCC" w:rsidRDefault="00A506FC" w:rsidP="00235E85">
                  <w:pPr>
                    <w:pStyle w:val="TableBodyText"/>
                  </w:pPr>
                  <w:r>
                    <w:t>70</w:t>
                  </w:r>
                </w:p>
              </w:tc>
              <w:tc>
                <w:tcPr>
                  <w:tcW w:w="1361" w:type="pct"/>
                  <w:tcBorders>
                    <w:bottom w:val="single" w:sz="6" w:space="0" w:color="BFBFBF"/>
                  </w:tcBorders>
                  <w:shd w:val="clear" w:color="auto" w:fill="auto"/>
                </w:tcPr>
                <w:p w14:paraId="6762BF23" w14:textId="77777777" w:rsidR="00A506FC" w:rsidRPr="001C1CCC" w:rsidRDefault="00A506FC" w:rsidP="00235E85">
                  <w:pPr>
                    <w:pStyle w:val="TableBodyText"/>
                  </w:pPr>
                  <w:r>
                    <w:t>70</w:t>
                  </w:r>
                </w:p>
              </w:tc>
            </w:tr>
          </w:tbl>
          <w:p w14:paraId="3753AB4A" w14:textId="77777777" w:rsidR="00A506FC" w:rsidRDefault="00A506FC" w:rsidP="00235E85">
            <w:pPr>
              <w:pStyle w:val="Box"/>
            </w:pPr>
          </w:p>
        </w:tc>
      </w:tr>
      <w:tr w:rsidR="00A506FC" w14:paraId="0426C249" w14:textId="77777777" w:rsidTr="00235E85">
        <w:trPr>
          <w:trHeight w:val="654"/>
        </w:trPr>
        <w:tc>
          <w:tcPr>
            <w:tcW w:w="5000" w:type="pct"/>
            <w:tcBorders>
              <w:top w:val="nil"/>
              <w:left w:val="nil"/>
              <w:bottom w:val="nil"/>
              <w:right w:val="nil"/>
            </w:tcBorders>
            <w:shd w:val="clear" w:color="auto" w:fill="auto"/>
          </w:tcPr>
          <w:p w14:paraId="4AFDC2CB" w14:textId="33D09530" w:rsidR="00A506FC" w:rsidRDefault="00A506FC" w:rsidP="00052370">
            <w:pPr>
              <w:pStyle w:val="Note"/>
              <w:rPr>
                <w:i/>
              </w:rPr>
            </w:pPr>
            <w:r w:rsidRPr="008E77FE">
              <w:rPr>
                <w:rStyle w:val="NoteLabel"/>
              </w:rPr>
              <w:t>a</w:t>
            </w:r>
            <w:r>
              <w:t xml:space="preserve"> </w:t>
            </w:r>
            <w:r w:rsidR="00C14BA9">
              <w:t xml:space="preserve">Results using </w:t>
            </w:r>
            <w:r w:rsidR="001E0E48">
              <w:t>yearly</w:t>
            </w:r>
            <w:r w:rsidR="00C14BA9">
              <w:t xml:space="preserve"> data from 2008 to 2017. The effect of the </w:t>
            </w:r>
            <w:proofErr w:type="spellStart"/>
            <w:r w:rsidR="00C14BA9">
              <w:t>HVNL</w:t>
            </w:r>
            <w:proofErr w:type="spellEnd"/>
            <w:r w:rsidR="00C14BA9">
              <w:t xml:space="preserve"> was measured from 2014 onwards.</w:t>
            </w:r>
            <w:r>
              <w:t xml:space="preserve"> </w:t>
            </w:r>
            <w:r w:rsidRPr="000E6B1D">
              <w:t>The dependent variable is the number of</w:t>
            </w:r>
            <w:r>
              <w:t xml:space="preserve"> fatal</w:t>
            </w:r>
            <w:r w:rsidRPr="000E6B1D">
              <w:t xml:space="preserve"> heavy </w:t>
            </w:r>
            <w:r>
              <w:t>vehicle crashes</w:t>
            </w:r>
            <w:r w:rsidRPr="000E6B1D">
              <w:t xml:space="preserve"> (involving injury or death) per billion heavy vehicle kilometres. Standard errors </w:t>
            </w:r>
            <w:r>
              <w:t>have been</w:t>
            </w:r>
            <w:r w:rsidRPr="000E6B1D">
              <w:t xml:space="preserve"> corrected for clustering at the </w:t>
            </w:r>
            <w:r w:rsidR="002663DA">
              <w:t xml:space="preserve">jurisdiction </w:t>
            </w:r>
            <w:r w:rsidRPr="000E6B1D">
              <w:t>level.  *</w:t>
            </w:r>
            <w:r w:rsidR="00586F46">
              <w:t> </w:t>
            </w:r>
            <w:r w:rsidRPr="000E6B1D">
              <w:t>p&lt;0.10</w:t>
            </w:r>
            <w:r>
              <w:t>,</w:t>
            </w:r>
            <w:r w:rsidRPr="000E6B1D">
              <w:t xml:space="preserve"> **</w:t>
            </w:r>
            <w:r>
              <w:t> </w:t>
            </w:r>
            <w:r w:rsidRPr="000E6B1D">
              <w:t>p&lt;0.05</w:t>
            </w:r>
            <w:r>
              <w:t>,</w:t>
            </w:r>
            <w:r w:rsidRPr="000E6B1D">
              <w:t xml:space="preserve"> ***</w:t>
            </w:r>
            <w:r>
              <w:t> </w:t>
            </w:r>
            <w:r w:rsidRPr="000E6B1D">
              <w:t>p&lt;0.01</w:t>
            </w:r>
            <w:r>
              <w:t xml:space="preserve">. </w:t>
            </w:r>
          </w:p>
        </w:tc>
      </w:tr>
      <w:tr w:rsidR="00A506FC" w14:paraId="14839BB7" w14:textId="77777777" w:rsidTr="00235E85">
        <w:tc>
          <w:tcPr>
            <w:tcW w:w="5000" w:type="pct"/>
            <w:tcBorders>
              <w:top w:val="nil"/>
              <w:left w:val="nil"/>
              <w:bottom w:val="nil"/>
              <w:right w:val="nil"/>
            </w:tcBorders>
            <w:shd w:val="clear" w:color="auto" w:fill="auto"/>
          </w:tcPr>
          <w:p w14:paraId="5DF82A82" w14:textId="77777777" w:rsidR="00A506FC" w:rsidRDefault="00A506FC" w:rsidP="00235E85">
            <w:pPr>
              <w:pStyle w:val="Source"/>
            </w:pPr>
            <w:r>
              <w:rPr>
                <w:i/>
              </w:rPr>
              <w:t>S</w:t>
            </w:r>
            <w:r w:rsidRPr="00784A05">
              <w:rPr>
                <w:i/>
              </w:rPr>
              <w:t>ource</w:t>
            </w:r>
            <w:r w:rsidRPr="00176D3F">
              <w:t xml:space="preserve">: </w:t>
            </w:r>
            <w:r>
              <w:t>Commission estimates based on National Crash Database (</w:t>
            </w:r>
            <w:proofErr w:type="spellStart"/>
            <w:r>
              <w:t>BITRE</w:t>
            </w:r>
            <w:proofErr w:type="spellEnd"/>
            <w:r>
              <w:t>, unpublished).</w:t>
            </w:r>
          </w:p>
        </w:tc>
      </w:tr>
      <w:tr w:rsidR="00A506FC" w14:paraId="576A5B71" w14:textId="77777777" w:rsidTr="00235E85">
        <w:tc>
          <w:tcPr>
            <w:tcW w:w="5000" w:type="pct"/>
            <w:tcBorders>
              <w:top w:val="nil"/>
              <w:left w:val="nil"/>
              <w:bottom w:val="single" w:sz="6" w:space="0" w:color="78A22F"/>
              <w:right w:val="nil"/>
            </w:tcBorders>
            <w:shd w:val="clear" w:color="auto" w:fill="auto"/>
          </w:tcPr>
          <w:p w14:paraId="17F970D5" w14:textId="77777777" w:rsidR="00A506FC" w:rsidRDefault="00A506FC" w:rsidP="00235E85">
            <w:pPr>
              <w:pStyle w:val="Box"/>
              <w:spacing w:before="0" w:line="120" w:lineRule="exact"/>
            </w:pPr>
          </w:p>
        </w:tc>
      </w:tr>
      <w:tr w:rsidR="00A506FC" w:rsidRPr="000863A5" w14:paraId="6F1EA374" w14:textId="77777777" w:rsidTr="00235E85">
        <w:tc>
          <w:tcPr>
            <w:tcW w:w="5000" w:type="pct"/>
            <w:tcBorders>
              <w:top w:val="single" w:sz="6" w:space="0" w:color="78A22F"/>
              <w:left w:val="nil"/>
              <w:bottom w:val="nil"/>
              <w:right w:val="nil"/>
            </w:tcBorders>
          </w:tcPr>
          <w:p w14:paraId="2642E381" w14:textId="11882BB3" w:rsidR="00A506FC" w:rsidRPr="00626D32" w:rsidRDefault="00A506FC" w:rsidP="00235E85">
            <w:pPr>
              <w:pStyle w:val="BoxSpaceBelow"/>
            </w:pPr>
          </w:p>
        </w:tc>
      </w:tr>
    </w:tbl>
    <w:p w14:paraId="1AE117CF" w14:textId="485B2B47" w:rsidR="009A59DD" w:rsidRDefault="009A59DD" w:rsidP="007C0E83">
      <w:pPr>
        <w:pStyle w:val="Heading3"/>
      </w:pPr>
      <w:r>
        <w:t>Heavy and non</w:t>
      </w:r>
      <w:r>
        <w:noBreakHyphen/>
        <w:t xml:space="preserve">heavy vehicle crashes in </w:t>
      </w:r>
      <w:proofErr w:type="spellStart"/>
      <w:r>
        <w:t>HVNL</w:t>
      </w:r>
      <w:proofErr w:type="spellEnd"/>
      <w:r>
        <w:t xml:space="preserve"> jurisdictions</w:t>
      </w:r>
    </w:p>
    <w:p w14:paraId="3BB0EAD9" w14:textId="6157F5EE" w:rsidR="00C73944" w:rsidRDefault="009A59DD" w:rsidP="001D736B">
      <w:pPr>
        <w:pStyle w:val="BodyText"/>
      </w:pPr>
      <w:r>
        <w:t xml:space="preserve">As noted above, analysis in model 1 does not identify a pure treatment effect due to regulatory changes </w:t>
      </w:r>
      <w:r w:rsidR="00515C5F">
        <w:t>in non</w:t>
      </w:r>
      <w:r w:rsidR="000F678D">
        <w:noBreakHyphen/>
      </w:r>
      <w:proofErr w:type="spellStart"/>
      <w:r w:rsidR="00515C5F">
        <w:t>HVNL</w:t>
      </w:r>
      <w:proofErr w:type="spellEnd"/>
      <w:r w:rsidR="00515C5F">
        <w:t xml:space="preserve"> jurisdictions that</w:t>
      </w:r>
      <w:r>
        <w:t xml:space="preserve"> occurred in the post</w:t>
      </w:r>
      <w:r w:rsidR="000F678D">
        <w:noBreakHyphen/>
      </w:r>
      <w:r>
        <w:t xml:space="preserve">reform period. To </w:t>
      </w:r>
      <w:r w:rsidR="006E54AE">
        <w:t>check the robustness of the above analysis</w:t>
      </w:r>
      <w:r w:rsidR="008645B7">
        <w:t>,</w:t>
      </w:r>
      <w:r>
        <w:t xml:space="preserve"> comparisons </w:t>
      </w:r>
      <w:r w:rsidR="006C277F">
        <w:t xml:space="preserve">were drawn </w:t>
      </w:r>
      <w:r>
        <w:t>between heavy and non</w:t>
      </w:r>
      <w:r w:rsidR="000F678D">
        <w:noBreakHyphen/>
      </w:r>
      <w:r>
        <w:t xml:space="preserve">heavy vehicles in </w:t>
      </w:r>
      <w:proofErr w:type="spellStart"/>
      <w:r>
        <w:t>HVNL</w:t>
      </w:r>
      <w:proofErr w:type="spellEnd"/>
      <w:r>
        <w:t xml:space="preserve"> </w:t>
      </w:r>
      <w:r w:rsidR="002663DA">
        <w:t xml:space="preserve">jurisdictions </w:t>
      </w:r>
      <w:r w:rsidR="00C73944">
        <w:t>to</w:t>
      </w:r>
      <w:r w:rsidR="00190086">
        <w:t xml:space="preserve"> examine the impact of the </w:t>
      </w:r>
      <w:proofErr w:type="spellStart"/>
      <w:r w:rsidR="00190086">
        <w:t>HVNL</w:t>
      </w:r>
      <w:proofErr w:type="spellEnd"/>
      <w:r w:rsidR="00190086">
        <w:t xml:space="preserve"> on heavy vehicle safety</w:t>
      </w:r>
      <w:r w:rsidR="00C73944">
        <w:t>.</w:t>
      </w:r>
    </w:p>
    <w:p w14:paraId="0372EF89" w14:textId="57E8C08E" w:rsidR="00FF75F8" w:rsidRDefault="00FF75F8">
      <w:pPr>
        <w:pStyle w:val="Heading4"/>
      </w:pPr>
      <w:r>
        <w:t>Model specification</w:t>
      </w:r>
    </w:p>
    <w:p w14:paraId="6D64DB62" w14:textId="64767D10" w:rsidR="00190086" w:rsidRPr="00D274E1" w:rsidRDefault="00C73944" w:rsidP="001D736B">
      <w:pPr>
        <w:pStyle w:val="BodyText"/>
      </w:pPr>
      <w:r>
        <w:t>U</w:t>
      </w:r>
      <w:r w:rsidR="00190086">
        <w:t xml:space="preserve">sing </w:t>
      </w:r>
      <w:r w:rsidR="002B4469">
        <w:t>model 2</w:t>
      </w:r>
      <w:r>
        <w:t>,</w:t>
      </w:r>
      <w:r w:rsidR="00190086">
        <w:t xml:space="preserve"> the following difference</w:t>
      </w:r>
      <w:r w:rsidR="000F678D">
        <w:noBreakHyphen/>
      </w:r>
      <w:r w:rsidR="00190086">
        <w:t>in</w:t>
      </w:r>
      <w:r w:rsidR="000F678D">
        <w:noBreakHyphen/>
      </w:r>
      <w:r w:rsidR="00190086">
        <w:t>differences model</w:t>
      </w:r>
      <w:r w:rsidR="00190086" w:rsidRPr="00D274E1">
        <w:t xml:space="preserve"> for </w:t>
      </w:r>
      <w:r w:rsidR="002663DA">
        <w:t xml:space="preserve">jurisdiction </w:t>
      </w:r>
      <m:oMath>
        <m:r>
          <w:rPr>
            <w:rFonts w:ascii="Cambria Math" w:hAnsi="Cambria Math"/>
          </w:rPr>
          <m:t>i</m:t>
        </m:r>
      </m:oMath>
      <w:r w:rsidR="00190086" w:rsidRPr="00D274E1">
        <w:t>,</w:t>
      </w:r>
      <w:r w:rsidR="00190086">
        <w:t xml:space="preserve"> by vehicle type </w:t>
      </w:r>
      <m:oMath>
        <m:r>
          <w:rPr>
            <w:rFonts w:ascii="Cambria Math" w:hAnsi="Cambria Math"/>
          </w:rPr>
          <m:t>j</m:t>
        </m:r>
      </m:oMath>
      <w:r w:rsidR="00190086">
        <w:t>,</w:t>
      </w:r>
      <w:r w:rsidR="00190086" w:rsidRPr="00D274E1">
        <w:t xml:space="preserve"> in year</w:t>
      </w:r>
      <w:r w:rsidR="00190086">
        <w:noBreakHyphen/>
      </w:r>
      <w:r w:rsidR="00190086" w:rsidRPr="00D274E1">
        <w:t xml:space="preserve">quarter </w:t>
      </w:r>
      <m:oMath>
        <m:r>
          <w:rPr>
            <w:rFonts w:ascii="Cambria Math" w:hAnsi="Cambria Math"/>
          </w:rPr>
          <m:t>t</m:t>
        </m:r>
      </m:oMath>
      <w:r w:rsidR="00190086">
        <w:t xml:space="preserve"> was estimated</w:t>
      </w:r>
      <w:r>
        <w:t xml:space="preserve">, where </w:t>
      </w:r>
      <m:oMath>
        <m:sSub>
          <m:sSubPr>
            <m:ctrlPr>
              <w:rPr>
                <w:rFonts w:ascii="Cambria Math" w:hAnsi="Cambria Math"/>
                <w:i/>
              </w:rPr>
            </m:ctrlPr>
          </m:sSubPr>
          <m:e>
            <m:r>
              <w:rPr>
                <w:rFonts w:ascii="Cambria Math" w:hAnsi="Cambria Math"/>
              </w:rPr>
              <m:t>Crash rate</m:t>
            </m:r>
          </m:e>
          <m:sub>
            <m:r>
              <w:rPr>
                <w:rFonts w:ascii="Cambria Math" w:hAnsi="Cambria Math"/>
              </w:rPr>
              <m:t>ijt</m:t>
            </m:r>
          </m:sub>
        </m:sSub>
      </m:oMath>
      <w:r>
        <w:t xml:space="preserve"> is the number of crashes</w:t>
      </w:r>
      <w:r w:rsidRPr="00671D50">
        <w:t xml:space="preserve"> per </w:t>
      </w:r>
      <w:r>
        <w:t>billion vehicle kilometres</w:t>
      </w:r>
      <w:r w:rsidRPr="00671D50">
        <w:t xml:space="preserve"> </w:t>
      </w:r>
      <w:r>
        <w:t>travelled for the respective vehicle type (heavy and non</w:t>
      </w:r>
      <w:r>
        <w:noBreakHyphen/>
        <w:t>heavy).</w:t>
      </w:r>
    </w:p>
    <w:p w14:paraId="514139B5" w14:textId="76010173" w:rsidR="00190086" w:rsidRPr="00EA5C08" w:rsidRDefault="00030F64" w:rsidP="00190086">
      <w:pPr>
        <w:pStyle w:val="BodyText"/>
        <w:spacing w:after="360"/>
        <w:rPr>
          <w:sz w:val="23"/>
          <w:szCs w:val="23"/>
        </w:rPr>
      </w:pPr>
      <m:oMathPara>
        <m:oMathParaPr>
          <m:jc m:val="left"/>
        </m:oMathParaPr>
        <m:oMath>
          <m:sSub>
            <m:sSubPr>
              <m:ctrlPr>
                <w:rPr>
                  <w:rFonts w:ascii="Cambria Math" w:hAnsi="Cambria Math"/>
                  <w:i/>
                  <w:sz w:val="23"/>
                  <w:szCs w:val="23"/>
                </w:rPr>
              </m:ctrlPr>
            </m:sSubPr>
            <m:e>
              <m:r>
                <w:rPr>
                  <w:rFonts w:ascii="Cambria Math" w:hAnsi="Cambria Math"/>
                  <w:sz w:val="23"/>
                  <w:szCs w:val="23"/>
                </w:rPr>
                <m:t>Crash rate</m:t>
              </m:r>
            </m:e>
            <m:sub>
              <m:r>
                <w:rPr>
                  <w:rFonts w:ascii="Cambria Math" w:hAnsi="Cambria Math"/>
                  <w:sz w:val="23"/>
                  <w:szCs w:val="23"/>
                </w:rPr>
                <m:t>ijt</m:t>
              </m:r>
            </m:sub>
          </m:sSub>
          <m:r>
            <w:rPr>
              <w:rFonts w:ascii="Cambria Math" w:hAnsi="Cambria Math"/>
              <w:sz w:val="23"/>
              <w:szCs w:val="23"/>
            </w:rPr>
            <m:t xml:space="preserve">= </m:t>
          </m:r>
          <m:sSub>
            <m:sSubPr>
              <m:ctrlPr>
                <w:rPr>
                  <w:rFonts w:ascii="Cambria Math" w:hAnsi="Cambria Math"/>
                  <w:i/>
                  <w:sz w:val="23"/>
                  <w:szCs w:val="23"/>
                </w:rPr>
              </m:ctrlPr>
            </m:sSubPr>
            <m:e>
              <m:r>
                <w:rPr>
                  <w:rFonts w:ascii="Cambria Math" w:hAnsi="Cambria Math"/>
                  <w:sz w:val="23"/>
                  <w:szCs w:val="23"/>
                </w:rPr>
                <m:t>β</m:t>
              </m:r>
            </m:e>
            <m:sub>
              <m:r>
                <w:rPr>
                  <w:rFonts w:ascii="Cambria Math" w:hAnsi="Cambria Math"/>
                  <w:sz w:val="23"/>
                  <w:szCs w:val="23"/>
                </w:rPr>
                <m:t>0</m:t>
              </m:r>
            </m:sub>
          </m:sSub>
          <m:r>
            <w:rPr>
              <w:rFonts w:ascii="Cambria Math" w:hAnsi="Cambria Math"/>
              <w:sz w:val="23"/>
              <w:szCs w:val="23"/>
            </w:rPr>
            <m:t>+ v</m:t>
          </m:r>
          <m:sSub>
            <m:sSubPr>
              <m:ctrlPr>
                <w:rPr>
                  <w:rFonts w:ascii="Cambria Math" w:hAnsi="Cambria Math"/>
                  <w:i/>
                  <w:sz w:val="23"/>
                  <w:szCs w:val="23"/>
                </w:rPr>
              </m:ctrlPr>
            </m:sSubPr>
            <m:e>
              <m:r>
                <w:rPr>
                  <w:rFonts w:ascii="Cambria Math" w:hAnsi="Cambria Math"/>
                  <w:sz w:val="23"/>
                  <w:szCs w:val="23"/>
                </w:rPr>
                <m:t>ehicle</m:t>
              </m:r>
            </m:e>
            <m:sub>
              <m:r>
                <w:rPr>
                  <w:rFonts w:ascii="Cambria Math" w:hAnsi="Cambria Math"/>
                  <w:sz w:val="23"/>
                  <w:szCs w:val="23"/>
                </w:rPr>
                <m:t>j</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γ</m:t>
              </m:r>
            </m:e>
            <m:sub>
              <m:r>
                <w:rPr>
                  <w:rFonts w:ascii="Cambria Math" w:hAnsi="Cambria Math"/>
                  <w:sz w:val="23"/>
                  <w:szCs w:val="23"/>
                </w:rPr>
                <m:t>i</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λ</m:t>
              </m:r>
            </m:e>
            <m:sub>
              <m:r>
                <w:rPr>
                  <w:rFonts w:ascii="Cambria Math" w:hAnsi="Cambria Math"/>
                  <w:sz w:val="23"/>
                  <w:szCs w:val="23"/>
                </w:rPr>
                <m:t>t</m:t>
              </m:r>
            </m:sub>
          </m:sSub>
          <m:r>
            <w:rPr>
              <w:rFonts w:ascii="Cambria Math" w:hAnsi="Cambria Math"/>
              <w:sz w:val="23"/>
              <w:szCs w:val="23"/>
            </w:rPr>
            <m:t xml:space="preserve">+ </m:t>
          </m:r>
          <m:sSub>
            <m:sSubPr>
              <m:ctrlPr>
                <w:rPr>
                  <w:rFonts w:ascii="Cambria Math" w:hAnsi="Cambria Math"/>
                  <w:i/>
                  <w:sz w:val="23"/>
                  <w:szCs w:val="23"/>
                </w:rPr>
              </m:ctrlPr>
            </m:sSubPr>
            <m:e>
              <m:r>
                <w:rPr>
                  <w:rFonts w:ascii="Cambria Math" w:hAnsi="Cambria Math"/>
                  <w:sz w:val="23"/>
                  <w:szCs w:val="23"/>
                </w:rPr>
                <m:t>β</m:t>
              </m:r>
            </m:e>
            <m:sub>
              <m:r>
                <w:rPr>
                  <w:rFonts w:ascii="Cambria Math" w:hAnsi="Cambria Math"/>
                  <w:sz w:val="23"/>
                  <w:szCs w:val="23"/>
                </w:rPr>
                <m:t>1</m:t>
              </m:r>
            </m:sub>
          </m:sSub>
          <m:sSub>
            <m:sSubPr>
              <m:ctrlPr>
                <w:rPr>
                  <w:rFonts w:ascii="Cambria Math" w:hAnsi="Cambria Math"/>
                  <w:i/>
                  <w:sz w:val="23"/>
                  <w:szCs w:val="23"/>
                </w:rPr>
              </m:ctrlPr>
            </m:sSubPr>
            <m:e>
              <m:r>
                <w:rPr>
                  <w:rFonts w:ascii="Cambria Math" w:hAnsi="Cambria Math"/>
                  <w:sz w:val="23"/>
                  <w:szCs w:val="23"/>
                </w:rPr>
                <m:t>D</m:t>
              </m:r>
            </m:e>
            <m:sub>
              <m:r>
                <w:rPr>
                  <w:rFonts w:ascii="Cambria Math" w:hAnsi="Cambria Math"/>
                  <w:sz w:val="23"/>
                  <w:szCs w:val="23"/>
                </w:rPr>
                <m:t>it</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β</m:t>
              </m:r>
            </m:e>
            <m:sub>
              <m:r>
                <w:rPr>
                  <w:rFonts w:ascii="Cambria Math" w:hAnsi="Cambria Math"/>
                  <w:sz w:val="23"/>
                  <w:szCs w:val="23"/>
                </w:rPr>
                <m:t>s</m:t>
              </m:r>
            </m:sub>
          </m:sSub>
          <m:r>
            <w:rPr>
              <w:rFonts w:ascii="Cambria Math" w:hAnsi="Cambria Math"/>
              <w:sz w:val="23"/>
              <w:szCs w:val="23"/>
            </w:rPr>
            <m:t>stat</m:t>
          </m:r>
          <m:sSub>
            <m:sSubPr>
              <m:ctrlPr>
                <w:rPr>
                  <w:rFonts w:ascii="Cambria Math" w:hAnsi="Cambria Math"/>
                  <w:i/>
                  <w:sz w:val="23"/>
                  <w:szCs w:val="23"/>
                </w:rPr>
              </m:ctrlPr>
            </m:sSubPr>
            <m:e>
              <m:r>
                <w:rPr>
                  <w:rFonts w:ascii="Cambria Math" w:hAnsi="Cambria Math"/>
                  <w:sz w:val="23"/>
                  <w:szCs w:val="23"/>
                </w:rPr>
                <m:t>e</m:t>
              </m:r>
            </m:e>
            <m:sub>
              <m:r>
                <w:rPr>
                  <w:rFonts w:ascii="Cambria Math" w:hAnsi="Cambria Math"/>
                  <w:sz w:val="23"/>
                  <w:szCs w:val="23"/>
                </w:rPr>
                <m:t>i</m:t>
              </m:r>
            </m:sub>
          </m:sSub>
          <m:r>
            <w:rPr>
              <w:rFonts w:ascii="Cambria Math" w:hAnsi="Cambria Math"/>
              <w:sz w:val="23"/>
              <w:szCs w:val="23"/>
            </w:rPr>
            <m:t>*v</m:t>
          </m:r>
          <m:sSub>
            <m:sSubPr>
              <m:ctrlPr>
                <w:rPr>
                  <w:rFonts w:ascii="Cambria Math" w:hAnsi="Cambria Math"/>
                  <w:i/>
                  <w:sz w:val="23"/>
                  <w:szCs w:val="23"/>
                </w:rPr>
              </m:ctrlPr>
            </m:sSubPr>
            <m:e>
              <m:r>
                <w:rPr>
                  <w:rFonts w:ascii="Cambria Math" w:hAnsi="Cambria Math"/>
                  <w:sz w:val="23"/>
                  <w:szCs w:val="23"/>
                </w:rPr>
                <m:t>ehicle</m:t>
              </m:r>
            </m:e>
            <m:sub>
              <m:r>
                <w:rPr>
                  <w:rFonts w:ascii="Cambria Math" w:hAnsi="Cambria Math"/>
                  <w:sz w:val="23"/>
                  <w:szCs w:val="23"/>
                </w:rPr>
                <m:t>j</m:t>
              </m:r>
            </m:sub>
          </m:sSub>
          <m:r>
            <w:rPr>
              <w:rFonts w:ascii="Cambria Math" w:hAnsi="Cambria Math"/>
              <w:sz w:val="23"/>
              <w:szCs w:val="23"/>
            </w:rPr>
            <m:t>*t+</m:t>
          </m:r>
          <m:sSub>
            <m:sSubPr>
              <m:ctrlPr>
                <w:rPr>
                  <w:rFonts w:ascii="Cambria Math" w:hAnsi="Cambria Math"/>
                  <w:i/>
                  <w:sz w:val="23"/>
                  <w:szCs w:val="23"/>
                </w:rPr>
              </m:ctrlPr>
            </m:sSubPr>
            <m:e>
              <m:sSup>
                <m:sSupPr>
                  <m:ctrlPr>
                    <w:rPr>
                      <w:rFonts w:ascii="Cambria Math" w:hAnsi="Cambria Math"/>
                      <w:i/>
                    </w:rPr>
                  </m:ctrlPr>
                </m:sSupPr>
                <m:e>
                  <m:r>
                    <w:rPr>
                      <w:rFonts w:ascii="Cambria Math" w:hAnsi="Cambria Math"/>
                      <w:sz w:val="23"/>
                      <w:szCs w:val="23"/>
                    </w:rPr>
                    <m:t>β</m:t>
                  </m:r>
                </m:e>
                <m:sup>
                  <m:r>
                    <w:rPr>
                      <w:rFonts w:ascii="Cambria Math" w:hAnsi="Cambria Math"/>
                    </w:rPr>
                    <m:t>'</m:t>
                  </m:r>
                </m:sup>
              </m:sSup>
              <m:r>
                <w:rPr>
                  <w:rFonts w:ascii="Cambria Math" w:hAnsi="Cambria Math"/>
                  <w:sz w:val="23"/>
                  <w:szCs w:val="23"/>
                </w:rPr>
                <m:t>X</m:t>
              </m:r>
            </m:e>
            <m:sub>
              <m:r>
                <w:rPr>
                  <w:rFonts w:ascii="Cambria Math" w:hAnsi="Cambria Math"/>
                  <w:sz w:val="23"/>
                  <w:szCs w:val="23"/>
                </w:rPr>
                <m:t>it</m:t>
              </m:r>
            </m:sub>
          </m:sSub>
          <m:sSub>
            <m:sSubPr>
              <m:ctrlPr>
                <w:rPr>
                  <w:rFonts w:ascii="Cambria Math" w:hAnsi="Cambria Math"/>
                  <w:i/>
                  <w:sz w:val="23"/>
                  <w:szCs w:val="23"/>
                </w:rPr>
              </m:ctrlPr>
            </m:sSubPr>
            <m:e>
              <m:r>
                <w:rPr>
                  <w:rFonts w:ascii="Cambria Math" w:hAnsi="Cambria Math"/>
                  <w:sz w:val="23"/>
                  <w:szCs w:val="23"/>
                </w:rPr>
                <m:t xml:space="preserve"> + ε</m:t>
              </m:r>
            </m:e>
            <m:sub>
              <m:r>
                <w:rPr>
                  <w:rFonts w:ascii="Cambria Math" w:hAnsi="Cambria Math"/>
                  <w:sz w:val="23"/>
                  <w:szCs w:val="23"/>
                </w:rPr>
                <m:t>it</m:t>
              </m:r>
            </m:sub>
          </m:sSub>
        </m:oMath>
      </m:oMathPara>
    </w:p>
    <w:p w14:paraId="7904990D" w14:textId="514ABE13" w:rsidR="009A59DD" w:rsidRDefault="00190086">
      <w:pPr>
        <w:pStyle w:val="BodyText"/>
      </w:pPr>
      <w:r>
        <w:t>Descriptions of the variables and parameters used in mode</w:t>
      </w:r>
      <w:r w:rsidR="008B332A">
        <w:t>l 2</w:t>
      </w:r>
      <w:r>
        <w:t xml:space="preserve"> are detailed in table</w:t>
      </w:r>
      <w:r w:rsidR="008B332A">
        <w:t> </w:t>
      </w:r>
      <w:proofErr w:type="spellStart"/>
      <w:r>
        <w:t>B.</w:t>
      </w:r>
      <w:r w:rsidR="006263AB">
        <w:t>7</w:t>
      </w:r>
      <w:proofErr w:type="spellEnd"/>
      <w:r>
        <w:t>.</w:t>
      </w:r>
      <w:r w:rsidR="00C73944">
        <w:t xml:space="preserve"> As in model 1, three specifications were conducted, with specification 3 being the preferred model.</w:t>
      </w:r>
    </w:p>
    <w:p w14:paraId="49C8E1B1" w14:textId="60E27688" w:rsidR="009C35F8" w:rsidRDefault="009C35F8" w:rsidP="009C35F8">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35F8" w14:paraId="6F38DFEF" w14:textId="77777777" w:rsidTr="00E04764">
        <w:trPr>
          <w:tblHeader/>
        </w:trPr>
        <w:tc>
          <w:tcPr>
            <w:tcW w:w="5000" w:type="pct"/>
            <w:tcBorders>
              <w:top w:val="single" w:sz="6" w:space="0" w:color="78A22F"/>
              <w:left w:val="nil"/>
              <w:bottom w:val="nil"/>
              <w:right w:val="nil"/>
            </w:tcBorders>
            <w:shd w:val="clear" w:color="auto" w:fill="auto"/>
          </w:tcPr>
          <w:p w14:paraId="3A872F93" w14:textId="192F9543" w:rsidR="009C35F8" w:rsidRPr="00784A05" w:rsidRDefault="009C35F8" w:rsidP="006263AB">
            <w:pPr>
              <w:pStyle w:val="TableTitle"/>
            </w:pPr>
            <w:r>
              <w:rPr>
                <w:b w:val="0"/>
              </w:rPr>
              <w:t xml:space="preserve">Table </w:t>
            </w:r>
            <w:proofErr w:type="spellStart"/>
            <w:r>
              <w:rPr>
                <w:b w:val="0"/>
              </w:rPr>
              <w:t>B.</w:t>
            </w:r>
            <w:r w:rsidR="006263AB">
              <w:rPr>
                <w:b w:val="0"/>
              </w:rPr>
              <w:t>7</w:t>
            </w:r>
            <w:proofErr w:type="spellEnd"/>
            <w:r>
              <w:tab/>
              <w:t xml:space="preserve">Model </w:t>
            </w:r>
            <w:r w:rsidR="00260F95">
              <w:t>2</w:t>
            </w:r>
            <w:r>
              <w:t xml:space="preserve"> variables and parameters</w:t>
            </w:r>
          </w:p>
        </w:tc>
      </w:tr>
      <w:tr w:rsidR="009C35F8" w14:paraId="1E154B3F" w14:textId="77777777" w:rsidTr="00E04764">
        <w:tc>
          <w:tcPr>
            <w:tcW w:w="5000" w:type="pct"/>
            <w:tcBorders>
              <w:top w:val="nil"/>
              <w:left w:val="nil"/>
              <w:bottom w:val="nil"/>
              <w:right w:val="nil"/>
            </w:tcBorders>
            <w:shd w:val="clear" w:color="auto" w:fill="auto"/>
          </w:tcPr>
          <w:tbl>
            <w:tblPr>
              <w:tblW w:w="8505" w:type="dxa"/>
              <w:tblCellMar>
                <w:top w:w="28" w:type="dxa"/>
                <w:left w:w="0" w:type="dxa"/>
                <w:right w:w="0" w:type="dxa"/>
              </w:tblCellMar>
              <w:tblLook w:val="0000" w:firstRow="0" w:lastRow="0" w:firstColumn="0" w:lastColumn="0" w:noHBand="0" w:noVBand="0"/>
            </w:tblPr>
            <w:tblGrid>
              <w:gridCol w:w="1726"/>
              <w:gridCol w:w="4678"/>
              <w:gridCol w:w="709"/>
              <w:gridCol w:w="691"/>
              <w:gridCol w:w="701"/>
            </w:tblGrid>
            <w:tr w:rsidR="00F1036E" w14:paraId="35E980DA" w14:textId="77777777" w:rsidTr="00982152">
              <w:tc>
                <w:tcPr>
                  <w:tcW w:w="1015" w:type="pct"/>
                  <w:vMerge w:val="restart"/>
                  <w:tcBorders>
                    <w:top w:val="single" w:sz="4" w:space="0" w:color="BFBFBF"/>
                  </w:tcBorders>
                </w:tcPr>
                <w:p w14:paraId="73F3C33D" w14:textId="77777777" w:rsidR="00F1036E" w:rsidRPr="001151C4" w:rsidRDefault="00F1036E" w:rsidP="00E04764">
                  <w:pPr>
                    <w:pStyle w:val="TableColumnHeading"/>
                    <w:jc w:val="left"/>
                  </w:pPr>
                  <w:r>
                    <w:t>Variable/ parameter</w:t>
                  </w:r>
                </w:p>
              </w:tc>
              <w:tc>
                <w:tcPr>
                  <w:tcW w:w="2750" w:type="pct"/>
                  <w:vMerge w:val="restart"/>
                  <w:tcBorders>
                    <w:top w:val="single" w:sz="4" w:space="0" w:color="BFBFBF"/>
                  </w:tcBorders>
                </w:tcPr>
                <w:p w14:paraId="6995FF42" w14:textId="77777777" w:rsidR="00F1036E" w:rsidRDefault="00F1036E" w:rsidP="00E04764">
                  <w:pPr>
                    <w:pStyle w:val="TableColumnHeading"/>
                    <w:jc w:val="left"/>
                  </w:pPr>
                  <w:r>
                    <w:t>Variable or parameter descriptions</w:t>
                  </w:r>
                </w:p>
              </w:tc>
              <w:tc>
                <w:tcPr>
                  <w:tcW w:w="1235" w:type="pct"/>
                  <w:gridSpan w:val="3"/>
                  <w:tcBorders>
                    <w:top w:val="single" w:sz="4" w:space="0" w:color="BFBFBF"/>
                  </w:tcBorders>
                </w:tcPr>
                <w:p w14:paraId="38DDF414" w14:textId="718D223C" w:rsidR="00F1036E" w:rsidDel="0089294D" w:rsidRDefault="00F1036E" w:rsidP="00E04764">
                  <w:pPr>
                    <w:pStyle w:val="TableColumnHeading"/>
                    <w:jc w:val="center"/>
                  </w:pPr>
                  <w:r>
                    <w:t>Included in specification:</w:t>
                  </w:r>
                </w:p>
              </w:tc>
            </w:tr>
            <w:tr w:rsidR="00F1036E" w14:paraId="0EE78B64" w14:textId="77777777" w:rsidTr="00982152">
              <w:tc>
                <w:tcPr>
                  <w:tcW w:w="1015" w:type="pct"/>
                  <w:vMerge/>
                  <w:tcBorders>
                    <w:bottom w:val="single" w:sz="4" w:space="0" w:color="BFBFBF"/>
                  </w:tcBorders>
                </w:tcPr>
                <w:p w14:paraId="5A010003" w14:textId="77777777" w:rsidR="00F1036E" w:rsidRDefault="00F1036E" w:rsidP="00E04764">
                  <w:pPr>
                    <w:pStyle w:val="TableUnitsRow"/>
                    <w:jc w:val="left"/>
                  </w:pPr>
                </w:p>
              </w:tc>
              <w:tc>
                <w:tcPr>
                  <w:tcW w:w="2750" w:type="pct"/>
                  <w:vMerge/>
                  <w:tcBorders>
                    <w:bottom w:val="single" w:sz="4" w:space="0" w:color="BFBFBF"/>
                  </w:tcBorders>
                </w:tcPr>
                <w:p w14:paraId="736A649A" w14:textId="77777777" w:rsidR="00F1036E" w:rsidRDefault="00F1036E" w:rsidP="00E04764">
                  <w:pPr>
                    <w:pStyle w:val="TableUnitsRow"/>
                    <w:jc w:val="left"/>
                  </w:pPr>
                </w:p>
              </w:tc>
              <w:tc>
                <w:tcPr>
                  <w:tcW w:w="417" w:type="pct"/>
                  <w:tcBorders>
                    <w:bottom w:val="single" w:sz="4" w:space="0" w:color="BFBFBF"/>
                  </w:tcBorders>
                </w:tcPr>
                <w:p w14:paraId="53A26F44" w14:textId="77777777" w:rsidR="00F1036E" w:rsidRDefault="00F1036E" w:rsidP="00E04764">
                  <w:pPr>
                    <w:pStyle w:val="TableUnitsRow"/>
                    <w:ind w:right="28"/>
                    <w:jc w:val="center"/>
                  </w:pPr>
                  <w:r>
                    <w:t>(1)</w:t>
                  </w:r>
                </w:p>
              </w:tc>
              <w:tc>
                <w:tcPr>
                  <w:tcW w:w="406" w:type="pct"/>
                  <w:tcBorders>
                    <w:bottom w:val="single" w:sz="4" w:space="0" w:color="BFBFBF"/>
                  </w:tcBorders>
                </w:tcPr>
                <w:p w14:paraId="19935F58" w14:textId="77777777" w:rsidR="00F1036E" w:rsidRDefault="00F1036E" w:rsidP="00E04764">
                  <w:pPr>
                    <w:pStyle w:val="TableUnitsRow"/>
                    <w:ind w:right="28"/>
                    <w:jc w:val="center"/>
                  </w:pPr>
                  <w:r>
                    <w:t>(2)</w:t>
                  </w:r>
                </w:p>
              </w:tc>
              <w:tc>
                <w:tcPr>
                  <w:tcW w:w="412" w:type="pct"/>
                  <w:tcBorders>
                    <w:bottom w:val="single" w:sz="4" w:space="0" w:color="BFBFBF"/>
                  </w:tcBorders>
                </w:tcPr>
                <w:p w14:paraId="45BD6C10" w14:textId="77777777" w:rsidR="00F1036E" w:rsidRDefault="00F1036E" w:rsidP="00E04764">
                  <w:pPr>
                    <w:pStyle w:val="TableUnitsRow"/>
                    <w:ind w:right="28"/>
                    <w:jc w:val="center"/>
                  </w:pPr>
                  <w:r>
                    <w:t>(3)</w:t>
                  </w:r>
                </w:p>
              </w:tc>
            </w:tr>
            <w:tr w:rsidR="009C35F8" w14:paraId="7DB14BDB" w14:textId="77777777" w:rsidTr="008B55DF">
              <w:tc>
                <w:tcPr>
                  <w:tcW w:w="1015" w:type="pct"/>
                  <w:tcBorders>
                    <w:top w:val="single" w:sz="4" w:space="0" w:color="BFBFBF"/>
                  </w:tcBorders>
                  <w:shd w:val="clear" w:color="auto" w:fill="auto"/>
                </w:tcPr>
                <w:p w14:paraId="63DB2C2E" w14:textId="77777777" w:rsidR="009C35F8" w:rsidRDefault="00030F64" w:rsidP="00E04764">
                  <w:pPr>
                    <w:pStyle w:val="TableUnitsRow"/>
                    <w:jc w:val="left"/>
                    <w:rPr>
                      <w:rFonts w:ascii="Times New Roman" w:hAnsi="Times New Roman"/>
                      <w:i/>
                    </w:rPr>
                  </w:pPr>
                  <m:oMath>
                    <m:sSub>
                      <m:sSubPr>
                        <m:ctrlPr>
                          <w:rPr>
                            <w:rFonts w:ascii="Cambria Math" w:hAnsi="Cambria Math"/>
                            <w:i/>
                          </w:rPr>
                        </m:ctrlPr>
                      </m:sSubPr>
                      <m:e>
                        <m:r>
                          <w:rPr>
                            <w:rFonts w:ascii="Cambria Math" w:hAnsi="Cambria Math"/>
                          </w:rPr>
                          <m:t>β</m:t>
                        </m:r>
                      </m:e>
                      <m:sub>
                        <m:r>
                          <w:rPr>
                            <w:rFonts w:ascii="Cambria Math" w:hAnsi="Cambria Math"/>
                          </w:rPr>
                          <m:t>0</m:t>
                        </m:r>
                      </m:sub>
                    </m:sSub>
                  </m:oMath>
                  <w:r w:rsidR="009C35F8">
                    <w:rPr>
                      <w:rFonts w:ascii="Times New Roman" w:hAnsi="Times New Roman"/>
                      <w:i/>
                    </w:rPr>
                    <w:t xml:space="preserve"> </w:t>
                  </w:r>
                </w:p>
              </w:tc>
              <w:tc>
                <w:tcPr>
                  <w:tcW w:w="2750" w:type="pct"/>
                  <w:tcBorders>
                    <w:top w:val="single" w:sz="4" w:space="0" w:color="BFBFBF"/>
                  </w:tcBorders>
                  <w:shd w:val="clear" w:color="auto" w:fill="auto"/>
                </w:tcPr>
                <w:p w14:paraId="6A3ACB08" w14:textId="77777777" w:rsidR="009C35F8" w:rsidRDefault="009C35F8" w:rsidP="00E04764">
                  <w:pPr>
                    <w:pStyle w:val="TableUnitsRow"/>
                    <w:ind w:right="28"/>
                    <w:jc w:val="left"/>
                  </w:pPr>
                  <w:r>
                    <w:t>Intercept</w:t>
                  </w:r>
                </w:p>
              </w:tc>
              <w:tc>
                <w:tcPr>
                  <w:tcW w:w="417" w:type="pct"/>
                  <w:tcBorders>
                    <w:top w:val="single" w:sz="4" w:space="0" w:color="BFBFBF"/>
                  </w:tcBorders>
                </w:tcPr>
                <w:p w14:paraId="6C8BE871" w14:textId="77777777" w:rsidR="009C35F8" w:rsidRDefault="009C35F8" w:rsidP="00E04764">
                  <w:pPr>
                    <w:pStyle w:val="TableUnitsRow"/>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406" w:type="pct"/>
                  <w:tcBorders>
                    <w:top w:val="single" w:sz="4" w:space="0" w:color="BFBFBF"/>
                  </w:tcBorders>
                </w:tcPr>
                <w:p w14:paraId="4E611E87" w14:textId="77777777" w:rsidR="009C35F8" w:rsidRDefault="009C35F8" w:rsidP="00E04764">
                  <w:pPr>
                    <w:pStyle w:val="TableUnitsRow"/>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412" w:type="pct"/>
                  <w:tcBorders>
                    <w:top w:val="single" w:sz="4" w:space="0" w:color="BFBFBF"/>
                  </w:tcBorders>
                </w:tcPr>
                <w:p w14:paraId="7EDCF509" w14:textId="77777777" w:rsidR="009C35F8" w:rsidRDefault="009C35F8" w:rsidP="00E04764">
                  <w:pPr>
                    <w:pStyle w:val="TableUnitsRow"/>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r>
            <w:tr w:rsidR="009C35F8" w14:paraId="3E56A750" w14:textId="77777777" w:rsidTr="00E04764">
              <w:tc>
                <w:tcPr>
                  <w:tcW w:w="1015" w:type="pct"/>
                  <w:shd w:val="clear" w:color="auto" w:fill="auto"/>
                </w:tcPr>
                <w:p w14:paraId="15B81EDA" w14:textId="77777777" w:rsidR="009C35F8" w:rsidRDefault="00030F64" w:rsidP="00E04764">
                  <w:pPr>
                    <w:pStyle w:val="TableUnitsRow"/>
                    <w:jc w:val="left"/>
                  </w:pPr>
                  <m:oMath>
                    <m:sSub>
                      <m:sSubPr>
                        <m:ctrlPr>
                          <w:rPr>
                            <w:rFonts w:ascii="Cambria Math" w:hAnsi="Cambria Math"/>
                            <w:i/>
                          </w:rPr>
                        </m:ctrlPr>
                      </m:sSubPr>
                      <m:e>
                        <m:r>
                          <w:rPr>
                            <w:rFonts w:ascii="Cambria Math" w:hAnsi="Cambria Math"/>
                          </w:rPr>
                          <m:t>vehicle</m:t>
                        </m:r>
                      </m:e>
                      <m:sub>
                        <m:r>
                          <w:rPr>
                            <w:rFonts w:ascii="Cambria Math" w:hAnsi="Cambria Math"/>
                          </w:rPr>
                          <m:t>j</m:t>
                        </m:r>
                      </m:sub>
                    </m:sSub>
                  </m:oMath>
                  <w:r w:rsidR="009C35F8">
                    <w:rPr>
                      <w:rFonts w:ascii="Times New Roman" w:hAnsi="Times New Roman"/>
                      <w:i/>
                    </w:rPr>
                    <w:t xml:space="preserve"> </w:t>
                  </w:r>
                </w:p>
              </w:tc>
              <w:tc>
                <w:tcPr>
                  <w:tcW w:w="2750" w:type="pct"/>
                  <w:shd w:val="clear" w:color="auto" w:fill="auto"/>
                </w:tcPr>
                <w:p w14:paraId="53844246" w14:textId="0BA5D9A5" w:rsidR="009C35F8" w:rsidRDefault="009C35F8" w:rsidP="00E04764">
                  <w:pPr>
                    <w:pStyle w:val="TableUnitsRow"/>
                    <w:ind w:right="28"/>
                    <w:jc w:val="left"/>
                  </w:pPr>
                  <w:r>
                    <w:t>Dummy variable indicating 1 for heavy vehicles and 0 for non</w:t>
                  </w:r>
                  <w:r w:rsidR="000F678D">
                    <w:noBreakHyphen/>
                  </w:r>
                  <w:r>
                    <w:t>heavy vehicles</w:t>
                  </w:r>
                </w:p>
              </w:tc>
              <w:tc>
                <w:tcPr>
                  <w:tcW w:w="417" w:type="pct"/>
                </w:tcPr>
                <w:p w14:paraId="13EF504C" w14:textId="77777777" w:rsidR="009C35F8" w:rsidRDefault="009C35F8" w:rsidP="00E04764">
                  <w:pPr>
                    <w:pStyle w:val="TableUnitsRow"/>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406" w:type="pct"/>
                </w:tcPr>
                <w:p w14:paraId="5EE8376B" w14:textId="77777777" w:rsidR="009C35F8" w:rsidRDefault="009C35F8" w:rsidP="00E04764">
                  <w:pPr>
                    <w:pStyle w:val="TableUnitsRow"/>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412" w:type="pct"/>
                </w:tcPr>
                <w:p w14:paraId="0DA2EC79" w14:textId="77777777" w:rsidR="009C35F8" w:rsidRDefault="009C35F8" w:rsidP="00E04764">
                  <w:pPr>
                    <w:pStyle w:val="TableUnitsRow"/>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r>
            <w:tr w:rsidR="009C35F8" w14:paraId="7EC7992F" w14:textId="77777777" w:rsidTr="00E04764">
              <w:tc>
                <w:tcPr>
                  <w:tcW w:w="1015" w:type="pct"/>
                  <w:shd w:val="clear" w:color="auto" w:fill="auto"/>
                </w:tcPr>
                <w:p w14:paraId="1D5D7B3C" w14:textId="77777777" w:rsidR="009C35F8" w:rsidRDefault="00030F64" w:rsidP="00E04764">
                  <w:pPr>
                    <w:pStyle w:val="TableBodyText"/>
                    <w:jc w:val="left"/>
                  </w:pPr>
                  <m:oMath>
                    <m:sSub>
                      <m:sSubPr>
                        <m:ctrlPr>
                          <w:rPr>
                            <w:rFonts w:ascii="Cambria Math" w:hAnsi="Cambria Math"/>
                          </w:rPr>
                        </m:ctrlPr>
                      </m:sSubPr>
                      <m:e>
                        <m:r>
                          <w:rPr>
                            <w:rFonts w:ascii="Cambria Math" w:hAnsi="Cambria Math"/>
                          </w:rPr>
                          <m:t>γ</m:t>
                        </m:r>
                      </m:e>
                      <m:sub>
                        <m:r>
                          <w:rPr>
                            <w:rFonts w:ascii="Cambria Math" w:hAnsi="Cambria Math"/>
                          </w:rPr>
                          <m:t>i</m:t>
                        </m:r>
                      </m:sub>
                    </m:sSub>
                  </m:oMath>
                  <w:r w:rsidR="009C35F8">
                    <w:t xml:space="preserve"> </w:t>
                  </w:r>
                </w:p>
              </w:tc>
              <w:tc>
                <w:tcPr>
                  <w:tcW w:w="2750" w:type="pct"/>
                  <w:shd w:val="clear" w:color="auto" w:fill="auto"/>
                </w:tcPr>
                <w:p w14:paraId="264D781A" w14:textId="76DD4780" w:rsidR="009C35F8" w:rsidRDefault="009C35F8" w:rsidP="00F555E5">
                  <w:pPr>
                    <w:pStyle w:val="TableBodyText"/>
                    <w:ind w:right="28"/>
                    <w:jc w:val="left"/>
                  </w:pPr>
                  <w:r>
                    <w:t>Jurisdiction fixed effects for each vehicle type (heavy/non</w:t>
                  </w:r>
                  <w:r w:rsidR="00F555E5">
                    <w:noBreakHyphen/>
                  </w:r>
                  <w:r>
                    <w:t>heavy)</w:t>
                  </w:r>
                </w:p>
              </w:tc>
              <w:tc>
                <w:tcPr>
                  <w:tcW w:w="417" w:type="pct"/>
                </w:tcPr>
                <w:p w14:paraId="050545FB" w14:textId="77777777" w:rsidR="009C35F8" w:rsidRDefault="009C35F8" w:rsidP="00E04764">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406" w:type="pct"/>
                </w:tcPr>
                <w:p w14:paraId="365A5B11" w14:textId="77777777" w:rsidR="009C35F8" w:rsidRDefault="009C35F8" w:rsidP="00E04764">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412" w:type="pct"/>
                </w:tcPr>
                <w:p w14:paraId="43646D72" w14:textId="77777777" w:rsidR="009C35F8" w:rsidRDefault="009C35F8" w:rsidP="00E04764">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r>
            <w:tr w:rsidR="009C35F8" w14:paraId="46AA7D27" w14:textId="77777777" w:rsidTr="00E04764">
              <w:tc>
                <w:tcPr>
                  <w:tcW w:w="1015" w:type="pct"/>
                  <w:shd w:val="clear" w:color="auto" w:fill="auto"/>
                </w:tcPr>
                <w:p w14:paraId="4A4C9A0F" w14:textId="77777777" w:rsidR="009C35F8" w:rsidRDefault="00030F64" w:rsidP="00E04764">
                  <w:pPr>
                    <w:pStyle w:val="TableBodyText"/>
                    <w:jc w:val="left"/>
                  </w:pPr>
                  <m:oMath>
                    <m:sSub>
                      <m:sSubPr>
                        <m:ctrlPr>
                          <w:rPr>
                            <w:rFonts w:ascii="Cambria Math" w:hAnsi="Cambria Math"/>
                            <w:i/>
                          </w:rPr>
                        </m:ctrlPr>
                      </m:sSubPr>
                      <m:e>
                        <m:r>
                          <w:rPr>
                            <w:rFonts w:ascii="Cambria Math" w:hAnsi="Cambria Math"/>
                          </w:rPr>
                          <m:t>λ</m:t>
                        </m:r>
                      </m:e>
                      <m:sub>
                        <m:r>
                          <w:rPr>
                            <w:rFonts w:ascii="Cambria Math" w:hAnsi="Cambria Math"/>
                          </w:rPr>
                          <m:t>t</m:t>
                        </m:r>
                      </m:sub>
                    </m:sSub>
                  </m:oMath>
                  <w:r w:rsidR="009C35F8">
                    <w:t xml:space="preserve"> </w:t>
                  </w:r>
                </w:p>
              </w:tc>
              <w:tc>
                <w:tcPr>
                  <w:tcW w:w="2750" w:type="pct"/>
                  <w:shd w:val="clear" w:color="auto" w:fill="auto"/>
                </w:tcPr>
                <w:p w14:paraId="77BF0032" w14:textId="77777777" w:rsidR="009C35F8" w:rsidRDefault="009C35F8" w:rsidP="00E04764">
                  <w:pPr>
                    <w:pStyle w:val="TableBodyText"/>
                    <w:ind w:right="28"/>
                    <w:jc w:val="left"/>
                  </w:pPr>
                  <w:r>
                    <w:t>Time (year</w:t>
                  </w:r>
                  <w:r>
                    <w:noBreakHyphen/>
                    <w:t>quarter) fixed effects</w:t>
                  </w:r>
                </w:p>
              </w:tc>
              <w:tc>
                <w:tcPr>
                  <w:tcW w:w="417" w:type="pct"/>
                </w:tcPr>
                <w:p w14:paraId="75777AB1" w14:textId="77777777" w:rsidR="009C35F8" w:rsidRDefault="009C35F8" w:rsidP="00E04764">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406" w:type="pct"/>
                </w:tcPr>
                <w:p w14:paraId="03AAD450" w14:textId="77777777" w:rsidR="009C35F8" w:rsidRDefault="009C35F8" w:rsidP="00E04764">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412" w:type="pct"/>
                </w:tcPr>
                <w:p w14:paraId="4B9FA5DA" w14:textId="77777777" w:rsidR="009C35F8" w:rsidRDefault="009C35F8" w:rsidP="00E04764">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r>
            <w:tr w:rsidR="009C35F8" w14:paraId="3DC02DE0" w14:textId="77777777" w:rsidTr="00E04764">
              <w:tc>
                <w:tcPr>
                  <w:tcW w:w="1015" w:type="pct"/>
                  <w:shd w:val="clear" w:color="auto" w:fill="auto"/>
                </w:tcPr>
                <w:p w14:paraId="15901CA9" w14:textId="77777777" w:rsidR="009C35F8" w:rsidRDefault="00030F64" w:rsidP="00E04764">
                  <w:pPr>
                    <w:pStyle w:val="TableBodyText"/>
                    <w:jc w:val="left"/>
                    <w:rPr>
                      <w:rFonts w:ascii="Times New Roman" w:hAnsi="Times New Roman"/>
                      <w:i/>
                    </w:rPr>
                  </w:pPr>
                  <m:oMath>
                    <m:sSub>
                      <m:sSubPr>
                        <m:ctrlPr>
                          <w:rPr>
                            <w:rFonts w:ascii="Cambria Math" w:hAnsi="Cambria Math"/>
                          </w:rPr>
                        </m:ctrlPr>
                      </m:sSubPr>
                      <m:e>
                        <m:r>
                          <w:rPr>
                            <w:rFonts w:ascii="Cambria Math" w:hAnsi="Cambria Math"/>
                          </w:rPr>
                          <m:t>D</m:t>
                        </m:r>
                      </m:e>
                      <m:sub>
                        <m:r>
                          <w:rPr>
                            <w:rFonts w:ascii="Cambria Math" w:hAnsi="Cambria Math"/>
                          </w:rPr>
                          <m:t>it</m:t>
                        </m:r>
                      </m:sub>
                    </m:sSub>
                  </m:oMath>
                  <w:r w:rsidR="009C35F8">
                    <w:rPr>
                      <w:rFonts w:ascii="Times New Roman" w:hAnsi="Times New Roman"/>
                      <w:i/>
                    </w:rPr>
                    <w:t xml:space="preserve"> </w:t>
                  </w:r>
                </w:p>
              </w:tc>
              <w:tc>
                <w:tcPr>
                  <w:tcW w:w="2750" w:type="pct"/>
                  <w:shd w:val="clear" w:color="auto" w:fill="auto"/>
                </w:tcPr>
                <w:p w14:paraId="54A82A8D" w14:textId="05300A8D" w:rsidR="009C35F8" w:rsidRDefault="009C35F8" w:rsidP="00E04764">
                  <w:pPr>
                    <w:pStyle w:val="TableBodyText"/>
                    <w:ind w:right="28"/>
                    <w:jc w:val="left"/>
                  </w:pPr>
                  <w:r>
                    <w:t>D</w:t>
                  </w:r>
                  <w:r w:rsidRPr="00671D50">
                    <w:t xml:space="preserve">ummy variable indicating 1 for </w:t>
                  </w:r>
                  <w:r>
                    <w:t>heavy vehicles in the post</w:t>
                  </w:r>
                  <w:r w:rsidR="000F678D">
                    <w:noBreakHyphen/>
                  </w:r>
                  <w:r>
                    <w:t>reform time period</w:t>
                  </w:r>
                </w:p>
              </w:tc>
              <w:tc>
                <w:tcPr>
                  <w:tcW w:w="417" w:type="pct"/>
                </w:tcPr>
                <w:p w14:paraId="5275550A" w14:textId="77777777" w:rsidR="009C35F8" w:rsidRDefault="009C35F8" w:rsidP="00E04764">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406" w:type="pct"/>
                </w:tcPr>
                <w:p w14:paraId="7A4C3719" w14:textId="77777777" w:rsidR="009C35F8" w:rsidRDefault="009C35F8" w:rsidP="00E04764">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412" w:type="pct"/>
                </w:tcPr>
                <w:p w14:paraId="58EAAB73" w14:textId="77777777" w:rsidR="009C35F8" w:rsidRDefault="009C35F8" w:rsidP="00E04764">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r>
            <w:tr w:rsidR="009C35F8" w14:paraId="5722FDC6" w14:textId="77777777" w:rsidTr="00E04764">
              <w:tc>
                <w:tcPr>
                  <w:tcW w:w="1015" w:type="pct"/>
                  <w:shd w:val="clear" w:color="auto" w:fill="auto"/>
                </w:tcPr>
                <w:p w14:paraId="10ACAEB6" w14:textId="77777777" w:rsidR="009C35F8" w:rsidRDefault="00030F64" w:rsidP="00E04764">
                  <w:pPr>
                    <w:pStyle w:val="TableBodyText"/>
                    <w:jc w:val="left"/>
                    <w:rPr>
                      <w:rFonts w:ascii="Times New Roman" w:hAnsi="Times New Roman"/>
                      <w:i/>
                    </w:rPr>
                  </w:pP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r w:rsidR="009C35F8">
                    <w:rPr>
                      <w:rFonts w:ascii="Times New Roman" w:hAnsi="Times New Roman"/>
                      <w:i/>
                    </w:rPr>
                    <w:t xml:space="preserve"> </w:t>
                  </w:r>
                </w:p>
              </w:tc>
              <w:tc>
                <w:tcPr>
                  <w:tcW w:w="2750" w:type="pct"/>
                  <w:shd w:val="clear" w:color="auto" w:fill="auto"/>
                </w:tcPr>
                <w:p w14:paraId="4BB748C5" w14:textId="77777777" w:rsidR="009C35F8" w:rsidRDefault="009C35F8" w:rsidP="00E04764">
                  <w:pPr>
                    <w:pStyle w:val="TableBodyText"/>
                    <w:ind w:right="28"/>
                    <w:jc w:val="left"/>
                  </w:pPr>
                  <w:r>
                    <w:t xml:space="preserve">Effect of the </w:t>
                  </w:r>
                  <w:proofErr w:type="spellStart"/>
                  <w:r>
                    <w:t>HVNL</w:t>
                  </w:r>
                  <w:proofErr w:type="spellEnd"/>
                  <w:r>
                    <w:t xml:space="preserve"> (treatment effect)</w:t>
                  </w:r>
                </w:p>
              </w:tc>
              <w:tc>
                <w:tcPr>
                  <w:tcW w:w="417" w:type="pct"/>
                </w:tcPr>
                <w:p w14:paraId="516F8070" w14:textId="77777777" w:rsidR="009C35F8" w:rsidRDefault="009C35F8" w:rsidP="00E04764">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406" w:type="pct"/>
                </w:tcPr>
                <w:p w14:paraId="3D9F1E7B" w14:textId="77777777" w:rsidR="009C35F8" w:rsidRDefault="009C35F8" w:rsidP="00E04764">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412" w:type="pct"/>
                </w:tcPr>
                <w:p w14:paraId="1C612DB3" w14:textId="77777777" w:rsidR="009C35F8" w:rsidRDefault="009C35F8" w:rsidP="00E04764">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r>
            <w:tr w:rsidR="009C35F8" w14:paraId="2DE43A73" w14:textId="77777777" w:rsidTr="006F4C54">
              <w:tc>
                <w:tcPr>
                  <w:tcW w:w="1015" w:type="pct"/>
                  <w:shd w:val="clear" w:color="auto" w:fill="auto"/>
                  <w:vAlign w:val="bottom"/>
                </w:tcPr>
                <w:p w14:paraId="746E7549" w14:textId="77777777" w:rsidR="009C35F8" w:rsidRPr="00231948" w:rsidRDefault="009C35F8" w:rsidP="006F4C54">
                  <w:pPr>
                    <w:pStyle w:val="TableBodyText"/>
                    <w:jc w:val="left"/>
                    <w:rPr>
                      <w:rFonts w:ascii="Times New Roman" w:hAnsi="Times New Roman"/>
                      <w:i/>
                    </w:rPr>
                  </w:pPr>
                  <m:oMath>
                    <m:r>
                      <w:rPr>
                        <w:rFonts w:ascii="Cambria Math" w:hAnsi="Cambria Math"/>
                      </w:rPr>
                      <m:t>stat</m:t>
                    </m:r>
                    <m:sSub>
                      <m:sSubPr>
                        <m:ctrlPr>
                          <w:rPr>
                            <w:rFonts w:ascii="Cambria Math" w:hAnsi="Cambria Math"/>
                          </w:rPr>
                        </m:ctrlPr>
                      </m:sSubPr>
                      <m:e>
                        <m:r>
                          <w:rPr>
                            <w:rFonts w:ascii="Cambria Math" w:hAnsi="Cambria Math"/>
                          </w:rPr>
                          <m:t>e</m:t>
                        </m:r>
                      </m:e>
                      <m:sub>
                        <m:r>
                          <w:rPr>
                            <w:rFonts w:ascii="Cambria Math" w:hAnsi="Cambria Math"/>
                          </w:rPr>
                          <m:t>i</m:t>
                        </m:r>
                      </m:sub>
                    </m:sSub>
                    <m:r>
                      <w:rPr>
                        <w:rFonts w:ascii="Cambria Math" w:hAnsi="Cambria Math"/>
                      </w:rPr>
                      <m:t>*vehicle*t</m:t>
                    </m:r>
                  </m:oMath>
                  <w:r>
                    <w:rPr>
                      <w:rFonts w:ascii="Times New Roman" w:hAnsi="Times New Roman"/>
                      <w:i/>
                    </w:rPr>
                    <w:t xml:space="preserve"> </w:t>
                  </w:r>
                </w:p>
              </w:tc>
              <w:tc>
                <w:tcPr>
                  <w:tcW w:w="2750" w:type="pct"/>
                  <w:shd w:val="clear" w:color="auto" w:fill="auto"/>
                </w:tcPr>
                <w:p w14:paraId="4C9661FD" w14:textId="3FD89EC5" w:rsidR="009C35F8" w:rsidRDefault="009C35F8" w:rsidP="00834A1A">
                  <w:pPr>
                    <w:pStyle w:val="TableBodyText"/>
                    <w:ind w:right="0"/>
                    <w:jc w:val="left"/>
                  </w:pPr>
                  <w:r>
                    <w:t>Jurisdiction, vehicle</w:t>
                  </w:r>
                  <w:r w:rsidR="000F678D">
                    <w:noBreakHyphen/>
                  </w:r>
                  <w:r>
                    <w:t>specific,</w:t>
                  </w:r>
                  <w:r w:rsidRPr="00671D50">
                    <w:t xml:space="preserve"> linear time trends</w:t>
                  </w:r>
                  <w:r w:rsidRPr="008E77FE">
                    <w:rPr>
                      <w:rStyle w:val="NoteLabel"/>
                    </w:rPr>
                    <w:t>a</w:t>
                  </w:r>
                </w:p>
              </w:tc>
              <w:tc>
                <w:tcPr>
                  <w:tcW w:w="417" w:type="pct"/>
                </w:tcPr>
                <w:p w14:paraId="4039F31D" w14:textId="77777777" w:rsidR="009C35F8" w:rsidRDefault="009C35F8" w:rsidP="00E04764">
                  <w:pPr>
                    <w:pStyle w:val="TableBodyText"/>
                    <w:ind w:right="28"/>
                    <w:jc w:val="center"/>
                    <w:rPr>
                      <w:rFonts w:ascii="Segoe UI Symbol" w:hAnsi="Segoe UI Symbol" w:cs="Segoe UI Symbol"/>
                      <w:color w:val="222222"/>
                      <w:shd w:val="clear" w:color="auto" w:fill="FFFFFF"/>
                    </w:rPr>
                  </w:pPr>
                </w:p>
              </w:tc>
              <w:tc>
                <w:tcPr>
                  <w:tcW w:w="406" w:type="pct"/>
                  <w:vAlign w:val="bottom"/>
                </w:tcPr>
                <w:p w14:paraId="0A306EF6" w14:textId="77777777" w:rsidR="009C35F8" w:rsidRDefault="009C35F8" w:rsidP="006F4C54">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412" w:type="pct"/>
                  <w:vAlign w:val="bottom"/>
                </w:tcPr>
                <w:p w14:paraId="7F1D9B85" w14:textId="77777777" w:rsidR="009C35F8" w:rsidRDefault="009C35F8" w:rsidP="006F4C54">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r>
            <w:tr w:rsidR="009C35F8" w14:paraId="65ABD9B6" w14:textId="77777777" w:rsidTr="008B55DF">
              <w:tc>
                <w:tcPr>
                  <w:tcW w:w="1015" w:type="pct"/>
                  <w:shd w:val="clear" w:color="auto" w:fill="auto"/>
                </w:tcPr>
                <w:p w14:paraId="27A30E71" w14:textId="77777777" w:rsidR="009C35F8" w:rsidRDefault="00030F64" w:rsidP="00E04764">
                  <w:pPr>
                    <w:pStyle w:val="TableBodyText"/>
                    <w:jc w:val="left"/>
                    <w:rPr>
                      <w:rFonts w:ascii="Times New Roman" w:hAnsi="Times New Roman"/>
                      <w:i/>
                    </w:rPr>
                  </w:pPr>
                  <m:oMath>
                    <m:sSub>
                      <m:sSubPr>
                        <m:ctrlPr>
                          <w:rPr>
                            <w:rFonts w:ascii="Cambria Math" w:hAnsi="Cambria Math"/>
                            <w:i/>
                          </w:rPr>
                        </m:ctrlPr>
                      </m:sSubPr>
                      <m:e>
                        <m:r>
                          <w:rPr>
                            <w:rFonts w:ascii="Cambria Math" w:hAnsi="Cambria Math"/>
                          </w:rPr>
                          <m:t>β</m:t>
                        </m:r>
                      </m:e>
                      <m:sub>
                        <m:r>
                          <w:rPr>
                            <w:rFonts w:ascii="Cambria Math" w:hAnsi="Cambria Math"/>
                          </w:rPr>
                          <m:t>s</m:t>
                        </m:r>
                      </m:sub>
                    </m:sSub>
                  </m:oMath>
                  <w:r w:rsidR="009C35F8">
                    <w:rPr>
                      <w:rFonts w:ascii="Times New Roman" w:hAnsi="Times New Roman"/>
                      <w:i/>
                    </w:rPr>
                    <w:t xml:space="preserve"> </w:t>
                  </w:r>
                </w:p>
              </w:tc>
              <w:tc>
                <w:tcPr>
                  <w:tcW w:w="2750" w:type="pct"/>
                  <w:shd w:val="clear" w:color="auto" w:fill="auto"/>
                </w:tcPr>
                <w:p w14:paraId="356DD586" w14:textId="77777777" w:rsidR="009C35F8" w:rsidRDefault="009C35F8" w:rsidP="00E04764">
                  <w:pPr>
                    <w:pStyle w:val="TableBodyText"/>
                    <w:ind w:right="28"/>
                    <w:jc w:val="left"/>
                  </w:pPr>
                  <w:r>
                    <w:t>Vector of coefficients corresponding to each respective jurisdiction</w:t>
                  </w:r>
                  <w:r>
                    <w:noBreakHyphen/>
                    <w:t>vehicle specific, year</w:t>
                  </w:r>
                  <w:r>
                    <w:noBreakHyphen/>
                    <w:t>quarter interaction</w:t>
                  </w:r>
                </w:p>
              </w:tc>
              <w:tc>
                <w:tcPr>
                  <w:tcW w:w="417" w:type="pct"/>
                </w:tcPr>
                <w:p w14:paraId="51A552AA" w14:textId="77777777" w:rsidR="009C35F8" w:rsidRDefault="009C35F8" w:rsidP="00E04764">
                  <w:pPr>
                    <w:pStyle w:val="TableBodyText"/>
                    <w:ind w:right="28"/>
                    <w:jc w:val="center"/>
                    <w:rPr>
                      <w:rFonts w:ascii="Segoe UI Symbol" w:hAnsi="Segoe UI Symbol" w:cs="Segoe UI Symbol"/>
                      <w:color w:val="222222"/>
                      <w:shd w:val="clear" w:color="auto" w:fill="FFFFFF"/>
                    </w:rPr>
                  </w:pPr>
                </w:p>
              </w:tc>
              <w:tc>
                <w:tcPr>
                  <w:tcW w:w="406" w:type="pct"/>
                </w:tcPr>
                <w:p w14:paraId="4E612D8E" w14:textId="77777777" w:rsidR="009C35F8" w:rsidRDefault="009C35F8" w:rsidP="00E04764">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c>
                <w:tcPr>
                  <w:tcW w:w="412" w:type="pct"/>
                </w:tcPr>
                <w:p w14:paraId="011D8CB6" w14:textId="77777777" w:rsidR="009C35F8" w:rsidRDefault="009C35F8" w:rsidP="00E04764">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r>
            <w:tr w:rsidR="009C35F8" w14:paraId="36B743EA" w14:textId="77777777" w:rsidTr="008B55DF">
              <w:tc>
                <w:tcPr>
                  <w:tcW w:w="1015" w:type="pct"/>
                  <w:shd w:val="clear" w:color="auto" w:fill="auto"/>
                </w:tcPr>
                <w:p w14:paraId="0CCC12C8" w14:textId="77777777" w:rsidR="009C35F8" w:rsidRDefault="00030F64" w:rsidP="00E04764">
                  <w:pPr>
                    <w:pStyle w:val="TableBodyText"/>
                    <w:jc w:val="left"/>
                    <w:rPr>
                      <w:rFonts w:ascii="Times New Roman" w:hAnsi="Times New Roman"/>
                      <w:i/>
                    </w:rPr>
                  </w:pPr>
                  <m:oMath>
                    <m:sSub>
                      <m:sSubPr>
                        <m:ctrlPr>
                          <w:rPr>
                            <w:rFonts w:ascii="Cambria Math" w:hAnsi="Cambria Math"/>
                          </w:rPr>
                        </m:ctrlPr>
                      </m:sSubPr>
                      <m:e>
                        <m:r>
                          <w:rPr>
                            <w:rFonts w:ascii="Cambria Math" w:hAnsi="Cambria Math"/>
                          </w:rPr>
                          <m:t>X</m:t>
                        </m:r>
                      </m:e>
                      <m:sub>
                        <m:r>
                          <w:rPr>
                            <w:rFonts w:ascii="Cambria Math" w:hAnsi="Cambria Math"/>
                          </w:rPr>
                          <m:t>it</m:t>
                        </m:r>
                      </m:sub>
                    </m:sSub>
                  </m:oMath>
                  <w:r w:rsidR="009C35F8">
                    <w:rPr>
                      <w:rFonts w:ascii="Times New Roman" w:hAnsi="Times New Roman"/>
                      <w:i/>
                    </w:rPr>
                    <w:t xml:space="preserve"> </w:t>
                  </w:r>
                </w:p>
              </w:tc>
              <w:tc>
                <w:tcPr>
                  <w:tcW w:w="2750" w:type="pct"/>
                  <w:shd w:val="clear" w:color="auto" w:fill="auto"/>
                </w:tcPr>
                <w:p w14:paraId="0BF944AC" w14:textId="77777777" w:rsidR="009C35F8" w:rsidRDefault="009C35F8" w:rsidP="00E04764">
                  <w:pPr>
                    <w:pStyle w:val="TableBodyText"/>
                    <w:ind w:right="28"/>
                    <w:jc w:val="left"/>
                  </w:pPr>
                  <w:r>
                    <w:t>V</w:t>
                  </w:r>
                  <w:r w:rsidRPr="00671D50">
                    <w:t>ector of control</w:t>
                  </w:r>
                  <w:r>
                    <w:t xml:space="preserve"> variables</w:t>
                  </w:r>
                  <w:r w:rsidRPr="00671D50">
                    <w:t xml:space="preserve"> to account for changes in</w:t>
                  </w:r>
                  <w:r>
                    <w:t xml:space="preserve"> jurisdiction</w:t>
                  </w:r>
                  <w:r>
                    <w:noBreakHyphen/>
                    <w:t>level</w:t>
                  </w:r>
                  <w:r w:rsidRPr="00671D50">
                    <w:t xml:space="preserve"> </w:t>
                  </w:r>
                  <w:r>
                    <w:t>vehicle kilometres travelled (of both heavy and non</w:t>
                  </w:r>
                  <w:r>
                    <w:noBreakHyphen/>
                    <w:t xml:space="preserve">heavy vehicles) and jurisdiction </w:t>
                  </w:r>
                  <w:r w:rsidRPr="00671D50">
                    <w:t>populations over time</w:t>
                  </w:r>
                </w:p>
              </w:tc>
              <w:tc>
                <w:tcPr>
                  <w:tcW w:w="417" w:type="pct"/>
                </w:tcPr>
                <w:p w14:paraId="74CC2EEE" w14:textId="77777777" w:rsidR="009C35F8" w:rsidRDefault="009C35F8" w:rsidP="00E04764">
                  <w:pPr>
                    <w:pStyle w:val="TableBodyText"/>
                    <w:ind w:right="28"/>
                    <w:jc w:val="center"/>
                    <w:rPr>
                      <w:rFonts w:ascii="Segoe UI Symbol" w:hAnsi="Segoe UI Symbol" w:cs="Segoe UI Symbol"/>
                      <w:color w:val="222222"/>
                      <w:shd w:val="clear" w:color="auto" w:fill="FFFFFF"/>
                    </w:rPr>
                  </w:pPr>
                </w:p>
              </w:tc>
              <w:tc>
                <w:tcPr>
                  <w:tcW w:w="406" w:type="pct"/>
                </w:tcPr>
                <w:p w14:paraId="5831665B" w14:textId="77777777" w:rsidR="009C35F8" w:rsidRDefault="009C35F8" w:rsidP="00E04764">
                  <w:pPr>
                    <w:pStyle w:val="TableBodyText"/>
                    <w:ind w:right="28"/>
                    <w:jc w:val="center"/>
                    <w:rPr>
                      <w:rFonts w:ascii="Segoe UI Symbol" w:hAnsi="Segoe UI Symbol" w:cs="Segoe UI Symbol"/>
                      <w:color w:val="222222"/>
                      <w:shd w:val="clear" w:color="auto" w:fill="FFFFFF"/>
                    </w:rPr>
                  </w:pPr>
                </w:p>
              </w:tc>
              <w:tc>
                <w:tcPr>
                  <w:tcW w:w="412" w:type="pct"/>
                </w:tcPr>
                <w:p w14:paraId="7A30A1AC" w14:textId="77777777" w:rsidR="009C35F8" w:rsidRDefault="009C35F8" w:rsidP="00E04764">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r>
            <w:tr w:rsidR="009C35F8" w14:paraId="57326AC8" w14:textId="77777777" w:rsidTr="008B55DF">
              <w:tc>
                <w:tcPr>
                  <w:tcW w:w="1015" w:type="pct"/>
                  <w:tcBorders>
                    <w:bottom w:val="single" w:sz="6" w:space="0" w:color="BFBFBF"/>
                  </w:tcBorders>
                  <w:shd w:val="clear" w:color="auto" w:fill="auto"/>
                </w:tcPr>
                <w:p w14:paraId="2FB5285F" w14:textId="140DB6F6" w:rsidR="009C35F8" w:rsidRPr="0091380D" w:rsidRDefault="00030F64" w:rsidP="00E04764">
                  <w:pPr>
                    <w:pStyle w:val="TableBodyText"/>
                    <w:jc w:val="left"/>
                    <w:rPr>
                      <w:rFonts w:ascii="Times New Roman" w:hAnsi="Times New Roman"/>
                      <w:i/>
                    </w:rPr>
                  </w:pPr>
                  <m:oMathPara>
                    <m:oMathParaPr>
                      <m:jc m:val="left"/>
                    </m:oMathParaPr>
                    <m:oMath>
                      <m:sSup>
                        <m:sSupPr>
                          <m:ctrlPr>
                            <w:rPr>
                              <w:rFonts w:ascii="Cambria Math" w:hAnsi="Cambria Math"/>
                              <w:i/>
                            </w:rPr>
                          </m:ctrlPr>
                        </m:sSupPr>
                        <m:e>
                          <m:r>
                            <w:rPr>
                              <w:rFonts w:ascii="Cambria Math" w:hAnsi="Cambria Math"/>
                            </w:rPr>
                            <m:t>β</m:t>
                          </m:r>
                        </m:e>
                        <m:sup>
                          <m:r>
                            <w:rPr>
                              <w:rFonts w:ascii="Cambria Math" w:hAnsi="Cambria Math"/>
                            </w:rPr>
                            <m:t>'</m:t>
                          </m:r>
                        </m:sup>
                      </m:sSup>
                    </m:oMath>
                  </m:oMathPara>
                </w:p>
              </w:tc>
              <w:tc>
                <w:tcPr>
                  <w:tcW w:w="2750" w:type="pct"/>
                  <w:tcBorders>
                    <w:bottom w:val="single" w:sz="6" w:space="0" w:color="BFBFBF"/>
                  </w:tcBorders>
                  <w:shd w:val="clear" w:color="auto" w:fill="auto"/>
                </w:tcPr>
                <w:p w14:paraId="53DA9F79" w14:textId="77777777" w:rsidR="009C35F8" w:rsidRDefault="009C35F8" w:rsidP="00E04764">
                  <w:pPr>
                    <w:pStyle w:val="TableBodyText"/>
                    <w:ind w:right="28"/>
                    <w:jc w:val="left"/>
                  </w:pPr>
                  <w:r>
                    <w:t>Vector of coefficients corresponding to each respective control variable</w:t>
                  </w:r>
                </w:p>
              </w:tc>
              <w:tc>
                <w:tcPr>
                  <w:tcW w:w="417" w:type="pct"/>
                  <w:tcBorders>
                    <w:bottom w:val="single" w:sz="6" w:space="0" w:color="BFBFBF"/>
                  </w:tcBorders>
                </w:tcPr>
                <w:p w14:paraId="0524D26E" w14:textId="77777777" w:rsidR="009C35F8" w:rsidRDefault="009C35F8" w:rsidP="00E04764">
                  <w:pPr>
                    <w:pStyle w:val="TableBodyText"/>
                    <w:ind w:right="28"/>
                    <w:jc w:val="center"/>
                    <w:rPr>
                      <w:rFonts w:ascii="Segoe UI Symbol" w:hAnsi="Segoe UI Symbol" w:cs="Segoe UI Symbol"/>
                      <w:color w:val="222222"/>
                      <w:shd w:val="clear" w:color="auto" w:fill="FFFFFF"/>
                    </w:rPr>
                  </w:pPr>
                </w:p>
              </w:tc>
              <w:tc>
                <w:tcPr>
                  <w:tcW w:w="406" w:type="pct"/>
                  <w:tcBorders>
                    <w:bottom w:val="single" w:sz="6" w:space="0" w:color="BFBFBF"/>
                  </w:tcBorders>
                </w:tcPr>
                <w:p w14:paraId="70A987E5" w14:textId="77777777" w:rsidR="009C35F8" w:rsidRDefault="009C35F8" w:rsidP="00E04764">
                  <w:pPr>
                    <w:pStyle w:val="TableBodyText"/>
                    <w:ind w:right="28"/>
                    <w:jc w:val="center"/>
                    <w:rPr>
                      <w:rFonts w:ascii="Segoe UI Symbol" w:hAnsi="Segoe UI Symbol" w:cs="Segoe UI Symbol"/>
                      <w:color w:val="222222"/>
                      <w:shd w:val="clear" w:color="auto" w:fill="FFFFFF"/>
                    </w:rPr>
                  </w:pPr>
                </w:p>
              </w:tc>
              <w:tc>
                <w:tcPr>
                  <w:tcW w:w="412" w:type="pct"/>
                  <w:tcBorders>
                    <w:bottom w:val="single" w:sz="6" w:space="0" w:color="BFBFBF"/>
                  </w:tcBorders>
                </w:tcPr>
                <w:p w14:paraId="32CF5667" w14:textId="77777777" w:rsidR="009C35F8" w:rsidRDefault="009C35F8" w:rsidP="00E04764">
                  <w:pPr>
                    <w:pStyle w:val="TableBodyText"/>
                    <w:ind w:right="28"/>
                    <w:jc w:val="center"/>
                    <w:rPr>
                      <w:rFonts w:ascii="Segoe UI Symbol" w:hAnsi="Segoe UI Symbol" w:cs="Segoe UI Symbol"/>
                      <w:color w:val="222222"/>
                      <w:shd w:val="clear" w:color="auto" w:fill="FFFFFF"/>
                    </w:rPr>
                  </w:pPr>
                  <w:r>
                    <w:rPr>
                      <w:rFonts w:ascii="Segoe UI Symbol" w:hAnsi="Segoe UI Symbol" w:cs="Segoe UI Symbol"/>
                      <w:color w:val="222222"/>
                      <w:shd w:val="clear" w:color="auto" w:fill="FFFFFF"/>
                    </w:rPr>
                    <w:t>✔</w:t>
                  </w:r>
                </w:p>
              </w:tc>
            </w:tr>
          </w:tbl>
          <w:p w14:paraId="443771CB" w14:textId="77777777" w:rsidR="009C35F8" w:rsidRDefault="009C35F8" w:rsidP="00E04764">
            <w:pPr>
              <w:pStyle w:val="Box"/>
            </w:pPr>
          </w:p>
        </w:tc>
      </w:tr>
      <w:tr w:rsidR="009C35F8" w14:paraId="0780995E" w14:textId="77777777" w:rsidTr="00E04764">
        <w:tc>
          <w:tcPr>
            <w:tcW w:w="5000" w:type="pct"/>
            <w:tcBorders>
              <w:top w:val="nil"/>
              <w:left w:val="nil"/>
              <w:bottom w:val="nil"/>
              <w:right w:val="nil"/>
            </w:tcBorders>
            <w:shd w:val="clear" w:color="auto" w:fill="auto"/>
          </w:tcPr>
          <w:p w14:paraId="31F462D7" w14:textId="53CAB1F8" w:rsidR="009C35F8" w:rsidRDefault="009C35F8" w:rsidP="00E04764">
            <w:pPr>
              <w:pStyle w:val="Note"/>
              <w:rPr>
                <w:i/>
              </w:rPr>
            </w:pPr>
            <w:r w:rsidRPr="008E77FE">
              <w:rPr>
                <w:rStyle w:val="NoteLabel"/>
              </w:rPr>
              <w:t>a</w:t>
            </w:r>
            <w:r>
              <w:t xml:space="preserve"> Jurisdiction</w:t>
            </w:r>
            <w:r w:rsidR="00B12C16">
              <w:t>, vehicle</w:t>
            </w:r>
            <w:r>
              <w:noBreakHyphen/>
              <w:t>specific linear time trends are incorporated through an interaction term between jurisdiction indicator variables</w:t>
            </w:r>
            <w:r w:rsidR="00B12C16">
              <w:t>, the vehicle type indicator variable, and</w:t>
            </w:r>
            <w:r>
              <w:t xml:space="preserve"> a variable indicating the length of time since 2008 (the first data point in the </w:t>
            </w:r>
            <w:proofErr w:type="spellStart"/>
            <w:r>
              <w:t>NCD</w:t>
            </w:r>
            <w:proofErr w:type="spellEnd"/>
            <w:r>
              <w:t>).</w:t>
            </w:r>
            <w:r w:rsidR="00E46172">
              <w:t xml:space="preserve"> </w:t>
            </w:r>
            <w:r>
              <w:t xml:space="preserve">This </w:t>
            </w:r>
            <w:r w:rsidRPr="00671D50">
              <w:t>control</w:t>
            </w:r>
            <w:r w:rsidR="00B12C16">
              <w:t>s</w:t>
            </w:r>
            <w:r w:rsidRPr="00671D50">
              <w:t xml:space="preserve"> for unobserved</w:t>
            </w:r>
            <w:r>
              <w:t xml:space="preserve"> factors</w:t>
            </w:r>
            <w:r w:rsidRPr="00671D50">
              <w:t xml:space="preserve"> </w:t>
            </w:r>
            <w:r>
              <w:t>(</w:t>
            </w:r>
            <w:r w:rsidRPr="00671D50">
              <w:t xml:space="preserve">such as attitudes towards </w:t>
            </w:r>
            <w:r>
              <w:t>road safety and road management)</w:t>
            </w:r>
            <w:r w:rsidRPr="00671D50">
              <w:t xml:space="preserve"> </w:t>
            </w:r>
            <w:r>
              <w:t>that trend smoothly in</w:t>
            </w:r>
            <w:r w:rsidRPr="00671D50">
              <w:t xml:space="preserve"> each </w:t>
            </w:r>
            <w:r w:rsidR="002663DA">
              <w:t>jurisdiction</w:t>
            </w:r>
            <w:r w:rsidR="00985700">
              <w:t xml:space="preserve"> by vehicle type</w:t>
            </w:r>
            <w:r>
              <w:t>.</w:t>
            </w:r>
          </w:p>
        </w:tc>
      </w:tr>
      <w:tr w:rsidR="009C35F8" w14:paraId="6824A2FF" w14:textId="77777777" w:rsidTr="00E04764">
        <w:tc>
          <w:tcPr>
            <w:tcW w:w="5000" w:type="pct"/>
            <w:tcBorders>
              <w:top w:val="nil"/>
              <w:left w:val="nil"/>
              <w:bottom w:val="single" w:sz="6" w:space="0" w:color="78A22F"/>
              <w:right w:val="nil"/>
            </w:tcBorders>
            <w:shd w:val="clear" w:color="auto" w:fill="auto"/>
          </w:tcPr>
          <w:p w14:paraId="6B8854A8" w14:textId="77777777" w:rsidR="009C35F8" w:rsidRDefault="009C35F8" w:rsidP="00E04764">
            <w:pPr>
              <w:pStyle w:val="Box"/>
              <w:spacing w:before="0" w:line="120" w:lineRule="exact"/>
            </w:pPr>
          </w:p>
        </w:tc>
      </w:tr>
      <w:tr w:rsidR="009C35F8" w:rsidRPr="000863A5" w14:paraId="410149A1" w14:textId="77777777" w:rsidTr="00E04764">
        <w:tc>
          <w:tcPr>
            <w:tcW w:w="5000" w:type="pct"/>
            <w:tcBorders>
              <w:top w:val="single" w:sz="6" w:space="0" w:color="78A22F"/>
              <w:left w:val="nil"/>
              <w:bottom w:val="nil"/>
              <w:right w:val="nil"/>
            </w:tcBorders>
          </w:tcPr>
          <w:p w14:paraId="608DF51D" w14:textId="137547A0" w:rsidR="009C35F8" w:rsidRPr="00626D32" w:rsidRDefault="009C35F8" w:rsidP="00E04764">
            <w:pPr>
              <w:pStyle w:val="BoxSpaceBelow"/>
            </w:pPr>
          </w:p>
        </w:tc>
      </w:tr>
    </w:tbl>
    <w:p w14:paraId="6CE1188D" w14:textId="77777777" w:rsidR="009C35F8" w:rsidRPr="001F447C" w:rsidRDefault="009C35F8">
      <w:pPr>
        <w:pStyle w:val="Heading4"/>
      </w:pPr>
      <w:r w:rsidRPr="001F447C">
        <w:t>Pre</w:t>
      </w:r>
      <w:r w:rsidRPr="001F447C">
        <w:noBreakHyphen/>
        <w:t xml:space="preserve"> and post</w:t>
      </w:r>
      <w:r w:rsidRPr="001F447C">
        <w:noBreakHyphen/>
        <w:t>reform trends</w:t>
      </w:r>
    </w:p>
    <w:p w14:paraId="1277CB6B" w14:textId="23A7C1C4" w:rsidR="009C35F8" w:rsidRDefault="007C0E83" w:rsidP="009C35F8">
      <w:pPr>
        <w:pStyle w:val="BodyText"/>
      </w:pPr>
      <w:r w:rsidRPr="007C0E83">
        <w:t>Pre</w:t>
      </w:r>
      <w:r w:rsidRPr="009C04E1">
        <w:noBreakHyphen/>
        <w:t xml:space="preserve"> and post</w:t>
      </w:r>
      <w:r w:rsidRPr="009C04E1">
        <w:noBreakHyphen/>
        <w:t>reform trends in crashes</w:t>
      </w:r>
      <w:r w:rsidRPr="009C04E1" w:rsidDel="00426B55">
        <w:t xml:space="preserve"> </w:t>
      </w:r>
      <w:r w:rsidRPr="009C04E1">
        <w:t xml:space="preserve">for </w:t>
      </w:r>
      <w:r>
        <w:t>heavy and non</w:t>
      </w:r>
      <w:r>
        <w:noBreakHyphen/>
        <w:t xml:space="preserve">heavy </w:t>
      </w:r>
      <w:r w:rsidRPr="009C04E1">
        <w:t xml:space="preserve">vehicles in </w:t>
      </w:r>
      <w:proofErr w:type="spellStart"/>
      <w:r w:rsidRPr="009C04E1">
        <w:t>HVNL</w:t>
      </w:r>
      <w:proofErr w:type="spellEnd"/>
      <w:r w:rsidRPr="009C04E1">
        <w:t xml:space="preserve"> jurisdictions are depicted in figure </w:t>
      </w:r>
      <w:proofErr w:type="spellStart"/>
      <w:r w:rsidRPr="009C04E1">
        <w:t>B.</w:t>
      </w:r>
      <w:r>
        <w:t>2</w:t>
      </w:r>
      <w:proofErr w:type="spellEnd"/>
      <w:r w:rsidRPr="009C04E1">
        <w:t>. Crash rates are</w:t>
      </w:r>
      <w:r w:rsidR="00547FA1">
        <w:t xml:space="preserve"> </w:t>
      </w:r>
      <w:r w:rsidRPr="009C04E1">
        <w:t>expressed as per billion vehicle kilometres travelled</w:t>
      </w:r>
      <w:r w:rsidR="00547FA1">
        <w:t>, for each respective vehicle type,</w:t>
      </w:r>
      <w:r w:rsidRPr="009C04E1">
        <w:t xml:space="preserve"> to account for the different levels of vehicle activity across jurisdictions.</w:t>
      </w:r>
      <w:r>
        <w:t xml:space="preserve"> </w:t>
      </w:r>
      <w:r w:rsidR="00547FA1">
        <w:t>Trends in crash rates in the pre</w:t>
      </w:r>
      <w:r w:rsidR="00CC115D">
        <w:noBreakHyphen/>
      </w:r>
      <w:r w:rsidR="00547FA1">
        <w:t>reform period provides evidence of a common trend</w:t>
      </w:r>
      <w:r w:rsidR="009C35F8" w:rsidRPr="001F447C">
        <w:t xml:space="preserve"> (figure </w:t>
      </w:r>
      <w:proofErr w:type="spellStart"/>
      <w:r w:rsidR="009C35F8" w:rsidRPr="001F447C">
        <w:t>B.</w:t>
      </w:r>
      <w:r w:rsidR="00A7237D">
        <w:t>2</w:t>
      </w:r>
      <w:proofErr w:type="spellEnd"/>
      <w:r w:rsidR="009C35F8" w:rsidRPr="001F447C">
        <w:t>).</w:t>
      </w:r>
      <w:r w:rsidR="00274ECC">
        <w:rPr>
          <w:rStyle w:val="FootnoteReference"/>
        </w:rPr>
        <w:footnoteReference w:id="6"/>
      </w:r>
      <w:r w:rsidR="009C35F8" w:rsidRPr="001F447C">
        <w:t xml:space="preserve"> There does not appear to be a substantial deviation from the common trend in the post</w:t>
      </w:r>
      <w:r w:rsidR="00E56975">
        <w:noBreakHyphen/>
      </w:r>
      <w:r w:rsidR="009C35F8" w:rsidRPr="001F447C">
        <w:t xml:space="preserve">reform period, which again presents little evidence to support that the </w:t>
      </w:r>
      <w:proofErr w:type="spellStart"/>
      <w:r w:rsidR="009C35F8" w:rsidRPr="001F447C">
        <w:t>HVNL</w:t>
      </w:r>
      <w:proofErr w:type="spellEnd"/>
      <w:r w:rsidR="009C35F8" w:rsidRPr="001F447C">
        <w:t xml:space="preserve"> has had an impact one way or the other on heavy vehicle safety.</w:t>
      </w:r>
    </w:p>
    <w:p w14:paraId="037BCD28" w14:textId="71D921E1" w:rsidR="008141B6" w:rsidRDefault="008141B6" w:rsidP="006730C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141B6" w14:paraId="4974B1CC" w14:textId="77777777" w:rsidTr="006730C6">
        <w:trPr>
          <w:tblHeader/>
        </w:trPr>
        <w:tc>
          <w:tcPr>
            <w:tcW w:w="5000" w:type="pct"/>
            <w:tcBorders>
              <w:top w:val="single" w:sz="6" w:space="0" w:color="78A22F"/>
              <w:left w:val="nil"/>
              <w:bottom w:val="nil"/>
              <w:right w:val="nil"/>
            </w:tcBorders>
            <w:shd w:val="clear" w:color="auto" w:fill="auto"/>
          </w:tcPr>
          <w:p w14:paraId="3F7A39D8" w14:textId="018A4622" w:rsidR="008141B6" w:rsidRDefault="008141B6" w:rsidP="006730C6">
            <w:pPr>
              <w:pStyle w:val="FigureTitle"/>
            </w:pPr>
            <w:r w:rsidRPr="00784A05">
              <w:rPr>
                <w:b w:val="0"/>
              </w:rPr>
              <w:t xml:space="preserve">Figure </w:t>
            </w:r>
            <w:proofErr w:type="spellStart"/>
            <w:r>
              <w:rPr>
                <w:b w:val="0"/>
              </w:rPr>
              <w:t>B.</w:t>
            </w:r>
            <w:r>
              <w:rPr>
                <w:b w:val="0"/>
                <w:noProof/>
              </w:rPr>
              <w:t>2</w:t>
            </w:r>
            <w:proofErr w:type="spellEnd"/>
            <w:r>
              <w:tab/>
            </w:r>
            <w:r w:rsidR="006050E9" w:rsidRPr="007C0E83">
              <w:t>Pre</w:t>
            </w:r>
            <w:r w:rsidR="006050E9" w:rsidRPr="009C04E1">
              <w:noBreakHyphen/>
              <w:t xml:space="preserve"> and post</w:t>
            </w:r>
            <w:r w:rsidR="006050E9" w:rsidRPr="009C04E1">
              <w:noBreakHyphen/>
              <w:t xml:space="preserve">reform trends in </w:t>
            </w:r>
            <w:r w:rsidR="006050E9">
              <w:t>heavy and non</w:t>
            </w:r>
            <w:r w:rsidR="006050E9">
              <w:noBreakHyphen/>
              <w:t xml:space="preserve">heavy </w:t>
            </w:r>
            <w:r w:rsidR="006050E9" w:rsidRPr="009C04E1">
              <w:t>vehicle</w:t>
            </w:r>
            <w:r w:rsidR="00A71EF7">
              <w:t xml:space="preserve"> crash rates</w:t>
            </w:r>
            <w:r w:rsidR="006050E9" w:rsidRPr="009C04E1">
              <w:t xml:space="preserve"> in </w:t>
            </w:r>
            <w:proofErr w:type="spellStart"/>
            <w:r w:rsidR="006050E9" w:rsidRPr="009C04E1">
              <w:t>HVNL</w:t>
            </w:r>
            <w:proofErr w:type="spellEnd"/>
            <w:r w:rsidR="006050E9" w:rsidRPr="009C04E1">
              <w:t xml:space="preserve"> jurisdictions</w:t>
            </w:r>
            <w:proofErr w:type="spellStart"/>
            <w:r w:rsidRPr="003037CA">
              <w:rPr>
                <w:rStyle w:val="NoteLabel"/>
                <w:b/>
              </w:rPr>
              <w:t>a,b</w:t>
            </w:r>
            <w:proofErr w:type="spellEnd"/>
          </w:p>
          <w:p w14:paraId="4F09E3CB" w14:textId="36A1911E" w:rsidR="008141B6" w:rsidRPr="00176D3F" w:rsidRDefault="008141B6" w:rsidP="006730C6">
            <w:pPr>
              <w:pStyle w:val="Subtitle"/>
            </w:pPr>
            <w:r w:rsidRPr="008141B6">
              <w:t>Crashes involving injury or death per billion vehicle kilometres travelled (</w:t>
            </w:r>
            <w:proofErr w:type="spellStart"/>
            <w:r w:rsidRPr="008141B6">
              <w:t>VKT</w:t>
            </w:r>
            <w:proofErr w:type="spellEnd"/>
            <w:r w:rsidRPr="008141B6">
              <w:t>)</w:t>
            </w:r>
          </w:p>
        </w:tc>
      </w:tr>
      <w:tr w:rsidR="008141B6" w14:paraId="43C97A06" w14:textId="77777777" w:rsidTr="006730C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8141B6" w:rsidRPr="00B1465D" w14:paraId="4C05CC64" w14:textId="77777777" w:rsidTr="006730C6">
              <w:trPr>
                <w:tblHeader/>
                <w:jc w:val="center"/>
              </w:trPr>
              <w:tc>
                <w:tcPr>
                  <w:tcW w:w="5000" w:type="pct"/>
                  <w:tcBorders>
                    <w:top w:val="nil"/>
                    <w:bottom w:val="nil"/>
                  </w:tcBorders>
                </w:tcPr>
                <w:p w14:paraId="1CD5AACA" w14:textId="396BA124" w:rsidR="008141B6" w:rsidRPr="00B1465D" w:rsidRDefault="008141B6" w:rsidP="006730C6">
                  <w:pPr>
                    <w:pStyle w:val="Figure"/>
                    <w:spacing w:before="60" w:after="60"/>
                    <w:rPr>
                      <w:rFonts w:ascii="Arial" w:hAnsi="Arial" w:cs="Arial"/>
                      <w:sz w:val="18"/>
                      <w:szCs w:val="18"/>
                    </w:rPr>
                  </w:pPr>
                  <w:r w:rsidRPr="005B5FA5">
                    <w:rPr>
                      <w:rFonts w:ascii="Arial" w:hAnsi="Arial" w:cs="Arial"/>
                      <w:noProof/>
                      <w:sz w:val="18"/>
                      <w:szCs w:val="18"/>
                    </w:rPr>
                    <w:drawing>
                      <wp:inline distT="0" distB="0" distL="0" distR="0" wp14:anchorId="7111B997" wp14:editId="5009DC0D">
                        <wp:extent cx="5400000" cy="2521016"/>
                        <wp:effectExtent l="0" t="0" r="0" b="0"/>
                        <wp:docPr id="3" name="Picture 3" descr="Figure B.2. shows the number of crashes involving injury or death per billion vehicle kilometres travelled over the period 2008-2018. Crash rates are presented separately for heavy and non-heavy vehicles, and only for jurisdictions that signed up to the HVNL. On a per kilometre basis, non-heavy vehicles are more likely to be involved in a crash involving injury or death than heavy vehicles. Across both classifications a similar downward trend is observed." title="Crashes involving injury or death per billion vehicle kilometres travelled (VKT) in HVNL jurisdi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00" cy="2521016"/>
                                </a:xfrm>
                                <a:prstGeom prst="rect">
                                  <a:avLst/>
                                </a:prstGeom>
                                <a:noFill/>
                                <a:ln>
                                  <a:noFill/>
                                </a:ln>
                              </pic:spPr>
                            </pic:pic>
                          </a:graphicData>
                        </a:graphic>
                      </wp:inline>
                    </w:drawing>
                  </w:r>
                </w:p>
              </w:tc>
            </w:tr>
          </w:tbl>
          <w:p w14:paraId="157EFD56" w14:textId="77777777" w:rsidR="008141B6" w:rsidRDefault="008141B6" w:rsidP="006730C6">
            <w:pPr>
              <w:pStyle w:val="Figure"/>
            </w:pPr>
          </w:p>
        </w:tc>
      </w:tr>
      <w:tr w:rsidR="008141B6" w:rsidRPr="00176D3F" w14:paraId="77B53CA6" w14:textId="77777777" w:rsidTr="006730C6">
        <w:tc>
          <w:tcPr>
            <w:tcW w:w="5000" w:type="pct"/>
            <w:tcBorders>
              <w:top w:val="nil"/>
              <w:left w:val="nil"/>
              <w:bottom w:val="nil"/>
              <w:right w:val="nil"/>
            </w:tcBorders>
            <w:shd w:val="clear" w:color="auto" w:fill="auto"/>
          </w:tcPr>
          <w:p w14:paraId="235B1159" w14:textId="68442C9E" w:rsidR="008141B6" w:rsidRPr="00176D3F" w:rsidRDefault="008141B6" w:rsidP="006730C6">
            <w:pPr>
              <w:pStyle w:val="Note"/>
            </w:pPr>
            <w:r>
              <w:rPr>
                <w:rStyle w:val="NoteLabel"/>
              </w:rPr>
              <w:t>a</w:t>
            </w:r>
            <w:r>
              <w:t xml:space="preserve"> Crashes (fatal and non</w:t>
            </w:r>
            <w:r>
              <w:noBreakHyphen/>
              <w:t>fatal) are expressed as crashes per billion vehicle kilometres travelled. Non</w:t>
            </w:r>
            <w:r>
              <w:noBreakHyphen/>
              <w:t>heavy vehicles include all vehicles other than articulated and heavy rigid trucks. Data for ACT not included.</w:t>
            </w:r>
            <w:r w:rsidRPr="00CB66D5">
              <w:rPr>
                <w:rFonts w:ascii="Times New Roman" w:hAnsi="Times New Roman"/>
                <w:b/>
                <w:position w:val="6"/>
                <w:sz w:val="24"/>
                <w:szCs w:val="24"/>
              </w:rPr>
              <w:t xml:space="preserve"> </w:t>
            </w:r>
            <w:r w:rsidRPr="001C2250">
              <w:rPr>
                <w:rStyle w:val="NoteLabel"/>
              </w:rPr>
              <w:t>b</w:t>
            </w:r>
            <w:r>
              <w:rPr>
                <w:b/>
              </w:rPr>
              <w:t> </w:t>
            </w:r>
            <w:r w:rsidRPr="00CB66D5">
              <w:t xml:space="preserve">The </w:t>
            </w:r>
            <w:proofErr w:type="spellStart"/>
            <w:r w:rsidRPr="00CB66D5">
              <w:t>HVNL</w:t>
            </w:r>
            <w:proofErr w:type="spellEnd"/>
            <w:r w:rsidRPr="00CB66D5">
              <w:t xml:space="preserve"> commenced on 10</w:t>
            </w:r>
            <w:r>
              <w:t> </w:t>
            </w:r>
            <w:r w:rsidRPr="00CB66D5">
              <w:t xml:space="preserve">February 2014 in </w:t>
            </w:r>
            <w:r>
              <w:t>all jurisdictions except for Western Australia and the Northern Territory</w:t>
            </w:r>
            <w:r w:rsidRPr="00CB66D5">
              <w:t>.</w:t>
            </w:r>
          </w:p>
        </w:tc>
      </w:tr>
      <w:tr w:rsidR="008141B6" w:rsidRPr="00176D3F" w14:paraId="2578ABE0" w14:textId="77777777" w:rsidTr="006730C6">
        <w:tc>
          <w:tcPr>
            <w:tcW w:w="5000" w:type="pct"/>
            <w:tcBorders>
              <w:top w:val="nil"/>
              <w:left w:val="nil"/>
              <w:bottom w:val="nil"/>
              <w:right w:val="nil"/>
            </w:tcBorders>
            <w:shd w:val="clear" w:color="auto" w:fill="auto"/>
          </w:tcPr>
          <w:p w14:paraId="7EE4AAC8" w14:textId="7CC51F9C" w:rsidR="008141B6" w:rsidRPr="00176D3F" w:rsidRDefault="008141B6" w:rsidP="006730C6">
            <w:pPr>
              <w:pStyle w:val="Source"/>
            </w:pPr>
            <w:r>
              <w:rPr>
                <w:i/>
              </w:rPr>
              <w:t>S</w:t>
            </w:r>
            <w:r w:rsidRPr="00784A05">
              <w:rPr>
                <w:i/>
              </w:rPr>
              <w:t>ource</w:t>
            </w:r>
            <w:r w:rsidRPr="00176D3F">
              <w:t xml:space="preserve">: </w:t>
            </w:r>
            <w:r>
              <w:t>Commission estimates based on National Crash Database (</w:t>
            </w:r>
            <w:proofErr w:type="spellStart"/>
            <w:r>
              <w:t>BITRE</w:t>
            </w:r>
            <w:proofErr w:type="spellEnd"/>
            <w:r>
              <w:t>, unpublished).</w:t>
            </w:r>
          </w:p>
        </w:tc>
      </w:tr>
      <w:tr w:rsidR="008141B6" w14:paraId="72B7D558" w14:textId="77777777" w:rsidTr="006730C6">
        <w:tc>
          <w:tcPr>
            <w:tcW w:w="5000" w:type="pct"/>
            <w:tcBorders>
              <w:top w:val="nil"/>
              <w:left w:val="nil"/>
              <w:bottom w:val="single" w:sz="6" w:space="0" w:color="78A22F"/>
              <w:right w:val="nil"/>
            </w:tcBorders>
            <w:shd w:val="clear" w:color="auto" w:fill="auto"/>
          </w:tcPr>
          <w:p w14:paraId="21667589" w14:textId="77777777" w:rsidR="008141B6" w:rsidRDefault="008141B6" w:rsidP="006730C6">
            <w:pPr>
              <w:pStyle w:val="Figurespace"/>
            </w:pPr>
          </w:p>
        </w:tc>
      </w:tr>
      <w:tr w:rsidR="008141B6" w:rsidRPr="000863A5" w14:paraId="0A376ECA" w14:textId="77777777" w:rsidTr="006730C6">
        <w:tc>
          <w:tcPr>
            <w:tcW w:w="5000" w:type="pct"/>
            <w:tcBorders>
              <w:top w:val="single" w:sz="6" w:space="0" w:color="78A22F"/>
              <w:left w:val="nil"/>
              <w:bottom w:val="nil"/>
              <w:right w:val="nil"/>
            </w:tcBorders>
          </w:tcPr>
          <w:p w14:paraId="1180833D" w14:textId="402BBBCE" w:rsidR="008141B6" w:rsidRPr="00626D32" w:rsidRDefault="008141B6" w:rsidP="006730C6">
            <w:pPr>
              <w:pStyle w:val="BoxSpaceBelow"/>
            </w:pPr>
          </w:p>
        </w:tc>
      </w:tr>
    </w:tbl>
    <w:p w14:paraId="7B9BF603" w14:textId="171E60C4" w:rsidR="00FF75F8" w:rsidRDefault="00FF75F8" w:rsidP="007E5B17">
      <w:pPr>
        <w:pStyle w:val="Heading4"/>
      </w:pPr>
      <w:r>
        <w:t>Regression results</w:t>
      </w:r>
    </w:p>
    <w:p w14:paraId="5C00EE0F" w14:textId="50B2D487" w:rsidR="00811DB5" w:rsidRDefault="009A59DD" w:rsidP="009A59DD">
      <w:pPr>
        <w:pStyle w:val="BodyText"/>
      </w:pPr>
      <w:r>
        <w:t xml:space="preserve">The </w:t>
      </w:r>
      <w:r w:rsidRPr="00EC0AB8">
        <w:t>estimates for model</w:t>
      </w:r>
      <w:r>
        <w:t> 2 are presented in t</w:t>
      </w:r>
      <w:r w:rsidRPr="00EC0AB8">
        <w:t>able </w:t>
      </w:r>
      <w:proofErr w:type="spellStart"/>
      <w:r w:rsidRPr="00EC0AB8">
        <w:t>B.</w:t>
      </w:r>
      <w:r w:rsidR="00936200">
        <w:t>8</w:t>
      </w:r>
      <w:proofErr w:type="spellEnd"/>
      <w:r>
        <w:t xml:space="preserve">. Results from the baseline specification (specification 1) suggest that the </w:t>
      </w:r>
      <w:proofErr w:type="spellStart"/>
      <w:r>
        <w:t>HVNL</w:t>
      </w:r>
      <w:proofErr w:type="spellEnd"/>
      <w:r>
        <w:t xml:space="preserve"> might have had a positive effect on safety</w:t>
      </w:r>
      <w:r w:rsidR="00B94606">
        <w:t xml:space="preserve"> (</w:t>
      </w:r>
      <w:r w:rsidR="005D483A">
        <w:t xml:space="preserve">through </w:t>
      </w:r>
      <w:r w:rsidR="00B94606">
        <w:t>a reduction in crash rates)</w:t>
      </w:r>
      <w:r>
        <w:t xml:space="preserve">. However, the effect of the </w:t>
      </w:r>
      <w:proofErr w:type="spellStart"/>
      <w:r>
        <w:t>HVNL</w:t>
      </w:r>
      <w:proofErr w:type="spellEnd"/>
      <w:r>
        <w:t xml:space="preserve"> is not </w:t>
      </w:r>
      <w:r w:rsidR="006E54AE">
        <w:t xml:space="preserve">statistically </w:t>
      </w:r>
      <w:r>
        <w:t xml:space="preserve">significant in specification 2, suggesting that </w:t>
      </w:r>
      <w:r w:rsidR="00D7650F">
        <w:t xml:space="preserve">factors within jurisdictions that </w:t>
      </w:r>
      <w:r w:rsidR="00C253F8">
        <w:t xml:space="preserve">have a linear effect on </w:t>
      </w:r>
      <w:r w:rsidR="00D7650F">
        <w:t>heavy or non</w:t>
      </w:r>
      <w:r w:rsidR="000F678D">
        <w:noBreakHyphen/>
      </w:r>
      <w:r w:rsidR="00D7650F">
        <w:t xml:space="preserve">heavy vehicle crash rates over time </w:t>
      </w:r>
      <w:r>
        <w:t>(</w:t>
      </w:r>
      <w:r w:rsidR="00D7650F">
        <w:t>such as</w:t>
      </w:r>
      <w:r>
        <w:t xml:space="preserve"> </w:t>
      </w:r>
      <w:r w:rsidR="00B94606">
        <w:t>jurisdiction</w:t>
      </w:r>
      <w:r w:rsidR="000F678D">
        <w:noBreakHyphen/>
      </w:r>
      <w:r>
        <w:t>specific education campaigns) are important in explaining changes in cra</w:t>
      </w:r>
      <w:r w:rsidR="00D179DC">
        <w:t>sh rates. Consistent with model </w:t>
      </w:r>
      <w:r>
        <w:t>1, results from the preferred specification (specification 3)</w:t>
      </w:r>
      <w:r w:rsidRPr="00EC0AB8">
        <w:t xml:space="preserve"> </w:t>
      </w:r>
      <w:r>
        <w:t xml:space="preserve">suggest that the effect of the </w:t>
      </w:r>
      <w:proofErr w:type="spellStart"/>
      <w:r>
        <w:t>HVNL</w:t>
      </w:r>
      <w:proofErr w:type="spellEnd"/>
      <w:r>
        <w:t xml:space="preserve"> is small and not statistically significant</w:t>
      </w:r>
      <w:r w:rsidRPr="00EC0AB8">
        <w:t>.</w:t>
      </w:r>
      <w:r w:rsidRPr="0047100F">
        <w:rPr>
          <w:rStyle w:val="FootnoteReference"/>
        </w:rPr>
        <w:footnoteReference w:id="7"/>
      </w:r>
      <w:r w:rsidR="000007FC">
        <w:t xml:space="preserve"> </w:t>
      </w:r>
    </w:p>
    <w:p w14:paraId="3D56EAC3" w14:textId="1940DDB6" w:rsidR="00CD2CFE" w:rsidRDefault="006E54AE" w:rsidP="009A59DD">
      <w:pPr>
        <w:pStyle w:val="BodyText"/>
        <w:rPr>
          <w:rStyle w:val="BodyTextChar"/>
          <w:rFonts w:eastAsiaTheme="minorHAnsi"/>
        </w:rPr>
      </w:pPr>
      <w:r>
        <w:rPr>
          <w:rStyle w:val="BodyTextChar"/>
          <w:rFonts w:eastAsiaTheme="minorHAnsi"/>
        </w:rPr>
        <w:t>A caveat to this finding</w:t>
      </w:r>
      <w:r w:rsidR="00811DB5">
        <w:rPr>
          <w:rStyle w:val="BodyTextChar"/>
          <w:rFonts w:eastAsiaTheme="minorHAnsi"/>
        </w:rPr>
        <w:t xml:space="preserve"> is that after the </w:t>
      </w:r>
      <w:proofErr w:type="spellStart"/>
      <w:r w:rsidR="00811DB5">
        <w:rPr>
          <w:rStyle w:val="BodyTextChar"/>
          <w:rFonts w:eastAsiaTheme="minorHAnsi"/>
        </w:rPr>
        <w:t>HVNL</w:t>
      </w:r>
      <w:proofErr w:type="spellEnd"/>
      <w:r w:rsidR="00811DB5">
        <w:rPr>
          <w:rStyle w:val="BodyTextChar"/>
          <w:rFonts w:eastAsiaTheme="minorHAnsi"/>
        </w:rPr>
        <w:t xml:space="preserve"> was enacted there may have been improvements in vehicle design of safety features that have asymmetrically benefitted heavy </w:t>
      </w:r>
      <w:r w:rsidR="00143C01">
        <w:rPr>
          <w:rStyle w:val="BodyTextChar"/>
          <w:rFonts w:eastAsiaTheme="minorHAnsi"/>
        </w:rPr>
        <w:t>and</w:t>
      </w:r>
      <w:r w:rsidR="00811DB5">
        <w:rPr>
          <w:rStyle w:val="BodyTextChar"/>
          <w:rFonts w:eastAsiaTheme="minorHAnsi"/>
        </w:rPr>
        <w:t xml:space="preserve"> non</w:t>
      </w:r>
      <w:r w:rsidR="00811DB5">
        <w:rPr>
          <w:rStyle w:val="BodyTextChar"/>
          <w:rFonts w:eastAsiaTheme="minorHAnsi"/>
        </w:rPr>
        <w:noBreakHyphen/>
        <w:t xml:space="preserve">heavy vehicles. Moreover, </w:t>
      </w:r>
      <w:r w:rsidR="002350C5">
        <w:rPr>
          <w:rStyle w:val="BodyTextChar"/>
          <w:rFonts w:eastAsiaTheme="minorHAnsi"/>
        </w:rPr>
        <w:t>the</w:t>
      </w:r>
      <w:r w:rsidR="00811DB5">
        <w:rPr>
          <w:rStyle w:val="BodyTextChar"/>
          <w:rFonts w:eastAsiaTheme="minorHAnsi"/>
        </w:rPr>
        <w:t xml:space="preserve"> estimates </w:t>
      </w:r>
      <w:r w:rsidR="00CD2CFE">
        <w:rPr>
          <w:rStyle w:val="BodyTextChar"/>
          <w:rFonts w:eastAsiaTheme="minorHAnsi"/>
        </w:rPr>
        <w:t>may</w:t>
      </w:r>
      <w:r w:rsidR="00811DB5">
        <w:rPr>
          <w:rStyle w:val="BodyTextChar"/>
          <w:rFonts w:eastAsiaTheme="minorHAnsi"/>
        </w:rPr>
        <w:t xml:space="preserve"> be biased </w:t>
      </w:r>
      <w:r w:rsidR="00A110BF">
        <w:rPr>
          <w:rStyle w:val="BodyTextChar"/>
          <w:rFonts w:eastAsiaTheme="minorHAnsi"/>
        </w:rPr>
        <w:t>if other</w:t>
      </w:r>
      <w:r w:rsidR="00B94606">
        <w:rPr>
          <w:rStyle w:val="BodyTextChar"/>
          <w:rFonts w:eastAsiaTheme="minorHAnsi"/>
        </w:rPr>
        <w:t xml:space="preserve"> factors that affect </w:t>
      </w:r>
      <w:r w:rsidR="00353232">
        <w:rPr>
          <w:rStyle w:val="BodyTextChar"/>
          <w:rFonts w:eastAsiaTheme="minorHAnsi"/>
        </w:rPr>
        <w:t>crash rates</w:t>
      </w:r>
      <w:r w:rsidR="00811DB5">
        <w:rPr>
          <w:rStyle w:val="BodyTextChar"/>
          <w:rFonts w:eastAsiaTheme="minorHAnsi"/>
        </w:rPr>
        <w:t xml:space="preserve"> (</w:t>
      </w:r>
      <w:r w:rsidR="00B94606">
        <w:rPr>
          <w:rStyle w:val="BodyTextChar"/>
          <w:rFonts w:eastAsiaTheme="minorHAnsi"/>
        </w:rPr>
        <w:t>such as road</w:t>
      </w:r>
      <w:r w:rsidR="000D1779">
        <w:rPr>
          <w:rStyle w:val="BodyTextChar"/>
          <w:rFonts w:eastAsiaTheme="minorHAnsi"/>
        </w:rPr>
        <w:t xml:space="preserve"> safety</w:t>
      </w:r>
      <w:r w:rsidR="00B94606">
        <w:rPr>
          <w:rStyle w:val="BodyTextChar"/>
          <w:rFonts w:eastAsiaTheme="minorHAnsi"/>
        </w:rPr>
        <w:t xml:space="preserve"> enforcement campaigns</w:t>
      </w:r>
      <w:r w:rsidR="00811DB5">
        <w:rPr>
          <w:rStyle w:val="BodyTextChar"/>
          <w:rFonts w:eastAsiaTheme="minorHAnsi"/>
        </w:rPr>
        <w:t xml:space="preserve">) have been </w:t>
      </w:r>
      <w:r w:rsidR="00353232">
        <w:rPr>
          <w:rStyle w:val="BodyTextChar"/>
          <w:rFonts w:eastAsiaTheme="minorHAnsi"/>
        </w:rPr>
        <w:t>increasingly</w:t>
      </w:r>
      <w:r w:rsidR="000D1779">
        <w:rPr>
          <w:rStyle w:val="BodyTextChar"/>
          <w:rFonts w:eastAsiaTheme="minorHAnsi"/>
        </w:rPr>
        <w:t xml:space="preserve"> and effectively</w:t>
      </w:r>
      <w:r w:rsidR="00353232">
        <w:rPr>
          <w:rStyle w:val="BodyTextChar"/>
          <w:rFonts w:eastAsiaTheme="minorHAnsi"/>
        </w:rPr>
        <w:t xml:space="preserve"> </w:t>
      </w:r>
      <w:r w:rsidR="00811DB5">
        <w:rPr>
          <w:rStyle w:val="BodyTextChar"/>
          <w:rFonts w:eastAsiaTheme="minorHAnsi"/>
        </w:rPr>
        <w:t>targeted at heavy or non</w:t>
      </w:r>
      <w:r w:rsidR="000F678D">
        <w:rPr>
          <w:rStyle w:val="BodyTextChar"/>
          <w:rFonts w:eastAsiaTheme="minorHAnsi"/>
        </w:rPr>
        <w:noBreakHyphen/>
      </w:r>
      <w:r w:rsidR="00811DB5">
        <w:rPr>
          <w:rStyle w:val="BodyTextChar"/>
          <w:rFonts w:eastAsiaTheme="minorHAnsi"/>
        </w:rPr>
        <w:t>heavy vehicle drivers</w:t>
      </w:r>
      <w:r w:rsidR="00CD2CFE">
        <w:rPr>
          <w:rStyle w:val="BodyTextChar"/>
          <w:rFonts w:eastAsiaTheme="minorHAnsi"/>
        </w:rPr>
        <w:t xml:space="preserve"> in the</w:t>
      </w:r>
      <w:r w:rsidR="001B2CBD">
        <w:rPr>
          <w:rStyle w:val="BodyTextChar"/>
          <w:rFonts w:eastAsiaTheme="minorHAnsi"/>
        </w:rPr>
        <w:t xml:space="preserve"> post</w:t>
      </w:r>
      <w:r w:rsidR="000F678D">
        <w:rPr>
          <w:rStyle w:val="BodyTextChar"/>
          <w:rFonts w:eastAsiaTheme="minorHAnsi"/>
        </w:rPr>
        <w:noBreakHyphen/>
      </w:r>
      <w:r w:rsidR="001B2CBD">
        <w:rPr>
          <w:rStyle w:val="BodyTextChar"/>
          <w:rFonts w:eastAsiaTheme="minorHAnsi"/>
        </w:rPr>
        <w:t>reform period</w:t>
      </w:r>
      <w:r w:rsidR="005D483A">
        <w:rPr>
          <w:rStyle w:val="BodyTextChar"/>
          <w:rFonts w:eastAsiaTheme="minorHAnsi"/>
        </w:rPr>
        <w:t>.</w:t>
      </w:r>
    </w:p>
    <w:p w14:paraId="61AFB7F8" w14:textId="190D92F6" w:rsidR="009A59DD" w:rsidRDefault="009A59DD" w:rsidP="009A59D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A59DD" w14:paraId="05B21B74" w14:textId="77777777" w:rsidTr="00235E85">
        <w:trPr>
          <w:tblHeader/>
        </w:trPr>
        <w:tc>
          <w:tcPr>
            <w:tcW w:w="5000" w:type="pct"/>
            <w:tcBorders>
              <w:top w:val="single" w:sz="6" w:space="0" w:color="78A22F"/>
              <w:left w:val="nil"/>
              <w:bottom w:val="nil"/>
              <w:right w:val="nil"/>
            </w:tcBorders>
            <w:shd w:val="clear" w:color="auto" w:fill="auto"/>
          </w:tcPr>
          <w:p w14:paraId="2D31A140" w14:textId="5DD9473B" w:rsidR="009A59DD" w:rsidRDefault="009A59DD" w:rsidP="00235E85">
            <w:pPr>
              <w:pStyle w:val="TableTitle"/>
            </w:pPr>
            <w:r>
              <w:rPr>
                <w:b w:val="0"/>
              </w:rPr>
              <w:t xml:space="preserve">Table </w:t>
            </w:r>
            <w:proofErr w:type="spellStart"/>
            <w:r>
              <w:rPr>
                <w:b w:val="0"/>
              </w:rPr>
              <w:t>B.</w:t>
            </w:r>
            <w:r w:rsidR="00936200">
              <w:rPr>
                <w:b w:val="0"/>
              </w:rPr>
              <w:t>8</w:t>
            </w:r>
            <w:proofErr w:type="spellEnd"/>
            <w:r>
              <w:tab/>
              <w:t>Heavy and non</w:t>
            </w:r>
            <w:r>
              <w:noBreakHyphen/>
              <w:t xml:space="preserve">heavy vehicle crashes in </w:t>
            </w:r>
            <w:proofErr w:type="spellStart"/>
            <w:r>
              <w:t>HVNL</w:t>
            </w:r>
            <w:proofErr w:type="spellEnd"/>
            <w:r>
              <w:t xml:space="preserve"> jurisdictions</w:t>
            </w:r>
            <w:r w:rsidRPr="002637F5">
              <w:rPr>
                <w:rStyle w:val="NoteLabel"/>
                <w:b/>
              </w:rPr>
              <w:t>a</w:t>
            </w:r>
          </w:p>
          <w:p w14:paraId="6403ED43" w14:textId="77777777" w:rsidR="009A59DD" w:rsidRPr="00784A05" w:rsidRDefault="009A59DD" w:rsidP="00235E85">
            <w:pPr>
              <w:pStyle w:val="Subtitle"/>
            </w:pPr>
            <w:r>
              <w:t>Difference</w:t>
            </w:r>
            <w:r>
              <w:noBreakHyphen/>
              <w:t>in</w:t>
            </w:r>
            <w:r>
              <w:noBreakHyphen/>
              <w:t>differences results</w:t>
            </w:r>
          </w:p>
        </w:tc>
      </w:tr>
      <w:tr w:rsidR="009A59DD" w14:paraId="21D34C75" w14:textId="77777777" w:rsidTr="00235E85">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442"/>
              <w:gridCol w:w="2355"/>
              <w:gridCol w:w="2354"/>
              <w:gridCol w:w="2354"/>
            </w:tblGrid>
            <w:tr w:rsidR="009A59DD" w14:paraId="3A3274AD" w14:textId="77777777" w:rsidTr="00235E85">
              <w:trPr>
                <w:tblHeader/>
              </w:trPr>
              <w:tc>
                <w:tcPr>
                  <w:tcW w:w="847" w:type="pct"/>
                  <w:tcBorders>
                    <w:top w:val="single" w:sz="6" w:space="0" w:color="BFBFBF"/>
                    <w:bottom w:val="single" w:sz="6" w:space="0" w:color="BFBFBF"/>
                  </w:tcBorders>
                  <w:shd w:val="clear" w:color="auto" w:fill="auto"/>
                  <w:tcMar>
                    <w:top w:w="28" w:type="dxa"/>
                  </w:tcMar>
                </w:tcPr>
                <w:p w14:paraId="1CD3EB23" w14:textId="5A5B502C" w:rsidR="009A59DD" w:rsidRPr="001C1CCC" w:rsidRDefault="009A59DD" w:rsidP="00235E85">
                  <w:pPr>
                    <w:pStyle w:val="TableColumnHeading"/>
                    <w:jc w:val="left"/>
                  </w:pPr>
                </w:p>
              </w:tc>
              <w:tc>
                <w:tcPr>
                  <w:tcW w:w="1384" w:type="pct"/>
                  <w:tcBorders>
                    <w:top w:val="single" w:sz="6" w:space="0" w:color="BFBFBF"/>
                    <w:bottom w:val="single" w:sz="6" w:space="0" w:color="BFBFBF"/>
                  </w:tcBorders>
                </w:tcPr>
                <w:p w14:paraId="08F067D3" w14:textId="12BAC7D6" w:rsidR="009A59DD" w:rsidRDefault="00212623" w:rsidP="00235E85">
                  <w:pPr>
                    <w:pStyle w:val="TableColumnHeading"/>
                  </w:pPr>
                  <w:r>
                    <w:t>Specification 1</w:t>
                  </w:r>
                </w:p>
                <w:p w14:paraId="09CBAF6B" w14:textId="77777777" w:rsidR="009A59DD" w:rsidRPr="001C1CCC" w:rsidRDefault="009A59DD" w:rsidP="00235E85">
                  <w:pPr>
                    <w:pStyle w:val="TableColumnHeading"/>
                  </w:pPr>
                  <w:r>
                    <w:t>Baseline with fixed effects</w:t>
                  </w:r>
                </w:p>
              </w:tc>
              <w:tc>
                <w:tcPr>
                  <w:tcW w:w="1384" w:type="pct"/>
                  <w:tcBorders>
                    <w:top w:val="single" w:sz="6" w:space="0" w:color="BFBFBF"/>
                    <w:bottom w:val="single" w:sz="6" w:space="0" w:color="BFBFBF"/>
                  </w:tcBorders>
                  <w:shd w:val="clear" w:color="auto" w:fill="auto"/>
                  <w:tcMar>
                    <w:top w:w="28" w:type="dxa"/>
                  </w:tcMar>
                </w:tcPr>
                <w:p w14:paraId="66156453" w14:textId="72652989" w:rsidR="009A59DD" w:rsidRDefault="00212623" w:rsidP="00235E85">
                  <w:pPr>
                    <w:pStyle w:val="TableColumnHeading"/>
                  </w:pPr>
                  <w:r>
                    <w:t>Specification 2</w:t>
                  </w:r>
                </w:p>
                <w:p w14:paraId="5DB6B6CB" w14:textId="0E264EA8" w:rsidR="009A59DD" w:rsidRPr="001C1CCC" w:rsidRDefault="009A59DD" w:rsidP="00235E85">
                  <w:pPr>
                    <w:pStyle w:val="TableColumnHeading"/>
                  </w:pPr>
                  <w:r>
                    <w:t>Baseline with fixed effects</w:t>
                  </w:r>
                  <w:r w:rsidRPr="001C1CCC">
                    <w:t xml:space="preserve"> </w:t>
                  </w:r>
                  <w:r>
                    <w:t xml:space="preserve">and </w:t>
                  </w:r>
                  <w:r w:rsidR="002663DA">
                    <w:t>jurisdiction</w:t>
                  </w:r>
                  <w:r>
                    <w:noBreakHyphen/>
                    <w:t>specific</w:t>
                  </w:r>
                  <w:r w:rsidR="006C0731">
                    <w:t>, vehicle</w:t>
                  </w:r>
                  <w:r w:rsidR="000F678D">
                    <w:noBreakHyphen/>
                  </w:r>
                  <w:r w:rsidR="006C0731">
                    <w:t>specific</w:t>
                  </w:r>
                  <w:r>
                    <w:t xml:space="preserve"> time trends</w:t>
                  </w:r>
                </w:p>
              </w:tc>
              <w:tc>
                <w:tcPr>
                  <w:tcW w:w="1384" w:type="pct"/>
                  <w:tcBorders>
                    <w:top w:val="single" w:sz="6" w:space="0" w:color="BFBFBF"/>
                    <w:bottom w:val="single" w:sz="6" w:space="0" w:color="BFBFBF"/>
                  </w:tcBorders>
                  <w:shd w:val="clear" w:color="auto" w:fill="auto"/>
                  <w:tcMar>
                    <w:top w:w="28" w:type="dxa"/>
                  </w:tcMar>
                </w:tcPr>
                <w:p w14:paraId="458F6023" w14:textId="72A43D77" w:rsidR="009A59DD" w:rsidRDefault="00212623" w:rsidP="00235E85">
                  <w:pPr>
                    <w:pStyle w:val="TableColumnHeading"/>
                  </w:pPr>
                  <w:r>
                    <w:t>Specification 3</w:t>
                  </w:r>
                </w:p>
                <w:p w14:paraId="2868091D" w14:textId="7162ACDF" w:rsidR="009A59DD" w:rsidRPr="001C1CCC" w:rsidRDefault="009A59DD" w:rsidP="00235E85">
                  <w:pPr>
                    <w:pStyle w:val="TableColumnHeading"/>
                  </w:pPr>
                  <w:r>
                    <w:t xml:space="preserve">Baseline with fixed effects, </w:t>
                  </w:r>
                  <w:r w:rsidR="002663DA">
                    <w:t>jurisdiction</w:t>
                  </w:r>
                  <w:r>
                    <w:noBreakHyphen/>
                    <w:t>specific</w:t>
                  </w:r>
                  <w:r w:rsidR="00E72020">
                    <w:t>, vehicle</w:t>
                  </w:r>
                  <w:r w:rsidR="00E72020">
                    <w:noBreakHyphen/>
                    <w:t>specific</w:t>
                  </w:r>
                  <w:r>
                    <w:t xml:space="preserve"> time trends</w:t>
                  </w:r>
                  <w:r w:rsidRPr="001C1CCC">
                    <w:t xml:space="preserve"> </w:t>
                  </w:r>
                  <w:r>
                    <w:t>and control variables</w:t>
                  </w:r>
                </w:p>
              </w:tc>
            </w:tr>
            <w:tr w:rsidR="009A59DD" w14:paraId="229D9040" w14:textId="77777777" w:rsidTr="00235E85">
              <w:tc>
                <w:tcPr>
                  <w:tcW w:w="847" w:type="pct"/>
                  <w:tcBorders>
                    <w:top w:val="single" w:sz="6" w:space="0" w:color="BFBFBF"/>
                  </w:tcBorders>
                </w:tcPr>
                <w:p w14:paraId="3CB2F434" w14:textId="77777777" w:rsidR="009A59DD" w:rsidRPr="001C1CCC" w:rsidRDefault="009A59DD" w:rsidP="00235E85">
                  <w:pPr>
                    <w:pStyle w:val="TableUnitsRow"/>
                    <w:jc w:val="left"/>
                  </w:pPr>
                  <w:r>
                    <w:t xml:space="preserve">Effect of </w:t>
                  </w:r>
                  <w:proofErr w:type="spellStart"/>
                  <w:r>
                    <w:t>HVNL</w:t>
                  </w:r>
                  <w:proofErr w:type="spellEnd"/>
                </w:p>
              </w:tc>
              <w:tc>
                <w:tcPr>
                  <w:tcW w:w="1384" w:type="pct"/>
                  <w:tcBorders>
                    <w:top w:val="single" w:sz="6" w:space="0" w:color="BFBFBF"/>
                  </w:tcBorders>
                </w:tcPr>
                <w:p w14:paraId="384F4330" w14:textId="77777777" w:rsidR="009A59DD" w:rsidRPr="001C1CCC" w:rsidRDefault="009A59DD" w:rsidP="00235E85">
                  <w:pPr>
                    <w:pStyle w:val="TableBodyText"/>
                  </w:pPr>
                  <w:r>
                    <w:noBreakHyphen/>
                    <w:t>20.53***</w:t>
                  </w:r>
                </w:p>
              </w:tc>
              <w:tc>
                <w:tcPr>
                  <w:tcW w:w="1384" w:type="pct"/>
                  <w:tcBorders>
                    <w:top w:val="single" w:sz="6" w:space="0" w:color="BFBFBF"/>
                  </w:tcBorders>
                </w:tcPr>
                <w:p w14:paraId="53D1492D" w14:textId="77777777" w:rsidR="009A59DD" w:rsidRPr="001C1CCC" w:rsidRDefault="009A59DD" w:rsidP="00235E85">
                  <w:pPr>
                    <w:pStyle w:val="TableBodyText"/>
                  </w:pPr>
                  <w:r>
                    <w:noBreakHyphen/>
                    <w:t>1.04</w:t>
                  </w:r>
                </w:p>
              </w:tc>
              <w:tc>
                <w:tcPr>
                  <w:tcW w:w="1384" w:type="pct"/>
                  <w:tcBorders>
                    <w:top w:val="single" w:sz="6" w:space="0" w:color="BFBFBF"/>
                  </w:tcBorders>
                </w:tcPr>
                <w:p w14:paraId="1EF11ACB" w14:textId="77777777" w:rsidR="009A59DD" w:rsidRPr="001C1CCC" w:rsidRDefault="009A59DD" w:rsidP="00235E85">
                  <w:pPr>
                    <w:pStyle w:val="TableBodyText"/>
                  </w:pPr>
                  <w:r>
                    <w:noBreakHyphen/>
                    <w:t>1.04</w:t>
                  </w:r>
                </w:p>
              </w:tc>
            </w:tr>
            <w:tr w:rsidR="009A59DD" w14:paraId="206DDCFE" w14:textId="77777777" w:rsidTr="00317D72">
              <w:tc>
                <w:tcPr>
                  <w:tcW w:w="847" w:type="pct"/>
                  <w:tcBorders>
                    <w:bottom w:val="single" w:sz="4" w:space="0" w:color="BFBFBF"/>
                  </w:tcBorders>
                </w:tcPr>
                <w:p w14:paraId="11B3AB10" w14:textId="77777777" w:rsidR="009A59DD" w:rsidRPr="001C1CCC" w:rsidRDefault="009A59DD" w:rsidP="00235E85">
                  <w:pPr>
                    <w:pStyle w:val="TableUnitsRow"/>
                    <w:jc w:val="left"/>
                  </w:pPr>
                  <w:r>
                    <w:t>Standard error</w:t>
                  </w:r>
                </w:p>
              </w:tc>
              <w:tc>
                <w:tcPr>
                  <w:tcW w:w="1384" w:type="pct"/>
                  <w:tcBorders>
                    <w:bottom w:val="single" w:sz="4" w:space="0" w:color="BFBFBF"/>
                  </w:tcBorders>
                </w:tcPr>
                <w:p w14:paraId="34B6470D" w14:textId="77777777" w:rsidR="009A59DD" w:rsidRPr="001C1CCC" w:rsidRDefault="009A59DD" w:rsidP="00235E85">
                  <w:pPr>
                    <w:pStyle w:val="TableBodyText"/>
                  </w:pPr>
                  <w:r>
                    <w:t>(6.57</w:t>
                  </w:r>
                  <w:r w:rsidRPr="001C1CCC">
                    <w:t>)</w:t>
                  </w:r>
                </w:p>
              </w:tc>
              <w:tc>
                <w:tcPr>
                  <w:tcW w:w="1384" w:type="pct"/>
                  <w:tcBorders>
                    <w:bottom w:val="single" w:sz="4" w:space="0" w:color="BFBFBF"/>
                  </w:tcBorders>
                </w:tcPr>
                <w:p w14:paraId="4FD08714" w14:textId="77777777" w:rsidR="009A59DD" w:rsidRPr="001C1CCC" w:rsidRDefault="009A59DD" w:rsidP="00235E85">
                  <w:pPr>
                    <w:pStyle w:val="TableBodyText"/>
                  </w:pPr>
                  <w:r w:rsidRPr="001C1CCC">
                    <w:t>(</w:t>
                  </w:r>
                  <w:r>
                    <w:t>10.67)</w:t>
                  </w:r>
                </w:p>
              </w:tc>
              <w:tc>
                <w:tcPr>
                  <w:tcW w:w="1384" w:type="pct"/>
                  <w:tcBorders>
                    <w:bottom w:val="single" w:sz="4" w:space="0" w:color="BFBFBF"/>
                  </w:tcBorders>
                </w:tcPr>
                <w:p w14:paraId="0DDADD70" w14:textId="77777777" w:rsidR="009A59DD" w:rsidRPr="001C1CCC" w:rsidRDefault="009A59DD" w:rsidP="00235E85">
                  <w:pPr>
                    <w:pStyle w:val="TableBodyText"/>
                  </w:pPr>
                  <w:r w:rsidRPr="001C1CCC">
                    <w:t>(</w:t>
                  </w:r>
                  <w:r>
                    <w:t>10.58)</w:t>
                  </w:r>
                </w:p>
              </w:tc>
            </w:tr>
            <w:tr w:rsidR="009A59DD" w14:paraId="1B597123" w14:textId="77777777" w:rsidTr="00317D72">
              <w:tc>
                <w:tcPr>
                  <w:tcW w:w="847" w:type="pct"/>
                  <w:tcBorders>
                    <w:top w:val="single" w:sz="4" w:space="0" w:color="BFBFBF"/>
                  </w:tcBorders>
                </w:tcPr>
                <w:p w14:paraId="31C3C4CE" w14:textId="5759B97F" w:rsidR="009A59DD" w:rsidRPr="001C1CCC" w:rsidRDefault="009A59DD" w:rsidP="00235E85">
                  <w:pPr>
                    <w:pStyle w:val="TableUnitsRow"/>
                    <w:jc w:val="left"/>
                  </w:pPr>
                  <w:r w:rsidRPr="001C1CCC">
                    <w:t>R</w:t>
                  </w:r>
                  <w:r w:rsidR="000F678D">
                    <w:noBreakHyphen/>
                  </w:r>
                  <w:r>
                    <w:t>s</w:t>
                  </w:r>
                  <w:r w:rsidRPr="001C1CCC">
                    <w:t>quared</w:t>
                  </w:r>
                </w:p>
              </w:tc>
              <w:tc>
                <w:tcPr>
                  <w:tcW w:w="1384" w:type="pct"/>
                  <w:tcBorders>
                    <w:top w:val="single" w:sz="4" w:space="0" w:color="BFBFBF"/>
                  </w:tcBorders>
                </w:tcPr>
                <w:p w14:paraId="3E61E615" w14:textId="77777777" w:rsidR="009A59DD" w:rsidRPr="001C1CCC" w:rsidRDefault="009A59DD" w:rsidP="00235E85">
                  <w:pPr>
                    <w:pStyle w:val="TableBodyText"/>
                  </w:pPr>
                  <w:r w:rsidRPr="001C1CCC">
                    <w:t>0.</w:t>
                  </w:r>
                  <w:r>
                    <w:t>86</w:t>
                  </w:r>
                </w:p>
              </w:tc>
              <w:tc>
                <w:tcPr>
                  <w:tcW w:w="1384" w:type="pct"/>
                  <w:tcBorders>
                    <w:top w:val="single" w:sz="4" w:space="0" w:color="BFBFBF"/>
                  </w:tcBorders>
                </w:tcPr>
                <w:p w14:paraId="4CC485E6" w14:textId="77777777" w:rsidR="009A59DD" w:rsidRPr="001C1CCC" w:rsidRDefault="009A59DD" w:rsidP="00235E85">
                  <w:pPr>
                    <w:pStyle w:val="TableBodyText"/>
                  </w:pPr>
                  <w:r w:rsidRPr="001C1CCC">
                    <w:t>0.</w:t>
                  </w:r>
                  <w:r>
                    <w:t>91</w:t>
                  </w:r>
                </w:p>
              </w:tc>
              <w:tc>
                <w:tcPr>
                  <w:tcW w:w="1384" w:type="pct"/>
                  <w:tcBorders>
                    <w:top w:val="single" w:sz="4" w:space="0" w:color="BFBFBF"/>
                  </w:tcBorders>
                </w:tcPr>
                <w:p w14:paraId="2A51B354" w14:textId="77777777" w:rsidR="009A59DD" w:rsidRPr="001C1CCC" w:rsidRDefault="009A59DD" w:rsidP="00235E85">
                  <w:pPr>
                    <w:pStyle w:val="TableBodyText"/>
                  </w:pPr>
                  <w:r w:rsidRPr="001C1CCC">
                    <w:t>0.</w:t>
                  </w:r>
                  <w:r>
                    <w:t>91</w:t>
                  </w:r>
                </w:p>
              </w:tc>
            </w:tr>
            <w:tr w:rsidR="009A59DD" w14:paraId="248B76E4" w14:textId="77777777" w:rsidTr="00235E85">
              <w:tc>
                <w:tcPr>
                  <w:tcW w:w="847" w:type="pct"/>
                  <w:tcBorders>
                    <w:bottom w:val="single" w:sz="6" w:space="0" w:color="BFBFBF"/>
                  </w:tcBorders>
                  <w:shd w:val="clear" w:color="auto" w:fill="auto"/>
                </w:tcPr>
                <w:p w14:paraId="51561A77" w14:textId="77777777" w:rsidR="009A59DD" w:rsidRPr="001C1CCC" w:rsidRDefault="009A59DD" w:rsidP="00235E85">
                  <w:pPr>
                    <w:pStyle w:val="TableUnitsRow"/>
                    <w:jc w:val="left"/>
                  </w:pPr>
                  <w:r>
                    <w:t>O</w:t>
                  </w:r>
                  <w:r w:rsidRPr="001C1CCC">
                    <w:t>bservations</w:t>
                  </w:r>
                </w:p>
              </w:tc>
              <w:tc>
                <w:tcPr>
                  <w:tcW w:w="1384" w:type="pct"/>
                  <w:tcBorders>
                    <w:bottom w:val="single" w:sz="6" w:space="0" w:color="BFBFBF"/>
                  </w:tcBorders>
                </w:tcPr>
                <w:p w14:paraId="6F421D65" w14:textId="77777777" w:rsidR="009A59DD" w:rsidRPr="001C1CCC" w:rsidRDefault="009A59DD" w:rsidP="00235E85">
                  <w:pPr>
                    <w:pStyle w:val="TableBodyText"/>
                  </w:pPr>
                  <w:r>
                    <w:t>400</w:t>
                  </w:r>
                </w:p>
              </w:tc>
              <w:tc>
                <w:tcPr>
                  <w:tcW w:w="1384" w:type="pct"/>
                  <w:tcBorders>
                    <w:bottom w:val="single" w:sz="6" w:space="0" w:color="BFBFBF"/>
                  </w:tcBorders>
                  <w:shd w:val="clear" w:color="auto" w:fill="auto"/>
                </w:tcPr>
                <w:p w14:paraId="566EA78C" w14:textId="77777777" w:rsidR="009A59DD" w:rsidRPr="001C1CCC" w:rsidRDefault="009A59DD" w:rsidP="00235E85">
                  <w:pPr>
                    <w:pStyle w:val="TableBodyText"/>
                  </w:pPr>
                  <w:r>
                    <w:t>400</w:t>
                  </w:r>
                </w:p>
              </w:tc>
              <w:tc>
                <w:tcPr>
                  <w:tcW w:w="1384" w:type="pct"/>
                  <w:tcBorders>
                    <w:bottom w:val="single" w:sz="6" w:space="0" w:color="BFBFBF"/>
                  </w:tcBorders>
                  <w:shd w:val="clear" w:color="auto" w:fill="auto"/>
                </w:tcPr>
                <w:p w14:paraId="6E1E8970" w14:textId="77777777" w:rsidR="009A59DD" w:rsidRPr="001C1CCC" w:rsidRDefault="009A59DD" w:rsidP="00235E85">
                  <w:pPr>
                    <w:pStyle w:val="TableBodyText"/>
                  </w:pPr>
                  <w:r>
                    <w:t>400</w:t>
                  </w:r>
                </w:p>
              </w:tc>
            </w:tr>
          </w:tbl>
          <w:p w14:paraId="155CBD35" w14:textId="77777777" w:rsidR="009A59DD" w:rsidRDefault="009A59DD" w:rsidP="00235E85">
            <w:pPr>
              <w:pStyle w:val="Box"/>
            </w:pPr>
          </w:p>
        </w:tc>
      </w:tr>
      <w:tr w:rsidR="009A59DD" w14:paraId="37F79B8F" w14:textId="77777777" w:rsidTr="00235E85">
        <w:trPr>
          <w:trHeight w:val="654"/>
        </w:trPr>
        <w:tc>
          <w:tcPr>
            <w:tcW w:w="5000" w:type="pct"/>
            <w:tcBorders>
              <w:top w:val="nil"/>
              <w:left w:val="nil"/>
              <w:bottom w:val="nil"/>
              <w:right w:val="nil"/>
            </w:tcBorders>
            <w:shd w:val="clear" w:color="auto" w:fill="auto"/>
          </w:tcPr>
          <w:p w14:paraId="4228F2CE" w14:textId="66C29F37" w:rsidR="009A59DD" w:rsidRDefault="009A59DD" w:rsidP="00235E85">
            <w:pPr>
              <w:pStyle w:val="Note"/>
              <w:rPr>
                <w:i/>
              </w:rPr>
            </w:pPr>
            <w:r w:rsidRPr="008E77FE">
              <w:rPr>
                <w:rStyle w:val="NoteLabel"/>
              </w:rPr>
              <w:t>a</w:t>
            </w:r>
            <w:r>
              <w:t xml:space="preserve"> </w:t>
            </w:r>
            <w:r w:rsidR="005A3A62" w:rsidRPr="0050188F">
              <w:t xml:space="preserve">Results using quarterly data from January 2008 to December 2017. The </w:t>
            </w:r>
            <w:proofErr w:type="spellStart"/>
            <w:r w:rsidR="005A3A62" w:rsidRPr="0050188F">
              <w:t>HVNL</w:t>
            </w:r>
            <w:proofErr w:type="spellEnd"/>
            <w:r w:rsidR="005A3A62" w:rsidRPr="0050188F">
              <w:t xml:space="preserve"> was assumed to apply for relevant jurisdictions from the first quarter of 2014.</w:t>
            </w:r>
            <w:r>
              <w:t xml:space="preserve"> </w:t>
            </w:r>
            <w:r w:rsidRPr="000E6B1D">
              <w:t xml:space="preserve">The dependent variable is the number of </w:t>
            </w:r>
            <w:r>
              <w:t>crashes</w:t>
            </w:r>
            <w:r w:rsidRPr="000E6B1D">
              <w:t xml:space="preserve"> (involving injury or death) per billion kilometres</w:t>
            </w:r>
            <w:r>
              <w:t xml:space="preserve"> for the respective vehicle type</w:t>
            </w:r>
            <w:r w:rsidRPr="000E6B1D">
              <w:t xml:space="preserve">. Standard errors </w:t>
            </w:r>
            <w:r>
              <w:t xml:space="preserve">have been </w:t>
            </w:r>
            <w:r w:rsidRPr="000E6B1D">
              <w:t xml:space="preserve">corrected for clustering at the </w:t>
            </w:r>
            <w:r w:rsidR="002663DA">
              <w:t xml:space="preserve">jurisdiction </w:t>
            </w:r>
            <w:r w:rsidRPr="000E6B1D">
              <w:t>level. *</w:t>
            </w:r>
            <w:r>
              <w:t xml:space="preserve"> </w:t>
            </w:r>
            <w:r w:rsidRPr="000E6B1D">
              <w:t>p&lt;0.10</w:t>
            </w:r>
            <w:r>
              <w:t>,</w:t>
            </w:r>
            <w:r w:rsidRPr="000E6B1D">
              <w:t xml:space="preserve"> **</w:t>
            </w:r>
            <w:r>
              <w:t> </w:t>
            </w:r>
            <w:r w:rsidRPr="000E6B1D">
              <w:t>p&lt;0.05</w:t>
            </w:r>
            <w:r>
              <w:t>,</w:t>
            </w:r>
            <w:r w:rsidRPr="000E6B1D">
              <w:t xml:space="preserve"> ***</w:t>
            </w:r>
            <w:r>
              <w:t xml:space="preserve"> </w:t>
            </w:r>
            <w:r w:rsidRPr="000E6B1D">
              <w:t>p&lt;0.01</w:t>
            </w:r>
            <w:r>
              <w:t xml:space="preserve">. </w:t>
            </w:r>
          </w:p>
        </w:tc>
      </w:tr>
      <w:tr w:rsidR="009A59DD" w14:paraId="6E4EB417" w14:textId="77777777" w:rsidTr="00235E85">
        <w:tc>
          <w:tcPr>
            <w:tcW w:w="5000" w:type="pct"/>
            <w:tcBorders>
              <w:top w:val="nil"/>
              <w:left w:val="nil"/>
              <w:bottom w:val="nil"/>
              <w:right w:val="nil"/>
            </w:tcBorders>
            <w:shd w:val="clear" w:color="auto" w:fill="auto"/>
          </w:tcPr>
          <w:p w14:paraId="311784CF" w14:textId="77777777" w:rsidR="009A59DD" w:rsidRDefault="009A59DD" w:rsidP="00235E85">
            <w:pPr>
              <w:pStyle w:val="Source"/>
            </w:pPr>
            <w:r>
              <w:rPr>
                <w:i/>
              </w:rPr>
              <w:t>S</w:t>
            </w:r>
            <w:r w:rsidRPr="00784A05">
              <w:rPr>
                <w:i/>
              </w:rPr>
              <w:t>ource</w:t>
            </w:r>
            <w:r w:rsidRPr="00176D3F">
              <w:t xml:space="preserve">: </w:t>
            </w:r>
            <w:r>
              <w:t>Commission estimates based on National Crash Database (</w:t>
            </w:r>
            <w:proofErr w:type="spellStart"/>
            <w:r>
              <w:t>BITRE</w:t>
            </w:r>
            <w:proofErr w:type="spellEnd"/>
            <w:r>
              <w:t>, unpublished).</w:t>
            </w:r>
          </w:p>
        </w:tc>
      </w:tr>
      <w:tr w:rsidR="009A59DD" w14:paraId="6263CCF4" w14:textId="77777777" w:rsidTr="00235E85">
        <w:tc>
          <w:tcPr>
            <w:tcW w:w="5000" w:type="pct"/>
            <w:tcBorders>
              <w:top w:val="nil"/>
              <w:left w:val="nil"/>
              <w:bottom w:val="single" w:sz="6" w:space="0" w:color="78A22F"/>
              <w:right w:val="nil"/>
            </w:tcBorders>
            <w:shd w:val="clear" w:color="auto" w:fill="auto"/>
          </w:tcPr>
          <w:p w14:paraId="5C5FCDB7" w14:textId="77777777" w:rsidR="009A59DD" w:rsidRDefault="009A59DD" w:rsidP="00235E85">
            <w:pPr>
              <w:pStyle w:val="Box"/>
              <w:spacing w:before="0" w:line="120" w:lineRule="exact"/>
            </w:pPr>
          </w:p>
        </w:tc>
      </w:tr>
      <w:tr w:rsidR="009A59DD" w:rsidRPr="000863A5" w14:paraId="78A2965B" w14:textId="77777777" w:rsidTr="00235E85">
        <w:tc>
          <w:tcPr>
            <w:tcW w:w="5000" w:type="pct"/>
            <w:tcBorders>
              <w:top w:val="single" w:sz="6" w:space="0" w:color="78A22F"/>
              <w:left w:val="nil"/>
              <w:bottom w:val="nil"/>
              <w:right w:val="nil"/>
            </w:tcBorders>
          </w:tcPr>
          <w:p w14:paraId="29BAA6ED" w14:textId="3CBAB202" w:rsidR="009A59DD" w:rsidRPr="00626D32" w:rsidRDefault="009A59DD" w:rsidP="00235E85">
            <w:pPr>
              <w:pStyle w:val="BoxSpaceBelow"/>
            </w:pPr>
          </w:p>
        </w:tc>
      </w:tr>
    </w:tbl>
    <w:p w14:paraId="542F4E6F" w14:textId="7D346D2B" w:rsidR="00E14017" w:rsidRDefault="00515C5F" w:rsidP="005D483A">
      <w:pPr>
        <w:pStyle w:val="Heading3"/>
      </w:pPr>
      <w:r>
        <w:t>Summing up</w:t>
      </w:r>
    </w:p>
    <w:p w14:paraId="03F8BBE3" w14:textId="62BB4067" w:rsidR="006E5B50" w:rsidRDefault="005D4391" w:rsidP="00B243AE">
      <w:pPr>
        <w:pStyle w:val="BodyText"/>
      </w:pPr>
      <w:r>
        <w:t>Overall</w:t>
      </w:r>
      <w:r w:rsidR="00B243AE">
        <w:t>, these results suggest that there is insufficient evidence to link the substantial improvements in heavy vehicle crash rates in the post</w:t>
      </w:r>
      <w:r w:rsidR="00B243AE">
        <w:noBreakHyphen/>
        <w:t xml:space="preserve">reform period to the </w:t>
      </w:r>
      <w:proofErr w:type="spellStart"/>
      <w:r w:rsidR="00B243AE">
        <w:t>HVNL</w:t>
      </w:r>
      <w:proofErr w:type="spellEnd"/>
      <w:r w:rsidR="00B243AE">
        <w:t xml:space="preserve">. Rather, it appears that </w:t>
      </w:r>
      <w:r>
        <w:t>the</w:t>
      </w:r>
      <w:r w:rsidR="00B243AE">
        <w:t xml:space="preserve"> decline is attributable </w:t>
      </w:r>
      <w:r>
        <w:t xml:space="preserve">to </w:t>
      </w:r>
      <w:r w:rsidR="00B243AE">
        <w:t>other factors</w:t>
      </w:r>
      <w:r w:rsidR="00B47A48">
        <w:t>, which could include</w:t>
      </w:r>
      <w:r w:rsidR="00B243AE">
        <w:t xml:space="preserve"> </w:t>
      </w:r>
      <w:r w:rsidR="00B243AE" w:rsidRPr="007724CC">
        <w:t>improvements in vehicle d</w:t>
      </w:r>
      <w:r w:rsidR="00B243AE">
        <w:t>esign and safety features.</w:t>
      </w:r>
      <w:r w:rsidR="00A110BF">
        <w:t xml:space="preserve"> </w:t>
      </w:r>
      <w:r w:rsidR="006E5B50">
        <w:t>While there a</w:t>
      </w:r>
      <w:r w:rsidR="00A110BF">
        <w:t>re</w:t>
      </w:r>
      <w:r w:rsidR="006E5B50">
        <w:t xml:space="preserve"> limitations associated with the use of each </w:t>
      </w:r>
      <w:r w:rsidR="00EB0D5E">
        <w:t>model</w:t>
      </w:r>
      <w:r w:rsidR="006E5B50">
        <w:t xml:space="preserve">, the fact that </w:t>
      </w:r>
      <w:r w:rsidR="00EE58CB">
        <w:t xml:space="preserve">a </w:t>
      </w:r>
      <w:r w:rsidR="00A110BF">
        <w:t xml:space="preserve">similar conclusion </w:t>
      </w:r>
      <w:r w:rsidR="00EB0D5E">
        <w:t xml:space="preserve">is reached </w:t>
      </w:r>
      <w:r w:rsidR="00A110BF">
        <w:t>when using two</w:t>
      </w:r>
      <w:r w:rsidR="006E5B50">
        <w:t xml:space="preserve"> alternative control groups</w:t>
      </w:r>
      <w:r w:rsidR="00EE58CB">
        <w:t>, and when examining different crash types,</w:t>
      </w:r>
      <w:r w:rsidR="004E7E37">
        <w:t xml:space="preserve"> </w:t>
      </w:r>
      <w:r w:rsidR="002F1F07">
        <w:t xml:space="preserve">supports </w:t>
      </w:r>
      <w:r w:rsidR="00A110BF">
        <w:t xml:space="preserve">this </w:t>
      </w:r>
      <w:r w:rsidR="00EE58CB">
        <w:t>finding.</w:t>
      </w:r>
    </w:p>
    <w:p w14:paraId="36389D6E" w14:textId="3AE14C22" w:rsidR="00B77BCD" w:rsidRPr="00374FFE" w:rsidRDefault="00B13123" w:rsidP="00B77BCD">
      <w:pPr>
        <w:pStyle w:val="Heading2"/>
      </w:pPr>
      <w:proofErr w:type="spellStart"/>
      <w:r>
        <w:t>B.</w:t>
      </w:r>
      <w:r w:rsidR="0050117B">
        <w:rPr>
          <w:noProof/>
        </w:rPr>
        <w:t>3</w:t>
      </w:r>
      <w:proofErr w:type="spellEnd"/>
      <w:r w:rsidR="00B77BCD" w:rsidRPr="00374FFE">
        <w:tab/>
        <w:t>Heavy vehicle productivity</w:t>
      </w:r>
    </w:p>
    <w:p w14:paraId="6A812DD8" w14:textId="774A33B9" w:rsidR="00A36321" w:rsidRDefault="001822F2" w:rsidP="006C3F21">
      <w:pPr>
        <w:pStyle w:val="BodyText"/>
      </w:pPr>
      <w:r w:rsidRPr="00031EE3">
        <w:t>The introduction of the</w:t>
      </w:r>
      <w:r w:rsidR="00246A07" w:rsidRPr="00031EE3">
        <w:t xml:space="preserve"> </w:t>
      </w:r>
      <w:proofErr w:type="spellStart"/>
      <w:r w:rsidR="00246A07" w:rsidRPr="00031EE3">
        <w:t>HVNL</w:t>
      </w:r>
      <w:proofErr w:type="spellEnd"/>
      <w:r w:rsidR="00FB7B31" w:rsidRPr="00031EE3">
        <w:t xml:space="preserve"> and </w:t>
      </w:r>
      <w:proofErr w:type="spellStart"/>
      <w:r w:rsidR="00FB7B31" w:rsidRPr="00031EE3">
        <w:t>NHVR</w:t>
      </w:r>
      <w:proofErr w:type="spellEnd"/>
      <w:r w:rsidRPr="00031EE3">
        <w:t xml:space="preserve"> </w:t>
      </w:r>
      <w:r w:rsidR="00FB7B31" w:rsidRPr="00031EE3">
        <w:t xml:space="preserve">were </w:t>
      </w:r>
      <w:r w:rsidR="00031EE3">
        <w:t>expected</w:t>
      </w:r>
      <w:r w:rsidRPr="00031EE3">
        <w:t xml:space="preserve"> to </w:t>
      </w:r>
      <w:r w:rsidR="00246A07" w:rsidRPr="00031EE3">
        <w:t>improve productivity by</w:t>
      </w:r>
      <w:r w:rsidR="00FB7B31" w:rsidRPr="00031EE3">
        <w:t xml:space="preserve"> </w:t>
      </w:r>
      <w:r w:rsidR="00246A07" w:rsidRPr="00031EE3">
        <w:t>promoting consistent and transparent decision making</w:t>
      </w:r>
      <w:r w:rsidR="0066303D" w:rsidRPr="00031EE3">
        <w:t xml:space="preserve"> relating to heavy vehicle mass limits and road network access</w:t>
      </w:r>
      <w:r w:rsidR="00246A07" w:rsidRPr="00031EE3">
        <w:t xml:space="preserve"> </w:t>
      </w:r>
      <w:r w:rsidR="00D10E0A" w:rsidRPr="00D10E0A">
        <w:rPr>
          <w:szCs w:val="24"/>
        </w:rPr>
        <w:t xml:space="preserve">(Chow, </w:t>
      </w:r>
      <w:proofErr w:type="spellStart"/>
      <w:r w:rsidR="00D10E0A" w:rsidRPr="00D10E0A">
        <w:rPr>
          <w:szCs w:val="24"/>
        </w:rPr>
        <w:t>Kleyer</w:t>
      </w:r>
      <w:proofErr w:type="spellEnd"/>
      <w:r w:rsidR="00D10E0A" w:rsidRPr="00D10E0A">
        <w:rPr>
          <w:szCs w:val="24"/>
        </w:rPr>
        <w:t xml:space="preserve"> and McLeod 2019, p. 13; CIE 2011, p. 14)</w:t>
      </w:r>
      <w:r w:rsidR="00FB7B31">
        <w:t xml:space="preserve">. </w:t>
      </w:r>
      <w:r w:rsidR="005B297E">
        <w:t xml:space="preserve">This was expected to encourage the use of larger vehicles and </w:t>
      </w:r>
      <w:r w:rsidR="0066303D">
        <w:t>reduce the costs of the freight task</w:t>
      </w:r>
      <w:r w:rsidR="001F5C6C">
        <w:t>.</w:t>
      </w:r>
      <w:r w:rsidR="001F5C6C" w:rsidRPr="0047100F" w:rsidDel="001F5C6C">
        <w:rPr>
          <w:rStyle w:val="FootnoteReference"/>
        </w:rPr>
        <w:t xml:space="preserve"> </w:t>
      </w:r>
    </w:p>
    <w:p w14:paraId="214DC0C7" w14:textId="1E16877B" w:rsidR="00593D33" w:rsidRDefault="00FC07AA" w:rsidP="00031EE3">
      <w:pPr>
        <w:pStyle w:val="BodyText"/>
      </w:pPr>
      <w:r>
        <w:t>H</w:t>
      </w:r>
      <w:r w:rsidR="00031EE3">
        <w:t xml:space="preserve">eavy vehicle operators </w:t>
      </w:r>
      <w:r w:rsidR="00A10170">
        <w:t>are</w:t>
      </w:r>
      <w:r w:rsidR="00031EE3">
        <w:t xml:space="preserve"> a</w:t>
      </w:r>
      <w:r w:rsidR="00235437">
        <w:t xml:space="preserve">llowed to </w:t>
      </w:r>
      <w:r w:rsidR="00A10170">
        <w:t>carry</w:t>
      </w:r>
      <w:r w:rsidR="00235437">
        <w:t xml:space="preserve"> loads above general mass limits</w:t>
      </w:r>
      <w:r w:rsidR="00593D33">
        <w:t xml:space="preserve"> </w:t>
      </w:r>
      <w:r>
        <w:t>th</w:t>
      </w:r>
      <w:r w:rsidR="00F50C93">
        <w:t xml:space="preserve">rough the mass management module of the </w:t>
      </w:r>
      <w:r w:rsidR="00392E9F">
        <w:t>National Heavy Vehicle Accreditation Scheme (</w:t>
      </w:r>
      <w:proofErr w:type="spellStart"/>
      <w:r w:rsidR="00986284">
        <w:t>NHVAS</w:t>
      </w:r>
      <w:proofErr w:type="spellEnd"/>
      <w:r w:rsidR="00392E9F">
        <w:t>) </w:t>
      </w:r>
      <w:r w:rsidR="00F50C93">
        <w:t xml:space="preserve">(which provides for </w:t>
      </w:r>
      <w:r>
        <w:t>Concessional Mass Limits (CML) and Higher Mass Limits (</w:t>
      </w:r>
      <w:proofErr w:type="spellStart"/>
      <w:r>
        <w:t>HML</w:t>
      </w:r>
      <w:proofErr w:type="spellEnd"/>
      <w:r>
        <w:t>)</w:t>
      </w:r>
      <w:r w:rsidR="00F50C93">
        <w:t>)</w:t>
      </w:r>
      <w:r>
        <w:t xml:space="preserve"> </w:t>
      </w:r>
      <w:r w:rsidR="00E14CF5">
        <w:t xml:space="preserve">and larger vehicle designs through </w:t>
      </w:r>
      <w:r w:rsidR="00F50C93">
        <w:t xml:space="preserve">the </w:t>
      </w:r>
      <w:r w:rsidR="00E14CF5">
        <w:t>Performance</w:t>
      </w:r>
      <w:r w:rsidR="00DE65A3">
        <w:noBreakHyphen/>
      </w:r>
      <w:r w:rsidR="00E14CF5">
        <w:t>Based Standards</w:t>
      </w:r>
      <w:r w:rsidR="007D37C8">
        <w:t xml:space="preserve"> (PBS)</w:t>
      </w:r>
      <w:r w:rsidR="00E14CF5">
        <w:t xml:space="preserve"> scheme</w:t>
      </w:r>
      <w:r>
        <w:t xml:space="preserve"> </w:t>
      </w:r>
      <w:r w:rsidR="00E14CF5">
        <w:t>(chapter</w:t>
      </w:r>
      <w:r w:rsidR="00DE65A3">
        <w:t> </w:t>
      </w:r>
      <w:r w:rsidR="00E14CF5">
        <w:t xml:space="preserve">6). </w:t>
      </w:r>
      <w:r w:rsidR="002B3A49">
        <w:t>While the</w:t>
      </w:r>
      <w:r w:rsidR="00E14CF5">
        <w:t xml:space="preserve">se </w:t>
      </w:r>
      <w:r w:rsidR="002B3A49">
        <w:t>schemes</w:t>
      </w:r>
      <w:r w:rsidR="00593D33">
        <w:t xml:space="preserve"> existed before </w:t>
      </w:r>
      <w:r w:rsidR="00E13D2F">
        <w:t xml:space="preserve">the </w:t>
      </w:r>
      <w:r w:rsidR="002B3A49">
        <w:t xml:space="preserve">national </w:t>
      </w:r>
      <w:r w:rsidR="00E13D2F">
        <w:t>reforms</w:t>
      </w:r>
      <w:r w:rsidR="00593D33">
        <w:t xml:space="preserve">, </w:t>
      </w:r>
      <w:r w:rsidR="00F50C93">
        <w:t>g</w:t>
      </w:r>
      <w:r w:rsidR="003E0D16">
        <w:t xml:space="preserve">reater consistency in administration </w:t>
      </w:r>
      <w:r w:rsidR="00F50C93">
        <w:t xml:space="preserve">by the </w:t>
      </w:r>
      <w:proofErr w:type="spellStart"/>
      <w:r w:rsidR="00F50C93">
        <w:t>NHVR</w:t>
      </w:r>
      <w:proofErr w:type="spellEnd"/>
      <w:r w:rsidR="00F50C93">
        <w:t xml:space="preserve"> </w:t>
      </w:r>
      <w:r w:rsidR="00E14CF5">
        <w:t xml:space="preserve">was expected to </w:t>
      </w:r>
      <w:r w:rsidR="003E0D16">
        <w:t>promote uptake.</w:t>
      </w:r>
    </w:p>
    <w:p w14:paraId="583FE91F" w14:textId="50D1F742" w:rsidR="00D144F0" w:rsidRDefault="00BC0560" w:rsidP="00EA18DE">
      <w:pPr>
        <w:pStyle w:val="BodyText"/>
        <w:keepNext/>
      </w:pPr>
      <w:r>
        <w:lastRenderedPageBreak/>
        <w:t xml:space="preserve">Although </w:t>
      </w:r>
      <w:r w:rsidR="00BE6722">
        <w:t>S</w:t>
      </w:r>
      <w:r>
        <w:t>tate and</w:t>
      </w:r>
      <w:r w:rsidR="00BE6722">
        <w:t xml:space="preserve"> Territory and</w:t>
      </w:r>
      <w:r>
        <w:t xml:space="preserve"> local governments hold ultimate responsibility for </w:t>
      </w:r>
      <w:r w:rsidR="000E00BC">
        <w:t xml:space="preserve">heavy vehicle </w:t>
      </w:r>
      <w:r>
        <w:t xml:space="preserve">access, </w:t>
      </w:r>
      <w:proofErr w:type="spellStart"/>
      <w:r w:rsidR="00D144F0">
        <w:t>NHVR</w:t>
      </w:r>
      <w:proofErr w:type="spellEnd"/>
      <w:r w:rsidR="00D144F0">
        <w:t xml:space="preserve"> has helped facilitate:</w:t>
      </w:r>
    </w:p>
    <w:p w14:paraId="114C2B10" w14:textId="1C9A83C4" w:rsidR="00D144F0" w:rsidRDefault="00D97B79" w:rsidP="00F266D5">
      <w:pPr>
        <w:pStyle w:val="ListBullet"/>
      </w:pPr>
      <w:r>
        <w:t xml:space="preserve">access </w:t>
      </w:r>
      <w:r w:rsidR="004811CE">
        <w:t>permit applications and assessments</w:t>
      </w:r>
    </w:p>
    <w:p w14:paraId="64373099" w14:textId="6EBDBFA1" w:rsidR="00D144F0" w:rsidRDefault="004811CE" w:rsidP="00F266D5">
      <w:pPr>
        <w:pStyle w:val="ListBullet"/>
      </w:pPr>
      <w:r>
        <w:t>the pre</w:t>
      </w:r>
      <w:r w:rsidR="00DE65A3">
        <w:noBreakHyphen/>
      </w:r>
      <w:r>
        <w:t xml:space="preserve">approval of permit routes </w:t>
      </w:r>
    </w:p>
    <w:p w14:paraId="2496A7F8" w14:textId="77777777" w:rsidR="009B6B9F" w:rsidRDefault="004811CE" w:rsidP="009B6B9F">
      <w:pPr>
        <w:pStyle w:val="ListBullet"/>
      </w:pPr>
      <w:r>
        <w:t xml:space="preserve">gazetting of road networks through notices </w:t>
      </w:r>
      <w:r w:rsidR="00FC07AA">
        <w:t>(chapter</w:t>
      </w:r>
      <w:r w:rsidR="00DE65A3">
        <w:t> </w:t>
      </w:r>
      <w:r w:rsidR="00FC07AA">
        <w:t>6)</w:t>
      </w:r>
      <w:r w:rsidR="00235437">
        <w:t>.</w:t>
      </w:r>
    </w:p>
    <w:p w14:paraId="6F38C4FD" w14:textId="77C97515" w:rsidR="009B6B9F" w:rsidRDefault="009B6B9F" w:rsidP="00176AD1">
      <w:pPr>
        <w:pStyle w:val="BodyText"/>
      </w:pPr>
      <w:r>
        <w:t>The reforms were also expected to improve productivity through reduced compliance and administration costs. These are discussed separately in chapter</w:t>
      </w:r>
      <w:r w:rsidR="000F678D">
        <w:t> </w:t>
      </w:r>
      <w:r>
        <w:t>6.</w:t>
      </w:r>
    </w:p>
    <w:p w14:paraId="261A5381" w14:textId="76A58F59" w:rsidR="00EE540F" w:rsidRDefault="00EE540F" w:rsidP="00EE540F">
      <w:pPr>
        <w:pStyle w:val="Heading3"/>
      </w:pPr>
      <w:r>
        <w:t>Conceptual framework</w:t>
      </w:r>
    </w:p>
    <w:p w14:paraId="1A1D94CD" w14:textId="4FA9CC5B" w:rsidR="00CA5C7B" w:rsidRDefault="00084B40" w:rsidP="00EE540F">
      <w:pPr>
        <w:pStyle w:val="BodyText"/>
      </w:pPr>
      <w:r>
        <w:t xml:space="preserve">Different productivity measures </w:t>
      </w:r>
      <w:r w:rsidR="006678F5">
        <w:t>can</w:t>
      </w:r>
      <w:r>
        <w:t xml:space="preserve"> be useful for different analytical purposes</w:t>
      </w:r>
      <w:r w:rsidR="003E5043">
        <w:t>.</w:t>
      </w:r>
      <w:r w:rsidR="00FE6E83">
        <w:t xml:space="preserve"> One common measure of productivity is the</w:t>
      </w:r>
      <w:r w:rsidR="005717F3">
        <w:t xml:space="preserve"> ratio of output</w:t>
      </w:r>
      <w:r w:rsidR="00D243E4">
        <w:t>s</w:t>
      </w:r>
      <w:r w:rsidR="005717F3">
        <w:t xml:space="preserve"> to inputs. It captures how efficiently inputs (such as labour and capital) are used to produce a given volume of output.</w:t>
      </w:r>
      <w:r w:rsidR="002E7AD2">
        <w:t xml:space="preserve"> However, this concept is not particularly useful in assessing the productivity agenda for reform in the national heavy vehicle sector. Cost efficiency</w:t>
      </w:r>
      <w:r w:rsidR="00FE6E83">
        <w:t>, the ratio of costs to output,</w:t>
      </w:r>
      <w:r w:rsidR="002E7AD2">
        <w:t xml:space="preserve"> is a more appropriate </w:t>
      </w:r>
      <w:r w:rsidR="00033455">
        <w:t>measure as it is able to</w:t>
      </w:r>
      <w:r w:rsidR="00B05B43">
        <w:t xml:space="preserve"> </w:t>
      </w:r>
      <w:r w:rsidR="00033455">
        <w:t xml:space="preserve">summarise overall </w:t>
      </w:r>
      <w:r w:rsidR="00B05B43">
        <w:t>productivity when there are many inputs and factors to consider</w:t>
      </w:r>
      <w:r>
        <w:t xml:space="preserve">. </w:t>
      </w:r>
    </w:p>
    <w:p w14:paraId="7F15604E" w14:textId="2CFBB331" w:rsidR="00EE540F" w:rsidRDefault="00CA5C7B" w:rsidP="00EE540F">
      <w:pPr>
        <w:pStyle w:val="BodyText"/>
      </w:pPr>
      <w:r>
        <w:t>A</w:t>
      </w:r>
      <w:r w:rsidR="00E13D2F" w:rsidDel="000527E6">
        <w:t xml:space="preserve"> </w:t>
      </w:r>
      <w:r w:rsidR="00E13D2F">
        <w:t xml:space="preserve">measure of </w:t>
      </w:r>
      <w:r w:rsidR="00EE540F">
        <w:t xml:space="preserve">heavy vehicle productivity </w:t>
      </w:r>
      <w:r w:rsidR="006A7392">
        <w:t>i</w:t>
      </w:r>
      <w:r w:rsidR="00EE540F">
        <w:t xml:space="preserve">s the cost </w:t>
      </w:r>
      <w:r w:rsidR="00354C08">
        <w:t xml:space="preserve">efficiency </w:t>
      </w:r>
      <w:r w:rsidR="00EE540F">
        <w:t xml:space="preserve">of </w:t>
      </w:r>
      <w:r w:rsidR="000527E6">
        <w:t>freight movements</w:t>
      </w:r>
      <w:r w:rsidR="00764084">
        <w:t xml:space="preserve"> </w:t>
      </w:r>
      <w:r w:rsidR="000A3C5C">
        <w:t xml:space="preserve">— that is, how cost efficiently a given amount </w:t>
      </w:r>
      <w:r w:rsidR="00E05122">
        <w:t xml:space="preserve">and composition </w:t>
      </w:r>
      <w:r w:rsidR="000A3C5C">
        <w:t xml:space="preserve">of freight </w:t>
      </w:r>
      <w:r w:rsidR="002D6AC8">
        <w:t xml:space="preserve">can </w:t>
      </w:r>
      <w:r w:rsidR="000A3C5C">
        <w:t xml:space="preserve">be delivered </w:t>
      </w:r>
      <w:r w:rsidR="00EE540F">
        <w:t>(b</w:t>
      </w:r>
      <w:r w:rsidR="00E205D3">
        <w:t>ox</w:t>
      </w:r>
      <w:r w:rsidR="000527E6">
        <w:t> </w:t>
      </w:r>
      <w:proofErr w:type="spellStart"/>
      <w:r w:rsidR="00E205D3">
        <w:t>B.2</w:t>
      </w:r>
      <w:proofErr w:type="spellEnd"/>
      <w:r w:rsidR="00EE540F">
        <w:t>). The</w:t>
      </w:r>
      <w:r w:rsidR="00044709">
        <w:t xml:space="preserve"> main</w:t>
      </w:r>
      <w:r w:rsidR="00EE540F">
        <w:t xml:space="preserve"> costs </w:t>
      </w:r>
      <w:r w:rsidR="00044709">
        <w:t xml:space="preserve">considered </w:t>
      </w:r>
      <w:r w:rsidR="00764084">
        <w:t xml:space="preserve">in </w:t>
      </w:r>
      <w:r w:rsidR="005255B7">
        <w:t xml:space="preserve">box </w:t>
      </w:r>
      <w:proofErr w:type="spellStart"/>
      <w:r w:rsidR="005255B7">
        <w:t>B.2</w:t>
      </w:r>
      <w:proofErr w:type="spellEnd"/>
      <w:r w:rsidR="00764084">
        <w:t xml:space="preserve"> </w:t>
      </w:r>
      <w:r w:rsidR="000E6B6C">
        <w:t>are</w:t>
      </w:r>
      <w:r w:rsidR="00EE540F">
        <w:t>:</w:t>
      </w:r>
    </w:p>
    <w:p w14:paraId="721C9F5F" w14:textId="5F2D5543" w:rsidR="00EE540F" w:rsidRDefault="00EE540F" w:rsidP="00EE540F">
      <w:pPr>
        <w:pStyle w:val="ListBullet"/>
      </w:pPr>
      <w:r>
        <w:t xml:space="preserve">operating costs for heavy vehicle operators (including prices of fuel, tyres, repairs and maintenance and depreciation </w:t>
      </w:r>
      <w:r w:rsidR="00D10E0A" w:rsidRPr="00D10E0A">
        <w:rPr>
          <w:szCs w:val="24"/>
        </w:rPr>
        <w:t>(</w:t>
      </w:r>
      <w:proofErr w:type="spellStart"/>
      <w:r w:rsidR="00D10E0A" w:rsidRPr="00D10E0A">
        <w:rPr>
          <w:szCs w:val="24"/>
        </w:rPr>
        <w:t>ATAPGSC</w:t>
      </w:r>
      <w:proofErr w:type="spellEnd"/>
      <w:r w:rsidR="00D10E0A" w:rsidRPr="00D10E0A">
        <w:rPr>
          <w:szCs w:val="24"/>
        </w:rPr>
        <w:t> 2016, p. 7)</w:t>
      </w:r>
      <w:r>
        <w:t>)</w:t>
      </w:r>
    </w:p>
    <w:p w14:paraId="4F1AF646" w14:textId="77777777" w:rsidR="00EE540F" w:rsidRDefault="00EE540F" w:rsidP="00EE540F">
      <w:pPr>
        <w:pStyle w:val="ListBullet"/>
      </w:pPr>
      <w:r>
        <w:t>infrastructure costs that road managers face (including maintenance and investment in roads, bridges and other road infrastructure).</w:t>
      </w:r>
    </w:p>
    <w:p w14:paraId="0D0B3A41" w14:textId="0740537A" w:rsidR="000E31C1" w:rsidRDefault="00775B3A" w:rsidP="00F266D5">
      <w:pPr>
        <w:pStyle w:val="BodyText"/>
      </w:pPr>
      <w:r>
        <w:t>A c</w:t>
      </w:r>
      <w:r w:rsidR="007C78AE">
        <w:t xml:space="preserve">ost </w:t>
      </w:r>
      <w:r w:rsidR="006A7392">
        <w:t>efficiency</w:t>
      </w:r>
      <w:r w:rsidR="007C78AE">
        <w:t xml:space="preserve"> </w:t>
      </w:r>
      <w:r>
        <w:t xml:space="preserve">measure </w:t>
      </w:r>
      <w:r w:rsidR="007C78AE">
        <w:t>can</w:t>
      </w:r>
      <w:r w:rsidR="007C78AE" w:rsidDel="006A7392">
        <w:t xml:space="preserve"> </w:t>
      </w:r>
      <w:r w:rsidR="007C78AE">
        <w:t xml:space="preserve">accommodate the effects of improvements in heavy vehicle access. Access improvements would </w:t>
      </w:r>
      <w:r w:rsidR="00896305">
        <w:t>reduce kilometres travelled and</w:t>
      </w:r>
      <w:r w:rsidR="001F5C6C">
        <w:t xml:space="preserve"> travel time,</w:t>
      </w:r>
      <w:r w:rsidR="00896305">
        <w:t xml:space="preserve"> hence </w:t>
      </w:r>
      <w:r w:rsidR="007C78AE">
        <w:t>increas</w:t>
      </w:r>
      <w:r w:rsidR="00017E97">
        <w:t>ing</w:t>
      </w:r>
      <w:r w:rsidR="007C78AE">
        <w:t xml:space="preserve"> productivity on a cost </w:t>
      </w:r>
      <w:r w:rsidR="002275B7">
        <w:t>efficiency</w:t>
      </w:r>
      <w:r w:rsidR="000F2754">
        <w:t xml:space="preserve"> </w:t>
      </w:r>
      <w:r w:rsidR="007C78AE">
        <w:t xml:space="preserve">measure, but could appear as a reduction on </w:t>
      </w:r>
      <w:r w:rsidR="00907DDA">
        <w:t>partial</w:t>
      </w:r>
      <w:r w:rsidR="00907DDA" w:rsidDel="00AD12C0">
        <w:t xml:space="preserve"> </w:t>
      </w:r>
      <w:r w:rsidR="00AD12C0">
        <w:t xml:space="preserve">performance </w:t>
      </w:r>
      <w:r w:rsidR="00B7125E">
        <w:t>indicators</w:t>
      </w:r>
      <w:r w:rsidR="007C78AE">
        <w:t xml:space="preserve"> </w:t>
      </w:r>
      <w:r w:rsidR="00907DDA">
        <w:t>(described below)</w:t>
      </w:r>
      <w:r w:rsidR="007C78AE">
        <w:t xml:space="preserve">. This framework also recognises that decisions to allow a particular type of vehicle to access a road should consider the costs (including increased infrastructure costs) and the benefits (including lower operating costs for heavy vehicle operators). </w:t>
      </w:r>
    </w:p>
    <w:p w14:paraId="18861A1C" w14:textId="069D8F9B" w:rsidR="008D1309" w:rsidRDefault="008D1309" w:rsidP="008D1309">
      <w:pPr>
        <w:pStyle w:val="BodyText"/>
      </w:pPr>
      <w:r>
        <w:t>This cost efficiency framework can be extended to include other types of costs such as a</w:t>
      </w:r>
      <w:r w:rsidR="002B0D46">
        <w:t>ccident costs and</w:t>
      </w:r>
      <w:r>
        <w:t xml:space="preserve"> environmental externalities. It can also be applied to other transport modes</w:t>
      </w:r>
      <w:r w:rsidR="0077634A">
        <w:t>.</w:t>
      </w:r>
      <w:r>
        <w:t xml:space="preserve"> The framework can be </w:t>
      </w:r>
      <w:r w:rsidR="00AD12C0">
        <w:t xml:space="preserve">further </w:t>
      </w:r>
      <w:r>
        <w:t xml:space="preserve">extended by </w:t>
      </w:r>
      <w:r w:rsidR="0078032C">
        <w:t xml:space="preserve">considering the impact of </w:t>
      </w:r>
      <w:r w:rsidR="00D47DC4">
        <w:t xml:space="preserve">the costs of freight transport services </w:t>
      </w:r>
      <w:r w:rsidR="0078032C">
        <w:t>on other</w:t>
      </w:r>
      <w:r>
        <w:t xml:space="preserve"> industries and </w:t>
      </w:r>
      <w:r w:rsidR="0078032C">
        <w:t>to the quantity of freight demanded.</w:t>
      </w:r>
      <w:r>
        <w:t xml:space="preserve"> This extension would enable analysis of economy</w:t>
      </w:r>
      <w:r w:rsidR="000F678D">
        <w:noBreakHyphen/>
      </w:r>
      <w:r>
        <w:t xml:space="preserve">wide effects, such as </w:t>
      </w:r>
      <w:r w:rsidR="003E5043">
        <w:t xml:space="preserve">analyses </w:t>
      </w:r>
      <w:r>
        <w:t xml:space="preserve">through computable general equilibrium models (box </w:t>
      </w:r>
      <w:proofErr w:type="spellStart"/>
      <w:r>
        <w:t>B.3</w:t>
      </w:r>
      <w:proofErr w:type="spellEnd"/>
      <w:r>
        <w:t xml:space="preserve">). </w:t>
      </w:r>
    </w:p>
    <w:p w14:paraId="3475FED4" w14:textId="639FB15F" w:rsidR="008D1309" w:rsidRDefault="0000420F" w:rsidP="00F266D5">
      <w:pPr>
        <w:pStyle w:val="BodyText"/>
      </w:pPr>
      <w:r>
        <w:lastRenderedPageBreak/>
        <w:t>Although</w:t>
      </w:r>
      <w:r w:rsidR="008D1309">
        <w:t xml:space="preserve"> this framework examines cost efficiency from the perspective of a whole road network, often infrastructure managers make decisions about specific road transport projects. Cost–benefit analysis guidelines for infrastructure managers consider similar factors (</w:t>
      </w:r>
      <w:r w:rsidR="002B0D46">
        <w:t xml:space="preserve">such as </w:t>
      </w:r>
      <w:r w:rsidR="008D1309">
        <w:t xml:space="preserve">vehicle operating costs and infrastructure costs) </w:t>
      </w:r>
      <w:r w:rsidR="008D1309" w:rsidDel="001F6885">
        <w:t xml:space="preserve">in making </w:t>
      </w:r>
      <w:r w:rsidR="008D1309">
        <w:t xml:space="preserve">these decisions (box </w:t>
      </w:r>
      <w:proofErr w:type="spellStart"/>
      <w:r w:rsidR="008D1309">
        <w:t>B.4</w:t>
      </w:r>
      <w:proofErr w:type="spellEnd"/>
      <w:r w:rsidR="008D1309">
        <w:t xml:space="preserve">). </w:t>
      </w:r>
    </w:p>
    <w:p w14:paraId="4CC403E2" w14:textId="79FDD1CC" w:rsidR="00EE540F" w:rsidRDefault="00EE540F" w:rsidP="00EE540F">
      <w:pPr>
        <w:pStyle w:val="BoxSpaceAbove"/>
      </w:pPr>
    </w:p>
    <w:tbl>
      <w:tblPr>
        <w:tblW w:w="5000" w:type="pct"/>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EE540F" w14:paraId="25C3CA74" w14:textId="77777777" w:rsidTr="00F2538E">
        <w:trPr>
          <w:tblHeader/>
        </w:trPr>
        <w:tc>
          <w:tcPr>
            <w:tcW w:w="5000" w:type="pct"/>
            <w:tcBorders>
              <w:top w:val="single" w:sz="6" w:space="0" w:color="78A22F"/>
              <w:left w:val="nil"/>
              <w:bottom w:val="nil"/>
              <w:right w:val="nil"/>
            </w:tcBorders>
            <w:shd w:val="clear" w:color="auto" w:fill="F2F2F2"/>
          </w:tcPr>
          <w:p w14:paraId="16D5DE74" w14:textId="52229F95" w:rsidR="00EE540F" w:rsidRDefault="00EE540F" w:rsidP="0061338F">
            <w:pPr>
              <w:pStyle w:val="BoxTitle"/>
            </w:pPr>
            <w:r>
              <w:rPr>
                <w:b w:val="0"/>
              </w:rPr>
              <w:t xml:space="preserve">Box </w:t>
            </w:r>
            <w:proofErr w:type="spellStart"/>
            <w:r w:rsidR="002D2E00">
              <w:rPr>
                <w:b w:val="0"/>
              </w:rPr>
              <w:t>B.</w:t>
            </w:r>
            <w:r w:rsidR="0050117B">
              <w:rPr>
                <w:b w:val="0"/>
                <w:noProof/>
              </w:rPr>
              <w:t>2</w:t>
            </w:r>
            <w:proofErr w:type="spellEnd"/>
            <w:r>
              <w:tab/>
            </w:r>
            <w:r w:rsidR="00D243E4">
              <w:t>Road transport</w:t>
            </w:r>
            <w:r>
              <w:t xml:space="preserve"> cost </w:t>
            </w:r>
            <w:r w:rsidR="0061338F">
              <w:t xml:space="preserve">efficiency </w:t>
            </w:r>
            <w:r>
              <w:t>and productivity</w:t>
            </w:r>
          </w:p>
        </w:tc>
      </w:tr>
      <w:tr w:rsidR="00EE540F" w14:paraId="0FB52952" w14:textId="77777777" w:rsidTr="00F2538E">
        <w:tc>
          <w:tcPr>
            <w:tcW w:w="5000" w:type="pct"/>
            <w:tcBorders>
              <w:top w:val="nil"/>
              <w:left w:val="nil"/>
              <w:bottom w:val="nil"/>
              <w:right w:val="nil"/>
            </w:tcBorders>
            <w:shd w:val="clear" w:color="auto" w:fill="F2F2F2"/>
          </w:tcPr>
          <w:p w14:paraId="1430642F" w14:textId="67496F7E" w:rsidR="005D7137" w:rsidRDefault="00E71B9D" w:rsidP="00B13864">
            <w:pPr>
              <w:pStyle w:val="Box"/>
            </w:pPr>
            <w:r>
              <w:t>Improving heavy vehicle productivity</w:t>
            </w:r>
            <w:r w:rsidR="005D7137">
              <w:t xml:space="preserve"> </w:t>
            </w:r>
            <w:r w:rsidR="00D37EB9">
              <w:t xml:space="preserve">across the road transport network </w:t>
            </w:r>
            <w:r>
              <w:t xml:space="preserve">can be conceived </w:t>
            </w:r>
            <w:r w:rsidR="00D37EB9">
              <w:t xml:space="preserve">of </w:t>
            </w:r>
            <w:r>
              <w:t xml:space="preserve">as a cost minimisation problem. </w:t>
            </w:r>
            <w:r w:rsidR="000A2941">
              <w:t xml:space="preserve">This assumes </w:t>
            </w:r>
            <w:r w:rsidR="0063035F">
              <w:t xml:space="preserve">the </w:t>
            </w:r>
            <w:r w:rsidR="0078032C">
              <w:t xml:space="preserve">volume </w:t>
            </w:r>
            <w:r w:rsidR="0063035F">
              <w:t xml:space="preserve">of freight to be transported between origins and destinations is </w:t>
            </w:r>
            <w:r w:rsidR="00B05B43">
              <w:t>given</w:t>
            </w:r>
            <w:r w:rsidR="004920DB">
              <w:t xml:space="preserve"> (that is, independent of the cost of transport)</w:t>
            </w:r>
            <w:r w:rsidR="000A2941">
              <w:t>.</w:t>
            </w:r>
            <w:r w:rsidR="0063035F">
              <w:t xml:space="preserve"> </w:t>
            </w:r>
          </w:p>
          <w:p w14:paraId="05041225" w14:textId="0B940DC7" w:rsidR="00EE540F" w:rsidRDefault="005D7137" w:rsidP="00B13864">
            <w:pPr>
              <w:pStyle w:val="Box"/>
            </w:pPr>
            <w:r>
              <w:t>T</w:t>
            </w:r>
            <w:r w:rsidR="00FD1696">
              <w:t>otal cost</w:t>
            </w:r>
            <w:r w:rsidR="00E05122">
              <w:t>s associated with freight movements</w:t>
            </w:r>
            <w:r w:rsidR="00FD1696">
              <w:t xml:space="preserve"> can be expressed in terms of the cost of the tonne </w:t>
            </w:r>
            <w:r w:rsidR="00EE540F" w:rsidRPr="002F3A2F" w:rsidDel="00D37EB9">
              <w:t xml:space="preserve">kilometres </w:t>
            </w:r>
            <w:r w:rsidR="00EE540F">
              <w:t>(</w:t>
            </w:r>
            <m:oMath>
              <m:r>
                <w:rPr>
                  <w:rFonts w:ascii="Cambria Math" w:hAnsi="Cambria Math"/>
                </w:rPr>
                <m:t>TKM</m:t>
              </m:r>
            </m:oMath>
            <w:r w:rsidR="00EE540F">
              <w:t>)</w:t>
            </w:r>
            <w:r>
              <w:t>,</w:t>
            </w:r>
            <w:r w:rsidR="00EE540F">
              <w:t xml:space="preserve"> </w:t>
            </w:r>
            <w:r>
              <w:t xml:space="preserve">which </w:t>
            </w:r>
            <w:r w:rsidR="00EE540F">
              <w:t>is the sum of the tonnes (</w:t>
            </w:r>
            <m:oMath>
              <m:r>
                <w:rPr>
                  <w:rFonts w:ascii="Cambria Math" w:hAnsi="Cambria Math"/>
                </w:rPr>
                <m:t>t</m:t>
              </m:r>
            </m:oMath>
            <w:r w:rsidR="00EE540F">
              <w:t xml:space="preserve">) carried by each </w:t>
            </w:r>
            <w:r w:rsidR="00EE540F" w:rsidRPr="00DE65A3">
              <w:t>vehicle movement</w:t>
            </w:r>
            <w:r w:rsidR="00EE540F">
              <w:t xml:space="preserve"> (</w:t>
            </w:r>
            <m:oMath>
              <m:r>
                <w:rPr>
                  <w:rFonts w:ascii="Cambria Math" w:hAnsi="Cambria Math"/>
                </w:rPr>
                <m:t>i</m:t>
              </m:r>
            </m:oMath>
            <w:r w:rsidR="00EE540F">
              <w:t>) of each vehicle type (</w:t>
            </w:r>
            <m:oMath>
              <m:r>
                <w:rPr>
                  <w:rFonts w:ascii="Cambria Math" w:hAnsi="Cambria Math"/>
                </w:rPr>
                <m:t>j</m:t>
              </m:r>
            </m:oMath>
            <w:r w:rsidR="00EE540F">
              <w:t xml:space="preserve">) on each </w:t>
            </w:r>
            <w:r w:rsidR="00B13205">
              <w:t xml:space="preserve">route </w:t>
            </w:r>
            <w:r w:rsidR="00EE540F">
              <w:t>(</w:t>
            </w:r>
            <m:oMath>
              <m:r>
                <w:rPr>
                  <w:rFonts w:ascii="Cambria Math" w:hAnsi="Cambria Math"/>
                </w:rPr>
                <m:t>k</m:t>
              </m:r>
            </m:oMath>
            <w:r w:rsidR="00EE540F">
              <w:t>), multiplied by the length (</w:t>
            </w:r>
            <m:oMath>
              <m:r>
                <w:rPr>
                  <w:rFonts w:ascii="Cambria Math" w:hAnsi="Cambria Math"/>
                </w:rPr>
                <m:t>km</m:t>
              </m:r>
            </m:oMath>
            <w:r w:rsidR="00EE540F">
              <w:t xml:space="preserve">) of those </w:t>
            </w:r>
            <w:r w:rsidR="00B13205">
              <w:t>routes</w:t>
            </w:r>
            <w:r w:rsidR="00EE540F">
              <w:t>.</w:t>
            </w:r>
            <w:r w:rsidR="00B13205">
              <w:t xml:space="preserve"> </w:t>
            </w:r>
            <w:r w:rsidR="00EE540F">
              <w:t>Suppose each vehicl</w:t>
            </w:r>
            <w:r w:rsidR="005375FD">
              <w:t xml:space="preserve">e type has an </w:t>
            </w:r>
            <w:r w:rsidR="00EE540F">
              <w:t xml:space="preserve">operating </w:t>
            </w:r>
            <w:r w:rsidR="00EE540F" w:rsidRPr="00DE65A3" w:rsidDel="00AE21AB">
              <w:t xml:space="preserve">cost per tonne kilometre </w:t>
            </w:r>
            <w:r w:rsidR="00EE540F">
              <w:t>for the vehicle operator (</w:t>
            </w:r>
            <m:oMath>
              <m:sSubSup>
                <m:sSubSupPr>
                  <m:ctrlPr>
                    <w:rPr>
                      <w:rFonts w:ascii="Cambria Math" w:hAnsi="Cambria Math"/>
                      <w:i/>
                    </w:rPr>
                  </m:ctrlPr>
                </m:sSubSupPr>
                <m:e>
                  <m:r>
                    <w:rPr>
                      <w:rFonts w:ascii="Cambria Math" w:hAnsi="Cambria Math"/>
                    </w:rPr>
                    <m:t>c</m:t>
                  </m:r>
                </m:e>
                <m:sub>
                  <m:r>
                    <w:rPr>
                      <w:rFonts w:ascii="Cambria Math" w:hAnsi="Cambria Math"/>
                    </w:rPr>
                    <m:t>j</m:t>
                  </m:r>
                </m:sub>
                <m:sup>
                  <m:r>
                    <w:rPr>
                      <w:rFonts w:ascii="Cambria Math" w:hAnsi="Cambria Math"/>
                    </w:rPr>
                    <m:t>O</m:t>
                  </m:r>
                </m:sup>
              </m:sSubSup>
            </m:oMath>
            <w:r w:rsidR="00EE540F">
              <w:t>)</w:t>
            </w:r>
            <w:r w:rsidR="001E599B">
              <w:t>,</w:t>
            </w:r>
            <w:r w:rsidR="00EE540F">
              <w:t xml:space="preserve"> and </w:t>
            </w:r>
            <w:r w:rsidR="001E599B">
              <w:t xml:space="preserve">that each vehicle type incurs </w:t>
            </w:r>
            <w:r w:rsidR="00EE540F">
              <w:t xml:space="preserve">infrastructure costs </w:t>
            </w:r>
            <w:r w:rsidR="001E599B">
              <w:t xml:space="preserve">to </w:t>
            </w:r>
            <w:r w:rsidR="00EE540F">
              <w:t xml:space="preserve">the road manager </w:t>
            </w:r>
            <w:r w:rsidR="001E599B">
              <w:t xml:space="preserve">depending on the route </w:t>
            </w:r>
            <w:r w:rsidR="00EE540F">
              <w:t>(</w:t>
            </w:r>
            <m:oMath>
              <m:sSubSup>
                <m:sSubSupPr>
                  <m:ctrlPr>
                    <w:rPr>
                      <w:rFonts w:ascii="Cambria Math" w:hAnsi="Cambria Math"/>
                      <w:i/>
                    </w:rPr>
                  </m:ctrlPr>
                </m:sSubSupPr>
                <m:e>
                  <m:r>
                    <w:rPr>
                      <w:rFonts w:ascii="Cambria Math" w:hAnsi="Cambria Math"/>
                    </w:rPr>
                    <m:t>c</m:t>
                  </m:r>
                </m:e>
                <m:sub>
                  <m:r>
                    <w:rPr>
                      <w:rFonts w:ascii="Cambria Math" w:hAnsi="Cambria Math"/>
                    </w:rPr>
                    <m:t>jk</m:t>
                  </m:r>
                </m:sub>
                <m:sup>
                  <m:r>
                    <w:rPr>
                      <w:rFonts w:ascii="Cambria Math" w:hAnsi="Cambria Math"/>
                    </w:rPr>
                    <m:t>I</m:t>
                  </m:r>
                </m:sup>
              </m:sSubSup>
            </m:oMath>
            <w:r w:rsidR="00EE540F">
              <w:t xml:space="preserve">). The </w:t>
            </w:r>
            <w:r w:rsidR="00B1118D">
              <w:t xml:space="preserve">minimisation problem for the </w:t>
            </w:r>
            <w:r w:rsidR="00EE540F">
              <w:t>total cost of</w:t>
            </w:r>
            <w:r w:rsidR="00EE540F" w:rsidDel="00856F74">
              <w:t xml:space="preserve"> </w:t>
            </w:r>
            <w:r w:rsidR="000B6769">
              <w:t>freight movements</w:t>
            </w:r>
            <w:r w:rsidR="00856F74">
              <w:t xml:space="preserve"> </w:t>
            </w:r>
            <w:r w:rsidR="00053196">
              <w:t>(</w:t>
            </w:r>
            <m:oMath>
              <m:r>
                <w:rPr>
                  <w:rFonts w:ascii="Cambria Math" w:hAnsi="Cambria Math"/>
                </w:rPr>
                <m:t>C</m:t>
              </m:r>
            </m:oMath>
            <w:r w:rsidR="00053196">
              <w:t xml:space="preserve">) </w:t>
            </w:r>
            <w:r w:rsidR="00EE540F">
              <w:t>is</w:t>
            </w:r>
            <w:r w:rsidR="00443CB1">
              <w:t xml:space="preserve"> given below.</w:t>
            </w:r>
          </w:p>
          <w:p w14:paraId="3D166946" w14:textId="7ECEFE59" w:rsidR="00D538AB" w:rsidRPr="00766266" w:rsidRDefault="00030F64" w:rsidP="00B13864">
            <w:pPr>
              <w:pStyle w:val="Box"/>
            </w:pPr>
            <m:oMathPara>
              <m:oMathParaPr>
                <m:jc m:val="left"/>
              </m:oMathParaPr>
              <m:oMath>
                <m:func>
                  <m:funcPr>
                    <m:ctrlPr>
                      <w:rPr>
                        <w:rFonts w:ascii="Cambria Math" w:hAnsi="Cambria Math"/>
                        <w:i/>
                      </w:rPr>
                    </m:ctrlPr>
                  </m:funcPr>
                  <m:fName>
                    <m:r>
                      <m:rPr>
                        <m:sty m:val="p"/>
                      </m:rPr>
                      <w:rPr>
                        <w:rFonts w:ascii="Cambria Math" w:hAnsi="Cambria Math"/>
                      </w:rPr>
                      <m:t>min</m:t>
                    </m:r>
                  </m:fName>
                  <m:e>
                    <m:r>
                      <w:rPr>
                        <w:rFonts w:ascii="Cambria Math" w:hAnsi="Cambria Math"/>
                      </w:rPr>
                      <m:t>C</m:t>
                    </m:r>
                  </m:e>
                </m:func>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nary>
                      <m:naryPr>
                        <m:chr m:val="∑"/>
                        <m:limLoc m:val="undOvr"/>
                        <m:supHide m:val="1"/>
                        <m:ctrlPr>
                          <w:rPr>
                            <w:rFonts w:ascii="Cambria Math" w:hAnsi="Cambria Math"/>
                            <w:i/>
                          </w:rPr>
                        </m:ctrlPr>
                      </m:naryPr>
                      <m:sub>
                        <m:r>
                          <w:rPr>
                            <w:rFonts w:ascii="Cambria Math" w:hAnsi="Cambria Math"/>
                          </w:rPr>
                          <m:t>j</m:t>
                        </m:r>
                      </m:sub>
                      <m:sup/>
                      <m:e>
                        <m:nary>
                          <m:naryPr>
                            <m:chr m:val="∑"/>
                            <m:limLoc m:val="undOvr"/>
                            <m:supHide m:val="1"/>
                            <m:ctrlPr>
                              <w:rPr>
                                <w:rFonts w:ascii="Cambria Math" w:hAnsi="Cambria Math"/>
                                <w:i/>
                              </w:rPr>
                            </m:ctrlPr>
                          </m:naryPr>
                          <m:sub>
                            <m:r>
                              <w:rPr>
                                <w:rFonts w:ascii="Cambria Math" w:hAnsi="Cambria Math"/>
                              </w:rPr>
                              <m:t>k</m:t>
                            </m:r>
                          </m:sub>
                          <m:sup/>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w:rPr>
                                        <w:rFonts w:ascii="Cambria Math" w:hAnsi="Cambria Math"/>
                                      </w:rPr>
                                      <m:t>j</m:t>
                                    </m:r>
                                  </m:sub>
                                  <m:sup>
                                    <m:r>
                                      <w:rPr>
                                        <w:rFonts w:ascii="Cambria Math" w:hAnsi="Cambria Math"/>
                                      </w:rPr>
                                      <m:t>O</m:t>
                                    </m:r>
                                  </m:sup>
                                </m:sSubSup>
                                <m:sSub>
                                  <m:sSubPr>
                                    <m:ctrlPr>
                                      <w:rPr>
                                        <w:rFonts w:ascii="Cambria Math" w:hAnsi="Cambria Math"/>
                                        <w:i/>
                                      </w:rPr>
                                    </m:ctrlPr>
                                  </m:sSubPr>
                                  <m:e>
                                    <m:r>
                                      <w:rPr>
                                        <w:rFonts w:ascii="Cambria Math" w:hAnsi="Cambria Math"/>
                                      </w:rPr>
                                      <m:t>t</m:t>
                                    </m:r>
                                  </m:e>
                                  <m:sub>
                                    <m:r>
                                      <w:rPr>
                                        <w:rFonts w:ascii="Cambria Math" w:hAnsi="Cambria Math"/>
                                      </w:rPr>
                                      <m:t>ijk</m:t>
                                    </m:r>
                                  </m:sub>
                                </m:sSub>
                                <m:r>
                                  <w:rPr>
                                    <w:rFonts w:ascii="Cambria Math" w:hAnsi="Cambria Math"/>
                                  </w:rPr>
                                  <m:t>k</m:t>
                                </m:r>
                                <m:sSub>
                                  <m:sSubPr>
                                    <m:ctrlPr>
                                      <w:rPr>
                                        <w:rFonts w:ascii="Cambria Math" w:hAnsi="Cambria Math"/>
                                        <w:i/>
                                      </w:rPr>
                                    </m:ctrlPr>
                                  </m:sSubPr>
                                  <m:e>
                                    <m:r>
                                      <w:rPr>
                                        <w:rFonts w:ascii="Cambria Math" w:hAnsi="Cambria Math"/>
                                      </w:rPr>
                                      <m:t>m</m:t>
                                    </m:r>
                                  </m:e>
                                  <m:sub>
                                    <m:r>
                                      <w:rPr>
                                        <w:rFonts w:ascii="Cambria Math" w:hAnsi="Cambria Math"/>
                                      </w:rPr>
                                      <m:t>k</m:t>
                                    </m:r>
                                  </m:sub>
                                </m:sSub>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jk</m:t>
                                    </m:r>
                                  </m:sub>
                                  <m:sup>
                                    <m:r>
                                      <w:rPr>
                                        <w:rFonts w:ascii="Cambria Math" w:hAnsi="Cambria Math"/>
                                      </w:rPr>
                                      <m:t>I</m:t>
                                    </m:r>
                                  </m:sup>
                                </m:sSubSup>
                              </m:e>
                            </m:d>
                          </m:e>
                        </m:nary>
                      </m:e>
                    </m:nary>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ub>
                  <m:sup/>
                  <m:e>
                    <m:nary>
                      <m:naryPr>
                        <m:chr m:val="∑"/>
                        <m:limLoc m:val="undOvr"/>
                        <m:supHide m:val="1"/>
                        <m:ctrlPr>
                          <w:rPr>
                            <w:rFonts w:ascii="Cambria Math" w:hAnsi="Cambria Math"/>
                            <w:i/>
                          </w:rPr>
                        </m:ctrlPr>
                      </m:naryPr>
                      <m:sub>
                        <m:r>
                          <w:rPr>
                            <w:rFonts w:ascii="Cambria Math" w:hAnsi="Cambria Math"/>
                          </w:rPr>
                          <m:t>k</m:t>
                        </m:r>
                      </m:sub>
                      <m:sup/>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w:rPr>
                                    <w:rFonts w:ascii="Cambria Math" w:hAnsi="Cambria Math"/>
                                  </w:rPr>
                                  <m:t>j</m:t>
                                </m:r>
                              </m:sub>
                              <m:sup>
                                <m:r>
                                  <w:rPr>
                                    <w:rFonts w:ascii="Cambria Math" w:hAnsi="Cambria Math"/>
                                  </w:rPr>
                                  <m:t>O</m:t>
                                </m:r>
                              </m:sup>
                            </m:sSubSup>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t</m:t>
                                        </m:r>
                                      </m:e>
                                      <m:sub>
                                        <m:r>
                                          <w:rPr>
                                            <w:rFonts w:ascii="Cambria Math" w:hAnsi="Cambria Math"/>
                                          </w:rPr>
                                          <m:t>ijk</m:t>
                                        </m:r>
                                      </m:sub>
                                    </m:sSub>
                                  </m:e>
                                </m:nary>
                              </m:num>
                              <m:den>
                                <m:sSub>
                                  <m:sSubPr>
                                    <m:ctrlPr>
                                      <w:rPr>
                                        <w:rFonts w:ascii="Cambria Math" w:hAnsi="Cambria Math"/>
                                        <w:i/>
                                      </w:rPr>
                                    </m:ctrlPr>
                                  </m:sSubPr>
                                  <m:e>
                                    <m:r>
                                      <w:rPr>
                                        <w:rFonts w:ascii="Cambria Math" w:hAnsi="Cambria Math"/>
                                      </w:rPr>
                                      <m:t>n</m:t>
                                    </m:r>
                                  </m:e>
                                  <m:sub>
                                    <m:r>
                                      <w:rPr>
                                        <w:rFonts w:ascii="Cambria Math" w:hAnsi="Cambria Math"/>
                                      </w:rPr>
                                      <m:t>jk</m:t>
                                    </m:r>
                                  </m:sub>
                                </m:sSub>
                              </m:den>
                            </m:f>
                            <m:sSub>
                              <m:sSubPr>
                                <m:ctrlPr>
                                  <w:rPr>
                                    <w:rFonts w:ascii="Cambria Math" w:hAnsi="Cambria Math"/>
                                    <w:i/>
                                  </w:rPr>
                                </m:ctrlPr>
                              </m:sSubPr>
                              <m:e>
                                <m:r>
                                  <w:rPr>
                                    <w:rFonts w:ascii="Cambria Math" w:hAnsi="Cambria Math"/>
                                  </w:rPr>
                                  <m:t>n</m:t>
                                </m:r>
                              </m:e>
                              <m:sub>
                                <m:r>
                                  <w:rPr>
                                    <w:rFonts w:ascii="Cambria Math" w:hAnsi="Cambria Math"/>
                                  </w:rPr>
                                  <m:t>jk</m:t>
                                </m:r>
                              </m:sub>
                            </m:sSub>
                            <m:r>
                              <w:rPr>
                                <w:rFonts w:ascii="Cambria Math" w:hAnsi="Cambria Math"/>
                              </w:rPr>
                              <m:t>k</m:t>
                            </m:r>
                            <m:sSub>
                              <m:sSubPr>
                                <m:ctrlPr>
                                  <w:rPr>
                                    <w:rFonts w:ascii="Cambria Math" w:hAnsi="Cambria Math"/>
                                    <w:i/>
                                  </w:rPr>
                                </m:ctrlPr>
                              </m:sSubPr>
                              <m:e>
                                <m:r>
                                  <w:rPr>
                                    <w:rFonts w:ascii="Cambria Math" w:hAnsi="Cambria Math"/>
                                  </w:rPr>
                                  <m:t>m</m:t>
                                </m:r>
                              </m:e>
                              <m:sub>
                                <m:r>
                                  <w:rPr>
                                    <w:rFonts w:ascii="Cambria Math" w:hAnsi="Cambria Math"/>
                                  </w:rPr>
                                  <m:t>k</m:t>
                                </m:r>
                              </m:sub>
                            </m:sSub>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jk</m:t>
                                </m:r>
                              </m:sub>
                              <m:sup>
                                <m:r>
                                  <w:rPr>
                                    <w:rFonts w:ascii="Cambria Math" w:hAnsi="Cambria Math"/>
                                  </w:rPr>
                                  <m:t>I</m:t>
                                </m:r>
                              </m:sup>
                            </m:sSubSup>
                          </m:e>
                        </m:d>
                      </m:e>
                    </m:nary>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ub>
                  <m:sup/>
                  <m:e>
                    <m:nary>
                      <m:naryPr>
                        <m:chr m:val="∑"/>
                        <m:limLoc m:val="undOvr"/>
                        <m:supHide m:val="1"/>
                        <m:ctrlPr>
                          <w:rPr>
                            <w:rFonts w:ascii="Cambria Math" w:hAnsi="Cambria Math"/>
                            <w:i/>
                          </w:rPr>
                        </m:ctrlPr>
                      </m:naryPr>
                      <m:sub>
                        <m:r>
                          <w:rPr>
                            <w:rFonts w:ascii="Cambria Math" w:hAnsi="Cambria Math"/>
                          </w:rPr>
                          <m:t>k</m:t>
                        </m:r>
                      </m:sub>
                      <m:sup/>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w:rPr>
                                    <w:rFonts w:ascii="Cambria Math" w:hAnsi="Cambria Math"/>
                                  </w:rPr>
                                  <m:t>j</m:t>
                                </m:r>
                              </m:sub>
                              <m:sup>
                                <m:r>
                                  <w:rPr>
                                    <w:rFonts w:ascii="Cambria Math" w:hAnsi="Cambria Math"/>
                                  </w:rPr>
                                  <m:t>O</m:t>
                                </m:r>
                              </m:sup>
                            </m:sSubSup>
                            <m:acc>
                              <m:accPr>
                                <m:chr m:val="̅"/>
                                <m:ctrlPr>
                                  <w:rPr>
                                    <w:rFonts w:ascii="Cambria Math" w:hAnsi="Cambria Math"/>
                                    <w:i/>
                                  </w:rPr>
                                </m:ctrlPr>
                              </m:accPr>
                              <m:e>
                                <m:sSub>
                                  <m:sSubPr>
                                    <m:ctrlPr>
                                      <w:rPr>
                                        <w:rFonts w:ascii="Cambria Math" w:hAnsi="Cambria Math"/>
                                        <w:i/>
                                      </w:rPr>
                                    </m:ctrlPr>
                                  </m:sSubPr>
                                  <m:e>
                                    <m:r>
                                      <w:rPr>
                                        <w:rFonts w:ascii="Cambria Math" w:hAnsi="Cambria Math"/>
                                      </w:rPr>
                                      <m:t>t</m:t>
                                    </m:r>
                                  </m:e>
                                  <m:sub>
                                    <m:r>
                                      <w:rPr>
                                        <w:rFonts w:ascii="Cambria Math" w:hAnsi="Cambria Math"/>
                                      </w:rPr>
                                      <m:t>jk</m:t>
                                    </m:r>
                                  </m:sub>
                                </m:sSub>
                              </m:e>
                            </m:acc>
                            <m:sSub>
                              <m:sSubPr>
                                <m:ctrlPr>
                                  <w:rPr>
                                    <w:rFonts w:ascii="Cambria Math" w:hAnsi="Cambria Math"/>
                                    <w:i/>
                                  </w:rPr>
                                </m:ctrlPr>
                              </m:sSubPr>
                              <m:e>
                                <m:r>
                                  <w:rPr>
                                    <w:rFonts w:ascii="Cambria Math" w:hAnsi="Cambria Math"/>
                                  </w:rPr>
                                  <m:t>n</m:t>
                                </m:r>
                              </m:e>
                              <m:sub>
                                <m:r>
                                  <w:rPr>
                                    <w:rFonts w:ascii="Cambria Math" w:hAnsi="Cambria Math"/>
                                  </w:rPr>
                                  <m:t>jk</m:t>
                                </m:r>
                              </m:sub>
                            </m:sSub>
                            <m:r>
                              <w:rPr>
                                <w:rFonts w:ascii="Cambria Math" w:hAnsi="Cambria Math"/>
                              </w:rPr>
                              <m:t>k</m:t>
                            </m:r>
                            <m:sSub>
                              <m:sSubPr>
                                <m:ctrlPr>
                                  <w:rPr>
                                    <w:rFonts w:ascii="Cambria Math" w:hAnsi="Cambria Math"/>
                                    <w:i/>
                                  </w:rPr>
                                </m:ctrlPr>
                              </m:sSubPr>
                              <m:e>
                                <m:r>
                                  <w:rPr>
                                    <w:rFonts w:ascii="Cambria Math" w:hAnsi="Cambria Math"/>
                                  </w:rPr>
                                  <m:t>m</m:t>
                                </m:r>
                              </m:e>
                              <m:sub>
                                <m:r>
                                  <w:rPr>
                                    <w:rFonts w:ascii="Cambria Math" w:hAnsi="Cambria Math"/>
                                  </w:rPr>
                                  <m:t>k</m:t>
                                </m:r>
                              </m:sub>
                            </m:sSub>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jk</m:t>
                                </m:r>
                              </m:sub>
                              <m:sup>
                                <m:r>
                                  <w:rPr>
                                    <w:rFonts w:ascii="Cambria Math" w:hAnsi="Cambria Math"/>
                                  </w:rPr>
                                  <m:t>I</m:t>
                                </m:r>
                              </m:sup>
                            </m:sSubSup>
                          </m:e>
                        </m:d>
                      </m:e>
                    </m:nary>
                  </m:e>
                </m:nary>
                <m:r>
                  <w:rPr>
                    <w:rFonts w:ascii="Cambria Math" w:hAnsi="Cambria Math"/>
                  </w:rPr>
                  <m:t xml:space="preserve">,  s.t. </m:t>
                </m:r>
                <m:nary>
                  <m:naryPr>
                    <m:chr m:val="∑"/>
                    <m:limLoc m:val="undOvr"/>
                    <m:supHide m:val="1"/>
                    <m:ctrlPr>
                      <w:rPr>
                        <w:rFonts w:ascii="Cambria Math" w:hAnsi="Cambria Math"/>
                        <w:i/>
                      </w:rPr>
                    </m:ctrlPr>
                  </m:naryPr>
                  <m:sub>
                    <m:r>
                      <w:rPr>
                        <w:rFonts w:ascii="Cambria Math" w:hAnsi="Cambria Math"/>
                      </w:rPr>
                      <m:t>j</m:t>
                    </m:r>
                  </m:sub>
                  <m:sup/>
                  <m:e>
                    <m:acc>
                      <m:accPr>
                        <m:chr m:val="̅"/>
                        <m:ctrlPr>
                          <w:rPr>
                            <w:rFonts w:ascii="Cambria Math" w:hAnsi="Cambria Math"/>
                            <w:i/>
                          </w:rPr>
                        </m:ctrlPr>
                      </m:accPr>
                      <m:e>
                        <m:sSub>
                          <m:sSubPr>
                            <m:ctrlPr>
                              <w:rPr>
                                <w:rFonts w:ascii="Cambria Math" w:hAnsi="Cambria Math"/>
                                <w:i/>
                              </w:rPr>
                            </m:ctrlPr>
                          </m:sSubPr>
                          <m:e>
                            <m:r>
                              <w:rPr>
                                <w:rFonts w:ascii="Cambria Math" w:hAnsi="Cambria Math"/>
                              </w:rPr>
                              <m:t>t</m:t>
                            </m:r>
                          </m:e>
                          <m:sub>
                            <m:r>
                              <w:rPr>
                                <w:rFonts w:ascii="Cambria Math" w:hAnsi="Cambria Math"/>
                              </w:rPr>
                              <m:t>jk</m:t>
                            </m:r>
                          </m:sub>
                        </m:sSub>
                      </m:e>
                    </m:acc>
                    <m:sSub>
                      <m:sSubPr>
                        <m:ctrlPr>
                          <w:rPr>
                            <w:rFonts w:ascii="Cambria Math" w:hAnsi="Cambria Math"/>
                            <w:i/>
                          </w:rPr>
                        </m:ctrlPr>
                      </m:sSubPr>
                      <m:e>
                        <m:r>
                          <w:rPr>
                            <w:rFonts w:ascii="Cambria Math" w:hAnsi="Cambria Math"/>
                          </w:rPr>
                          <m:t>n</m:t>
                        </m:r>
                      </m:e>
                      <m:sub>
                        <m:r>
                          <w:rPr>
                            <w:rFonts w:ascii="Cambria Math" w:hAnsi="Cambria Math"/>
                          </w:rPr>
                          <m:t>jk</m:t>
                        </m:r>
                      </m:sub>
                    </m:sSub>
                  </m:e>
                </m:nary>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Q</m:t>
                        </m:r>
                      </m:e>
                      <m:sub>
                        <m:r>
                          <w:rPr>
                            <w:rFonts w:ascii="Cambria Math" w:hAnsi="Cambria Math"/>
                          </w:rPr>
                          <m:t>Dk</m:t>
                        </m:r>
                      </m:sub>
                    </m:sSub>
                  </m:e>
                </m:acc>
                <m:r>
                  <w:rPr>
                    <w:rFonts w:ascii="Cambria Math" w:hAnsi="Cambria Math"/>
                  </w:rPr>
                  <m:t xml:space="preserve">    ∀ k</m:t>
                </m:r>
              </m:oMath>
            </m:oMathPara>
          </w:p>
          <w:p w14:paraId="4CFA37EF" w14:textId="5FDB9603" w:rsidR="00856F74" w:rsidRDefault="00030F64" w:rsidP="00856F74">
            <w:pPr>
              <w:pStyle w:val="BoxListBullet"/>
            </w:pPr>
            <m:oMath>
              <m:sSub>
                <m:sSubPr>
                  <m:ctrlPr>
                    <w:rPr>
                      <w:rFonts w:ascii="Cambria Math" w:hAnsi="Cambria Math"/>
                      <w:i/>
                    </w:rPr>
                  </m:ctrlPr>
                </m:sSubPr>
                <m:e>
                  <m:r>
                    <w:rPr>
                      <w:rFonts w:ascii="Cambria Math" w:hAnsi="Cambria Math"/>
                    </w:rPr>
                    <m:t>n</m:t>
                  </m:r>
                </m:e>
                <m:sub>
                  <m:r>
                    <w:rPr>
                      <w:rFonts w:ascii="Cambria Math" w:hAnsi="Cambria Math"/>
                    </w:rPr>
                    <m:t>jk</m:t>
                  </m:r>
                </m:sub>
              </m:sSub>
            </m:oMath>
            <w:r w:rsidR="00856F74">
              <w:t xml:space="preserve"> is the number of vehicle movements of type </w:t>
            </w:r>
            <m:oMath>
              <m:r>
                <w:rPr>
                  <w:rFonts w:ascii="Cambria Math" w:hAnsi="Cambria Math"/>
                </w:rPr>
                <m:t>j</m:t>
              </m:r>
            </m:oMath>
            <w:r w:rsidR="00856F74">
              <w:t xml:space="preserve"> on </w:t>
            </w:r>
            <w:r w:rsidR="00B13205">
              <w:t xml:space="preserve">route </w:t>
            </w:r>
            <m:oMath>
              <m:r>
                <w:rPr>
                  <w:rFonts w:ascii="Cambria Math" w:hAnsi="Cambria Math"/>
                </w:rPr>
                <m:t>k</m:t>
              </m:r>
            </m:oMath>
          </w:p>
          <w:p w14:paraId="45C7C0A2" w14:textId="0616E7DB" w:rsidR="00856F74" w:rsidRDefault="00030F64" w:rsidP="00F266D5">
            <w:pPr>
              <w:pStyle w:val="BoxListBullet"/>
            </w:pPr>
            <m:oMath>
              <m:acc>
                <m:accPr>
                  <m:chr m:val="̅"/>
                  <m:ctrlPr>
                    <w:rPr>
                      <w:rFonts w:ascii="Cambria Math" w:hAnsi="Cambria Math"/>
                      <w:i/>
                    </w:rPr>
                  </m:ctrlPr>
                </m:accPr>
                <m:e>
                  <m:sSub>
                    <m:sSubPr>
                      <m:ctrlPr>
                        <w:rPr>
                          <w:rFonts w:ascii="Cambria Math" w:hAnsi="Cambria Math"/>
                          <w:i/>
                        </w:rPr>
                      </m:ctrlPr>
                    </m:sSubPr>
                    <m:e>
                      <m:r>
                        <w:rPr>
                          <w:rFonts w:ascii="Cambria Math" w:hAnsi="Cambria Math"/>
                        </w:rPr>
                        <m:t>t</m:t>
                      </m:r>
                    </m:e>
                    <m:sub>
                      <m:r>
                        <w:rPr>
                          <w:rFonts w:ascii="Cambria Math" w:hAnsi="Cambria Math"/>
                        </w:rPr>
                        <m:t>jk</m:t>
                      </m:r>
                    </m:sub>
                  </m:sSub>
                </m:e>
              </m:acc>
            </m:oMath>
            <w:r w:rsidR="00856F74">
              <w:t xml:space="preserve"> is the average load of vehicles of type </w:t>
            </w:r>
            <m:oMath>
              <m:r>
                <w:rPr>
                  <w:rFonts w:ascii="Cambria Math" w:hAnsi="Cambria Math"/>
                </w:rPr>
                <m:t>j</m:t>
              </m:r>
            </m:oMath>
            <w:r w:rsidR="00856F74">
              <w:t xml:space="preserve"> on </w:t>
            </w:r>
            <w:r w:rsidR="00B13205">
              <w:t xml:space="preserve">route </w:t>
            </w:r>
            <m:oMath>
              <m:r>
                <w:rPr>
                  <w:rFonts w:ascii="Cambria Math" w:hAnsi="Cambria Math"/>
                </w:rPr>
                <m:t>k</m:t>
              </m:r>
            </m:oMath>
          </w:p>
          <w:p w14:paraId="6C082533" w14:textId="6AB708B6" w:rsidR="00795E4D" w:rsidRDefault="00030F64" w:rsidP="00F266D5">
            <w:pPr>
              <w:pStyle w:val="BoxListBullet"/>
            </w:pPr>
            <m:oMath>
              <m:acc>
                <m:accPr>
                  <m:chr m:val="̅"/>
                  <m:ctrlPr>
                    <w:rPr>
                      <w:rFonts w:ascii="Cambria Math" w:hAnsi="Cambria Math"/>
                      <w:i/>
                    </w:rPr>
                  </m:ctrlPr>
                </m:accPr>
                <m:e>
                  <m:sSub>
                    <m:sSubPr>
                      <m:ctrlPr>
                        <w:rPr>
                          <w:rFonts w:ascii="Cambria Math" w:hAnsi="Cambria Math"/>
                          <w:i/>
                        </w:rPr>
                      </m:ctrlPr>
                    </m:sSubPr>
                    <m:e>
                      <m:r>
                        <w:rPr>
                          <w:rFonts w:ascii="Cambria Math" w:hAnsi="Cambria Math"/>
                        </w:rPr>
                        <m:t>Q</m:t>
                      </m:r>
                    </m:e>
                    <m:sub>
                      <m:r>
                        <w:rPr>
                          <w:rFonts w:ascii="Cambria Math" w:hAnsi="Cambria Math"/>
                        </w:rPr>
                        <m:t>Dk</m:t>
                      </m:r>
                    </m:sub>
                  </m:sSub>
                </m:e>
              </m:acc>
            </m:oMath>
            <w:r w:rsidR="00795E4D">
              <w:t xml:space="preserve"> is the given quantity of freight demanded</w:t>
            </w:r>
            <w:r w:rsidR="00E05122">
              <w:t xml:space="preserve"> on route </w:t>
            </w:r>
            <m:oMath>
              <m:r>
                <w:rPr>
                  <w:rFonts w:ascii="Cambria Math" w:hAnsi="Cambria Math"/>
                </w:rPr>
                <m:t>k</m:t>
              </m:r>
            </m:oMath>
            <w:r w:rsidR="00795E4D">
              <w:t>.</w:t>
            </w:r>
          </w:p>
          <w:p w14:paraId="4761D856" w14:textId="37A92134" w:rsidR="00795DED" w:rsidRPr="00C24784" w:rsidRDefault="002F381F" w:rsidP="004F05E9">
            <w:pPr>
              <w:pStyle w:val="Box"/>
            </w:pPr>
            <w:r>
              <w:t xml:space="preserve">A summary measure of cost efficiency is the </w:t>
            </w:r>
            <w:r w:rsidR="0063035F">
              <w:t xml:space="preserve">average </w:t>
            </w:r>
            <w:r>
              <w:t>cost per tonne</w:t>
            </w:r>
            <w:r w:rsidR="005375FD">
              <w:t>.</w:t>
            </w:r>
            <w:r w:rsidR="005D7137" w:rsidDel="005375FD">
              <w:t xml:space="preserve"> </w:t>
            </w:r>
            <w:r w:rsidR="005375FD">
              <w:t>A</w:t>
            </w:r>
            <w:r w:rsidR="005D7137">
              <w:t xml:space="preserve"> reduction </w:t>
            </w:r>
            <w:r w:rsidR="005375FD">
              <w:t xml:space="preserve">in average cost per tonne </w:t>
            </w:r>
            <w:r w:rsidR="008C00BE">
              <w:t xml:space="preserve">reflects </w:t>
            </w:r>
            <w:r w:rsidR="005D7137">
              <w:t>productivity</w:t>
            </w:r>
            <w:r w:rsidR="0000420F">
              <w:t xml:space="preserve"> improvement</w:t>
            </w:r>
            <w:r w:rsidR="008C00BE">
              <w:t>s</w:t>
            </w:r>
            <w:r w:rsidR="005D7137">
              <w:t xml:space="preserve">, given </w:t>
            </w:r>
            <w:r w:rsidR="008C7DFB">
              <w:t xml:space="preserve">a fixed </w:t>
            </w:r>
            <w:r w:rsidR="005375FD">
              <w:t>quantity of freight</w:t>
            </w:r>
            <w:r>
              <w:t xml:space="preserve">. The </w:t>
            </w:r>
            <w:r w:rsidR="0063035F">
              <w:t xml:space="preserve">average </w:t>
            </w:r>
            <w:r>
              <w:t xml:space="preserve">cost per tonne kilometre provides a different insight but is </w:t>
            </w:r>
            <w:r w:rsidR="009018C8">
              <w:t xml:space="preserve">a </w:t>
            </w:r>
            <w:r w:rsidR="004F05E9">
              <w:t xml:space="preserve">partial </w:t>
            </w:r>
            <w:r w:rsidR="009018C8">
              <w:t xml:space="preserve">measure of productivity because improved </w:t>
            </w:r>
            <w:r w:rsidR="000E00BC">
              <w:t xml:space="preserve">vehicle </w:t>
            </w:r>
            <w:r w:rsidR="009018C8">
              <w:t xml:space="preserve">access would reduce both </w:t>
            </w:r>
            <w:r>
              <w:t>the numerator (costs) and denominator (</w:t>
            </w:r>
            <w:r w:rsidR="00A84E50">
              <w:t xml:space="preserve">tonne </w:t>
            </w:r>
            <w:r>
              <w:t>kilometres).</w:t>
            </w:r>
          </w:p>
        </w:tc>
      </w:tr>
      <w:tr w:rsidR="00EE540F" w14:paraId="55C7CA87" w14:textId="77777777" w:rsidTr="00F2538E">
        <w:tc>
          <w:tcPr>
            <w:tcW w:w="5000" w:type="pct"/>
            <w:tcBorders>
              <w:top w:val="nil"/>
              <w:left w:val="nil"/>
              <w:bottom w:val="nil"/>
              <w:right w:val="nil"/>
            </w:tcBorders>
            <w:shd w:val="clear" w:color="auto" w:fill="F2F2F2"/>
          </w:tcPr>
          <w:p w14:paraId="33FEEC9B" w14:textId="02A89D56" w:rsidR="00EE540F" w:rsidRDefault="00E51324" w:rsidP="00EA18DE">
            <w:pPr>
              <w:pStyle w:val="Continued"/>
            </w:pPr>
            <w:r>
              <w:t>(</w:t>
            </w:r>
            <w:r w:rsidR="00EA18DE">
              <w:t>c</w:t>
            </w:r>
            <w:r>
              <w:t>ontinued next page)</w:t>
            </w:r>
            <w:r w:rsidR="00795E4D">
              <w:t xml:space="preserve"> </w:t>
            </w:r>
          </w:p>
        </w:tc>
      </w:tr>
      <w:tr w:rsidR="00EE540F" w14:paraId="701C02E8" w14:textId="77777777" w:rsidTr="00F2538E">
        <w:tc>
          <w:tcPr>
            <w:tcW w:w="5000" w:type="pct"/>
            <w:tcBorders>
              <w:top w:val="nil"/>
              <w:left w:val="nil"/>
              <w:bottom w:val="single" w:sz="6" w:space="0" w:color="78A22F"/>
              <w:right w:val="nil"/>
            </w:tcBorders>
            <w:shd w:val="clear" w:color="auto" w:fill="F2F2F2"/>
          </w:tcPr>
          <w:p w14:paraId="6CB17D2C" w14:textId="6D06F6CD" w:rsidR="00EE540F" w:rsidRDefault="00EE540F" w:rsidP="00B13864">
            <w:pPr>
              <w:pStyle w:val="Box"/>
              <w:spacing w:before="0" w:line="120" w:lineRule="exact"/>
            </w:pPr>
          </w:p>
        </w:tc>
      </w:tr>
      <w:tr w:rsidR="00EE540F" w:rsidRPr="000863A5" w14:paraId="43DB2EDD" w14:textId="77777777" w:rsidTr="00F2538E">
        <w:tc>
          <w:tcPr>
            <w:tcW w:w="5000" w:type="pct"/>
            <w:tcBorders>
              <w:top w:val="single" w:sz="6" w:space="0" w:color="78A22F"/>
              <w:left w:val="nil"/>
              <w:bottom w:val="nil"/>
              <w:right w:val="nil"/>
            </w:tcBorders>
          </w:tcPr>
          <w:p w14:paraId="7DA87D48" w14:textId="1DA1B55A" w:rsidR="00EE540F" w:rsidRPr="00626D32" w:rsidRDefault="00EE540F" w:rsidP="00B13864">
            <w:pPr>
              <w:pStyle w:val="BoxSpaceBelow"/>
            </w:pPr>
          </w:p>
        </w:tc>
      </w:tr>
    </w:tbl>
    <w:p w14:paraId="4AA1A9EE" w14:textId="445729AE" w:rsidR="00EE540F" w:rsidRDefault="00EE540F" w:rsidP="00EE540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E540F" w14:paraId="36CCBA1F" w14:textId="77777777" w:rsidTr="00B13864">
        <w:trPr>
          <w:tblHeader/>
        </w:trPr>
        <w:tc>
          <w:tcPr>
            <w:tcW w:w="5000" w:type="pct"/>
            <w:tcBorders>
              <w:top w:val="single" w:sz="6" w:space="0" w:color="78A22F"/>
              <w:left w:val="nil"/>
              <w:bottom w:val="nil"/>
              <w:right w:val="nil"/>
            </w:tcBorders>
            <w:shd w:val="clear" w:color="auto" w:fill="F2F2F2"/>
          </w:tcPr>
          <w:p w14:paraId="3700DA8A" w14:textId="500CA71B" w:rsidR="00EE540F" w:rsidRDefault="00EE540F" w:rsidP="00EA18DE">
            <w:pPr>
              <w:pStyle w:val="BoxTitle"/>
            </w:pPr>
            <w:r>
              <w:rPr>
                <w:b w:val="0"/>
              </w:rPr>
              <w:t xml:space="preserve">Box </w:t>
            </w:r>
            <w:proofErr w:type="spellStart"/>
            <w:r w:rsidR="002D2E00">
              <w:rPr>
                <w:b w:val="0"/>
              </w:rPr>
              <w:t>B.</w:t>
            </w:r>
            <w:r w:rsidR="00E205D3">
              <w:rPr>
                <w:b w:val="0"/>
              </w:rPr>
              <w:t>2</w:t>
            </w:r>
            <w:proofErr w:type="spellEnd"/>
            <w:r>
              <w:tab/>
            </w:r>
            <w:r>
              <w:rPr>
                <w:b w:val="0"/>
                <w:sz w:val="18"/>
                <w:szCs w:val="18"/>
              </w:rPr>
              <w:t>(</w:t>
            </w:r>
            <w:r w:rsidR="00EA18DE">
              <w:rPr>
                <w:b w:val="0"/>
                <w:sz w:val="18"/>
                <w:szCs w:val="18"/>
              </w:rPr>
              <w:t>c</w:t>
            </w:r>
            <w:r w:rsidRPr="009A443F">
              <w:rPr>
                <w:b w:val="0"/>
                <w:sz w:val="18"/>
                <w:szCs w:val="18"/>
              </w:rPr>
              <w:t>ontinued)</w:t>
            </w:r>
          </w:p>
        </w:tc>
      </w:tr>
      <w:tr w:rsidR="00EE540F" w14:paraId="568AFE1F" w14:textId="77777777" w:rsidTr="00B13864">
        <w:tc>
          <w:tcPr>
            <w:tcW w:w="5000" w:type="pct"/>
            <w:tcBorders>
              <w:top w:val="nil"/>
              <w:left w:val="nil"/>
              <w:bottom w:val="nil"/>
              <w:right w:val="nil"/>
            </w:tcBorders>
            <w:shd w:val="clear" w:color="auto" w:fill="F2F2F2"/>
          </w:tcPr>
          <w:p w14:paraId="20E2A7F7" w14:textId="0E658C07" w:rsidR="008D1309" w:rsidRDefault="008D1309" w:rsidP="008D1309">
            <w:pPr>
              <w:pStyle w:val="BoxHeading2"/>
            </w:pPr>
            <w:r>
              <w:t>Example 1: Cost efficiency through access for larger vehicles</w:t>
            </w:r>
          </w:p>
          <w:p w14:paraId="325281C1" w14:textId="7A7E038E" w:rsidR="008D1309" w:rsidRDefault="008D1309" w:rsidP="008D1309">
            <w:pPr>
              <w:pStyle w:val="Box"/>
            </w:pPr>
            <w:r>
              <w:t>Consider a situation where 1000 tonnes of freight must be delivered from origin A to destination B, with only one route between these locations. There are two vehicle types, with ‘standard’ vehicles able to carry 10 tonnes of freight per trip, and ‘large’ vehicles able to carry 20 tonnes of freight per trip. Both vehicle types have the same operating cost per kilometre (so large vehicles have half the cost per tonne kilometre), and the same infrastructure costs on the route.</w:t>
            </w:r>
          </w:p>
          <w:p w14:paraId="2248867B" w14:textId="7823AFD8" w:rsidR="008D1309" w:rsidRDefault="008D1309" w:rsidP="00EA18DE">
            <w:pPr>
              <w:pStyle w:val="Box"/>
              <w:spacing w:after="240"/>
            </w:pPr>
            <w:r>
              <w:t xml:space="preserve">In this example shown below, large vehicles can deliver the freight in fewer vehicle movements and at a lower total cost than standard vehicles. </w:t>
            </w:r>
            <w:r w:rsidR="002363D3">
              <w:t>Therefore, a</w:t>
            </w:r>
            <w:r w:rsidR="00593592">
              <w:t>llowing</w:t>
            </w:r>
            <w:r w:rsidR="00AD12C0">
              <w:t xml:space="preserve"> l</w:t>
            </w:r>
            <w:r>
              <w:t xml:space="preserve">arge vehicles to access the route </w:t>
            </w:r>
            <w:r w:rsidR="00AD12C0">
              <w:t xml:space="preserve">would </w:t>
            </w:r>
            <w:r>
              <w:t>promote cost efficiency.</w:t>
            </w:r>
          </w:p>
          <w:tbl>
            <w:tblPr>
              <w:tblW w:w="5000" w:type="pct"/>
              <w:tblCellMar>
                <w:top w:w="28" w:type="dxa"/>
                <w:left w:w="0" w:type="dxa"/>
                <w:right w:w="0" w:type="dxa"/>
              </w:tblCellMar>
              <w:tblLook w:val="0000" w:firstRow="0" w:lastRow="0" w:firstColumn="0" w:lastColumn="0" w:noHBand="0" w:noVBand="0"/>
            </w:tblPr>
            <w:tblGrid>
              <w:gridCol w:w="884"/>
              <w:gridCol w:w="881"/>
              <w:gridCol w:w="1024"/>
              <w:gridCol w:w="1318"/>
              <w:gridCol w:w="733"/>
              <w:gridCol w:w="1541"/>
              <w:gridCol w:w="1393"/>
              <w:gridCol w:w="731"/>
            </w:tblGrid>
            <w:tr w:rsidR="00EA18DE" w14:paraId="10C0A609" w14:textId="77777777" w:rsidTr="000A69E1">
              <w:trPr>
                <w:tblHeader/>
              </w:trPr>
              <w:tc>
                <w:tcPr>
                  <w:tcW w:w="519" w:type="pct"/>
                  <w:tcBorders>
                    <w:top w:val="single" w:sz="6" w:space="0" w:color="BFBFBF"/>
                    <w:bottom w:val="single" w:sz="6" w:space="0" w:color="BFBFBF"/>
                  </w:tcBorders>
                  <w:shd w:val="clear" w:color="auto" w:fill="auto"/>
                  <w:tcMar>
                    <w:top w:w="28" w:type="dxa"/>
                  </w:tcMar>
                </w:tcPr>
                <w:p w14:paraId="22614A11" w14:textId="77777777" w:rsidR="00EA18DE" w:rsidRDefault="00EA18DE" w:rsidP="00EA18DE">
                  <w:pPr>
                    <w:pStyle w:val="TableColumnHeading"/>
                    <w:jc w:val="left"/>
                  </w:pPr>
                  <w:r>
                    <w:t>Vehicle type (</w:t>
                  </w:r>
                  <m:oMath>
                    <m:r>
                      <w:rPr>
                        <w:rFonts w:ascii="Cambria Math" w:hAnsi="Cambria Math"/>
                      </w:rPr>
                      <m:t>j</m:t>
                    </m:r>
                  </m:oMath>
                  <w:r>
                    <w:rPr>
                      <w:iCs/>
                    </w:rPr>
                    <w:t>)</w:t>
                  </w:r>
                </w:p>
              </w:tc>
              <w:tc>
                <w:tcPr>
                  <w:tcW w:w="518" w:type="pct"/>
                  <w:tcBorders>
                    <w:top w:val="single" w:sz="6" w:space="0" w:color="BFBFBF"/>
                    <w:bottom w:val="single" w:sz="6" w:space="0" w:color="BFBFBF"/>
                  </w:tcBorders>
                </w:tcPr>
                <w:p w14:paraId="09633151" w14:textId="77777777" w:rsidR="00EA18DE" w:rsidRDefault="00EA18DE" w:rsidP="00EA18DE">
                  <w:pPr>
                    <w:pStyle w:val="TableColumnHeading"/>
                  </w:pPr>
                  <w:r>
                    <w:t>Average load (</w:t>
                  </w:r>
                  <m:oMath>
                    <m:acc>
                      <m:accPr>
                        <m:chr m:val="̅"/>
                        <m:ctrlPr>
                          <w:rPr>
                            <w:rFonts w:ascii="Cambria Math" w:hAnsi="Cambria Math"/>
                            <w:i w:val="0"/>
                          </w:rPr>
                        </m:ctrlPr>
                      </m:accPr>
                      <m:e>
                        <m:sSub>
                          <m:sSubPr>
                            <m:ctrlPr>
                              <w:rPr>
                                <w:rFonts w:ascii="Cambria Math" w:hAnsi="Cambria Math"/>
                                <w:i w:val="0"/>
                              </w:rPr>
                            </m:ctrlPr>
                          </m:sSubPr>
                          <m:e>
                            <m:r>
                              <w:rPr>
                                <w:rFonts w:ascii="Cambria Math" w:hAnsi="Cambria Math"/>
                              </w:rPr>
                              <m:t>t</m:t>
                            </m:r>
                          </m:e>
                          <m:sub>
                            <m:r>
                              <w:rPr>
                                <w:rFonts w:ascii="Cambria Math" w:hAnsi="Cambria Math"/>
                              </w:rPr>
                              <m:t>j</m:t>
                            </m:r>
                          </m:sub>
                        </m:sSub>
                      </m:e>
                    </m:acc>
                  </m:oMath>
                  <w:r>
                    <w:t>)</w:t>
                  </w:r>
                </w:p>
              </w:tc>
              <w:tc>
                <w:tcPr>
                  <w:tcW w:w="602" w:type="pct"/>
                  <w:tcBorders>
                    <w:top w:val="single" w:sz="6" w:space="0" w:color="BFBFBF"/>
                    <w:bottom w:val="single" w:sz="6" w:space="0" w:color="BFBFBF"/>
                  </w:tcBorders>
                </w:tcPr>
                <w:p w14:paraId="3D679A50" w14:textId="77777777" w:rsidR="00EA18DE" w:rsidRDefault="00EA18DE" w:rsidP="00EA18DE">
                  <w:pPr>
                    <w:pStyle w:val="TableColumnHeading"/>
                  </w:pPr>
                  <w:r>
                    <w:t xml:space="preserve">Operating cost per </w:t>
                  </w:r>
                  <w:proofErr w:type="spellStart"/>
                  <w:r>
                    <w:t>tkm</w:t>
                  </w:r>
                  <w:proofErr w:type="spellEnd"/>
                  <w:r>
                    <w:t xml:space="preserve"> (</w:t>
                  </w:r>
                  <m:oMath>
                    <m:sSubSup>
                      <m:sSubSupPr>
                        <m:ctrlPr>
                          <w:rPr>
                            <w:rFonts w:ascii="Cambria Math" w:hAnsi="Cambria Math"/>
                            <w:i w:val="0"/>
                          </w:rPr>
                        </m:ctrlPr>
                      </m:sSubSupPr>
                      <m:e>
                        <m:r>
                          <w:rPr>
                            <w:rFonts w:ascii="Cambria Math" w:hAnsi="Cambria Math"/>
                          </w:rPr>
                          <m:t>c</m:t>
                        </m:r>
                      </m:e>
                      <m:sub>
                        <m:r>
                          <w:rPr>
                            <w:rFonts w:ascii="Cambria Math" w:hAnsi="Cambria Math"/>
                          </w:rPr>
                          <m:t>j</m:t>
                        </m:r>
                      </m:sub>
                      <m:sup>
                        <m:r>
                          <w:rPr>
                            <w:rFonts w:ascii="Cambria Math" w:hAnsi="Cambria Math"/>
                          </w:rPr>
                          <m:t>O</m:t>
                        </m:r>
                      </m:sup>
                    </m:sSubSup>
                  </m:oMath>
                  <w:r>
                    <w:t>)</w:t>
                  </w:r>
                </w:p>
              </w:tc>
              <w:tc>
                <w:tcPr>
                  <w:tcW w:w="775" w:type="pct"/>
                  <w:tcBorders>
                    <w:top w:val="single" w:sz="6" w:space="0" w:color="BFBFBF"/>
                    <w:bottom w:val="single" w:sz="6" w:space="0" w:color="BFBFBF"/>
                  </w:tcBorders>
                </w:tcPr>
                <w:p w14:paraId="4A97B725" w14:textId="77777777" w:rsidR="00EA18DE" w:rsidRDefault="00EA18DE" w:rsidP="00EA18DE">
                  <w:pPr>
                    <w:pStyle w:val="TableColumnHeading"/>
                  </w:pPr>
                  <w:r>
                    <w:t>Infrastructure cost (</w:t>
                  </w:r>
                  <m:oMath>
                    <m:sSubSup>
                      <m:sSubSupPr>
                        <m:ctrlPr>
                          <w:rPr>
                            <w:rFonts w:ascii="Cambria Math" w:hAnsi="Cambria Math"/>
                            <w:i w:val="0"/>
                          </w:rPr>
                        </m:ctrlPr>
                      </m:sSubSupPr>
                      <m:e>
                        <m:r>
                          <w:rPr>
                            <w:rFonts w:ascii="Cambria Math" w:hAnsi="Cambria Math"/>
                          </w:rPr>
                          <m:t>c</m:t>
                        </m:r>
                      </m:e>
                      <m:sub>
                        <m:r>
                          <w:rPr>
                            <w:rFonts w:ascii="Cambria Math" w:hAnsi="Cambria Math"/>
                          </w:rPr>
                          <m:t>j</m:t>
                        </m:r>
                      </m:sub>
                      <m:sup>
                        <m:r>
                          <w:rPr>
                            <w:rFonts w:ascii="Cambria Math" w:hAnsi="Cambria Math"/>
                          </w:rPr>
                          <m:t>I</m:t>
                        </m:r>
                      </m:sup>
                    </m:sSubSup>
                  </m:oMath>
                  <w:r>
                    <w:t>)</w:t>
                  </w:r>
                </w:p>
              </w:tc>
              <w:tc>
                <w:tcPr>
                  <w:tcW w:w="431" w:type="pct"/>
                  <w:tcBorders>
                    <w:top w:val="single" w:sz="6" w:space="0" w:color="BFBFBF"/>
                    <w:bottom w:val="single" w:sz="6" w:space="0" w:color="BFBFBF"/>
                  </w:tcBorders>
                </w:tcPr>
                <w:p w14:paraId="3959D63E" w14:textId="77777777" w:rsidR="00EA18DE" w:rsidRDefault="00EA18DE" w:rsidP="00EA18DE">
                  <w:pPr>
                    <w:pStyle w:val="TableColumnHeading"/>
                  </w:pPr>
                  <w:r>
                    <w:t>Route length (</w:t>
                  </w:r>
                  <m:oMath>
                    <m:r>
                      <w:rPr>
                        <w:rFonts w:ascii="Cambria Math" w:hAnsi="Cambria Math"/>
                      </w:rPr>
                      <m:t>km</m:t>
                    </m:r>
                  </m:oMath>
                  <w:r>
                    <w:t>)</w:t>
                  </w:r>
                </w:p>
              </w:tc>
              <w:tc>
                <w:tcPr>
                  <w:tcW w:w="906" w:type="pct"/>
                  <w:tcBorders>
                    <w:top w:val="single" w:sz="6" w:space="0" w:color="BFBFBF"/>
                    <w:bottom w:val="single" w:sz="6" w:space="0" w:color="BFBFBF"/>
                  </w:tcBorders>
                </w:tcPr>
                <w:p w14:paraId="467CCD28" w14:textId="77777777" w:rsidR="00EA18DE" w:rsidRDefault="00EA18DE" w:rsidP="00EA18DE">
                  <w:pPr>
                    <w:pStyle w:val="TableColumnHeading"/>
                  </w:pPr>
                  <w:r>
                    <w:t>Vehicle movements (</w:t>
                  </w:r>
                  <m:oMath>
                    <m:sSub>
                      <m:sSubPr>
                        <m:ctrlPr>
                          <w:rPr>
                            <w:rFonts w:ascii="Cambria Math" w:hAnsi="Cambria Math"/>
                            <w:i w:val="0"/>
                          </w:rPr>
                        </m:ctrlPr>
                      </m:sSubPr>
                      <m:e>
                        <m:r>
                          <w:rPr>
                            <w:rFonts w:ascii="Cambria Math" w:hAnsi="Cambria Math"/>
                          </w:rPr>
                          <m:t>n</m:t>
                        </m:r>
                      </m:e>
                      <m:sub>
                        <m:r>
                          <w:rPr>
                            <w:rFonts w:ascii="Cambria Math" w:hAnsi="Cambria Math"/>
                          </w:rPr>
                          <m:t>j</m:t>
                        </m:r>
                      </m:sub>
                    </m:sSub>
                  </m:oMath>
                  <w:r>
                    <w:t>) to deliver 1000 tonnes</w:t>
                  </w:r>
                </w:p>
              </w:tc>
              <w:tc>
                <w:tcPr>
                  <w:tcW w:w="819" w:type="pct"/>
                  <w:tcBorders>
                    <w:top w:val="single" w:sz="6" w:space="0" w:color="BFBFBF"/>
                    <w:bottom w:val="single" w:sz="6" w:space="0" w:color="BFBFBF"/>
                  </w:tcBorders>
                  <w:shd w:val="clear" w:color="auto" w:fill="auto"/>
                  <w:tcMar>
                    <w:top w:w="28" w:type="dxa"/>
                  </w:tcMar>
                </w:tcPr>
                <w:p w14:paraId="3CD7600F" w14:textId="77777777" w:rsidR="00EA18DE" w:rsidRDefault="00EA18DE" w:rsidP="00EA18DE">
                  <w:pPr>
                    <w:pStyle w:val="TableColumnHeading"/>
                    <w:ind w:right="28"/>
                  </w:pPr>
                  <w:r>
                    <w:t>Total cost (</w:t>
                  </w:r>
                  <m:oMath>
                    <m:sSubSup>
                      <m:sSubSupPr>
                        <m:ctrlPr>
                          <w:rPr>
                            <w:rFonts w:ascii="Cambria Math" w:hAnsi="Cambria Math"/>
                          </w:rPr>
                        </m:ctrlPr>
                      </m:sSubSupPr>
                      <m:e>
                        <m:r>
                          <w:rPr>
                            <w:rFonts w:ascii="Cambria Math" w:hAnsi="Cambria Math"/>
                          </w:rPr>
                          <m:t>c</m:t>
                        </m:r>
                      </m:e>
                      <m:sub>
                        <m:r>
                          <w:rPr>
                            <w:rFonts w:ascii="Cambria Math" w:hAnsi="Cambria Math"/>
                          </w:rPr>
                          <m:t>j</m:t>
                        </m:r>
                      </m:sub>
                      <m:sup>
                        <m:r>
                          <w:rPr>
                            <w:rFonts w:ascii="Cambria Math" w:hAnsi="Cambria Math"/>
                          </w:rPr>
                          <m:t>O</m:t>
                        </m:r>
                      </m:sup>
                    </m:sSubSup>
                    <m:acc>
                      <m:accPr>
                        <m:chr m:val="̅"/>
                        <m:ctrlPr>
                          <w:rPr>
                            <w:rFonts w:ascii="Cambria Math" w:hAnsi="Cambria Math"/>
                            <w:i w:val="0"/>
                          </w:rPr>
                        </m:ctrlPr>
                      </m:accPr>
                      <m:e>
                        <m:sSub>
                          <m:sSubPr>
                            <m:ctrlPr>
                              <w:rPr>
                                <w:rFonts w:ascii="Cambria Math" w:hAnsi="Cambria Math"/>
                                <w:i w:val="0"/>
                              </w:rPr>
                            </m:ctrlPr>
                          </m:sSubPr>
                          <m:e>
                            <m:r>
                              <w:rPr>
                                <w:rFonts w:ascii="Cambria Math" w:hAnsi="Cambria Math"/>
                              </w:rPr>
                              <m:t>t</m:t>
                            </m:r>
                          </m:e>
                          <m:sub>
                            <m:r>
                              <w:rPr>
                                <w:rFonts w:ascii="Cambria Math" w:hAnsi="Cambria Math"/>
                              </w:rPr>
                              <m:t>j</m:t>
                            </m:r>
                          </m:sub>
                        </m:sSub>
                      </m:e>
                    </m:acc>
                    <m:sSub>
                      <m:sSubPr>
                        <m:ctrlPr>
                          <w:rPr>
                            <w:rFonts w:ascii="Cambria Math" w:hAnsi="Cambria Math"/>
                          </w:rPr>
                        </m:ctrlPr>
                      </m:sSubPr>
                      <m:e>
                        <m:r>
                          <w:rPr>
                            <w:rFonts w:ascii="Cambria Math" w:hAnsi="Cambria Math"/>
                          </w:rPr>
                          <m:t>n</m:t>
                        </m:r>
                      </m:e>
                      <m:sub>
                        <m:r>
                          <w:rPr>
                            <w:rFonts w:ascii="Cambria Math" w:hAnsi="Cambria Math"/>
                          </w:rPr>
                          <m:t>j</m:t>
                        </m:r>
                      </m:sub>
                    </m:sSub>
                    <m:r>
                      <w:rPr>
                        <w:rFonts w:ascii="Cambria Math" w:hAnsi="Cambria Math"/>
                      </w:rPr>
                      <m:t>km+</m:t>
                    </m:r>
                    <m:sSubSup>
                      <m:sSubSupPr>
                        <m:ctrlPr>
                          <w:rPr>
                            <w:rFonts w:ascii="Cambria Math" w:hAnsi="Cambria Math"/>
                          </w:rPr>
                        </m:ctrlPr>
                      </m:sSubSupPr>
                      <m:e>
                        <m:r>
                          <w:rPr>
                            <w:rFonts w:ascii="Cambria Math" w:hAnsi="Cambria Math"/>
                          </w:rPr>
                          <m:t>c</m:t>
                        </m:r>
                      </m:e>
                      <m:sub>
                        <m:r>
                          <w:rPr>
                            <w:rFonts w:ascii="Cambria Math" w:hAnsi="Cambria Math"/>
                          </w:rPr>
                          <m:t>j</m:t>
                        </m:r>
                      </m:sub>
                      <m:sup>
                        <m:r>
                          <w:rPr>
                            <w:rFonts w:ascii="Cambria Math" w:hAnsi="Cambria Math"/>
                          </w:rPr>
                          <m:t>I</m:t>
                        </m:r>
                      </m:sup>
                    </m:sSubSup>
                  </m:oMath>
                  <w:r>
                    <w:t>)</w:t>
                  </w:r>
                </w:p>
              </w:tc>
              <w:tc>
                <w:tcPr>
                  <w:tcW w:w="431" w:type="pct"/>
                  <w:tcBorders>
                    <w:top w:val="single" w:sz="6" w:space="0" w:color="BFBFBF"/>
                    <w:bottom w:val="single" w:sz="6" w:space="0" w:color="BFBFBF"/>
                  </w:tcBorders>
                  <w:shd w:val="clear" w:color="auto" w:fill="auto"/>
                </w:tcPr>
                <w:p w14:paraId="2D8CE1D6" w14:textId="77777777" w:rsidR="00EA18DE" w:rsidRDefault="00EA18DE" w:rsidP="00EA18DE">
                  <w:pPr>
                    <w:pStyle w:val="TableColumnHeading"/>
                    <w:ind w:right="28"/>
                  </w:pPr>
                  <w:r>
                    <w:t>Total cost per tonne</w:t>
                  </w:r>
                </w:p>
              </w:tc>
            </w:tr>
            <w:tr w:rsidR="00EA18DE" w14:paraId="583EF544" w14:textId="77777777" w:rsidTr="000A69E1">
              <w:tc>
                <w:tcPr>
                  <w:tcW w:w="519" w:type="pct"/>
                  <w:tcBorders>
                    <w:top w:val="single" w:sz="6" w:space="0" w:color="BFBFBF"/>
                  </w:tcBorders>
                </w:tcPr>
                <w:p w14:paraId="49AE7233" w14:textId="77777777" w:rsidR="00EA18DE" w:rsidRDefault="00EA18DE" w:rsidP="00EA18DE">
                  <w:pPr>
                    <w:pStyle w:val="TableUnitsRow"/>
                    <w:jc w:val="left"/>
                  </w:pPr>
                  <w:r>
                    <w:t>Standard</w:t>
                  </w:r>
                </w:p>
              </w:tc>
              <w:tc>
                <w:tcPr>
                  <w:tcW w:w="518" w:type="pct"/>
                  <w:tcBorders>
                    <w:top w:val="single" w:sz="6" w:space="0" w:color="BFBFBF"/>
                  </w:tcBorders>
                </w:tcPr>
                <w:p w14:paraId="445FDA94" w14:textId="77777777" w:rsidR="00EA18DE" w:rsidRDefault="00EA18DE" w:rsidP="00EA18DE">
                  <w:pPr>
                    <w:pStyle w:val="TableBodyText"/>
                  </w:pPr>
                  <w:r>
                    <w:t>10</w:t>
                  </w:r>
                </w:p>
              </w:tc>
              <w:tc>
                <w:tcPr>
                  <w:tcW w:w="602" w:type="pct"/>
                  <w:tcBorders>
                    <w:top w:val="single" w:sz="6" w:space="0" w:color="BFBFBF"/>
                  </w:tcBorders>
                </w:tcPr>
                <w:p w14:paraId="2C51479E" w14:textId="77777777" w:rsidR="00EA18DE" w:rsidRDefault="00EA18DE" w:rsidP="00EA18DE">
                  <w:pPr>
                    <w:pStyle w:val="TableBodyText"/>
                  </w:pPr>
                  <w:r>
                    <w:t>1.0</w:t>
                  </w:r>
                </w:p>
              </w:tc>
              <w:tc>
                <w:tcPr>
                  <w:tcW w:w="775" w:type="pct"/>
                  <w:tcBorders>
                    <w:top w:val="single" w:sz="6" w:space="0" w:color="BFBFBF"/>
                  </w:tcBorders>
                </w:tcPr>
                <w:p w14:paraId="453548CC" w14:textId="77777777" w:rsidR="00EA18DE" w:rsidRDefault="00EA18DE" w:rsidP="00EA18DE">
                  <w:pPr>
                    <w:pStyle w:val="TableBodyText"/>
                  </w:pPr>
                  <w:r>
                    <w:t>100</w:t>
                  </w:r>
                </w:p>
              </w:tc>
              <w:tc>
                <w:tcPr>
                  <w:tcW w:w="431" w:type="pct"/>
                  <w:tcBorders>
                    <w:top w:val="single" w:sz="6" w:space="0" w:color="BFBFBF"/>
                  </w:tcBorders>
                </w:tcPr>
                <w:p w14:paraId="28369021" w14:textId="77777777" w:rsidR="00EA18DE" w:rsidRDefault="00EA18DE" w:rsidP="00EA18DE">
                  <w:pPr>
                    <w:pStyle w:val="TableBodyText"/>
                  </w:pPr>
                  <w:r>
                    <w:t>1</w:t>
                  </w:r>
                </w:p>
              </w:tc>
              <w:tc>
                <w:tcPr>
                  <w:tcW w:w="906" w:type="pct"/>
                  <w:tcBorders>
                    <w:top w:val="single" w:sz="6" w:space="0" w:color="BFBFBF"/>
                  </w:tcBorders>
                </w:tcPr>
                <w:p w14:paraId="5044098B" w14:textId="77777777" w:rsidR="00EA18DE" w:rsidRDefault="00EA18DE" w:rsidP="00EA18DE">
                  <w:pPr>
                    <w:pStyle w:val="TableBodyText"/>
                  </w:pPr>
                  <w:r>
                    <w:t>100</w:t>
                  </w:r>
                </w:p>
              </w:tc>
              <w:tc>
                <w:tcPr>
                  <w:tcW w:w="819" w:type="pct"/>
                  <w:tcBorders>
                    <w:top w:val="single" w:sz="6" w:space="0" w:color="BFBFBF"/>
                  </w:tcBorders>
                </w:tcPr>
                <w:p w14:paraId="5D2F053E" w14:textId="77777777" w:rsidR="00EA18DE" w:rsidRDefault="00EA18DE" w:rsidP="00EA18DE">
                  <w:pPr>
                    <w:pStyle w:val="TableBodyText"/>
                  </w:pPr>
                  <w:r>
                    <w:t>1 100</w:t>
                  </w:r>
                </w:p>
              </w:tc>
              <w:tc>
                <w:tcPr>
                  <w:tcW w:w="431" w:type="pct"/>
                  <w:tcBorders>
                    <w:top w:val="single" w:sz="6" w:space="0" w:color="BFBFBF"/>
                  </w:tcBorders>
                </w:tcPr>
                <w:p w14:paraId="6FE8FD01" w14:textId="77777777" w:rsidR="00EA18DE" w:rsidRDefault="00EA18DE" w:rsidP="00EA18DE">
                  <w:pPr>
                    <w:pStyle w:val="TableBodyText"/>
                  </w:pPr>
                  <w:r>
                    <w:t>1.10</w:t>
                  </w:r>
                </w:p>
              </w:tc>
            </w:tr>
            <w:tr w:rsidR="00EA18DE" w14:paraId="0607BF42" w14:textId="77777777" w:rsidTr="000A69E1">
              <w:tc>
                <w:tcPr>
                  <w:tcW w:w="519" w:type="pct"/>
                  <w:tcBorders>
                    <w:bottom w:val="single" w:sz="4" w:space="0" w:color="BFBFBF"/>
                  </w:tcBorders>
                </w:tcPr>
                <w:p w14:paraId="02540CBF" w14:textId="77777777" w:rsidR="00EA18DE" w:rsidRDefault="00EA18DE" w:rsidP="00EA18DE">
                  <w:pPr>
                    <w:pStyle w:val="TableBodyText"/>
                    <w:jc w:val="left"/>
                  </w:pPr>
                  <w:r>
                    <w:t>Large</w:t>
                  </w:r>
                </w:p>
              </w:tc>
              <w:tc>
                <w:tcPr>
                  <w:tcW w:w="518" w:type="pct"/>
                  <w:tcBorders>
                    <w:bottom w:val="single" w:sz="4" w:space="0" w:color="BFBFBF"/>
                  </w:tcBorders>
                </w:tcPr>
                <w:p w14:paraId="6D79A319" w14:textId="77777777" w:rsidR="00EA18DE" w:rsidRDefault="00EA18DE" w:rsidP="00EA18DE">
                  <w:pPr>
                    <w:pStyle w:val="TableBodyText"/>
                  </w:pPr>
                  <w:r>
                    <w:t>20</w:t>
                  </w:r>
                </w:p>
              </w:tc>
              <w:tc>
                <w:tcPr>
                  <w:tcW w:w="602" w:type="pct"/>
                  <w:tcBorders>
                    <w:bottom w:val="single" w:sz="4" w:space="0" w:color="BFBFBF"/>
                  </w:tcBorders>
                </w:tcPr>
                <w:p w14:paraId="6E72DA43" w14:textId="77777777" w:rsidR="00EA18DE" w:rsidRDefault="00EA18DE" w:rsidP="00EA18DE">
                  <w:pPr>
                    <w:pStyle w:val="TableBodyText"/>
                  </w:pPr>
                  <w:r>
                    <w:t>0.5</w:t>
                  </w:r>
                </w:p>
              </w:tc>
              <w:tc>
                <w:tcPr>
                  <w:tcW w:w="775" w:type="pct"/>
                  <w:tcBorders>
                    <w:bottom w:val="single" w:sz="4" w:space="0" w:color="BFBFBF"/>
                  </w:tcBorders>
                </w:tcPr>
                <w:p w14:paraId="472C2790" w14:textId="77777777" w:rsidR="00EA18DE" w:rsidRDefault="00EA18DE" w:rsidP="00EA18DE">
                  <w:pPr>
                    <w:pStyle w:val="TableBodyText"/>
                  </w:pPr>
                  <w:r>
                    <w:t>100</w:t>
                  </w:r>
                </w:p>
              </w:tc>
              <w:tc>
                <w:tcPr>
                  <w:tcW w:w="431" w:type="pct"/>
                  <w:tcBorders>
                    <w:bottom w:val="single" w:sz="4" w:space="0" w:color="BFBFBF"/>
                  </w:tcBorders>
                </w:tcPr>
                <w:p w14:paraId="03F69675" w14:textId="77777777" w:rsidR="00EA18DE" w:rsidRDefault="00EA18DE" w:rsidP="00EA18DE">
                  <w:pPr>
                    <w:pStyle w:val="TableBodyText"/>
                  </w:pPr>
                  <w:r>
                    <w:t>1</w:t>
                  </w:r>
                </w:p>
              </w:tc>
              <w:tc>
                <w:tcPr>
                  <w:tcW w:w="906" w:type="pct"/>
                  <w:tcBorders>
                    <w:bottom w:val="single" w:sz="4" w:space="0" w:color="BFBFBF"/>
                  </w:tcBorders>
                </w:tcPr>
                <w:p w14:paraId="25F6C37F" w14:textId="77777777" w:rsidR="00EA18DE" w:rsidRDefault="00EA18DE" w:rsidP="00EA18DE">
                  <w:pPr>
                    <w:pStyle w:val="TableBodyText"/>
                  </w:pPr>
                  <w:r>
                    <w:t>50</w:t>
                  </w:r>
                </w:p>
              </w:tc>
              <w:tc>
                <w:tcPr>
                  <w:tcW w:w="819" w:type="pct"/>
                  <w:tcBorders>
                    <w:bottom w:val="single" w:sz="4" w:space="0" w:color="BFBFBF"/>
                  </w:tcBorders>
                </w:tcPr>
                <w:p w14:paraId="06B6B36F" w14:textId="77777777" w:rsidR="00EA18DE" w:rsidRDefault="00EA18DE" w:rsidP="00EA18DE">
                  <w:pPr>
                    <w:pStyle w:val="TableBodyText"/>
                  </w:pPr>
                  <w:r>
                    <w:t>600</w:t>
                  </w:r>
                </w:p>
              </w:tc>
              <w:tc>
                <w:tcPr>
                  <w:tcW w:w="431" w:type="pct"/>
                  <w:tcBorders>
                    <w:bottom w:val="single" w:sz="4" w:space="0" w:color="BFBFBF"/>
                  </w:tcBorders>
                </w:tcPr>
                <w:p w14:paraId="2A0E6A10" w14:textId="77777777" w:rsidR="00EA18DE" w:rsidRDefault="00EA18DE" w:rsidP="00EA18DE">
                  <w:pPr>
                    <w:pStyle w:val="TableBodyText"/>
                  </w:pPr>
                  <w:r>
                    <w:t>0.60</w:t>
                  </w:r>
                </w:p>
              </w:tc>
            </w:tr>
          </w:tbl>
          <w:p w14:paraId="23D064D6" w14:textId="033A281A" w:rsidR="00EE540F" w:rsidRDefault="002371B9" w:rsidP="00EA18DE">
            <w:pPr>
              <w:pStyle w:val="BoxHeading2"/>
              <w:spacing w:before="240"/>
            </w:pPr>
            <w:r>
              <w:t>Example</w:t>
            </w:r>
            <w:r w:rsidDel="008C7DFB">
              <w:t xml:space="preserve"> </w:t>
            </w:r>
            <w:r w:rsidR="00EE540F" w:rsidDel="008C7DFB">
              <w:t xml:space="preserve">2: </w:t>
            </w:r>
            <w:r w:rsidR="00EE540F">
              <w:t>Effects of road infrastructure costs</w:t>
            </w:r>
          </w:p>
          <w:p w14:paraId="0CB921EA" w14:textId="1E01534B" w:rsidR="00EE540F" w:rsidRDefault="006213F2" w:rsidP="00EA18DE">
            <w:pPr>
              <w:pStyle w:val="Box"/>
              <w:spacing w:after="240"/>
            </w:pPr>
            <w:r>
              <w:t xml:space="preserve">Suppose now that allowing the large vehicle to travel on the route </w:t>
            </w:r>
            <w:r w:rsidR="000E5F06">
              <w:t xml:space="preserve">would require </w:t>
            </w:r>
            <w:r w:rsidR="001518A2">
              <w:t>double the infrastructure cost relative to standard vehicles, for example due to</w:t>
            </w:r>
            <w:r w:rsidR="00EE540F">
              <w:t xml:space="preserve"> </w:t>
            </w:r>
            <w:r w:rsidR="006D1C89">
              <w:t xml:space="preserve">reinforced infrastructure to prevent </w:t>
            </w:r>
            <w:r w:rsidR="00EE540F">
              <w:t>pavement damage</w:t>
            </w:r>
            <w:r w:rsidR="00143FEA">
              <w:t xml:space="preserve"> or road widening requirements</w:t>
            </w:r>
            <w:r w:rsidR="00A6253E">
              <w:t xml:space="preserve"> to safe</w:t>
            </w:r>
            <w:r w:rsidR="002B0D46">
              <w:t>l</w:t>
            </w:r>
            <w:r w:rsidR="00A6253E">
              <w:t>y facilitate access</w:t>
            </w:r>
            <w:r w:rsidR="00C97FB5">
              <w:t>.</w:t>
            </w:r>
            <w:r w:rsidR="00EE540F">
              <w:t xml:space="preserve"> In the example below,</w:t>
            </w:r>
            <w:r w:rsidR="005957CB">
              <w:t xml:space="preserve"> large vehicles can still deliver the freight in fewer vehicle movements and at a lower total cost than standard vehicles.</w:t>
            </w:r>
            <w:r w:rsidR="0084579C">
              <w:t xml:space="preserve"> Allowing large vehicles to access the route would still promote cost efficiency, but </w:t>
            </w:r>
            <w:r w:rsidR="005957CB">
              <w:t xml:space="preserve">the cost </w:t>
            </w:r>
            <w:r w:rsidR="0084579C">
              <w:t xml:space="preserve">savings relative to allowing standard vehicles only </w:t>
            </w:r>
            <w:r w:rsidR="005957CB">
              <w:t>is smaller than in the first example.</w:t>
            </w:r>
            <w:r w:rsidR="008D1309">
              <w:t xml:space="preserve"> </w:t>
            </w:r>
          </w:p>
          <w:tbl>
            <w:tblPr>
              <w:tblW w:w="5000" w:type="pct"/>
              <w:tblCellMar>
                <w:top w:w="28" w:type="dxa"/>
                <w:left w:w="0" w:type="dxa"/>
                <w:right w:w="0" w:type="dxa"/>
              </w:tblCellMar>
              <w:tblLook w:val="0000" w:firstRow="0" w:lastRow="0" w:firstColumn="0" w:lastColumn="0" w:noHBand="0" w:noVBand="0"/>
            </w:tblPr>
            <w:tblGrid>
              <w:gridCol w:w="884"/>
              <w:gridCol w:w="881"/>
              <w:gridCol w:w="1024"/>
              <w:gridCol w:w="1318"/>
              <w:gridCol w:w="733"/>
              <w:gridCol w:w="1541"/>
              <w:gridCol w:w="1393"/>
              <w:gridCol w:w="731"/>
            </w:tblGrid>
            <w:tr w:rsidR="00EA18DE" w14:paraId="75ECCAAB" w14:textId="77777777" w:rsidTr="000A69E1">
              <w:trPr>
                <w:tblHeader/>
              </w:trPr>
              <w:tc>
                <w:tcPr>
                  <w:tcW w:w="519" w:type="pct"/>
                  <w:tcBorders>
                    <w:top w:val="single" w:sz="6" w:space="0" w:color="BFBFBF"/>
                    <w:bottom w:val="single" w:sz="6" w:space="0" w:color="BFBFBF"/>
                  </w:tcBorders>
                  <w:shd w:val="clear" w:color="auto" w:fill="auto"/>
                  <w:tcMar>
                    <w:top w:w="28" w:type="dxa"/>
                  </w:tcMar>
                </w:tcPr>
                <w:p w14:paraId="00099CBF" w14:textId="77777777" w:rsidR="00EA18DE" w:rsidRDefault="00EA18DE" w:rsidP="00EA18DE">
                  <w:pPr>
                    <w:pStyle w:val="TableColumnHeading"/>
                    <w:jc w:val="left"/>
                  </w:pPr>
                  <w:r>
                    <w:t>Vehicle type (</w:t>
                  </w:r>
                  <m:oMath>
                    <m:r>
                      <w:rPr>
                        <w:rFonts w:ascii="Cambria Math" w:hAnsi="Cambria Math"/>
                      </w:rPr>
                      <m:t>j</m:t>
                    </m:r>
                  </m:oMath>
                  <w:r>
                    <w:rPr>
                      <w:iCs/>
                    </w:rPr>
                    <w:t>)</w:t>
                  </w:r>
                </w:p>
              </w:tc>
              <w:tc>
                <w:tcPr>
                  <w:tcW w:w="518" w:type="pct"/>
                  <w:tcBorders>
                    <w:top w:val="single" w:sz="6" w:space="0" w:color="BFBFBF"/>
                    <w:bottom w:val="single" w:sz="6" w:space="0" w:color="BFBFBF"/>
                  </w:tcBorders>
                </w:tcPr>
                <w:p w14:paraId="0BCEEF0E" w14:textId="77777777" w:rsidR="00EA18DE" w:rsidRDefault="00EA18DE" w:rsidP="00EA18DE">
                  <w:pPr>
                    <w:pStyle w:val="TableColumnHeading"/>
                  </w:pPr>
                  <w:r>
                    <w:t>Average load (</w:t>
                  </w:r>
                  <m:oMath>
                    <m:acc>
                      <m:accPr>
                        <m:chr m:val="̅"/>
                        <m:ctrlPr>
                          <w:rPr>
                            <w:rFonts w:ascii="Cambria Math" w:hAnsi="Cambria Math"/>
                            <w:i w:val="0"/>
                          </w:rPr>
                        </m:ctrlPr>
                      </m:accPr>
                      <m:e>
                        <m:sSub>
                          <m:sSubPr>
                            <m:ctrlPr>
                              <w:rPr>
                                <w:rFonts w:ascii="Cambria Math" w:hAnsi="Cambria Math"/>
                                <w:i w:val="0"/>
                              </w:rPr>
                            </m:ctrlPr>
                          </m:sSubPr>
                          <m:e>
                            <m:r>
                              <w:rPr>
                                <w:rFonts w:ascii="Cambria Math" w:hAnsi="Cambria Math"/>
                              </w:rPr>
                              <m:t>t</m:t>
                            </m:r>
                          </m:e>
                          <m:sub>
                            <m:r>
                              <w:rPr>
                                <w:rFonts w:ascii="Cambria Math" w:hAnsi="Cambria Math"/>
                              </w:rPr>
                              <m:t>j</m:t>
                            </m:r>
                          </m:sub>
                        </m:sSub>
                      </m:e>
                    </m:acc>
                  </m:oMath>
                  <w:r>
                    <w:t>)</w:t>
                  </w:r>
                </w:p>
              </w:tc>
              <w:tc>
                <w:tcPr>
                  <w:tcW w:w="602" w:type="pct"/>
                  <w:tcBorders>
                    <w:top w:val="single" w:sz="6" w:space="0" w:color="BFBFBF"/>
                    <w:bottom w:val="single" w:sz="6" w:space="0" w:color="BFBFBF"/>
                  </w:tcBorders>
                </w:tcPr>
                <w:p w14:paraId="1CB5B140" w14:textId="77777777" w:rsidR="00EA18DE" w:rsidRDefault="00EA18DE" w:rsidP="00EA18DE">
                  <w:pPr>
                    <w:pStyle w:val="TableColumnHeading"/>
                  </w:pPr>
                  <w:r>
                    <w:t xml:space="preserve">Operating cost per </w:t>
                  </w:r>
                  <w:proofErr w:type="spellStart"/>
                  <w:r>
                    <w:t>tkm</w:t>
                  </w:r>
                  <w:proofErr w:type="spellEnd"/>
                  <w:r>
                    <w:t xml:space="preserve"> (</w:t>
                  </w:r>
                  <m:oMath>
                    <m:sSubSup>
                      <m:sSubSupPr>
                        <m:ctrlPr>
                          <w:rPr>
                            <w:rFonts w:ascii="Cambria Math" w:hAnsi="Cambria Math"/>
                            <w:i w:val="0"/>
                          </w:rPr>
                        </m:ctrlPr>
                      </m:sSubSupPr>
                      <m:e>
                        <m:r>
                          <w:rPr>
                            <w:rFonts w:ascii="Cambria Math" w:hAnsi="Cambria Math"/>
                          </w:rPr>
                          <m:t>c</m:t>
                        </m:r>
                      </m:e>
                      <m:sub>
                        <m:r>
                          <w:rPr>
                            <w:rFonts w:ascii="Cambria Math" w:hAnsi="Cambria Math"/>
                          </w:rPr>
                          <m:t>j</m:t>
                        </m:r>
                      </m:sub>
                      <m:sup>
                        <m:r>
                          <w:rPr>
                            <w:rFonts w:ascii="Cambria Math" w:hAnsi="Cambria Math"/>
                          </w:rPr>
                          <m:t>O</m:t>
                        </m:r>
                      </m:sup>
                    </m:sSubSup>
                  </m:oMath>
                  <w:r>
                    <w:t>)</w:t>
                  </w:r>
                </w:p>
              </w:tc>
              <w:tc>
                <w:tcPr>
                  <w:tcW w:w="775" w:type="pct"/>
                  <w:tcBorders>
                    <w:top w:val="single" w:sz="6" w:space="0" w:color="BFBFBF"/>
                    <w:bottom w:val="single" w:sz="6" w:space="0" w:color="BFBFBF"/>
                  </w:tcBorders>
                </w:tcPr>
                <w:p w14:paraId="015D9820" w14:textId="77777777" w:rsidR="00EA18DE" w:rsidRDefault="00EA18DE" w:rsidP="00EA18DE">
                  <w:pPr>
                    <w:pStyle w:val="TableColumnHeading"/>
                  </w:pPr>
                  <w:r>
                    <w:t>Infrastructure cost (</w:t>
                  </w:r>
                  <m:oMath>
                    <m:sSubSup>
                      <m:sSubSupPr>
                        <m:ctrlPr>
                          <w:rPr>
                            <w:rFonts w:ascii="Cambria Math" w:hAnsi="Cambria Math"/>
                            <w:i w:val="0"/>
                          </w:rPr>
                        </m:ctrlPr>
                      </m:sSubSupPr>
                      <m:e>
                        <m:r>
                          <w:rPr>
                            <w:rFonts w:ascii="Cambria Math" w:hAnsi="Cambria Math"/>
                          </w:rPr>
                          <m:t>c</m:t>
                        </m:r>
                      </m:e>
                      <m:sub>
                        <m:r>
                          <w:rPr>
                            <w:rFonts w:ascii="Cambria Math" w:hAnsi="Cambria Math"/>
                          </w:rPr>
                          <m:t>j</m:t>
                        </m:r>
                      </m:sub>
                      <m:sup>
                        <m:r>
                          <w:rPr>
                            <w:rFonts w:ascii="Cambria Math" w:hAnsi="Cambria Math"/>
                          </w:rPr>
                          <m:t>I</m:t>
                        </m:r>
                      </m:sup>
                    </m:sSubSup>
                  </m:oMath>
                  <w:r>
                    <w:t>)</w:t>
                  </w:r>
                </w:p>
              </w:tc>
              <w:tc>
                <w:tcPr>
                  <w:tcW w:w="431" w:type="pct"/>
                  <w:tcBorders>
                    <w:top w:val="single" w:sz="6" w:space="0" w:color="BFBFBF"/>
                    <w:bottom w:val="single" w:sz="6" w:space="0" w:color="BFBFBF"/>
                  </w:tcBorders>
                </w:tcPr>
                <w:p w14:paraId="7EA1A38A" w14:textId="77777777" w:rsidR="00EA18DE" w:rsidRDefault="00EA18DE" w:rsidP="00EA18DE">
                  <w:pPr>
                    <w:pStyle w:val="TableColumnHeading"/>
                  </w:pPr>
                  <w:r>
                    <w:t>Route length (</w:t>
                  </w:r>
                  <m:oMath>
                    <m:r>
                      <w:rPr>
                        <w:rFonts w:ascii="Cambria Math" w:hAnsi="Cambria Math"/>
                      </w:rPr>
                      <m:t>km</m:t>
                    </m:r>
                  </m:oMath>
                  <w:r>
                    <w:t>)</w:t>
                  </w:r>
                </w:p>
              </w:tc>
              <w:tc>
                <w:tcPr>
                  <w:tcW w:w="906" w:type="pct"/>
                  <w:tcBorders>
                    <w:top w:val="single" w:sz="6" w:space="0" w:color="BFBFBF"/>
                    <w:bottom w:val="single" w:sz="6" w:space="0" w:color="BFBFBF"/>
                  </w:tcBorders>
                </w:tcPr>
                <w:p w14:paraId="1A0BF3E0" w14:textId="77777777" w:rsidR="00EA18DE" w:rsidRDefault="00EA18DE" w:rsidP="00EA18DE">
                  <w:pPr>
                    <w:pStyle w:val="TableColumnHeading"/>
                  </w:pPr>
                  <w:r>
                    <w:t>Vehicle movements (</w:t>
                  </w:r>
                  <m:oMath>
                    <m:sSub>
                      <m:sSubPr>
                        <m:ctrlPr>
                          <w:rPr>
                            <w:rFonts w:ascii="Cambria Math" w:hAnsi="Cambria Math"/>
                            <w:i w:val="0"/>
                          </w:rPr>
                        </m:ctrlPr>
                      </m:sSubPr>
                      <m:e>
                        <m:r>
                          <w:rPr>
                            <w:rFonts w:ascii="Cambria Math" w:hAnsi="Cambria Math"/>
                          </w:rPr>
                          <m:t>n</m:t>
                        </m:r>
                      </m:e>
                      <m:sub>
                        <m:r>
                          <w:rPr>
                            <w:rFonts w:ascii="Cambria Math" w:hAnsi="Cambria Math"/>
                          </w:rPr>
                          <m:t>j</m:t>
                        </m:r>
                      </m:sub>
                    </m:sSub>
                  </m:oMath>
                  <w:r>
                    <w:t>) to deliver 1000 tonnes</w:t>
                  </w:r>
                </w:p>
              </w:tc>
              <w:tc>
                <w:tcPr>
                  <w:tcW w:w="819" w:type="pct"/>
                  <w:tcBorders>
                    <w:top w:val="single" w:sz="6" w:space="0" w:color="BFBFBF"/>
                    <w:bottom w:val="single" w:sz="6" w:space="0" w:color="BFBFBF"/>
                  </w:tcBorders>
                  <w:shd w:val="clear" w:color="auto" w:fill="auto"/>
                  <w:tcMar>
                    <w:top w:w="28" w:type="dxa"/>
                  </w:tcMar>
                </w:tcPr>
                <w:p w14:paraId="57979870" w14:textId="77777777" w:rsidR="00EA18DE" w:rsidRDefault="00EA18DE" w:rsidP="00EA18DE">
                  <w:pPr>
                    <w:pStyle w:val="TableColumnHeading"/>
                    <w:ind w:right="28"/>
                  </w:pPr>
                  <w:r>
                    <w:t>Total cost (</w:t>
                  </w:r>
                  <m:oMath>
                    <m:sSubSup>
                      <m:sSubSupPr>
                        <m:ctrlPr>
                          <w:rPr>
                            <w:rFonts w:ascii="Cambria Math" w:hAnsi="Cambria Math"/>
                          </w:rPr>
                        </m:ctrlPr>
                      </m:sSubSupPr>
                      <m:e>
                        <m:r>
                          <w:rPr>
                            <w:rFonts w:ascii="Cambria Math" w:hAnsi="Cambria Math"/>
                          </w:rPr>
                          <m:t>c</m:t>
                        </m:r>
                      </m:e>
                      <m:sub>
                        <m:r>
                          <w:rPr>
                            <w:rFonts w:ascii="Cambria Math" w:hAnsi="Cambria Math"/>
                          </w:rPr>
                          <m:t>j</m:t>
                        </m:r>
                      </m:sub>
                      <m:sup>
                        <m:r>
                          <w:rPr>
                            <w:rFonts w:ascii="Cambria Math" w:hAnsi="Cambria Math"/>
                          </w:rPr>
                          <m:t>O</m:t>
                        </m:r>
                      </m:sup>
                    </m:sSubSup>
                    <m:acc>
                      <m:accPr>
                        <m:chr m:val="̅"/>
                        <m:ctrlPr>
                          <w:rPr>
                            <w:rFonts w:ascii="Cambria Math" w:hAnsi="Cambria Math"/>
                            <w:i w:val="0"/>
                          </w:rPr>
                        </m:ctrlPr>
                      </m:accPr>
                      <m:e>
                        <m:sSub>
                          <m:sSubPr>
                            <m:ctrlPr>
                              <w:rPr>
                                <w:rFonts w:ascii="Cambria Math" w:hAnsi="Cambria Math"/>
                                <w:i w:val="0"/>
                              </w:rPr>
                            </m:ctrlPr>
                          </m:sSubPr>
                          <m:e>
                            <m:r>
                              <w:rPr>
                                <w:rFonts w:ascii="Cambria Math" w:hAnsi="Cambria Math"/>
                              </w:rPr>
                              <m:t>t</m:t>
                            </m:r>
                          </m:e>
                          <m:sub>
                            <m:r>
                              <w:rPr>
                                <w:rFonts w:ascii="Cambria Math" w:hAnsi="Cambria Math"/>
                              </w:rPr>
                              <m:t>j</m:t>
                            </m:r>
                          </m:sub>
                        </m:sSub>
                      </m:e>
                    </m:acc>
                    <m:sSub>
                      <m:sSubPr>
                        <m:ctrlPr>
                          <w:rPr>
                            <w:rFonts w:ascii="Cambria Math" w:hAnsi="Cambria Math"/>
                          </w:rPr>
                        </m:ctrlPr>
                      </m:sSubPr>
                      <m:e>
                        <m:r>
                          <w:rPr>
                            <w:rFonts w:ascii="Cambria Math" w:hAnsi="Cambria Math"/>
                          </w:rPr>
                          <m:t>n</m:t>
                        </m:r>
                      </m:e>
                      <m:sub>
                        <m:r>
                          <w:rPr>
                            <w:rFonts w:ascii="Cambria Math" w:hAnsi="Cambria Math"/>
                          </w:rPr>
                          <m:t>j</m:t>
                        </m:r>
                      </m:sub>
                    </m:sSub>
                    <m:r>
                      <w:rPr>
                        <w:rFonts w:ascii="Cambria Math" w:hAnsi="Cambria Math"/>
                      </w:rPr>
                      <m:t>km+</m:t>
                    </m:r>
                    <m:sSubSup>
                      <m:sSubSupPr>
                        <m:ctrlPr>
                          <w:rPr>
                            <w:rFonts w:ascii="Cambria Math" w:hAnsi="Cambria Math"/>
                          </w:rPr>
                        </m:ctrlPr>
                      </m:sSubSupPr>
                      <m:e>
                        <m:r>
                          <w:rPr>
                            <w:rFonts w:ascii="Cambria Math" w:hAnsi="Cambria Math"/>
                          </w:rPr>
                          <m:t>c</m:t>
                        </m:r>
                      </m:e>
                      <m:sub>
                        <m:r>
                          <w:rPr>
                            <w:rFonts w:ascii="Cambria Math" w:hAnsi="Cambria Math"/>
                          </w:rPr>
                          <m:t>j</m:t>
                        </m:r>
                      </m:sub>
                      <m:sup>
                        <m:r>
                          <w:rPr>
                            <w:rFonts w:ascii="Cambria Math" w:hAnsi="Cambria Math"/>
                          </w:rPr>
                          <m:t>I</m:t>
                        </m:r>
                      </m:sup>
                    </m:sSubSup>
                  </m:oMath>
                  <w:r>
                    <w:t>)</w:t>
                  </w:r>
                </w:p>
              </w:tc>
              <w:tc>
                <w:tcPr>
                  <w:tcW w:w="431" w:type="pct"/>
                  <w:tcBorders>
                    <w:top w:val="single" w:sz="6" w:space="0" w:color="BFBFBF"/>
                    <w:bottom w:val="single" w:sz="6" w:space="0" w:color="BFBFBF"/>
                  </w:tcBorders>
                  <w:shd w:val="clear" w:color="auto" w:fill="auto"/>
                </w:tcPr>
                <w:p w14:paraId="6DBFE623" w14:textId="77777777" w:rsidR="00EA18DE" w:rsidRDefault="00EA18DE" w:rsidP="00EA18DE">
                  <w:pPr>
                    <w:pStyle w:val="TableColumnHeading"/>
                    <w:ind w:right="28"/>
                  </w:pPr>
                  <w:r>
                    <w:t>Total cost per tonne</w:t>
                  </w:r>
                </w:p>
              </w:tc>
            </w:tr>
            <w:tr w:rsidR="00EA18DE" w14:paraId="524C922D" w14:textId="77777777" w:rsidTr="000A69E1">
              <w:tc>
                <w:tcPr>
                  <w:tcW w:w="519" w:type="pct"/>
                  <w:tcBorders>
                    <w:top w:val="single" w:sz="6" w:space="0" w:color="BFBFBF"/>
                  </w:tcBorders>
                </w:tcPr>
                <w:p w14:paraId="1827E900" w14:textId="77777777" w:rsidR="00EA18DE" w:rsidRDefault="00EA18DE" w:rsidP="00EA18DE">
                  <w:pPr>
                    <w:pStyle w:val="TableUnitsRow"/>
                    <w:jc w:val="left"/>
                  </w:pPr>
                  <w:r>
                    <w:t>Standard</w:t>
                  </w:r>
                </w:p>
              </w:tc>
              <w:tc>
                <w:tcPr>
                  <w:tcW w:w="518" w:type="pct"/>
                  <w:tcBorders>
                    <w:top w:val="single" w:sz="6" w:space="0" w:color="BFBFBF"/>
                  </w:tcBorders>
                </w:tcPr>
                <w:p w14:paraId="4E22679C" w14:textId="77777777" w:rsidR="00EA18DE" w:rsidRDefault="00EA18DE" w:rsidP="00EA18DE">
                  <w:pPr>
                    <w:pStyle w:val="TableBodyText"/>
                  </w:pPr>
                  <w:r>
                    <w:t>10</w:t>
                  </w:r>
                </w:p>
              </w:tc>
              <w:tc>
                <w:tcPr>
                  <w:tcW w:w="602" w:type="pct"/>
                  <w:tcBorders>
                    <w:top w:val="single" w:sz="6" w:space="0" w:color="BFBFBF"/>
                  </w:tcBorders>
                </w:tcPr>
                <w:p w14:paraId="18EDB7DF" w14:textId="77777777" w:rsidR="00EA18DE" w:rsidRDefault="00EA18DE" w:rsidP="00EA18DE">
                  <w:pPr>
                    <w:pStyle w:val="TableBodyText"/>
                  </w:pPr>
                  <w:r>
                    <w:t>1.0</w:t>
                  </w:r>
                </w:p>
              </w:tc>
              <w:tc>
                <w:tcPr>
                  <w:tcW w:w="775" w:type="pct"/>
                  <w:tcBorders>
                    <w:top w:val="single" w:sz="6" w:space="0" w:color="BFBFBF"/>
                  </w:tcBorders>
                </w:tcPr>
                <w:p w14:paraId="72B3A493" w14:textId="77777777" w:rsidR="00EA18DE" w:rsidRDefault="00EA18DE" w:rsidP="00EA18DE">
                  <w:pPr>
                    <w:pStyle w:val="TableBodyText"/>
                  </w:pPr>
                  <w:r>
                    <w:t>100</w:t>
                  </w:r>
                </w:p>
              </w:tc>
              <w:tc>
                <w:tcPr>
                  <w:tcW w:w="431" w:type="pct"/>
                  <w:tcBorders>
                    <w:top w:val="single" w:sz="6" w:space="0" w:color="BFBFBF"/>
                  </w:tcBorders>
                </w:tcPr>
                <w:p w14:paraId="70BD8EF0" w14:textId="77777777" w:rsidR="00EA18DE" w:rsidRDefault="00EA18DE" w:rsidP="00EA18DE">
                  <w:pPr>
                    <w:pStyle w:val="TableBodyText"/>
                  </w:pPr>
                  <w:r>
                    <w:t>1</w:t>
                  </w:r>
                </w:p>
              </w:tc>
              <w:tc>
                <w:tcPr>
                  <w:tcW w:w="906" w:type="pct"/>
                  <w:tcBorders>
                    <w:top w:val="single" w:sz="6" w:space="0" w:color="BFBFBF"/>
                  </w:tcBorders>
                </w:tcPr>
                <w:p w14:paraId="332190FD" w14:textId="77777777" w:rsidR="00EA18DE" w:rsidRDefault="00EA18DE" w:rsidP="00EA18DE">
                  <w:pPr>
                    <w:pStyle w:val="TableBodyText"/>
                  </w:pPr>
                  <w:r>
                    <w:t>100</w:t>
                  </w:r>
                </w:p>
              </w:tc>
              <w:tc>
                <w:tcPr>
                  <w:tcW w:w="819" w:type="pct"/>
                  <w:tcBorders>
                    <w:top w:val="single" w:sz="6" w:space="0" w:color="BFBFBF"/>
                  </w:tcBorders>
                </w:tcPr>
                <w:p w14:paraId="29C400DE" w14:textId="77777777" w:rsidR="00EA18DE" w:rsidRDefault="00EA18DE" w:rsidP="00EA18DE">
                  <w:pPr>
                    <w:pStyle w:val="TableBodyText"/>
                  </w:pPr>
                  <w:r>
                    <w:t>1 100</w:t>
                  </w:r>
                </w:p>
              </w:tc>
              <w:tc>
                <w:tcPr>
                  <w:tcW w:w="431" w:type="pct"/>
                  <w:tcBorders>
                    <w:top w:val="single" w:sz="6" w:space="0" w:color="BFBFBF"/>
                  </w:tcBorders>
                </w:tcPr>
                <w:p w14:paraId="5F621F03" w14:textId="77777777" w:rsidR="00EA18DE" w:rsidRDefault="00EA18DE" w:rsidP="00EA18DE">
                  <w:pPr>
                    <w:pStyle w:val="TableBodyText"/>
                  </w:pPr>
                  <w:r>
                    <w:t>1.10</w:t>
                  </w:r>
                </w:p>
              </w:tc>
            </w:tr>
            <w:tr w:rsidR="00EA18DE" w14:paraId="3DDF3F55" w14:textId="77777777" w:rsidTr="000A69E1">
              <w:tc>
                <w:tcPr>
                  <w:tcW w:w="519" w:type="pct"/>
                  <w:tcBorders>
                    <w:bottom w:val="single" w:sz="4" w:space="0" w:color="BFBFBF"/>
                  </w:tcBorders>
                </w:tcPr>
                <w:p w14:paraId="5E90AB40" w14:textId="77777777" w:rsidR="00EA18DE" w:rsidRDefault="00EA18DE" w:rsidP="00EA18DE">
                  <w:pPr>
                    <w:pStyle w:val="TableBodyText"/>
                    <w:jc w:val="left"/>
                  </w:pPr>
                  <w:r>
                    <w:t>Large</w:t>
                  </w:r>
                </w:p>
              </w:tc>
              <w:tc>
                <w:tcPr>
                  <w:tcW w:w="518" w:type="pct"/>
                  <w:tcBorders>
                    <w:bottom w:val="single" w:sz="4" w:space="0" w:color="BFBFBF"/>
                  </w:tcBorders>
                </w:tcPr>
                <w:p w14:paraId="6F06AD75" w14:textId="77777777" w:rsidR="00EA18DE" w:rsidRDefault="00EA18DE" w:rsidP="00EA18DE">
                  <w:pPr>
                    <w:pStyle w:val="TableBodyText"/>
                  </w:pPr>
                  <w:r>
                    <w:t>20</w:t>
                  </w:r>
                </w:p>
              </w:tc>
              <w:tc>
                <w:tcPr>
                  <w:tcW w:w="602" w:type="pct"/>
                  <w:tcBorders>
                    <w:bottom w:val="single" w:sz="4" w:space="0" w:color="BFBFBF"/>
                  </w:tcBorders>
                </w:tcPr>
                <w:p w14:paraId="6E396154" w14:textId="77777777" w:rsidR="00EA18DE" w:rsidRDefault="00EA18DE" w:rsidP="00EA18DE">
                  <w:pPr>
                    <w:pStyle w:val="TableBodyText"/>
                  </w:pPr>
                  <w:r>
                    <w:t>0.5</w:t>
                  </w:r>
                </w:p>
              </w:tc>
              <w:tc>
                <w:tcPr>
                  <w:tcW w:w="775" w:type="pct"/>
                  <w:tcBorders>
                    <w:bottom w:val="single" w:sz="4" w:space="0" w:color="BFBFBF"/>
                  </w:tcBorders>
                </w:tcPr>
                <w:p w14:paraId="2A57CF39" w14:textId="77777777" w:rsidR="00EA18DE" w:rsidRDefault="00EA18DE" w:rsidP="00EA18DE">
                  <w:pPr>
                    <w:pStyle w:val="TableBodyText"/>
                  </w:pPr>
                  <w:r>
                    <w:t>200</w:t>
                  </w:r>
                </w:p>
              </w:tc>
              <w:tc>
                <w:tcPr>
                  <w:tcW w:w="431" w:type="pct"/>
                  <w:tcBorders>
                    <w:bottom w:val="single" w:sz="4" w:space="0" w:color="BFBFBF"/>
                  </w:tcBorders>
                </w:tcPr>
                <w:p w14:paraId="05B5935B" w14:textId="77777777" w:rsidR="00EA18DE" w:rsidRDefault="00EA18DE" w:rsidP="00EA18DE">
                  <w:pPr>
                    <w:pStyle w:val="TableBodyText"/>
                  </w:pPr>
                  <w:r>
                    <w:t>1</w:t>
                  </w:r>
                </w:p>
              </w:tc>
              <w:tc>
                <w:tcPr>
                  <w:tcW w:w="906" w:type="pct"/>
                  <w:tcBorders>
                    <w:bottom w:val="single" w:sz="4" w:space="0" w:color="BFBFBF"/>
                  </w:tcBorders>
                </w:tcPr>
                <w:p w14:paraId="21E2AEC7" w14:textId="77777777" w:rsidR="00EA18DE" w:rsidRDefault="00EA18DE" w:rsidP="00EA18DE">
                  <w:pPr>
                    <w:pStyle w:val="TableBodyText"/>
                  </w:pPr>
                  <w:r>
                    <w:t>50</w:t>
                  </w:r>
                </w:p>
              </w:tc>
              <w:tc>
                <w:tcPr>
                  <w:tcW w:w="819" w:type="pct"/>
                  <w:tcBorders>
                    <w:bottom w:val="single" w:sz="4" w:space="0" w:color="BFBFBF"/>
                  </w:tcBorders>
                </w:tcPr>
                <w:p w14:paraId="1057BBEC" w14:textId="77777777" w:rsidR="00EA18DE" w:rsidRDefault="00EA18DE" w:rsidP="00EA18DE">
                  <w:pPr>
                    <w:pStyle w:val="TableBodyText"/>
                  </w:pPr>
                  <w:r>
                    <w:t>700</w:t>
                  </w:r>
                </w:p>
              </w:tc>
              <w:tc>
                <w:tcPr>
                  <w:tcW w:w="431" w:type="pct"/>
                  <w:tcBorders>
                    <w:bottom w:val="single" w:sz="4" w:space="0" w:color="BFBFBF"/>
                  </w:tcBorders>
                </w:tcPr>
                <w:p w14:paraId="10D105FC" w14:textId="77777777" w:rsidR="00EA18DE" w:rsidRDefault="00EA18DE" w:rsidP="00EA18DE">
                  <w:pPr>
                    <w:pStyle w:val="TableBodyText"/>
                  </w:pPr>
                  <w:r>
                    <w:t>0.70</w:t>
                  </w:r>
                </w:p>
              </w:tc>
            </w:tr>
          </w:tbl>
          <w:p w14:paraId="08E86583" w14:textId="01DA9BBF" w:rsidR="005375FD" w:rsidRPr="005375FD" w:rsidRDefault="005375FD">
            <w:pPr>
              <w:pStyle w:val="Box"/>
            </w:pPr>
          </w:p>
        </w:tc>
      </w:tr>
      <w:tr w:rsidR="00EE540F" w14:paraId="1EFE04D0" w14:textId="77777777" w:rsidTr="00B13864">
        <w:tc>
          <w:tcPr>
            <w:tcW w:w="5000" w:type="pct"/>
            <w:tcBorders>
              <w:top w:val="nil"/>
              <w:left w:val="nil"/>
              <w:bottom w:val="single" w:sz="6" w:space="0" w:color="78A22F"/>
              <w:right w:val="nil"/>
            </w:tcBorders>
            <w:shd w:val="clear" w:color="auto" w:fill="F2F2F2"/>
          </w:tcPr>
          <w:p w14:paraId="2D43D98F" w14:textId="3E25C43C" w:rsidR="00EE540F" w:rsidRDefault="00EE540F" w:rsidP="00B13864">
            <w:pPr>
              <w:pStyle w:val="Box"/>
              <w:spacing w:before="0" w:line="120" w:lineRule="exact"/>
            </w:pPr>
          </w:p>
        </w:tc>
      </w:tr>
      <w:tr w:rsidR="00EE540F" w:rsidRPr="000863A5" w14:paraId="5B4BEC76" w14:textId="77777777" w:rsidTr="00B13864">
        <w:tc>
          <w:tcPr>
            <w:tcW w:w="5000" w:type="pct"/>
            <w:tcBorders>
              <w:top w:val="single" w:sz="6" w:space="0" w:color="78A22F"/>
              <w:left w:val="nil"/>
              <w:bottom w:val="nil"/>
              <w:right w:val="nil"/>
            </w:tcBorders>
          </w:tcPr>
          <w:p w14:paraId="120B6C71" w14:textId="53E076AB" w:rsidR="00EE540F" w:rsidRPr="00626D32" w:rsidRDefault="00EE540F" w:rsidP="00B13864">
            <w:pPr>
              <w:pStyle w:val="BoxSpaceBelow"/>
            </w:pPr>
          </w:p>
        </w:tc>
      </w:tr>
    </w:tbl>
    <w:p w14:paraId="781C3F86" w14:textId="5B619AAF" w:rsidR="008945C4" w:rsidRDefault="008945C4" w:rsidP="008945C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945C4" w14:paraId="07D5D68C" w14:textId="77777777" w:rsidTr="00DF0BB5">
        <w:trPr>
          <w:tblHeader/>
        </w:trPr>
        <w:tc>
          <w:tcPr>
            <w:tcW w:w="5000" w:type="pct"/>
            <w:tcBorders>
              <w:top w:val="single" w:sz="6" w:space="0" w:color="78A22F"/>
              <w:left w:val="nil"/>
              <w:bottom w:val="nil"/>
              <w:right w:val="nil"/>
            </w:tcBorders>
            <w:shd w:val="clear" w:color="auto" w:fill="F2F2F2"/>
          </w:tcPr>
          <w:p w14:paraId="6EBDF110" w14:textId="5B7FE1D7" w:rsidR="008945C4" w:rsidRDefault="008945C4" w:rsidP="00DF0BB5">
            <w:pPr>
              <w:pStyle w:val="BoxTitle"/>
            </w:pPr>
            <w:r>
              <w:rPr>
                <w:b w:val="0"/>
              </w:rPr>
              <w:t xml:space="preserve">Box </w:t>
            </w:r>
            <w:proofErr w:type="spellStart"/>
            <w:r w:rsidR="0034249E">
              <w:rPr>
                <w:b w:val="0"/>
              </w:rPr>
              <w:t>B.</w:t>
            </w:r>
            <w:r w:rsidR="0050117B">
              <w:rPr>
                <w:b w:val="0"/>
                <w:noProof/>
              </w:rPr>
              <w:t>3</w:t>
            </w:r>
            <w:proofErr w:type="spellEnd"/>
            <w:r>
              <w:tab/>
              <w:t>Measuring economy</w:t>
            </w:r>
            <w:r>
              <w:noBreakHyphen/>
              <w:t xml:space="preserve">wide </w:t>
            </w:r>
            <w:r w:rsidRPr="00A61B9E">
              <w:t>impacts</w:t>
            </w:r>
          </w:p>
        </w:tc>
      </w:tr>
      <w:tr w:rsidR="008945C4" w14:paraId="0F9C31FC" w14:textId="77777777" w:rsidTr="00DF0BB5">
        <w:tc>
          <w:tcPr>
            <w:tcW w:w="5000" w:type="pct"/>
            <w:tcBorders>
              <w:top w:val="nil"/>
              <w:left w:val="nil"/>
              <w:bottom w:val="nil"/>
              <w:right w:val="nil"/>
            </w:tcBorders>
            <w:shd w:val="clear" w:color="auto" w:fill="F2F2F2"/>
          </w:tcPr>
          <w:p w14:paraId="24B4006F" w14:textId="725EEA36" w:rsidR="008945C4" w:rsidRPr="00452A2E" w:rsidRDefault="008945C4" w:rsidP="00DF0BB5">
            <w:pPr>
              <w:pStyle w:val="Box"/>
            </w:pPr>
            <w:r>
              <w:t>Three</w:t>
            </w:r>
            <w:r w:rsidDel="00CD33C0">
              <w:t xml:space="preserve"> </w:t>
            </w:r>
            <w:r>
              <w:t>tools to examine economy</w:t>
            </w:r>
            <w:r>
              <w:noBreakHyphen/>
              <w:t>wide impacts are</w:t>
            </w:r>
            <w:r w:rsidRPr="00452A2E">
              <w:t>: input</w:t>
            </w:r>
            <w:r>
              <w:noBreakHyphen/>
            </w:r>
            <w:r w:rsidRPr="00452A2E">
              <w:t>output tables</w:t>
            </w:r>
            <w:r>
              <w:t xml:space="preserve">; </w:t>
            </w:r>
            <w:r w:rsidRPr="00452A2E">
              <w:t>input</w:t>
            </w:r>
            <w:r>
              <w:noBreakHyphen/>
            </w:r>
            <w:r w:rsidRPr="00452A2E">
              <w:t>output modelling</w:t>
            </w:r>
            <w:r>
              <w:t xml:space="preserve">; and </w:t>
            </w:r>
            <w:r w:rsidRPr="00452A2E">
              <w:t>computable general equilibrium (</w:t>
            </w:r>
            <w:proofErr w:type="spellStart"/>
            <w:r w:rsidRPr="00452A2E">
              <w:t>CGE</w:t>
            </w:r>
            <w:proofErr w:type="spellEnd"/>
            <w:r w:rsidRPr="00452A2E">
              <w:t>) modelling. Input</w:t>
            </w:r>
            <w:r>
              <w:noBreakHyphen/>
            </w:r>
            <w:r w:rsidRPr="00452A2E">
              <w:t>output tables are a point in time representation of the interdependencies (input</w:t>
            </w:r>
            <w:r>
              <w:noBreakHyphen/>
            </w:r>
            <w:r w:rsidRPr="00452A2E">
              <w:t>output flows) between different sectors in an economy. Input</w:t>
            </w:r>
            <w:r>
              <w:noBreakHyphen/>
            </w:r>
            <w:r w:rsidRPr="00452A2E">
              <w:t>output tables provide the underlying data used for input</w:t>
            </w:r>
            <w:r>
              <w:noBreakHyphen/>
            </w:r>
            <w:r w:rsidRPr="00452A2E">
              <w:t>output</w:t>
            </w:r>
            <w:r w:rsidR="00086B5D">
              <w:t xml:space="preserve"> </w:t>
            </w:r>
            <w:r w:rsidRPr="00452A2E">
              <w:t xml:space="preserve">and </w:t>
            </w:r>
            <w:proofErr w:type="spellStart"/>
            <w:r w:rsidRPr="00452A2E">
              <w:t>CGE</w:t>
            </w:r>
            <w:proofErr w:type="spellEnd"/>
            <w:r w:rsidRPr="00452A2E">
              <w:t xml:space="preserve"> models. These</w:t>
            </w:r>
            <w:r w:rsidRPr="00452A2E" w:rsidDel="00A27F94">
              <w:t xml:space="preserve"> </w:t>
            </w:r>
            <w:r w:rsidRPr="00452A2E">
              <w:t>models can be used to estimate the impact of a change to the economy, and assess the distributional effects of change across industries included in the input</w:t>
            </w:r>
            <w:r>
              <w:noBreakHyphen/>
            </w:r>
            <w:r w:rsidRPr="00452A2E">
              <w:t xml:space="preserve">output </w:t>
            </w:r>
            <w:r>
              <w:t xml:space="preserve">tables. </w:t>
            </w:r>
          </w:p>
          <w:p w14:paraId="28817785" w14:textId="77777777" w:rsidR="008945C4" w:rsidRPr="00452A2E" w:rsidRDefault="008945C4" w:rsidP="00DF0BB5">
            <w:pPr>
              <w:pStyle w:val="Box"/>
            </w:pPr>
            <w:r w:rsidRPr="00452A2E">
              <w:t>Input</w:t>
            </w:r>
            <w:r>
              <w:noBreakHyphen/>
            </w:r>
            <w:r w:rsidRPr="00452A2E">
              <w:t xml:space="preserve">output models rely on the </w:t>
            </w:r>
            <w:r>
              <w:t xml:space="preserve">assumptions that </w:t>
            </w:r>
            <w:r w:rsidRPr="00452A2E">
              <w:t xml:space="preserve">prices </w:t>
            </w:r>
            <w:r>
              <w:t xml:space="preserve">stay the same and </w:t>
            </w:r>
            <w:r w:rsidRPr="00452A2E">
              <w:t xml:space="preserve">the supply of resources (capital and labour) is </w:t>
            </w:r>
            <w:r>
              <w:t xml:space="preserve">limitless. </w:t>
            </w:r>
            <w:r w:rsidRPr="00452A2E">
              <w:t>Given these assumptions, input</w:t>
            </w:r>
            <w:r>
              <w:noBreakHyphen/>
            </w:r>
            <w:r w:rsidRPr="00452A2E">
              <w:t>output models are often only used when looking at open regional economies, or to evaluate ‘relatively small changes in the economy’, such that it can be assumed that ‘all other things remain equal’</w:t>
            </w:r>
            <w:r>
              <w:t>.</w:t>
            </w:r>
          </w:p>
          <w:p w14:paraId="49AD1219" w14:textId="280BE1E5" w:rsidR="008945C4" w:rsidRPr="00CD33C0" w:rsidRDefault="008945C4" w:rsidP="00240EC3">
            <w:pPr>
              <w:pStyle w:val="Box"/>
            </w:pPr>
            <w:proofErr w:type="spellStart"/>
            <w:r w:rsidRPr="00452A2E">
              <w:t>CGE</w:t>
            </w:r>
            <w:proofErr w:type="spellEnd"/>
            <w:r w:rsidRPr="00452A2E">
              <w:t xml:space="preserve"> models</w:t>
            </w:r>
            <w:r>
              <w:t xml:space="preserve"> overcome these shortcomings as they </w:t>
            </w:r>
            <w:r w:rsidRPr="00452A2E">
              <w:t>do not assume that there is an unlimited supply of resources available at fixed prices.</w:t>
            </w:r>
            <w:r>
              <w:t xml:space="preserve"> </w:t>
            </w:r>
            <w:r w:rsidRPr="00452A2E">
              <w:t xml:space="preserve">Some assumptions of standard </w:t>
            </w:r>
            <w:proofErr w:type="spellStart"/>
            <w:r w:rsidRPr="00452A2E">
              <w:t>CGE</w:t>
            </w:r>
            <w:proofErr w:type="spellEnd"/>
            <w:r w:rsidRPr="00452A2E">
              <w:t xml:space="preserve"> models are</w:t>
            </w:r>
            <w:r w:rsidR="00B710D4">
              <w:t xml:space="preserve"> that: </w:t>
            </w:r>
            <w:r w:rsidRPr="00452A2E">
              <w:t>material and capital inputs to production are not substitutable</w:t>
            </w:r>
            <w:r w:rsidR="00B710D4">
              <w:t xml:space="preserve">; </w:t>
            </w:r>
            <w:r w:rsidRPr="00452A2E">
              <w:t>all industries have constant returns to scale</w:t>
            </w:r>
            <w:r w:rsidR="00B710D4">
              <w:t xml:space="preserve">; and </w:t>
            </w:r>
            <w:r w:rsidRPr="00452A2E">
              <w:t xml:space="preserve">workforce participation is a fixed share of the working age population, and employment </w:t>
            </w:r>
            <w:r>
              <w:t>is</w:t>
            </w:r>
            <w:r w:rsidRPr="00452A2E">
              <w:t xml:space="preserve"> a fixed share of workforce participants. </w:t>
            </w:r>
          </w:p>
        </w:tc>
      </w:tr>
      <w:tr w:rsidR="008945C4" w14:paraId="1C915832" w14:textId="77777777" w:rsidTr="00DF0BB5">
        <w:tc>
          <w:tcPr>
            <w:tcW w:w="5000" w:type="pct"/>
            <w:tcBorders>
              <w:top w:val="nil"/>
              <w:left w:val="nil"/>
              <w:bottom w:val="nil"/>
              <w:right w:val="nil"/>
            </w:tcBorders>
            <w:shd w:val="clear" w:color="auto" w:fill="F2F2F2"/>
          </w:tcPr>
          <w:p w14:paraId="76364F69" w14:textId="7C00E685" w:rsidR="008945C4" w:rsidRPr="00B47441" w:rsidRDefault="00B47441" w:rsidP="00B47441">
            <w:pPr>
              <w:pStyle w:val="Source"/>
              <w:rPr>
                <w:i/>
              </w:rPr>
            </w:pPr>
            <w:r>
              <w:rPr>
                <w:i/>
              </w:rPr>
              <w:t>Source</w:t>
            </w:r>
            <w:r>
              <w:t xml:space="preserve">: </w:t>
            </w:r>
            <w:proofErr w:type="spellStart"/>
            <w:r w:rsidRPr="00A61B9E">
              <w:t>Gretton</w:t>
            </w:r>
            <w:proofErr w:type="spellEnd"/>
            <w:r w:rsidRPr="00A61B9E">
              <w:t xml:space="preserve"> </w:t>
            </w:r>
            <w:r w:rsidR="00D10E0A" w:rsidRPr="00D10E0A">
              <w:rPr>
                <w:rFonts w:cs="Arial"/>
                <w:szCs w:val="24"/>
              </w:rPr>
              <w:t>(2013, pp. 10, 13)</w:t>
            </w:r>
            <w:r>
              <w:t>.</w:t>
            </w:r>
            <w:r w:rsidR="008945C4" w:rsidRPr="00B47441">
              <w:rPr>
                <w:i/>
              </w:rPr>
              <w:t xml:space="preserve"> </w:t>
            </w:r>
          </w:p>
        </w:tc>
      </w:tr>
      <w:tr w:rsidR="008945C4" w14:paraId="58A89E47" w14:textId="77777777" w:rsidTr="00DF0BB5">
        <w:tc>
          <w:tcPr>
            <w:tcW w:w="5000" w:type="pct"/>
            <w:tcBorders>
              <w:top w:val="nil"/>
              <w:left w:val="nil"/>
              <w:bottom w:val="single" w:sz="6" w:space="0" w:color="78A22F"/>
              <w:right w:val="nil"/>
            </w:tcBorders>
            <w:shd w:val="clear" w:color="auto" w:fill="F2F2F2"/>
          </w:tcPr>
          <w:p w14:paraId="0EF1431E" w14:textId="77777777" w:rsidR="008945C4" w:rsidRDefault="008945C4" w:rsidP="00DF0BB5">
            <w:pPr>
              <w:pStyle w:val="Box"/>
              <w:spacing w:before="0" w:line="120" w:lineRule="exact"/>
            </w:pPr>
          </w:p>
        </w:tc>
      </w:tr>
      <w:tr w:rsidR="008945C4" w:rsidRPr="000863A5" w14:paraId="6CF1B0BE" w14:textId="77777777" w:rsidTr="00DF0BB5">
        <w:tc>
          <w:tcPr>
            <w:tcW w:w="5000" w:type="pct"/>
            <w:tcBorders>
              <w:top w:val="single" w:sz="6" w:space="0" w:color="78A22F"/>
              <w:left w:val="nil"/>
              <w:bottom w:val="nil"/>
              <w:right w:val="nil"/>
            </w:tcBorders>
          </w:tcPr>
          <w:p w14:paraId="57CCF577" w14:textId="0D707F06" w:rsidR="008945C4" w:rsidRPr="00626D32" w:rsidRDefault="008945C4" w:rsidP="00DF0BB5">
            <w:pPr>
              <w:pStyle w:val="BoxSpaceBelow"/>
            </w:pPr>
          </w:p>
        </w:tc>
      </w:tr>
    </w:tbl>
    <w:p w14:paraId="65C15193" w14:textId="6027E80B" w:rsidR="002A1642" w:rsidRDefault="002A164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A1642" w14:paraId="32587FB4" w14:textId="77777777" w:rsidTr="00A82BE4">
        <w:trPr>
          <w:tblHeader/>
        </w:trPr>
        <w:tc>
          <w:tcPr>
            <w:tcW w:w="5000" w:type="pct"/>
            <w:tcBorders>
              <w:top w:val="single" w:sz="6" w:space="0" w:color="78A22F"/>
              <w:left w:val="nil"/>
              <w:bottom w:val="nil"/>
              <w:right w:val="nil"/>
            </w:tcBorders>
            <w:shd w:val="clear" w:color="auto" w:fill="F2F2F2"/>
          </w:tcPr>
          <w:p w14:paraId="446358F5" w14:textId="75DB8350" w:rsidR="002A1642" w:rsidRDefault="002A1642" w:rsidP="005F6C42">
            <w:pPr>
              <w:pStyle w:val="BoxTitle"/>
            </w:pPr>
            <w:r>
              <w:rPr>
                <w:b w:val="0"/>
              </w:rPr>
              <w:t xml:space="preserve">Box </w:t>
            </w:r>
            <w:proofErr w:type="spellStart"/>
            <w:r w:rsidR="0034249E">
              <w:rPr>
                <w:b w:val="0"/>
              </w:rPr>
              <w:t>B.</w:t>
            </w:r>
            <w:r w:rsidR="0050117B">
              <w:rPr>
                <w:b w:val="0"/>
                <w:noProof/>
              </w:rPr>
              <w:t>4</w:t>
            </w:r>
            <w:proofErr w:type="spellEnd"/>
            <w:r>
              <w:tab/>
              <w:t>C</w:t>
            </w:r>
            <w:r w:rsidR="008722DD">
              <w:t>ost–</w:t>
            </w:r>
            <w:r>
              <w:t xml:space="preserve">benefit analysis </w:t>
            </w:r>
            <w:r w:rsidR="008722DD">
              <w:t>in transport projects</w:t>
            </w:r>
          </w:p>
        </w:tc>
      </w:tr>
      <w:tr w:rsidR="002A1642" w14:paraId="7DF8FFCE" w14:textId="77777777" w:rsidTr="00A82BE4">
        <w:tc>
          <w:tcPr>
            <w:tcW w:w="5000" w:type="pct"/>
            <w:tcBorders>
              <w:top w:val="nil"/>
              <w:left w:val="nil"/>
              <w:bottom w:val="nil"/>
              <w:right w:val="nil"/>
            </w:tcBorders>
            <w:shd w:val="clear" w:color="auto" w:fill="F2F2F2"/>
          </w:tcPr>
          <w:p w14:paraId="3B07255E" w14:textId="6FE2ECE0" w:rsidR="00F5645B" w:rsidRDefault="008722DD" w:rsidP="002A1642">
            <w:pPr>
              <w:pStyle w:val="Box"/>
            </w:pPr>
            <w:r>
              <w:t xml:space="preserve">Cost–benefit analysis is used to assess </w:t>
            </w:r>
            <w:r w:rsidR="00A60CFD">
              <w:t xml:space="preserve">future </w:t>
            </w:r>
            <w:r>
              <w:t xml:space="preserve">projects and the strengths and weaknesses of </w:t>
            </w:r>
            <w:r w:rsidR="00AD7E89">
              <w:t xml:space="preserve">project </w:t>
            </w:r>
            <w:r>
              <w:t xml:space="preserve">options. It aims to summarise the combined costs and benefits </w:t>
            </w:r>
            <w:r w:rsidR="00AD7E89">
              <w:t xml:space="preserve">to all members of society from a project </w:t>
            </w:r>
            <w:r>
              <w:t xml:space="preserve">in a single number. </w:t>
            </w:r>
          </w:p>
          <w:p w14:paraId="61D3FE4F" w14:textId="35505783" w:rsidR="002A1642" w:rsidRDefault="008F6DCD" w:rsidP="002A1642">
            <w:pPr>
              <w:pStyle w:val="Box"/>
            </w:pPr>
            <w:r>
              <w:t>C</w:t>
            </w:r>
            <w:r w:rsidR="00F5645B">
              <w:t xml:space="preserve">osts and benefits that are typically </w:t>
            </w:r>
            <w:r w:rsidR="005F6C42">
              <w:t xml:space="preserve">evaluated </w:t>
            </w:r>
            <w:r w:rsidR="00F5645B">
              <w:t>in road transport projects include:</w:t>
            </w:r>
          </w:p>
          <w:p w14:paraId="3FF46898" w14:textId="48C9F4F7" w:rsidR="00AD7E89" w:rsidRDefault="00AD7E89" w:rsidP="00EA25A0">
            <w:pPr>
              <w:pStyle w:val="BoxListBullet"/>
            </w:pPr>
            <w:r>
              <w:t>vehicle operating costs</w:t>
            </w:r>
            <w:r w:rsidR="00D64515">
              <w:t xml:space="preserve"> (such as fuel, tyres, vehicle repairs and maintenance)</w:t>
            </w:r>
          </w:p>
          <w:p w14:paraId="7B765F98" w14:textId="7C99C42E" w:rsidR="00AD7E89" w:rsidRDefault="00AD7E89" w:rsidP="00EA25A0">
            <w:pPr>
              <w:pStyle w:val="BoxListBullet"/>
            </w:pPr>
            <w:r>
              <w:t>travel time costs (measured for example by average trip time, value of freight per hour)</w:t>
            </w:r>
          </w:p>
          <w:p w14:paraId="1CA9EFE9" w14:textId="0852EB5D" w:rsidR="00AD7E89" w:rsidRDefault="00D64515" w:rsidP="00EA25A0">
            <w:pPr>
              <w:pStyle w:val="BoxListBullet"/>
            </w:pPr>
            <w:r>
              <w:t xml:space="preserve">capital </w:t>
            </w:r>
            <w:r w:rsidR="00AD7E89">
              <w:t>costs (</w:t>
            </w:r>
            <w:r>
              <w:t>such as design and construction, pavement, project management</w:t>
            </w:r>
            <w:r w:rsidR="00AD7E89">
              <w:t>)</w:t>
            </w:r>
          </w:p>
          <w:p w14:paraId="6B7E3ACA" w14:textId="7C8E6D65" w:rsidR="00AD7E89" w:rsidRDefault="00AD7E89" w:rsidP="00EA25A0">
            <w:pPr>
              <w:pStyle w:val="BoxListBullet"/>
            </w:pPr>
            <w:r>
              <w:t xml:space="preserve">infrastructure operating costs </w:t>
            </w:r>
            <w:r w:rsidR="00D64515">
              <w:t>(such as</w:t>
            </w:r>
            <w:r>
              <w:t xml:space="preserve"> maintenance and administration</w:t>
            </w:r>
            <w:r w:rsidR="00D64515">
              <w:t>)</w:t>
            </w:r>
          </w:p>
          <w:p w14:paraId="684DA609" w14:textId="05C18EAF" w:rsidR="00D64515" w:rsidRDefault="00D64515" w:rsidP="00D64515">
            <w:pPr>
              <w:pStyle w:val="BoxListBullet"/>
            </w:pPr>
            <w:r>
              <w:t>accident costs (such as fatalities, injuries and property damage resulting from crashes)</w:t>
            </w:r>
          </w:p>
          <w:p w14:paraId="48CABD6F" w14:textId="74403018" w:rsidR="00AD7E89" w:rsidRDefault="00AD7E89" w:rsidP="00EA25A0">
            <w:pPr>
              <w:pStyle w:val="BoxListBullet"/>
            </w:pPr>
            <w:r>
              <w:t>environmental externalities (such as noise and pollution)</w:t>
            </w:r>
            <w:r w:rsidR="00D64515">
              <w:t>.</w:t>
            </w:r>
          </w:p>
          <w:p w14:paraId="083DDCF6" w14:textId="36A8B462" w:rsidR="00F5645B" w:rsidRDefault="00EF3A3B" w:rsidP="002A1642">
            <w:pPr>
              <w:pStyle w:val="Box"/>
            </w:pPr>
            <w:r>
              <w:t>N</w:t>
            </w:r>
            <w:r w:rsidR="00F5645B">
              <w:t xml:space="preserve">etwork </w:t>
            </w:r>
            <w:r w:rsidR="00F350EC">
              <w:t>and cross</w:t>
            </w:r>
            <w:r w:rsidR="00DE65A3">
              <w:noBreakHyphen/>
            </w:r>
            <w:r w:rsidR="00F350EC">
              <w:t>modal effects</w:t>
            </w:r>
            <w:r>
              <w:t xml:space="preserve"> may also be important</w:t>
            </w:r>
            <w:r w:rsidR="00F350EC">
              <w:t>. For example, improv</w:t>
            </w:r>
            <w:r w:rsidR="0079536F">
              <w:t>ing</w:t>
            </w:r>
            <w:r w:rsidR="00F350EC">
              <w:t xml:space="preserve"> road links </w:t>
            </w:r>
            <w:r w:rsidR="008F6DCD">
              <w:t xml:space="preserve">could </w:t>
            </w:r>
            <w:r w:rsidR="00F350EC">
              <w:t xml:space="preserve">benefit the operation of a </w:t>
            </w:r>
            <w:r w:rsidR="008F6DCD">
              <w:t xml:space="preserve">larger </w:t>
            </w:r>
            <w:r w:rsidR="00F350EC">
              <w:t>road network</w:t>
            </w:r>
            <w:r>
              <w:t>, and</w:t>
            </w:r>
            <w:r w:rsidR="00D64515">
              <w:t xml:space="preserve"> </w:t>
            </w:r>
            <w:r>
              <w:t xml:space="preserve">could affect demand for rail transport. </w:t>
            </w:r>
            <w:r w:rsidR="00B479C1">
              <w:br/>
            </w:r>
            <w:r>
              <w:t xml:space="preserve">Cost–benefit analysis can be accompanied by </w:t>
            </w:r>
            <w:r w:rsidR="00F5645B">
              <w:t>transport modelling</w:t>
            </w:r>
            <w:r>
              <w:t xml:space="preserve"> to examine these effects</w:t>
            </w:r>
            <w:r w:rsidR="00F5645B">
              <w:t>.</w:t>
            </w:r>
          </w:p>
          <w:p w14:paraId="0827E7EC" w14:textId="33100F19" w:rsidR="002A1642" w:rsidRDefault="005F6C42" w:rsidP="00BA59C2">
            <w:pPr>
              <w:pStyle w:val="Box"/>
            </w:pPr>
            <w:r>
              <w:t>There are further factors to consider for c</w:t>
            </w:r>
            <w:r w:rsidR="00F5645B">
              <w:t xml:space="preserve">ost–benefit analysis </w:t>
            </w:r>
            <w:r w:rsidR="00EF3A3B">
              <w:t>involving</w:t>
            </w:r>
            <w:r w:rsidR="00F5645B">
              <w:t xml:space="preserve"> heavy </w:t>
            </w:r>
            <w:r>
              <w:t xml:space="preserve">freight </w:t>
            </w:r>
            <w:r w:rsidR="00F5645B">
              <w:t xml:space="preserve">vehicles </w:t>
            </w:r>
            <w:r>
              <w:t xml:space="preserve">(for example, </w:t>
            </w:r>
            <w:r w:rsidR="00EF3A3B">
              <w:t xml:space="preserve">road widening projects and highway upgrades </w:t>
            </w:r>
            <w:r>
              <w:t>could</w:t>
            </w:r>
            <w:r w:rsidR="00EF3A3B">
              <w:t xml:space="preserve"> allow </w:t>
            </w:r>
            <w:r>
              <w:t xml:space="preserve">for </w:t>
            </w:r>
            <w:r w:rsidR="00EF3A3B">
              <w:t>larger freight vehicles</w:t>
            </w:r>
            <w:r>
              <w:t>)</w:t>
            </w:r>
            <w:r w:rsidR="00EF3A3B">
              <w:t xml:space="preserve">. </w:t>
            </w:r>
            <w:r>
              <w:t>Freight efficiency b</w:t>
            </w:r>
            <w:r w:rsidR="00EF3A3B">
              <w:t xml:space="preserve">enefits that should be considered include </w:t>
            </w:r>
            <w:r>
              <w:t xml:space="preserve">the reductions in vehicle movements and driving and loading costs for </w:t>
            </w:r>
            <w:r w:rsidR="00BA59C2">
              <w:t xml:space="preserve">a given </w:t>
            </w:r>
            <w:r>
              <w:t>volume of freight moved. These are measured by</w:t>
            </w:r>
            <w:r w:rsidR="002A1642" w:rsidDel="008F6DCD">
              <w:t xml:space="preserve"> </w:t>
            </w:r>
            <w:r w:rsidR="008F6DCD">
              <w:t xml:space="preserve">changing </w:t>
            </w:r>
            <w:r w:rsidR="002A1642">
              <w:t xml:space="preserve">the vehicle composition between the base case and the project case for each heavy vehicle type. </w:t>
            </w:r>
            <w:r>
              <w:t>S</w:t>
            </w:r>
            <w:r w:rsidR="002A1642">
              <w:t>econdary infrastructure works such as heavy vehicle rest areas</w:t>
            </w:r>
            <w:r>
              <w:t xml:space="preserve"> should also be </w:t>
            </w:r>
            <w:r w:rsidR="00EA25A0">
              <w:t>taken into account</w:t>
            </w:r>
            <w:r w:rsidR="002A1642">
              <w:t xml:space="preserve">. </w:t>
            </w:r>
          </w:p>
        </w:tc>
      </w:tr>
      <w:tr w:rsidR="002A1642" w14:paraId="78044C2C" w14:textId="77777777" w:rsidTr="00A82BE4">
        <w:tc>
          <w:tcPr>
            <w:tcW w:w="5000" w:type="pct"/>
            <w:tcBorders>
              <w:top w:val="nil"/>
              <w:left w:val="nil"/>
              <w:bottom w:val="nil"/>
              <w:right w:val="nil"/>
            </w:tcBorders>
            <w:shd w:val="clear" w:color="auto" w:fill="F2F2F2"/>
          </w:tcPr>
          <w:p w14:paraId="547A6F15" w14:textId="2EC127C1" w:rsidR="002A1642" w:rsidRDefault="002A1642" w:rsidP="00EA25A0">
            <w:pPr>
              <w:pStyle w:val="BoxSource"/>
            </w:pPr>
            <w:r>
              <w:rPr>
                <w:i/>
              </w:rPr>
              <w:t>Source</w:t>
            </w:r>
            <w:r w:rsidR="00EA25A0">
              <w:rPr>
                <w:i/>
              </w:rPr>
              <w:t>s</w:t>
            </w:r>
            <w:r w:rsidRPr="00167F06">
              <w:t>:</w:t>
            </w:r>
            <w:r w:rsidR="00EA25A0">
              <w:t xml:space="preserve"> </w:t>
            </w:r>
            <w:proofErr w:type="spellStart"/>
            <w:r w:rsidR="00EA25A0">
              <w:t>ATAPSC</w:t>
            </w:r>
            <w:proofErr w:type="spellEnd"/>
            <w:r w:rsidR="00EA25A0">
              <w:t xml:space="preserve"> </w:t>
            </w:r>
            <w:r w:rsidR="00D10E0A" w:rsidRPr="00D10E0A">
              <w:rPr>
                <w:rFonts w:cs="Arial"/>
              </w:rPr>
              <w:t>(2018)</w:t>
            </w:r>
            <w:r>
              <w:t xml:space="preserve">; </w:t>
            </w:r>
            <w:r w:rsidR="00EA25A0">
              <w:t xml:space="preserve">QLD </w:t>
            </w:r>
            <w:proofErr w:type="spellStart"/>
            <w:r w:rsidR="00EA25A0">
              <w:t>TMR</w:t>
            </w:r>
            <w:proofErr w:type="spellEnd"/>
            <w:r w:rsidR="00EA25A0">
              <w:t xml:space="preserve"> </w:t>
            </w:r>
            <w:r w:rsidR="00D10E0A" w:rsidRPr="00D10E0A">
              <w:rPr>
                <w:rFonts w:cs="Arial"/>
              </w:rPr>
              <w:t>(2011)</w:t>
            </w:r>
            <w:r>
              <w:t>.</w:t>
            </w:r>
          </w:p>
        </w:tc>
      </w:tr>
      <w:tr w:rsidR="002A1642" w14:paraId="7289266D" w14:textId="77777777" w:rsidTr="00A82BE4">
        <w:tc>
          <w:tcPr>
            <w:tcW w:w="5000" w:type="pct"/>
            <w:tcBorders>
              <w:top w:val="nil"/>
              <w:left w:val="nil"/>
              <w:bottom w:val="single" w:sz="6" w:space="0" w:color="78A22F"/>
              <w:right w:val="nil"/>
            </w:tcBorders>
            <w:shd w:val="clear" w:color="auto" w:fill="F2F2F2"/>
          </w:tcPr>
          <w:p w14:paraId="57EB2221" w14:textId="77777777" w:rsidR="002A1642" w:rsidRDefault="002A1642">
            <w:pPr>
              <w:pStyle w:val="Box"/>
              <w:spacing w:before="0" w:line="120" w:lineRule="exact"/>
            </w:pPr>
          </w:p>
        </w:tc>
      </w:tr>
      <w:tr w:rsidR="002A1642" w:rsidRPr="000863A5" w14:paraId="53D0139A" w14:textId="77777777" w:rsidTr="00A82BE4">
        <w:tc>
          <w:tcPr>
            <w:tcW w:w="5000" w:type="pct"/>
            <w:tcBorders>
              <w:top w:val="single" w:sz="6" w:space="0" w:color="78A22F"/>
              <w:left w:val="nil"/>
              <w:bottom w:val="nil"/>
              <w:right w:val="nil"/>
            </w:tcBorders>
          </w:tcPr>
          <w:p w14:paraId="129406A8" w14:textId="1E94C481" w:rsidR="002A1642" w:rsidRPr="00626D32" w:rsidRDefault="002A1642" w:rsidP="00A82BE4">
            <w:pPr>
              <w:pStyle w:val="BoxSpaceBelow"/>
            </w:pPr>
          </w:p>
        </w:tc>
      </w:tr>
    </w:tbl>
    <w:p w14:paraId="2B5162AF" w14:textId="22EB4619" w:rsidR="00251E01" w:rsidRDefault="009B711D" w:rsidP="00F266D5">
      <w:pPr>
        <w:pStyle w:val="Heading3"/>
      </w:pPr>
      <w:r>
        <w:lastRenderedPageBreak/>
        <w:t>The Commission’s approach</w:t>
      </w:r>
    </w:p>
    <w:p w14:paraId="6BB74AE7" w14:textId="06E5E2AD" w:rsidR="00C52182" w:rsidRDefault="00251E01" w:rsidP="00251E01">
      <w:pPr>
        <w:pStyle w:val="BodyText"/>
      </w:pPr>
      <w:r>
        <w:t>Despite its advantages</w:t>
      </w:r>
      <w:r w:rsidR="00103BDB">
        <w:t xml:space="preserve"> as a measure of productivity</w:t>
      </w:r>
      <w:r w:rsidR="00F24B98">
        <w:t xml:space="preserve"> in theory</w:t>
      </w:r>
      <w:r>
        <w:t xml:space="preserve">, cost </w:t>
      </w:r>
      <w:r w:rsidR="006C206E">
        <w:t>efficiency</w:t>
      </w:r>
      <w:r>
        <w:t xml:space="preserve"> is complex to quantify</w:t>
      </w:r>
      <w:r w:rsidR="00855421">
        <w:t>. This is</w:t>
      </w:r>
      <w:r w:rsidR="0088467F">
        <w:t xml:space="preserve"> especially</w:t>
      </w:r>
      <w:r w:rsidR="00855421">
        <w:t xml:space="preserve"> the case</w:t>
      </w:r>
      <w:r w:rsidR="00563653">
        <w:t xml:space="preserve"> in a</w:t>
      </w:r>
      <w:r w:rsidR="0088467F">
        <w:t xml:space="preserve"> </w:t>
      </w:r>
      <w:r w:rsidR="00563653">
        <w:t>backward</w:t>
      </w:r>
      <w:r w:rsidR="000F678D">
        <w:noBreakHyphen/>
      </w:r>
      <w:r w:rsidR="00563653">
        <w:t>looking</w:t>
      </w:r>
      <w:r w:rsidR="0088467F">
        <w:t xml:space="preserve"> analysis of the effect of past reforms</w:t>
      </w:r>
      <w:r w:rsidR="00231222">
        <w:t xml:space="preserve">. This </w:t>
      </w:r>
      <w:r w:rsidR="00855421">
        <w:t xml:space="preserve">ideally involves </w:t>
      </w:r>
      <w:r w:rsidR="00CC0DCF">
        <w:t xml:space="preserve">accurate </w:t>
      </w:r>
      <w:r w:rsidR="00855421">
        <w:t>information about what has happened, rather than assumptions about what could be</w:t>
      </w:r>
      <w:r w:rsidR="00231222">
        <w:t xml:space="preserve"> (</w:t>
      </w:r>
      <w:r w:rsidR="00855421">
        <w:t xml:space="preserve">as </w:t>
      </w:r>
      <w:r w:rsidR="00563653">
        <w:t xml:space="preserve">is the case </w:t>
      </w:r>
      <w:r w:rsidR="00855421">
        <w:t>in a</w:t>
      </w:r>
      <w:r w:rsidR="00563653">
        <w:t xml:space="preserve"> forward</w:t>
      </w:r>
      <w:r w:rsidR="000F678D">
        <w:noBreakHyphen/>
      </w:r>
      <w:r w:rsidR="00563653">
        <w:t xml:space="preserve">looking </w:t>
      </w:r>
      <w:r w:rsidR="00855421">
        <w:t>analysis of future reforms</w:t>
      </w:r>
      <w:r w:rsidR="00231222">
        <w:t>)</w:t>
      </w:r>
      <w:r w:rsidR="00D2688F">
        <w:t xml:space="preserve">. These difficulties are described </w:t>
      </w:r>
      <w:r w:rsidR="002A061C">
        <w:t xml:space="preserve">further </w:t>
      </w:r>
      <w:r w:rsidR="00D2688F">
        <w:t>in the following section.</w:t>
      </w:r>
    </w:p>
    <w:p w14:paraId="5297A645" w14:textId="7F2D0F8C" w:rsidR="002A061C" w:rsidRDefault="005E656A" w:rsidP="002A061C">
      <w:pPr>
        <w:pStyle w:val="BodyText"/>
      </w:pPr>
      <w:r>
        <w:t xml:space="preserve">Consequently, partial indicators of performance </w:t>
      </w:r>
      <w:r w:rsidR="00C52182">
        <w:t>were</w:t>
      </w:r>
      <w:r>
        <w:t xml:space="preserve"> used in chapter</w:t>
      </w:r>
      <w:r w:rsidR="00FE4B97">
        <w:t> </w:t>
      </w:r>
      <w:r>
        <w:t xml:space="preserve">6, drawing on the best available data. </w:t>
      </w:r>
      <w:r w:rsidR="008058D9">
        <w:t xml:space="preserve">Trends and observations in these indicators have been tied </w:t>
      </w:r>
      <w:r w:rsidR="003E5043">
        <w:t xml:space="preserve">to </w:t>
      </w:r>
      <w:r w:rsidR="008058D9">
        <w:t xml:space="preserve">qualitative evidence to help explain findings. </w:t>
      </w:r>
      <w:r>
        <w:t>Broadly, these partial indicators fall under two categories</w:t>
      </w:r>
      <w:r w:rsidR="002A061C">
        <w:t xml:space="preserve">. </w:t>
      </w:r>
    </w:p>
    <w:p w14:paraId="3F126BF9" w14:textId="5C8B5144" w:rsidR="00AB51E3" w:rsidRDefault="00DA5AA6" w:rsidP="00380373">
      <w:pPr>
        <w:pStyle w:val="BodyText"/>
      </w:pPr>
      <w:r>
        <w:t xml:space="preserve">The first </w:t>
      </w:r>
      <w:r w:rsidR="00CC0DCF">
        <w:t>category</w:t>
      </w:r>
      <w:r>
        <w:t xml:space="preserve"> </w:t>
      </w:r>
      <w:r w:rsidR="002A061C">
        <w:t xml:space="preserve">contains </w:t>
      </w:r>
      <w:r w:rsidR="00F168B2">
        <w:t xml:space="preserve">factors </w:t>
      </w:r>
      <w:r w:rsidR="009B711D">
        <w:t xml:space="preserve">affected by </w:t>
      </w:r>
      <w:r w:rsidR="003F5869">
        <w:t xml:space="preserve">the </w:t>
      </w:r>
      <w:proofErr w:type="spellStart"/>
      <w:r w:rsidR="00380373">
        <w:t>HVNL</w:t>
      </w:r>
      <w:proofErr w:type="spellEnd"/>
      <w:r w:rsidR="00380373">
        <w:t xml:space="preserve"> </w:t>
      </w:r>
      <w:r w:rsidR="009B711D">
        <w:t>reforms that would</w:t>
      </w:r>
      <w:r w:rsidR="00F168B2">
        <w:t xml:space="preserve"> </w:t>
      </w:r>
      <w:r w:rsidR="009B711D">
        <w:t>ha</w:t>
      </w:r>
      <w:r w:rsidR="003F5869">
        <w:t xml:space="preserve">ve an impact on cost efficiency. This includes </w:t>
      </w:r>
      <w:r w:rsidR="002A061C">
        <w:t xml:space="preserve">access arrangements and </w:t>
      </w:r>
      <w:r w:rsidR="003F5869">
        <w:t xml:space="preserve">numbers of </w:t>
      </w:r>
      <w:r w:rsidR="002A061C">
        <w:t xml:space="preserve">vehicles operating </w:t>
      </w:r>
      <w:r w:rsidR="002B0D46">
        <w:t xml:space="preserve">above general </w:t>
      </w:r>
      <w:r w:rsidR="002A061C">
        <w:t xml:space="preserve">mass </w:t>
      </w:r>
      <w:r w:rsidR="002B0D46">
        <w:t>allowances</w:t>
      </w:r>
      <w:r w:rsidR="00380373">
        <w:t xml:space="preserve">. Analysing changes to these factors provides an indication of how the </w:t>
      </w:r>
      <w:proofErr w:type="spellStart"/>
      <w:r w:rsidR="00380373">
        <w:t>HVNL</w:t>
      </w:r>
      <w:proofErr w:type="spellEnd"/>
      <w:r w:rsidR="00380373">
        <w:t xml:space="preserve"> might have affected productivity </w:t>
      </w:r>
      <w:r w:rsidR="00946438">
        <w:t>by improving</w:t>
      </w:r>
      <w:r w:rsidR="00380373">
        <w:t xml:space="preserve"> cost efficiency. However, data limitations restrict the extent to which the actual change in cost efficiency can be identified, and there could be </w:t>
      </w:r>
      <w:r w:rsidR="008D01C3">
        <w:t>non</w:t>
      </w:r>
      <w:r w:rsidR="000F678D">
        <w:noBreakHyphen/>
      </w:r>
      <w:proofErr w:type="spellStart"/>
      <w:r w:rsidR="008D01C3">
        <w:t>HVNL</w:t>
      </w:r>
      <w:proofErr w:type="spellEnd"/>
      <w:r w:rsidR="008D01C3">
        <w:t xml:space="preserve"> influences </w:t>
      </w:r>
      <w:r w:rsidR="00380373">
        <w:t xml:space="preserve">that explain changes </w:t>
      </w:r>
      <w:r w:rsidR="00946438">
        <w:t xml:space="preserve">in these factors </w:t>
      </w:r>
      <w:r w:rsidR="00380373">
        <w:t xml:space="preserve">(described further below). </w:t>
      </w:r>
      <w:r w:rsidR="00F717D5">
        <w:t xml:space="preserve">Furthermore, </w:t>
      </w:r>
      <w:r w:rsidR="00AB51E3">
        <w:t>the costs of infrastructure upgrades required to accommodate access for vehicles</w:t>
      </w:r>
      <w:r w:rsidR="0059051E">
        <w:t xml:space="preserve"> have not been directly considered</w:t>
      </w:r>
      <w:r w:rsidR="00F717D5">
        <w:t>.</w:t>
      </w:r>
    </w:p>
    <w:p w14:paraId="6C438C84" w14:textId="3E6D72D4" w:rsidR="00251E01" w:rsidRDefault="002A061C" w:rsidP="00CF60BB">
      <w:pPr>
        <w:pStyle w:val="BodyText"/>
      </w:pPr>
      <w:r>
        <w:t xml:space="preserve">The second </w:t>
      </w:r>
      <w:r w:rsidR="00CC0DCF">
        <w:t xml:space="preserve">category </w:t>
      </w:r>
      <w:r>
        <w:t xml:space="preserve">contains </w:t>
      </w:r>
      <w:r w:rsidR="009B711D">
        <w:t>partial indicators that</w:t>
      </w:r>
      <w:r w:rsidR="00231222">
        <w:t xml:space="preserve"> broadly</w:t>
      </w:r>
      <w:r w:rsidR="009B711D">
        <w:t xml:space="preserve"> capture </w:t>
      </w:r>
      <w:r w:rsidR="00A534C2">
        <w:t>the state of heavy vehicle activity</w:t>
      </w:r>
      <w:r w:rsidR="004456DF">
        <w:t>.</w:t>
      </w:r>
      <w:r w:rsidR="003F5869">
        <w:t xml:space="preserve"> </w:t>
      </w:r>
      <w:proofErr w:type="spellStart"/>
      <w:r w:rsidR="008058D9">
        <w:t>BITRE’s</w:t>
      </w:r>
      <w:proofErr w:type="spellEnd"/>
      <w:r w:rsidR="008058D9">
        <w:t xml:space="preserve"> 2011 report</w:t>
      </w:r>
      <w:r w:rsidR="00CE308A">
        <w:t xml:space="preserve"> took </w:t>
      </w:r>
      <w:r w:rsidR="00CF4E8A">
        <w:t xml:space="preserve">this </w:t>
      </w:r>
      <w:r w:rsidR="00CE308A">
        <w:t>approach</w:t>
      </w:r>
      <w:r w:rsidR="003F5869">
        <w:t xml:space="preserve"> </w:t>
      </w:r>
      <w:r w:rsidR="00CF4E8A">
        <w:t xml:space="preserve">in </w:t>
      </w:r>
      <w:r w:rsidR="00CE308A">
        <w:t>examining</w:t>
      </w:r>
      <w:r w:rsidR="00CF4E8A">
        <w:t xml:space="preserve"> aggregate freight vehicle productivity, measured by</w:t>
      </w:r>
      <w:r w:rsidR="00CE308A">
        <w:t xml:space="preserve"> partial </w:t>
      </w:r>
      <w:r w:rsidR="003F5869">
        <w:t xml:space="preserve">indicators such </w:t>
      </w:r>
      <w:r w:rsidR="00CE308A">
        <w:t>as average vehicle freight load</w:t>
      </w:r>
      <w:r w:rsidR="00341127">
        <w:t xml:space="preserve"> and</w:t>
      </w:r>
      <w:r w:rsidR="00CE308A">
        <w:t xml:space="preserve"> </w:t>
      </w:r>
      <w:r w:rsidR="003F5869">
        <w:t>average vehicle utilisation (kil</w:t>
      </w:r>
      <w:r w:rsidR="00CE308A">
        <w:t>ometres travelled per vehicle)</w:t>
      </w:r>
      <w:r w:rsidR="00F8651B">
        <w:t xml:space="preserve">. It also examined </w:t>
      </w:r>
      <w:r w:rsidR="003F5869">
        <w:t>tonne kilometres per vehicle, which encapsulates both of the former two indicators</w:t>
      </w:r>
      <w:r w:rsidR="00F8651B">
        <w:t xml:space="preserve">, as well as labour productivity and fuel efficiency </w:t>
      </w:r>
      <w:r w:rsidR="00D10E0A" w:rsidRPr="00D10E0A">
        <w:rPr>
          <w:szCs w:val="24"/>
        </w:rPr>
        <w:t>(</w:t>
      </w:r>
      <w:proofErr w:type="spellStart"/>
      <w:r w:rsidR="00D10E0A" w:rsidRPr="00D10E0A">
        <w:rPr>
          <w:szCs w:val="24"/>
        </w:rPr>
        <w:t>BITRE</w:t>
      </w:r>
      <w:proofErr w:type="spellEnd"/>
      <w:r w:rsidR="00D10E0A" w:rsidRPr="00D10E0A">
        <w:rPr>
          <w:szCs w:val="24"/>
        </w:rPr>
        <w:t> 2011)</w:t>
      </w:r>
      <w:r w:rsidR="003F5869">
        <w:t>.</w:t>
      </w:r>
      <w:r w:rsidR="00341127">
        <w:t xml:space="preserve"> </w:t>
      </w:r>
      <w:r w:rsidR="00DC63E0">
        <w:t>Even though some of these indicators capture elements of cost efficiency,</w:t>
      </w:r>
      <w:r w:rsidR="00907DDA">
        <w:t xml:space="preserve"> </w:t>
      </w:r>
      <w:r w:rsidR="00B40765">
        <w:t xml:space="preserve">it is difficult to determine whether any changes are </w:t>
      </w:r>
      <w:r w:rsidR="00907DDA">
        <w:t xml:space="preserve">caused by </w:t>
      </w:r>
      <w:r w:rsidR="00B40765">
        <w:t xml:space="preserve">the </w:t>
      </w:r>
      <w:proofErr w:type="spellStart"/>
      <w:r w:rsidR="00B40765">
        <w:t>HVNL</w:t>
      </w:r>
      <w:proofErr w:type="spellEnd"/>
      <w:r w:rsidR="00B40765">
        <w:t xml:space="preserve"> reforms because of </w:t>
      </w:r>
      <w:r w:rsidR="00907DDA">
        <w:t>other changes over time</w:t>
      </w:r>
      <w:r w:rsidR="00B40765">
        <w:t xml:space="preserve">. </w:t>
      </w:r>
      <w:r w:rsidR="00907DDA">
        <w:t xml:space="preserve">Further, a </w:t>
      </w:r>
      <w:r w:rsidR="00BB4D0B">
        <w:t xml:space="preserve">positive </w:t>
      </w:r>
      <w:r w:rsidR="00907DDA">
        <w:t>reform outcome of increased heavy vehicle access could translate into lower ‘productivity’ on some of these indicators, such as average kilometres</w:t>
      </w:r>
      <w:r w:rsidR="00E10D35">
        <w:t xml:space="preserve"> travelled</w:t>
      </w:r>
      <w:r w:rsidR="00907DDA">
        <w:t xml:space="preserve"> and tonne kilometres per vehicle. </w:t>
      </w:r>
    </w:p>
    <w:p w14:paraId="3C94ED12" w14:textId="2A80A6C3" w:rsidR="000D67E0" w:rsidRDefault="006D1C89" w:rsidP="00CF60BB">
      <w:pPr>
        <w:pStyle w:val="BodyText"/>
      </w:pPr>
      <w:r>
        <w:t>Although</w:t>
      </w:r>
      <w:r w:rsidR="000D67E0">
        <w:t xml:space="preserve"> data limitations are a key constraint in </w:t>
      </w:r>
      <w:r w:rsidR="003B42B8">
        <w:t>productivity</w:t>
      </w:r>
      <w:r w:rsidR="008E3F04">
        <w:t xml:space="preserve"> analysis</w:t>
      </w:r>
      <w:r w:rsidR="000D67E0">
        <w:t xml:space="preserve">, the Commission’s </w:t>
      </w:r>
      <w:r w:rsidR="003B42B8">
        <w:t>reform</w:t>
      </w:r>
      <w:r w:rsidR="000D67E0">
        <w:t xml:space="preserve"> agenda </w:t>
      </w:r>
      <w:r w:rsidR="000F62D0">
        <w:t xml:space="preserve">and the Australian Government’s development of the National Freight Data Hub </w:t>
      </w:r>
      <w:r w:rsidR="003B42B8">
        <w:t>sh</w:t>
      </w:r>
      <w:r w:rsidR="000D67E0">
        <w:t xml:space="preserve">ould </w:t>
      </w:r>
      <w:r w:rsidR="003B42B8">
        <w:t>help to improve this in the future</w:t>
      </w:r>
      <w:r w:rsidR="008E3F04">
        <w:t xml:space="preserve"> (chapter</w:t>
      </w:r>
      <w:r w:rsidR="000F62D0">
        <w:t>s</w:t>
      </w:r>
      <w:r w:rsidR="00FE4B97">
        <w:t> </w:t>
      </w:r>
      <w:r w:rsidR="000F62D0">
        <w:t>8 and</w:t>
      </w:r>
      <w:r w:rsidR="008E3F04">
        <w:t xml:space="preserve"> 10)</w:t>
      </w:r>
      <w:r w:rsidR="003B42B8">
        <w:t xml:space="preserve">. </w:t>
      </w:r>
      <w:r w:rsidR="008E3F04">
        <w:t xml:space="preserve">More accessible data on </w:t>
      </w:r>
      <w:r w:rsidR="003B42B8">
        <w:t>the number and sizes of heavy vehicles operating, as well as the routes they take</w:t>
      </w:r>
      <w:r w:rsidR="00231222">
        <w:t>,</w:t>
      </w:r>
      <w:r w:rsidR="008E3F04">
        <w:t xml:space="preserve"> would enable more informed productivity analysis and decision making.</w:t>
      </w:r>
    </w:p>
    <w:p w14:paraId="1EA285C0" w14:textId="2F293336" w:rsidR="004811CE" w:rsidRDefault="00FB7AA1" w:rsidP="00383D39">
      <w:pPr>
        <w:pStyle w:val="Heading3"/>
        <w:spacing w:line="280" w:lineRule="exact"/>
      </w:pPr>
      <w:r>
        <w:t>Difficulties q</w:t>
      </w:r>
      <w:r w:rsidR="005E6F3A">
        <w:t xml:space="preserve">uantifying and </w:t>
      </w:r>
      <w:r w:rsidR="00217BB1">
        <w:t>a</w:t>
      </w:r>
      <w:r w:rsidR="004811CE">
        <w:t>ttributing productivity benefits to reforms</w:t>
      </w:r>
    </w:p>
    <w:p w14:paraId="44A7F57F" w14:textId="2B3892F7" w:rsidR="004E60B0" w:rsidRDefault="004E60B0" w:rsidP="00383D39">
      <w:pPr>
        <w:pStyle w:val="Heading4"/>
        <w:spacing w:before="240" w:line="280" w:lineRule="exact"/>
      </w:pPr>
      <w:r>
        <w:t>Quantifying the change in productivity</w:t>
      </w:r>
    </w:p>
    <w:p w14:paraId="6C4F4BA1" w14:textId="28E426C6" w:rsidR="00B62E15" w:rsidRDefault="00F16280" w:rsidP="008136B4">
      <w:pPr>
        <w:pStyle w:val="BodyText"/>
      </w:pPr>
      <w:r>
        <w:t xml:space="preserve">Accurately </w:t>
      </w:r>
      <w:r w:rsidR="00A567B9">
        <w:t>q</w:t>
      </w:r>
      <w:r w:rsidR="002C118E">
        <w:t xml:space="preserve">uantifying </w:t>
      </w:r>
      <w:r w:rsidR="00E72485">
        <w:t>the change</w:t>
      </w:r>
      <w:r w:rsidR="002C118E">
        <w:t xml:space="preserve"> </w:t>
      </w:r>
      <w:r w:rsidR="00E72485">
        <w:t xml:space="preserve">in </w:t>
      </w:r>
      <w:r w:rsidR="002C118E">
        <w:t xml:space="preserve">productivity </w:t>
      </w:r>
      <w:r w:rsidR="00A267D0">
        <w:t>on a backward</w:t>
      </w:r>
      <w:r w:rsidR="000F678D">
        <w:noBreakHyphen/>
      </w:r>
      <w:r w:rsidR="00103BDB">
        <w:t xml:space="preserve">looking basis </w:t>
      </w:r>
      <w:r w:rsidR="00C42E65">
        <w:t>is</w:t>
      </w:r>
      <w:r w:rsidR="002C118E">
        <w:t xml:space="preserve"> </w:t>
      </w:r>
      <w:r w:rsidR="00215FE5">
        <w:t>difficult</w:t>
      </w:r>
      <w:r w:rsidR="002C118E">
        <w:t xml:space="preserve"> given t</w:t>
      </w:r>
      <w:r w:rsidR="00490206">
        <w:t xml:space="preserve">he </w:t>
      </w:r>
      <w:r w:rsidR="00CD7E1D">
        <w:t xml:space="preserve">complexity of the </w:t>
      </w:r>
      <w:r w:rsidR="002C118E">
        <w:t xml:space="preserve">heavy vehicle </w:t>
      </w:r>
      <w:r w:rsidR="00CD7E1D">
        <w:t>system</w:t>
      </w:r>
      <w:r w:rsidR="00490206">
        <w:t xml:space="preserve">, </w:t>
      </w:r>
      <w:r w:rsidR="00C76C1D">
        <w:t xml:space="preserve">data limitations, </w:t>
      </w:r>
      <w:r w:rsidR="008B0E84">
        <w:t>and</w:t>
      </w:r>
      <w:r w:rsidR="00490206">
        <w:t xml:space="preserve"> limitations of available productivity measures</w:t>
      </w:r>
      <w:r w:rsidR="002C118E">
        <w:t>.</w:t>
      </w:r>
    </w:p>
    <w:p w14:paraId="3A68842B" w14:textId="628B2DFA" w:rsidR="00DB1982" w:rsidRDefault="004B38E1" w:rsidP="00506E23">
      <w:pPr>
        <w:pStyle w:val="BodyText"/>
      </w:pPr>
      <w:r>
        <w:lastRenderedPageBreak/>
        <w:t>Detailed longitudinal d</w:t>
      </w:r>
      <w:r w:rsidR="0064088B">
        <w:t>ata on</w:t>
      </w:r>
      <w:r w:rsidR="00C76C1D">
        <w:t xml:space="preserve"> different</w:t>
      </w:r>
      <w:r w:rsidR="0064088B">
        <w:t xml:space="preserve"> </w:t>
      </w:r>
      <w:r w:rsidR="002F6FD2">
        <w:t xml:space="preserve">heavy </w:t>
      </w:r>
      <w:r w:rsidR="0064088B">
        <w:t>vehicle types</w:t>
      </w:r>
      <w:r w:rsidR="0064088B" w:rsidDel="00CB034A">
        <w:t xml:space="preserve"> and</w:t>
      </w:r>
      <w:r w:rsidR="0064088B" w:rsidDel="002F6FD2">
        <w:t xml:space="preserve"> </w:t>
      </w:r>
      <w:r w:rsidR="0064088B">
        <w:t xml:space="preserve">access </w:t>
      </w:r>
      <w:r w:rsidR="00C76C1D">
        <w:t>arrangements</w:t>
      </w:r>
      <w:r w:rsidR="00064310">
        <w:t xml:space="preserve"> </w:t>
      </w:r>
      <w:r w:rsidR="0064088B">
        <w:t xml:space="preserve">are </w:t>
      </w:r>
      <w:r w:rsidR="00C76C1D">
        <w:t xml:space="preserve">needed to understand changes </w:t>
      </w:r>
      <w:r w:rsidR="00CB034A">
        <w:t>in</w:t>
      </w:r>
      <w:r w:rsidR="00C76C1D">
        <w:t xml:space="preserve"> </w:t>
      </w:r>
      <w:r>
        <w:t xml:space="preserve">heavy vehicle </w:t>
      </w:r>
      <w:r w:rsidR="00C76C1D">
        <w:t>productivity</w:t>
      </w:r>
      <w:r>
        <w:t xml:space="preserve"> from a cost efficiency perspective</w:t>
      </w:r>
      <w:r w:rsidR="00C76C1D">
        <w:t xml:space="preserve">. There are </w:t>
      </w:r>
      <w:r w:rsidR="008E4956">
        <w:t xml:space="preserve">many </w:t>
      </w:r>
      <w:r w:rsidR="008C7197">
        <w:t xml:space="preserve">types of </w:t>
      </w:r>
      <w:r w:rsidR="003B3520">
        <w:t xml:space="preserve">vehicle </w:t>
      </w:r>
      <w:r w:rsidR="0034469C">
        <w:t>combination</w:t>
      </w:r>
      <w:r w:rsidR="008C7197">
        <w:t>s</w:t>
      </w:r>
      <w:r w:rsidR="006D380B">
        <w:t xml:space="preserve"> </w:t>
      </w:r>
      <w:r>
        <w:t xml:space="preserve">and these </w:t>
      </w:r>
      <w:r w:rsidDel="00B00522">
        <w:t>have different access arrangements</w:t>
      </w:r>
      <w:r w:rsidR="00433E25">
        <w:t xml:space="preserve"> (chapter</w:t>
      </w:r>
      <w:r w:rsidR="000F678D">
        <w:t> </w:t>
      </w:r>
      <w:r w:rsidR="00433E25">
        <w:t>6)</w:t>
      </w:r>
      <w:r w:rsidDel="00B00522">
        <w:t>.</w:t>
      </w:r>
      <w:r w:rsidRPr="00EF3657" w:rsidDel="00B00522">
        <w:t xml:space="preserve"> </w:t>
      </w:r>
      <w:r w:rsidR="003B3520">
        <w:t>S</w:t>
      </w:r>
      <w:r w:rsidR="003B3520" w:rsidRPr="00D15651">
        <w:t xml:space="preserve">chemes </w:t>
      </w:r>
      <w:r w:rsidR="003B3520">
        <w:t xml:space="preserve">that affect </w:t>
      </w:r>
      <w:r w:rsidR="003B3520" w:rsidRPr="00D15651">
        <w:t xml:space="preserve">mass allowances </w:t>
      </w:r>
      <w:r w:rsidR="008C7197">
        <w:t>add further complexity to the types of vehicles available</w:t>
      </w:r>
      <w:r w:rsidR="00E96D9D">
        <w:t xml:space="preserve"> and</w:t>
      </w:r>
      <w:r w:rsidR="007B54EE">
        <w:t xml:space="preserve"> their access arrangements</w:t>
      </w:r>
      <w:r w:rsidR="008C7197">
        <w:t>.</w:t>
      </w:r>
    </w:p>
    <w:p w14:paraId="6080D189" w14:textId="24B445D7" w:rsidR="005660C1" w:rsidRPr="008B55DF" w:rsidRDefault="00DB1982" w:rsidP="00506E23">
      <w:pPr>
        <w:pStyle w:val="BodyText"/>
        <w:rPr>
          <w:spacing w:val="-2"/>
        </w:rPr>
      </w:pPr>
      <w:r w:rsidRPr="008B55DF">
        <w:rPr>
          <w:spacing w:val="-2"/>
        </w:rPr>
        <w:t>C</w:t>
      </w:r>
      <w:r w:rsidR="00EC5232" w:rsidRPr="008B55DF">
        <w:rPr>
          <w:spacing w:val="-2"/>
        </w:rPr>
        <w:t xml:space="preserve">hanges in access </w:t>
      </w:r>
      <w:r w:rsidRPr="008B55DF">
        <w:rPr>
          <w:spacing w:val="-2"/>
        </w:rPr>
        <w:t xml:space="preserve">for different vehicle types on different roads, and changes in </w:t>
      </w:r>
      <w:r w:rsidR="00EC5232" w:rsidRPr="008B55DF">
        <w:rPr>
          <w:spacing w:val="-2"/>
        </w:rPr>
        <w:t xml:space="preserve">ease of uptake </w:t>
      </w:r>
      <w:r w:rsidRPr="008B55DF">
        <w:rPr>
          <w:spacing w:val="-2"/>
        </w:rPr>
        <w:t xml:space="preserve">of </w:t>
      </w:r>
      <w:r w:rsidR="00FC4BB3" w:rsidRPr="008B55DF">
        <w:rPr>
          <w:spacing w:val="-2"/>
        </w:rPr>
        <w:t xml:space="preserve">the </w:t>
      </w:r>
      <w:r w:rsidRPr="008B55DF">
        <w:rPr>
          <w:spacing w:val="-2"/>
        </w:rPr>
        <w:t>PBS</w:t>
      </w:r>
      <w:r w:rsidR="00FC4BB3" w:rsidRPr="008B55DF">
        <w:rPr>
          <w:spacing w:val="-2"/>
        </w:rPr>
        <w:t xml:space="preserve"> scheme</w:t>
      </w:r>
      <w:r w:rsidRPr="008B55DF">
        <w:rPr>
          <w:spacing w:val="-2"/>
        </w:rPr>
        <w:t xml:space="preserve"> </w:t>
      </w:r>
      <w:r w:rsidR="00FC4BB3" w:rsidRPr="008B55DF">
        <w:rPr>
          <w:spacing w:val="-2"/>
        </w:rPr>
        <w:t xml:space="preserve">and </w:t>
      </w:r>
      <w:proofErr w:type="spellStart"/>
      <w:r w:rsidR="00FC4BB3" w:rsidRPr="008B55DF">
        <w:rPr>
          <w:spacing w:val="-2"/>
        </w:rPr>
        <w:t>NHVAS</w:t>
      </w:r>
      <w:proofErr w:type="spellEnd"/>
      <w:r w:rsidR="00FC4BB3" w:rsidRPr="008B55DF">
        <w:rPr>
          <w:spacing w:val="-2"/>
        </w:rPr>
        <w:t xml:space="preserve"> mass management module </w:t>
      </w:r>
      <w:r w:rsidR="00EC5232" w:rsidRPr="008B55DF">
        <w:rPr>
          <w:spacing w:val="-2"/>
        </w:rPr>
        <w:t>will have different</w:t>
      </w:r>
      <w:r w:rsidR="00972E38" w:rsidRPr="008B55DF">
        <w:rPr>
          <w:spacing w:val="-2"/>
        </w:rPr>
        <w:t xml:space="preserve"> impacts on heavy vehicle activity, </w:t>
      </w:r>
      <w:r w:rsidR="003F5907" w:rsidRPr="008B55DF">
        <w:rPr>
          <w:spacing w:val="-2"/>
        </w:rPr>
        <w:t xml:space="preserve">cost </w:t>
      </w:r>
      <w:r w:rsidR="004B38E1" w:rsidRPr="008B55DF">
        <w:rPr>
          <w:spacing w:val="-2"/>
        </w:rPr>
        <w:t xml:space="preserve">efficiency </w:t>
      </w:r>
      <w:r w:rsidR="00972E38" w:rsidRPr="008B55DF">
        <w:rPr>
          <w:spacing w:val="-2"/>
        </w:rPr>
        <w:t xml:space="preserve">and therefore productivity. </w:t>
      </w:r>
      <w:r w:rsidR="00F76972" w:rsidRPr="008B55DF">
        <w:rPr>
          <w:spacing w:val="-2"/>
        </w:rPr>
        <w:t xml:space="preserve">Allowing a larger </w:t>
      </w:r>
      <w:r w:rsidR="00F4658E" w:rsidRPr="008B55DF">
        <w:rPr>
          <w:spacing w:val="-2"/>
        </w:rPr>
        <w:t xml:space="preserve">type of </w:t>
      </w:r>
      <w:r w:rsidR="00F76972" w:rsidRPr="008B55DF">
        <w:rPr>
          <w:spacing w:val="-2"/>
        </w:rPr>
        <w:t xml:space="preserve">freight vehicle to access a key freight route is likely to have larger productivity benefits than allowing that </w:t>
      </w:r>
      <w:r w:rsidR="00F4658E" w:rsidRPr="008B55DF">
        <w:rPr>
          <w:spacing w:val="-2"/>
        </w:rPr>
        <w:t xml:space="preserve">type of </w:t>
      </w:r>
      <w:r w:rsidR="00F76972" w:rsidRPr="008B55DF">
        <w:rPr>
          <w:spacing w:val="-2"/>
        </w:rPr>
        <w:t xml:space="preserve">vehicle on a small road that does not </w:t>
      </w:r>
      <w:r w:rsidR="006009B9" w:rsidRPr="008B55DF">
        <w:rPr>
          <w:spacing w:val="-2"/>
        </w:rPr>
        <w:t xml:space="preserve">have </w:t>
      </w:r>
      <w:r w:rsidR="00F76972" w:rsidRPr="008B55DF">
        <w:rPr>
          <w:spacing w:val="-2"/>
        </w:rPr>
        <w:t>much heavy vehicle traffic. Increased uptake in the PBS scheme for large freight vehicles is also likely to have larger benefits than for smaller vehicles.</w:t>
      </w:r>
    </w:p>
    <w:p w14:paraId="16EB6B06" w14:textId="106FA7F0" w:rsidR="002E28AB" w:rsidRDefault="00972E38" w:rsidP="00E67616">
      <w:pPr>
        <w:pStyle w:val="BodyText"/>
      </w:pPr>
      <w:r>
        <w:t xml:space="preserve">Sufficiently detailed data </w:t>
      </w:r>
      <w:r w:rsidR="004B38E1">
        <w:t xml:space="preserve">to </w:t>
      </w:r>
      <w:r w:rsidR="002E28AB">
        <w:t xml:space="preserve">accurately </w:t>
      </w:r>
      <w:r w:rsidR="004B38E1">
        <w:t xml:space="preserve">quantify changes in heavy vehicle cost efficiency </w:t>
      </w:r>
      <w:r w:rsidR="00064310">
        <w:t>are</w:t>
      </w:r>
      <w:r>
        <w:t xml:space="preserve"> unavailable </w:t>
      </w:r>
      <w:r w:rsidR="005660C1">
        <w:t>(discussed below</w:t>
      </w:r>
      <w:r>
        <w:t>).</w:t>
      </w:r>
      <w:r w:rsidR="004B38E1">
        <w:t xml:space="preserve"> </w:t>
      </w:r>
      <w:r w:rsidR="002E28AB">
        <w:t xml:space="preserve">Consequently, partial indicators of performance were used to </w:t>
      </w:r>
      <w:r w:rsidR="00116894">
        <w:t xml:space="preserve">examine </w:t>
      </w:r>
      <w:r w:rsidR="002E28AB">
        <w:t>changes in the productivity of freight</w:t>
      </w:r>
      <w:r w:rsidR="000F678D">
        <w:noBreakHyphen/>
      </w:r>
      <w:r w:rsidR="002E28AB">
        <w:t>carrying heavy vehicles in chapter</w:t>
      </w:r>
      <w:r w:rsidR="00FE4B97">
        <w:t> </w:t>
      </w:r>
      <w:r w:rsidR="002E28AB">
        <w:t xml:space="preserve">6, but these </w:t>
      </w:r>
      <w:r w:rsidR="00670F20">
        <w:t xml:space="preserve">also </w:t>
      </w:r>
      <w:r w:rsidR="002E28AB">
        <w:t>have limitations</w:t>
      </w:r>
      <w:r w:rsidR="00E67616">
        <w:t xml:space="preserve"> (discussed above). </w:t>
      </w:r>
    </w:p>
    <w:p w14:paraId="1A03953C" w14:textId="54CFEDF4" w:rsidR="00E67616" w:rsidRDefault="00E67616" w:rsidP="00E67616">
      <w:pPr>
        <w:pStyle w:val="BodyText"/>
      </w:pPr>
      <w:r>
        <w:t>There are</w:t>
      </w:r>
      <w:r w:rsidRPr="00226A69">
        <w:t xml:space="preserve"> </w:t>
      </w:r>
      <w:r>
        <w:t xml:space="preserve">also </w:t>
      </w:r>
      <w:r w:rsidR="001350D8">
        <w:t>in</w:t>
      </w:r>
      <w:r w:rsidRPr="00226A69">
        <w:t>sufficie</w:t>
      </w:r>
      <w:r>
        <w:t xml:space="preserve">nt productivity measures for </w:t>
      </w:r>
      <w:r w:rsidRPr="00226A69">
        <w:t>non</w:t>
      </w:r>
      <w:r>
        <w:noBreakHyphen/>
      </w:r>
      <w:r w:rsidRPr="00226A69">
        <w:t>freight carrying heavy vehicles.</w:t>
      </w:r>
      <w:r>
        <w:t xml:space="preserve"> As </w:t>
      </w:r>
      <w:r w:rsidR="002E28AB">
        <w:t>these</w:t>
      </w:r>
      <w:r>
        <w:t xml:space="preserve"> vehicles do not contribute to the national freight task, their ‘value’ cannot </w:t>
      </w:r>
      <w:r w:rsidR="00E30A2B">
        <w:t xml:space="preserve">easily </w:t>
      </w:r>
      <w:r>
        <w:t>be measured by, for example, tonnes moved and kilometres travelled</w:t>
      </w:r>
      <w:r w:rsidR="00AA0171">
        <w:t xml:space="preserve"> </w:t>
      </w:r>
      <w:r w:rsidR="00D10E0A" w:rsidRPr="00D10E0A">
        <w:rPr>
          <w:szCs w:val="24"/>
        </w:rPr>
        <w:t>(CIE 2011, pp. 37–38)</w:t>
      </w:r>
      <w:r>
        <w:t>.</w:t>
      </w:r>
    </w:p>
    <w:p w14:paraId="30AF6E62" w14:textId="4F8BB60A" w:rsidR="00B439B4" w:rsidRDefault="008B0E84" w:rsidP="00132B1E">
      <w:pPr>
        <w:pStyle w:val="BodyText"/>
      </w:pPr>
      <w:r>
        <w:t>T</w:t>
      </w:r>
      <w:r w:rsidR="00366C76" w:rsidRPr="00452A2E">
        <w:t>he</w:t>
      </w:r>
      <w:r w:rsidR="00AB0137">
        <w:t xml:space="preserve"> lack of detailed</w:t>
      </w:r>
      <w:r w:rsidR="00F25C79">
        <w:t xml:space="preserve"> data also limits </w:t>
      </w:r>
      <w:r w:rsidR="00490E52">
        <w:t xml:space="preserve">the </w:t>
      </w:r>
      <w:r w:rsidR="00030410">
        <w:t>estimation of</w:t>
      </w:r>
      <w:r w:rsidR="00366C76">
        <w:t xml:space="preserve"> </w:t>
      </w:r>
      <w:r w:rsidR="00743612">
        <w:t>economy</w:t>
      </w:r>
      <w:r w:rsidR="000F678D">
        <w:noBreakHyphen/>
      </w:r>
      <w:r w:rsidR="00743612">
        <w:t>wide impacts</w:t>
      </w:r>
      <w:r w:rsidR="00C42E65">
        <w:t xml:space="preserve"> </w:t>
      </w:r>
      <w:r w:rsidR="00F25C79">
        <w:t xml:space="preserve">of heavy vehicle </w:t>
      </w:r>
      <w:r w:rsidR="00B83889">
        <w:t xml:space="preserve">reform </w:t>
      </w:r>
      <w:r w:rsidR="00C42E65">
        <w:t>(</w:t>
      </w:r>
      <w:r w:rsidR="00FC4BB3">
        <w:t>b</w:t>
      </w:r>
      <w:r w:rsidR="00C42E65">
        <w:t xml:space="preserve">ox </w:t>
      </w:r>
      <w:proofErr w:type="spellStart"/>
      <w:r w:rsidR="0034249E">
        <w:t>B.5</w:t>
      </w:r>
      <w:proofErr w:type="spellEnd"/>
      <w:r w:rsidR="00C42E65">
        <w:t>)</w:t>
      </w:r>
      <w:r w:rsidR="00E67616">
        <w:t>.</w:t>
      </w:r>
      <w:r w:rsidR="00490E52">
        <w:t xml:space="preserve"> </w:t>
      </w:r>
      <w:r w:rsidR="00B75467">
        <w:t>This</w:t>
      </w:r>
      <w:r w:rsidR="00B75467" w:rsidDel="00B83889">
        <w:t xml:space="preserve"> </w:t>
      </w:r>
      <w:r w:rsidR="00B75467">
        <w:t>ideally requires d</w:t>
      </w:r>
      <w:r w:rsidR="008D1610">
        <w:t xml:space="preserve">ata </w:t>
      </w:r>
      <w:r w:rsidR="00E10869">
        <w:t xml:space="preserve">on </w:t>
      </w:r>
      <w:r w:rsidR="00E041C9">
        <w:t>how</w:t>
      </w:r>
      <w:r w:rsidR="00E10869">
        <w:t xml:space="preserve"> </w:t>
      </w:r>
      <w:r w:rsidR="00B86AED">
        <w:t>individual industries</w:t>
      </w:r>
      <w:r w:rsidR="00E041C9">
        <w:t xml:space="preserve"> use specific </w:t>
      </w:r>
      <w:r w:rsidR="00E03862">
        <w:t xml:space="preserve">heavy </w:t>
      </w:r>
      <w:r w:rsidR="00E041C9">
        <w:t>vehicles</w:t>
      </w:r>
      <w:r w:rsidR="00E67616">
        <w:t xml:space="preserve"> because c</w:t>
      </w:r>
      <w:r w:rsidR="00E10869">
        <w:t>hanges in access and ease of uptake</w:t>
      </w:r>
      <w:r w:rsidR="000B014B">
        <w:t xml:space="preserve"> </w:t>
      </w:r>
      <w:r w:rsidR="009C7561">
        <w:t xml:space="preserve">for particular vehicle types </w:t>
      </w:r>
      <w:r w:rsidR="00570A45">
        <w:t>will have</w:t>
      </w:r>
      <w:r w:rsidR="00570A45" w:rsidDel="00F5017D">
        <w:t xml:space="preserve"> </w:t>
      </w:r>
      <w:r w:rsidR="004A5D41">
        <w:t xml:space="preserve">larger </w:t>
      </w:r>
      <w:r w:rsidR="00F740A4">
        <w:t>productivity</w:t>
      </w:r>
      <w:r w:rsidR="00570A45">
        <w:t xml:space="preserve"> impact</w:t>
      </w:r>
      <w:r w:rsidR="00F5017D">
        <w:t>s</w:t>
      </w:r>
      <w:r w:rsidR="00570A45">
        <w:t xml:space="preserve"> on </w:t>
      </w:r>
      <w:r w:rsidR="00357D3A">
        <w:t>industries relying more heavily on that vehicle type</w:t>
      </w:r>
      <w:r w:rsidR="00570A45">
        <w:t xml:space="preserve">. </w:t>
      </w:r>
      <w:r w:rsidR="008E19CD">
        <w:t>For example</w:t>
      </w:r>
      <w:r w:rsidR="00EF3657">
        <w:t>,</w:t>
      </w:r>
      <w:r w:rsidR="008E19CD" w:rsidDel="00A547D5">
        <w:t xml:space="preserve"> </w:t>
      </w:r>
      <w:r w:rsidR="008E19CD">
        <w:t>a</w:t>
      </w:r>
      <w:r w:rsidR="00B716BE">
        <w:t xml:space="preserve">n increase in access for </w:t>
      </w:r>
      <w:r w:rsidR="00DC65ED">
        <w:t>truck and</w:t>
      </w:r>
      <w:r w:rsidR="008E19CD">
        <w:t xml:space="preserve"> dog</w:t>
      </w:r>
      <w:r w:rsidR="00BF36DC">
        <w:t xml:space="preserve"> vehicle combinations</w:t>
      </w:r>
      <w:r w:rsidR="00A547D5">
        <w:t xml:space="preserve"> will benefit operators in the construction business, more</w:t>
      </w:r>
      <w:r w:rsidR="008E19CD">
        <w:t xml:space="preserve"> </w:t>
      </w:r>
      <w:r w:rsidR="004E60B0">
        <w:t xml:space="preserve">than say, operators in the agricultural </w:t>
      </w:r>
      <w:r w:rsidR="00EF569D">
        <w:t>industry, who rely more on larger vehicles such as B</w:t>
      </w:r>
      <w:r w:rsidR="00DE65A3">
        <w:noBreakHyphen/>
      </w:r>
      <w:r w:rsidR="00EF569D">
        <w:t>double</w:t>
      </w:r>
      <w:r w:rsidR="007472D9">
        <w:t>s</w:t>
      </w:r>
      <w:r w:rsidR="00EF569D">
        <w:t>.</w:t>
      </w:r>
      <w:r w:rsidR="008E19CD">
        <w:t xml:space="preserve"> </w:t>
      </w:r>
      <w:r w:rsidRPr="008B55DF">
        <w:rPr>
          <w:spacing w:val="-2"/>
        </w:rPr>
        <w:t>The</w:t>
      </w:r>
      <w:r w:rsidR="00357D3A" w:rsidRPr="008B55DF">
        <w:rPr>
          <w:spacing w:val="-2"/>
        </w:rPr>
        <w:t>s</w:t>
      </w:r>
      <w:r w:rsidRPr="008B55DF">
        <w:rPr>
          <w:spacing w:val="-2"/>
        </w:rPr>
        <w:t>e</w:t>
      </w:r>
      <w:r w:rsidR="009106C4" w:rsidRPr="008B55DF">
        <w:rPr>
          <w:spacing w:val="-2"/>
        </w:rPr>
        <w:t xml:space="preserve"> </w:t>
      </w:r>
      <w:r w:rsidR="00357D3A" w:rsidRPr="008B55DF">
        <w:rPr>
          <w:spacing w:val="-2"/>
        </w:rPr>
        <w:t xml:space="preserve">changes </w:t>
      </w:r>
      <w:r w:rsidR="00132B1E" w:rsidRPr="008B55DF">
        <w:rPr>
          <w:spacing w:val="-2"/>
        </w:rPr>
        <w:t>will</w:t>
      </w:r>
      <w:r w:rsidR="00EF3657" w:rsidRPr="008B55DF">
        <w:rPr>
          <w:spacing w:val="-2"/>
        </w:rPr>
        <w:t xml:space="preserve"> </w:t>
      </w:r>
      <w:r w:rsidR="00357D3A" w:rsidRPr="008B55DF">
        <w:rPr>
          <w:spacing w:val="-2"/>
        </w:rPr>
        <w:t xml:space="preserve">have </w:t>
      </w:r>
      <w:r w:rsidR="002C118E" w:rsidRPr="008B55DF">
        <w:rPr>
          <w:spacing w:val="-2"/>
        </w:rPr>
        <w:t>different flow</w:t>
      </w:r>
      <w:r w:rsidR="00501EC3" w:rsidRPr="008B55DF">
        <w:rPr>
          <w:spacing w:val="-2"/>
        </w:rPr>
        <w:noBreakHyphen/>
      </w:r>
      <w:r w:rsidR="002C118E" w:rsidRPr="008B55DF">
        <w:rPr>
          <w:spacing w:val="-2"/>
        </w:rPr>
        <w:t>on effect</w:t>
      </w:r>
      <w:r w:rsidR="00972E38" w:rsidRPr="008B55DF">
        <w:rPr>
          <w:spacing w:val="-2"/>
        </w:rPr>
        <w:t>s</w:t>
      </w:r>
      <w:r w:rsidR="00B62E15" w:rsidRPr="008B55DF">
        <w:rPr>
          <w:spacing w:val="-2"/>
        </w:rPr>
        <w:t>, depending on the size of the impact</w:t>
      </w:r>
      <w:r w:rsidR="002C118E" w:rsidRPr="008B55DF">
        <w:rPr>
          <w:spacing w:val="-2"/>
        </w:rPr>
        <w:t xml:space="preserve"> </w:t>
      </w:r>
      <w:r w:rsidR="00462484" w:rsidRPr="008B55DF">
        <w:rPr>
          <w:spacing w:val="-2"/>
        </w:rPr>
        <w:t>on</w:t>
      </w:r>
      <w:r w:rsidR="002C118E" w:rsidRPr="008B55DF">
        <w:rPr>
          <w:spacing w:val="-2"/>
        </w:rPr>
        <w:t xml:space="preserve"> </w:t>
      </w:r>
      <w:r w:rsidR="00357D3A" w:rsidRPr="008B55DF">
        <w:rPr>
          <w:spacing w:val="-2"/>
        </w:rPr>
        <w:t xml:space="preserve">affected </w:t>
      </w:r>
      <w:r w:rsidR="009106C4" w:rsidRPr="008B55DF">
        <w:rPr>
          <w:spacing w:val="-2"/>
        </w:rPr>
        <w:t>industries</w:t>
      </w:r>
      <w:r w:rsidR="00B62E15" w:rsidRPr="008B55DF">
        <w:rPr>
          <w:spacing w:val="-2"/>
        </w:rPr>
        <w:t>, and how</w:t>
      </w:r>
      <w:r w:rsidR="002C118E" w:rsidRPr="008B55DF">
        <w:rPr>
          <w:spacing w:val="-2"/>
        </w:rPr>
        <w:t xml:space="preserve"> important</w:t>
      </w:r>
      <w:r w:rsidR="00B62E15" w:rsidRPr="008B55DF">
        <w:rPr>
          <w:spacing w:val="-2"/>
        </w:rPr>
        <w:t xml:space="preserve"> the</w:t>
      </w:r>
      <w:r w:rsidR="00357D3A" w:rsidRPr="008B55DF">
        <w:rPr>
          <w:spacing w:val="-2"/>
        </w:rPr>
        <w:t>se</w:t>
      </w:r>
      <w:r w:rsidR="00B62E15" w:rsidRPr="008B55DF">
        <w:rPr>
          <w:spacing w:val="-2"/>
        </w:rPr>
        <w:t xml:space="preserve"> </w:t>
      </w:r>
      <w:r w:rsidR="009106C4" w:rsidRPr="008B55DF">
        <w:rPr>
          <w:spacing w:val="-2"/>
        </w:rPr>
        <w:t>industries are</w:t>
      </w:r>
      <w:r w:rsidR="00B62E15" w:rsidRPr="008B55DF">
        <w:rPr>
          <w:spacing w:val="-2"/>
        </w:rPr>
        <w:t xml:space="preserve"> to other industries and the broader economy.</w:t>
      </w:r>
      <w:r w:rsidR="00FC544D" w:rsidRPr="008B55DF">
        <w:rPr>
          <w:spacing w:val="-2"/>
        </w:rPr>
        <w:t xml:space="preserve"> </w:t>
      </w:r>
    </w:p>
    <w:p w14:paraId="26EB8D3F" w14:textId="7A74C0E2" w:rsidR="00D85D8E" w:rsidRDefault="0014589E" w:rsidP="000F506D">
      <w:pPr>
        <w:pStyle w:val="BodyText"/>
      </w:pPr>
      <w:r>
        <w:t xml:space="preserve">A consideration in quantifying the effects of changes to heavy vehicle access and ease of uptake is that it may </w:t>
      </w:r>
      <w:r w:rsidR="008E4956">
        <w:t xml:space="preserve">affect </w:t>
      </w:r>
      <w:r>
        <w:t xml:space="preserve">the demand for other modes of freight transport, and </w:t>
      </w:r>
      <w:r w:rsidR="00171A35">
        <w:t>alter</w:t>
      </w:r>
      <w:r>
        <w:t xml:space="preserve"> total transport productivity</w:t>
      </w:r>
      <w:r w:rsidDel="00952469">
        <w:t>.</w:t>
      </w:r>
      <w:r w:rsidDel="00413192">
        <w:t xml:space="preserve"> </w:t>
      </w:r>
      <w:r>
        <w:t>For example, an increase in heavy vehicle access may decrease road freight costs. This may lead to an increase in the demand for road transport but a decrease in the demand for rail transport. Quantifying the change in total transport productivity would need to take into account the effect</w:t>
      </w:r>
      <w:r w:rsidR="00BF2715" w:rsidRPr="00BF2715">
        <w:t xml:space="preserve"> </w:t>
      </w:r>
      <w:r w:rsidR="00BF2715">
        <w:t>on both the road and rail transport sectors.</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85D8E" w14:paraId="6526A358" w14:textId="77777777" w:rsidTr="00D85D8E">
        <w:trPr>
          <w:tblHeader/>
        </w:trPr>
        <w:tc>
          <w:tcPr>
            <w:tcW w:w="5000" w:type="pct"/>
            <w:tcBorders>
              <w:top w:val="single" w:sz="6" w:space="0" w:color="78A22F"/>
              <w:left w:val="nil"/>
              <w:bottom w:val="nil"/>
              <w:right w:val="nil"/>
            </w:tcBorders>
            <w:shd w:val="clear" w:color="auto" w:fill="F2F2F2"/>
          </w:tcPr>
          <w:p w14:paraId="3596617C" w14:textId="443A5035" w:rsidR="00D85D8E" w:rsidRDefault="00D85D8E" w:rsidP="000D67E0">
            <w:pPr>
              <w:pStyle w:val="BoxTitle"/>
            </w:pPr>
            <w:r>
              <w:rPr>
                <w:b w:val="0"/>
              </w:rPr>
              <w:lastRenderedPageBreak/>
              <w:t xml:space="preserve">Box </w:t>
            </w:r>
            <w:proofErr w:type="spellStart"/>
            <w:r w:rsidR="0034249E">
              <w:rPr>
                <w:b w:val="0"/>
              </w:rPr>
              <w:t>B.</w:t>
            </w:r>
            <w:r w:rsidR="0050117B">
              <w:rPr>
                <w:b w:val="0"/>
                <w:noProof/>
              </w:rPr>
              <w:t>5</w:t>
            </w:r>
            <w:proofErr w:type="spellEnd"/>
            <w:r>
              <w:tab/>
            </w:r>
            <w:r w:rsidR="00B47441" w:rsidRPr="00B47441">
              <w:t xml:space="preserve">Data </w:t>
            </w:r>
            <w:r w:rsidR="006F5BBA">
              <w:t>to analyse</w:t>
            </w:r>
            <w:r w:rsidR="00B47441" w:rsidRPr="00B47441">
              <w:t xml:space="preserve"> economy</w:t>
            </w:r>
            <w:r w:rsidR="000F678D">
              <w:noBreakHyphen/>
            </w:r>
            <w:r w:rsidR="00B47441" w:rsidRPr="00B47441">
              <w:t>wide impacts of heavy vehicle reform</w:t>
            </w:r>
          </w:p>
        </w:tc>
      </w:tr>
      <w:tr w:rsidR="00D85D8E" w14:paraId="6019F191" w14:textId="77777777" w:rsidTr="00D85D8E">
        <w:tc>
          <w:tcPr>
            <w:tcW w:w="5000" w:type="pct"/>
            <w:tcBorders>
              <w:top w:val="nil"/>
              <w:left w:val="nil"/>
              <w:bottom w:val="nil"/>
              <w:right w:val="nil"/>
            </w:tcBorders>
            <w:shd w:val="clear" w:color="auto" w:fill="F2F2F2"/>
          </w:tcPr>
          <w:p w14:paraId="5FCB679B" w14:textId="644D3E23" w:rsidR="00CD33C0" w:rsidRDefault="00CD33C0" w:rsidP="00CD33C0">
            <w:pPr>
              <w:pStyle w:val="Box"/>
            </w:pPr>
            <w:r>
              <w:t xml:space="preserve">Data from </w:t>
            </w:r>
            <w:r w:rsidR="00286B0D">
              <w:t xml:space="preserve">ABS </w:t>
            </w:r>
            <w:r>
              <w:t>input</w:t>
            </w:r>
            <w:r w:rsidR="000F678D">
              <w:noBreakHyphen/>
            </w:r>
            <w:r>
              <w:t xml:space="preserve">output tables show that operators in many industries use road transport. Major </w:t>
            </w:r>
            <w:r w:rsidR="00286B0D">
              <w:t xml:space="preserve">users </w:t>
            </w:r>
            <w:r>
              <w:t>include construction services,</w:t>
            </w:r>
            <w:r w:rsidDel="004723DA">
              <w:t xml:space="preserve"> </w:t>
            </w:r>
            <w:r>
              <w:t>wholesale trade, and</w:t>
            </w:r>
            <w:r w:rsidDel="004723DA">
              <w:t xml:space="preserve"> </w:t>
            </w:r>
            <w:r>
              <w:t>residential building construction, as shown in the figure below. Other industries</w:t>
            </w:r>
            <w:r w:rsidR="003C1713">
              <w:t>, including various manufacturing industries,</w:t>
            </w:r>
            <w:r>
              <w:t xml:space="preserve"> spend relatively less on road transport, but it represents a large share of the</w:t>
            </w:r>
            <w:r w:rsidR="003C1713">
              <w:t>ir</w:t>
            </w:r>
            <w:r>
              <w:t xml:space="preserve"> total costs.</w:t>
            </w:r>
          </w:p>
          <w:p w14:paraId="67C08A7E" w14:textId="23F90608" w:rsidR="00CD33C0" w:rsidRDefault="00286B0D" w:rsidP="00F266D5">
            <w:pPr>
              <w:pStyle w:val="Box"/>
            </w:pPr>
            <w:r>
              <w:t xml:space="preserve">More detailed </w:t>
            </w:r>
            <w:r w:rsidR="00047B61">
              <w:t>input</w:t>
            </w:r>
            <w:r w:rsidR="000F678D">
              <w:noBreakHyphen/>
            </w:r>
            <w:r w:rsidR="00047B61">
              <w:t xml:space="preserve">output tables </w:t>
            </w:r>
            <w:r>
              <w:t>are needed to estimate the economy</w:t>
            </w:r>
            <w:r w:rsidR="000F678D">
              <w:noBreakHyphen/>
            </w:r>
            <w:r>
              <w:t xml:space="preserve">wide impacts of heavy vehicle reforms. </w:t>
            </w:r>
            <w:r w:rsidR="00CD33C0">
              <w:t>Although it is likely that heavy vehicles encompass a large share of road transport costs, road transport is a broad category that captures both passenger and freight transport. Only a subset of freight transport costs will involve heavy vehicles.</w:t>
            </w:r>
            <w:r w:rsidR="009C0F96">
              <w:t xml:space="preserve"> </w:t>
            </w:r>
            <w:r>
              <w:t xml:space="preserve">Heavy vehicle reforms also do not affect all types of heavy vehicles equally. </w:t>
            </w:r>
            <w:r w:rsidR="009C0F96">
              <w:t xml:space="preserve">Heavy vehicle costs </w:t>
            </w:r>
            <w:r>
              <w:t>should</w:t>
            </w:r>
            <w:r w:rsidR="009C0F96">
              <w:t xml:space="preserve"> be split into specific types of heavy vehicles, where the shares differ for each industry</w:t>
            </w:r>
            <w:r>
              <w:t>, in order to accurately assess how a change might affect the broader economy</w:t>
            </w:r>
            <w:r w:rsidR="009C0F96">
              <w:t>.</w:t>
            </w:r>
          </w:p>
          <w:p w14:paraId="10C97F77" w14:textId="0607480E" w:rsidR="00DB7613" w:rsidRPr="00C42E65" w:rsidRDefault="007D278A" w:rsidP="00F74E25">
            <w:pPr>
              <w:pStyle w:val="BoxHeading1"/>
            </w:pPr>
            <w:r>
              <w:rPr>
                <w:noProof/>
              </w:rPr>
              <w:t xml:space="preserve">Top six users </w:t>
            </w:r>
            <w:r w:rsidR="007C6209">
              <w:rPr>
                <w:noProof/>
              </w:rPr>
              <w:t xml:space="preserve">of road transport </w:t>
            </w:r>
            <w:r>
              <w:rPr>
                <w:noProof/>
              </w:rPr>
              <w:t xml:space="preserve">— use of </w:t>
            </w:r>
            <w:r w:rsidR="00DB7613" w:rsidRPr="00C42E65">
              <w:rPr>
                <w:noProof/>
              </w:rPr>
              <w:t>road transport</w:t>
            </w:r>
            <w:r w:rsidR="000511DE">
              <w:rPr>
                <w:noProof/>
              </w:rPr>
              <w:t xml:space="preserve"> as a share of expenditure on road transport </w:t>
            </w:r>
            <w:r>
              <w:rPr>
                <w:noProof/>
              </w:rPr>
              <w:t xml:space="preserve">services </w:t>
            </w:r>
            <w:r w:rsidR="000511DE">
              <w:rPr>
                <w:noProof/>
              </w:rPr>
              <w:t xml:space="preserve">by all </w:t>
            </w:r>
            <w:r w:rsidR="00DB7613">
              <w:rPr>
                <w:noProof/>
              </w:rPr>
              <w:t>industries</w:t>
            </w:r>
            <w:r w:rsidR="003C1713" w:rsidRPr="003C1713">
              <w:rPr>
                <w:rStyle w:val="NoteLabel"/>
                <w:b/>
              </w:rPr>
              <w:t>a</w:t>
            </w:r>
          </w:p>
          <w:p w14:paraId="1D2BA497" w14:textId="3DE738B1" w:rsidR="00DB7613" w:rsidRDefault="003C1713" w:rsidP="00DB7613">
            <w:pPr>
              <w:pStyle w:val="Figure"/>
              <w:rPr>
                <w:rFonts w:asciiTheme="majorHAnsi" w:hAnsiTheme="majorHAnsi" w:cstheme="majorHAnsi"/>
                <w:b/>
                <w:sz w:val="18"/>
                <w:szCs w:val="18"/>
              </w:rPr>
            </w:pPr>
            <w:r w:rsidRPr="003C1713">
              <w:rPr>
                <w:rStyle w:val="CommentReference"/>
                <w:rFonts w:asciiTheme="majorHAnsi" w:hAnsiTheme="majorHAnsi" w:cstheme="majorHAnsi"/>
                <w:noProof/>
                <w:vanish w:val="0"/>
                <w:color w:val="auto"/>
                <w:sz w:val="18"/>
                <w:szCs w:val="18"/>
              </w:rPr>
              <w:drawing>
                <wp:inline distT="0" distB="0" distL="0" distR="0" wp14:anchorId="0F8CB816" wp14:editId="3862F33D">
                  <wp:extent cx="5346700" cy="2159000"/>
                  <wp:effectExtent l="0" t="0" r="0" b="0"/>
                  <wp:docPr id="1" name="Picture 1" descr="Box B.5 Figure a. The top 6 users of road transport are construction services (10.4 per cent), road transport (7.1 per cent), wholesale trade (5.1 per cent), residential building construction (4.6 per cent), retail trade (4.0 per cent), and meat and meat manufacturing (3.5 per cent). The average across all industries is 0.88 per cent." title="Box B.5 Figure 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700" cy="2159000"/>
                          </a:xfrm>
                          <a:prstGeom prst="rect">
                            <a:avLst/>
                          </a:prstGeom>
                          <a:noFill/>
                          <a:ln>
                            <a:noFill/>
                          </a:ln>
                        </pic:spPr>
                      </pic:pic>
                    </a:graphicData>
                  </a:graphic>
                </wp:inline>
              </w:drawing>
            </w:r>
          </w:p>
          <w:p w14:paraId="2E55FCB7" w14:textId="02C81DD7" w:rsidR="00DB7613" w:rsidRPr="00C42E65" w:rsidRDefault="007C6209" w:rsidP="00F74E25">
            <w:pPr>
              <w:pStyle w:val="BoxHeading1"/>
            </w:pPr>
            <w:r>
              <w:t>Top six industries by road transport cost shares — c</w:t>
            </w:r>
            <w:r w:rsidR="00DB7613" w:rsidRPr="00C42E65">
              <w:t>ost of road transport to industry as a share of the respective industry’s total costs</w:t>
            </w:r>
            <w:r w:rsidR="002B1D77" w:rsidRPr="002B1D77">
              <w:rPr>
                <w:rStyle w:val="NoteLabel"/>
                <w:b/>
              </w:rPr>
              <w:t>a</w:t>
            </w:r>
          </w:p>
          <w:p w14:paraId="165543E2" w14:textId="0F4BC673" w:rsidR="00DB7613" w:rsidRPr="00CD33C0" w:rsidRDefault="003B6D7B" w:rsidP="009C67C2">
            <w:pPr>
              <w:pStyle w:val="Box"/>
              <w:jc w:val="center"/>
            </w:pPr>
            <w:r w:rsidRPr="003B6D7B">
              <w:rPr>
                <w:rStyle w:val="CommentReference"/>
                <w:b w:val="0"/>
                <w:noProof/>
                <w:vanish w:val="0"/>
                <w:color w:val="auto"/>
              </w:rPr>
              <w:drawing>
                <wp:inline distT="0" distB="0" distL="0" distR="0" wp14:anchorId="1DC7A844" wp14:editId="422154E1">
                  <wp:extent cx="5347970" cy="2161540"/>
                  <wp:effectExtent l="0" t="0" r="0" b="0"/>
                  <wp:docPr id="7" name="Picture 7" descr="Box B.5 Figure b. The top 6 industries by road transport cost shares are Sawmill Product Manufacturing (21.9 per cent); Other Wood Product Manufacturing (13.4 per cent); Cement, Lime and Ready-Mixed Concrete Manufacturing (11.6 per cent); Textile Manufacturing (9.4 per cent); Grain Mill and Cereal Product Manufacturing (9.4 per cent); and Other Non-Metallic Mineral Product Manufacturing (8.7 per cent). The average across all industries is 3.32 per cent." title="Box B.5 Figur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47970" cy="2161540"/>
                          </a:xfrm>
                          <a:prstGeom prst="rect">
                            <a:avLst/>
                          </a:prstGeom>
                          <a:noFill/>
                          <a:ln>
                            <a:noFill/>
                          </a:ln>
                        </pic:spPr>
                      </pic:pic>
                    </a:graphicData>
                  </a:graphic>
                </wp:inline>
              </w:drawing>
            </w:r>
          </w:p>
        </w:tc>
      </w:tr>
      <w:tr w:rsidR="003C1713" w14:paraId="57D93A9F" w14:textId="77777777" w:rsidTr="00D85D8E">
        <w:tc>
          <w:tcPr>
            <w:tcW w:w="5000" w:type="pct"/>
            <w:tcBorders>
              <w:top w:val="nil"/>
              <w:left w:val="nil"/>
              <w:bottom w:val="nil"/>
              <w:right w:val="nil"/>
            </w:tcBorders>
            <w:shd w:val="clear" w:color="auto" w:fill="F2F2F2"/>
          </w:tcPr>
          <w:p w14:paraId="60989000" w14:textId="38A5FECD" w:rsidR="003C1713" w:rsidRDefault="003C1713" w:rsidP="00451AC7">
            <w:pPr>
              <w:pStyle w:val="Note"/>
            </w:pPr>
            <w:r w:rsidRPr="00451AC7">
              <w:rPr>
                <w:rStyle w:val="NoteLabel"/>
              </w:rPr>
              <w:t>a</w:t>
            </w:r>
            <w:r>
              <w:t xml:space="preserve"> Domestic </w:t>
            </w:r>
            <w:r w:rsidR="002B1D77">
              <w:t xml:space="preserve">costs and </w:t>
            </w:r>
            <w:r>
              <w:t>expenditure, excluding taxes.</w:t>
            </w:r>
          </w:p>
        </w:tc>
      </w:tr>
      <w:tr w:rsidR="00D85D8E" w14:paraId="064F0FF6" w14:textId="77777777" w:rsidTr="00D85D8E">
        <w:tc>
          <w:tcPr>
            <w:tcW w:w="5000" w:type="pct"/>
            <w:tcBorders>
              <w:top w:val="nil"/>
              <w:left w:val="nil"/>
              <w:bottom w:val="nil"/>
              <w:right w:val="nil"/>
            </w:tcBorders>
            <w:shd w:val="clear" w:color="auto" w:fill="F2F2F2"/>
          </w:tcPr>
          <w:p w14:paraId="5E5537EB" w14:textId="72B00E5F" w:rsidR="00D85D8E" w:rsidRDefault="00DB7613" w:rsidP="0074504A">
            <w:pPr>
              <w:pStyle w:val="Source"/>
            </w:pPr>
            <w:r>
              <w:rPr>
                <w:i/>
              </w:rPr>
              <w:t>Source</w:t>
            </w:r>
            <w:r w:rsidRPr="00DE65A3">
              <w:t>:</w:t>
            </w:r>
            <w:r>
              <w:rPr>
                <w:i/>
              </w:rPr>
              <w:t xml:space="preserve"> </w:t>
            </w:r>
            <w:r w:rsidRPr="008D4A3E">
              <w:t>Commission estimates based on ABS (</w:t>
            </w:r>
            <w:r w:rsidRPr="008B55DF">
              <w:rPr>
                <w:i/>
              </w:rPr>
              <w:t>Australian National Accounts: Input</w:t>
            </w:r>
            <w:r w:rsidRPr="008B55DF">
              <w:rPr>
                <w:i/>
              </w:rPr>
              <w:noBreakHyphen/>
              <w:t>Output Tables, 2016</w:t>
            </w:r>
            <w:r w:rsidR="002A6601">
              <w:rPr>
                <w:i/>
              </w:rPr>
              <w:t>–</w:t>
            </w:r>
            <w:r w:rsidRPr="008B55DF">
              <w:rPr>
                <w:i/>
              </w:rPr>
              <w:t>2017</w:t>
            </w:r>
            <w:r w:rsidRPr="008D4A3E">
              <w:t xml:space="preserve">, Cat. no. </w:t>
            </w:r>
            <w:r w:rsidRPr="008D4A3E">
              <w:rPr>
                <w:bCs/>
              </w:rPr>
              <w:t>5209.0.55.001)</w:t>
            </w:r>
            <w:r w:rsidRPr="00A61B9E">
              <w:t>.</w:t>
            </w:r>
          </w:p>
        </w:tc>
      </w:tr>
      <w:tr w:rsidR="00D85D8E" w14:paraId="59F3AFCE" w14:textId="77777777" w:rsidTr="00D85D8E">
        <w:tc>
          <w:tcPr>
            <w:tcW w:w="5000" w:type="pct"/>
            <w:tcBorders>
              <w:top w:val="nil"/>
              <w:left w:val="nil"/>
              <w:bottom w:val="single" w:sz="6" w:space="0" w:color="78A22F"/>
              <w:right w:val="nil"/>
            </w:tcBorders>
            <w:shd w:val="clear" w:color="auto" w:fill="F2F2F2"/>
          </w:tcPr>
          <w:p w14:paraId="2223FED3" w14:textId="03457159" w:rsidR="00D85D8E" w:rsidRDefault="00D85D8E" w:rsidP="006F5BBA">
            <w:pPr>
              <w:pStyle w:val="Box"/>
              <w:keepNext w:val="0"/>
              <w:spacing w:before="0" w:line="120" w:lineRule="exact"/>
            </w:pPr>
          </w:p>
        </w:tc>
      </w:tr>
    </w:tbl>
    <w:p w14:paraId="2ABFB783" w14:textId="3853BE6C" w:rsidR="004E60B0" w:rsidRDefault="004E60B0" w:rsidP="00055663">
      <w:pPr>
        <w:pStyle w:val="Heading4"/>
      </w:pPr>
      <w:r>
        <w:lastRenderedPageBreak/>
        <w:t>A</w:t>
      </w:r>
      <w:r w:rsidRPr="004E60B0">
        <w:t>ttributing change</w:t>
      </w:r>
      <w:r w:rsidR="00480477">
        <w:t>s in productivity</w:t>
      </w:r>
      <w:r w:rsidRPr="004E60B0">
        <w:t xml:space="preserve"> to the national reforms</w:t>
      </w:r>
    </w:p>
    <w:p w14:paraId="6E4A2887" w14:textId="4A64A1D6" w:rsidR="00BB59BE" w:rsidRDefault="00DC1F6E" w:rsidP="008136B4">
      <w:pPr>
        <w:pStyle w:val="BodyText"/>
      </w:pPr>
      <w:r>
        <w:t>Even if</w:t>
      </w:r>
      <w:r w:rsidDel="00AD74C1">
        <w:t xml:space="preserve"> the </w:t>
      </w:r>
      <w:r>
        <w:t xml:space="preserve">change in </w:t>
      </w:r>
      <w:r w:rsidR="00490206">
        <w:t>productivity</w:t>
      </w:r>
      <w:r w:rsidR="00AD74C1">
        <w:t xml:space="preserve"> could be accurately quantified</w:t>
      </w:r>
      <w:r>
        <w:t xml:space="preserve">, attributing the change to the </w:t>
      </w:r>
      <w:r w:rsidR="00490206">
        <w:t>national reforms</w:t>
      </w:r>
      <w:r>
        <w:t xml:space="preserve"> is </w:t>
      </w:r>
      <w:r w:rsidR="00490206">
        <w:t>a</w:t>
      </w:r>
      <w:r w:rsidR="00BB59BE">
        <w:t xml:space="preserve">n additional challenge. </w:t>
      </w:r>
    </w:p>
    <w:p w14:paraId="2BD8A7D1" w14:textId="63F78DB0" w:rsidR="00F8573E" w:rsidDel="00641B98" w:rsidRDefault="009106C4" w:rsidP="00D11432">
      <w:pPr>
        <w:pStyle w:val="BodyText"/>
      </w:pPr>
      <w:r>
        <w:t xml:space="preserve">There are many </w:t>
      </w:r>
      <w:r w:rsidR="00F621D0">
        <w:t xml:space="preserve">factors unrelated to the </w:t>
      </w:r>
      <w:proofErr w:type="spellStart"/>
      <w:r>
        <w:t>HVNL</w:t>
      </w:r>
      <w:proofErr w:type="spellEnd"/>
      <w:r>
        <w:t xml:space="preserve"> and </w:t>
      </w:r>
      <w:proofErr w:type="spellStart"/>
      <w:r>
        <w:t>NHVR</w:t>
      </w:r>
      <w:proofErr w:type="spellEnd"/>
      <w:r>
        <w:t xml:space="preserve"> </w:t>
      </w:r>
      <w:r w:rsidR="002421E3">
        <w:t>that impact</w:t>
      </w:r>
      <w:r w:rsidR="00BB59BE">
        <w:t xml:space="preserve"> heavy vehicle ac</w:t>
      </w:r>
      <w:r w:rsidR="002421E3">
        <w:t>tivity</w:t>
      </w:r>
      <w:r>
        <w:t>, uptake and productivity</w:t>
      </w:r>
      <w:r w:rsidR="008A0943">
        <w:t xml:space="preserve"> that are difficult to control for</w:t>
      </w:r>
      <w:r w:rsidR="00171A35">
        <w:t>. These include</w:t>
      </w:r>
      <w:r>
        <w:t xml:space="preserve"> </w:t>
      </w:r>
      <w:r w:rsidR="002421E3">
        <w:t xml:space="preserve">increased demand for </w:t>
      </w:r>
      <w:r w:rsidR="008717B4">
        <w:t xml:space="preserve">road </w:t>
      </w:r>
      <w:r w:rsidR="002421E3">
        <w:t xml:space="preserve">freight transport due to economic factors </w:t>
      </w:r>
      <w:r w:rsidR="001A3A4A">
        <w:t>(</w:t>
      </w:r>
      <w:r w:rsidR="002421E3">
        <w:t>such as the construction boom</w:t>
      </w:r>
      <w:r w:rsidR="001A3A4A">
        <w:t>)</w:t>
      </w:r>
      <w:r w:rsidR="008717B4">
        <w:t xml:space="preserve"> </w:t>
      </w:r>
      <w:r w:rsidR="006B1934">
        <w:t xml:space="preserve">and </w:t>
      </w:r>
      <w:r w:rsidR="005B72AE">
        <w:t>changes in rail freight costs</w:t>
      </w:r>
      <w:r w:rsidR="008D4A3E">
        <w:t>,</w:t>
      </w:r>
      <w:r w:rsidR="006B1934">
        <w:t xml:space="preserve"> </w:t>
      </w:r>
      <w:r w:rsidR="005B72AE">
        <w:t xml:space="preserve">and </w:t>
      </w:r>
      <w:r w:rsidR="002421E3">
        <w:t xml:space="preserve">increased </w:t>
      </w:r>
      <w:r w:rsidR="00F8573E">
        <w:t>productivity due to technological</w:t>
      </w:r>
      <w:r w:rsidR="00D84C38">
        <w:t xml:space="preserve"> change</w:t>
      </w:r>
      <w:r w:rsidR="006B1934">
        <w:t xml:space="preserve">. Further, </w:t>
      </w:r>
      <w:r w:rsidR="002766DA">
        <w:t>c</w:t>
      </w:r>
      <w:r w:rsidR="00F8573E" w:rsidDel="00641B98">
        <w:t xml:space="preserve">hanges in </w:t>
      </w:r>
      <w:r w:rsidR="000E00BC">
        <w:t>vehicle</w:t>
      </w:r>
      <w:r w:rsidR="000E00BC" w:rsidDel="00641B98">
        <w:t xml:space="preserve"> </w:t>
      </w:r>
      <w:r w:rsidR="00F8573E" w:rsidDel="00641B98">
        <w:t xml:space="preserve">access are primarily the decision of </w:t>
      </w:r>
      <w:r w:rsidR="005D5952">
        <w:t>the</w:t>
      </w:r>
      <w:r w:rsidR="00F8573E" w:rsidDel="00641B98">
        <w:t xml:space="preserve"> infrastructure managers</w:t>
      </w:r>
      <w:r w:rsidR="006B1934">
        <w:t xml:space="preserve">, and it is uncertain how much the </w:t>
      </w:r>
      <w:proofErr w:type="spellStart"/>
      <w:r w:rsidR="006B1934">
        <w:t>HVNL</w:t>
      </w:r>
      <w:proofErr w:type="spellEnd"/>
      <w:r w:rsidR="006B1934">
        <w:t xml:space="preserve"> and </w:t>
      </w:r>
      <w:proofErr w:type="spellStart"/>
      <w:r w:rsidR="006B1934">
        <w:t>NHVR</w:t>
      </w:r>
      <w:proofErr w:type="spellEnd"/>
      <w:r w:rsidR="006B1934">
        <w:t xml:space="preserve"> would have influenced these decisions in each case</w:t>
      </w:r>
      <w:r w:rsidR="00F8573E" w:rsidDel="00641B98">
        <w:t>.</w:t>
      </w:r>
    </w:p>
    <w:p w14:paraId="0E7FCE07" w14:textId="458246FD" w:rsidR="00E72485" w:rsidRDefault="007119C3" w:rsidP="00506E23">
      <w:pPr>
        <w:pStyle w:val="BodyText"/>
      </w:pPr>
      <w:r>
        <w:t>In addition, t</w:t>
      </w:r>
      <w:r w:rsidR="00F8573E" w:rsidRPr="00F8573E">
        <w:t>here is no neat division between the pre</w:t>
      </w:r>
      <w:r w:rsidR="00F8573E" w:rsidRPr="00F8573E">
        <w:noBreakHyphen/>
        <w:t>reform and post</w:t>
      </w:r>
      <w:r w:rsidR="00F8573E" w:rsidRPr="00F8573E">
        <w:noBreakHyphen/>
        <w:t xml:space="preserve">reform periods. </w:t>
      </w:r>
      <w:r w:rsidR="00F8573E">
        <w:t>T</w:t>
      </w:r>
      <w:r w:rsidR="00F8573E" w:rsidRPr="00F8573E">
        <w:t>r</w:t>
      </w:r>
      <w:r w:rsidR="00F8573E">
        <w:t>ansition to the national system</w:t>
      </w:r>
      <w:r w:rsidR="00F8573E" w:rsidRPr="00F8573E">
        <w:t xml:space="preserve"> has taken place over a number of</w:t>
      </w:r>
      <w:r w:rsidR="00F8573E">
        <w:t xml:space="preserve"> years, and is still occurring. </w:t>
      </w:r>
      <w:r w:rsidR="00F8573E" w:rsidRPr="00F8573E">
        <w:t xml:space="preserve">Many initiatives that are part of the national laws predate the </w:t>
      </w:r>
      <w:proofErr w:type="spellStart"/>
      <w:r w:rsidR="00F8573E" w:rsidRPr="00F8573E">
        <w:t>COAG</w:t>
      </w:r>
      <w:proofErr w:type="spellEnd"/>
      <w:r w:rsidR="00F8573E" w:rsidRPr="00F8573E">
        <w:t xml:space="preserve"> reforms</w:t>
      </w:r>
      <w:r w:rsidR="00D11432">
        <w:t xml:space="preserve">, for example, the PBS scheme, which was introduced in 2009. </w:t>
      </w:r>
    </w:p>
    <w:p w14:paraId="0095FC10" w14:textId="5975A3A4" w:rsidR="00FA429A" w:rsidRPr="00FA429A" w:rsidRDefault="00FB7265">
      <w:pPr>
        <w:pStyle w:val="BodyText"/>
      </w:pPr>
      <w:r>
        <w:t>Finally, s</w:t>
      </w:r>
      <w:r w:rsidR="00E72485">
        <w:t xml:space="preserve">ome </w:t>
      </w:r>
      <w:r w:rsidR="000D5C33">
        <w:t>change</w:t>
      </w:r>
      <w:r w:rsidR="002766DA">
        <w:t>s</w:t>
      </w:r>
      <w:r w:rsidR="000D5C33">
        <w:t xml:space="preserve"> in </w:t>
      </w:r>
      <w:r w:rsidR="007A5239">
        <w:t xml:space="preserve">access, uptake and </w:t>
      </w:r>
      <w:r w:rsidR="000D5C33">
        <w:t xml:space="preserve">heavy vehicle activity </w:t>
      </w:r>
      <w:r w:rsidR="00F621D0">
        <w:t xml:space="preserve">that may be due to the reforms </w:t>
      </w:r>
      <w:r w:rsidR="002766DA">
        <w:t>are</w:t>
      </w:r>
      <w:r w:rsidR="00E72485">
        <w:t xml:space="preserve"> </w:t>
      </w:r>
      <w:r w:rsidR="00F621D0">
        <w:t>un</w:t>
      </w:r>
      <w:r w:rsidR="00E72485">
        <w:t>likely to be</w:t>
      </w:r>
      <w:r w:rsidR="000D5C33">
        <w:t xml:space="preserve"> immediately observable. </w:t>
      </w:r>
      <w:r w:rsidR="00E72485">
        <w:t>For example, t</w:t>
      </w:r>
      <w:r w:rsidR="000D5C33">
        <w:t>here</w:t>
      </w:r>
      <w:r w:rsidR="009106C4">
        <w:t xml:space="preserve"> </w:t>
      </w:r>
      <w:r w:rsidR="005F0238">
        <w:t>may be</w:t>
      </w:r>
      <w:r w:rsidR="0096393D">
        <w:t xml:space="preserve"> </w:t>
      </w:r>
      <w:r w:rsidR="00ED1BF8">
        <w:t xml:space="preserve">a </w:t>
      </w:r>
      <w:r w:rsidR="009106C4">
        <w:t xml:space="preserve">lag in </w:t>
      </w:r>
      <w:r w:rsidR="005F0238">
        <w:t xml:space="preserve">the </w:t>
      </w:r>
      <w:r w:rsidR="009106C4">
        <w:t xml:space="preserve">uptake of </w:t>
      </w:r>
      <w:r w:rsidR="00E50D69">
        <w:t>larger heavy vehicles</w:t>
      </w:r>
      <w:r w:rsidR="009106C4">
        <w:t>, as operators gradually renew their fleets over time</w:t>
      </w:r>
      <w:r w:rsidR="000D5C33">
        <w:t>.</w:t>
      </w:r>
    </w:p>
    <w:p w14:paraId="4BDF3F2E" w14:textId="79FC195D" w:rsidR="0075666F" w:rsidRDefault="0075666F" w:rsidP="000D67E0">
      <w:pPr>
        <w:pStyle w:val="Heading4"/>
      </w:pPr>
      <w:r>
        <w:t xml:space="preserve">Other studies on </w:t>
      </w:r>
      <w:r w:rsidR="00D53088">
        <w:t xml:space="preserve">the effects of heavy vehicle reforms on </w:t>
      </w:r>
      <w:r>
        <w:t>productivity</w:t>
      </w:r>
    </w:p>
    <w:p w14:paraId="756E4C1A" w14:textId="12493D67" w:rsidR="00F718DC" w:rsidRDefault="00A570BF" w:rsidP="000774CA">
      <w:pPr>
        <w:pStyle w:val="BodyText"/>
      </w:pPr>
      <w:r>
        <w:t>A number of studies</w:t>
      </w:r>
      <w:r w:rsidR="005A4B54">
        <w:t xml:space="preserve"> have</w:t>
      </w:r>
      <w:r>
        <w:t xml:space="preserve"> attempt</w:t>
      </w:r>
      <w:r w:rsidR="005A4B54">
        <w:t>ed</w:t>
      </w:r>
      <w:r>
        <w:t xml:space="preserve"> to quantify </w:t>
      </w:r>
      <w:r w:rsidR="008B7A22">
        <w:t xml:space="preserve">benefits of </w:t>
      </w:r>
      <w:r w:rsidR="005A4B54">
        <w:t xml:space="preserve">heavy vehicle </w:t>
      </w:r>
      <w:r w:rsidR="008B7A22">
        <w:t xml:space="preserve">reforms on </w:t>
      </w:r>
      <w:r w:rsidR="005A4B54">
        <w:t xml:space="preserve">productivity, </w:t>
      </w:r>
      <w:r w:rsidR="002E7AD2">
        <w:t xml:space="preserve">often </w:t>
      </w:r>
      <w:r w:rsidR="009358E3">
        <w:t xml:space="preserve">using a </w:t>
      </w:r>
      <w:r w:rsidR="002E7AD2">
        <w:t>cost savings</w:t>
      </w:r>
      <w:r w:rsidR="009358E3">
        <w:t xml:space="preserve"> framework</w:t>
      </w:r>
      <w:r w:rsidR="00A01045">
        <w:t xml:space="preserve"> (table </w:t>
      </w:r>
      <w:proofErr w:type="spellStart"/>
      <w:r w:rsidR="00A01045">
        <w:t>B.</w:t>
      </w:r>
      <w:r w:rsidR="002E347B">
        <w:t>9</w:t>
      </w:r>
      <w:proofErr w:type="spellEnd"/>
      <w:r w:rsidR="00EC0649">
        <w:t>)</w:t>
      </w:r>
      <w:r w:rsidR="005A4B54">
        <w:t xml:space="preserve">. </w:t>
      </w:r>
      <w:r w:rsidR="00353B46">
        <w:t xml:space="preserve">Many of these </w:t>
      </w:r>
      <w:r w:rsidR="00493D2D">
        <w:t>examine the forward</w:t>
      </w:r>
      <w:r w:rsidR="006B6E56">
        <w:noBreakHyphen/>
      </w:r>
      <w:r w:rsidR="00493D2D">
        <w:t xml:space="preserve">looking effects of </w:t>
      </w:r>
      <w:r w:rsidR="00696B70">
        <w:t xml:space="preserve">future </w:t>
      </w:r>
      <w:r w:rsidR="00493D2D">
        <w:t>reforms, rather than conduct a backward</w:t>
      </w:r>
      <w:r w:rsidR="000F678D">
        <w:noBreakHyphen/>
      </w:r>
      <w:r w:rsidR="00493D2D">
        <w:t>looking analysis</w:t>
      </w:r>
      <w:r w:rsidR="00D16281">
        <w:t xml:space="preserve"> of past reforms</w:t>
      </w:r>
      <w:r w:rsidR="00493D2D">
        <w:t xml:space="preserve">. </w:t>
      </w:r>
      <w:r>
        <w:t>The</w:t>
      </w:r>
      <w:r w:rsidR="005A4B54">
        <w:t xml:space="preserve"> studies</w:t>
      </w:r>
      <w:r w:rsidDel="00983CEF">
        <w:t xml:space="preserve"> </w:t>
      </w:r>
      <w:r>
        <w:t>rely on various simplifying assumption</w:t>
      </w:r>
      <w:r w:rsidR="009D51F3">
        <w:t>s</w:t>
      </w:r>
      <w:r>
        <w:t>,</w:t>
      </w:r>
      <w:r w:rsidR="001172A3">
        <w:t xml:space="preserve"> and do not take into account the </w:t>
      </w:r>
      <w:r w:rsidR="00DD11C9">
        <w:t xml:space="preserve">full </w:t>
      </w:r>
      <w:r w:rsidR="001172A3">
        <w:t xml:space="preserve">complexities of </w:t>
      </w:r>
      <w:r w:rsidR="004E1F96">
        <w:t xml:space="preserve">the system. </w:t>
      </w:r>
      <w:r w:rsidR="004350A2">
        <w:t>For example, s</w:t>
      </w:r>
      <w:r w:rsidR="004E1F96">
        <w:t xml:space="preserve">tudies that estimate </w:t>
      </w:r>
      <w:r w:rsidR="00EA7DF4">
        <w:t>flow</w:t>
      </w:r>
      <w:r w:rsidR="0072014A">
        <w:noBreakHyphen/>
      </w:r>
      <w:r w:rsidR="00EA7DF4">
        <w:t>on effects to other industries (</w:t>
      </w:r>
      <w:r w:rsidR="00D73135">
        <w:t xml:space="preserve">using methods discussed in box </w:t>
      </w:r>
      <w:proofErr w:type="spellStart"/>
      <w:r w:rsidR="00D73135">
        <w:t>B.3</w:t>
      </w:r>
      <w:proofErr w:type="spellEnd"/>
      <w:r w:rsidR="00EA7DF4">
        <w:t>)</w:t>
      </w:r>
      <w:r w:rsidR="004E1F96">
        <w:t xml:space="preserve"> typically do not take into account </w:t>
      </w:r>
      <w:r w:rsidR="00836140">
        <w:t>how</w:t>
      </w:r>
      <w:r w:rsidR="00F718DC">
        <w:t xml:space="preserve"> reform</w:t>
      </w:r>
      <w:r w:rsidR="00836140">
        <w:t>s affect</w:t>
      </w:r>
      <w:r w:rsidR="00F718DC">
        <w:t xml:space="preserve"> specific types of heavy vehicles</w:t>
      </w:r>
      <w:r w:rsidR="004E1F96">
        <w:t xml:space="preserve"> and hence specific industries. Rather, they assume that reforms affect all industries that use ‘road transport’ (or other broad </w:t>
      </w:r>
      <w:r w:rsidR="00D65CAC">
        <w:t xml:space="preserve">transport </w:t>
      </w:r>
      <w:r w:rsidR="004E1F96">
        <w:t>categories) in the same way, resulting in large estimates of economy</w:t>
      </w:r>
      <w:r w:rsidR="00DE65A3">
        <w:noBreakHyphen/>
      </w:r>
      <w:r w:rsidR="004E1F96">
        <w:t>wide benefits.</w:t>
      </w:r>
    </w:p>
    <w:p w14:paraId="1815BB44" w14:textId="7DF523D7" w:rsidR="00696ABF" w:rsidRDefault="00696ABF">
      <w:pPr>
        <w:pStyle w:val="BodyText"/>
        <w:sectPr w:rsidR="00696ABF" w:rsidSect="00A54FEA">
          <w:headerReference w:type="even" r:id="rId11"/>
          <w:headerReference w:type="default" r:id="rId12"/>
          <w:footerReference w:type="even" r:id="rId13"/>
          <w:footerReference w:type="default" r:id="rId14"/>
          <w:headerReference w:type="first" r:id="rId15"/>
          <w:footerReference w:type="first" r:id="rId16"/>
          <w:pgSz w:w="11907" w:h="16840" w:code="9"/>
          <w:pgMar w:top="1985" w:right="1304" w:bottom="1418" w:left="1814" w:header="1701" w:footer="567" w:gutter="0"/>
          <w:pgNumType w:start="1" w:chapStyle="1" w:chapSep="period"/>
          <w:cols w:space="720"/>
        </w:sectPr>
      </w:pPr>
      <w:r>
        <w:br w:type="page"/>
      </w: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13437"/>
      </w:tblGrid>
      <w:tr w:rsidR="00696ABF" w14:paraId="6C1B9FF5" w14:textId="77777777" w:rsidTr="00CE295C">
        <w:trPr>
          <w:tblHeader/>
        </w:trPr>
        <w:tc>
          <w:tcPr>
            <w:tcW w:w="5000" w:type="pct"/>
            <w:tcBorders>
              <w:top w:val="single" w:sz="6" w:space="0" w:color="78A22F"/>
              <w:left w:val="nil"/>
              <w:bottom w:val="nil"/>
              <w:right w:val="nil"/>
            </w:tcBorders>
            <w:shd w:val="clear" w:color="auto" w:fill="auto"/>
          </w:tcPr>
          <w:p w14:paraId="0DA0C7BF" w14:textId="31139702" w:rsidR="00696ABF" w:rsidRPr="00784A05" w:rsidRDefault="00696ABF" w:rsidP="00234B55">
            <w:pPr>
              <w:pStyle w:val="TableTitle"/>
            </w:pPr>
            <w:r>
              <w:rPr>
                <w:b w:val="0"/>
              </w:rPr>
              <w:lastRenderedPageBreak/>
              <w:t xml:space="preserve">Table </w:t>
            </w:r>
            <w:bookmarkStart w:id="5" w:name="OLE_LINK9"/>
            <w:proofErr w:type="spellStart"/>
            <w:r w:rsidR="002D2E00">
              <w:rPr>
                <w:b w:val="0"/>
              </w:rPr>
              <w:t>B.</w:t>
            </w:r>
            <w:bookmarkEnd w:id="5"/>
            <w:r w:rsidR="002E347B">
              <w:rPr>
                <w:b w:val="0"/>
              </w:rPr>
              <w:t>9</w:t>
            </w:r>
            <w:proofErr w:type="spellEnd"/>
            <w:r>
              <w:tab/>
              <w:t xml:space="preserve">Summary of past research on </w:t>
            </w:r>
            <w:r w:rsidR="00234B55">
              <w:t xml:space="preserve">effects of </w:t>
            </w:r>
            <w:r>
              <w:t xml:space="preserve">heavy vehicle </w:t>
            </w:r>
            <w:r w:rsidR="00234B55">
              <w:t xml:space="preserve">reforms on </w:t>
            </w:r>
            <w:r>
              <w:t>productivity</w:t>
            </w:r>
          </w:p>
        </w:tc>
      </w:tr>
      <w:tr w:rsidR="00696ABF" w14:paraId="769B285B" w14:textId="77777777" w:rsidTr="00CE295C">
        <w:tc>
          <w:tcPr>
            <w:tcW w:w="5000" w:type="pct"/>
            <w:tcBorders>
              <w:top w:val="nil"/>
              <w:left w:val="nil"/>
              <w:bottom w:val="nil"/>
              <w:right w:val="nil"/>
            </w:tcBorders>
            <w:shd w:val="clear" w:color="auto" w:fill="auto"/>
          </w:tcPr>
          <w:tbl>
            <w:tblPr>
              <w:tblW w:w="4986" w:type="pct"/>
              <w:tblCellMar>
                <w:top w:w="28" w:type="dxa"/>
                <w:left w:w="0" w:type="dxa"/>
                <w:right w:w="0" w:type="dxa"/>
              </w:tblCellMar>
              <w:tblLook w:val="0000" w:firstRow="0" w:lastRow="0" w:firstColumn="0" w:lastColumn="0" w:noHBand="0" w:noVBand="0"/>
            </w:tblPr>
            <w:tblGrid>
              <w:gridCol w:w="711"/>
              <w:gridCol w:w="5412"/>
              <w:gridCol w:w="1983"/>
              <w:gridCol w:w="1230"/>
              <w:gridCol w:w="3780"/>
            </w:tblGrid>
            <w:tr w:rsidR="0076416C" w14:paraId="5E927A6F" w14:textId="7830978F" w:rsidTr="0076416C">
              <w:trPr>
                <w:trHeight w:val="867"/>
                <w:tblHeader/>
              </w:trPr>
              <w:tc>
                <w:tcPr>
                  <w:tcW w:w="271" w:type="pct"/>
                  <w:tcBorders>
                    <w:top w:val="single" w:sz="6" w:space="0" w:color="BFBFBF"/>
                    <w:bottom w:val="single" w:sz="6" w:space="0" w:color="BFBFBF"/>
                  </w:tcBorders>
                  <w:shd w:val="clear" w:color="auto" w:fill="auto"/>
                  <w:tcMar>
                    <w:top w:w="28" w:type="dxa"/>
                  </w:tcMar>
                </w:tcPr>
                <w:p w14:paraId="7AD47555" w14:textId="5D2C3B56" w:rsidR="004C534C" w:rsidRDefault="00BA23C4" w:rsidP="00BA23C4">
                  <w:pPr>
                    <w:pStyle w:val="TableColumnHeading"/>
                    <w:jc w:val="left"/>
                  </w:pPr>
                  <w:r>
                    <w:t>Study</w:t>
                  </w:r>
                </w:p>
              </w:tc>
              <w:tc>
                <w:tcPr>
                  <w:tcW w:w="2062" w:type="pct"/>
                  <w:tcBorders>
                    <w:top w:val="single" w:sz="6" w:space="0" w:color="BFBFBF"/>
                    <w:bottom w:val="single" w:sz="6" w:space="0" w:color="BFBFBF"/>
                  </w:tcBorders>
                </w:tcPr>
                <w:p w14:paraId="43A63D7B" w14:textId="77777777" w:rsidR="004C534C" w:rsidRDefault="004C534C" w:rsidP="00F76EC0">
                  <w:pPr>
                    <w:pStyle w:val="TableColumnHeading"/>
                    <w:jc w:val="left"/>
                  </w:pPr>
                  <w:r>
                    <w:t>Overview of method for estimating productivity</w:t>
                  </w:r>
                </w:p>
              </w:tc>
              <w:tc>
                <w:tcPr>
                  <w:tcW w:w="756" w:type="pct"/>
                  <w:tcBorders>
                    <w:top w:val="single" w:sz="6" w:space="0" w:color="BFBFBF"/>
                    <w:bottom w:val="single" w:sz="6" w:space="0" w:color="BFBFBF"/>
                  </w:tcBorders>
                </w:tcPr>
                <w:p w14:paraId="5B917E69" w14:textId="73ECF97F" w:rsidR="004C534C" w:rsidRDefault="002711DC" w:rsidP="00325855">
                  <w:pPr>
                    <w:pStyle w:val="TableColumnHeading"/>
                    <w:jc w:val="left"/>
                  </w:pPr>
                  <w:r>
                    <w:t xml:space="preserve">Heavy vehicle </w:t>
                  </w:r>
                  <w:r w:rsidR="00325855">
                    <w:t xml:space="preserve">reform </w:t>
                  </w:r>
                  <w:r w:rsidR="00427C59">
                    <w:t>analysed</w:t>
                  </w:r>
                  <w:r w:rsidR="00B36E52">
                    <w:t xml:space="preserve"> </w:t>
                  </w:r>
                  <w:r w:rsidR="00B36E52">
                    <w:br/>
                    <w:t>(B = backward</w:t>
                  </w:r>
                  <w:r w:rsidR="00B36E52">
                    <w:noBreakHyphen/>
                    <w:t xml:space="preserve">looking, F = </w:t>
                  </w:r>
                  <w:r w:rsidR="0076416C">
                    <w:t>f</w:t>
                  </w:r>
                  <w:r w:rsidR="00B36E52">
                    <w:t>orward</w:t>
                  </w:r>
                  <w:r w:rsidR="00B36E52">
                    <w:noBreakHyphen/>
                    <w:t>looking)</w:t>
                  </w:r>
                </w:p>
              </w:tc>
              <w:tc>
                <w:tcPr>
                  <w:tcW w:w="469" w:type="pct"/>
                  <w:tcBorders>
                    <w:top w:val="single" w:sz="6" w:space="0" w:color="BFBFBF"/>
                    <w:bottom w:val="single" w:sz="6" w:space="0" w:color="BFBFBF"/>
                  </w:tcBorders>
                  <w:shd w:val="clear" w:color="auto" w:fill="auto"/>
                  <w:tcMar>
                    <w:top w:w="28" w:type="dxa"/>
                  </w:tcMar>
                </w:tcPr>
                <w:p w14:paraId="74A2F0DF" w14:textId="2324F271" w:rsidR="0076416C" w:rsidRDefault="0076416C" w:rsidP="0076416C">
                  <w:pPr>
                    <w:pStyle w:val="TableColumnHeading"/>
                    <w:jc w:val="left"/>
                    <w:rPr>
                      <w:rStyle w:val="NoteLabel"/>
                      <w:i w:val="0"/>
                    </w:rPr>
                  </w:pPr>
                  <w:r>
                    <w:t>Estimated benefits</w:t>
                  </w:r>
                  <w:r>
                    <w:rPr>
                      <w:rStyle w:val="NoteLabel"/>
                      <w:i w:val="0"/>
                    </w:rPr>
                    <w:t>a</w:t>
                  </w:r>
                </w:p>
                <w:p w14:paraId="041FC248" w14:textId="29FFA34F" w:rsidR="004C534C" w:rsidRPr="00053F05" w:rsidRDefault="0076416C" w:rsidP="0076416C">
                  <w:pPr>
                    <w:pStyle w:val="TableColumnHeading"/>
                    <w:jc w:val="left"/>
                    <w:rPr>
                      <w:b/>
                      <w:i w:val="0"/>
                      <w:position w:val="6"/>
                    </w:rPr>
                  </w:pPr>
                  <w:r w:rsidRPr="00EA7DF4">
                    <w:t>($b)</w:t>
                  </w:r>
                </w:p>
              </w:tc>
              <w:tc>
                <w:tcPr>
                  <w:tcW w:w="1442" w:type="pct"/>
                  <w:tcBorders>
                    <w:top w:val="single" w:sz="6" w:space="0" w:color="BFBFBF"/>
                    <w:bottom w:val="single" w:sz="6" w:space="0" w:color="BFBFBF"/>
                  </w:tcBorders>
                </w:tcPr>
                <w:p w14:paraId="7B335091" w14:textId="21613B90" w:rsidR="004C534C" w:rsidRDefault="004C534C" w:rsidP="00F76EC0">
                  <w:pPr>
                    <w:pStyle w:val="TableColumnHeading"/>
                    <w:ind w:right="28"/>
                    <w:jc w:val="left"/>
                  </w:pPr>
                  <w:r>
                    <w:t>Study limitations</w:t>
                  </w:r>
                </w:p>
              </w:tc>
            </w:tr>
            <w:tr w:rsidR="0076416C" w14:paraId="0A094189" w14:textId="118BD92A" w:rsidTr="0076416C">
              <w:tc>
                <w:tcPr>
                  <w:tcW w:w="271" w:type="pct"/>
                  <w:tcBorders>
                    <w:top w:val="single" w:sz="6" w:space="0" w:color="BFBFBF"/>
                  </w:tcBorders>
                </w:tcPr>
                <w:p w14:paraId="403B5616" w14:textId="2FE6AD36" w:rsidR="00494916" w:rsidRDefault="004C534C" w:rsidP="00EA18DE">
                  <w:pPr>
                    <w:pStyle w:val="TableUnitsRow"/>
                    <w:jc w:val="left"/>
                  </w:pPr>
                  <w:proofErr w:type="spellStart"/>
                  <w:r>
                    <w:t>NTC</w:t>
                  </w:r>
                  <w:proofErr w:type="spellEnd"/>
                  <w:r>
                    <w:t xml:space="preserve"> </w:t>
                  </w:r>
                  <w:r w:rsidR="00D10E0A" w:rsidRPr="00D10E0A">
                    <w:rPr>
                      <w:rFonts w:cs="Arial"/>
                    </w:rPr>
                    <w:t>(2011)</w:t>
                  </w:r>
                  <w:r w:rsidR="0006701C">
                    <w:t>,</w:t>
                  </w:r>
                  <w:r>
                    <w:t xml:space="preserve"> </w:t>
                  </w:r>
                  <w:r w:rsidRPr="00DE2931">
                    <w:t>CIE</w:t>
                  </w:r>
                  <w:r w:rsidRPr="0006701C">
                    <w:t xml:space="preserve"> </w:t>
                  </w:r>
                  <w:r w:rsidR="00D10E0A" w:rsidRPr="00D10E0A">
                    <w:rPr>
                      <w:rFonts w:cs="Arial"/>
                    </w:rPr>
                    <w:t>(2011)</w:t>
                  </w:r>
                </w:p>
              </w:tc>
              <w:tc>
                <w:tcPr>
                  <w:tcW w:w="2062" w:type="pct"/>
                  <w:tcBorders>
                    <w:top w:val="single" w:sz="6" w:space="0" w:color="BFBFBF"/>
                  </w:tcBorders>
                </w:tcPr>
                <w:p w14:paraId="3F626302" w14:textId="102CC864" w:rsidR="004C534C" w:rsidRPr="00693D5B" w:rsidRDefault="004C534C" w:rsidP="003D2B0F">
                  <w:pPr>
                    <w:pStyle w:val="TableBodyText"/>
                    <w:jc w:val="left"/>
                  </w:pPr>
                  <w:r>
                    <w:t>Using a top</w:t>
                  </w:r>
                  <w:r w:rsidR="00DE65A3">
                    <w:noBreakHyphen/>
                  </w:r>
                  <w:r>
                    <w:t xml:space="preserve">down approach, the study took </w:t>
                  </w:r>
                  <w:r w:rsidR="003B76E3">
                    <w:t xml:space="preserve">estimated </w:t>
                  </w:r>
                  <w:r>
                    <w:t xml:space="preserve">costs and benefits of </w:t>
                  </w:r>
                  <w:proofErr w:type="spellStart"/>
                  <w:r>
                    <w:t>HVNL</w:t>
                  </w:r>
                  <w:proofErr w:type="spellEnd"/>
                  <w:r>
                    <w:t xml:space="preserve"> reforms calculated in previous studies, and then used additional information </w:t>
                  </w:r>
                  <w:r w:rsidR="00957390">
                    <w:t xml:space="preserve">and assumptions </w:t>
                  </w:r>
                  <w:r>
                    <w:t>to attribute the costs and benefits across specific reform areas.</w:t>
                  </w:r>
                </w:p>
              </w:tc>
              <w:tc>
                <w:tcPr>
                  <w:tcW w:w="756" w:type="pct"/>
                  <w:tcBorders>
                    <w:top w:val="single" w:sz="6" w:space="0" w:color="BFBFBF"/>
                  </w:tcBorders>
                </w:tcPr>
                <w:p w14:paraId="3C7D1579" w14:textId="77777777" w:rsidR="004C534C" w:rsidRDefault="004C534C" w:rsidP="00F76EC0">
                  <w:pPr>
                    <w:pStyle w:val="TableBodyText"/>
                    <w:jc w:val="left"/>
                  </w:pPr>
                  <w:proofErr w:type="spellStart"/>
                  <w:r>
                    <w:t>HVNL</w:t>
                  </w:r>
                  <w:proofErr w:type="spellEnd"/>
                  <w:r>
                    <w:t xml:space="preserve"> reforms (F)</w:t>
                  </w:r>
                </w:p>
              </w:tc>
              <w:tc>
                <w:tcPr>
                  <w:tcW w:w="469" w:type="pct"/>
                  <w:tcBorders>
                    <w:top w:val="single" w:sz="6" w:space="0" w:color="BFBFBF"/>
                  </w:tcBorders>
                </w:tcPr>
                <w:p w14:paraId="25ADA351" w14:textId="7AF3D20F" w:rsidR="004C534C" w:rsidRDefault="00957390" w:rsidP="00503A2F">
                  <w:pPr>
                    <w:pStyle w:val="TableBodyText"/>
                    <w:jc w:val="left"/>
                  </w:pPr>
                  <w:r>
                    <w:t xml:space="preserve">3.9–8.7 </w:t>
                  </w:r>
                  <w:r w:rsidR="003A49A9">
                    <w:t>from 2011 to</w:t>
                  </w:r>
                  <w:r w:rsidR="0089021C">
                    <w:t xml:space="preserve"> 2030</w:t>
                  </w:r>
                </w:p>
              </w:tc>
              <w:tc>
                <w:tcPr>
                  <w:tcW w:w="1442" w:type="pct"/>
                  <w:tcBorders>
                    <w:top w:val="single" w:sz="6" w:space="0" w:color="BFBFBF"/>
                  </w:tcBorders>
                </w:tcPr>
                <w:p w14:paraId="4532FA91" w14:textId="5545188B" w:rsidR="004C534C" w:rsidRDefault="004C534C" w:rsidP="00943D79">
                  <w:pPr>
                    <w:pStyle w:val="TableBullet"/>
                  </w:pPr>
                  <w:r>
                    <w:t>Assumes nationally consistent laws will be administered, which has not fully eventuated in practice.</w:t>
                  </w:r>
                </w:p>
                <w:p w14:paraId="3D16EC3C" w14:textId="322DF42A" w:rsidR="004C534C" w:rsidRDefault="004C534C" w:rsidP="00053F05">
                  <w:pPr>
                    <w:pStyle w:val="TableBullet"/>
                  </w:pPr>
                  <w:r>
                    <w:t xml:space="preserve">Estimates can be assumption driven. For example, total </w:t>
                  </w:r>
                  <w:r w:rsidR="00231222">
                    <w:t>R</w:t>
                  </w:r>
                  <w:r w:rsidR="00053F05">
                    <w:t xml:space="preserve">estricted </w:t>
                  </w:r>
                  <w:r w:rsidR="00231222">
                    <w:t>A</w:t>
                  </w:r>
                  <w:r w:rsidR="00053F05">
                    <w:t xml:space="preserve">ccess </w:t>
                  </w:r>
                  <w:r w:rsidR="00231222">
                    <w:t>V</w:t>
                  </w:r>
                  <w:r w:rsidR="00053F05">
                    <w:t>ehicle (</w:t>
                  </w:r>
                  <w:proofErr w:type="spellStart"/>
                  <w:r w:rsidR="00053F05">
                    <w:t>RAV</w:t>
                  </w:r>
                  <w:proofErr w:type="spellEnd"/>
                  <w:r w:rsidR="00053F05">
                    <w:t>)</w:t>
                  </w:r>
                  <w:r>
                    <w:t xml:space="preserve"> benefits assumed to be double PBS benefits from another study.</w:t>
                  </w:r>
                </w:p>
              </w:tc>
            </w:tr>
            <w:tr w:rsidR="0076416C" w14:paraId="6160F88D" w14:textId="33719AAE" w:rsidTr="00D10E0A">
              <w:tc>
                <w:tcPr>
                  <w:tcW w:w="270" w:type="pct"/>
                </w:tcPr>
                <w:p w14:paraId="2023ED3A" w14:textId="77777777" w:rsidR="004C534C" w:rsidRDefault="004C534C" w:rsidP="00F76EC0">
                  <w:pPr>
                    <w:pStyle w:val="TableBodyText"/>
                    <w:jc w:val="left"/>
                  </w:pPr>
                </w:p>
              </w:tc>
              <w:tc>
                <w:tcPr>
                  <w:tcW w:w="2063" w:type="pct"/>
                  <w:vMerge w:val="restart"/>
                  <w:tcBorders>
                    <w:top w:val="single" w:sz="6" w:space="0" w:color="BFBFBF"/>
                  </w:tcBorders>
                </w:tcPr>
                <w:p w14:paraId="18E4C274" w14:textId="148383AF" w:rsidR="004C534C" w:rsidRDefault="004C534C" w:rsidP="002050B2">
                  <w:pPr>
                    <w:pStyle w:val="TableBodyText"/>
                    <w:jc w:val="left"/>
                  </w:pPr>
                  <w:r>
                    <w:t>Using a bottom</w:t>
                  </w:r>
                  <w:r w:rsidR="00DE65A3">
                    <w:noBreakHyphen/>
                  </w:r>
                  <w:r>
                    <w:t>up approach, the study estimated:</w:t>
                  </w:r>
                  <w:r w:rsidR="002050B2">
                    <w:t xml:space="preserve"> </w:t>
                  </w:r>
                  <w:r>
                    <w:t xml:space="preserve">productivity improvements (such as reduced kilometres travelled) from substituting </w:t>
                  </w:r>
                  <w:r w:rsidR="00EF53A1">
                    <w:t>towards</w:t>
                  </w:r>
                  <w:r>
                    <w:t xml:space="preserve"> higher productivity vehicles</w:t>
                  </w:r>
                  <w:r w:rsidR="002050B2">
                    <w:t xml:space="preserve">; </w:t>
                  </w:r>
                  <w:r>
                    <w:t>share</w:t>
                  </w:r>
                  <w:r w:rsidR="0095484D">
                    <w:t>s</w:t>
                  </w:r>
                  <w:r>
                    <w:t xml:space="preserve"> of vehicles and freight task affected</w:t>
                  </w:r>
                  <w:r w:rsidR="002050B2">
                    <w:t xml:space="preserve">; and </w:t>
                  </w:r>
                  <w:r>
                    <w:t>uptake rates.</w:t>
                  </w:r>
                </w:p>
                <w:p w14:paraId="1B049923" w14:textId="6AC4EFCF" w:rsidR="004C534C" w:rsidRPr="00693D5B" w:rsidRDefault="004C534C" w:rsidP="00F76EC0">
                  <w:pPr>
                    <w:pStyle w:val="TableBodyText"/>
                    <w:jc w:val="left"/>
                  </w:pPr>
                  <w:r>
                    <w:t xml:space="preserve">These estimates </w:t>
                  </w:r>
                  <w:r w:rsidR="002050B2">
                    <w:t>were</w:t>
                  </w:r>
                  <w:r>
                    <w:t xml:space="preserve"> converted to labour, capital and variable input productivity improvements for the heavy vehicle sector, which were used as inputs to a </w:t>
                  </w:r>
                  <w:r w:rsidR="00F74E25">
                    <w:t>computable general equilibrium (</w:t>
                  </w:r>
                  <w:proofErr w:type="spellStart"/>
                  <w:r w:rsidR="00F74E25">
                    <w:t>C</w:t>
                  </w:r>
                  <w:r>
                    <w:t>GE</w:t>
                  </w:r>
                  <w:proofErr w:type="spellEnd"/>
                  <w:r w:rsidR="00F74E25">
                    <w:t>)</w:t>
                  </w:r>
                  <w:r>
                    <w:t xml:space="preserve"> model to calculate economy</w:t>
                  </w:r>
                  <w:r w:rsidR="00DE65A3">
                    <w:noBreakHyphen/>
                  </w:r>
                  <w:r>
                    <w:t>wide benefits.</w:t>
                  </w:r>
                </w:p>
              </w:tc>
              <w:tc>
                <w:tcPr>
                  <w:tcW w:w="756" w:type="pct"/>
                  <w:tcBorders>
                    <w:top w:val="single" w:sz="6" w:space="0" w:color="BFBFBF"/>
                  </w:tcBorders>
                </w:tcPr>
                <w:p w14:paraId="1A7381A6" w14:textId="6B63DC51" w:rsidR="004C534C" w:rsidRDefault="00EC0649" w:rsidP="00EC0649">
                  <w:pPr>
                    <w:pStyle w:val="TableBodyText"/>
                    <w:jc w:val="left"/>
                  </w:pPr>
                  <w:proofErr w:type="spellStart"/>
                  <w:r>
                    <w:t>HVNL</w:t>
                  </w:r>
                  <w:proofErr w:type="spellEnd"/>
                  <w:r>
                    <w:t xml:space="preserve"> reforms </w:t>
                  </w:r>
                  <w:r w:rsidR="0097103A">
                    <w:br/>
                  </w:r>
                  <w:r>
                    <w:t xml:space="preserve">— </w:t>
                  </w:r>
                  <w:r w:rsidR="004C534C">
                    <w:t>PBS (F)</w:t>
                  </w:r>
                </w:p>
              </w:tc>
              <w:tc>
                <w:tcPr>
                  <w:tcW w:w="469" w:type="pct"/>
                  <w:tcBorders>
                    <w:top w:val="single" w:sz="6" w:space="0" w:color="BFBFBF"/>
                  </w:tcBorders>
                </w:tcPr>
                <w:p w14:paraId="5C417E0B" w14:textId="399E99A9" w:rsidR="004C534C" w:rsidRDefault="004C534C" w:rsidP="00D43B84">
                  <w:pPr>
                    <w:pStyle w:val="TableBodyText"/>
                    <w:jc w:val="left"/>
                  </w:pPr>
                  <w:r>
                    <w:t xml:space="preserve">0.55 a year </w:t>
                  </w:r>
                </w:p>
              </w:tc>
              <w:tc>
                <w:tcPr>
                  <w:tcW w:w="1442" w:type="pct"/>
                  <w:vMerge w:val="restart"/>
                  <w:tcBorders>
                    <w:top w:val="single" w:sz="6" w:space="0" w:color="BFBFBF"/>
                  </w:tcBorders>
                </w:tcPr>
                <w:p w14:paraId="30A2EE0A" w14:textId="5F342C6F" w:rsidR="004C534C" w:rsidRDefault="004C534C" w:rsidP="00BA223F">
                  <w:pPr>
                    <w:pStyle w:val="TableBullet"/>
                  </w:pPr>
                  <w:r>
                    <w:t>Assumes nationally consistent laws will be administered</w:t>
                  </w:r>
                  <w:r w:rsidR="005C4AAB">
                    <w:t>.</w:t>
                  </w:r>
                </w:p>
                <w:p w14:paraId="52B5361F" w14:textId="3CD0F393" w:rsidR="004C534C" w:rsidRDefault="004C534C" w:rsidP="00A67B2C">
                  <w:pPr>
                    <w:pStyle w:val="TableBullet"/>
                  </w:pPr>
                  <w:r>
                    <w:t xml:space="preserve">Estimates can be assumption driven. For example, </w:t>
                  </w:r>
                  <w:r w:rsidR="00127A39">
                    <w:t xml:space="preserve">uptake in </w:t>
                  </w:r>
                  <w:proofErr w:type="spellStart"/>
                  <w:r w:rsidR="00127A39">
                    <w:t>RAV</w:t>
                  </w:r>
                  <w:proofErr w:type="spellEnd"/>
                  <w:r w:rsidR="00127A39">
                    <w:t xml:space="preserve"> per cent kilometres travelled </w:t>
                  </w:r>
                  <w:r>
                    <w:t>assumed to be ten times higher with than without a consistent decision making framework.</w:t>
                  </w:r>
                </w:p>
                <w:p w14:paraId="2847D9BB" w14:textId="548482DB" w:rsidR="004C534C" w:rsidRDefault="004C534C" w:rsidP="000E00BC">
                  <w:pPr>
                    <w:pStyle w:val="TableBullet"/>
                  </w:pPr>
                  <w:proofErr w:type="spellStart"/>
                  <w:r>
                    <w:t>CGE</w:t>
                  </w:r>
                  <w:proofErr w:type="spellEnd"/>
                  <w:r>
                    <w:t xml:space="preserve"> modelling assumes productivity improvements affect each industry that uses ‘other transport’, without taking into account </w:t>
                  </w:r>
                  <w:r w:rsidR="0070247A">
                    <w:t>differing effects from</w:t>
                  </w:r>
                  <w:r>
                    <w:t xml:space="preserve"> changes to specific </w:t>
                  </w:r>
                  <w:r w:rsidR="000E00BC">
                    <w:t xml:space="preserve">vehicle </w:t>
                  </w:r>
                  <w:r>
                    <w:t>types.</w:t>
                  </w:r>
                </w:p>
              </w:tc>
            </w:tr>
            <w:tr w:rsidR="0076416C" w14:paraId="701E547E" w14:textId="6778B093" w:rsidTr="00D10E0A">
              <w:tc>
                <w:tcPr>
                  <w:tcW w:w="270" w:type="pct"/>
                </w:tcPr>
                <w:p w14:paraId="602C2365" w14:textId="266DC37B" w:rsidR="004C534C" w:rsidRDefault="004C534C" w:rsidP="00F76EC0">
                  <w:pPr>
                    <w:pStyle w:val="TableBodyText"/>
                    <w:jc w:val="left"/>
                  </w:pPr>
                </w:p>
              </w:tc>
              <w:tc>
                <w:tcPr>
                  <w:tcW w:w="2063" w:type="pct"/>
                  <w:vMerge/>
                </w:tcPr>
                <w:p w14:paraId="1856C24B" w14:textId="77777777" w:rsidR="004C534C" w:rsidRDefault="004C534C" w:rsidP="00F76EC0">
                  <w:pPr>
                    <w:pStyle w:val="TableBodyText"/>
                    <w:jc w:val="left"/>
                  </w:pPr>
                </w:p>
              </w:tc>
              <w:tc>
                <w:tcPr>
                  <w:tcW w:w="756" w:type="pct"/>
                  <w:tcBorders>
                    <w:top w:val="single" w:sz="6" w:space="0" w:color="BFBFBF"/>
                  </w:tcBorders>
                </w:tcPr>
                <w:p w14:paraId="5368809A" w14:textId="18739599" w:rsidR="004C534C" w:rsidRDefault="00EC0649" w:rsidP="00EC0649">
                  <w:pPr>
                    <w:pStyle w:val="TableBodyText"/>
                    <w:jc w:val="left"/>
                  </w:pPr>
                  <w:proofErr w:type="spellStart"/>
                  <w:r>
                    <w:t>HVNL</w:t>
                  </w:r>
                  <w:proofErr w:type="spellEnd"/>
                  <w:r>
                    <w:t xml:space="preserve"> reforms </w:t>
                  </w:r>
                  <w:r w:rsidR="0097103A">
                    <w:br/>
                  </w:r>
                  <w:r>
                    <w:t>— n</w:t>
                  </w:r>
                  <w:r w:rsidR="004C534C">
                    <w:t>on</w:t>
                  </w:r>
                  <w:r w:rsidR="00DE65A3">
                    <w:noBreakHyphen/>
                  </w:r>
                  <w:r w:rsidR="004C534C">
                    <w:t xml:space="preserve">PBS </w:t>
                  </w:r>
                  <w:proofErr w:type="spellStart"/>
                  <w:r w:rsidR="004C534C">
                    <w:t>RAV</w:t>
                  </w:r>
                  <w:proofErr w:type="spellEnd"/>
                  <w:r w:rsidR="004C534C">
                    <w:t xml:space="preserve"> (F)</w:t>
                  </w:r>
                </w:p>
              </w:tc>
              <w:tc>
                <w:tcPr>
                  <w:tcW w:w="469" w:type="pct"/>
                  <w:tcBorders>
                    <w:top w:val="single" w:sz="6" w:space="0" w:color="BFBFBF"/>
                  </w:tcBorders>
                </w:tcPr>
                <w:p w14:paraId="6B1A671D" w14:textId="5C83F036" w:rsidR="004C534C" w:rsidRDefault="004C534C" w:rsidP="00D43B84">
                  <w:pPr>
                    <w:pStyle w:val="TableBodyText"/>
                    <w:jc w:val="left"/>
                  </w:pPr>
                  <w:r>
                    <w:t>2.1 a year</w:t>
                  </w:r>
                </w:p>
              </w:tc>
              <w:tc>
                <w:tcPr>
                  <w:tcW w:w="1442" w:type="pct"/>
                  <w:vMerge/>
                </w:tcPr>
                <w:p w14:paraId="1C1AE8D9" w14:textId="77777777" w:rsidR="004C534C" w:rsidRDefault="004C534C" w:rsidP="00F76EC0">
                  <w:pPr>
                    <w:pStyle w:val="TableBodyText"/>
                    <w:jc w:val="left"/>
                  </w:pPr>
                </w:p>
              </w:tc>
            </w:tr>
            <w:tr w:rsidR="0076416C" w14:paraId="69FC5E68" w14:textId="4F638075" w:rsidTr="00D10E0A">
              <w:tc>
                <w:tcPr>
                  <w:tcW w:w="270" w:type="pct"/>
                </w:tcPr>
                <w:p w14:paraId="569C666D" w14:textId="77777777" w:rsidR="004C534C" w:rsidRDefault="004C534C" w:rsidP="00F76EC0">
                  <w:pPr>
                    <w:pStyle w:val="TableBodyText"/>
                    <w:jc w:val="left"/>
                  </w:pPr>
                </w:p>
              </w:tc>
              <w:tc>
                <w:tcPr>
                  <w:tcW w:w="2063" w:type="pct"/>
                  <w:vMerge/>
                  <w:tcBorders>
                    <w:bottom w:val="single" w:sz="4" w:space="0" w:color="BFBFBF"/>
                  </w:tcBorders>
                </w:tcPr>
                <w:p w14:paraId="491238CA" w14:textId="77777777" w:rsidR="004C534C" w:rsidRDefault="004C534C" w:rsidP="00F76EC0">
                  <w:pPr>
                    <w:pStyle w:val="TableBodyText"/>
                    <w:jc w:val="left"/>
                  </w:pPr>
                </w:p>
              </w:tc>
              <w:tc>
                <w:tcPr>
                  <w:tcW w:w="756" w:type="pct"/>
                  <w:tcBorders>
                    <w:top w:val="single" w:sz="6" w:space="0" w:color="BFBFBF"/>
                  </w:tcBorders>
                </w:tcPr>
                <w:p w14:paraId="5B198B60" w14:textId="4D0F7DC3" w:rsidR="004C534C" w:rsidRDefault="00EC0649" w:rsidP="00F76EC0">
                  <w:pPr>
                    <w:pStyle w:val="TableBodyText"/>
                    <w:jc w:val="left"/>
                  </w:pPr>
                  <w:proofErr w:type="spellStart"/>
                  <w:r>
                    <w:t>HVNL</w:t>
                  </w:r>
                  <w:proofErr w:type="spellEnd"/>
                  <w:r>
                    <w:t xml:space="preserve"> reforms</w:t>
                  </w:r>
                  <w:r w:rsidR="00DE65A3">
                    <w:t xml:space="preserve"> </w:t>
                  </w:r>
                  <w:r w:rsidR="0097103A">
                    <w:br/>
                  </w:r>
                  <w:r>
                    <w:t xml:space="preserve">— </w:t>
                  </w:r>
                  <w:proofErr w:type="spellStart"/>
                  <w:r w:rsidR="004C534C">
                    <w:t>HML</w:t>
                  </w:r>
                  <w:proofErr w:type="spellEnd"/>
                  <w:r w:rsidR="004C534C">
                    <w:t xml:space="preserve"> (F)</w:t>
                  </w:r>
                </w:p>
              </w:tc>
              <w:tc>
                <w:tcPr>
                  <w:tcW w:w="469" w:type="pct"/>
                  <w:tcBorders>
                    <w:top w:val="single" w:sz="6" w:space="0" w:color="BFBFBF"/>
                  </w:tcBorders>
                </w:tcPr>
                <w:p w14:paraId="7E04D496" w14:textId="7D43A65B" w:rsidR="004C534C" w:rsidRDefault="004C534C" w:rsidP="00D43B84">
                  <w:pPr>
                    <w:pStyle w:val="TableBodyText"/>
                    <w:jc w:val="left"/>
                  </w:pPr>
                  <w:r>
                    <w:t>0.16 a year</w:t>
                  </w:r>
                </w:p>
              </w:tc>
              <w:tc>
                <w:tcPr>
                  <w:tcW w:w="1442" w:type="pct"/>
                  <w:vMerge/>
                </w:tcPr>
                <w:p w14:paraId="3743E81D" w14:textId="77777777" w:rsidR="004C534C" w:rsidRDefault="004C534C" w:rsidP="00F76EC0">
                  <w:pPr>
                    <w:pStyle w:val="TableBodyText"/>
                    <w:jc w:val="left"/>
                  </w:pPr>
                </w:p>
              </w:tc>
            </w:tr>
            <w:tr w:rsidR="0076416C" w14:paraId="27AC9F93" w14:textId="432C71AF" w:rsidTr="00D10E0A">
              <w:tc>
                <w:tcPr>
                  <w:tcW w:w="270" w:type="pct"/>
                  <w:tcBorders>
                    <w:bottom w:val="single" w:sz="4" w:space="0" w:color="BFBFBF"/>
                  </w:tcBorders>
                </w:tcPr>
                <w:p w14:paraId="11BEA13D" w14:textId="77777777" w:rsidR="004C534C" w:rsidRDefault="004C534C" w:rsidP="00F76EC0">
                  <w:pPr>
                    <w:pStyle w:val="TableBodyText"/>
                    <w:jc w:val="left"/>
                  </w:pPr>
                </w:p>
              </w:tc>
              <w:tc>
                <w:tcPr>
                  <w:tcW w:w="2063" w:type="pct"/>
                  <w:tcBorders>
                    <w:top w:val="single" w:sz="4" w:space="0" w:color="BFBFBF"/>
                    <w:bottom w:val="single" w:sz="4" w:space="0" w:color="BFBFBF"/>
                  </w:tcBorders>
                </w:tcPr>
                <w:p w14:paraId="593C5263" w14:textId="33A79C00" w:rsidR="004C534C" w:rsidRDefault="004C534C" w:rsidP="00F74E25">
                  <w:pPr>
                    <w:pStyle w:val="TableBodyText"/>
                    <w:jc w:val="left"/>
                  </w:pPr>
                  <w:r>
                    <w:t>Under the bottom</w:t>
                  </w:r>
                  <w:r w:rsidR="00DE65A3">
                    <w:noBreakHyphen/>
                  </w:r>
                  <w:r>
                    <w:t xml:space="preserve">up approach, the study made assumptions about the productivity of </w:t>
                  </w:r>
                  <w:r w:rsidR="00F74E25">
                    <w:t xml:space="preserve">oversize </w:t>
                  </w:r>
                  <w:proofErr w:type="spellStart"/>
                  <w:r w:rsidR="00F74E25">
                    <w:t>overmass</w:t>
                  </w:r>
                  <w:proofErr w:type="spellEnd"/>
                  <w:r w:rsidR="00F74E25">
                    <w:t xml:space="preserve"> (</w:t>
                  </w:r>
                  <w:proofErr w:type="spellStart"/>
                  <w:r w:rsidR="00F74E25">
                    <w:t>OSOM</w:t>
                  </w:r>
                  <w:proofErr w:type="spellEnd"/>
                  <w:r w:rsidR="00F74E25">
                    <w:t>)</w:t>
                  </w:r>
                  <w:r>
                    <w:t xml:space="preserve"> </w:t>
                  </w:r>
                  <w:r w:rsidR="00863A67">
                    <w:t xml:space="preserve">vehicles </w:t>
                  </w:r>
                  <w:r>
                    <w:t xml:space="preserve">(because they do not carry freight) which led to benefits </w:t>
                  </w:r>
                  <w:r w:rsidR="00863A67">
                    <w:t>similar in size to</w:t>
                  </w:r>
                  <w:r>
                    <w:t xml:space="preserve"> </w:t>
                  </w:r>
                  <w:proofErr w:type="spellStart"/>
                  <w:r>
                    <w:t>HML</w:t>
                  </w:r>
                  <w:proofErr w:type="spellEnd"/>
                  <w:r>
                    <w:t xml:space="preserve"> vehicles.</w:t>
                  </w:r>
                </w:p>
              </w:tc>
              <w:tc>
                <w:tcPr>
                  <w:tcW w:w="756" w:type="pct"/>
                  <w:tcBorders>
                    <w:top w:val="single" w:sz="6" w:space="0" w:color="BFBFBF"/>
                    <w:bottom w:val="single" w:sz="4" w:space="0" w:color="BFBFBF"/>
                  </w:tcBorders>
                </w:tcPr>
                <w:p w14:paraId="7A3186C3" w14:textId="5E9AC24F" w:rsidR="004C534C" w:rsidRDefault="00EC0649" w:rsidP="00F76EC0">
                  <w:pPr>
                    <w:pStyle w:val="TableBodyText"/>
                    <w:jc w:val="left"/>
                  </w:pPr>
                  <w:proofErr w:type="spellStart"/>
                  <w:r>
                    <w:t>HVNL</w:t>
                  </w:r>
                  <w:proofErr w:type="spellEnd"/>
                  <w:r>
                    <w:t xml:space="preserve"> reforms </w:t>
                  </w:r>
                  <w:r w:rsidR="0097103A">
                    <w:br/>
                  </w:r>
                  <w:r>
                    <w:t xml:space="preserve">— </w:t>
                  </w:r>
                  <w:proofErr w:type="spellStart"/>
                  <w:r w:rsidR="004C534C">
                    <w:t>OSOM</w:t>
                  </w:r>
                  <w:proofErr w:type="spellEnd"/>
                  <w:r w:rsidR="004C534C">
                    <w:t xml:space="preserve"> (F)</w:t>
                  </w:r>
                </w:p>
              </w:tc>
              <w:tc>
                <w:tcPr>
                  <w:tcW w:w="469" w:type="pct"/>
                  <w:tcBorders>
                    <w:top w:val="single" w:sz="6" w:space="0" w:color="BFBFBF"/>
                    <w:bottom w:val="single" w:sz="4" w:space="0" w:color="BFBFBF"/>
                  </w:tcBorders>
                </w:tcPr>
                <w:p w14:paraId="590BEF22" w14:textId="0EF5548F" w:rsidR="004C534C" w:rsidRDefault="004C534C" w:rsidP="00D43B84">
                  <w:pPr>
                    <w:pStyle w:val="TableBodyText"/>
                    <w:jc w:val="left"/>
                  </w:pPr>
                  <w:r>
                    <w:t>0.16 a year</w:t>
                  </w:r>
                </w:p>
              </w:tc>
              <w:tc>
                <w:tcPr>
                  <w:tcW w:w="1442" w:type="pct"/>
                  <w:vMerge/>
                  <w:tcBorders>
                    <w:bottom w:val="single" w:sz="4" w:space="0" w:color="BFBFBF"/>
                  </w:tcBorders>
                </w:tcPr>
                <w:p w14:paraId="1B12158D" w14:textId="77777777" w:rsidR="004C534C" w:rsidRDefault="004C534C" w:rsidP="00F76EC0">
                  <w:pPr>
                    <w:pStyle w:val="TableBodyText"/>
                    <w:jc w:val="left"/>
                  </w:pPr>
                </w:p>
              </w:tc>
            </w:tr>
            <w:tr w:rsidR="0076416C" w14:paraId="5AF42157" w14:textId="77777777" w:rsidTr="00D10E0A">
              <w:tc>
                <w:tcPr>
                  <w:tcW w:w="270" w:type="pct"/>
                  <w:tcBorders>
                    <w:top w:val="single" w:sz="4" w:space="0" w:color="BFBFBF"/>
                    <w:bottom w:val="single" w:sz="4" w:space="0" w:color="BFBFBF"/>
                  </w:tcBorders>
                </w:tcPr>
                <w:p w14:paraId="57039B13" w14:textId="2494FD1A" w:rsidR="00EF53A1" w:rsidRDefault="00EF53A1" w:rsidP="00047358">
                  <w:pPr>
                    <w:pStyle w:val="TableUnitsRow"/>
                    <w:jc w:val="left"/>
                  </w:pPr>
                  <w:r>
                    <w:t xml:space="preserve">Hassall </w:t>
                  </w:r>
                  <w:r w:rsidR="00D10E0A" w:rsidRPr="00D10E0A">
                    <w:rPr>
                      <w:rFonts w:cs="Arial"/>
                    </w:rPr>
                    <w:t>(2014)</w:t>
                  </w:r>
                  <w:r>
                    <w:t xml:space="preserve"> </w:t>
                  </w:r>
                </w:p>
              </w:tc>
              <w:tc>
                <w:tcPr>
                  <w:tcW w:w="2063" w:type="pct"/>
                  <w:tcBorders>
                    <w:top w:val="single" w:sz="4" w:space="0" w:color="BFBFBF"/>
                    <w:bottom w:val="single" w:sz="4" w:space="0" w:color="BFBFBF"/>
                  </w:tcBorders>
                </w:tcPr>
                <w:p w14:paraId="014D90AF" w14:textId="5E10011C" w:rsidR="00EF53A1" w:rsidRDefault="00EF53A1" w:rsidP="00EF53A1">
                  <w:pPr>
                    <w:pStyle w:val="TableBodyText"/>
                    <w:jc w:val="left"/>
                  </w:pPr>
                  <w:r>
                    <w:t xml:space="preserve">The study used data from a survey of PBS operators to </w:t>
                  </w:r>
                  <w:r w:rsidR="006204DC">
                    <w:t>estimate productivity benefits (</w:t>
                  </w:r>
                  <w:r>
                    <w:t xml:space="preserve">based on cost savings relating </w:t>
                  </w:r>
                  <w:r w:rsidR="006204DC">
                    <w:t>to vehicle kilometres travelled)</w:t>
                  </w:r>
                  <w:r>
                    <w:t xml:space="preserve"> associated with three different levels of PBS network access. Estimates were projected forward based on assumed growth </w:t>
                  </w:r>
                  <w:r w:rsidR="006204DC">
                    <w:t>rates and shares of PBS vehicles for specific vehicle types</w:t>
                  </w:r>
                  <w:r>
                    <w:t>.</w:t>
                  </w:r>
                </w:p>
                <w:p w14:paraId="40610F74" w14:textId="3FB6E038" w:rsidR="00EF53A1" w:rsidRDefault="00EF53A1" w:rsidP="00EF53A1">
                  <w:pPr>
                    <w:pStyle w:val="TableBodyText"/>
                    <w:jc w:val="left"/>
                  </w:pPr>
                  <w:r>
                    <w:t>The study estimated flow</w:t>
                  </w:r>
                  <w:r w:rsidR="00DE65A3">
                    <w:noBreakHyphen/>
                  </w:r>
                  <w:r>
                    <w:t>on effects to other industries using input</w:t>
                  </w:r>
                  <w:r w:rsidR="00DE65A3">
                    <w:noBreakHyphen/>
                  </w:r>
                  <w:r>
                    <w:t>output modelling, where input</w:t>
                  </w:r>
                  <w:r w:rsidR="00DE65A3">
                    <w:noBreakHyphen/>
                  </w:r>
                  <w:r>
                    <w:t xml:space="preserve">output tables were modified to separate the heavy vehicle industry from ‘other’ road transport. The modified tables are based on estimated costs for heavy rigid, heavy articulated and other vehicles, by product group carried. </w:t>
                  </w:r>
                </w:p>
              </w:tc>
              <w:tc>
                <w:tcPr>
                  <w:tcW w:w="756" w:type="pct"/>
                  <w:tcBorders>
                    <w:top w:val="single" w:sz="4" w:space="0" w:color="BFBFBF"/>
                    <w:bottom w:val="single" w:sz="4" w:space="0" w:color="BFBFBF"/>
                  </w:tcBorders>
                </w:tcPr>
                <w:p w14:paraId="669AB007" w14:textId="5EBB26A8" w:rsidR="00EF53A1" w:rsidRDefault="003A49A9" w:rsidP="003A49A9">
                  <w:pPr>
                    <w:pStyle w:val="TableBodyText"/>
                    <w:jc w:val="left"/>
                  </w:pPr>
                  <w:r>
                    <w:t xml:space="preserve">Hypothetical </w:t>
                  </w:r>
                  <w:r w:rsidR="00EF53A1" w:rsidRPr="00693D5B">
                    <w:t>PBS</w:t>
                  </w:r>
                  <w:r w:rsidR="00EF53A1">
                    <w:t xml:space="preserve"> </w:t>
                  </w:r>
                  <w:r>
                    <w:t>access scenarios</w:t>
                  </w:r>
                  <w:r w:rsidR="00EF53A1">
                    <w:t xml:space="preserve"> (F)</w:t>
                  </w:r>
                </w:p>
              </w:tc>
              <w:tc>
                <w:tcPr>
                  <w:tcW w:w="469" w:type="pct"/>
                  <w:tcBorders>
                    <w:top w:val="single" w:sz="4" w:space="0" w:color="BFBFBF"/>
                    <w:bottom w:val="single" w:sz="4" w:space="0" w:color="BFBFBF"/>
                  </w:tcBorders>
                </w:tcPr>
                <w:p w14:paraId="70854A75" w14:textId="6C3AD747" w:rsidR="00EF53A1" w:rsidRDefault="00EF53A1" w:rsidP="00EF53A1">
                  <w:pPr>
                    <w:pStyle w:val="TableBodyText"/>
                    <w:jc w:val="left"/>
                  </w:pPr>
                  <w:r>
                    <w:t>4.7–8.7 direct cost savings from 2011 to 2030</w:t>
                  </w:r>
                  <w:r w:rsidR="003A49A9">
                    <w:t>;</w:t>
                  </w:r>
                </w:p>
                <w:p w14:paraId="575FE30B" w14:textId="686C2F20" w:rsidR="00EF53A1" w:rsidRDefault="00EF53A1" w:rsidP="00503A2F">
                  <w:pPr>
                    <w:pStyle w:val="TableBodyText"/>
                    <w:jc w:val="left"/>
                  </w:pPr>
                  <w:r>
                    <w:t>5.</w:t>
                  </w:r>
                  <w:r w:rsidR="003A49A9">
                    <w:t>6 flow</w:t>
                  </w:r>
                  <w:r w:rsidR="00DE65A3">
                    <w:noBreakHyphen/>
                  </w:r>
                  <w:r>
                    <w:t>on effects from 2011 to 2030</w:t>
                  </w:r>
                </w:p>
              </w:tc>
              <w:tc>
                <w:tcPr>
                  <w:tcW w:w="1442" w:type="pct"/>
                  <w:tcBorders>
                    <w:top w:val="single" w:sz="4" w:space="0" w:color="BFBFBF"/>
                    <w:bottom w:val="single" w:sz="4" w:space="0" w:color="BFBFBF"/>
                  </w:tcBorders>
                </w:tcPr>
                <w:p w14:paraId="1496096C" w14:textId="3E9A8D38" w:rsidR="006D2BB7" w:rsidRDefault="006D2BB7" w:rsidP="006D2BB7">
                  <w:pPr>
                    <w:pStyle w:val="TableBullet"/>
                  </w:pPr>
                  <w:r>
                    <w:t>Analysis limited to hypothetical scenarios for PBS vehicles.</w:t>
                  </w:r>
                </w:p>
              </w:tc>
            </w:tr>
          </w:tbl>
          <w:p w14:paraId="5CDBC82C" w14:textId="3B8148BC" w:rsidR="00696ABF" w:rsidRDefault="00696ABF" w:rsidP="00CE295C">
            <w:pPr>
              <w:pStyle w:val="Box"/>
            </w:pPr>
          </w:p>
        </w:tc>
      </w:tr>
      <w:tr w:rsidR="00696ABF" w14:paraId="6C75D954" w14:textId="77777777" w:rsidTr="00CE295C">
        <w:tc>
          <w:tcPr>
            <w:tcW w:w="5000" w:type="pct"/>
            <w:tcBorders>
              <w:top w:val="nil"/>
              <w:left w:val="nil"/>
              <w:bottom w:val="nil"/>
              <w:right w:val="nil"/>
            </w:tcBorders>
            <w:shd w:val="clear" w:color="auto" w:fill="auto"/>
          </w:tcPr>
          <w:p w14:paraId="39682C3C" w14:textId="3547CFC9" w:rsidR="00696ABF" w:rsidRPr="00D64515" w:rsidRDefault="003B76E3" w:rsidP="00EA18DE">
            <w:pPr>
              <w:pStyle w:val="Continued"/>
            </w:pPr>
            <w:r w:rsidRPr="00D64515">
              <w:t>(</w:t>
            </w:r>
            <w:r w:rsidR="00EA18DE">
              <w:t>c</w:t>
            </w:r>
            <w:r w:rsidRPr="00D64515">
              <w:t>ontinued next page)</w:t>
            </w:r>
          </w:p>
        </w:tc>
      </w:tr>
      <w:tr w:rsidR="00696ABF" w14:paraId="76D97DFB" w14:textId="77777777" w:rsidTr="00CE295C">
        <w:tc>
          <w:tcPr>
            <w:tcW w:w="5000" w:type="pct"/>
            <w:tcBorders>
              <w:top w:val="nil"/>
              <w:left w:val="nil"/>
              <w:bottom w:val="single" w:sz="6" w:space="0" w:color="78A22F"/>
              <w:right w:val="nil"/>
            </w:tcBorders>
            <w:shd w:val="clear" w:color="auto" w:fill="auto"/>
          </w:tcPr>
          <w:p w14:paraId="0FD844F1" w14:textId="66821E59" w:rsidR="00696ABF" w:rsidRDefault="00696ABF" w:rsidP="00EA7DF4">
            <w:pPr>
              <w:pStyle w:val="Box"/>
              <w:keepNext w:val="0"/>
              <w:spacing w:before="0" w:line="120" w:lineRule="exact"/>
            </w:pPr>
          </w:p>
        </w:tc>
      </w:tr>
    </w:tbl>
    <w:p w14:paraId="367B4E92" w14:textId="07DA61CE" w:rsidR="003B76E3" w:rsidRDefault="003B76E3" w:rsidP="003B76E3">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13437"/>
      </w:tblGrid>
      <w:tr w:rsidR="003B76E3" w14:paraId="0BB8D0FF" w14:textId="77777777" w:rsidTr="00B13864">
        <w:trPr>
          <w:tblHeader/>
        </w:trPr>
        <w:tc>
          <w:tcPr>
            <w:tcW w:w="5000" w:type="pct"/>
            <w:tcBorders>
              <w:top w:val="single" w:sz="6" w:space="0" w:color="78A22F"/>
              <w:left w:val="nil"/>
              <w:bottom w:val="nil"/>
              <w:right w:val="nil"/>
            </w:tcBorders>
            <w:shd w:val="clear" w:color="auto" w:fill="auto"/>
          </w:tcPr>
          <w:p w14:paraId="1D16B8B6" w14:textId="706B6A49" w:rsidR="003B76E3" w:rsidRPr="00784A05" w:rsidRDefault="003B76E3" w:rsidP="00A01045">
            <w:pPr>
              <w:pStyle w:val="TableTitle"/>
            </w:pPr>
            <w:r>
              <w:rPr>
                <w:b w:val="0"/>
              </w:rPr>
              <w:t xml:space="preserve">Table </w:t>
            </w:r>
            <w:proofErr w:type="spellStart"/>
            <w:r w:rsidR="002D2E00">
              <w:rPr>
                <w:b w:val="0"/>
              </w:rPr>
              <w:t>B.</w:t>
            </w:r>
            <w:r w:rsidR="002E347B">
              <w:rPr>
                <w:b w:val="0"/>
              </w:rPr>
              <w:t>9</w:t>
            </w:r>
            <w:proofErr w:type="spellEnd"/>
            <w:r>
              <w:tab/>
            </w:r>
            <w:r w:rsidRPr="003B76E3">
              <w:rPr>
                <w:b w:val="0"/>
                <w:sz w:val="18"/>
                <w:szCs w:val="18"/>
              </w:rPr>
              <w:t>(continued)</w:t>
            </w:r>
          </w:p>
        </w:tc>
      </w:tr>
      <w:tr w:rsidR="003B76E3" w14:paraId="1DCA8B25" w14:textId="77777777" w:rsidTr="00B13864">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019"/>
              <w:gridCol w:w="5645"/>
              <w:gridCol w:w="2007"/>
              <w:gridCol w:w="1110"/>
              <w:gridCol w:w="3372"/>
            </w:tblGrid>
            <w:tr w:rsidR="003B76E3" w14:paraId="2449DF7E" w14:textId="77777777" w:rsidTr="008B55DF">
              <w:trPr>
                <w:trHeight w:val="947"/>
                <w:tblHeader/>
              </w:trPr>
              <w:tc>
                <w:tcPr>
                  <w:tcW w:w="387" w:type="pct"/>
                  <w:tcBorders>
                    <w:top w:val="single" w:sz="6" w:space="0" w:color="BFBFBF"/>
                    <w:bottom w:val="single" w:sz="6" w:space="0" w:color="BFBFBF"/>
                  </w:tcBorders>
                  <w:shd w:val="clear" w:color="auto" w:fill="auto"/>
                  <w:tcMar>
                    <w:top w:w="28" w:type="dxa"/>
                  </w:tcMar>
                </w:tcPr>
                <w:p w14:paraId="4C3686ED" w14:textId="3AB2D3E1" w:rsidR="003B76E3" w:rsidRDefault="003B76E3" w:rsidP="00B13864">
                  <w:pPr>
                    <w:pStyle w:val="TableColumnHeading"/>
                    <w:jc w:val="left"/>
                  </w:pPr>
                  <w:r>
                    <w:t>Study</w:t>
                  </w:r>
                </w:p>
              </w:tc>
              <w:tc>
                <w:tcPr>
                  <w:tcW w:w="2146" w:type="pct"/>
                  <w:tcBorders>
                    <w:top w:val="single" w:sz="6" w:space="0" w:color="BFBFBF"/>
                    <w:bottom w:val="single" w:sz="6" w:space="0" w:color="BFBFBF"/>
                  </w:tcBorders>
                </w:tcPr>
                <w:p w14:paraId="62E30617" w14:textId="77777777" w:rsidR="003B76E3" w:rsidRDefault="003B76E3" w:rsidP="00B13864">
                  <w:pPr>
                    <w:pStyle w:val="TableColumnHeading"/>
                    <w:jc w:val="left"/>
                  </w:pPr>
                  <w:r>
                    <w:t>Overview of method for estimating productivity</w:t>
                  </w:r>
                </w:p>
              </w:tc>
              <w:tc>
                <w:tcPr>
                  <w:tcW w:w="763" w:type="pct"/>
                  <w:tcBorders>
                    <w:top w:val="single" w:sz="6" w:space="0" w:color="BFBFBF"/>
                    <w:bottom w:val="single" w:sz="6" w:space="0" w:color="BFBFBF"/>
                  </w:tcBorders>
                </w:tcPr>
                <w:p w14:paraId="3A6D91F3" w14:textId="471D1FC0" w:rsidR="003B76E3" w:rsidRDefault="002711DC" w:rsidP="00E108AA">
                  <w:pPr>
                    <w:pStyle w:val="TableColumnHeading"/>
                    <w:jc w:val="left"/>
                  </w:pPr>
                  <w:r>
                    <w:t xml:space="preserve">Heavy vehicle </w:t>
                  </w:r>
                  <w:r w:rsidR="00325855">
                    <w:t xml:space="preserve">reform </w:t>
                  </w:r>
                  <w:r w:rsidR="00427C59">
                    <w:t>analysed</w:t>
                  </w:r>
                  <w:r w:rsidR="00E108AA">
                    <w:br/>
                  </w:r>
                  <w:r w:rsidR="002F7D33">
                    <w:t>(B = backward</w:t>
                  </w:r>
                  <w:r w:rsidR="002F7D33">
                    <w:noBreakHyphen/>
                    <w:t>looking, F = forward</w:t>
                  </w:r>
                  <w:r w:rsidR="002F7D33">
                    <w:noBreakHyphen/>
                    <w:t>looking)</w:t>
                  </w:r>
                </w:p>
              </w:tc>
              <w:tc>
                <w:tcPr>
                  <w:tcW w:w="422" w:type="pct"/>
                  <w:tcBorders>
                    <w:top w:val="single" w:sz="6" w:space="0" w:color="BFBFBF"/>
                    <w:bottom w:val="single" w:sz="6" w:space="0" w:color="BFBFBF"/>
                  </w:tcBorders>
                  <w:shd w:val="clear" w:color="auto" w:fill="auto"/>
                  <w:tcMar>
                    <w:top w:w="28" w:type="dxa"/>
                  </w:tcMar>
                </w:tcPr>
                <w:p w14:paraId="1884D8D8" w14:textId="1DDCDCFF" w:rsidR="003B76E3" w:rsidRDefault="003B76E3" w:rsidP="00B13864">
                  <w:pPr>
                    <w:pStyle w:val="TableColumnHeading"/>
                    <w:jc w:val="left"/>
                    <w:rPr>
                      <w:rStyle w:val="NoteLabel"/>
                      <w:i w:val="0"/>
                    </w:rPr>
                  </w:pPr>
                  <w:r>
                    <w:t>Estimated benefits</w:t>
                  </w:r>
                  <w:r w:rsidR="002F7D33">
                    <w:rPr>
                      <w:rStyle w:val="NoteLabel"/>
                      <w:i w:val="0"/>
                    </w:rPr>
                    <w:t>a</w:t>
                  </w:r>
                </w:p>
                <w:p w14:paraId="3B7F8779" w14:textId="77777777" w:rsidR="003B76E3" w:rsidRPr="00EA7DF4" w:rsidRDefault="003B76E3" w:rsidP="00B13864">
                  <w:pPr>
                    <w:pStyle w:val="TableColumnHeading"/>
                    <w:jc w:val="left"/>
                  </w:pPr>
                  <w:r w:rsidRPr="00EA7DF4">
                    <w:t>($b)</w:t>
                  </w:r>
                </w:p>
              </w:tc>
              <w:tc>
                <w:tcPr>
                  <w:tcW w:w="1282" w:type="pct"/>
                  <w:tcBorders>
                    <w:top w:val="single" w:sz="6" w:space="0" w:color="BFBFBF"/>
                    <w:bottom w:val="single" w:sz="6" w:space="0" w:color="BFBFBF"/>
                  </w:tcBorders>
                </w:tcPr>
                <w:p w14:paraId="267CFEDB" w14:textId="77777777" w:rsidR="003B76E3" w:rsidRDefault="003B76E3" w:rsidP="00B13864">
                  <w:pPr>
                    <w:pStyle w:val="TableColumnHeading"/>
                    <w:ind w:right="28"/>
                    <w:jc w:val="left"/>
                  </w:pPr>
                  <w:r>
                    <w:t>Study limitations</w:t>
                  </w:r>
                </w:p>
              </w:tc>
            </w:tr>
            <w:tr w:rsidR="003B76E3" w14:paraId="1C0C8C8B" w14:textId="77777777" w:rsidTr="00F266D5">
              <w:tc>
                <w:tcPr>
                  <w:tcW w:w="387" w:type="pct"/>
                  <w:vMerge w:val="restart"/>
                  <w:shd w:val="clear" w:color="auto" w:fill="auto"/>
                </w:tcPr>
                <w:p w14:paraId="445C1C37" w14:textId="2B862B0D" w:rsidR="003B76E3" w:rsidRDefault="003B76E3" w:rsidP="000F6751">
                  <w:pPr>
                    <w:pStyle w:val="TableUnitsRow"/>
                    <w:jc w:val="left"/>
                  </w:pPr>
                  <w:r>
                    <w:t xml:space="preserve">Deloitte Access Economics </w:t>
                  </w:r>
                  <w:r w:rsidR="00D10E0A" w:rsidRPr="00D10E0A">
                    <w:rPr>
                      <w:rFonts w:cs="Arial"/>
                    </w:rPr>
                    <w:t>(2019)</w:t>
                  </w:r>
                </w:p>
              </w:tc>
              <w:tc>
                <w:tcPr>
                  <w:tcW w:w="2146" w:type="pct"/>
                  <w:tcBorders>
                    <w:bottom w:val="single" w:sz="4" w:space="0" w:color="BFBFBF"/>
                  </w:tcBorders>
                </w:tcPr>
                <w:p w14:paraId="1CB34625" w14:textId="49E2F6AE" w:rsidR="003B76E3" w:rsidRDefault="003B76E3" w:rsidP="00B13864">
                  <w:pPr>
                    <w:pStyle w:val="TableBodyText"/>
                    <w:jc w:val="left"/>
                  </w:pPr>
                  <w:r>
                    <w:t xml:space="preserve">The study estimated the yearly percentage change in </w:t>
                  </w:r>
                  <w:r w:rsidR="004456DF">
                    <w:t xml:space="preserve">the capital </w:t>
                  </w:r>
                  <w:r>
                    <w:t xml:space="preserve">productivity </w:t>
                  </w:r>
                  <w:r w:rsidR="004456DF">
                    <w:t xml:space="preserve">index </w:t>
                  </w:r>
                  <w:r>
                    <w:t xml:space="preserve">of the </w:t>
                  </w:r>
                  <w:r w:rsidR="00671D62">
                    <w:t>‘t</w:t>
                  </w:r>
                  <w:r>
                    <w:t xml:space="preserve">ransport, </w:t>
                  </w:r>
                  <w:r w:rsidR="00671D62">
                    <w:t>p</w:t>
                  </w:r>
                  <w:r>
                    <w:t xml:space="preserve">ostal and </w:t>
                  </w:r>
                  <w:r w:rsidR="00671D62">
                    <w:t>w</w:t>
                  </w:r>
                  <w:r>
                    <w:t>arehousing</w:t>
                  </w:r>
                  <w:r w:rsidR="00671D62">
                    <w:t>’</w:t>
                  </w:r>
                  <w:r>
                    <w:t xml:space="preserve"> industry over four years after the </w:t>
                  </w:r>
                  <w:proofErr w:type="spellStart"/>
                  <w:r>
                    <w:t>NHVR</w:t>
                  </w:r>
                  <w:proofErr w:type="spellEnd"/>
                  <w:r>
                    <w:t xml:space="preserve"> was introduced, and compared this with:</w:t>
                  </w:r>
                </w:p>
                <w:p w14:paraId="2496BCF4" w14:textId="5C51A1F8" w:rsidR="003B76E3" w:rsidRDefault="00EA7DF4" w:rsidP="00B13864">
                  <w:pPr>
                    <w:pStyle w:val="TableBullet"/>
                  </w:pPr>
                  <w:r>
                    <w:t xml:space="preserve">the </w:t>
                  </w:r>
                  <w:r w:rsidR="003B76E3">
                    <w:t xml:space="preserve">hypothetical increase in </w:t>
                  </w:r>
                  <w:r w:rsidR="00671D62">
                    <w:t>‘r</w:t>
                  </w:r>
                  <w:r w:rsidR="003B76E3">
                    <w:t xml:space="preserve">oad </w:t>
                  </w:r>
                  <w:r w:rsidR="00671D62">
                    <w:t>t</w:t>
                  </w:r>
                  <w:r w:rsidR="003B76E3">
                    <w:t>ransport</w:t>
                  </w:r>
                  <w:r w:rsidR="00671D62">
                    <w:t>’</w:t>
                  </w:r>
                  <w:r w:rsidR="003B76E3">
                    <w:t xml:space="preserve"> productivity necessary to realise productivity benefits estimated in the </w:t>
                  </w:r>
                  <w:r>
                    <w:t>Regulation Impact Statement</w:t>
                  </w:r>
                </w:p>
                <w:p w14:paraId="45DBA95E" w14:textId="77777777" w:rsidR="003B76E3" w:rsidRDefault="003B76E3" w:rsidP="00B13864">
                  <w:pPr>
                    <w:pStyle w:val="TableBullet"/>
                  </w:pPr>
                  <w:r>
                    <w:t>productivity for a benchmark group made up of wholesale trade, manufacturing and mining industries.</w:t>
                  </w:r>
                </w:p>
              </w:tc>
              <w:tc>
                <w:tcPr>
                  <w:tcW w:w="763" w:type="pct"/>
                  <w:tcBorders>
                    <w:bottom w:val="single" w:sz="4" w:space="0" w:color="BFBFBF"/>
                  </w:tcBorders>
                </w:tcPr>
                <w:p w14:paraId="16FD54FE" w14:textId="77777777" w:rsidR="003B76E3" w:rsidRDefault="003B76E3" w:rsidP="00B13864">
                  <w:pPr>
                    <w:pStyle w:val="TableBodyText"/>
                    <w:jc w:val="left"/>
                  </w:pPr>
                  <w:proofErr w:type="spellStart"/>
                  <w:r>
                    <w:t>HVNL</w:t>
                  </w:r>
                  <w:proofErr w:type="spellEnd"/>
                  <w:r>
                    <w:t xml:space="preserve"> reforms (B)</w:t>
                  </w:r>
                </w:p>
              </w:tc>
              <w:tc>
                <w:tcPr>
                  <w:tcW w:w="422" w:type="pct"/>
                  <w:tcBorders>
                    <w:bottom w:val="single" w:sz="4" w:space="0" w:color="BFBFBF"/>
                  </w:tcBorders>
                  <w:shd w:val="clear" w:color="auto" w:fill="auto"/>
                </w:tcPr>
                <w:p w14:paraId="0FB23F96" w14:textId="600549C5" w:rsidR="003B76E3" w:rsidRPr="00A6226E" w:rsidRDefault="00A6226E" w:rsidP="00B13864">
                  <w:pPr>
                    <w:pStyle w:val="TableBodyText"/>
                    <w:jc w:val="left"/>
                  </w:pPr>
                  <w:r w:rsidRPr="00A6226E">
                    <w:t>No repo</w:t>
                  </w:r>
                  <w:r>
                    <w:t>rted values, but concluded the reforms did not put the industry on a better trajectory</w:t>
                  </w:r>
                </w:p>
              </w:tc>
              <w:tc>
                <w:tcPr>
                  <w:tcW w:w="1282" w:type="pct"/>
                  <w:tcBorders>
                    <w:bottom w:val="single" w:sz="4" w:space="0" w:color="BFBFBF"/>
                  </w:tcBorders>
                </w:tcPr>
                <w:p w14:paraId="443E1085" w14:textId="42BF9FE1" w:rsidR="003B76E3" w:rsidRDefault="003B76E3" w:rsidP="00B13864">
                  <w:pPr>
                    <w:pStyle w:val="TableBullet"/>
                  </w:pPr>
                  <w:r>
                    <w:t xml:space="preserve">Aggregate view of productivity changes in </w:t>
                  </w:r>
                  <w:r w:rsidR="00671D62">
                    <w:t>‘transport, postal and warehousing’</w:t>
                  </w:r>
                  <w:r>
                    <w:t xml:space="preserve"> industry does not make it possible to identify how much of the change is in the heavy vehicle industry, let alone attribute changes to reforms.</w:t>
                  </w:r>
                </w:p>
              </w:tc>
            </w:tr>
            <w:tr w:rsidR="003B76E3" w14:paraId="076648FA" w14:textId="77777777" w:rsidTr="00F266D5">
              <w:tc>
                <w:tcPr>
                  <w:tcW w:w="387" w:type="pct"/>
                  <w:vMerge/>
                  <w:tcBorders>
                    <w:bottom w:val="single" w:sz="4" w:space="0" w:color="BFBFBF"/>
                  </w:tcBorders>
                  <w:shd w:val="clear" w:color="auto" w:fill="auto"/>
                </w:tcPr>
                <w:p w14:paraId="28787C40" w14:textId="77777777" w:rsidR="003B76E3" w:rsidRDefault="003B76E3" w:rsidP="00B13864">
                  <w:pPr>
                    <w:pStyle w:val="TableBodyText"/>
                    <w:jc w:val="left"/>
                  </w:pPr>
                </w:p>
              </w:tc>
              <w:tc>
                <w:tcPr>
                  <w:tcW w:w="2146" w:type="pct"/>
                  <w:tcBorders>
                    <w:top w:val="single" w:sz="4" w:space="0" w:color="BFBFBF"/>
                    <w:bottom w:val="single" w:sz="4" w:space="0" w:color="BFBFBF"/>
                  </w:tcBorders>
                </w:tcPr>
                <w:p w14:paraId="31436F3A" w14:textId="77777777" w:rsidR="003B76E3" w:rsidRDefault="003B76E3" w:rsidP="00B13864">
                  <w:pPr>
                    <w:pStyle w:val="TableBodyText"/>
                    <w:jc w:val="left"/>
                  </w:pPr>
                  <w:r>
                    <w:t>The study’s policy scenarios analysed effects of:</w:t>
                  </w:r>
                </w:p>
                <w:p w14:paraId="030EE4F5" w14:textId="425BD9B2" w:rsidR="003B76E3" w:rsidRDefault="003B76E3" w:rsidP="00B13864">
                  <w:pPr>
                    <w:pStyle w:val="TableBullet"/>
                  </w:pPr>
                  <w:r>
                    <w:t>increased heavy vehicle access, via rising share of B</w:t>
                  </w:r>
                  <w:r w:rsidR="00DE65A3">
                    <w:noBreakHyphen/>
                  </w:r>
                  <w:r>
                    <w:t>doubles, transition of B</w:t>
                  </w:r>
                  <w:r>
                    <w:noBreakHyphen/>
                    <w:t>triples operating on B</w:t>
                  </w:r>
                  <w:r w:rsidR="00DE65A3">
                    <w:noBreakHyphen/>
                  </w:r>
                  <w:r>
                    <w:t>double routes, and AB</w:t>
                  </w:r>
                  <w:r>
                    <w:noBreakHyphen/>
                    <w:t>triple and BAB</w:t>
                  </w:r>
                  <w:r w:rsidR="00DE65A3">
                    <w:noBreakHyphen/>
                  </w:r>
                  <w:r>
                    <w:t>quad vehicles operating on road train routes</w:t>
                  </w:r>
                </w:p>
                <w:p w14:paraId="6D723928" w14:textId="4C654D16" w:rsidR="003B76E3" w:rsidRDefault="003B76E3" w:rsidP="00B13864">
                  <w:pPr>
                    <w:pStyle w:val="TableBullet"/>
                  </w:pPr>
                  <w:r>
                    <w:t xml:space="preserve">increased </w:t>
                  </w:r>
                  <w:r w:rsidR="00CD4EA9">
                    <w:t>freight loads</w:t>
                  </w:r>
                  <w:r>
                    <w:t xml:space="preserve"> through more vehicles operating at </w:t>
                  </w:r>
                  <w:proofErr w:type="spellStart"/>
                  <w:r>
                    <w:t>HML</w:t>
                  </w:r>
                  <w:proofErr w:type="spellEnd"/>
                  <w:r>
                    <w:t>.</w:t>
                  </w:r>
                </w:p>
                <w:p w14:paraId="5207AF8A" w14:textId="77D8D79E" w:rsidR="003B76E3" w:rsidRDefault="003B76E3" w:rsidP="00CC115D">
                  <w:pPr>
                    <w:pStyle w:val="TableBodyText"/>
                    <w:jc w:val="left"/>
                  </w:pPr>
                  <w:r>
                    <w:t xml:space="preserve">The study estimated effects of proposed policies on vehicle operating costs, based on net tonne kilometres, changes in vehicle class shares, and average loads. The study calculated </w:t>
                  </w:r>
                  <w:r w:rsidR="00EA7DF4">
                    <w:t>flow</w:t>
                  </w:r>
                  <w:r w:rsidR="00CC115D">
                    <w:noBreakHyphen/>
                  </w:r>
                  <w:r>
                    <w:t>on effects to other industries using input</w:t>
                  </w:r>
                  <w:r w:rsidR="00DE65A3">
                    <w:noBreakHyphen/>
                  </w:r>
                  <w:r>
                    <w:t>output modelling.</w:t>
                  </w:r>
                </w:p>
              </w:tc>
              <w:tc>
                <w:tcPr>
                  <w:tcW w:w="763" w:type="pct"/>
                  <w:tcBorders>
                    <w:top w:val="single" w:sz="4" w:space="0" w:color="BFBFBF"/>
                    <w:bottom w:val="single" w:sz="4" w:space="0" w:color="BFBFBF"/>
                  </w:tcBorders>
                </w:tcPr>
                <w:p w14:paraId="0BE62338" w14:textId="77777777" w:rsidR="003B76E3" w:rsidRDefault="003B76E3" w:rsidP="00B13864">
                  <w:pPr>
                    <w:pStyle w:val="TableBodyText"/>
                    <w:jc w:val="left"/>
                  </w:pPr>
                  <w:r>
                    <w:t>Study’s proposed reforms (F)</w:t>
                  </w:r>
                </w:p>
              </w:tc>
              <w:tc>
                <w:tcPr>
                  <w:tcW w:w="422" w:type="pct"/>
                  <w:tcBorders>
                    <w:top w:val="single" w:sz="4" w:space="0" w:color="BFBFBF"/>
                    <w:bottom w:val="single" w:sz="4" w:space="0" w:color="BFBFBF"/>
                  </w:tcBorders>
                  <w:shd w:val="clear" w:color="auto" w:fill="auto"/>
                </w:tcPr>
                <w:p w14:paraId="16E1C5E8" w14:textId="398290D3" w:rsidR="003B76E3" w:rsidRDefault="003B76E3" w:rsidP="00B13864">
                  <w:pPr>
                    <w:pStyle w:val="TableBodyText"/>
                    <w:jc w:val="left"/>
                  </w:pPr>
                  <w:r>
                    <w:t>13.6 direct cost savings from 2020 to 2050</w:t>
                  </w:r>
                  <w:r w:rsidR="00F9759B">
                    <w:t>;</w:t>
                  </w:r>
                </w:p>
                <w:p w14:paraId="6E720F59" w14:textId="25FB4EA3" w:rsidR="003B76E3" w:rsidRDefault="003B76E3" w:rsidP="00B13864">
                  <w:pPr>
                    <w:pStyle w:val="TableBodyText"/>
                    <w:jc w:val="left"/>
                  </w:pPr>
                  <w:r>
                    <w:t>0.9 flow</w:t>
                  </w:r>
                  <w:r w:rsidR="00DE65A3">
                    <w:noBreakHyphen/>
                  </w:r>
                  <w:r>
                    <w:t xml:space="preserve">on effects from 2020 to 2050 </w:t>
                  </w:r>
                </w:p>
              </w:tc>
              <w:tc>
                <w:tcPr>
                  <w:tcW w:w="1282" w:type="pct"/>
                  <w:tcBorders>
                    <w:top w:val="single" w:sz="4" w:space="0" w:color="BFBFBF"/>
                    <w:bottom w:val="single" w:sz="4" w:space="0" w:color="BFBFBF"/>
                  </w:tcBorders>
                </w:tcPr>
                <w:p w14:paraId="28C3C0C5" w14:textId="0BBFDC04" w:rsidR="003B76E3" w:rsidRPr="00485942" w:rsidRDefault="003B76E3" w:rsidP="00B13864">
                  <w:pPr>
                    <w:pStyle w:val="TableBullet"/>
                  </w:pPr>
                  <w:r w:rsidRPr="00485942">
                    <w:t>P</w:t>
                  </w:r>
                  <w:r w:rsidR="00485942" w:rsidRPr="00485942">
                    <w:t>roposed p</w:t>
                  </w:r>
                  <w:r w:rsidRPr="00485942">
                    <w:t>olicy scenario of increased access abstracts from complexities of opening access in</w:t>
                  </w:r>
                  <w:r>
                    <w:t xml:space="preserve"> </w:t>
                  </w:r>
                  <w:r w:rsidR="00F9759B">
                    <w:t>reality, including infrastructure considerations</w:t>
                  </w:r>
                  <w:r>
                    <w:t>.</w:t>
                  </w:r>
                </w:p>
                <w:p w14:paraId="78C70DB8" w14:textId="5BE14262" w:rsidR="003B76E3" w:rsidRDefault="003B76E3" w:rsidP="000E00BC">
                  <w:pPr>
                    <w:pStyle w:val="TableBullet"/>
                  </w:pPr>
                  <w:r w:rsidRPr="008644C6">
                    <w:rPr>
                      <w:szCs w:val="18"/>
                    </w:rPr>
                    <w:t>Input</w:t>
                  </w:r>
                  <w:r w:rsidR="00DE65A3">
                    <w:rPr>
                      <w:szCs w:val="18"/>
                    </w:rPr>
                    <w:noBreakHyphen/>
                  </w:r>
                  <w:r w:rsidRPr="008644C6">
                    <w:rPr>
                      <w:szCs w:val="18"/>
                    </w:rPr>
                    <w:t xml:space="preserve">output modelling assumes productivity </w:t>
                  </w:r>
                  <w:r w:rsidR="00F9759B">
                    <w:rPr>
                      <w:szCs w:val="18"/>
                    </w:rPr>
                    <w:t>benefits</w:t>
                  </w:r>
                  <w:r w:rsidRPr="008644C6">
                    <w:rPr>
                      <w:szCs w:val="18"/>
                    </w:rPr>
                    <w:t xml:space="preserve"> affect each industry us</w:t>
                  </w:r>
                  <w:r w:rsidR="00671D62">
                    <w:rPr>
                      <w:szCs w:val="18"/>
                    </w:rPr>
                    <w:t>ing</w:t>
                  </w:r>
                  <w:r w:rsidRPr="008644C6">
                    <w:rPr>
                      <w:szCs w:val="18"/>
                    </w:rPr>
                    <w:t xml:space="preserve"> </w:t>
                  </w:r>
                  <w:r w:rsidR="00F9759B">
                    <w:rPr>
                      <w:szCs w:val="18"/>
                    </w:rPr>
                    <w:t>‘r</w:t>
                  </w:r>
                  <w:r w:rsidRPr="008644C6">
                    <w:rPr>
                      <w:szCs w:val="18"/>
                    </w:rPr>
                    <w:t>oad</w:t>
                  </w:r>
                  <w:r>
                    <w:t xml:space="preserve"> </w:t>
                  </w:r>
                  <w:r w:rsidR="00F9759B">
                    <w:t>t</w:t>
                  </w:r>
                  <w:r>
                    <w:t>ransport</w:t>
                  </w:r>
                  <w:r w:rsidR="00F9759B">
                    <w:t>’</w:t>
                  </w:r>
                  <w:r>
                    <w:t xml:space="preserve">, without taking into account </w:t>
                  </w:r>
                  <w:r w:rsidR="00485942">
                    <w:t>differing effects from</w:t>
                  </w:r>
                  <w:r>
                    <w:t xml:space="preserve"> changes to specific </w:t>
                  </w:r>
                  <w:r w:rsidR="000E00BC">
                    <w:t xml:space="preserve">vehicle </w:t>
                  </w:r>
                  <w:r>
                    <w:t>types.</w:t>
                  </w:r>
                </w:p>
              </w:tc>
            </w:tr>
            <w:tr w:rsidR="003B76E3" w14:paraId="1AAEF3AD" w14:textId="77777777" w:rsidTr="00F266D5">
              <w:tc>
                <w:tcPr>
                  <w:tcW w:w="387" w:type="pct"/>
                  <w:tcBorders>
                    <w:top w:val="single" w:sz="4" w:space="0" w:color="BFBFBF"/>
                    <w:bottom w:val="single" w:sz="6" w:space="0" w:color="BFBFBF"/>
                  </w:tcBorders>
                  <w:shd w:val="clear" w:color="auto" w:fill="auto"/>
                </w:tcPr>
                <w:p w14:paraId="7A0A5F7B" w14:textId="26AC3DEC" w:rsidR="003B76E3" w:rsidRDefault="003B76E3" w:rsidP="00A60284">
                  <w:pPr>
                    <w:pStyle w:val="TableUnitsRow"/>
                    <w:jc w:val="left"/>
                  </w:pPr>
                  <w:r>
                    <w:t xml:space="preserve">Chow, </w:t>
                  </w:r>
                  <w:proofErr w:type="spellStart"/>
                  <w:r>
                    <w:t>Kleyer</w:t>
                  </w:r>
                  <w:proofErr w:type="spellEnd"/>
                  <w:r>
                    <w:t xml:space="preserve"> and McLeod </w:t>
                  </w:r>
                  <w:r w:rsidR="00D10E0A" w:rsidRPr="00D10E0A">
                    <w:rPr>
                      <w:rFonts w:cs="Arial"/>
                    </w:rPr>
                    <w:t>(2019)</w:t>
                  </w:r>
                </w:p>
              </w:tc>
              <w:tc>
                <w:tcPr>
                  <w:tcW w:w="2146" w:type="pct"/>
                  <w:tcBorders>
                    <w:top w:val="single" w:sz="4" w:space="0" w:color="BFBFBF"/>
                    <w:bottom w:val="single" w:sz="6" w:space="0" w:color="BFBFBF"/>
                  </w:tcBorders>
                </w:tcPr>
                <w:p w14:paraId="7AFDE884" w14:textId="48739ECA" w:rsidR="003B76E3" w:rsidRDefault="003B76E3" w:rsidP="00B13864">
                  <w:pPr>
                    <w:pStyle w:val="TableBodyText"/>
                    <w:jc w:val="left"/>
                  </w:pPr>
                  <w:r>
                    <w:t xml:space="preserve">The study summed estimated benefits </w:t>
                  </w:r>
                  <w:r w:rsidR="00671D62">
                    <w:t xml:space="preserve">(cost savings) </w:t>
                  </w:r>
                  <w:r>
                    <w:t>from:</w:t>
                  </w:r>
                </w:p>
                <w:p w14:paraId="79CE1373" w14:textId="77777777" w:rsidR="003B76E3" w:rsidRDefault="003B76E3" w:rsidP="00B13864">
                  <w:pPr>
                    <w:pStyle w:val="TableBullet"/>
                  </w:pPr>
                  <w:r>
                    <w:t>increasing uptake of PBS vehicles</w:t>
                  </w:r>
                </w:p>
                <w:p w14:paraId="71CD1A96" w14:textId="77777777" w:rsidR="003B76E3" w:rsidRDefault="003B76E3" w:rsidP="00B13864">
                  <w:pPr>
                    <w:pStyle w:val="TableBullet"/>
                  </w:pPr>
                  <w:r>
                    <w:t xml:space="preserve">increasing uptake of </w:t>
                  </w:r>
                  <w:proofErr w:type="spellStart"/>
                  <w:r>
                    <w:t>NHVAS</w:t>
                  </w:r>
                  <w:proofErr w:type="spellEnd"/>
                  <w:r>
                    <w:t xml:space="preserve"> mass management module </w:t>
                  </w:r>
                </w:p>
                <w:p w14:paraId="6481D76A" w14:textId="1BA241CB" w:rsidR="003B76E3" w:rsidRDefault="003B76E3" w:rsidP="00B13864">
                  <w:pPr>
                    <w:pStyle w:val="TableBullet"/>
                  </w:pPr>
                  <w:r>
                    <w:t>facilitating use of non</w:t>
                  </w:r>
                  <w:r w:rsidR="00DE65A3">
                    <w:noBreakHyphen/>
                  </w:r>
                  <w:r>
                    <w:t xml:space="preserve">PBS </w:t>
                  </w:r>
                  <w:proofErr w:type="spellStart"/>
                  <w:r>
                    <w:t>RAVs</w:t>
                  </w:r>
                  <w:proofErr w:type="spellEnd"/>
                  <w:r>
                    <w:t xml:space="preserve">. </w:t>
                  </w:r>
                </w:p>
                <w:p w14:paraId="6431DF23" w14:textId="2950A167" w:rsidR="003B76E3" w:rsidRDefault="003B76E3" w:rsidP="00671D62">
                  <w:pPr>
                    <w:pStyle w:val="TableBodyText"/>
                    <w:jc w:val="left"/>
                  </w:pPr>
                  <w:r>
                    <w:t>Estimate</w:t>
                  </w:r>
                  <w:r w:rsidR="00324E44">
                    <w:t>d benefits to date</w:t>
                  </w:r>
                  <w:r w:rsidR="008936E6">
                    <w:t xml:space="preserve"> were</w:t>
                  </w:r>
                  <w:r>
                    <w:t xml:space="preserve"> derived from trends in actual number</w:t>
                  </w:r>
                  <w:r w:rsidR="00324E44">
                    <w:t>s</w:t>
                  </w:r>
                  <w:r>
                    <w:t xml:space="preserve"> of vehicles under PBS and </w:t>
                  </w:r>
                  <w:proofErr w:type="spellStart"/>
                  <w:r>
                    <w:t>NHVAS</w:t>
                  </w:r>
                  <w:proofErr w:type="spellEnd"/>
                  <w:r>
                    <w:t xml:space="preserve"> mass management module schemes, and assumed growth rates in the absence of reform.</w:t>
                  </w:r>
                  <w:r w:rsidR="00324E44">
                    <w:t xml:space="preserve"> Future benefits were estimated </w:t>
                  </w:r>
                  <w:r w:rsidR="00EF4EFE">
                    <w:t>according to assumed</w:t>
                  </w:r>
                  <w:r w:rsidR="00324E44">
                    <w:t xml:space="preserve"> </w:t>
                  </w:r>
                  <w:r w:rsidR="005E1EBD">
                    <w:t xml:space="preserve">vehicle </w:t>
                  </w:r>
                  <w:r w:rsidR="00324E44">
                    <w:t>growth rates with and without the reform.</w:t>
                  </w:r>
                  <w:r w:rsidR="00671D62">
                    <w:t xml:space="preserve"> Cost savings included vehicle operating costs, labour costs, road damage and externalities.</w:t>
                  </w:r>
                </w:p>
              </w:tc>
              <w:tc>
                <w:tcPr>
                  <w:tcW w:w="763" w:type="pct"/>
                  <w:tcBorders>
                    <w:top w:val="single" w:sz="4" w:space="0" w:color="BFBFBF"/>
                    <w:bottom w:val="single" w:sz="6" w:space="0" w:color="BFBFBF"/>
                  </w:tcBorders>
                </w:tcPr>
                <w:p w14:paraId="684A358D" w14:textId="77777777" w:rsidR="003B76E3" w:rsidRDefault="003B76E3" w:rsidP="00B13864">
                  <w:pPr>
                    <w:pStyle w:val="TableBodyText"/>
                    <w:jc w:val="left"/>
                  </w:pPr>
                  <w:proofErr w:type="spellStart"/>
                  <w:r>
                    <w:t>HVNL</w:t>
                  </w:r>
                  <w:proofErr w:type="spellEnd"/>
                  <w:r>
                    <w:t xml:space="preserve"> reforms (B, F)</w:t>
                  </w:r>
                </w:p>
              </w:tc>
              <w:tc>
                <w:tcPr>
                  <w:tcW w:w="422" w:type="pct"/>
                  <w:tcBorders>
                    <w:top w:val="single" w:sz="4" w:space="0" w:color="BFBFBF"/>
                    <w:bottom w:val="single" w:sz="6" w:space="0" w:color="BFBFBF"/>
                  </w:tcBorders>
                  <w:shd w:val="clear" w:color="auto" w:fill="auto"/>
                </w:tcPr>
                <w:p w14:paraId="01F55B63" w14:textId="73F00522" w:rsidR="003B76E3" w:rsidRDefault="003B76E3" w:rsidP="00B13864">
                  <w:pPr>
                    <w:pStyle w:val="TableBodyText"/>
                    <w:jc w:val="left"/>
                  </w:pPr>
                  <w:r>
                    <w:t>4.5–9.</w:t>
                  </w:r>
                  <w:r w:rsidRPr="00E14D41">
                    <w:t xml:space="preserve">3 </w:t>
                  </w:r>
                  <w:r w:rsidR="00E14D41" w:rsidRPr="00E14D41">
                    <w:t>from 2012</w:t>
                  </w:r>
                  <w:r w:rsidRPr="00E14D41">
                    <w:t xml:space="preserve"> to 2033</w:t>
                  </w:r>
                </w:p>
              </w:tc>
              <w:tc>
                <w:tcPr>
                  <w:tcW w:w="1282" w:type="pct"/>
                  <w:tcBorders>
                    <w:top w:val="single" w:sz="4" w:space="0" w:color="BFBFBF"/>
                    <w:bottom w:val="single" w:sz="6" w:space="0" w:color="BFBFBF"/>
                  </w:tcBorders>
                </w:tcPr>
                <w:p w14:paraId="3CBF8D6D" w14:textId="0D7C2522" w:rsidR="003B76E3" w:rsidRDefault="003B76E3" w:rsidP="00B13864">
                  <w:pPr>
                    <w:pStyle w:val="TableBullet"/>
                  </w:pPr>
                  <w:r>
                    <w:t>Estimates can be assumption driven. For example, benefits of facilitating use of non</w:t>
                  </w:r>
                  <w:r w:rsidR="00DE65A3">
                    <w:noBreakHyphen/>
                  </w:r>
                  <w:r>
                    <w:t xml:space="preserve">PBS </w:t>
                  </w:r>
                  <w:proofErr w:type="spellStart"/>
                  <w:r>
                    <w:t>RAVs</w:t>
                  </w:r>
                  <w:proofErr w:type="spellEnd"/>
                  <w:r>
                    <w:t xml:space="preserve"> assumed to be the same as benefits from increased PBS uptake.</w:t>
                  </w:r>
                </w:p>
                <w:p w14:paraId="1BA16BBD" w14:textId="05C38463" w:rsidR="003B76E3" w:rsidRDefault="003B76E3" w:rsidP="000E00BC">
                  <w:pPr>
                    <w:pStyle w:val="TableBullet"/>
                  </w:pPr>
                  <w:r>
                    <w:t xml:space="preserve">Benefits do not take into account changes in </w:t>
                  </w:r>
                  <w:r w:rsidR="000E00BC">
                    <w:t xml:space="preserve">vehicle </w:t>
                  </w:r>
                  <w:r>
                    <w:t>access.</w:t>
                  </w:r>
                </w:p>
              </w:tc>
            </w:tr>
          </w:tbl>
          <w:p w14:paraId="44C6E84C" w14:textId="77777777" w:rsidR="003B76E3" w:rsidRDefault="003B76E3" w:rsidP="00B13864">
            <w:pPr>
              <w:pStyle w:val="Box"/>
            </w:pPr>
          </w:p>
        </w:tc>
      </w:tr>
      <w:tr w:rsidR="003B76E3" w14:paraId="4B11AADB" w14:textId="77777777" w:rsidTr="00B13864">
        <w:tc>
          <w:tcPr>
            <w:tcW w:w="5000" w:type="pct"/>
            <w:tcBorders>
              <w:top w:val="nil"/>
              <w:left w:val="nil"/>
              <w:bottom w:val="nil"/>
              <w:right w:val="nil"/>
            </w:tcBorders>
            <w:shd w:val="clear" w:color="auto" w:fill="auto"/>
          </w:tcPr>
          <w:p w14:paraId="7E48D49E" w14:textId="77EDA318" w:rsidR="003B76E3" w:rsidRDefault="003B76E3" w:rsidP="00324E44">
            <w:pPr>
              <w:pStyle w:val="Note"/>
              <w:rPr>
                <w:i/>
              </w:rPr>
            </w:pPr>
            <w:proofErr w:type="spellStart"/>
            <w:r>
              <w:rPr>
                <w:rStyle w:val="NoteLabel"/>
              </w:rPr>
              <w:t>a</w:t>
            </w:r>
            <w:proofErr w:type="spellEnd"/>
            <w:r w:rsidDel="00B36E52">
              <w:rPr>
                <w:rStyle w:val="NoteLabel"/>
              </w:rPr>
              <w:t xml:space="preserve"> </w:t>
            </w:r>
            <w:r>
              <w:t xml:space="preserve">Includes </w:t>
            </w:r>
            <w:r w:rsidR="0012195C">
              <w:t xml:space="preserve">freight </w:t>
            </w:r>
            <w:r>
              <w:t xml:space="preserve">productivity benefits only. Excludes other benefits, such as safety and environmental </w:t>
            </w:r>
            <w:r w:rsidR="00DA4512">
              <w:t>benefits</w:t>
            </w:r>
            <w:r>
              <w:t>, and compliance and administration cost savings.</w:t>
            </w:r>
          </w:p>
        </w:tc>
      </w:tr>
      <w:tr w:rsidR="003B76E3" w14:paraId="15FF5680" w14:textId="77777777" w:rsidTr="00B13864">
        <w:tc>
          <w:tcPr>
            <w:tcW w:w="5000" w:type="pct"/>
            <w:tcBorders>
              <w:top w:val="nil"/>
              <w:left w:val="nil"/>
              <w:bottom w:val="single" w:sz="6" w:space="0" w:color="78A22F"/>
              <w:right w:val="nil"/>
            </w:tcBorders>
            <w:shd w:val="clear" w:color="auto" w:fill="auto"/>
          </w:tcPr>
          <w:p w14:paraId="7FD47E54" w14:textId="2AC25051" w:rsidR="003B76E3" w:rsidRDefault="003B76E3" w:rsidP="00B13864">
            <w:pPr>
              <w:pStyle w:val="Box"/>
              <w:spacing w:before="0" w:line="120" w:lineRule="exact"/>
            </w:pPr>
          </w:p>
        </w:tc>
      </w:tr>
      <w:tr w:rsidR="003B76E3" w:rsidRPr="000863A5" w14:paraId="273BDC6B" w14:textId="77777777" w:rsidTr="00B13864">
        <w:tc>
          <w:tcPr>
            <w:tcW w:w="5000" w:type="pct"/>
            <w:tcBorders>
              <w:top w:val="single" w:sz="6" w:space="0" w:color="78A22F"/>
              <w:left w:val="nil"/>
              <w:bottom w:val="nil"/>
              <w:right w:val="nil"/>
            </w:tcBorders>
          </w:tcPr>
          <w:p w14:paraId="7FA63B3F" w14:textId="4C6E575D" w:rsidR="003B76E3" w:rsidRPr="00626D32" w:rsidRDefault="003B76E3" w:rsidP="00B13864">
            <w:pPr>
              <w:pStyle w:val="BoxSpaceBelow"/>
            </w:pPr>
          </w:p>
        </w:tc>
      </w:tr>
    </w:tbl>
    <w:p w14:paraId="0C756B2B" w14:textId="77777777" w:rsidR="00696ABF" w:rsidRDefault="00696ABF">
      <w:pPr>
        <w:pStyle w:val="BodyText"/>
        <w:sectPr w:rsidR="00696ABF">
          <w:headerReference w:type="even" r:id="rId17"/>
          <w:headerReference w:type="default" r:id="rId18"/>
          <w:footerReference w:type="even" r:id="rId19"/>
          <w:footerReference w:type="default" r:id="rId20"/>
          <w:pgSz w:w="16840" w:h="11907" w:orient="landscape" w:code="9"/>
          <w:pgMar w:top="1814" w:right="1985" w:bottom="1304" w:left="1418" w:header="1701" w:footer="567" w:gutter="0"/>
          <w:pgNumType w:chapSep="period"/>
          <w:cols w:space="720"/>
        </w:sectPr>
      </w:pPr>
    </w:p>
    <w:p w14:paraId="7A9E1F4A" w14:textId="0E957CC6" w:rsidR="00A81EAF" w:rsidRPr="000D67E0" w:rsidRDefault="00A81EAF" w:rsidP="000D67E0">
      <w:pPr>
        <w:pStyle w:val="Heading3"/>
        <w:spacing w:before="0"/>
      </w:pPr>
      <w:r w:rsidRPr="000D67E0">
        <w:lastRenderedPageBreak/>
        <w:t>Data and data limitations</w:t>
      </w:r>
    </w:p>
    <w:p w14:paraId="60F05044" w14:textId="63BDFE8F" w:rsidR="00DD194C" w:rsidRDefault="00412DC0" w:rsidP="00A81EAF">
      <w:pPr>
        <w:pStyle w:val="BodyText"/>
      </w:pPr>
      <w:r>
        <w:t>T</w:t>
      </w:r>
      <w:r w:rsidR="00A81EAF">
        <w:t xml:space="preserve">he Commission </w:t>
      </w:r>
      <w:r w:rsidR="00DD194C">
        <w:t xml:space="preserve">examined heavy vehicle productivity </w:t>
      </w:r>
      <w:r w:rsidR="00A81EAF">
        <w:t>u</w:t>
      </w:r>
      <w:r w:rsidR="00DD194C">
        <w:t>sing</w:t>
      </w:r>
      <w:r w:rsidR="00A81EAF">
        <w:t xml:space="preserve"> </w:t>
      </w:r>
      <w:r w:rsidR="00DD194C" w:rsidRPr="004C1DDD">
        <w:t>public</w:t>
      </w:r>
      <w:r w:rsidR="00DD194C">
        <w:t xml:space="preserve"> data from the ABS and </w:t>
      </w:r>
      <w:r w:rsidR="00592D45">
        <w:t xml:space="preserve">Department of </w:t>
      </w:r>
      <w:r w:rsidR="004662A2">
        <w:t xml:space="preserve">Infrastructure, </w:t>
      </w:r>
      <w:r w:rsidR="00592D45">
        <w:t>Transport, Cities and Regional Development</w:t>
      </w:r>
      <w:r w:rsidR="004662A2">
        <w:t xml:space="preserve"> (</w:t>
      </w:r>
      <w:proofErr w:type="spellStart"/>
      <w:r w:rsidR="004662A2">
        <w:t>DITCRD</w:t>
      </w:r>
      <w:proofErr w:type="spellEnd"/>
      <w:r w:rsidR="004662A2">
        <w:t>)</w:t>
      </w:r>
      <w:r w:rsidR="006C4D61">
        <w:t xml:space="preserve">, </w:t>
      </w:r>
      <w:r w:rsidR="00DD194C">
        <w:t xml:space="preserve">and unpublished administrative datasets from the </w:t>
      </w:r>
      <w:proofErr w:type="spellStart"/>
      <w:r w:rsidR="00DD194C">
        <w:t>NHVR</w:t>
      </w:r>
      <w:proofErr w:type="spellEnd"/>
      <w:r w:rsidR="00DD194C">
        <w:t xml:space="preserve"> and TCA (table </w:t>
      </w:r>
      <w:proofErr w:type="spellStart"/>
      <w:r w:rsidR="00DD194C">
        <w:t>B.</w:t>
      </w:r>
      <w:r w:rsidR="00A7237D">
        <w:t>10</w:t>
      </w:r>
      <w:proofErr w:type="spellEnd"/>
      <w:r w:rsidR="00DD194C">
        <w:t>)</w:t>
      </w:r>
      <w:r w:rsidR="00A81EAF">
        <w:t xml:space="preserve">. </w:t>
      </w:r>
    </w:p>
    <w:p w14:paraId="0FC295BC" w14:textId="4C28417C" w:rsidR="00C9262E" w:rsidRDefault="00F13E3D" w:rsidP="00A81EAF">
      <w:pPr>
        <w:pStyle w:val="BodyText"/>
      </w:pPr>
      <w:r>
        <w:t>C</w:t>
      </w:r>
      <w:r w:rsidR="00A81EAF" w:rsidRPr="000300A9">
        <w:t xml:space="preserve">ollectively these datasets </w:t>
      </w:r>
      <w:r w:rsidR="00DF7880">
        <w:t>offer</w:t>
      </w:r>
      <w:r w:rsidR="00A81EAF">
        <w:t xml:space="preserve"> detailed</w:t>
      </w:r>
      <w:r w:rsidR="00A81EAF" w:rsidRPr="000300A9">
        <w:t xml:space="preserve"> insights into </w:t>
      </w:r>
      <w:r w:rsidR="00412DC0">
        <w:t xml:space="preserve">heavy vehicle </w:t>
      </w:r>
      <w:r w:rsidR="00A81EAF" w:rsidRPr="000300A9">
        <w:t>productivity</w:t>
      </w:r>
      <w:r w:rsidR="00273031">
        <w:t xml:space="preserve">. </w:t>
      </w:r>
      <w:r w:rsidR="00DA04D0">
        <w:t>Each data</w:t>
      </w:r>
      <w:r w:rsidR="00027C3D">
        <w:t xml:space="preserve"> source</w:t>
      </w:r>
      <w:r w:rsidR="00DA04D0">
        <w:t xml:space="preserve"> provides a different piece of the picture</w:t>
      </w:r>
      <w:r w:rsidR="00C9262E">
        <w:t xml:space="preserve"> under the conceptual framework</w:t>
      </w:r>
      <w:r w:rsidR="0088467F">
        <w:t xml:space="preserve"> (box </w:t>
      </w:r>
      <w:proofErr w:type="spellStart"/>
      <w:r w:rsidR="0088467F">
        <w:t>B.2</w:t>
      </w:r>
      <w:proofErr w:type="spellEnd"/>
      <w:r w:rsidR="0088467F">
        <w:t>)</w:t>
      </w:r>
      <w:r w:rsidR="00DA04D0">
        <w:t xml:space="preserve">. </w:t>
      </w:r>
      <w:r w:rsidR="00C9262E">
        <w:t>For example:</w:t>
      </w:r>
    </w:p>
    <w:p w14:paraId="6097B492" w14:textId="4D03D52F" w:rsidR="00C9262E" w:rsidRDefault="00AF5397" w:rsidP="00C9262E">
      <w:pPr>
        <w:pStyle w:val="ListBullet"/>
      </w:pPr>
      <w:r>
        <w:t>ABS data provide</w:t>
      </w:r>
      <w:r w:rsidR="00C9262E">
        <w:t xml:space="preserve"> some information on number</w:t>
      </w:r>
      <w:r>
        <w:t>s</w:t>
      </w:r>
      <w:r w:rsidR="00C9262E">
        <w:t xml:space="preserve"> of vehicles</w:t>
      </w:r>
      <w:r w:rsidR="00027C3D">
        <w:t xml:space="preserve">, </w:t>
      </w:r>
      <w:r w:rsidR="00C9262E">
        <w:t xml:space="preserve">average loads </w:t>
      </w:r>
      <w:r w:rsidR="00027C3D">
        <w:t xml:space="preserve">and kilometres travelled </w:t>
      </w:r>
      <w:r w:rsidR="00C9262E">
        <w:t>for broad vehicle types, but does not have information on the roads they are travelling on</w:t>
      </w:r>
    </w:p>
    <w:p w14:paraId="6E43658D" w14:textId="14AD903B" w:rsidR="00C9262E" w:rsidRDefault="00C9262E" w:rsidP="00C9262E">
      <w:pPr>
        <w:pStyle w:val="ListBullet"/>
      </w:pPr>
      <w:proofErr w:type="spellStart"/>
      <w:r>
        <w:t>DITCRD</w:t>
      </w:r>
      <w:proofErr w:type="spellEnd"/>
      <w:r>
        <w:t xml:space="preserve"> data on key freight routes provide an indication of the roads </w:t>
      </w:r>
      <w:r w:rsidR="00B8529A">
        <w:t xml:space="preserve">accounting for the most </w:t>
      </w:r>
      <w:r>
        <w:t>tonne kilometres</w:t>
      </w:r>
    </w:p>
    <w:p w14:paraId="1A61769B" w14:textId="7CED0D6F" w:rsidR="00C9262E" w:rsidRDefault="00C9262E" w:rsidP="00C9262E">
      <w:pPr>
        <w:pStyle w:val="ListBullet"/>
      </w:pPr>
      <w:proofErr w:type="spellStart"/>
      <w:r>
        <w:t>NHVR</w:t>
      </w:r>
      <w:proofErr w:type="spellEnd"/>
      <w:r>
        <w:t xml:space="preserve"> data </w:t>
      </w:r>
      <w:r w:rsidR="00AF5397">
        <w:t>provide</w:t>
      </w:r>
      <w:r>
        <w:t xml:space="preserve"> information on </w:t>
      </w:r>
      <w:r w:rsidR="00AF5397">
        <w:t xml:space="preserve">vehicles operating at higher mass, as well as </w:t>
      </w:r>
      <w:r>
        <w:t>access arrangements on particular roads for specific heavy vehicle types (via permits, pre</w:t>
      </w:r>
      <w:r w:rsidR="00DE65A3">
        <w:noBreakHyphen/>
      </w:r>
      <w:r>
        <w:t>approvals and gazetted routes), but has limited information on how many vehicle movements occur on those roads</w:t>
      </w:r>
      <w:r w:rsidR="004A68FE">
        <w:t xml:space="preserve"> or how access arrangements have changed over time</w:t>
      </w:r>
    </w:p>
    <w:p w14:paraId="6B4E5B86" w14:textId="2D5E0671" w:rsidR="00C9262E" w:rsidRDefault="00AF5397" w:rsidP="00C9262E">
      <w:pPr>
        <w:pStyle w:val="ListBullet"/>
      </w:pPr>
      <w:r>
        <w:t>TCA data provide some information on the number of vehicle movements on particular roads by vehicle type.</w:t>
      </w:r>
    </w:p>
    <w:p w14:paraId="4E371A64" w14:textId="3CBC2F0F" w:rsidR="00F3433A" w:rsidRDefault="0072014A" w:rsidP="00C9262E">
      <w:pPr>
        <w:pStyle w:val="BodyText"/>
      </w:pPr>
      <w:r>
        <w:t>D</w:t>
      </w:r>
      <w:r w:rsidR="00F3433A">
        <w:t>ata from multiple sources</w:t>
      </w:r>
      <w:r>
        <w:t xml:space="preserve"> were used</w:t>
      </w:r>
      <w:r w:rsidR="00F3433A">
        <w:t xml:space="preserve"> </w:t>
      </w:r>
      <w:r w:rsidR="00372F20">
        <w:t xml:space="preserve">to examine particular issues </w:t>
      </w:r>
      <w:r w:rsidR="00B8529A">
        <w:t>where possible.</w:t>
      </w:r>
      <w:r w:rsidR="00DA04D0">
        <w:t xml:space="preserve"> </w:t>
      </w:r>
      <w:r w:rsidR="00F3433A">
        <w:t xml:space="preserve">For instance, </w:t>
      </w:r>
      <w:proofErr w:type="spellStart"/>
      <w:r w:rsidR="00372F20">
        <w:t>NHVR</w:t>
      </w:r>
      <w:proofErr w:type="spellEnd"/>
      <w:r w:rsidR="00372F20">
        <w:t xml:space="preserve"> data on heavy vehicle gazetted network access </w:t>
      </w:r>
      <w:r>
        <w:t xml:space="preserve">were compared </w:t>
      </w:r>
      <w:r w:rsidR="005216B1">
        <w:t>to</w:t>
      </w:r>
      <w:r w:rsidR="00372F20">
        <w:t xml:space="preserve"> </w:t>
      </w:r>
      <w:proofErr w:type="spellStart"/>
      <w:r w:rsidR="00372F20">
        <w:t>DITCRD</w:t>
      </w:r>
      <w:proofErr w:type="spellEnd"/>
      <w:r w:rsidR="00372F20">
        <w:t xml:space="preserve"> key freight routes, and numbers of vehicle movements on </w:t>
      </w:r>
      <w:r w:rsidR="00304682">
        <w:t xml:space="preserve">some </w:t>
      </w:r>
      <w:r w:rsidR="00372F20">
        <w:t xml:space="preserve">expanded networks </w:t>
      </w:r>
      <w:r>
        <w:t xml:space="preserve">were examined </w:t>
      </w:r>
      <w:r w:rsidR="00372F20">
        <w:t>using TCA data</w:t>
      </w:r>
      <w:r w:rsidR="00F3433A">
        <w:t xml:space="preserve">. </w:t>
      </w:r>
    </w:p>
    <w:p w14:paraId="11211C93" w14:textId="4AAD0784" w:rsidR="00A81EAF" w:rsidRDefault="004E1E27" w:rsidP="00A81EAF">
      <w:pPr>
        <w:pStyle w:val="BodyText"/>
      </w:pPr>
      <w:r>
        <w:t>Some data</w:t>
      </w:r>
      <w:r w:rsidR="00AA4727">
        <w:t xml:space="preserve">sets </w:t>
      </w:r>
      <w:r>
        <w:t>suffer from d</w:t>
      </w:r>
      <w:r w:rsidR="00372F20">
        <w:t>ata quality</w:t>
      </w:r>
      <w:r>
        <w:t xml:space="preserve"> issues</w:t>
      </w:r>
      <w:r w:rsidR="00221612">
        <w:t xml:space="preserve"> (table </w:t>
      </w:r>
      <w:proofErr w:type="spellStart"/>
      <w:r w:rsidR="00221612">
        <w:t>B.</w:t>
      </w:r>
      <w:r w:rsidR="00C251FA">
        <w:t>10</w:t>
      </w:r>
      <w:proofErr w:type="spellEnd"/>
      <w:r w:rsidR="00221612">
        <w:t>)</w:t>
      </w:r>
      <w:r w:rsidR="00027C3D">
        <w:t xml:space="preserve">. For example, </w:t>
      </w:r>
      <w:proofErr w:type="spellStart"/>
      <w:r w:rsidR="00E47313">
        <w:t>NHVR</w:t>
      </w:r>
      <w:proofErr w:type="spellEnd"/>
      <w:r w:rsidR="00E47313">
        <w:t xml:space="preserve"> data</w:t>
      </w:r>
      <w:r w:rsidR="00D63849">
        <w:t xml:space="preserve"> </w:t>
      </w:r>
      <w:r w:rsidR="00F82C7D">
        <w:t xml:space="preserve">are sourced from </w:t>
      </w:r>
      <w:proofErr w:type="spellStart"/>
      <w:r w:rsidR="00F82C7D">
        <w:t>NHVR’s</w:t>
      </w:r>
      <w:proofErr w:type="spellEnd"/>
      <w:r w:rsidR="00F82C7D">
        <w:t xml:space="preserve"> administrative and operational systems, </w:t>
      </w:r>
      <w:r w:rsidR="00B27DC8">
        <w:t>and</w:t>
      </w:r>
      <w:r w:rsidR="0022664B">
        <w:t xml:space="preserve"> </w:t>
      </w:r>
      <w:r w:rsidR="00027C3D">
        <w:t>are</w:t>
      </w:r>
      <w:r w:rsidR="0022664B">
        <w:t xml:space="preserve"> </w:t>
      </w:r>
      <w:r w:rsidR="00F82C7D">
        <w:t xml:space="preserve">not designed for quantitative analysis. </w:t>
      </w:r>
      <w:r w:rsidR="00E47313">
        <w:t xml:space="preserve">TCA </w:t>
      </w:r>
      <w:r w:rsidR="00D63849">
        <w:t xml:space="preserve">data on vehicle movements capture a limited number of vehicles that may not be representative of the whole heavy vehicle fleet. </w:t>
      </w:r>
      <w:r w:rsidR="00027C3D">
        <w:t xml:space="preserve">These issues have </w:t>
      </w:r>
      <w:r w:rsidR="00027C3D" w:rsidRPr="000300A9">
        <w:t xml:space="preserve">restricted the </w:t>
      </w:r>
      <w:r w:rsidR="00027C3D">
        <w:t>C</w:t>
      </w:r>
      <w:r w:rsidR="00027C3D" w:rsidRPr="000300A9">
        <w:t>o</w:t>
      </w:r>
      <w:r w:rsidR="00027C3D">
        <w:t xml:space="preserve">mmission’s </w:t>
      </w:r>
      <w:r w:rsidR="00AA4727">
        <w:t>analysis</w:t>
      </w:r>
      <w:r w:rsidR="00027C3D">
        <w:t xml:space="preserve"> of the productivity impacts of the </w:t>
      </w:r>
      <w:proofErr w:type="spellStart"/>
      <w:r w:rsidR="00027C3D">
        <w:t>HVNL</w:t>
      </w:r>
      <w:proofErr w:type="spellEnd"/>
      <w:r w:rsidR="00027C3D">
        <w:t xml:space="preserve"> and </w:t>
      </w:r>
      <w:proofErr w:type="spellStart"/>
      <w:r w:rsidR="00027C3D">
        <w:t>NHVR</w:t>
      </w:r>
      <w:proofErr w:type="spellEnd"/>
      <w:r>
        <w:t>.</w:t>
      </w:r>
    </w:p>
    <w:p w14:paraId="03A14F5C" w14:textId="2F132356" w:rsidR="00A81EAF" w:rsidRDefault="00A81EAF" w:rsidP="00A81EAF">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81EAF" w14:paraId="4647042C" w14:textId="77777777" w:rsidTr="00143D86">
        <w:trPr>
          <w:tblHeader/>
        </w:trPr>
        <w:tc>
          <w:tcPr>
            <w:tcW w:w="5000" w:type="pct"/>
            <w:tcBorders>
              <w:top w:val="single" w:sz="6" w:space="0" w:color="78A22F"/>
              <w:left w:val="nil"/>
              <w:bottom w:val="nil"/>
              <w:right w:val="nil"/>
            </w:tcBorders>
            <w:shd w:val="clear" w:color="auto" w:fill="auto"/>
          </w:tcPr>
          <w:p w14:paraId="5E6E3DD5" w14:textId="629A960F" w:rsidR="00A81EAF" w:rsidRPr="00784A05" w:rsidRDefault="00A81EAF" w:rsidP="00A01045">
            <w:pPr>
              <w:pStyle w:val="TableTitle"/>
            </w:pPr>
            <w:r>
              <w:rPr>
                <w:b w:val="0"/>
              </w:rPr>
              <w:t xml:space="preserve">Table </w:t>
            </w:r>
            <w:proofErr w:type="spellStart"/>
            <w:r w:rsidR="00DD194C">
              <w:rPr>
                <w:b w:val="0"/>
              </w:rPr>
              <w:t>B.</w:t>
            </w:r>
            <w:r w:rsidR="00C251FA">
              <w:rPr>
                <w:b w:val="0"/>
              </w:rPr>
              <w:t>10</w:t>
            </w:r>
            <w:proofErr w:type="spellEnd"/>
            <w:r>
              <w:tab/>
              <w:t xml:space="preserve">Data </w:t>
            </w:r>
            <w:r w:rsidR="00EA7EE5">
              <w:t xml:space="preserve">used </w:t>
            </w:r>
            <w:r>
              <w:t xml:space="preserve">to </w:t>
            </w:r>
            <w:r w:rsidR="00EA7EE5">
              <w:t xml:space="preserve">examine </w:t>
            </w:r>
            <w:r>
              <w:t>heavy vehicle productivity</w:t>
            </w:r>
          </w:p>
        </w:tc>
      </w:tr>
      <w:tr w:rsidR="00A81EAF" w14:paraId="6D3E12D0" w14:textId="77777777" w:rsidTr="00143D86">
        <w:tc>
          <w:tcPr>
            <w:tcW w:w="5000" w:type="pct"/>
            <w:tcBorders>
              <w:top w:val="nil"/>
              <w:left w:val="nil"/>
              <w:bottom w:val="nil"/>
              <w:right w:val="nil"/>
            </w:tcBorders>
            <w:shd w:val="clear" w:color="auto" w:fill="auto"/>
          </w:tcPr>
          <w:tbl>
            <w:tblPr>
              <w:tblW w:w="8525" w:type="dxa"/>
              <w:tblCellMar>
                <w:top w:w="28" w:type="dxa"/>
                <w:left w:w="0" w:type="dxa"/>
                <w:right w:w="0" w:type="dxa"/>
              </w:tblCellMar>
              <w:tblLook w:val="0000" w:firstRow="0" w:lastRow="0" w:firstColumn="0" w:lastColumn="0" w:noHBand="0" w:noVBand="0"/>
            </w:tblPr>
            <w:tblGrid>
              <w:gridCol w:w="1243"/>
              <w:gridCol w:w="1370"/>
              <w:gridCol w:w="40"/>
              <w:gridCol w:w="5872"/>
            </w:tblGrid>
            <w:tr w:rsidR="00A81EAF" w14:paraId="432BD19B" w14:textId="77777777" w:rsidTr="00FD3CCB">
              <w:trPr>
                <w:tblHeader/>
              </w:trPr>
              <w:tc>
                <w:tcPr>
                  <w:tcW w:w="762" w:type="pct"/>
                  <w:tcBorders>
                    <w:top w:val="single" w:sz="6" w:space="0" w:color="BFBFBF"/>
                    <w:bottom w:val="single" w:sz="6" w:space="0" w:color="BFBFBF"/>
                  </w:tcBorders>
                </w:tcPr>
                <w:p w14:paraId="2D77E620" w14:textId="77777777" w:rsidR="00A81EAF" w:rsidRDefault="00A81EAF" w:rsidP="00143D86">
                  <w:pPr>
                    <w:pStyle w:val="TableColumnHeading"/>
                    <w:jc w:val="left"/>
                  </w:pPr>
                  <w:r>
                    <w:t>Source</w:t>
                  </w:r>
                </w:p>
              </w:tc>
              <w:tc>
                <w:tcPr>
                  <w:tcW w:w="762" w:type="pct"/>
                  <w:gridSpan w:val="2"/>
                  <w:tcBorders>
                    <w:top w:val="single" w:sz="6" w:space="0" w:color="BFBFBF"/>
                    <w:bottom w:val="single" w:sz="6" w:space="0" w:color="BFBFBF"/>
                  </w:tcBorders>
                  <w:shd w:val="clear" w:color="auto" w:fill="auto"/>
                  <w:tcMar>
                    <w:top w:w="28" w:type="dxa"/>
                  </w:tcMar>
                </w:tcPr>
                <w:p w14:paraId="6BC420CE" w14:textId="77777777" w:rsidR="00A81EAF" w:rsidRDefault="00A81EAF" w:rsidP="00143D86">
                  <w:pPr>
                    <w:pStyle w:val="TableColumnHeading"/>
                    <w:jc w:val="left"/>
                  </w:pPr>
                  <w:r>
                    <w:t>Dataset</w:t>
                  </w:r>
                </w:p>
              </w:tc>
              <w:tc>
                <w:tcPr>
                  <w:tcW w:w="3475" w:type="pct"/>
                  <w:tcBorders>
                    <w:top w:val="single" w:sz="6" w:space="0" w:color="BFBFBF"/>
                    <w:bottom w:val="single" w:sz="6" w:space="0" w:color="BFBFBF"/>
                  </w:tcBorders>
                  <w:shd w:val="clear" w:color="auto" w:fill="auto"/>
                  <w:tcMar>
                    <w:top w:w="28" w:type="dxa"/>
                  </w:tcMar>
                </w:tcPr>
                <w:p w14:paraId="5E2B6E1A" w14:textId="269DAFD9" w:rsidR="00A81EAF" w:rsidRDefault="00A81EAF" w:rsidP="00996A7E">
                  <w:pPr>
                    <w:pStyle w:val="TableColumnHeading"/>
                    <w:ind w:right="28"/>
                    <w:jc w:val="left"/>
                  </w:pPr>
                  <w:r>
                    <w:t>Description</w:t>
                  </w:r>
                  <w:r w:rsidR="00372F20">
                    <w:t xml:space="preserve"> and limitations</w:t>
                  </w:r>
                </w:p>
              </w:tc>
            </w:tr>
            <w:tr w:rsidR="00A81EAF" w14:paraId="7C11C6C7" w14:textId="77777777" w:rsidTr="00CA09BC">
              <w:trPr>
                <w:tblHeader/>
              </w:trPr>
              <w:tc>
                <w:tcPr>
                  <w:tcW w:w="721" w:type="pct"/>
                  <w:vMerge w:val="restart"/>
                  <w:tcBorders>
                    <w:top w:val="single" w:sz="6" w:space="0" w:color="BFBFBF"/>
                  </w:tcBorders>
                </w:tcPr>
                <w:p w14:paraId="0315124F" w14:textId="09E58EEC" w:rsidR="00A81EAF" w:rsidRPr="004F742A" w:rsidRDefault="00A81EAF" w:rsidP="00981A79">
                  <w:pPr>
                    <w:pStyle w:val="TableUnitsRow"/>
                    <w:jc w:val="left"/>
                  </w:pPr>
                  <w:r>
                    <w:t xml:space="preserve">Australian Bureau of </w:t>
                  </w:r>
                  <w:r w:rsidR="000A6B40">
                    <w:t>S</w:t>
                  </w:r>
                  <w:r>
                    <w:t>tatistics (</w:t>
                  </w:r>
                  <w:r w:rsidRPr="004F742A">
                    <w:t>ABS</w:t>
                  </w:r>
                  <w:r>
                    <w:t>)</w:t>
                  </w:r>
                  <w:r w:rsidRPr="004F742A">
                    <w:t xml:space="preserve"> </w:t>
                  </w:r>
                </w:p>
              </w:tc>
              <w:tc>
                <w:tcPr>
                  <w:tcW w:w="706" w:type="pct"/>
                  <w:tcBorders>
                    <w:top w:val="single" w:sz="6" w:space="0" w:color="BFBFBF"/>
                    <w:bottom w:val="single" w:sz="6" w:space="0" w:color="BFBFBF"/>
                  </w:tcBorders>
                  <w:shd w:val="clear" w:color="auto" w:fill="auto"/>
                  <w:tcMar>
                    <w:top w:w="28" w:type="dxa"/>
                  </w:tcMar>
                </w:tcPr>
                <w:p w14:paraId="5A6C22DC" w14:textId="5E6E2076" w:rsidR="00A81EAF" w:rsidRDefault="002A5DFD" w:rsidP="001139C3">
                  <w:pPr>
                    <w:pStyle w:val="TableBodyText"/>
                    <w:jc w:val="left"/>
                  </w:pPr>
                  <w:r>
                    <w:t>Survey of Motor Vehicle U</w:t>
                  </w:r>
                  <w:r w:rsidR="00A81EAF">
                    <w:t>se</w:t>
                  </w:r>
                  <w:r w:rsidR="00936D8F">
                    <w:t xml:space="preserve"> (</w:t>
                  </w:r>
                  <w:proofErr w:type="spellStart"/>
                  <w:r w:rsidR="00936D8F">
                    <w:t>SMVU</w:t>
                  </w:r>
                  <w:proofErr w:type="spellEnd"/>
                  <w:r w:rsidR="00936D8F">
                    <w:t>)</w:t>
                  </w:r>
                  <w:r w:rsidR="00BE4CD5">
                    <w:t xml:space="preserve"> </w:t>
                  </w:r>
                  <w:r w:rsidR="00D10E0A" w:rsidRPr="00D10E0A">
                    <w:rPr>
                      <w:rFonts w:cs="Arial"/>
                      <w:szCs w:val="24"/>
                    </w:rPr>
                    <w:t>(ABS </w:t>
                  </w:r>
                  <w:proofErr w:type="spellStart"/>
                  <w:r w:rsidR="00D10E0A" w:rsidRPr="00D10E0A">
                    <w:rPr>
                      <w:rFonts w:cs="Arial"/>
                      <w:szCs w:val="24"/>
                    </w:rPr>
                    <w:t>2019b</w:t>
                  </w:r>
                  <w:proofErr w:type="spellEnd"/>
                  <w:r w:rsidR="00D10E0A" w:rsidRPr="00D10E0A">
                    <w:rPr>
                      <w:rFonts w:cs="Arial"/>
                      <w:szCs w:val="24"/>
                    </w:rPr>
                    <w:t>)</w:t>
                  </w:r>
                </w:p>
              </w:tc>
              <w:tc>
                <w:tcPr>
                  <w:tcW w:w="3572" w:type="pct"/>
                  <w:gridSpan w:val="2"/>
                  <w:tcBorders>
                    <w:top w:val="single" w:sz="6" w:space="0" w:color="BFBFBF"/>
                    <w:bottom w:val="single" w:sz="6" w:space="0" w:color="BFBFBF"/>
                  </w:tcBorders>
                  <w:shd w:val="clear" w:color="auto" w:fill="auto"/>
                  <w:tcMar>
                    <w:top w:w="28" w:type="dxa"/>
                  </w:tcMar>
                </w:tcPr>
                <w:p w14:paraId="0FD5D6C3" w14:textId="540E5073" w:rsidR="006D67EE" w:rsidRDefault="00936D8F" w:rsidP="006D67EE">
                  <w:pPr>
                    <w:pStyle w:val="TableBodyText"/>
                    <w:jc w:val="left"/>
                  </w:pPr>
                  <w:r>
                    <w:t>Th</w:t>
                  </w:r>
                  <w:r w:rsidR="00BE4CD5">
                    <w:t xml:space="preserve">e </w:t>
                  </w:r>
                  <w:proofErr w:type="spellStart"/>
                  <w:r w:rsidR="006D67EE">
                    <w:t>SMVU</w:t>
                  </w:r>
                  <w:proofErr w:type="spellEnd"/>
                  <w:r w:rsidR="006D67EE">
                    <w:t xml:space="preserve"> ha</w:t>
                  </w:r>
                  <w:r w:rsidR="00EA7EE5">
                    <w:t>s</w:t>
                  </w:r>
                  <w:r w:rsidR="00EC20A1">
                    <w:t xml:space="preserve"> been conducted periodically from 1976 to 2018</w:t>
                  </w:r>
                  <w:r w:rsidR="00E92BCA">
                    <w:t>, and</w:t>
                  </w:r>
                  <w:r w:rsidR="004740D1">
                    <w:t xml:space="preserve"> every 2 years</w:t>
                  </w:r>
                  <w:r w:rsidR="00E92BCA">
                    <w:t xml:space="preserve"> since 2010</w:t>
                  </w:r>
                  <w:r w:rsidR="004740D1">
                    <w:t xml:space="preserve">. </w:t>
                  </w:r>
                  <w:r w:rsidR="009F7F83">
                    <w:t xml:space="preserve">The </w:t>
                  </w:r>
                  <w:proofErr w:type="spellStart"/>
                  <w:r w:rsidR="009F7F83">
                    <w:t>SMVU</w:t>
                  </w:r>
                  <w:proofErr w:type="spellEnd"/>
                  <w:r w:rsidR="009F7F83">
                    <w:t xml:space="preserve"> </w:t>
                  </w:r>
                  <w:r w:rsidR="006D67EE">
                    <w:t>include</w:t>
                  </w:r>
                  <w:r w:rsidR="00EA7EE5">
                    <w:t>s</w:t>
                  </w:r>
                  <w:r w:rsidR="006D67EE">
                    <w:t xml:space="preserve"> samples of vehicles registered in Australia</w:t>
                  </w:r>
                  <w:r w:rsidR="009F7F83">
                    <w:t>, and</w:t>
                  </w:r>
                  <w:r w:rsidR="00EC20A1">
                    <w:t xml:space="preserve"> </w:t>
                  </w:r>
                  <w:r w:rsidR="00BE4CD5">
                    <w:t>c</w:t>
                  </w:r>
                  <w:r w:rsidR="00EC20A1">
                    <w:t>ontain</w:t>
                  </w:r>
                  <w:r w:rsidR="00EA7EE5">
                    <w:t>s</w:t>
                  </w:r>
                  <w:r w:rsidR="00BE4CD5">
                    <w:t xml:space="preserve"> estimate</w:t>
                  </w:r>
                  <w:r w:rsidR="00EC20A1">
                    <w:t>s</w:t>
                  </w:r>
                  <w:r w:rsidR="006D67EE">
                    <w:t xml:space="preserve"> </w:t>
                  </w:r>
                  <w:r w:rsidR="00EA7EE5">
                    <w:t xml:space="preserve">relating to </w:t>
                  </w:r>
                  <w:r w:rsidR="00341276">
                    <w:t>the fleet</w:t>
                  </w:r>
                  <w:r w:rsidR="006D67EE">
                    <w:t xml:space="preserve"> </w:t>
                  </w:r>
                  <w:r w:rsidR="009F7F83">
                    <w:t>(for example, vehicle types, vehicle size and state of registration)</w:t>
                  </w:r>
                  <w:r w:rsidR="006D67EE">
                    <w:t xml:space="preserve"> and </w:t>
                  </w:r>
                  <w:r w:rsidR="008747F7">
                    <w:t>vehicle use</w:t>
                  </w:r>
                  <w:r w:rsidR="006D67EE">
                    <w:t xml:space="preserve"> (for example, tonnes carried,</w:t>
                  </w:r>
                  <w:r w:rsidR="00DA5D25">
                    <w:t xml:space="preserve"> commodity carried</w:t>
                  </w:r>
                  <w:r w:rsidR="009F7F83">
                    <w:t xml:space="preserve"> and</w:t>
                  </w:r>
                  <w:r w:rsidR="006D67EE">
                    <w:t xml:space="preserve"> kilometres travelled)</w:t>
                  </w:r>
                  <w:r w:rsidR="00EC20A1">
                    <w:t xml:space="preserve">. </w:t>
                  </w:r>
                </w:p>
                <w:p w14:paraId="1BC36742" w14:textId="77777777" w:rsidR="00D93493" w:rsidRDefault="00CF0B3D" w:rsidP="00D93493">
                  <w:pPr>
                    <w:pStyle w:val="TableBodyText"/>
                    <w:jc w:val="left"/>
                  </w:pPr>
                  <w:r>
                    <w:t>Some l</w:t>
                  </w:r>
                  <w:r w:rsidR="009F7F83">
                    <w:t>imitation</w:t>
                  </w:r>
                  <w:r>
                    <w:t>s</w:t>
                  </w:r>
                  <w:r w:rsidR="006D67EE">
                    <w:t xml:space="preserve"> of the </w:t>
                  </w:r>
                  <w:proofErr w:type="spellStart"/>
                  <w:r w:rsidR="006D67EE">
                    <w:t>SMVU</w:t>
                  </w:r>
                  <w:proofErr w:type="spellEnd"/>
                  <w:r w:rsidR="006D67EE">
                    <w:t xml:space="preserve"> </w:t>
                  </w:r>
                  <w:r>
                    <w:t xml:space="preserve">are </w:t>
                  </w:r>
                  <w:r w:rsidR="009F7F83">
                    <w:t>that</w:t>
                  </w:r>
                  <w:r>
                    <w:t>:</w:t>
                  </w:r>
                </w:p>
                <w:p w14:paraId="41CBD096" w14:textId="77777777" w:rsidR="00D93493" w:rsidRDefault="00DA5D25" w:rsidP="00D93493">
                  <w:pPr>
                    <w:pStyle w:val="TableBullet"/>
                  </w:pPr>
                  <w:r>
                    <w:t>there is no information about</w:t>
                  </w:r>
                  <w:r w:rsidR="002A5DFD">
                    <w:t xml:space="preserve"> </w:t>
                  </w:r>
                  <w:r w:rsidR="00507DD6">
                    <w:t xml:space="preserve">whether vehicles are operating under schemes such as PBS, CML and </w:t>
                  </w:r>
                  <w:proofErr w:type="spellStart"/>
                  <w:r w:rsidR="00507DD6">
                    <w:t>HML</w:t>
                  </w:r>
                  <w:proofErr w:type="spellEnd"/>
                </w:p>
                <w:p w14:paraId="0A32E7AA" w14:textId="0865703D" w:rsidR="00D93493" w:rsidRDefault="00D93493" w:rsidP="00D93493">
                  <w:pPr>
                    <w:pStyle w:val="TableBullet"/>
                  </w:pPr>
                  <w:r>
                    <w:t xml:space="preserve">geographical information on </w:t>
                  </w:r>
                  <w:r w:rsidR="00F4446E">
                    <w:t>vehicle</w:t>
                  </w:r>
                  <w:r w:rsidR="00CF0B3D">
                    <w:t xml:space="preserve"> movements</w:t>
                  </w:r>
                  <w:r w:rsidR="00AD0C39">
                    <w:t xml:space="preserve"> </w:t>
                  </w:r>
                  <w:r w:rsidR="00423235">
                    <w:t>is limited to</w:t>
                  </w:r>
                  <w:r w:rsidR="00CF0B3D">
                    <w:t xml:space="preserve"> the type of area (for example, capital city, intrastate, and other areas)</w:t>
                  </w:r>
                </w:p>
                <w:p w14:paraId="01823AAE" w14:textId="427BAA62" w:rsidR="00A81EAF" w:rsidRDefault="00F15AEA" w:rsidP="00D93493">
                  <w:pPr>
                    <w:pStyle w:val="TableBullet"/>
                  </w:pPr>
                  <w:r>
                    <w:t xml:space="preserve">publicly available </w:t>
                  </w:r>
                  <w:proofErr w:type="spellStart"/>
                  <w:r>
                    <w:t>SMVU</w:t>
                  </w:r>
                  <w:proofErr w:type="spellEnd"/>
                  <w:r>
                    <w:t xml:space="preserve"> data do not allow for </w:t>
                  </w:r>
                  <w:r w:rsidR="009F7F83">
                    <w:t xml:space="preserve">light rigid trucks and heavy rigid trucks </w:t>
                  </w:r>
                  <w:r>
                    <w:t>to be</w:t>
                  </w:r>
                  <w:r w:rsidR="009F7F83">
                    <w:t xml:space="preserve"> separated</w:t>
                  </w:r>
                  <w:r w:rsidR="00B30E8E">
                    <w:t xml:space="preserve"> under </w:t>
                  </w:r>
                  <w:proofErr w:type="spellStart"/>
                  <w:r w:rsidR="00B30E8E">
                    <w:t>HVNL</w:t>
                  </w:r>
                  <w:proofErr w:type="spellEnd"/>
                  <w:r w:rsidR="00B30E8E">
                    <w:t xml:space="preserve"> definitions</w:t>
                  </w:r>
                  <w:r>
                    <w:t>.</w:t>
                  </w:r>
                </w:p>
              </w:tc>
            </w:tr>
            <w:tr w:rsidR="00996A7E" w14:paraId="592E21F8" w14:textId="77777777" w:rsidTr="00CA09BC">
              <w:trPr>
                <w:tblHeader/>
              </w:trPr>
              <w:tc>
                <w:tcPr>
                  <w:tcW w:w="721" w:type="pct"/>
                  <w:vMerge/>
                </w:tcPr>
                <w:p w14:paraId="26819A6D" w14:textId="51E4D5BE" w:rsidR="00996A7E" w:rsidRDefault="00996A7E" w:rsidP="001139C3">
                  <w:pPr>
                    <w:pStyle w:val="TableBodyText"/>
                    <w:jc w:val="left"/>
                  </w:pPr>
                </w:p>
              </w:tc>
              <w:tc>
                <w:tcPr>
                  <w:tcW w:w="706" w:type="pct"/>
                  <w:tcBorders>
                    <w:top w:val="single" w:sz="6" w:space="0" w:color="BFBFBF"/>
                    <w:bottom w:val="single" w:sz="6" w:space="0" w:color="BFBFBF"/>
                  </w:tcBorders>
                  <w:shd w:val="clear" w:color="auto" w:fill="auto"/>
                  <w:tcMar>
                    <w:top w:w="28" w:type="dxa"/>
                  </w:tcMar>
                </w:tcPr>
                <w:p w14:paraId="39B080BD" w14:textId="77777777" w:rsidR="004A03E9" w:rsidRDefault="002A5DFD" w:rsidP="001139C3">
                  <w:pPr>
                    <w:pStyle w:val="TableBodyText"/>
                    <w:jc w:val="left"/>
                  </w:pPr>
                  <w:r>
                    <w:t>Motor Vehicle C</w:t>
                  </w:r>
                  <w:r w:rsidR="00996A7E">
                    <w:t>ensus</w:t>
                  </w:r>
                  <w:r w:rsidR="00936D8F">
                    <w:t xml:space="preserve"> (</w:t>
                  </w:r>
                  <w:proofErr w:type="spellStart"/>
                  <w:r w:rsidR="00936D8F">
                    <w:t>MVC</w:t>
                  </w:r>
                  <w:proofErr w:type="spellEnd"/>
                  <w:r w:rsidR="00936D8F">
                    <w:t>)</w:t>
                  </w:r>
                </w:p>
                <w:p w14:paraId="550E0749" w14:textId="2E579E49" w:rsidR="00996A7E" w:rsidRDefault="00D10E0A" w:rsidP="001139C3">
                  <w:pPr>
                    <w:pStyle w:val="TableBodyText"/>
                    <w:jc w:val="left"/>
                  </w:pPr>
                  <w:r w:rsidRPr="00D10E0A">
                    <w:rPr>
                      <w:rFonts w:cs="Arial"/>
                      <w:szCs w:val="24"/>
                    </w:rPr>
                    <w:t>(ABS 2018)</w:t>
                  </w:r>
                </w:p>
              </w:tc>
              <w:tc>
                <w:tcPr>
                  <w:tcW w:w="3572" w:type="pct"/>
                  <w:gridSpan w:val="2"/>
                  <w:tcBorders>
                    <w:top w:val="single" w:sz="6" w:space="0" w:color="BFBFBF"/>
                    <w:bottom w:val="single" w:sz="6" w:space="0" w:color="BFBFBF"/>
                  </w:tcBorders>
                  <w:shd w:val="clear" w:color="auto" w:fill="auto"/>
                  <w:tcMar>
                    <w:top w:w="28" w:type="dxa"/>
                  </w:tcMar>
                </w:tcPr>
                <w:p w14:paraId="4D340DDB" w14:textId="360CF786" w:rsidR="007A0DF8" w:rsidRDefault="00EC20A1" w:rsidP="007A0DF8">
                  <w:pPr>
                    <w:pStyle w:val="TableBodyText"/>
                    <w:jc w:val="left"/>
                  </w:pPr>
                  <w:r>
                    <w:t xml:space="preserve">The </w:t>
                  </w:r>
                  <w:proofErr w:type="spellStart"/>
                  <w:r w:rsidR="006D67EE">
                    <w:t>MVC</w:t>
                  </w:r>
                  <w:proofErr w:type="spellEnd"/>
                  <w:r w:rsidR="006D67EE">
                    <w:t xml:space="preserve"> ha</w:t>
                  </w:r>
                  <w:r w:rsidR="00887072">
                    <w:t>s</w:t>
                  </w:r>
                  <w:r w:rsidR="006D67EE">
                    <w:t xml:space="preserve"> been conducted periodically </w:t>
                  </w:r>
                  <w:r w:rsidR="00E92BCA">
                    <w:t xml:space="preserve">from </w:t>
                  </w:r>
                  <w:r w:rsidR="006D67EE">
                    <w:t>1971</w:t>
                  </w:r>
                  <w:r w:rsidR="007A0DF8">
                    <w:t xml:space="preserve"> </w:t>
                  </w:r>
                  <w:r w:rsidR="00E92BCA">
                    <w:t xml:space="preserve">to 2019, </w:t>
                  </w:r>
                  <w:r w:rsidR="007A0DF8">
                    <w:t xml:space="preserve">and </w:t>
                  </w:r>
                  <w:r w:rsidR="00E92BCA">
                    <w:t>every year since 20</w:t>
                  </w:r>
                  <w:r w:rsidR="00AD5548">
                    <w:t>01</w:t>
                  </w:r>
                  <w:r w:rsidR="00E92BCA">
                    <w:t xml:space="preserve">. The </w:t>
                  </w:r>
                  <w:proofErr w:type="spellStart"/>
                  <w:r w:rsidR="00E92BCA">
                    <w:t>MVC</w:t>
                  </w:r>
                  <w:proofErr w:type="spellEnd"/>
                  <w:r w:rsidR="007A0DF8">
                    <w:t xml:space="preserve"> include</w:t>
                  </w:r>
                  <w:r w:rsidR="00887072">
                    <w:t>s</w:t>
                  </w:r>
                  <w:r>
                    <w:t xml:space="preserve"> all vehicles registered in A</w:t>
                  </w:r>
                  <w:r w:rsidR="006D67EE">
                    <w:t>ustralia</w:t>
                  </w:r>
                  <w:r w:rsidR="00E92BCA">
                    <w:t>, and</w:t>
                  </w:r>
                  <w:r w:rsidR="007A0DF8" w:rsidDel="00887072">
                    <w:t xml:space="preserve"> </w:t>
                  </w:r>
                  <w:r w:rsidR="007A0DF8">
                    <w:t>provide</w:t>
                  </w:r>
                  <w:r w:rsidR="00887072">
                    <w:t>s</w:t>
                  </w:r>
                  <w:r w:rsidR="007A0DF8">
                    <w:t xml:space="preserve"> </w:t>
                  </w:r>
                  <w:r w:rsidR="006D67EE">
                    <w:t xml:space="preserve">more detailed information on the </w:t>
                  </w:r>
                  <w:r w:rsidR="00DA5D25">
                    <w:t>vehicle</w:t>
                  </w:r>
                  <w:r w:rsidR="006D67EE">
                    <w:t xml:space="preserve"> fleet compared </w:t>
                  </w:r>
                  <w:r w:rsidR="005216B1">
                    <w:t>with</w:t>
                  </w:r>
                  <w:r w:rsidR="006D67EE">
                    <w:t xml:space="preserve"> the </w:t>
                  </w:r>
                  <w:proofErr w:type="spellStart"/>
                  <w:r w:rsidR="006D67EE">
                    <w:t>SMVU</w:t>
                  </w:r>
                  <w:proofErr w:type="spellEnd"/>
                  <w:r w:rsidR="007A0DF8">
                    <w:t xml:space="preserve"> </w:t>
                  </w:r>
                  <w:r w:rsidR="00B30E8E">
                    <w:t>(</w:t>
                  </w:r>
                  <w:r w:rsidR="007A0DF8">
                    <w:t xml:space="preserve">for example, light and </w:t>
                  </w:r>
                  <w:r w:rsidR="00B30E8E">
                    <w:t xml:space="preserve">heavy </w:t>
                  </w:r>
                  <w:r w:rsidR="007A0DF8">
                    <w:t xml:space="preserve">rigid trucks can be </w:t>
                  </w:r>
                  <w:r w:rsidR="00D93493">
                    <w:t xml:space="preserve">easily </w:t>
                  </w:r>
                  <w:r w:rsidR="007A0DF8">
                    <w:t>separated</w:t>
                  </w:r>
                  <w:r w:rsidR="006D67EE">
                    <w:t xml:space="preserve">) but </w:t>
                  </w:r>
                  <w:r w:rsidR="007A0DF8">
                    <w:t xml:space="preserve">there is </w:t>
                  </w:r>
                  <w:r w:rsidR="006D67EE">
                    <w:t>no information on vehicle use.</w:t>
                  </w:r>
                  <w:r w:rsidR="007A0DF8">
                    <w:t xml:space="preserve"> </w:t>
                  </w:r>
                </w:p>
                <w:p w14:paraId="163A647F" w14:textId="5E2778E8" w:rsidR="00996A7E" w:rsidRPr="001139C3" w:rsidRDefault="007A0DF8" w:rsidP="001139C3">
                  <w:pPr>
                    <w:pStyle w:val="TableBodyText"/>
                    <w:jc w:val="left"/>
                  </w:pPr>
                  <w:r>
                    <w:t xml:space="preserve">Similar to the </w:t>
                  </w:r>
                  <w:proofErr w:type="spellStart"/>
                  <w:r>
                    <w:t>SMVU</w:t>
                  </w:r>
                  <w:proofErr w:type="spellEnd"/>
                  <w:r>
                    <w:t xml:space="preserve">, there is no information about </w:t>
                  </w:r>
                  <w:r w:rsidR="00507DD6">
                    <w:t xml:space="preserve">whether vehicles are operating under schemes such as PBS, CML and </w:t>
                  </w:r>
                  <w:proofErr w:type="spellStart"/>
                  <w:r w:rsidR="00507DD6">
                    <w:t>HML</w:t>
                  </w:r>
                  <w:proofErr w:type="spellEnd"/>
                  <w:r w:rsidR="00507DD6">
                    <w:t>.</w:t>
                  </w:r>
                </w:p>
              </w:tc>
            </w:tr>
            <w:tr w:rsidR="00A81EAF" w14:paraId="1B8E1240" w14:textId="77777777" w:rsidTr="00CA09BC">
              <w:trPr>
                <w:tblHeader/>
              </w:trPr>
              <w:tc>
                <w:tcPr>
                  <w:tcW w:w="721" w:type="pct"/>
                  <w:vMerge/>
                  <w:tcBorders>
                    <w:bottom w:val="single" w:sz="6" w:space="0" w:color="BFBFBF"/>
                  </w:tcBorders>
                </w:tcPr>
                <w:p w14:paraId="5103A885" w14:textId="77777777" w:rsidR="00A81EAF" w:rsidRDefault="00A81EAF" w:rsidP="001139C3">
                  <w:pPr>
                    <w:pStyle w:val="TableBodyText"/>
                    <w:jc w:val="left"/>
                  </w:pPr>
                </w:p>
              </w:tc>
              <w:tc>
                <w:tcPr>
                  <w:tcW w:w="706" w:type="pct"/>
                  <w:tcBorders>
                    <w:top w:val="single" w:sz="6" w:space="0" w:color="BFBFBF"/>
                    <w:bottom w:val="single" w:sz="6" w:space="0" w:color="BFBFBF"/>
                  </w:tcBorders>
                  <w:shd w:val="clear" w:color="auto" w:fill="auto"/>
                  <w:tcMar>
                    <w:top w:w="28" w:type="dxa"/>
                  </w:tcMar>
                </w:tcPr>
                <w:p w14:paraId="1464CECF" w14:textId="376344AB" w:rsidR="00A81EAF" w:rsidRPr="00002710" w:rsidRDefault="002A5DFD" w:rsidP="003F6697">
                  <w:pPr>
                    <w:pStyle w:val="TableBodyText"/>
                    <w:jc w:val="left"/>
                  </w:pPr>
                  <w:r w:rsidRPr="00002710">
                    <w:t>Road Freight</w:t>
                  </w:r>
                  <w:r w:rsidR="00DE65A3" w:rsidRPr="00002710">
                    <w:t xml:space="preserve"> </w:t>
                  </w:r>
                  <w:r w:rsidRPr="00002710">
                    <w:t>Movements S</w:t>
                  </w:r>
                  <w:r w:rsidR="00A81EAF" w:rsidRPr="00002710">
                    <w:t>urvey</w:t>
                  </w:r>
                  <w:r w:rsidR="007A0DF8" w:rsidRPr="00002710">
                    <w:t xml:space="preserve"> (</w:t>
                  </w:r>
                  <w:proofErr w:type="spellStart"/>
                  <w:r w:rsidR="007A0DF8" w:rsidRPr="00002710">
                    <w:t>RFMS</w:t>
                  </w:r>
                  <w:proofErr w:type="spellEnd"/>
                  <w:r w:rsidR="007A0DF8" w:rsidRPr="00002710">
                    <w:t>)</w:t>
                  </w:r>
                  <w:r w:rsidR="003F6697" w:rsidRPr="00002710">
                    <w:t xml:space="preserve"> </w:t>
                  </w:r>
                  <w:r w:rsidR="00D10E0A" w:rsidRPr="00D10E0A">
                    <w:rPr>
                      <w:rFonts w:cs="Arial"/>
                      <w:szCs w:val="24"/>
                    </w:rPr>
                    <w:t>(ABS 2015)</w:t>
                  </w:r>
                </w:p>
              </w:tc>
              <w:tc>
                <w:tcPr>
                  <w:tcW w:w="3572" w:type="pct"/>
                  <w:gridSpan w:val="2"/>
                  <w:tcBorders>
                    <w:top w:val="single" w:sz="6" w:space="0" w:color="BFBFBF"/>
                    <w:bottom w:val="single" w:sz="6" w:space="0" w:color="BFBFBF"/>
                  </w:tcBorders>
                  <w:shd w:val="clear" w:color="auto" w:fill="auto"/>
                  <w:tcMar>
                    <w:top w:w="28" w:type="dxa"/>
                  </w:tcMar>
                </w:tcPr>
                <w:p w14:paraId="324FCF9A" w14:textId="4158B8FB" w:rsidR="002A5DFD" w:rsidRDefault="00BE4CD5" w:rsidP="002A5DFD">
                  <w:pPr>
                    <w:pStyle w:val="TableBodyText"/>
                    <w:jc w:val="left"/>
                  </w:pPr>
                  <w:r>
                    <w:t xml:space="preserve">The </w:t>
                  </w:r>
                  <w:proofErr w:type="spellStart"/>
                  <w:r>
                    <w:t>RFMS</w:t>
                  </w:r>
                  <w:proofErr w:type="spellEnd"/>
                  <w:r>
                    <w:t xml:space="preserve"> </w:t>
                  </w:r>
                  <w:r w:rsidR="002A5DFD">
                    <w:t xml:space="preserve">was conducted in 2014, and </w:t>
                  </w:r>
                  <w:r w:rsidR="00E92BCA">
                    <w:t xml:space="preserve">includes a sample of vehicles registered in Australia. The survey </w:t>
                  </w:r>
                  <w:r w:rsidR="007A0DF8">
                    <w:t xml:space="preserve">contains </w:t>
                  </w:r>
                  <w:r w:rsidR="002A5DFD">
                    <w:t>estimates</w:t>
                  </w:r>
                  <w:r w:rsidR="007A0DF8">
                    <w:t xml:space="preserve"> about the movement of </w:t>
                  </w:r>
                  <w:r w:rsidR="002A5DFD">
                    <w:t>road freight</w:t>
                  </w:r>
                  <w:r w:rsidR="007A0DF8">
                    <w:t xml:space="preserve">. </w:t>
                  </w:r>
                  <w:r w:rsidR="002A5DFD">
                    <w:t xml:space="preserve">The </w:t>
                  </w:r>
                  <w:proofErr w:type="spellStart"/>
                  <w:r w:rsidR="002A5DFD">
                    <w:t>RFMS</w:t>
                  </w:r>
                  <w:proofErr w:type="spellEnd"/>
                  <w:r w:rsidR="002A5DFD">
                    <w:t xml:space="preserve"> provide</w:t>
                  </w:r>
                  <w:r w:rsidR="00887072">
                    <w:t>s</w:t>
                  </w:r>
                  <w:r w:rsidR="002A5DFD">
                    <w:t xml:space="preserve"> </w:t>
                  </w:r>
                  <w:r w:rsidR="007A28A7">
                    <w:t>more geographical information on</w:t>
                  </w:r>
                  <w:r w:rsidR="00F4446E">
                    <w:t xml:space="preserve"> </w:t>
                  </w:r>
                  <w:r w:rsidR="007A28A7">
                    <w:t xml:space="preserve">vehicle movements relative to the </w:t>
                  </w:r>
                  <w:proofErr w:type="spellStart"/>
                  <w:r w:rsidR="007A28A7">
                    <w:t>SMVU</w:t>
                  </w:r>
                  <w:proofErr w:type="spellEnd"/>
                  <w:r w:rsidR="007A28A7">
                    <w:t xml:space="preserve"> (for example, vehicle movements by state </w:t>
                  </w:r>
                  <w:r w:rsidR="00356291">
                    <w:t xml:space="preserve">of </w:t>
                  </w:r>
                  <w:r w:rsidR="007A28A7">
                    <w:t>origin and destination, by vehicle type</w:t>
                  </w:r>
                  <w:r w:rsidR="000229BB">
                    <w:t xml:space="preserve"> and commodity type</w:t>
                  </w:r>
                  <w:r w:rsidR="007A28A7">
                    <w:t>).</w:t>
                  </w:r>
                </w:p>
                <w:p w14:paraId="7A5EA287" w14:textId="4A63DBE6" w:rsidR="00A81EAF" w:rsidRDefault="002A5DFD" w:rsidP="00887072">
                  <w:pPr>
                    <w:pStyle w:val="TableBodyText"/>
                    <w:jc w:val="left"/>
                  </w:pPr>
                  <w:r>
                    <w:t xml:space="preserve">However, as the </w:t>
                  </w:r>
                  <w:proofErr w:type="spellStart"/>
                  <w:r w:rsidR="008747F7">
                    <w:t>RFMS</w:t>
                  </w:r>
                  <w:proofErr w:type="spellEnd"/>
                  <w:r>
                    <w:t xml:space="preserve"> </w:t>
                  </w:r>
                  <w:r w:rsidR="00186AE7">
                    <w:t>is</w:t>
                  </w:r>
                  <w:r>
                    <w:t xml:space="preserve"> a once</w:t>
                  </w:r>
                  <w:r w:rsidR="00DE65A3">
                    <w:noBreakHyphen/>
                  </w:r>
                  <w:r>
                    <w:t xml:space="preserve">off survey, time comparisons are not possible. </w:t>
                  </w:r>
                  <w:r w:rsidR="00273031">
                    <w:t xml:space="preserve">It also does not contain information about vehicles operating under schemes such as PBS, CML and </w:t>
                  </w:r>
                  <w:proofErr w:type="spellStart"/>
                  <w:r w:rsidR="00273031">
                    <w:t>HML</w:t>
                  </w:r>
                  <w:proofErr w:type="spellEnd"/>
                  <w:r w:rsidR="00273031">
                    <w:t>.</w:t>
                  </w:r>
                </w:p>
              </w:tc>
            </w:tr>
            <w:tr w:rsidR="00E14D41" w14:paraId="7D735AAD" w14:textId="77777777" w:rsidTr="00CA09BC">
              <w:trPr>
                <w:tblHeader/>
              </w:trPr>
              <w:tc>
                <w:tcPr>
                  <w:tcW w:w="721" w:type="pct"/>
                  <w:tcBorders>
                    <w:bottom w:val="single" w:sz="6" w:space="0" w:color="BFBFBF"/>
                  </w:tcBorders>
                </w:tcPr>
                <w:p w14:paraId="45D755FE" w14:textId="3E409B08" w:rsidR="00E14D41" w:rsidRDefault="00E14D41" w:rsidP="00981A79">
                  <w:pPr>
                    <w:pStyle w:val="TableUnitsRow"/>
                    <w:jc w:val="left"/>
                  </w:pPr>
                  <w:r>
                    <w:t xml:space="preserve">Department of </w:t>
                  </w:r>
                  <w:r w:rsidR="004662A2">
                    <w:t xml:space="preserve">Infrastructure, </w:t>
                  </w:r>
                  <w:r>
                    <w:t>Transport, Cities and Regional Development (</w:t>
                  </w:r>
                  <w:proofErr w:type="spellStart"/>
                  <w:r>
                    <w:t>DITCRD</w:t>
                  </w:r>
                  <w:proofErr w:type="spellEnd"/>
                  <w:r>
                    <w:t>)</w:t>
                  </w:r>
                </w:p>
              </w:tc>
              <w:tc>
                <w:tcPr>
                  <w:tcW w:w="706" w:type="pct"/>
                  <w:tcBorders>
                    <w:top w:val="single" w:sz="6" w:space="0" w:color="BFBFBF"/>
                    <w:bottom w:val="single" w:sz="6" w:space="0" w:color="BFBFBF"/>
                  </w:tcBorders>
                  <w:shd w:val="clear" w:color="auto" w:fill="auto"/>
                  <w:tcMar>
                    <w:top w:w="28" w:type="dxa"/>
                  </w:tcMar>
                </w:tcPr>
                <w:p w14:paraId="49CFC86F" w14:textId="77777777" w:rsidR="00E14D41" w:rsidRDefault="00E14D41" w:rsidP="00E14D41">
                  <w:pPr>
                    <w:pStyle w:val="TableBodyText"/>
                    <w:jc w:val="left"/>
                  </w:pPr>
                  <w:r>
                    <w:t xml:space="preserve">Key freight routes </w:t>
                  </w:r>
                </w:p>
                <w:p w14:paraId="434913E7" w14:textId="561E832C" w:rsidR="00E14D41" w:rsidRDefault="00D10E0A" w:rsidP="00E14D41">
                  <w:pPr>
                    <w:pStyle w:val="TableBodyText"/>
                    <w:jc w:val="left"/>
                  </w:pPr>
                  <w:r w:rsidRPr="00D10E0A">
                    <w:rPr>
                      <w:rFonts w:cs="Arial"/>
                      <w:szCs w:val="24"/>
                    </w:rPr>
                    <w:t>(</w:t>
                  </w:r>
                  <w:proofErr w:type="spellStart"/>
                  <w:r w:rsidRPr="00D10E0A">
                    <w:rPr>
                      <w:rFonts w:cs="Arial"/>
                      <w:szCs w:val="24"/>
                    </w:rPr>
                    <w:t>DITCRD</w:t>
                  </w:r>
                  <w:proofErr w:type="spellEnd"/>
                  <w:r w:rsidRPr="00D10E0A">
                    <w:rPr>
                      <w:rFonts w:cs="Arial"/>
                      <w:szCs w:val="24"/>
                    </w:rPr>
                    <w:t> 2019)</w:t>
                  </w:r>
                </w:p>
                <w:p w14:paraId="710AD141" w14:textId="77777777" w:rsidR="00E14D41" w:rsidRDefault="00E14D41" w:rsidP="00E14D41">
                  <w:pPr>
                    <w:pStyle w:val="TableBodyText"/>
                    <w:jc w:val="left"/>
                  </w:pPr>
                </w:p>
              </w:tc>
              <w:tc>
                <w:tcPr>
                  <w:tcW w:w="3572" w:type="pct"/>
                  <w:gridSpan w:val="2"/>
                  <w:tcBorders>
                    <w:top w:val="single" w:sz="6" w:space="0" w:color="BFBFBF"/>
                    <w:bottom w:val="single" w:sz="6" w:space="0" w:color="BFBFBF"/>
                  </w:tcBorders>
                  <w:shd w:val="clear" w:color="auto" w:fill="auto"/>
                  <w:tcMar>
                    <w:top w:w="28" w:type="dxa"/>
                  </w:tcMar>
                </w:tcPr>
                <w:p w14:paraId="470A9E9A" w14:textId="3E817110" w:rsidR="00E14D41" w:rsidRDefault="00E14D41" w:rsidP="00E14D41">
                  <w:pPr>
                    <w:pStyle w:val="TableBodyText"/>
                    <w:jc w:val="left"/>
                  </w:pPr>
                  <w:r>
                    <w:t xml:space="preserve">The </w:t>
                  </w:r>
                  <w:proofErr w:type="spellStart"/>
                  <w:r>
                    <w:t>DITCRD</w:t>
                  </w:r>
                  <w:proofErr w:type="spellEnd"/>
                  <w:r>
                    <w:t xml:space="preserve"> provided geospatial data underlying their published maps on key freight routes across Australia. These routes connect nationally significant freight locations and experience high heavy vehicle traffic, higher volumes of freight, or involve the transport of important commodities.</w:t>
                  </w:r>
                </w:p>
              </w:tc>
            </w:tr>
            <w:tr w:rsidR="00A81EAF" w14:paraId="736AA992" w14:textId="77777777" w:rsidTr="00CA09BC">
              <w:trPr>
                <w:tblHeader/>
              </w:trPr>
              <w:tc>
                <w:tcPr>
                  <w:tcW w:w="721" w:type="pct"/>
                  <w:tcBorders>
                    <w:top w:val="single" w:sz="6" w:space="0" w:color="BFBFBF"/>
                  </w:tcBorders>
                </w:tcPr>
                <w:p w14:paraId="345EE8CF" w14:textId="6522FB51" w:rsidR="00A81EAF" w:rsidRDefault="00A81EAF" w:rsidP="00981A79">
                  <w:pPr>
                    <w:pStyle w:val="TableUnitsRow"/>
                    <w:jc w:val="left"/>
                  </w:pPr>
                  <w:r>
                    <w:t>National Heavy Vehicle Regulator (</w:t>
                  </w:r>
                  <w:proofErr w:type="spellStart"/>
                  <w:r>
                    <w:t>NHVR</w:t>
                  </w:r>
                  <w:proofErr w:type="spellEnd"/>
                  <w:r>
                    <w:t>)</w:t>
                  </w:r>
                  <w:r w:rsidR="008535AF">
                    <w:t xml:space="preserve"> — unpublished data</w:t>
                  </w:r>
                </w:p>
              </w:tc>
              <w:tc>
                <w:tcPr>
                  <w:tcW w:w="706" w:type="pct"/>
                  <w:tcBorders>
                    <w:top w:val="single" w:sz="6" w:space="0" w:color="BFBFBF"/>
                    <w:bottom w:val="single" w:sz="6" w:space="0" w:color="BFBFBF"/>
                  </w:tcBorders>
                  <w:shd w:val="clear" w:color="auto" w:fill="auto"/>
                  <w:tcMar>
                    <w:top w:w="28" w:type="dxa"/>
                  </w:tcMar>
                </w:tcPr>
                <w:p w14:paraId="38161295" w14:textId="4D2B9B66" w:rsidR="00A81EAF" w:rsidRDefault="00A81EAF" w:rsidP="001139C3">
                  <w:pPr>
                    <w:pStyle w:val="TableBodyText"/>
                    <w:jc w:val="left"/>
                  </w:pPr>
                  <w:r>
                    <w:t>Permit applications</w:t>
                  </w:r>
                </w:p>
              </w:tc>
              <w:tc>
                <w:tcPr>
                  <w:tcW w:w="3572" w:type="pct"/>
                  <w:gridSpan w:val="2"/>
                  <w:tcBorders>
                    <w:top w:val="single" w:sz="6" w:space="0" w:color="BFBFBF"/>
                    <w:bottom w:val="single" w:sz="6" w:space="0" w:color="BFBFBF"/>
                  </w:tcBorders>
                  <w:shd w:val="clear" w:color="auto" w:fill="auto"/>
                  <w:tcMar>
                    <w:top w:w="28" w:type="dxa"/>
                  </w:tcMar>
                </w:tcPr>
                <w:p w14:paraId="1412225D" w14:textId="725AF448" w:rsidR="00F106E8" w:rsidRDefault="00C92A42" w:rsidP="00D63519">
                  <w:pPr>
                    <w:pStyle w:val="TableBodyText"/>
                    <w:jc w:val="left"/>
                  </w:pPr>
                  <w:r>
                    <w:t xml:space="preserve">The </w:t>
                  </w:r>
                  <w:proofErr w:type="spellStart"/>
                  <w:r>
                    <w:t>NHVR</w:t>
                  </w:r>
                  <w:proofErr w:type="spellEnd"/>
                  <w:r>
                    <w:t xml:space="preserve"> provided d</w:t>
                  </w:r>
                  <w:r w:rsidR="001139C3">
                    <w:t>e</w:t>
                  </w:r>
                  <w:r w:rsidR="00DE65A3">
                    <w:noBreakHyphen/>
                  </w:r>
                  <w:r w:rsidR="001139C3">
                    <w:t xml:space="preserve">identified </w:t>
                  </w:r>
                  <w:r>
                    <w:t xml:space="preserve">permit application </w:t>
                  </w:r>
                  <w:r w:rsidR="001139C3">
                    <w:t xml:space="preserve">data from </w:t>
                  </w:r>
                  <w:r>
                    <w:t xml:space="preserve">its </w:t>
                  </w:r>
                  <w:r w:rsidR="001139C3">
                    <w:t>operational systems</w:t>
                  </w:r>
                  <w:r w:rsidR="00791F25">
                    <w:t xml:space="preserve"> from February 2014</w:t>
                  </w:r>
                  <w:r>
                    <w:t xml:space="preserve"> to </w:t>
                  </w:r>
                  <w:r w:rsidR="00791F25">
                    <w:t>September 2019</w:t>
                  </w:r>
                  <w:r w:rsidR="00F106E8">
                    <w:t>. The datasets include</w:t>
                  </w:r>
                  <w:r w:rsidR="00D63519">
                    <w:t xml:space="preserve"> </w:t>
                  </w:r>
                  <w:r>
                    <w:t>information</w:t>
                  </w:r>
                  <w:r w:rsidR="00D63519">
                    <w:t xml:space="preserve"> on </w:t>
                  </w:r>
                  <w:r w:rsidR="001139C3">
                    <w:t>application type</w:t>
                  </w:r>
                  <w:r w:rsidR="00791F25">
                    <w:t>, application status</w:t>
                  </w:r>
                  <w:r w:rsidR="00D63519">
                    <w:t xml:space="preserve">, </w:t>
                  </w:r>
                  <w:r w:rsidR="00F106E8">
                    <w:t xml:space="preserve">road manager, </w:t>
                  </w:r>
                  <w:r w:rsidR="001139C3">
                    <w:t>vehicle configuration</w:t>
                  </w:r>
                  <w:r w:rsidR="00791F25">
                    <w:t xml:space="preserve"> and PBS status</w:t>
                  </w:r>
                  <w:r w:rsidR="00F106E8">
                    <w:t xml:space="preserve">, and </w:t>
                  </w:r>
                  <w:r w:rsidR="008535AF">
                    <w:t>geospatial data</w:t>
                  </w:r>
                  <w:r w:rsidR="00F106E8">
                    <w:t xml:space="preserve"> on permit routes</w:t>
                  </w:r>
                  <w:r w:rsidR="005C5E86">
                    <w:t xml:space="preserve"> for applications under the new system</w:t>
                  </w:r>
                  <w:r w:rsidR="00D63519">
                    <w:t xml:space="preserve">. </w:t>
                  </w:r>
                </w:p>
                <w:p w14:paraId="69793E00" w14:textId="07187250" w:rsidR="005C5E86" w:rsidRDefault="00F106E8" w:rsidP="005C5E86">
                  <w:pPr>
                    <w:pStyle w:val="TableBodyText"/>
                    <w:jc w:val="left"/>
                  </w:pPr>
                  <w:r>
                    <w:t>A number of factors affect comparability of the data over time</w:t>
                  </w:r>
                  <w:r w:rsidR="00AC3246">
                    <w:t>.</w:t>
                  </w:r>
                  <w:r>
                    <w:t xml:space="preserve"> </w:t>
                  </w:r>
                  <w:r w:rsidR="005C5E86">
                    <w:t xml:space="preserve">First, states have gradually transferred responsibility for permits to the </w:t>
                  </w:r>
                  <w:proofErr w:type="spellStart"/>
                  <w:r w:rsidR="005C5E86">
                    <w:t>NHVR</w:t>
                  </w:r>
                  <w:proofErr w:type="spellEnd"/>
                  <w:r w:rsidR="005C5E86">
                    <w:t>. Second</w:t>
                  </w:r>
                  <w:r w:rsidR="00AC3246">
                    <w:t xml:space="preserve">, </w:t>
                  </w:r>
                  <w:proofErr w:type="spellStart"/>
                  <w:r w:rsidR="00AC3246">
                    <w:t>NHVR</w:t>
                  </w:r>
                  <w:proofErr w:type="spellEnd"/>
                  <w:r w:rsidR="005C5E86">
                    <w:t xml:space="preserve"> introduced a new </w:t>
                  </w:r>
                  <w:r w:rsidR="00D63519">
                    <w:t>application</w:t>
                  </w:r>
                  <w:r w:rsidR="00AC3246">
                    <w:t xml:space="preserve"> system for all permits from</w:t>
                  </w:r>
                  <w:r w:rsidR="00C92A42">
                    <w:t xml:space="preserve"> October 201</w:t>
                  </w:r>
                  <w:r w:rsidR="00AC3246">
                    <w:t>7 —</w:t>
                  </w:r>
                  <w:r w:rsidR="00D63519">
                    <w:t xml:space="preserve"> </w:t>
                  </w:r>
                  <w:r w:rsidR="00AC3246">
                    <w:t>data cannot easily be compared between old and new systems due to changes in how applications are submitted and</w:t>
                  </w:r>
                  <w:r w:rsidR="005C5E86">
                    <w:t xml:space="preserve"> updated</w:t>
                  </w:r>
                  <w:r w:rsidR="006D67EE">
                    <w:t xml:space="preserve">. </w:t>
                  </w:r>
                </w:p>
                <w:p w14:paraId="41D3BF9C" w14:textId="4751538C" w:rsidR="00412DC0" w:rsidRDefault="00AC3246" w:rsidP="00E46B34">
                  <w:pPr>
                    <w:pStyle w:val="TableBodyText"/>
                    <w:jc w:val="left"/>
                  </w:pPr>
                  <w:r>
                    <w:t xml:space="preserve">Further, </w:t>
                  </w:r>
                  <w:r w:rsidR="005C5E86">
                    <w:t xml:space="preserve">there are inconsistencies that affect data quality. For example, vehicle </w:t>
                  </w:r>
                  <w:r w:rsidR="00E46B34">
                    <w:t xml:space="preserve">details </w:t>
                  </w:r>
                  <w:r w:rsidR="00EB7FA4">
                    <w:t>are not reported for PBS vehicles</w:t>
                  </w:r>
                  <w:r w:rsidR="005C5E86">
                    <w:t>, and can only be</w:t>
                  </w:r>
                  <w:r w:rsidR="00EB7FA4">
                    <w:t xml:space="preserve"> obtained by linking</w:t>
                  </w:r>
                  <w:r w:rsidR="005C5E86">
                    <w:t xml:space="preserve"> with </w:t>
                  </w:r>
                  <w:proofErr w:type="spellStart"/>
                  <w:r w:rsidR="005C5E86">
                    <w:t>NHVR’s</w:t>
                  </w:r>
                  <w:proofErr w:type="spellEnd"/>
                  <w:r w:rsidR="005C5E86">
                    <w:t xml:space="preserve"> PBS approvals data (discussed below) through </w:t>
                  </w:r>
                  <w:r w:rsidR="00AD0C39">
                    <w:t xml:space="preserve">manually </w:t>
                  </w:r>
                  <w:r w:rsidR="005C5E86">
                    <w:t>reported PBS identification numbers.</w:t>
                  </w:r>
                </w:p>
              </w:tc>
            </w:tr>
          </w:tbl>
          <w:p w14:paraId="0F593B21" w14:textId="77777777" w:rsidR="00A81EAF" w:rsidRDefault="00A81EAF" w:rsidP="00143D86">
            <w:pPr>
              <w:pStyle w:val="Box"/>
            </w:pPr>
          </w:p>
        </w:tc>
      </w:tr>
      <w:tr w:rsidR="00A81EAF" w14:paraId="2ACC6E3C" w14:textId="77777777" w:rsidTr="00143D86">
        <w:tc>
          <w:tcPr>
            <w:tcW w:w="5000" w:type="pct"/>
            <w:tcBorders>
              <w:top w:val="nil"/>
              <w:left w:val="nil"/>
              <w:bottom w:val="nil"/>
              <w:right w:val="nil"/>
            </w:tcBorders>
            <w:shd w:val="clear" w:color="auto" w:fill="auto"/>
          </w:tcPr>
          <w:p w14:paraId="21E6B578" w14:textId="6996F2E6" w:rsidR="00A81EAF" w:rsidRDefault="00E16370" w:rsidP="00EA18DE">
            <w:pPr>
              <w:pStyle w:val="Continued"/>
            </w:pPr>
            <w:r w:rsidRPr="00E16370">
              <w:t>(</w:t>
            </w:r>
            <w:r w:rsidR="00EA18DE">
              <w:t>c</w:t>
            </w:r>
            <w:r w:rsidRPr="00E16370">
              <w:t>ontinued next page)</w:t>
            </w:r>
          </w:p>
        </w:tc>
      </w:tr>
      <w:tr w:rsidR="00A81EAF" w14:paraId="48C6B2AF" w14:textId="77777777" w:rsidTr="00143D86">
        <w:tc>
          <w:tcPr>
            <w:tcW w:w="5000" w:type="pct"/>
            <w:tcBorders>
              <w:top w:val="nil"/>
              <w:left w:val="nil"/>
              <w:bottom w:val="single" w:sz="6" w:space="0" w:color="78A22F"/>
              <w:right w:val="nil"/>
            </w:tcBorders>
            <w:shd w:val="clear" w:color="auto" w:fill="auto"/>
          </w:tcPr>
          <w:p w14:paraId="7FADC760" w14:textId="79BDEF27" w:rsidR="00A81EAF" w:rsidRDefault="00A81EAF" w:rsidP="00143D86">
            <w:pPr>
              <w:pStyle w:val="Box"/>
              <w:spacing w:before="0" w:line="120" w:lineRule="exact"/>
            </w:pPr>
          </w:p>
        </w:tc>
      </w:tr>
      <w:tr w:rsidR="00A81EAF" w:rsidRPr="000863A5" w14:paraId="6B32BEA8" w14:textId="77777777" w:rsidTr="00143D86">
        <w:tc>
          <w:tcPr>
            <w:tcW w:w="5000" w:type="pct"/>
            <w:tcBorders>
              <w:top w:val="single" w:sz="6" w:space="0" w:color="78A22F"/>
              <w:left w:val="nil"/>
              <w:bottom w:val="nil"/>
              <w:right w:val="nil"/>
            </w:tcBorders>
          </w:tcPr>
          <w:p w14:paraId="09C1CF1A" w14:textId="18871C56" w:rsidR="00A81EAF" w:rsidRPr="00626D32" w:rsidRDefault="00A81EAF" w:rsidP="00143D86">
            <w:pPr>
              <w:pStyle w:val="BoxSpaceBelow"/>
            </w:pPr>
          </w:p>
        </w:tc>
      </w:tr>
    </w:tbl>
    <w:p w14:paraId="5B040B35" w14:textId="5C0C09D4" w:rsidR="00E16370" w:rsidRDefault="00E16370" w:rsidP="00E1637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16370" w14:paraId="30FA3626" w14:textId="77777777" w:rsidTr="00520E0B">
        <w:trPr>
          <w:tblHeader/>
        </w:trPr>
        <w:tc>
          <w:tcPr>
            <w:tcW w:w="5000" w:type="pct"/>
            <w:tcBorders>
              <w:top w:val="single" w:sz="6" w:space="0" w:color="78A22F"/>
              <w:left w:val="nil"/>
              <w:bottom w:val="nil"/>
              <w:right w:val="nil"/>
            </w:tcBorders>
            <w:shd w:val="clear" w:color="auto" w:fill="auto"/>
          </w:tcPr>
          <w:p w14:paraId="452ED6FB" w14:textId="2C3E2F17" w:rsidR="00E16370" w:rsidRPr="00784A05" w:rsidRDefault="00E16370" w:rsidP="00EA18DE">
            <w:pPr>
              <w:pStyle w:val="TableTitle"/>
            </w:pPr>
            <w:r>
              <w:rPr>
                <w:b w:val="0"/>
              </w:rPr>
              <w:t xml:space="preserve">Table </w:t>
            </w:r>
            <w:proofErr w:type="spellStart"/>
            <w:r>
              <w:rPr>
                <w:b w:val="0"/>
              </w:rPr>
              <w:t>B.</w:t>
            </w:r>
            <w:r w:rsidR="00C251FA">
              <w:rPr>
                <w:b w:val="0"/>
              </w:rPr>
              <w:t>10</w:t>
            </w:r>
            <w:proofErr w:type="spellEnd"/>
            <w:r>
              <w:tab/>
            </w:r>
            <w:r w:rsidR="00520E0B" w:rsidRPr="00520E0B">
              <w:rPr>
                <w:b w:val="0"/>
                <w:sz w:val="18"/>
                <w:szCs w:val="18"/>
              </w:rPr>
              <w:t>(</w:t>
            </w:r>
            <w:r w:rsidR="00EA18DE">
              <w:rPr>
                <w:b w:val="0"/>
                <w:sz w:val="18"/>
                <w:szCs w:val="18"/>
              </w:rPr>
              <w:t>c</w:t>
            </w:r>
            <w:r w:rsidR="00520E0B" w:rsidRPr="00520E0B">
              <w:rPr>
                <w:b w:val="0"/>
                <w:sz w:val="18"/>
                <w:szCs w:val="18"/>
              </w:rPr>
              <w:t>ontinued)</w:t>
            </w:r>
          </w:p>
        </w:tc>
      </w:tr>
      <w:tr w:rsidR="00E16370" w14:paraId="77EA5B86" w14:textId="77777777" w:rsidTr="00520E0B">
        <w:tc>
          <w:tcPr>
            <w:tcW w:w="5000" w:type="pct"/>
            <w:tcBorders>
              <w:top w:val="nil"/>
              <w:left w:val="nil"/>
              <w:bottom w:val="nil"/>
              <w:right w:val="nil"/>
            </w:tcBorders>
            <w:shd w:val="clear" w:color="auto" w:fill="auto"/>
          </w:tcPr>
          <w:tbl>
            <w:tblPr>
              <w:tblW w:w="8525" w:type="dxa"/>
              <w:tblCellMar>
                <w:top w:w="28" w:type="dxa"/>
                <w:left w:w="0" w:type="dxa"/>
                <w:right w:w="0" w:type="dxa"/>
              </w:tblCellMar>
              <w:tblLook w:val="0000" w:firstRow="0" w:lastRow="0" w:firstColumn="0" w:lastColumn="0" w:noHBand="0" w:noVBand="0"/>
            </w:tblPr>
            <w:tblGrid>
              <w:gridCol w:w="1134"/>
              <w:gridCol w:w="1277"/>
              <w:gridCol w:w="6114"/>
            </w:tblGrid>
            <w:tr w:rsidR="00E16370" w14:paraId="5F1BA121" w14:textId="77777777" w:rsidTr="00520E0B">
              <w:trPr>
                <w:tblHeader/>
              </w:trPr>
              <w:tc>
                <w:tcPr>
                  <w:tcW w:w="665" w:type="pct"/>
                  <w:tcBorders>
                    <w:top w:val="single" w:sz="6" w:space="0" w:color="BFBFBF"/>
                    <w:bottom w:val="single" w:sz="6" w:space="0" w:color="BFBFBF"/>
                  </w:tcBorders>
                </w:tcPr>
                <w:p w14:paraId="09FC16EA" w14:textId="77777777" w:rsidR="00E16370" w:rsidRDefault="00E16370" w:rsidP="00520E0B">
                  <w:pPr>
                    <w:pStyle w:val="TableColumnHeading"/>
                    <w:jc w:val="left"/>
                  </w:pPr>
                  <w:r>
                    <w:t>Source</w:t>
                  </w:r>
                </w:p>
              </w:tc>
              <w:tc>
                <w:tcPr>
                  <w:tcW w:w="749" w:type="pct"/>
                  <w:tcBorders>
                    <w:top w:val="single" w:sz="6" w:space="0" w:color="BFBFBF"/>
                    <w:bottom w:val="single" w:sz="6" w:space="0" w:color="BFBFBF"/>
                  </w:tcBorders>
                  <w:shd w:val="clear" w:color="auto" w:fill="auto"/>
                  <w:tcMar>
                    <w:top w:w="28" w:type="dxa"/>
                  </w:tcMar>
                </w:tcPr>
                <w:p w14:paraId="2707D0F2" w14:textId="77777777" w:rsidR="00E16370" w:rsidRDefault="00E16370" w:rsidP="00520E0B">
                  <w:pPr>
                    <w:pStyle w:val="TableColumnHeading"/>
                    <w:jc w:val="left"/>
                  </w:pPr>
                  <w:r>
                    <w:t>Dataset</w:t>
                  </w:r>
                </w:p>
              </w:tc>
              <w:tc>
                <w:tcPr>
                  <w:tcW w:w="3586" w:type="pct"/>
                  <w:tcBorders>
                    <w:top w:val="single" w:sz="6" w:space="0" w:color="BFBFBF"/>
                    <w:bottom w:val="single" w:sz="6" w:space="0" w:color="BFBFBF"/>
                  </w:tcBorders>
                  <w:shd w:val="clear" w:color="auto" w:fill="auto"/>
                  <w:tcMar>
                    <w:top w:w="28" w:type="dxa"/>
                  </w:tcMar>
                </w:tcPr>
                <w:p w14:paraId="71E7A7C2" w14:textId="708BDFCD" w:rsidR="00E16370" w:rsidRDefault="00E16370" w:rsidP="00520E0B">
                  <w:pPr>
                    <w:pStyle w:val="TableColumnHeading"/>
                    <w:ind w:right="28"/>
                    <w:jc w:val="left"/>
                  </w:pPr>
                  <w:r>
                    <w:t>Description</w:t>
                  </w:r>
                  <w:r w:rsidR="0071609C">
                    <w:t xml:space="preserve"> and limitations</w:t>
                  </w:r>
                </w:p>
              </w:tc>
            </w:tr>
            <w:tr w:rsidR="00221612" w14:paraId="1ED41C4B" w14:textId="77777777" w:rsidTr="00520E0B">
              <w:trPr>
                <w:tblHeader/>
              </w:trPr>
              <w:tc>
                <w:tcPr>
                  <w:tcW w:w="665" w:type="pct"/>
                  <w:vMerge w:val="restart"/>
                </w:tcPr>
                <w:p w14:paraId="7775B774" w14:textId="77777777" w:rsidR="00221612" w:rsidRDefault="00221612" w:rsidP="00221612">
                  <w:pPr>
                    <w:pStyle w:val="TableBodyText"/>
                    <w:jc w:val="left"/>
                  </w:pPr>
                </w:p>
              </w:tc>
              <w:tc>
                <w:tcPr>
                  <w:tcW w:w="749" w:type="pct"/>
                  <w:tcBorders>
                    <w:top w:val="single" w:sz="6" w:space="0" w:color="BFBFBF"/>
                    <w:bottom w:val="single" w:sz="6" w:space="0" w:color="BFBFBF"/>
                  </w:tcBorders>
                  <w:shd w:val="clear" w:color="auto" w:fill="auto"/>
                  <w:tcMar>
                    <w:top w:w="28" w:type="dxa"/>
                  </w:tcMar>
                </w:tcPr>
                <w:p w14:paraId="7A0BDF23" w14:textId="12446D2F" w:rsidR="00221612" w:rsidRDefault="00221612" w:rsidP="00221612">
                  <w:pPr>
                    <w:pStyle w:val="TableBodyText"/>
                    <w:jc w:val="left"/>
                  </w:pPr>
                  <w:r>
                    <w:t>Pre</w:t>
                  </w:r>
                  <w:r w:rsidR="00DE65A3">
                    <w:noBreakHyphen/>
                  </w:r>
                  <w:r>
                    <w:t>approved permit routes and areas</w:t>
                  </w:r>
                </w:p>
              </w:tc>
              <w:tc>
                <w:tcPr>
                  <w:tcW w:w="3586" w:type="pct"/>
                  <w:tcBorders>
                    <w:top w:val="single" w:sz="6" w:space="0" w:color="BFBFBF"/>
                    <w:bottom w:val="single" w:sz="6" w:space="0" w:color="BFBFBF"/>
                  </w:tcBorders>
                  <w:shd w:val="clear" w:color="auto" w:fill="auto"/>
                  <w:tcMar>
                    <w:top w:w="28" w:type="dxa"/>
                  </w:tcMar>
                </w:tcPr>
                <w:p w14:paraId="347C479D" w14:textId="785089C8" w:rsidR="00221612" w:rsidRDefault="00221612" w:rsidP="006B7405">
                  <w:pPr>
                    <w:pStyle w:val="TableBodyText"/>
                    <w:jc w:val="left"/>
                  </w:pPr>
                  <w:r>
                    <w:t xml:space="preserve">The </w:t>
                  </w:r>
                  <w:proofErr w:type="spellStart"/>
                  <w:r>
                    <w:t>NHVR</w:t>
                  </w:r>
                  <w:proofErr w:type="spellEnd"/>
                  <w:r>
                    <w:t xml:space="preserve"> provided data on pre</w:t>
                  </w:r>
                  <w:r w:rsidR="00DE65A3">
                    <w:noBreakHyphen/>
                  </w:r>
                  <w:r>
                    <w:t>approved permit routes and areas, including information on road managers and vehicle types. However, there are data quality issues — for example, some pre</w:t>
                  </w:r>
                  <w:r w:rsidR="00DE65A3">
                    <w:noBreakHyphen/>
                  </w:r>
                  <w:r>
                    <w:t>approved routes or areas have been gazetted but not yet updated in these data. Some geospatial data were also provided but these do not capture al</w:t>
                  </w:r>
                  <w:r w:rsidR="006B7405">
                    <w:t>l pre</w:t>
                  </w:r>
                  <w:r w:rsidR="006B7405">
                    <w:noBreakHyphen/>
                    <w:t>approved routes and areas</w:t>
                  </w:r>
                  <w:r>
                    <w:t xml:space="preserve">. </w:t>
                  </w:r>
                </w:p>
              </w:tc>
            </w:tr>
            <w:tr w:rsidR="00221612" w14:paraId="49A0EBCB" w14:textId="77777777" w:rsidTr="00520E0B">
              <w:trPr>
                <w:tblHeader/>
              </w:trPr>
              <w:tc>
                <w:tcPr>
                  <w:tcW w:w="665" w:type="pct"/>
                  <w:vMerge/>
                </w:tcPr>
                <w:p w14:paraId="106D24F3" w14:textId="77777777" w:rsidR="00221612" w:rsidRDefault="00221612" w:rsidP="00221612">
                  <w:pPr>
                    <w:pStyle w:val="TableBodyText"/>
                    <w:jc w:val="left"/>
                  </w:pPr>
                </w:p>
              </w:tc>
              <w:tc>
                <w:tcPr>
                  <w:tcW w:w="749" w:type="pct"/>
                  <w:tcBorders>
                    <w:top w:val="single" w:sz="6" w:space="0" w:color="BFBFBF"/>
                    <w:bottom w:val="single" w:sz="6" w:space="0" w:color="BFBFBF"/>
                  </w:tcBorders>
                  <w:shd w:val="clear" w:color="auto" w:fill="auto"/>
                  <w:tcMar>
                    <w:top w:w="28" w:type="dxa"/>
                  </w:tcMar>
                </w:tcPr>
                <w:p w14:paraId="462F46BC" w14:textId="59470EA0" w:rsidR="00221612" w:rsidRDefault="00221612" w:rsidP="00221612">
                  <w:pPr>
                    <w:pStyle w:val="TableBodyText"/>
                    <w:jc w:val="left"/>
                  </w:pPr>
                  <w:r>
                    <w:t>Gazetted networks</w:t>
                  </w:r>
                </w:p>
              </w:tc>
              <w:tc>
                <w:tcPr>
                  <w:tcW w:w="3586" w:type="pct"/>
                  <w:tcBorders>
                    <w:top w:val="single" w:sz="6" w:space="0" w:color="BFBFBF"/>
                    <w:bottom w:val="single" w:sz="6" w:space="0" w:color="BFBFBF"/>
                  </w:tcBorders>
                  <w:shd w:val="clear" w:color="auto" w:fill="auto"/>
                  <w:tcMar>
                    <w:top w:w="28" w:type="dxa"/>
                  </w:tcMar>
                </w:tcPr>
                <w:p w14:paraId="1EB96694" w14:textId="7780C249" w:rsidR="00221612" w:rsidRDefault="00221612" w:rsidP="006B7405">
                  <w:pPr>
                    <w:pStyle w:val="TableBodyText"/>
                    <w:jc w:val="left"/>
                  </w:pPr>
                  <w:r>
                    <w:t xml:space="preserve">The </w:t>
                  </w:r>
                  <w:proofErr w:type="spellStart"/>
                  <w:r>
                    <w:t>NHVR</w:t>
                  </w:r>
                  <w:proofErr w:type="spellEnd"/>
                  <w:r>
                    <w:t xml:space="preserve"> provided geospatial datasets of gazetted networks for 2018 and 2019. These included gazetted routes and areas, as well as restrictions, by vehicle type </w:t>
                  </w:r>
                  <w:r w:rsidR="00043367">
                    <w:t xml:space="preserve">and mass allowance. The </w:t>
                  </w:r>
                  <w:proofErr w:type="spellStart"/>
                  <w:r w:rsidR="00043367">
                    <w:t>NHVR</w:t>
                  </w:r>
                  <w:proofErr w:type="spellEnd"/>
                  <w:r w:rsidR="00043367">
                    <w:t xml:space="preserve"> holds</w:t>
                  </w:r>
                  <w:r>
                    <w:t xml:space="preserve"> o</w:t>
                  </w:r>
                  <w:r w:rsidRPr="00412DC0">
                    <w:t>lder records</w:t>
                  </w:r>
                  <w:r w:rsidR="00043367">
                    <w:t>, which have not been provided,</w:t>
                  </w:r>
                  <w:r w:rsidRPr="00412DC0">
                    <w:t xml:space="preserve"> but </w:t>
                  </w:r>
                  <w:r>
                    <w:t xml:space="preserve">these </w:t>
                  </w:r>
                  <w:r w:rsidRPr="00412DC0">
                    <w:t xml:space="preserve">are not standardised across </w:t>
                  </w:r>
                  <w:r w:rsidR="00043367" w:rsidRPr="00F43061">
                    <w:t>jurisdictions</w:t>
                  </w:r>
                  <w:r w:rsidR="00043367" w:rsidRPr="00412DC0">
                    <w:t xml:space="preserve"> </w:t>
                  </w:r>
                  <w:r w:rsidRPr="00412DC0">
                    <w:t>or over time.</w:t>
                  </w:r>
                </w:p>
              </w:tc>
            </w:tr>
            <w:tr w:rsidR="00221612" w14:paraId="5FCC3CD2" w14:textId="77777777" w:rsidTr="00520E0B">
              <w:trPr>
                <w:tblHeader/>
              </w:trPr>
              <w:tc>
                <w:tcPr>
                  <w:tcW w:w="665" w:type="pct"/>
                  <w:vMerge/>
                </w:tcPr>
                <w:p w14:paraId="3CC1D54C" w14:textId="77777777" w:rsidR="00221612" w:rsidRDefault="00221612" w:rsidP="00221612">
                  <w:pPr>
                    <w:pStyle w:val="TableBodyText"/>
                    <w:jc w:val="left"/>
                  </w:pPr>
                </w:p>
              </w:tc>
              <w:tc>
                <w:tcPr>
                  <w:tcW w:w="749" w:type="pct"/>
                  <w:tcBorders>
                    <w:top w:val="single" w:sz="6" w:space="0" w:color="BFBFBF"/>
                    <w:bottom w:val="single" w:sz="6" w:space="0" w:color="BFBFBF"/>
                  </w:tcBorders>
                  <w:shd w:val="clear" w:color="auto" w:fill="auto"/>
                  <w:tcMar>
                    <w:top w:w="28" w:type="dxa"/>
                  </w:tcMar>
                </w:tcPr>
                <w:p w14:paraId="73209F6B" w14:textId="6C112806" w:rsidR="00221612" w:rsidRDefault="00221612" w:rsidP="00221612">
                  <w:pPr>
                    <w:pStyle w:val="TableBodyText"/>
                    <w:jc w:val="left"/>
                  </w:pPr>
                  <w:r>
                    <w:t>PBS approvals</w:t>
                  </w:r>
                </w:p>
              </w:tc>
              <w:tc>
                <w:tcPr>
                  <w:tcW w:w="3586" w:type="pct"/>
                  <w:tcBorders>
                    <w:top w:val="single" w:sz="6" w:space="0" w:color="BFBFBF"/>
                    <w:bottom w:val="single" w:sz="6" w:space="0" w:color="BFBFBF"/>
                  </w:tcBorders>
                  <w:shd w:val="clear" w:color="auto" w:fill="auto"/>
                  <w:tcMar>
                    <w:top w:w="28" w:type="dxa"/>
                  </w:tcMar>
                </w:tcPr>
                <w:p w14:paraId="4590D1C5" w14:textId="202A1FE0" w:rsidR="00221612" w:rsidRDefault="00221612" w:rsidP="006F3906">
                  <w:pPr>
                    <w:pStyle w:val="TableBodyText"/>
                    <w:jc w:val="left"/>
                  </w:pPr>
                  <w:r>
                    <w:t xml:space="preserve">The </w:t>
                  </w:r>
                  <w:proofErr w:type="spellStart"/>
                  <w:r>
                    <w:t>NHVR</w:t>
                  </w:r>
                  <w:proofErr w:type="spellEnd"/>
                  <w:r>
                    <w:t xml:space="preserve"> provided data on all PBS approvals from about 2014 to 2019</w:t>
                  </w:r>
                  <w:r w:rsidDel="00E00A72">
                    <w:t xml:space="preserve">, </w:t>
                  </w:r>
                  <w:r>
                    <w:t xml:space="preserve">including information on vehicle combination type, PBS access level, and commodity carried. The data can be used to </w:t>
                  </w:r>
                  <w:r w:rsidR="006F3906">
                    <w:t>calculate</w:t>
                  </w:r>
                  <w:r>
                    <w:t xml:space="preserve"> the number of approved </w:t>
                  </w:r>
                  <w:r w:rsidR="00346B39">
                    <w:t xml:space="preserve">PBS </w:t>
                  </w:r>
                  <w:r>
                    <w:t xml:space="preserve">combinations. </w:t>
                  </w:r>
                </w:p>
              </w:tc>
            </w:tr>
            <w:tr w:rsidR="00221612" w14:paraId="328443D3" w14:textId="77777777" w:rsidTr="003C398B">
              <w:trPr>
                <w:tblHeader/>
              </w:trPr>
              <w:tc>
                <w:tcPr>
                  <w:tcW w:w="665" w:type="pct"/>
                  <w:vMerge/>
                  <w:tcBorders>
                    <w:bottom w:val="single" w:sz="6" w:space="0" w:color="BFBFBF"/>
                  </w:tcBorders>
                </w:tcPr>
                <w:p w14:paraId="4A4E1CF2" w14:textId="77777777" w:rsidR="00221612" w:rsidRDefault="00221612" w:rsidP="00221612">
                  <w:pPr>
                    <w:pStyle w:val="TableBodyText"/>
                    <w:jc w:val="left"/>
                  </w:pPr>
                </w:p>
              </w:tc>
              <w:tc>
                <w:tcPr>
                  <w:tcW w:w="749" w:type="pct"/>
                  <w:tcBorders>
                    <w:top w:val="single" w:sz="6" w:space="0" w:color="BFBFBF"/>
                    <w:bottom w:val="single" w:sz="6" w:space="0" w:color="BFBFBF"/>
                  </w:tcBorders>
                  <w:shd w:val="clear" w:color="auto" w:fill="auto"/>
                  <w:tcMar>
                    <w:top w:w="28" w:type="dxa"/>
                  </w:tcMar>
                </w:tcPr>
                <w:p w14:paraId="31B9567E" w14:textId="12EA78E4" w:rsidR="00221612" w:rsidRDefault="00221612" w:rsidP="00221612">
                  <w:pPr>
                    <w:pStyle w:val="TableBodyText"/>
                    <w:jc w:val="left"/>
                  </w:pPr>
                  <w:r>
                    <w:t>National Heavy Vehicle Accreditation Scheme (</w:t>
                  </w:r>
                  <w:proofErr w:type="spellStart"/>
                  <w:r>
                    <w:t>NHVAS</w:t>
                  </w:r>
                  <w:proofErr w:type="spellEnd"/>
                  <w:r>
                    <w:t>)</w:t>
                  </w:r>
                </w:p>
              </w:tc>
              <w:tc>
                <w:tcPr>
                  <w:tcW w:w="3586" w:type="pct"/>
                  <w:tcBorders>
                    <w:top w:val="single" w:sz="6" w:space="0" w:color="BFBFBF"/>
                    <w:bottom w:val="single" w:sz="6" w:space="0" w:color="BFBFBF"/>
                  </w:tcBorders>
                  <w:shd w:val="clear" w:color="auto" w:fill="auto"/>
                  <w:tcMar>
                    <w:top w:w="28" w:type="dxa"/>
                  </w:tcMar>
                </w:tcPr>
                <w:p w14:paraId="2E37ECCD" w14:textId="5A3A8EC4" w:rsidR="00221612" w:rsidRDefault="00221612" w:rsidP="00221612">
                  <w:pPr>
                    <w:pStyle w:val="TableBodyText"/>
                    <w:jc w:val="left"/>
                  </w:pPr>
                  <w:r>
                    <w:t xml:space="preserve">The </w:t>
                  </w:r>
                  <w:proofErr w:type="spellStart"/>
                  <w:r>
                    <w:t>NHVR</w:t>
                  </w:r>
                  <w:proofErr w:type="spellEnd"/>
                  <w:r>
                    <w:t xml:space="preserve"> provided data on the number of operators participating in each </w:t>
                  </w:r>
                  <w:proofErr w:type="spellStart"/>
                  <w:r>
                    <w:t>NHVAS</w:t>
                  </w:r>
                  <w:proofErr w:type="spellEnd"/>
                  <w:r>
                    <w:t xml:space="preserve"> module (including the mass management module, which is a requirement for CML and </w:t>
                  </w:r>
                  <w:proofErr w:type="spellStart"/>
                  <w:r>
                    <w:t>HML</w:t>
                  </w:r>
                  <w:proofErr w:type="spellEnd"/>
                  <w:r>
                    <w:t>), by state, from 2015</w:t>
                  </w:r>
                  <w:r w:rsidR="00DE65A3">
                    <w:noBreakHyphen/>
                  </w:r>
                  <w:r>
                    <w:t>16 to 2018</w:t>
                  </w:r>
                  <w:r w:rsidR="00DE65A3">
                    <w:noBreakHyphen/>
                  </w:r>
                  <w:r>
                    <w:t xml:space="preserve">19. These data are consistent with data in the </w:t>
                  </w:r>
                  <w:proofErr w:type="spellStart"/>
                  <w:r>
                    <w:t>NHVR’s</w:t>
                  </w:r>
                  <w:proofErr w:type="spellEnd"/>
                  <w:r>
                    <w:t xml:space="preserve"> published annual reports.</w:t>
                  </w:r>
                </w:p>
              </w:tc>
            </w:tr>
            <w:tr w:rsidR="00221612" w14:paraId="6BE4A659" w14:textId="77777777" w:rsidTr="00520E0B">
              <w:trPr>
                <w:tblHeader/>
              </w:trPr>
              <w:tc>
                <w:tcPr>
                  <w:tcW w:w="665" w:type="pct"/>
                  <w:vMerge/>
                  <w:tcBorders>
                    <w:bottom w:val="single" w:sz="6" w:space="0" w:color="BFBFBF"/>
                  </w:tcBorders>
                </w:tcPr>
                <w:p w14:paraId="172AB6D8" w14:textId="77777777" w:rsidR="00221612" w:rsidRDefault="00221612" w:rsidP="00221612">
                  <w:pPr>
                    <w:pStyle w:val="TableBodyText"/>
                    <w:jc w:val="left"/>
                  </w:pPr>
                </w:p>
              </w:tc>
              <w:tc>
                <w:tcPr>
                  <w:tcW w:w="749" w:type="pct"/>
                  <w:tcBorders>
                    <w:top w:val="single" w:sz="6" w:space="0" w:color="BFBFBF"/>
                    <w:bottom w:val="single" w:sz="6" w:space="0" w:color="BFBFBF"/>
                  </w:tcBorders>
                  <w:shd w:val="clear" w:color="auto" w:fill="auto"/>
                  <w:tcMar>
                    <w:top w:w="28" w:type="dxa"/>
                  </w:tcMar>
                </w:tcPr>
                <w:p w14:paraId="5CB530FE" w14:textId="3E67B55F" w:rsidR="00221612" w:rsidRDefault="00221612" w:rsidP="00221612">
                  <w:pPr>
                    <w:pStyle w:val="TableBodyText"/>
                    <w:jc w:val="left"/>
                  </w:pPr>
                  <w:r>
                    <w:t>Registration data</w:t>
                  </w:r>
                </w:p>
              </w:tc>
              <w:tc>
                <w:tcPr>
                  <w:tcW w:w="3586" w:type="pct"/>
                  <w:tcBorders>
                    <w:top w:val="single" w:sz="6" w:space="0" w:color="BFBFBF"/>
                    <w:bottom w:val="single" w:sz="6" w:space="0" w:color="BFBFBF"/>
                  </w:tcBorders>
                  <w:shd w:val="clear" w:color="auto" w:fill="auto"/>
                  <w:tcMar>
                    <w:top w:w="28" w:type="dxa"/>
                  </w:tcMar>
                </w:tcPr>
                <w:p w14:paraId="2E2566C7" w14:textId="2BB12BDC" w:rsidR="00221612" w:rsidRDefault="00221612" w:rsidP="00221612">
                  <w:pPr>
                    <w:pStyle w:val="TableBodyText"/>
                    <w:jc w:val="left"/>
                  </w:pPr>
                  <w:r>
                    <w:t xml:space="preserve">The </w:t>
                  </w:r>
                  <w:proofErr w:type="spellStart"/>
                  <w:r>
                    <w:t>NHVR</w:t>
                  </w:r>
                  <w:proofErr w:type="spellEnd"/>
                  <w:r>
                    <w:t xml:space="preserve"> provided registration data for 2018 and 2019. However, these data are limited because prime movers and trailers are registered separately, making it difficult to determine the composition of the fleet according to vehicle combinations (such as B</w:t>
                  </w:r>
                  <w:r w:rsidR="00DE65A3">
                    <w:noBreakHyphen/>
                  </w:r>
                  <w:r>
                    <w:t xml:space="preserve">doubles). </w:t>
                  </w:r>
                </w:p>
              </w:tc>
            </w:tr>
            <w:tr w:rsidR="00221612" w14:paraId="48E2ACD2" w14:textId="77777777" w:rsidTr="0071609C">
              <w:trPr>
                <w:tblHeader/>
              </w:trPr>
              <w:tc>
                <w:tcPr>
                  <w:tcW w:w="665" w:type="pct"/>
                  <w:tcBorders>
                    <w:top w:val="single" w:sz="6" w:space="0" w:color="BFBFBF"/>
                    <w:bottom w:val="single" w:sz="4" w:space="0" w:color="BFBFBF"/>
                  </w:tcBorders>
                </w:tcPr>
                <w:p w14:paraId="3DCE9E2A" w14:textId="42658F31" w:rsidR="00221612" w:rsidRDefault="00221612" w:rsidP="00D471F1">
                  <w:pPr>
                    <w:pStyle w:val="TableUnitsRow"/>
                    <w:jc w:val="left"/>
                  </w:pPr>
                  <w:r>
                    <w:t>Transport Certification Australia (TCA) — unpublished data</w:t>
                  </w:r>
                </w:p>
              </w:tc>
              <w:tc>
                <w:tcPr>
                  <w:tcW w:w="749" w:type="pct"/>
                  <w:tcBorders>
                    <w:top w:val="single" w:sz="6" w:space="0" w:color="BFBFBF"/>
                    <w:bottom w:val="single" w:sz="6" w:space="0" w:color="BFBFBF"/>
                  </w:tcBorders>
                  <w:shd w:val="clear" w:color="auto" w:fill="auto"/>
                  <w:tcMar>
                    <w:top w:w="28" w:type="dxa"/>
                  </w:tcMar>
                </w:tcPr>
                <w:p w14:paraId="3A969896" w14:textId="77777777" w:rsidR="00221612" w:rsidRDefault="00221612" w:rsidP="00221612">
                  <w:pPr>
                    <w:pStyle w:val="TableBodyText"/>
                    <w:jc w:val="left"/>
                  </w:pPr>
                  <w:r>
                    <w:t>Intelligent Access Program (</w:t>
                  </w:r>
                  <w:proofErr w:type="spellStart"/>
                  <w:r>
                    <w:t>IAP</w:t>
                  </w:r>
                  <w:proofErr w:type="spellEnd"/>
                  <w:r>
                    <w:t>) data</w:t>
                  </w:r>
                </w:p>
              </w:tc>
              <w:tc>
                <w:tcPr>
                  <w:tcW w:w="3586" w:type="pct"/>
                  <w:tcBorders>
                    <w:top w:val="single" w:sz="6" w:space="0" w:color="BFBFBF"/>
                    <w:bottom w:val="single" w:sz="6" w:space="0" w:color="BFBFBF"/>
                  </w:tcBorders>
                  <w:shd w:val="clear" w:color="auto" w:fill="auto"/>
                  <w:tcMar>
                    <w:top w:w="28" w:type="dxa"/>
                  </w:tcMar>
                </w:tcPr>
                <w:p w14:paraId="3E68787A" w14:textId="5C1491AB" w:rsidR="00221612" w:rsidRPr="00412DC0" w:rsidRDefault="00221612" w:rsidP="00221612">
                  <w:pPr>
                    <w:pStyle w:val="TableBodyText"/>
                    <w:jc w:val="left"/>
                  </w:pPr>
                  <w:r>
                    <w:t>The TCA provided aggregated and de</w:t>
                  </w:r>
                  <w:r w:rsidR="00DE65A3">
                    <w:noBreakHyphen/>
                  </w:r>
                  <w:r>
                    <w:t xml:space="preserve">identified data </w:t>
                  </w:r>
                  <w:r w:rsidRPr="00876DF8">
                    <w:t>draw</w:t>
                  </w:r>
                  <w:r>
                    <w:t>n from</w:t>
                  </w:r>
                  <w:r w:rsidRPr="00876DF8">
                    <w:t xml:space="preserve"> vehicle movements under the </w:t>
                  </w:r>
                  <w:proofErr w:type="spellStart"/>
                  <w:r>
                    <w:t>IAP</w:t>
                  </w:r>
                  <w:proofErr w:type="spellEnd"/>
                  <w:r>
                    <w:t xml:space="preserve"> in 2018</w:t>
                  </w:r>
                  <w:r w:rsidR="00DE65A3">
                    <w:noBreakHyphen/>
                  </w:r>
                  <w:r>
                    <w:t>19</w:t>
                  </w:r>
                  <w:r w:rsidRPr="00876DF8">
                    <w:t xml:space="preserve">. </w:t>
                  </w:r>
                  <w:r>
                    <w:t xml:space="preserve">One dataset contained information on vehicle movements by road segment and vehicle type, and another contained information on journeys by vehicle type for different origins and destinations. The </w:t>
                  </w:r>
                  <w:proofErr w:type="spellStart"/>
                  <w:r>
                    <w:t>IAP</w:t>
                  </w:r>
                  <w:proofErr w:type="spellEnd"/>
                  <w:r>
                    <w:t xml:space="preserve"> is a requirement in only some states for vehicles operating at </w:t>
                  </w:r>
                  <w:proofErr w:type="spellStart"/>
                  <w:r>
                    <w:t>HML</w:t>
                  </w:r>
                  <w:proofErr w:type="spellEnd"/>
                  <w:r>
                    <w:t xml:space="preserve"> or PBS vehicles, and may be imposed as a condition of a permit. </w:t>
                  </w:r>
                  <w:r w:rsidRPr="00876DF8">
                    <w:t>Th</w:t>
                  </w:r>
                  <w:r>
                    <w:t>is means</w:t>
                  </w:r>
                  <w:r w:rsidRPr="00876DF8">
                    <w:t xml:space="preserve"> vehicles </w:t>
                  </w:r>
                  <w:r>
                    <w:t xml:space="preserve">in these datasets </w:t>
                  </w:r>
                  <w:r w:rsidRPr="00876DF8">
                    <w:t xml:space="preserve">are a subset of all heavy vehicles </w:t>
                  </w:r>
                  <w:r>
                    <w:t>so</w:t>
                  </w:r>
                  <w:r w:rsidRPr="00876DF8">
                    <w:t xml:space="preserve"> the data may not be fully representative.</w:t>
                  </w:r>
                </w:p>
              </w:tc>
            </w:tr>
          </w:tbl>
          <w:p w14:paraId="3B0CDF96" w14:textId="77777777" w:rsidR="00E16370" w:rsidRDefault="00E16370" w:rsidP="00520E0B">
            <w:pPr>
              <w:pStyle w:val="Box"/>
            </w:pPr>
          </w:p>
        </w:tc>
      </w:tr>
      <w:tr w:rsidR="00E16370" w14:paraId="4F34F0E6" w14:textId="77777777" w:rsidTr="00520E0B">
        <w:tc>
          <w:tcPr>
            <w:tcW w:w="5000" w:type="pct"/>
            <w:tcBorders>
              <w:top w:val="nil"/>
              <w:left w:val="nil"/>
              <w:bottom w:val="single" w:sz="6" w:space="0" w:color="78A22F"/>
              <w:right w:val="nil"/>
            </w:tcBorders>
            <w:shd w:val="clear" w:color="auto" w:fill="auto"/>
          </w:tcPr>
          <w:p w14:paraId="3577C7B3" w14:textId="42AA9CB8" w:rsidR="00E16370" w:rsidRDefault="00E16370" w:rsidP="00520E0B">
            <w:pPr>
              <w:pStyle w:val="Box"/>
              <w:spacing w:before="0" w:line="120" w:lineRule="exact"/>
            </w:pPr>
          </w:p>
        </w:tc>
      </w:tr>
      <w:tr w:rsidR="00E16370" w:rsidRPr="000863A5" w14:paraId="56779859" w14:textId="77777777" w:rsidTr="00520E0B">
        <w:tc>
          <w:tcPr>
            <w:tcW w:w="5000" w:type="pct"/>
            <w:tcBorders>
              <w:top w:val="single" w:sz="6" w:space="0" w:color="78A22F"/>
              <w:left w:val="nil"/>
              <w:bottom w:val="nil"/>
              <w:right w:val="nil"/>
            </w:tcBorders>
          </w:tcPr>
          <w:p w14:paraId="3D0A7D59" w14:textId="77FB70C6" w:rsidR="00E16370" w:rsidRPr="00626D32" w:rsidRDefault="00E16370" w:rsidP="00520E0B">
            <w:pPr>
              <w:pStyle w:val="BoxSpaceBelow"/>
            </w:pPr>
          </w:p>
        </w:tc>
      </w:tr>
    </w:tbl>
    <w:p w14:paraId="1050F663" w14:textId="765684B4" w:rsidR="00514DBD" w:rsidRDefault="00B13123" w:rsidP="008046AA">
      <w:pPr>
        <w:pStyle w:val="Heading2"/>
      </w:pPr>
      <w:proofErr w:type="spellStart"/>
      <w:r>
        <w:t>B.</w:t>
      </w:r>
      <w:r w:rsidR="0050117B">
        <w:rPr>
          <w:noProof/>
        </w:rPr>
        <w:t>4</w:t>
      </w:r>
      <w:proofErr w:type="spellEnd"/>
      <w:r w:rsidR="008046AA">
        <w:tab/>
        <w:t>Further analysis</w:t>
      </w:r>
      <w:r w:rsidR="00CC3F69">
        <w:t xml:space="preserve"> for the final report</w:t>
      </w:r>
    </w:p>
    <w:p w14:paraId="1AFCDC44" w14:textId="33A02766" w:rsidR="008722DD" w:rsidRDefault="002F5B90" w:rsidP="00D14A1C">
      <w:pPr>
        <w:pStyle w:val="BodyText"/>
      </w:pPr>
      <w:r>
        <w:t>T</w:t>
      </w:r>
      <w:r w:rsidR="00140E78">
        <w:t xml:space="preserve">he analysis </w:t>
      </w:r>
      <w:r w:rsidR="0072014A">
        <w:t xml:space="preserve">in the </w:t>
      </w:r>
      <w:r w:rsidR="00140E78">
        <w:t>draft report</w:t>
      </w:r>
      <w:r>
        <w:t xml:space="preserve"> is a work in progress</w:t>
      </w:r>
      <w:r w:rsidR="00140E78">
        <w:t xml:space="preserve"> and </w:t>
      </w:r>
      <w:r>
        <w:t xml:space="preserve">has been restricted by </w:t>
      </w:r>
      <w:r w:rsidR="00140E78">
        <w:t xml:space="preserve">limited data </w:t>
      </w:r>
      <w:r>
        <w:t>as well as time constraints.</w:t>
      </w:r>
      <w:r w:rsidR="00140E78">
        <w:t xml:space="preserve"> </w:t>
      </w:r>
      <w:r w:rsidR="00251E5E">
        <w:t>The</w:t>
      </w:r>
      <w:r w:rsidR="00DE65A3">
        <w:t xml:space="preserve"> </w:t>
      </w:r>
      <w:r w:rsidR="00140E78">
        <w:t xml:space="preserve">final report will include further work, incorporating additional analysis of </w:t>
      </w:r>
      <w:r>
        <w:t>the</w:t>
      </w:r>
      <w:r w:rsidR="00140E78">
        <w:t xml:space="preserve"> data</w:t>
      </w:r>
      <w:r>
        <w:t xml:space="preserve"> it has received to date</w:t>
      </w:r>
      <w:r w:rsidR="00140E78">
        <w:t>, new data</w:t>
      </w:r>
      <w:r>
        <w:t xml:space="preserve"> and information</w:t>
      </w:r>
      <w:r w:rsidR="00140E78">
        <w:t xml:space="preserve">, as well as stakeholder </w:t>
      </w:r>
      <w:r w:rsidR="00232A66">
        <w:t xml:space="preserve">feedback and </w:t>
      </w:r>
      <w:r w:rsidR="00140E78">
        <w:t xml:space="preserve">comments </w:t>
      </w:r>
      <w:r w:rsidR="00232A66">
        <w:t>on its analysis and conclusions.</w:t>
      </w:r>
      <w:r w:rsidR="0036453A">
        <w:t xml:space="preserve"> </w:t>
      </w:r>
      <w:r>
        <w:t>In the area of heavy vehicle productivity, a</w:t>
      </w:r>
      <w:r w:rsidR="00140E78">
        <w:t xml:space="preserve">reas of focus </w:t>
      </w:r>
      <w:r>
        <w:t xml:space="preserve">for further analysis will include changes in </w:t>
      </w:r>
      <w:r w:rsidR="000E00BC">
        <w:t xml:space="preserve">heavy vehicle </w:t>
      </w:r>
      <w:r>
        <w:t xml:space="preserve">access and usage over time. In the area of </w:t>
      </w:r>
      <w:r w:rsidR="0042463B">
        <w:t xml:space="preserve">transport </w:t>
      </w:r>
      <w:r>
        <w:t xml:space="preserve">safety, additional data sources will be incorporated as they become available. </w:t>
      </w:r>
      <w:r w:rsidR="00232A66">
        <w:t>The Commission will continue to engage with data providers going forward</w:t>
      </w:r>
      <w:r w:rsidR="0036453A">
        <w:t xml:space="preserve"> for the final report</w:t>
      </w:r>
      <w:r w:rsidR="00232A66">
        <w:t xml:space="preserve">. </w:t>
      </w:r>
    </w:p>
    <w:p w14:paraId="563DC99C" w14:textId="77777777" w:rsidR="008722DD" w:rsidRDefault="008722DD">
      <w:pPr>
        <w:rPr>
          <w:szCs w:val="20"/>
        </w:rPr>
      </w:pPr>
      <w:r>
        <w:br w:type="page"/>
      </w:r>
    </w:p>
    <w:p w14:paraId="4F27E823" w14:textId="352D94A9" w:rsidR="00514DBD" w:rsidRDefault="008722DD" w:rsidP="005E7337">
      <w:pPr>
        <w:pStyle w:val="Heading1"/>
      </w:pPr>
      <w:r>
        <w:lastRenderedPageBreak/>
        <w:t>References</w:t>
      </w:r>
    </w:p>
    <w:p w14:paraId="42D0F54F" w14:textId="7BB175F4" w:rsidR="001D3664" w:rsidRPr="001D3664" w:rsidRDefault="001D3664" w:rsidP="001D3664">
      <w:pPr>
        <w:pStyle w:val="Reference"/>
      </w:pPr>
      <w:r w:rsidRPr="001D3664">
        <w:t xml:space="preserve">ABS (Australian Bureau of Statistics) 2015, </w:t>
      </w:r>
      <w:r w:rsidRPr="001D3664">
        <w:rPr>
          <w:i/>
          <w:iCs/>
        </w:rPr>
        <w:t>Road Freight Movements, Australia, 12 months ended 31 October 2014</w:t>
      </w:r>
      <w:r w:rsidRPr="001D3664">
        <w:t>, Cat. no. 9223.0, Canberra.</w:t>
      </w:r>
    </w:p>
    <w:p w14:paraId="655FB85B" w14:textId="476FF2BA" w:rsidR="001D3664" w:rsidRPr="001D3664" w:rsidRDefault="001D3664" w:rsidP="001D3664">
      <w:pPr>
        <w:pStyle w:val="Reference"/>
      </w:pPr>
      <w:r>
        <w:t>—— </w:t>
      </w:r>
      <w:r w:rsidRPr="001D3664">
        <w:t xml:space="preserve">2018, </w:t>
      </w:r>
      <w:r w:rsidRPr="001D3664">
        <w:rPr>
          <w:i/>
          <w:iCs/>
        </w:rPr>
        <w:t>Motor Vehicle Census, Australia, 31 Jan 2018</w:t>
      </w:r>
      <w:r w:rsidRPr="001D3664">
        <w:t>, Cat. no. 9309.0, Canberra.</w:t>
      </w:r>
    </w:p>
    <w:p w14:paraId="2430610A" w14:textId="5C36730E" w:rsidR="001D3664" w:rsidRPr="001D3664" w:rsidRDefault="001D3664" w:rsidP="001D3664">
      <w:pPr>
        <w:pStyle w:val="Reference"/>
      </w:pPr>
      <w:r w:rsidRPr="001D3664">
        <w:t>—</w:t>
      </w:r>
      <w:r>
        <w:t>— </w:t>
      </w:r>
      <w:proofErr w:type="spellStart"/>
      <w:r w:rsidRPr="001D3664">
        <w:t>2019a</w:t>
      </w:r>
      <w:proofErr w:type="spellEnd"/>
      <w:r w:rsidRPr="001D3664">
        <w:t xml:space="preserve">, </w:t>
      </w:r>
      <w:r w:rsidRPr="001D3664">
        <w:rPr>
          <w:i/>
          <w:iCs/>
        </w:rPr>
        <w:t>Causes of Death, Australia, 2018</w:t>
      </w:r>
      <w:r w:rsidRPr="001D3664">
        <w:t>, Cat. no. 3303.0, Canberra.</w:t>
      </w:r>
    </w:p>
    <w:p w14:paraId="6F077846" w14:textId="7BDAFE95" w:rsidR="001D3664" w:rsidRPr="001D3664" w:rsidRDefault="001D3664" w:rsidP="001D3664">
      <w:pPr>
        <w:pStyle w:val="Reference"/>
      </w:pPr>
      <w:r>
        <w:t>—— </w:t>
      </w:r>
      <w:proofErr w:type="spellStart"/>
      <w:r w:rsidRPr="001D3664">
        <w:t>2019b</w:t>
      </w:r>
      <w:proofErr w:type="spellEnd"/>
      <w:r w:rsidRPr="001D3664">
        <w:t xml:space="preserve">, </w:t>
      </w:r>
      <w:r w:rsidRPr="001D3664">
        <w:rPr>
          <w:i/>
          <w:iCs/>
        </w:rPr>
        <w:t>Survey of Motor Vehicle Use, Australia, 12 months ended 30 June 2018</w:t>
      </w:r>
      <w:r w:rsidRPr="001D3664">
        <w:t>, Cat. no. 9208.0, Canberra.</w:t>
      </w:r>
    </w:p>
    <w:p w14:paraId="0C9E05C0" w14:textId="77777777" w:rsidR="001D3664" w:rsidRPr="001D3664" w:rsidRDefault="001D3664" w:rsidP="001D3664">
      <w:pPr>
        <w:pStyle w:val="Reference"/>
      </w:pPr>
      <w:r w:rsidRPr="001D3664">
        <w:t xml:space="preserve">Anderson, M., Hansen, B. and Rees, D. 2013, ‘Medical Marijuana Laws, Traffic Fatalities, and Alcohol Consumption’, </w:t>
      </w:r>
      <w:r w:rsidRPr="001D3664">
        <w:rPr>
          <w:i/>
          <w:iCs/>
        </w:rPr>
        <w:t>The Journal of Law and Economics</w:t>
      </w:r>
      <w:r w:rsidRPr="001D3664">
        <w:t>, vol. 56, no. 2, pp. 333–369.</w:t>
      </w:r>
    </w:p>
    <w:p w14:paraId="254F5504" w14:textId="77777777" w:rsidR="001D3664" w:rsidRPr="001D3664" w:rsidRDefault="001D3664" w:rsidP="001D3664">
      <w:pPr>
        <w:pStyle w:val="Reference"/>
      </w:pPr>
      <w:r w:rsidRPr="001D3664">
        <w:t xml:space="preserve">Angrist, J. and </w:t>
      </w:r>
      <w:proofErr w:type="spellStart"/>
      <w:r w:rsidRPr="001D3664">
        <w:t>Pischke</w:t>
      </w:r>
      <w:proofErr w:type="spellEnd"/>
      <w:r w:rsidRPr="001D3664">
        <w:t xml:space="preserve">, J.-S. 2009, </w:t>
      </w:r>
      <w:r w:rsidRPr="001D3664">
        <w:rPr>
          <w:i/>
          <w:iCs/>
        </w:rPr>
        <w:t>Mostly Harmless Econometrics: An Empiricist’s Companion</w:t>
      </w:r>
      <w:r w:rsidRPr="001D3664">
        <w:t>.</w:t>
      </w:r>
    </w:p>
    <w:p w14:paraId="6F7D521E" w14:textId="77777777" w:rsidR="001D3664" w:rsidRPr="001D3664" w:rsidRDefault="001D3664" w:rsidP="001D3664">
      <w:pPr>
        <w:pStyle w:val="Reference"/>
      </w:pPr>
      <w:proofErr w:type="spellStart"/>
      <w:r w:rsidRPr="001D3664">
        <w:t>ATAPGSC</w:t>
      </w:r>
      <w:proofErr w:type="spellEnd"/>
      <w:r w:rsidRPr="001D3664">
        <w:t xml:space="preserve"> (Australian Transport Assessment and Planning Guidelines Steering Committee) 2016, </w:t>
      </w:r>
      <w:r w:rsidRPr="001D3664">
        <w:rPr>
          <w:i/>
          <w:iCs/>
        </w:rPr>
        <w:t xml:space="preserve">Australian Transport Assessment and Planning Guidelines - </w:t>
      </w:r>
      <w:proofErr w:type="spellStart"/>
      <w:r w:rsidRPr="001D3664">
        <w:rPr>
          <w:i/>
          <w:iCs/>
        </w:rPr>
        <w:t>PV2</w:t>
      </w:r>
      <w:proofErr w:type="spellEnd"/>
      <w:r w:rsidRPr="001D3664">
        <w:rPr>
          <w:i/>
          <w:iCs/>
        </w:rPr>
        <w:t xml:space="preserve"> Road Parameter Values</w:t>
      </w:r>
      <w:r w:rsidRPr="001D3664">
        <w:t>, Transport and Infrastructure Council, Canberra.</w:t>
      </w:r>
    </w:p>
    <w:p w14:paraId="35C436AB" w14:textId="77777777" w:rsidR="001D3664" w:rsidRPr="001D3664" w:rsidRDefault="001D3664" w:rsidP="001D3664">
      <w:pPr>
        <w:pStyle w:val="Reference"/>
      </w:pPr>
      <w:proofErr w:type="spellStart"/>
      <w:r w:rsidRPr="001D3664">
        <w:t>ATAPSC</w:t>
      </w:r>
      <w:proofErr w:type="spellEnd"/>
      <w:r w:rsidRPr="001D3664">
        <w:t xml:space="preserve"> (Australian Transport Assessment and Planning Steering Committee) 2018, </w:t>
      </w:r>
      <w:r w:rsidRPr="001D3664">
        <w:rPr>
          <w:i/>
          <w:iCs/>
        </w:rPr>
        <w:t xml:space="preserve">Australian Transport Assessment and Planning Guidelines - </w:t>
      </w:r>
      <w:proofErr w:type="spellStart"/>
      <w:r w:rsidRPr="001D3664">
        <w:rPr>
          <w:i/>
          <w:iCs/>
        </w:rPr>
        <w:t>T2</w:t>
      </w:r>
      <w:proofErr w:type="spellEnd"/>
      <w:r w:rsidRPr="001D3664">
        <w:rPr>
          <w:i/>
          <w:iCs/>
        </w:rPr>
        <w:t xml:space="preserve"> Cost Benefit Analysis</w:t>
      </w:r>
      <w:r w:rsidRPr="001D3664">
        <w:t>, Transport and Infrastructure Council, Canberra.</w:t>
      </w:r>
    </w:p>
    <w:p w14:paraId="43721C02" w14:textId="77777777" w:rsidR="001D3664" w:rsidRPr="001D3664" w:rsidRDefault="001D3664" w:rsidP="001D3664">
      <w:pPr>
        <w:pStyle w:val="Reference"/>
      </w:pPr>
      <w:proofErr w:type="spellStart"/>
      <w:r w:rsidRPr="001D3664">
        <w:t>BITRE</w:t>
      </w:r>
      <w:proofErr w:type="spellEnd"/>
      <w:r w:rsidRPr="001D3664">
        <w:t xml:space="preserve"> (Bureau of Infrastructure, Transport and Regional Economics) 2011, </w:t>
      </w:r>
      <w:r w:rsidRPr="001D3664">
        <w:rPr>
          <w:i/>
          <w:iCs/>
        </w:rPr>
        <w:t>Truck Productivity: Sources, Trends and Future Prospects</w:t>
      </w:r>
      <w:r w:rsidRPr="001D3664">
        <w:t>, Research Report, 123, Canberra.</w:t>
      </w:r>
    </w:p>
    <w:p w14:paraId="0BA9430F" w14:textId="77777777" w:rsidR="001D3664" w:rsidRPr="001D3664" w:rsidRDefault="001D3664" w:rsidP="001D3664">
      <w:pPr>
        <w:pStyle w:val="Reference"/>
      </w:pPr>
      <w:r w:rsidRPr="001D3664">
        <w:t xml:space="preserve">Card, D. and Krueger, A. 1994, ‘Minimum Wages and Employment: A Case Study of the Fast-Food Industry in New Jersey and Pennsylvania’, </w:t>
      </w:r>
      <w:r w:rsidRPr="001D3664">
        <w:rPr>
          <w:i/>
          <w:iCs/>
        </w:rPr>
        <w:t>The American Economic Review</w:t>
      </w:r>
      <w:r w:rsidRPr="001D3664">
        <w:t>, vol. 84, no. 4, pp. 772–793.</w:t>
      </w:r>
    </w:p>
    <w:p w14:paraId="777E511D" w14:textId="77777777" w:rsidR="001D3664" w:rsidRPr="001D3664" w:rsidRDefault="001D3664" w:rsidP="001D3664">
      <w:pPr>
        <w:pStyle w:val="Reference"/>
      </w:pPr>
      <w:r w:rsidRPr="001D3664">
        <w:t xml:space="preserve">Chow, M., </w:t>
      </w:r>
      <w:proofErr w:type="spellStart"/>
      <w:r w:rsidRPr="001D3664">
        <w:t>Kleyer</w:t>
      </w:r>
      <w:proofErr w:type="spellEnd"/>
      <w:r w:rsidRPr="001D3664">
        <w:t xml:space="preserve">, H. and McLeod, B. 2019, </w:t>
      </w:r>
      <w:r w:rsidRPr="001D3664">
        <w:rPr>
          <w:i/>
          <w:iCs/>
        </w:rPr>
        <w:t>Economic Benefits of Heavy Vehicle Regulatory Reform</w:t>
      </w:r>
      <w:r w:rsidRPr="001D3664">
        <w:t xml:space="preserve">, A final report for the </w:t>
      </w:r>
      <w:proofErr w:type="spellStart"/>
      <w:r w:rsidRPr="001D3664">
        <w:t>NHVR</w:t>
      </w:r>
      <w:proofErr w:type="spellEnd"/>
      <w:r w:rsidRPr="001D3664">
        <w:t xml:space="preserve">, </w:t>
      </w:r>
      <w:proofErr w:type="spellStart"/>
      <w:r w:rsidRPr="001D3664">
        <w:t>HoustonKemp</w:t>
      </w:r>
      <w:proofErr w:type="spellEnd"/>
      <w:r w:rsidRPr="001D3664">
        <w:t>, Sydney.</w:t>
      </w:r>
    </w:p>
    <w:p w14:paraId="43FACE5B" w14:textId="77777777" w:rsidR="001D3664" w:rsidRPr="001D3664" w:rsidRDefault="001D3664" w:rsidP="001D3664">
      <w:pPr>
        <w:pStyle w:val="Reference"/>
      </w:pPr>
      <w:r w:rsidRPr="001D3664">
        <w:t xml:space="preserve">CIE (Centre for International Economics) 2011, </w:t>
      </w:r>
      <w:r w:rsidRPr="001D3664">
        <w:rPr>
          <w:i/>
          <w:iCs/>
        </w:rPr>
        <w:t>Benefit-Cost Analysis: National Heavy Vehicle Regulator (</w:t>
      </w:r>
      <w:proofErr w:type="spellStart"/>
      <w:r w:rsidRPr="001D3664">
        <w:rPr>
          <w:i/>
          <w:iCs/>
        </w:rPr>
        <w:t>NHVR</w:t>
      </w:r>
      <w:proofErr w:type="spellEnd"/>
      <w:r w:rsidRPr="001D3664">
        <w:rPr>
          <w:i/>
          <w:iCs/>
        </w:rPr>
        <w:t>) Model Law</w:t>
      </w:r>
      <w:r w:rsidRPr="001D3664">
        <w:t>, Prepared for National Transport Commission, Canberra &amp; Sydney.</w:t>
      </w:r>
    </w:p>
    <w:p w14:paraId="07CB469D" w14:textId="47310BEE" w:rsidR="001D3664" w:rsidRPr="001D3664" w:rsidRDefault="001D3664" w:rsidP="001D3664">
      <w:pPr>
        <w:pStyle w:val="Reference"/>
      </w:pPr>
      <w:r w:rsidRPr="001D3664">
        <w:t xml:space="preserve">Deloitte Access Economics 2019, </w:t>
      </w:r>
      <w:r w:rsidRPr="001D3664">
        <w:rPr>
          <w:i/>
          <w:iCs/>
        </w:rPr>
        <w:t>Economic Benefits of Improved Regulation in the Australian Trucking Industry</w:t>
      </w:r>
      <w:r>
        <w:t>.</w:t>
      </w:r>
    </w:p>
    <w:p w14:paraId="1C60A870" w14:textId="77777777" w:rsidR="001D3664" w:rsidRPr="001D3664" w:rsidRDefault="001D3664" w:rsidP="001D3664">
      <w:pPr>
        <w:pStyle w:val="Reference"/>
      </w:pPr>
      <w:proofErr w:type="spellStart"/>
      <w:r w:rsidRPr="001D3664">
        <w:t>DITCRD</w:t>
      </w:r>
      <w:proofErr w:type="spellEnd"/>
      <w:r w:rsidRPr="001D3664">
        <w:t xml:space="preserve"> (Department of Infrastructure, Transport, Cities and Regional Development) 2019, </w:t>
      </w:r>
      <w:r w:rsidRPr="001D3664">
        <w:rPr>
          <w:i/>
          <w:iCs/>
        </w:rPr>
        <w:t>National Key Freight Routes Map</w:t>
      </w:r>
      <w:r w:rsidRPr="001D3664">
        <w:t>, http://</w:t>
      </w:r>
      <w:proofErr w:type="spellStart"/>
      <w:r w:rsidRPr="001D3664">
        <w:t>maps.infrastructure.gov.au</w:t>
      </w:r>
      <w:proofErr w:type="spellEnd"/>
      <w:r w:rsidRPr="001D3664">
        <w:t>/</w:t>
      </w:r>
      <w:proofErr w:type="spellStart"/>
      <w:r w:rsidRPr="001D3664">
        <w:t>KeyFreightRoute</w:t>
      </w:r>
      <w:proofErr w:type="spellEnd"/>
      <w:r w:rsidRPr="001D3664">
        <w:t>/ (accessed 15 October 2019).</w:t>
      </w:r>
    </w:p>
    <w:p w14:paraId="432A9B64" w14:textId="77777777" w:rsidR="001D3664" w:rsidRPr="001D3664" w:rsidRDefault="001D3664" w:rsidP="001D3664">
      <w:pPr>
        <w:pStyle w:val="Reference"/>
      </w:pPr>
      <w:proofErr w:type="spellStart"/>
      <w:r w:rsidRPr="001D3664">
        <w:lastRenderedPageBreak/>
        <w:t>Gretton</w:t>
      </w:r>
      <w:proofErr w:type="spellEnd"/>
      <w:r w:rsidRPr="001D3664">
        <w:t xml:space="preserve">, P. 2013, </w:t>
      </w:r>
      <w:r w:rsidRPr="001D3664">
        <w:rPr>
          <w:i/>
          <w:iCs/>
        </w:rPr>
        <w:t>On input-output tables: uses and abuses</w:t>
      </w:r>
      <w:r w:rsidRPr="001D3664">
        <w:t>, Productivity Commission Staff Research Note.</w:t>
      </w:r>
    </w:p>
    <w:p w14:paraId="549828D6" w14:textId="77777777" w:rsidR="001D3664" w:rsidRPr="001D3664" w:rsidRDefault="001D3664" w:rsidP="001D3664">
      <w:pPr>
        <w:pStyle w:val="Reference"/>
      </w:pPr>
      <w:r w:rsidRPr="001D3664">
        <w:t xml:space="preserve">Hassall, K. 2014, </w:t>
      </w:r>
      <w:r w:rsidRPr="001D3664">
        <w:rPr>
          <w:i/>
          <w:iCs/>
        </w:rPr>
        <w:t>Quantifying the Benefits of High Productivity Vehicles</w:t>
      </w:r>
      <w:r w:rsidRPr="001D3664">
        <w:t xml:space="preserve">, </w:t>
      </w:r>
      <w:proofErr w:type="spellStart"/>
      <w:r w:rsidRPr="001D3664">
        <w:t>Austroads</w:t>
      </w:r>
      <w:proofErr w:type="spellEnd"/>
      <w:r w:rsidRPr="001D3664">
        <w:t>.</w:t>
      </w:r>
    </w:p>
    <w:p w14:paraId="6C638DF4" w14:textId="182043CF" w:rsidR="001D3664" w:rsidRPr="001D3664" w:rsidRDefault="001D3664" w:rsidP="001D3664">
      <w:pPr>
        <w:pStyle w:val="Reference"/>
      </w:pPr>
      <w:r w:rsidRPr="001D3664">
        <w:t>Main Roads Western Australia 2015, ‘Heavy Vehicle Road Transport Compliance’, https://www.mainroads.wa.gov.au/Documents/Website%20Version%20-%20Road%20</w:t>
      </w:r>
      <w:r>
        <w:br/>
      </w:r>
      <w:r w:rsidRPr="001D3664">
        <w:t>Transport%20Compliance%20-%20Industry%20Informaiton%20Session%20-%20</w:t>
      </w:r>
      <w:r>
        <w:br/>
      </w:r>
      <w:proofErr w:type="spellStart"/>
      <w:r w:rsidRPr="001D3664">
        <w:t>March%202015.RCN-D15%5E23160773.PDF</w:t>
      </w:r>
      <w:proofErr w:type="spellEnd"/>
      <w:r w:rsidRPr="001D3664">
        <w:t xml:space="preserve"> (accessed 28 September 2019).</w:t>
      </w:r>
    </w:p>
    <w:p w14:paraId="4249BF47" w14:textId="77777777" w:rsidR="001D3664" w:rsidRPr="001D3664" w:rsidRDefault="001D3664" w:rsidP="001D3664">
      <w:pPr>
        <w:pStyle w:val="Reference"/>
      </w:pPr>
      <w:proofErr w:type="spellStart"/>
      <w:r w:rsidRPr="001D3664">
        <w:t>NHVR</w:t>
      </w:r>
      <w:proofErr w:type="spellEnd"/>
      <w:r w:rsidRPr="001D3664">
        <w:t xml:space="preserve"> (National Heavy Vehicle Regulator) 2018, </w:t>
      </w:r>
      <w:r w:rsidRPr="001D3664">
        <w:rPr>
          <w:i/>
          <w:iCs/>
        </w:rPr>
        <w:t>Common Heavy Freight Vehicle Configurations</w:t>
      </w:r>
      <w:r w:rsidRPr="001D3664">
        <w:t>, Chart.</w:t>
      </w:r>
    </w:p>
    <w:p w14:paraId="223BE787" w14:textId="77777777" w:rsidR="001D3664" w:rsidRPr="001D3664" w:rsidRDefault="001D3664" w:rsidP="001D3664">
      <w:pPr>
        <w:pStyle w:val="Reference"/>
      </w:pPr>
      <w:proofErr w:type="spellStart"/>
      <w:r w:rsidRPr="001D3664">
        <w:t>NTC</w:t>
      </w:r>
      <w:proofErr w:type="spellEnd"/>
      <w:r w:rsidRPr="001D3664">
        <w:t xml:space="preserve"> (National Transport Commission) 2011, </w:t>
      </w:r>
      <w:r w:rsidRPr="001D3664">
        <w:rPr>
          <w:i/>
          <w:iCs/>
        </w:rPr>
        <w:t>Heavy Vehicle National Law — Regulation Impact Statement</w:t>
      </w:r>
      <w:r w:rsidRPr="001D3664">
        <w:t>, September.</w:t>
      </w:r>
    </w:p>
    <w:p w14:paraId="6F2DEC9F" w14:textId="73847823" w:rsidR="001D3664" w:rsidRPr="001D3664" w:rsidRDefault="001D3664" w:rsidP="001D3664">
      <w:pPr>
        <w:pStyle w:val="Reference"/>
      </w:pPr>
      <w:proofErr w:type="spellStart"/>
      <w:r w:rsidRPr="001D3664">
        <w:t>ONRSR</w:t>
      </w:r>
      <w:proofErr w:type="spellEnd"/>
      <w:r w:rsidRPr="001D3664">
        <w:t xml:space="preserve"> (Office of the National Rail Safety Regulator) 2018, </w:t>
      </w:r>
      <w:r w:rsidRPr="001D3664">
        <w:rPr>
          <w:i/>
          <w:iCs/>
        </w:rPr>
        <w:t>Rail Safety Report 2017</w:t>
      </w:r>
      <w:r w:rsidR="002A6601">
        <w:rPr>
          <w:i/>
          <w:iCs/>
        </w:rPr>
        <w:t>–</w:t>
      </w:r>
      <w:r w:rsidRPr="001D3664">
        <w:rPr>
          <w:i/>
          <w:iCs/>
        </w:rPr>
        <w:t>2018</w:t>
      </w:r>
      <w:r w:rsidRPr="001D3664">
        <w:t>.</w:t>
      </w:r>
    </w:p>
    <w:p w14:paraId="4FDB9402" w14:textId="77777777" w:rsidR="001D3664" w:rsidRPr="001D3664" w:rsidRDefault="001D3664" w:rsidP="001D3664">
      <w:pPr>
        <w:pStyle w:val="Reference"/>
      </w:pPr>
      <w:r w:rsidRPr="001D3664">
        <w:t xml:space="preserve">QLD </w:t>
      </w:r>
      <w:proofErr w:type="spellStart"/>
      <w:r w:rsidRPr="001D3664">
        <w:t>TMR</w:t>
      </w:r>
      <w:proofErr w:type="spellEnd"/>
      <w:r w:rsidRPr="001D3664">
        <w:t xml:space="preserve"> (Queensland Department of Transport and Main Roads) 2011, </w:t>
      </w:r>
      <w:r w:rsidRPr="001D3664">
        <w:rPr>
          <w:i/>
          <w:iCs/>
        </w:rPr>
        <w:t>Cost-benefit Analysis Manual - Road Projects</w:t>
      </w:r>
      <w:r w:rsidRPr="001D3664">
        <w:t>, Queensland Government.</w:t>
      </w:r>
    </w:p>
    <w:p w14:paraId="35CA017F" w14:textId="77777777" w:rsidR="001D3664" w:rsidRPr="001D3664" w:rsidRDefault="001D3664" w:rsidP="001D3664">
      <w:pPr>
        <w:pStyle w:val="Reference"/>
      </w:pPr>
      <w:r w:rsidRPr="001D3664">
        <w:t xml:space="preserve">Slaughter, M. 2001, ‘Trade liberalization and per capita income convergence: a difference-in-differences analysis’, </w:t>
      </w:r>
      <w:r w:rsidRPr="001D3664">
        <w:rPr>
          <w:i/>
          <w:iCs/>
        </w:rPr>
        <w:t>Journal of International Economics</w:t>
      </w:r>
      <w:r w:rsidRPr="001D3664">
        <w:t>, vol. Volume 55, no. 1, pp. 203–228.</w:t>
      </w:r>
    </w:p>
    <w:p w14:paraId="2081F8AC" w14:textId="043ABA77" w:rsidR="008722DD" w:rsidRPr="008722DD" w:rsidRDefault="001D3664" w:rsidP="00EA18DE">
      <w:pPr>
        <w:pStyle w:val="Reference"/>
      </w:pPr>
      <w:r w:rsidRPr="001D3664">
        <w:t xml:space="preserve">Transport for New South Wales 2019, </w:t>
      </w:r>
      <w:r w:rsidRPr="001D3664">
        <w:rPr>
          <w:i/>
          <w:iCs/>
        </w:rPr>
        <w:t>NSW Centre for Road Safety - Heavy vehicles - Interactive crash statistics - Statistics</w:t>
      </w:r>
      <w:r w:rsidRPr="001D3664">
        <w:t>, https://</w:t>
      </w:r>
      <w:proofErr w:type="spellStart"/>
      <w:r w:rsidRPr="001D3664">
        <w:t>roadsafety.transport.nsw.gov.au</w:t>
      </w:r>
      <w:proofErr w:type="spellEnd"/>
      <w:r w:rsidRPr="001D3664">
        <w:t>/</w:t>
      </w:r>
      <w:r w:rsidR="001C6F6F">
        <w:br/>
      </w:r>
      <w:r w:rsidRPr="001D3664">
        <w:t>statistics/</w:t>
      </w:r>
      <w:proofErr w:type="spellStart"/>
      <w:r w:rsidRPr="001D3664">
        <w:t>interactivecrashstats</w:t>
      </w:r>
      <w:proofErr w:type="spellEnd"/>
      <w:r w:rsidRPr="001D3664">
        <w:t>/heavy-</w:t>
      </w:r>
      <w:proofErr w:type="spellStart"/>
      <w:r w:rsidRPr="001D3664">
        <w:t>vehicles.html</w:t>
      </w:r>
      <w:proofErr w:type="spellEnd"/>
      <w:r w:rsidRPr="001D3664">
        <w:t xml:space="preserve"> (accessed 29 October 2019).</w:t>
      </w:r>
    </w:p>
    <w:sectPr w:rsidR="008722DD" w:rsidRPr="008722DD" w:rsidSect="00696ABF">
      <w:headerReference w:type="even" r:id="rId21"/>
      <w:headerReference w:type="default" r:id="rId22"/>
      <w:footerReference w:type="even" r:id="rId23"/>
      <w:footerReference w:type="default" r:id="rId24"/>
      <w:headerReference w:type="first" r:id="rId25"/>
      <w:footerReference w:type="first" r:id="rId26"/>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74809" w14:textId="77777777" w:rsidR="000A69E1" w:rsidRDefault="000A69E1">
      <w:r>
        <w:separator/>
      </w:r>
    </w:p>
  </w:endnote>
  <w:endnote w:type="continuationSeparator" w:id="0">
    <w:p w14:paraId="4A80E323" w14:textId="77777777" w:rsidR="000A69E1" w:rsidRDefault="000A69E1">
      <w:r>
        <w:continuationSeparator/>
      </w:r>
    </w:p>
  </w:endnote>
  <w:endnote w:type="continuationNotice" w:id="1">
    <w:p w14:paraId="2710699A" w14:textId="77777777" w:rsidR="000A69E1" w:rsidRDefault="000A6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A69E1" w14:paraId="20E64365" w14:textId="77777777" w:rsidTr="005F48ED">
      <w:trPr>
        <w:trHeight w:hRule="exact" w:val="567"/>
      </w:trPr>
      <w:tc>
        <w:tcPr>
          <w:tcW w:w="510" w:type="dxa"/>
        </w:tcPr>
        <w:p w14:paraId="27384405" w14:textId="77777777" w:rsidR="000A69E1" w:rsidRPr="00A24443" w:rsidRDefault="000A69E1"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030F64">
            <w:rPr>
              <w:rStyle w:val="PageNumber"/>
              <w:caps w:val="0"/>
              <w:noProof/>
            </w:rPr>
            <w:t>6</w:t>
          </w:r>
          <w:r w:rsidRPr="00A24443">
            <w:rPr>
              <w:rStyle w:val="PageNumber"/>
              <w:caps w:val="0"/>
            </w:rPr>
            <w:fldChar w:fldCharType="end"/>
          </w:r>
        </w:p>
      </w:tc>
      <w:tc>
        <w:tcPr>
          <w:tcW w:w="7767" w:type="dxa"/>
        </w:tcPr>
        <w:p w14:paraId="6CBC1B00" w14:textId="20DDB3C4" w:rsidR="000A69E1" w:rsidRDefault="000A69E1" w:rsidP="0013739A">
          <w:pPr>
            <w:pStyle w:val="Footer"/>
            <w:rPr>
              <w:rFonts w:cs="Arial"/>
            </w:rPr>
          </w:pPr>
          <w:r>
            <w:rPr>
              <w:rFonts w:cs="Arial"/>
            </w:rPr>
            <w:t>National Transport Regulatory Reform</w:t>
          </w:r>
        </w:p>
        <w:p w14:paraId="349633E2" w14:textId="0764D281" w:rsidR="00EE6DE7" w:rsidRPr="0013739A" w:rsidRDefault="00EE6DE7" w:rsidP="00EE6DE7">
          <w:pPr>
            <w:pStyle w:val="FooterDraftReport"/>
          </w:pPr>
          <w:r>
            <w:t>Draft report</w:t>
          </w:r>
        </w:p>
      </w:tc>
      <w:tc>
        <w:tcPr>
          <w:tcW w:w="510" w:type="dxa"/>
        </w:tcPr>
        <w:p w14:paraId="01512432" w14:textId="77777777" w:rsidR="000A69E1" w:rsidRDefault="000A69E1" w:rsidP="0019293B">
          <w:pPr>
            <w:pStyle w:val="Footer"/>
          </w:pPr>
        </w:p>
      </w:tc>
    </w:tr>
  </w:tbl>
  <w:p w14:paraId="3CB43A22" w14:textId="77777777" w:rsidR="000A69E1" w:rsidRDefault="000A69E1" w:rsidP="0019293B">
    <w:pPr>
      <w:pStyle w:val="FooterEnd"/>
    </w:pPr>
  </w:p>
  <w:p w14:paraId="6926F16B" w14:textId="77777777" w:rsidR="000A69E1" w:rsidRDefault="000A69E1">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A69E1" w14:paraId="531CC5FD" w14:textId="77777777" w:rsidTr="005F48ED">
      <w:trPr>
        <w:trHeight w:hRule="exact" w:val="567"/>
      </w:trPr>
      <w:tc>
        <w:tcPr>
          <w:tcW w:w="510" w:type="dxa"/>
        </w:tcPr>
        <w:p w14:paraId="6138D6AB" w14:textId="77777777" w:rsidR="000A69E1" w:rsidRDefault="000A69E1">
          <w:pPr>
            <w:pStyle w:val="Footer"/>
            <w:ind w:right="360" w:firstLine="360"/>
          </w:pPr>
        </w:p>
      </w:tc>
      <w:tc>
        <w:tcPr>
          <w:tcW w:w="7767" w:type="dxa"/>
        </w:tcPr>
        <w:p w14:paraId="1405B0EA" w14:textId="77777777" w:rsidR="000A69E1" w:rsidRDefault="000A69E1" w:rsidP="0013739A">
          <w:pPr>
            <w:pStyle w:val="Footer"/>
            <w:jc w:val="right"/>
            <w:rPr>
              <w:rFonts w:cs="Arial"/>
            </w:rPr>
          </w:pPr>
          <w:r>
            <w:rPr>
              <w:rFonts w:cs="Arial"/>
            </w:rPr>
            <w:t>Analysing transport safety outcomes and heavy vehicle productivity</w:t>
          </w:r>
        </w:p>
        <w:p w14:paraId="5C9052B5" w14:textId="3960C4BE" w:rsidR="00EE6DE7" w:rsidRPr="00BA5B14" w:rsidRDefault="00EE6DE7" w:rsidP="00EE6DE7">
          <w:pPr>
            <w:pStyle w:val="FooterDraftReport"/>
            <w:jc w:val="right"/>
          </w:pPr>
          <w:r>
            <w:t>Draft report</w:t>
          </w:r>
        </w:p>
      </w:tc>
      <w:tc>
        <w:tcPr>
          <w:tcW w:w="510" w:type="dxa"/>
        </w:tcPr>
        <w:p w14:paraId="27C1DBDF" w14:textId="77777777" w:rsidR="000A69E1" w:rsidRPr="00A24443" w:rsidRDefault="000A69E1">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030F64">
            <w:rPr>
              <w:rStyle w:val="PageNumber"/>
              <w:caps w:val="0"/>
              <w:noProof/>
            </w:rPr>
            <w:t>7</w:t>
          </w:r>
          <w:r w:rsidRPr="00A24443">
            <w:rPr>
              <w:rStyle w:val="PageNumber"/>
              <w:caps w:val="0"/>
            </w:rPr>
            <w:fldChar w:fldCharType="end"/>
          </w:r>
        </w:p>
      </w:tc>
    </w:tr>
  </w:tbl>
  <w:p w14:paraId="11E45BCC" w14:textId="77777777" w:rsidR="000A69E1" w:rsidRDefault="000A69E1">
    <w:pPr>
      <w:pStyle w:val="FooterEnd"/>
    </w:pPr>
  </w:p>
  <w:p w14:paraId="00A24F45" w14:textId="77777777" w:rsidR="000A69E1" w:rsidRDefault="000A69E1">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5A0C3" w14:textId="77777777" w:rsidR="00030F64" w:rsidRDefault="00030F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C2AA7" w14:textId="77777777" w:rsidR="000A69E1" w:rsidRDefault="000A69E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030F64">
      <w:rPr>
        <w:rStyle w:val="PageNumber"/>
        <w:noProof/>
      </w:rPr>
      <w:t>22</w:t>
    </w:r>
    <w:r>
      <w:rPr>
        <w:rStyle w:val="PageNumber"/>
      </w:rPr>
      <w:fldChar w:fldCharType="end"/>
    </w:r>
  </w:p>
  <w:p w14:paraId="7D7D3D2E" w14:textId="77777777" w:rsidR="000A69E1" w:rsidRDefault="000A69E1">
    <w:pPr>
      <w:pStyle w:val="FooterEnd"/>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ABFF7" w14:textId="77777777" w:rsidR="000A69E1" w:rsidRDefault="000A69E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030F64">
      <w:rPr>
        <w:rStyle w:val="PageNumber"/>
        <w:noProof/>
      </w:rPr>
      <w:t>23</w:t>
    </w:r>
    <w:r>
      <w:rPr>
        <w:rStyle w:val="PageNumber"/>
      </w:rPr>
      <w:fldChar w:fldCharType="end"/>
    </w:r>
  </w:p>
  <w:p w14:paraId="1A234A17" w14:textId="77777777" w:rsidR="000A69E1" w:rsidRDefault="000A69E1">
    <w:pPr>
      <w:pStyle w:val="Footer"/>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A69E1" w14:paraId="36389D80" w14:textId="77777777" w:rsidTr="005F48ED">
      <w:trPr>
        <w:trHeight w:hRule="exact" w:val="567"/>
      </w:trPr>
      <w:tc>
        <w:tcPr>
          <w:tcW w:w="510" w:type="dxa"/>
        </w:tcPr>
        <w:p w14:paraId="36389D7D" w14:textId="77777777" w:rsidR="000A69E1" w:rsidRPr="00A24443" w:rsidRDefault="000A69E1"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030F64">
            <w:rPr>
              <w:rStyle w:val="PageNumber"/>
              <w:caps w:val="0"/>
              <w:noProof/>
            </w:rPr>
            <w:t>28</w:t>
          </w:r>
          <w:r w:rsidRPr="00A24443">
            <w:rPr>
              <w:rStyle w:val="PageNumber"/>
              <w:caps w:val="0"/>
            </w:rPr>
            <w:fldChar w:fldCharType="end"/>
          </w:r>
        </w:p>
      </w:tc>
      <w:tc>
        <w:tcPr>
          <w:tcW w:w="7767" w:type="dxa"/>
        </w:tcPr>
        <w:p w14:paraId="74461A6D" w14:textId="4461C778" w:rsidR="000A69E1" w:rsidRDefault="000A69E1" w:rsidP="0013739A">
          <w:pPr>
            <w:pStyle w:val="Footer"/>
            <w:rPr>
              <w:rFonts w:cs="Arial"/>
            </w:rPr>
          </w:pPr>
          <w:r>
            <w:rPr>
              <w:rFonts w:cs="Arial"/>
            </w:rPr>
            <w:t>National Transport Regulatory Reform</w:t>
          </w:r>
          <w:bookmarkStart w:id="6" w:name="DraftReportEven"/>
          <w:bookmarkEnd w:id="6"/>
        </w:p>
        <w:p w14:paraId="36389D7E" w14:textId="60ECB171" w:rsidR="00EE6DE7" w:rsidRPr="0013739A" w:rsidRDefault="00EE6DE7" w:rsidP="00EE6DE7">
          <w:pPr>
            <w:pStyle w:val="FooterDraftReport"/>
          </w:pPr>
          <w:r>
            <w:t>Draft report</w:t>
          </w:r>
        </w:p>
      </w:tc>
      <w:tc>
        <w:tcPr>
          <w:tcW w:w="510" w:type="dxa"/>
        </w:tcPr>
        <w:p w14:paraId="36389D7F" w14:textId="77777777" w:rsidR="000A69E1" w:rsidRDefault="000A69E1" w:rsidP="0019293B">
          <w:pPr>
            <w:pStyle w:val="Footer"/>
          </w:pPr>
        </w:p>
      </w:tc>
    </w:tr>
  </w:tbl>
  <w:p w14:paraId="36389D81" w14:textId="77777777" w:rsidR="000A69E1" w:rsidRDefault="000A69E1" w:rsidP="0019293B">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A69E1" w14:paraId="36389D85" w14:textId="77777777" w:rsidTr="005F48ED">
      <w:trPr>
        <w:trHeight w:hRule="exact" w:val="567"/>
      </w:trPr>
      <w:tc>
        <w:tcPr>
          <w:tcW w:w="510" w:type="dxa"/>
        </w:tcPr>
        <w:p w14:paraId="36389D82" w14:textId="77777777" w:rsidR="000A69E1" w:rsidRDefault="000A69E1">
          <w:pPr>
            <w:pStyle w:val="Footer"/>
            <w:ind w:right="360" w:firstLine="360"/>
          </w:pPr>
        </w:p>
      </w:tc>
      <w:tc>
        <w:tcPr>
          <w:tcW w:w="7767" w:type="dxa"/>
        </w:tcPr>
        <w:p w14:paraId="4D00A36C" w14:textId="77777777" w:rsidR="000A69E1" w:rsidRDefault="000A69E1" w:rsidP="0013739A">
          <w:pPr>
            <w:pStyle w:val="Footer"/>
            <w:jc w:val="right"/>
            <w:rPr>
              <w:rFonts w:cs="Arial"/>
            </w:rPr>
          </w:pPr>
          <w:r>
            <w:rPr>
              <w:rFonts w:cs="Arial"/>
            </w:rPr>
            <w:t>Analysing transport safety outcomes and heavy vehicle productivity</w:t>
          </w:r>
          <w:bookmarkStart w:id="7" w:name="DraftReportOdd"/>
          <w:bookmarkEnd w:id="7"/>
        </w:p>
        <w:p w14:paraId="36389D83" w14:textId="32870086" w:rsidR="00EE6DE7" w:rsidRPr="00BA5B14" w:rsidRDefault="00EE6DE7" w:rsidP="00EE6DE7">
          <w:pPr>
            <w:pStyle w:val="FooterDraftReport"/>
            <w:jc w:val="right"/>
          </w:pPr>
          <w:r>
            <w:t>Draft report</w:t>
          </w:r>
        </w:p>
      </w:tc>
      <w:tc>
        <w:tcPr>
          <w:tcW w:w="510" w:type="dxa"/>
        </w:tcPr>
        <w:p w14:paraId="36389D84" w14:textId="77777777" w:rsidR="000A69E1" w:rsidRPr="00A24443" w:rsidRDefault="000A69E1">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030F64">
            <w:rPr>
              <w:rStyle w:val="PageNumber"/>
              <w:caps w:val="0"/>
              <w:noProof/>
            </w:rPr>
            <w:t>27</w:t>
          </w:r>
          <w:r w:rsidRPr="00A24443">
            <w:rPr>
              <w:rStyle w:val="PageNumber"/>
              <w:caps w:val="0"/>
            </w:rPr>
            <w:fldChar w:fldCharType="end"/>
          </w:r>
        </w:p>
      </w:tc>
    </w:tr>
  </w:tbl>
  <w:p w14:paraId="36389D86" w14:textId="77777777" w:rsidR="000A69E1" w:rsidRDefault="000A69E1">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C1253" w14:textId="77777777" w:rsidR="000A69E1" w:rsidRDefault="000A69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9624C" w14:textId="77777777" w:rsidR="000A69E1" w:rsidRDefault="000A69E1">
      <w:r>
        <w:separator/>
      </w:r>
    </w:p>
  </w:footnote>
  <w:footnote w:type="continuationSeparator" w:id="0">
    <w:p w14:paraId="5B05D151" w14:textId="77777777" w:rsidR="000A69E1" w:rsidRDefault="000A69E1">
      <w:r>
        <w:continuationSeparator/>
      </w:r>
    </w:p>
  </w:footnote>
  <w:footnote w:type="continuationNotice" w:id="1">
    <w:p w14:paraId="5A3548C5" w14:textId="77777777" w:rsidR="000A69E1" w:rsidRDefault="000A69E1"/>
  </w:footnote>
  <w:footnote w:id="2">
    <w:p w14:paraId="2A7A53DD" w14:textId="50B5243E" w:rsidR="000A69E1" w:rsidRDefault="000A69E1">
      <w:pPr>
        <w:pStyle w:val="FootnoteText"/>
      </w:pPr>
      <w:r>
        <w:rPr>
          <w:rStyle w:val="FootnoteReference"/>
        </w:rPr>
        <w:footnoteRef/>
      </w:r>
      <w:r>
        <w:tab/>
        <w:t xml:space="preserve">The other two difference-in-differences assumptions discussed in box </w:t>
      </w:r>
      <w:proofErr w:type="spellStart"/>
      <w:r>
        <w:t>B.1</w:t>
      </w:r>
      <w:proofErr w:type="spellEnd"/>
      <w:r>
        <w:t xml:space="preserve"> appear to be satisfied. </w:t>
      </w:r>
    </w:p>
  </w:footnote>
  <w:footnote w:id="3">
    <w:p w14:paraId="3860061F" w14:textId="04ED5B14" w:rsidR="000A69E1" w:rsidRDefault="000A69E1" w:rsidP="00767040">
      <w:pPr>
        <w:pStyle w:val="FootnoteText"/>
      </w:pPr>
      <w:r w:rsidRPr="0047100F">
        <w:rPr>
          <w:rStyle w:val="FootnoteReference"/>
        </w:rPr>
        <w:footnoteRef/>
      </w:r>
      <w:r>
        <w:tab/>
      </w:r>
      <w:r w:rsidRPr="00EC0AB8">
        <w:rPr>
          <w:rStyle w:val="FootnoteTextChar"/>
        </w:rPr>
        <w:t xml:space="preserve">In </w:t>
      </w:r>
      <w:r>
        <w:rPr>
          <w:rStyle w:val="FootnoteTextChar"/>
        </w:rPr>
        <w:t>the</w:t>
      </w:r>
      <w:r w:rsidRPr="00EC0AB8">
        <w:rPr>
          <w:rStyle w:val="FootnoteTextChar"/>
        </w:rPr>
        <w:t xml:space="preserve"> preferred specification </w:t>
      </w:r>
      <w:r>
        <w:rPr>
          <w:rStyle w:val="FootnoteTextChar"/>
        </w:rPr>
        <w:t xml:space="preserve">(specification 3), </w:t>
      </w:r>
      <w:r w:rsidRPr="00EC0AB8">
        <w:rPr>
          <w:rStyle w:val="FootnoteTextChar"/>
        </w:rPr>
        <w:t xml:space="preserve">states that signed up to the </w:t>
      </w:r>
      <w:proofErr w:type="spellStart"/>
      <w:r w:rsidRPr="00EC0AB8">
        <w:rPr>
          <w:rStyle w:val="FootnoteTextChar"/>
        </w:rPr>
        <w:t>HVNL</w:t>
      </w:r>
      <w:proofErr w:type="spellEnd"/>
      <w:r w:rsidRPr="00EC0AB8">
        <w:rPr>
          <w:rStyle w:val="FootnoteTextChar"/>
        </w:rPr>
        <w:t xml:space="preserve"> are associated with 8.87</w:t>
      </w:r>
      <w:r>
        <w:rPr>
          <w:rStyle w:val="FootnoteTextChar"/>
        </w:rPr>
        <w:t> </w:t>
      </w:r>
      <w:r w:rsidRPr="00EC0AB8">
        <w:rPr>
          <w:rStyle w:val="FootnoteTextChar"/>
        </w:rPr>
        <w:t xml:space="preserve">fewer quarterly heavy vehicle crashes per billion kilometres travelled </w:t>
      </w:r>
      <w:r>
        <w:rPr>
          <w:rStyle w:val="FootnoteTextChar"/>
        </w:rPr>
        <w:t xml:space="preserve">in the post-reform period on average </w:t>
      </w:r>
      <w:r w:rsidRPr="00EC0AB8">
        <w:rPr>
          <w:rStyle w:val="FootnoteTextChar"/>
        </w:rPr>
        <w:t>— an approximate 5 per cent decrease relative to the average.</w:t>
      </w:r>
      <w:r>
        <w:rPr>
          <w:rStyle w:val="FootnoteTextChar"/>
        </w:rPr>
        <w:t xml:space="preserve"> However, this result is not statistically significant.</w:t>
      </w:r>
    </w:p>
  </w:footnote>
  <w:footnote w:id="4">
    <w:p w14:paraId="2DAABA51" w14:textId="55796492" w:rsidR="000A69E1" w:rsidRDefault="000A69E1">
      <w:pPr>
        <w:pStyle w:val="FootnoteText"/>
      </w:pPr>
      <w:r>
        <w:rPr>
          <w:rStyle w:val="FootnoteReference"/>
        </w:rPr>
        <w:footnoteRef/>
      </w:r>
      <w:r>
        <w:tab/>
        <w:t>‘Heavy rigid’ refers to motor vehicles greater than 4.5 tonnes Gross Vehicle Mass constructed with a load carrying area or fitted with special purpose equipment. ‘Articulated’ refers to motor vehicles constructed primarily for load carrying, consisting of a prime mover that has no significant load carrying area but with a turntable device which can be linked to one or more trailers.</w:t>
      </w:r>
    </w:p>
  </w:footnote>
  <w:footnote w:id="5">
    <w:p w14:paraId="5F57B17A" w14:textId="0660A32D" w:rsidR="000A69E1" w:rsidRDefault="000A69E1">
      <w:pPr>
        <w:pStyle w:val="FootnoteText"/>
      </w:pPr>
      <w:r>
        <w:rPr>
          <w:rStyle w:val="FootnoteReference"/>
        </w:rPr>
        <w:footnoteRef/>
      </w:r>
      <w:r>
        <w:tab/>
        <w:t>The number of fatalities at the year-quarter level is highly variable due to the small counts of fatalities (there are a number of jurisdictions for which no fatal crashes involving a heavy vehicle driver occurred in a given year-quarter). This makes results very sensitive to small changes in the analysis (such as removing the first two quarters of data, or adjusting the treatment period by one quarter). This makes it difficult to draw robust conclusions.</w:t>
      </w:r>
    </w:p>
  </w:footnote>
  <w:footnote w:id="6">
    <w:p w14:paraId="6F3CA34A" w14:textId="58519937" w:rsidR="000A69E1" w:rsidRDefault="000A69E1">
      <w:pPr>
        <w:pStyle w:val="FootnoteText"/>
      </w:pPr>
      <w:r>
        <w:rPr>
          <w:rStyle w:val="FootnoteReference"/>
        </w:rPr>
        <w:footnoteRef/>
      </w:r>
      <w:r>
        <w:tab/>
        <w:t xml:space="preserve">The other two difference-in-differences assumptions discussed in box </w:t>
      </w:r>
      <w:proofErr w:type="spellStart"/>
      <w:r>
        <w:t>B.1</w:t>
      </w:r>
      <w:proofErr w:type="spellEnd"/>
      <w:r>
        <w:t xml:space="preserve"> also appear to be satisfied.</w:t>
      </w:r>
    </w:p>
  </w:footnote>
  <w:footnote w:id="7">
    <w:p w14:paraId="08A99CA3" w14:textId="3E8D6E27" w:rsidR="000A69E1" w:rsidRDefault="000A69E1" w:rsidP="009A59DD">
      <w:pPr>
        <w:pStyle w:val="FootnoteText"/>
      </w:pPr>
      <w:r w:rsidRPr="0047100F">
        <w:rPr>
          <w:rStyle w:val="FootnoteReference"/>
        </w:rPr>
        <w:footnoteRef/>
      </w:r>
      <w:r>
        <w:tab/>
      </w:r>
      <w:r w:rsidRPr="00EC0AB8">
        <w:rPr>
          <w:rStyle w:val="FootnoteTextChar"/>
        </w:rPr>
        <w:t xml:space="preserve">In </w:t>
      </w:r>
      <w:r>
        <w:rPr>
          <w:rStyle w:val="FootnoteTextChar"/>
        </w:rPr>
        <w:t>the</w:t>
      </w:r>
      <w:r w:rsidRPr="00EC0AB8">
        <w:rPr>
          <w:rStyle w:val="FootnoteTextChar"/>
        </w:rPr>
        <w:t xml:space="preserve"> preferred specification</w:t>
      </w:r>
      <w:r>
        <w:rPr>
          <w:rStyle w:val="FootnoteTextChar"/>
        </w:rPr>
        <w:t xml:space="preserve"> (specification 3), </w:t>
      </w:r>
      <w:r w:rsidRPr="00EC0AB8">
        <w:rPr>
          <w:rStyle w:val="FootnoteTextChar"/>
        </w:rPr>
        <w:t xml:space="preserve">states that signed up to the </w:t>
      </w:r>
      <w:proofErr w:type="spellStart"/>
      <w:r w:rsidRPr="00EC0AB8">
        <w:rPr>
          <w:rStyle w:val="FootnoteTextChar"/>
        </w:rPr>
        <w:t>HVNL</w:t>
      </w:r>
      <w:proofErr w:type="spellEnd"/>
      <w:r w:rsidRPr="00EC0AB8">
        <w:rPr>
          <w:rStyle w:val="FootnoteTextChar"/>
        </w:rPr>
        <w:t xml:space="preserve"> are associated with </w:t>
      </w:r>
      <w:r>
        <w:rPr>
          <w:rStyle w:val="FootnoteTextChar"/>
        </w:rPr>
        <w:t>1</w:t>
      </w:r>
      <w:r w:rsidRPr="00EC0AB8">
        <w:rPr>
          <w:rStyle w:val="FootnoteTextChar"/>
        </w:rPr>
        <w:t>.</w:t>
      </w:r>
      <w:r>
        <w:rPr>
          <w:rStyle w:val="FootnoteTextChar"/>
        </w:rPr>
        <w:t>044 </w:t>
      </w:r>
      <w:r w:rsidRPr="00EC0AB8">
        <w:rPr>
          <w:rStyle w:val="FootnoteTextChar"/>
        </w:rPr>
        <w:t>fewer quarterly heavy vehicle crashes per billion kilometres travelled</w:t>
      </w:r>
      <w:r>
        <w:rPr>
          <w:rStyle w:val="FootnoteTextChar"/>
        </w:rPr>
        <w:t xml:space="preserve"> in the post-reform period on average</w:t>
      </w:r>
      <w:r w:rsidRPr="00EC0AB8">
        <w:rPr>
          <w:rStyle w:val="FootnoteTextChar"/>
        </w:rPr>
        <w:t>.</w:t>
      </w:r>
      <w:r>
        <w:rPr>
          <w:rStyle w:val="FootnoteTextChar"/>
        </w:rPr>
        <w:t xml:space="preserve"> However, this result is not statistically significant.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0A69E1" w14:paraId="11E352AC" w14:textId="77777777">
      <w:tc>
        <w:tcPr>
          <w:tcW w:w="2155" w:type="dxa"/>
          <w:tcBorders>
            <w:top w:val="single" w:sz="24" w:space="0" w:color="auto"/>
          </w:tcBorders>
        </w:tcPr>
        <w:p w14:paraId="71B78520" w14:textId="77777777" w:rsidR="000A69E1" w:rsidRDefault="000A69E1">
          <w:pPr>
            <w:pStyle w:val="HeaderEven"/>
          </w:pPr>
        </w:p>
      </w:tc>
      <w:tc>
        <w:tcPr>
          <w:tcW w:w="6634" w:type="dxa"/>
          <w:tcBorders>
            <w:top w:val="single" w:sz="6" w:space="0" w:color="auto"/>
          </w:tcBorders>
        </w:tcPr>
        <w:p w14:paraId="287B0108" w14:textId="77777777" w:rsidR="000A69E1" w:rsidRDefault="000A69E1">
          <w:pPr>
            <w:pStyle w:val="HeaderEven"/>
          </w:pPr>
        </w:p>
      </w:tc>
    </w:tr>
  </w:tbl>
  <w:p w14:paraId="58E73DE4" w14:textId="77777777" w:rsidR="000A69E1" w:rsidRDefault="000A69E1">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A69E1" w14:paraId="32569FB9" w14:textId="77777777">
      <w:tc>
        <w:tcPr>
          <w:tcW w:w="6634" w:type="dxa"/>
          <w:tcBorders>
            <w:top w:val="single" w:sz="6" w:space="0" w:color="auto"/>
          </w:tcBorders>
        </w:tcPr>
        <w:p w14:paraId="7ED805E0" w14:textId="77777777" w:rsidR="000A69E1" w:rsidRDefault="000A69E1">
          <w:pPr>
            <w:pStyle w:val="HeaderOdd"/>
          </w:pPr>
        </w:p>
      </w:tc>
      <w:tc>
        <w:tcPr>
          <w:tcW w:w="2155" w:type="dxa"/>
          <w:tcBorders>
            <w:top w:val="single" w:sz="24" w:space="0" w:color="auto"/>
          </w:tcBorders>
        </w:tcPr>
        <w:p w14:paraId="40665EFB" w14:textId="77777777" w:rsidR="000A69E1" w:rsidRDefault="000A69E1">
          <w:pPr>
            <w:pStyle w:val="HeaderOdd"/>
          </w:pPr>
        </w:p>
      </w:tc>
    </w:tr>
  </w:tbl>
  <w:p w14:paraId="403A3C32" w14:textId="77777777" w:rsidR="000A69E1" w:rsidRDefault="000A69E1">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4E95D" w14:textId="77777777" w:rsidR="00030F64" w:rsidRDefault="00030F6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E566A" w14:textId="77777777" w:rsidR="000A69E1" w:rsidRDefault="000A69E1">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2A80C" w14:textId="77777777" w:rsidR="000A69E1" w:rsidRDefault="000A69E1">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0A69E1" w14:paraId="36389D77" w14:textId="77777777">
      <w:tc>
        <w:tcPr>
          <w:tcW w:w="2155" w:type="dxa"/>
          <w:tcBorders>
            <w:top w:val="single" w:sz="24" w:space="0" w:color="auto"/>
          </w:tcBorders>
        </w:tcPr>
        <w:p w14:paraId="36389D75" w14:textId="77777777" w:rsidR="000A69E1" w:rsidRDefault="000A69E1" w:rsidP="0019293B">
          <w:pPr>
            <w:pStyle w:val="HeaderEven"/>
          </w:pPr>
        </w:p>
      </w:tc>
      <w:tc>
        <w:tcPr>
          <w:tcW w:w="6634" w:type="dxa"/>
          <w:tcBorders>
            <w:top w:val="single" w:sz="6" w:space="0" w:color="auto"/>
          </w:tcBorders>
        </w:tcPr>
        <w:p w14:paraId="36389D76" w14:textId="77777777" w:rsidR="000A69E1" w:rsidRDefault="000A69E1" w:rsidP="0019293B">
          <w:pPr>
            <w:pStyle w:val="HeaderEven"/>
          </w:pPr>
        </w:p>
      </w:tc>
    </w:tr>
  </w:tbl>
  <w:p w14:paraId="36389D78" w14:textId="77777777" w:rsidR="000A69E1" w:rsidRDefault="000A69E1" w:rsidP="0019293B">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A69E1" w14:paraId="36389D7B" w14:textId="77777777">
      <w:tc>
        <w:tcPr>
          <w:tcW w:w="6634" w:type="dxa"/>
          <w:tcBorders>
            <w:top w:val="single" w:sz="6" w:space="0" w:color="auto"/>
          </w:tcBorders>
        </w:tcPr>
        <w:p w14:paraId="36389D79" w14:textId="77777777" w:rsidR="000A69E1" w:rsidRDefault="000A69E1" w:rsidP="00E669E2">
          <w:pPr>
            <w:pStyle w:val="HeaderOdd"/>
          </w:pPr>
        </w:p>
      </w:tc>
      <w:tc>
        <w:tcPr>
          <w:tcW w:w="2155" w:type="dxa"/>
          <w:tcBorders>
            <w:top w:val="single" w:sz="24" w:space="0" w:color="auto"/>
          </w:tcBorders>
        </w:tcPr>
        <w:p w14:paraId="36389D7A" w14:textId="77777777" w:rsidR="000A69E1" w:rsidRDefault="000A69E1" w:rsidP="00E669E2">
          <w:pPr>
            <w:pStyle w:val="HeaderOdd"/>
          </w:pPr>
        </w:p>
      </w:tc>
    </w:tr>
  </w:tbl>
  <w:p w14:paraId="36389D7C" w14:textId="77777777" w:rsidR="000A69E1" w:rsidRDefault="000A69E1" w:rsidP="00E669E2">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29230" w14:textId="77777777" w:rsidR="000A69E1" w:rsidRDefault="000A69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F45F4F"/>
    <w:multiLevelType w:val="hybridMultilevel"/>
    <w:tmpl w:val="025AB658"/>
    <w:lvl w:ilvl="0" w:tplc="B00C6B9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6"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7"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0"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765394A"/>
    <w:multiLevelType w:val="hybridMultilevel"/>
    <w:tmpl w:val="2F8C8832"/>
    <w:lvl w:ilvl="0" w:tplc="56B6F854">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29455C"/>
    <w:multiLevelType w:val="hybridMultilevel"/>
    <w:tmpl w:val="4FA610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15:restartNumberingAfterBreak="0">
    <w:nsid w:val="26387CA8"/>
    <w:multiLevelType w:val="hybridMultilevel"/>
    <w:tmpl w:val="2B8630A8"/>
    <w:lvl w:ilvl="0" w:tplc="A7AE4E8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2F8C48F2"/>
    <w:multiLevelType w:val="hybridMultilevel"/>
    <w:tmpl w:val="55CCC41A"/>
    <w:lvl w:ilvl="0" w:tplc="75D4B0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8" w15:restartNumberingAfterBreak="0">
    <w:nsid w:val="3A37079E"/>
    <w:multiLevelType w:val="hybridMultilevel"/>
    <w:tmpl w:val="431ABA9C"/>
    <w:lvl w:ilvl="0" w:tplc="F4CE4A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F91ECA"/>
    <w:multiLevelType w:val="hybridMultilevel"/>
    <w:tmpl w:val="C16847DC"/>
    <w:lvl w:ilvl="0" w:tplc="6602CD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776875"/>
    <w:multiLevelType w:val="hybridMultilevel"/>
    <w:tmpl w:val="24A67478"/>
    <w:lvl w:ilvl="0" w:tplc="827A074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A35591"/>
    <w:multiLevelType w:val="hybridMultilevel"/>
    <w:tmpl w:val="815AD9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C82FD0"/>
    <w:multiLevelType w:val="hybridMultilevel"/>
    <w:tmpl w:val="BCB046A2"/>
    <w:lvl w:ilvl="0" w:tplc="3FE48AA0">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5DCF09F0"/>
    <w:multiLevelType w:val="hybridMultilevel"/>
    <w:tmpl w:val="AA8C5F28"/>
    <w:lvl w:ilvl="0" w:tplc="09F0984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F845D9"/>
    <w:multiLevelType w:val="hybridMultilevel"/>
    <w:tmpl w:val="0AE67966"/>
    <w:lvl w:ilvl="0" w:tplc="75EEC88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2" w15:restartNumberingAfterBreak="0">
    <w:nsid w:val="75B329AD"/>
    <w:multiLevelType w:val="hybridMultilevel"/>
    <w:tmpl w:val="6ABE94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8220ABC"/>
    <w:multiLevelType w:val="hybridMultilevel"/>
    <w:tmpl w:val="D2268CA4"/>
    <w:lvl w:ilvl="0" w:tplc="7D22E83C">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5" w15:restartNumberingAfterBreak="0">
    <w:nsid w:val="7A7C4BCB"/>
    <w:multiLevelType w:val="hybridMultilevel"/>
    <w:tmpl w:val="96BC200C"/>
    <w:lvl w:ilvl="0" w:tplc="4D5C1A76">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37" w15:restartNumberingAfterBreak="0">
    <w:nsid w:val="7D0157C2"/>
    <w:multiLevelType w:val="hybridMultilevel"/>
    <w:tmpl w:val="47F27014"/>
    <w:lvl w:ilvl="0" w:tplc="C13CC216">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4"/>
  </w:num>
  <w:num w:numId="4">
    <w:abstractNumId w:val="5"/>
  </w:num>
  <w:num w:numId="5">
    <w:abstractNumId w:val="31"/>
  </w:num>
  <w:num w:numId="6">
    <w:abstractNumId w:val="26"/>
  </w:num>
  <w:num w:numId="7">
    <w:abstractNumId w:val="9"/>
  </w:num>
  <w:num w:numId="8">
    <w:abstractNumId w:val="25"/>
  </w:num>
  <w:num w:numId="9">
    <w:abstractNumId w:val="8"/>
  </w:num>
  <w:num w:numId="10">
    <w:abstractNumId w:val="7"/>
  </w:num>
  <w:num w:numId="11">
    <w:abstractNumId w:val="13"/>
  </w:num>
  <w:num w:numId="12">
    <w:abstractNumId w:val="15"/>
  </w:num>
  <w:num w:numId="13">
    <w:abstractNumId w:val="6"/>
  </w:num>
  <w:num w:numId="14">
    <w:abstractNumId w:val="27"/>
  </w:num>
  <w:num w:numId="15">
    <w:abstractNumId w:val="34"/>
  </w:num>
  <w:num w:numId="16">
    <w:abstractNumId w:val="23"/>
  </w:num>
  <w:num w:numId="17">
    <w:abstractNumId w:val="36"/>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30"/>
  </w:num>
  <w:num w:numId="21">
    <w:abstractNumId w:val="10"/>
  </w:num>
  <w:num w:numId="22">
    <w:abstractNumId w:val="22"/>
  </w:num>
  <w:num w:numId="23">
    <w:abstractNumId w:val="19"/>
  </w:num>
  <w:num w:numId="24">
    <w:abstractNumId w:val="16"/>
  </w:num>
  <w:num w:numId="25">
    <w:abstractNumId w:val="4"/>
  </w:num>
  <w:num w:numId="26">
    <w:abstractNumId w:val="28"/>
  </w:num>
  <w:num w:numId="27">
    <w:abstractNumId w:val="18"/>
  </w:num>
  <w:num w:numId="28">
    <w:abstractNumId w:val="14"/>
  </w:num>
  <w:num w:numId="29">
    <w:abstractNumId w:val="1"/>
  </w:num>
  <w:num w:numId="30">
    <w:abstractNumId w:val="25"/>
  </w:num>
  <w:num w:numId="31">
    <w:abstractNumId w:val="25"/>
  </w:num>
  <w:num w:numId="32">
    <w:abstractNumId w:val="11"/>
  </w:num>
  <w:num w:numId="33">
    <w:abstractNumId w:val="35"/>
  </w:num>
  <w:num w:numId="34">
    <w:abstractNumId w:val="21"/>
  </w:num>
  <w:num w:numId="35">
    <w:abstractNumId w:val="12"/>
  </w:num>
  <w:num w:numId="36">
    <w:abstractNumId w:val="32"/>
  </w:num>
  <w:num w:numId="37">
    <w:abstractNumId w:val="33"/>
  </w:num>
  <w:num w:numId="38">
    <w:abstractNumId w:val="29"/>
  </w:num>
  <w:num w:numId="39">
    <w:abstractNumId w:val="20"/>
  </w:num>
  <w:num w:numId="40">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802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endixNumber" w:val="B"/>
    <w:docVar w:name="FindingOptions" w:val="1"/>
    <w:docVar w:name="RecOptions" w:val="111"/>
    <w:docVar w:name="ShortChapterTitle" w:val="Analysing transport safety outcomes and heavy vehicle productivity"/>
    <w:docVar w:name="ShortReportTitle" w:val="National Transport Regulatory Reform"/>
  </w:docVars>
  <w:rsids>
    <w:rsidRoot w:val="00B77BCD"/>
    <w:rsid w:val="000002A8"/>
    <w:rsid w:val="00000530"/>
    <w:rsid w:val="000007FC"/>
    <w:rsid w:val="00000953"/>
    <w:rsid w:val="00002710"/>
    <w:rsid w:val="00002AC8"/>
    <w:rsid w:val="00002F2C"/>
    <w:rsid w:val="000032CF"/>
    <w:rsid w:val="0000420F"/>
    <w:rsid w:val="00004878"/>
    <w:rsid w:val="00004CFD"/>
    <w:rsid w:val="00005FBD"/>
    <w:rsid w:val="000061C5"/>
    <w:rsid w:val="00006C71"/>
    <w:rsid w:val="00007449"/>
    <w:rsid w:val="00007DB1"/>
    <w:rsid w:val="000108B0"/>
    <w:rsid w:val="00010A17"/>
    <w:rsid w:val="0001198E"/>
    <w:rsid w:val="00011A51"/>
    <w:rsid w:val="00013087"/>
    <w:rsid w:val="00013BC9"/>
    <w:rsid w:val="00013E8D"/>
    <w:rsid w:val="0001566B"/>
    <w:rsid w:val="000156F6"/>
    <w:rsid w:val="00015CA2"/>
    <w:rsid w:val="00015F90"/>
    <w:rsid w:val="00016560"/>
    <w:rsid w:val="00017D5B"/>
    <w:rsid w:val="00017E97"/>
    <w:rsid w:val="00020171"/>
    <w:rsid w:val="00020687"/>
    <w:rsid w:val="00020F9A"/>
    <w:rsid w:val="000216D0"/>
    <w:rsid w:val="00021963"/>
    <w:rsid w:val="00021ABE"/>
    <w:rsid w:val="00021E21"/>
    <w:rsid w:val="00021FA8"/>
    <w:rsid w:val="00022622"/>
    <w:rsid w:val="000227D5"/>
    <w:rsid w:val="000229BB"/>
    <w:rsid w:val="00023447"/>
    <w:rsid w:val="000242BD"/>
    <w:rsid w:val="000245AA"/>
    <w:rsid w:val="00025A17"/>
    <w:rsid w:val="00026E01"/>
    <w:rsid w:val="00027C3D"/>
    <w:rsid w:val="00030410"/>
    <w:rsid w:val="000304D9"/>
    <w:rsid w:val="0003063C"/>
    <w:rsid w:val="00030F64"/>
    <w:rsid w:val="00031EE3"/>
    <w:rsid w:val="000331F5"/>
    <w:rsid w:val="00033455"/>
    <w:rsid w:val="00033F62"/>
    <w:rsid w:val="0003448F"/>
    <w:rsid w:val="00034628"/>
    <w:rsid w:val="0003519F"/>
    <w:rsid w:val="00035B7B"/>
    <w:rsid w:val="00035BB5"/>
    <w:rsid w:val="0003634C"/>
    <w:rsid w:val="0003664B"/>
    <w:rsid w:val="0003678C"/>
    <w:rsid w:val="000374C9"/>
    <w:rsid w:val="00037F4B"/>
    <w:rsid w:val="00040763"/>
    <w:rsid w:val="0004111F"/>
    <w:rsid w:val="0004147C"/>
    <w:rsid w:val="000424B8"/>
    <w:rsid w:val="00043367"/>
    <w:rsid w:val="0004398E"/>
    <w:rsid w:val="00043E73"/>
    <w:rsid w:val="00043E82"/>
    <w:rsid w:val="00044570"/>
    <w:rsid w:val="00044709"/>
    <w:rsid w:val="000456E0"/>
    <w:rsid w:val="000457C6"/>
    <w:rsid w:val="00047358"/>
    <w:rsid w:val="000475E9"/>
    <w:rsid w:val="000477F4"/>
    <w:rsid w:val="00047968"/>
    <w:rsid w:val="00047B61"/>
    <w:rsid w:val="00047BFB"/>
    <w:rsid w:val="000511DE"/>
    <w:rsid w:val="000519A5"/>
    <w:rsid w:val="00052370"/>
    <w:rsid w:val="000527E6"/>
    <w:rsid w:val="0005289D"/>
    <w:rsid w:val="000529D3"/>
    <w:rsid w:val="00053196"/>
    <w:rsid w:val="000534E6"/>
    <w:rsid w:val="00053F05"/>
    <w:rsid w:val="00054F65"/>
    <w:rsid w:val="00055077"/>
    <w:rsid w:val="000554CF"/>
    <w:rsid w:val="00055663"/>
    <w:rsid w:val="00055D77"/>
    <w:rsid w:val="00056148"/>
    <w:rsid w:val="000565B3"/>
    <w:rsid w:val="00057D0D"/>
    <w:rsid w:val="000615CD"/>
    <w:rsid w:val="000618A1"/>
    <w:rsid w:val="00061B76"/>
    <w:rsid w:val="00062F54"/>
    <w:rsid w:val="0006418D"/>
    <w:rsid w:val="00064310"/>
    <w:rsid w:val="00064637"/>
    <w:rsid w:val="00065192"/>
    <w:rsid w:val="00065293"/>
    <w:rsid w:val="000653AC"/>
    <w:rsid w:val="0006558F"/>
    <w:rsid w:val="0006701C"/>
    <w:rsid w:val="00067273"/>
    <w:rsid w:val="000672C3"/>
    <w:rsid w:val="00067327"/>
    <w:rsid w:val="00067433"/>
    <w:rsid w:val="00067B73"/>
    <w:rsid w:val="00067CE8"/>
    <w:rsid w:val="0007150B"/>
    <w:rsid w:val="00071886"/>
    <w:rsid w:val="0007245A"/>
    <w:rsid w:val="00074B2A"/>
    <w:rsid w:val="00074DC3"/>
    <w:rsid w:val="000774CA"/>
    <w:rsid w:val="00077EBD"/>
    <w:rsid w:val="00077EEB"/>
    <w:rsid w:val="00080437"/>
    <w:rsid w:val="00081B1F"/>
    <w:rsid w:val="00082296"/>
    <w:rsid w:val="000831DB"/>
    <w:rsid w:val="00083244"/>
    <w:rsid w:val="00083300"/>
    <w:rsid w:val="000838FA"/>
    <w:rsid w:val="00083C38"/>
    <w:rsid w:val="0008445B"/>
    <w:rsid w:val="00084773"/>
    <w:rsid w:val="00084B40"/>
    <w:rsid w:val="000851A3"/>
    <w:rsid w:val="00085B78"/>
    <w:rsid w:val="000863A6"/>
    <w:rsid w:val="0008651D"/>
    <w:rsid w:val="00086665"/>
    <w:rsid w:val="00086B5D"/>
    <w:rsid w:val="00087436"/>
    <w:rsid w:val="00087A36"/>
    <w:rsid w:val="0009023E"/>
    <w:rsid w:val="000909B9"/>
    <w:rsid w:val="00090A0E"/>
    <w:rsid w:val="000910B4"/>
    <w:rsid w:val="00091CDA"/>
    <w:rsid w:val="000925BE"/>
    <w:rsid w:val="000925C2"/>
    <w:rsid w:val="000926D1"/>
    <w:rsid w:val="00092AB5"/>
    <w:rsid w:val="000938F5"/>
    <w:rsid w:val="0009395C"/>
    <w:rsid w:val="00093A52"/>
    <w:rsid w:val="00093ABF"/>
    <w:rsid w:val="00094E73"/>
    <w:rsid w:val="00095663"/>
    <w:rsid w:val="00095F91"/>
    <w:rsid w:val="00096E55"/>
    <w:rsid w:val="0009783E"/>
    <w:rsid w:val="000A049D"/>
    <w:rsid w:val="000A08C2"/>
    <w:rsid w:val="000A2259"/>
    <w:rsid w:val="000A236A"/>
    <w:rsid w:val="000A2941"/>
    <w:rsid w:val="000A2CC9"/>
    <w:rsid w:val="000A2E36"/>
    <w:rsid w:val="000A3169"/>
    <w:rsid w:val="000A3C5C"/>
    <w:rsid w:val="000A3E52"/>
    <w:rsid w:val="000A4912"/>
    <w:rsid w:val="000A5728"/>
    <w:rsid w:val="000A5D29"/>
    <w:rsid w:val="000A5FCE"/>
    <w:rsid w:val="000A6557"/>
    <w:rsid w:val="000A69E1"/>
    <w:rsid w:val="000A6B40"/>
    <w:rsid w:val="000A6BB9"/>
    <w:rsid w:val="000A7188"/>
    <w:rsid w:val="000A737C"/>
    <w:rsid w:val="000B014B"/>
    <w:rsid w:val="000B039E"/>
    <w:rsid w:val="000B1022"/>
    <w:rsid w:val="000B222B"/>
    <w:rsid w:val="000B283F"/>
    <w:rsid w:val="000B2B47"/>
    <w:rsid w:val="000B406C"/>
    <w:rsid w:val="000B5491"/>
    <w:rsid w:val="000B59A5"/>
    <w:rsid w:val="000B5B1D"/>
    <w:rsid w:val="000B5C47"/>
    <w:rsid w:val="000B601B"/>
    <w:rsid w:val="000B625B"/>
    <w:rsid w:val="000B664A"/>
    <w:rsid w:val="000B6769"/>
    <w:rsid w:val="000B6A76"/>
    <w:rsid w:val="000B73EB"/>
    <w:rsid w:val="000C00BA"/>
    <w:rsid w:val="000C0375"/>
    <w:rsid w:val="000C0475"/>
    <w:rsid w:val="000C05ED"/>
    <w:rsid w:val="000C086F"/>
    <w:rsid w:val="000C2058"/>
    <w:rsid w:val="000C207E"/>
    <w:rsid w:val="000C215E"/>
    <w:rsid w:val="000C2449"/>
    <w:rsid w:val="000C24E3"/>
    <w:rsid w:val="000C3509"/>
    <w:rsid w:val="000C3C6E"/>
    <w:rsid w:val="000C3E0C"/>
    <w:rsid w:val="000C3E7F"/>
    <w:rsid w:val="000C4442"/>
    <w:rsid w:val="000C633F"/>
    <w:rsid w:val="000C73C2"/>
    <w:rsid w:val="000C7726"/>
    <w:rsid w:val="000D09C7"/>
    <w:rsid w:val="000D0D12"/>
    <w:rsid w:val="000D1372"/>
    <w:rsid w:val="000D1779"/>
    <w:rsid w:val="000D1ECB"/>
    <w:rsid w:val="000D2076"/>
    <w:rsid w:val="000D2CC8"/>
    <w:rsid w:val="000D332F"/>
    <w:rsid w:val="000D33A5"/>
    <w:rsid w:val="000D37B3"/>
    <w:rsid w:val="000D3F45"/>
    <w:rsid w:val="000D41E9"/>
    <w:rsid w:val="000D474E"/>
    <w:rsid w:val="000D5C33"/>
    <w:rsid w:val="000D654A"/>
    <w:rsid w:val="000D67E0"/>
    <w:rsid w:val="000D6957"/>
    <w:rsid w:val="000D6CF5"/>
    <w:rsid w:val="000D718E"/>
    <w:rsid w:val="000D754F"/>
    <w:rsid w:val="000E00BC"/>
    <w:rsid w:val="000E05F0"/>
    <w:rsid w:val="000E0BF4"/>
    <w:rsid w:val="000E137A"/>
    <w:rsid w:val="000E1E01"/>
    <w:rsid w:val="000E31C1"/>
    <w:rsid w:val="000E3A8B"/>
    <w:rsid w:val="000E4317"/>
    <w:rsid w:val="000E49AB"/>
    <w:rsid w:val="000E5954"/>
    <w:rsid w:val="000E5E0F"/>
    <w:rsid w:val="000E5F06"/>
    <w:rsid w:val="000E6B6C"/>
    <w:rsid w:val="000E7694"/>
    <w:rsid w:val="000F0035"/>
    <w:rsid w:val="000F04E7"/>
    <w:rsid w:val="000F060A"/>
    <w:rsid w:val="000F08B7"/>
    <w:rsid w:val="000F185E"/>
    <w:rsid w:val="000F2754"/>
    <w:rsid w:val="000F3200"/>
    <w:rsid w:val="000F3301"/>
    <w:rsid w:val="000F338C"/>
    <w:rsid w:val="000F36E7"/>
    <w:rsid w:val="000F3B10"/>
    <w:rsid w:val="000F420B"/>
    <w:rsid w:val="000F49FE"/>
    <w:rsid w:val="000F506D"/>
    <w:rsid w:val="000F539C"/>
    <w:rsid w:val="000F5C24"/>
    <w:rsid w:val="000F62D0"/>
    <w:rsid w:val="000F65D3"/>
    <w:rsid w:val="000F6751"/>
    <w:rsid w:val="000F678D"/>
    <w:rsid w:val="000F79C8"/>
    <w:rsid w:val="00100775"/>
    <w:rsid w:val="00101F4D"/>
    <w:rsid w:val="0010253C"/>
    <w:rsid w:val="00102D7B"/>
    <w:rsid w:val="00102DEA"/>
    <w:rsid w:val="00103089"/>
    <w:rsid w:val="001032BC"/>
    <w:rsid w:val="00103BDB"/>
    <w:rsid w:val="00103C92"/>
    <w:rsid w:val="00104498"/>
    <w:rsid w:val="001049F0"/>
    <w:rsid w:val="0010568B"/>
    <w:rsid w:val="001056D7"/>
    <w:rsid w:val="001065C8"/>
    <w:rsid w:val="0010687E"/>
    <w:rsid w:val="00106EB7"/>
    <w:rsid w:val="00107520"/>
    <w:rsid w:val="00107D3E"/>
    <w:rsid w:val="00110116"/>
    <w:rsid w:val="00110993"/>
    <w:rsid w:val="00111AF8"/>
    <w:rsid w:val="001122BA"/>
    <w:rsid w:val="0011267D"/>
    <w:rsid w:val="001128EB"/>
    <w:rsid w:val="00112CA5"/>
    <w:rsid w:val="00113606"/>
    <w:rsid w:val="001139C3"/>
    <w:rsid w:val="00113E7D"/>
    <w:rsid w:val="0011422F"/>
    <w:rsid w:val="001151C4"/>
    <w:rsid w:val="00115D8A"/>
    <w:rsid w:val="00116367"/>
    <w:rsid w:val="00116894"/>
    <w:rsid w:val="0011712A"/>
    <w:rsid w:val="001172A3"/>
    <w:rsid w:val="00120072"/>
    <w:rsid w:val="00121869"/>
    <w:rsid w:val="0012195C"/>
    <w:rsid w:val="00122602"/>
    <w:rsid w:val="00122808"/>
    <w:rsid w:val="00122F00"/>
    <w:rsid w:val="00123075"/>
    <w:rsid w:val="00123F44"/>
    <w:rsid w:val="001244E6"/>
    <w:rsid w:val="0012513A"/>
    <w:rsid w:val="00125EA3"/>
    <w:rsid w:val="00126861"/>
    <w:rsid w:val="00126EB8"/>
    <w:rsid w:val="001274D4"/>
    <w:rsid w:val="00127A39"/>
    <w:rsid w:val="00127AFB"/>
    <w:rsid w:val="00130949"/>
    <w:rsid w:val="001319D4"/>
    <w:rsid w:val="0013262A"/>
    <w:rsid w:val="00132B1E"/>
    <w:rsid w:val="00132BBE"/>
    <w:rsid w:val="001342BD"/>
    <w:rsid w:val="001350D8"/>
    <w:rsid w:val="00135A05"/>
    <w:rsid w:val="001360B0"/>
    <w:rsid w:val="001363AA"/>
    <w:rsid w:val="0013739A"/>
    <w:rsid w:val="00140599"/>
    <w:rsid w:val="00140E78"/>
    <w:rsid w:val="0014101B"/>
    <w:rsid w:val="00141405"/>
    <w:rsid w:val="00141453"/>
    <w:rsid w:val="001419AA"/>
    <w:rsid w:val="00142165"/>
    <w:rsid w:val="0014318A"/>
    <w:rsid w:val="00143261"/>
    <w:rsid w:val="00143A9C"/>
    <w:rsid w:val="00143C01"/>
    <w:rsid w:val="00143D86"/>
    <w:rsid w:val="00143FEA"/>
    <w:rsid w:val="001443B0"/>
    <w:rsid w:val="001445C2"/>
    <w:rsid w:val="0014589E"/>
    <w:rsid w:val="00145F3D"/>
    <w:rsid w:val="00146507"/>
    <w:rsid w:val="0014668F"/>
    <w:rsid w:val="0014721D"/>
    <w:rsid w:val="001473CB"/>
    <w:rsid w:val="00147AF7"/>
    <w:rsid w:val="0015025F"/>
    <w:rsid w:val="00150DBC"/>
    <w:rsid w:val="00150E95"/>
    <w:rsid w:val="00150FCC"/>
    <w:rsid w:val="00151599"/>
    <w:rsid w:val="001518A2"/>
    <w:rsid w:val="001520A3"/>
    <w:rsid w:val="001521A5"/>
    <w:rsid w:val="0015222B"/>
    <w:rsid w:val="00152506"/>
    <w:rsid w:val="00152713"/>
    <w:rsid w:val="001528CE"/>
    <w:rsid w:val="00152C1C"/>
    <w:rsid w:val="00154203"/>
    <w:rsid w:val="001563DF"/>
    <w:rsid w:val="0015739D"/>
    <w:rsid w:val="00161168"/>
    <w:rsid w:val="00162434"/>
    <w:rsid w:val="001626B1"/>
    <w:rsid w:val="001629D0"/>
    <w:rsid w:val="00163407"/>
    <w:rsid w:val="0016548E"/>
    <w:rsid w:val="001661E6"/>
    <w:rsid w:val="0016647C"/>
    <w:rsid w:val="00166CF0"/>
    <w:rsid w:val="0016730F"/>
    <w:rsid w:val="0016747F"/>
    <w:rsid w:val="001675B7"/>
    <w:rsid w:val="00167726"/>
    <w:rsid w:val="001679AD"/>
    <w:rsid w:val="00167CF0"/>
    <w:rsid w:val="00170032"/>
    <w:rsid w:val="00171876"/>
    <w:rsid w:val="00171A35"/>
    <w:rsid w:val="00174F0B"/>
    <w:rsid w:val="0017555E"/>
    <w:rsid w:val="001757BC"/>
    <w:rsid w:val="00175FEA"/>
    <w:rsid w:val="00176274"/>
    <w:rsid w:val="00176AD1"/>
    <w:rsid w:val="00177200"/>
    <w:rsid w:val="00177D26"/>
    <w:rsid w:val="00181C58"/>
    <w:rsid w:val="00181F22"/>
    <w:rsid w:val="001822F2"/>
    <w:rsid w:val="001827C9"/>
    <w:rsid w:val="00183E82"/>
    <w:rsid w:val="001849B3"/>
    <w:rsid w:val="00185880"/>
    <w:rsid w:val="00186AE7"/>
    <w:rsid w:val="001878BB"/>
    <w:rsid w:val="00190086"/>
    <w:rsid w:val="0019024A"/>
    <w:rsid w:val="00190B73"/>
    <w:rsid w:val="00191289"/>
    <w:rsid w:val="00191AE0"/>
    <w:rsid w:val="00191EF4"/>
    <w:rsid w:val="0019293B"/>
    <w:rsid w:val="00193B86"/>
    <w:rsid w:val="0019426B"/>
    <w:rsid w:val="00194977"/>
    <w:rsid w:val="001952B9"/>
    <w:rsid w:val="00195847"/>
    <w:rsid w:val="0019601C"/>
    <w:rsid w:val="00196870"/>
    <w:rsid w:val="00197424"/>
    <w:rsid w:val="0019747B"/>
    <w:rsid w:val="001A18C9"/>
    <w:rsid w:val="001A3392"/>
    <w:rsid w:val="001A3A4A"/>
    <w:rsid w:val="001A417D"/>
    <w:rsid w:val="001A4DD5"/>
    <w:rsid w:val="001A541B"/>
    <w:rsid w:val="001A54FC"/>
    <w:rsid w:val="001A5E24"/>
    <w:rsid w:val="001A6A4B"/>
    <w:rsid w:val="001A6EC5"/>
    <w:rsid w:val="001A7B82"/>
    <w:rsid w:val="001B030E"/>
    <w:rsid w:val="001B126B"/>
    <w:rsid w:val="001B1428"/>
    <w:rsid w:val="001B18AD"/>
    <w:rsid w:val="001B1D2D"/>
    <w:rsid w:val="001B2CBD"/>
    <w:rsid w:val="001B2CC0"/>
    <w:rsid w:val="001B3B9D"/>
    <w:rsid w:val="001B3C7B"/>
    <w:rsid w:val="001B48D9"/>
    <w:rsid w:val="001B5BFF"/>
    <w:rsid w:val="001B6493"/>
    <w:rsid w:val="001B6D0B"/>
    <w:rsid w:val="001B7FB8"/>
    <w:rsid w:val="001C0865"/>
    <w:rsid w:val="001C0A9B"/>
    <w:rsid w:val="001C0AED"/>
    <w:rsid w:val="001C2250"/>
    <w:rsid w:val="001C2BCD"/>
    <w:rsid w:val="001C3613"/>
    <w:rsid w:val="001C3ABA"/>
    <w:rsid w:val="001C4177"/>
    <w:rsid w:val="001C5111"/>
    <w:rsid w:val="001C6D36"/>
    <w:rsid w:val="001C6EA5"/>
    <w:rsid w:val="001C6F6F"/>
    <w:rsid w:val="001C7164"/>
    <w:rsid w:val="001C7CCB"/>
    <w:rsid w:val="001D0AAE"/>
    <w:rsid w:val="001D0DF3"/>
    <w:rsid w:val="001D17AA"/>
    <w:rsid w:val="001D1D9A"/>
    <w:rsid w:val="001D2595"/>
    <w:rsid w:val="001D25F2"/>
    <w:rsid w:val="001D2888"/>
    <w:rsid w:val="001D31BE"/>
    <w:rsid w:val="001D3459"/>
    <w:rsid w:val="001D3498"/>
    <w:rsid w:val="001D3664"/>
    <w:rsid w:val="001D3DEB"/>
    <w:rsid w:val="001D4522"/>
    <w:rsid w:val="001D4754"/>
    <w:rsid w:val="001D4DE2"/>
    <w:rsid w:val="001D527A"/>
    <w:rsid w:val="001D6120"/>
    <w:rsid w:val="001D6290"/>
    <w:rsid w:val="001D65F8"/>
    <w:rsid w:val="001D70F2"/>
    <w:rsid w:val="001D736B"/>
    <w:rsid w:val="001D78B0"/>
    <w:rsid w:val="001E03AA"/>
    <w:rsid w:val="001E0E48"/>
    <w:rsid w:val="001E1114"/>
    <w:rsid w:val="001E4CAC"/>
    <w:rsid w:val="001E599B"/>
    <w:rsid w:val="001E6C97"/>
    <w:rsid w:val="001E6EC5"/>
    <w:rsid w:val="001E714F"/>
    <w:rsid w:val="001E71F5"/>
    <w:rsid w:val="001E7BE8"/>
    <w:rsid w:val="001F0248"/>
    <w:rsid w:val="001F04AF"/>
    <w:rsid w:val="001F0AD3"/>
    <w:rsid w:val="001F0B35"/>
    <w:rsid w:val="001F112E"/>
    <w:rsid w:val="001F16F0"/>
    <w:rsid w:val="001F1F4F"/>
    <w:rsid w:val="001F2099"/>
    <w:rsid w:val="001F341F"/>
    <w:rsid w:val="001F391B"/>
    <w:rsid w:val="001F398C"/>
    <w:rsid w:val="001F3EB3"/>
    <w:rsid w:val="001F4BEB"/>
    <w:rsid w:val="001F4F86"/>
    <w:rsid w:val="001F4F8D"/>
    <w:rsid w:val="001F5552"/>
    <w:rsid w:val="001F5A8A"/>
    <w:rsid w:val="001F5C6C"/>
    <w:rsid w:val="001F6517"/>
    <w:rsid w:val="001F6885"/>
    <w:rsid w:val="001F73EA"/>
    <w:rsid w:val="00200875"/>
    <w:rsid w:val="00201109"/>
    <w:rsid w:val="00202353"/>
    <w:rsid w:val="00202BF6"/>
    <w:rsid w:val="00202C2C"/>
    <w:rsid w:val="00203050"/>
    <w:rsid w:val="00203BF6"/>
    <w:rsid w:val="00203E01"/>
    <w:rsid w:val="00204C20"/>
    <w:rsid w:val="00204F9E"/>
    <w:rsid w:val="00204FCF"/>
    <w:rsid w:val="002050B2"/>
    <w:rsid w:val="0020550B"/>
    <w:rsid w:val="00206241"/>
    <w:rsid w:val="00206EE2"/>
    <w:rsid w:val="00210229"/>
    <w:rsid w:val="00210AD6"/>
    <w:rsid w:val="00211EB4"/>
    <w:rsid w:val="002125F5"/>
    <w:rsid w:val="00212623"/>
    <w:rsid w:val="002126BC"/>
    <w:rsid w:val="0021270C"/>
    <w:rsid w:val="00212CF1"/>
    <w:rsid w:val="002133B9"/>
    <w:rsid w:val="002135AB"/>
    <w:rsid w:val="0021410E"/>
    <w:rsid w:val="00214273"/>
    <w:rsid w:val="002144BE"/>
    <w:rsid w:val="00214CB3"/>
    <w:rsid w:val="00215048"/>
    <w:rsid w:val="0021515F"/>
    <w:rsid w:val="0021521A"/>
    <w:rsid w:val="00215FE5"/>
    <w:rsid w:val="0021722E"/>
    <w:rsid w:val="00217BB1"/>
    <w:rsid w:val="00217E20"/>
    <w:rsid w:val="00217F07"/>
    <w:rsid w:val="002205E3"/>
    <w:rsid w:val="00221040"/>
    <w:rsid w:val="00221177"/>
    <w:rsid w:val="00221612"/>
    <w:rsid w:val="00221732"/>
    <w:rsid w:val="00222D34"/>
    <w:rsid w:val="00223247"/>
    <w:rsid w:val="00223B1D"/>
    <w:rsid w:val="00224769"/>
    <w:rsid w:val="002250B5"/>
    <w:rsid w:val="0022575F"/>
    <w:rsid w:val="0022664B"/>
    <w:rsid w:val="00226A69"/>
    <w:rsid w:val="00226B32"/>
    <w:rsid w:val="0022704A"/>
    <w:rsid w:val="002275B7"/>
    <w:rsid w:val="00227AEA"/>
    <w:rsid w:val="00227FA1"/>
    <w:rsid w:val="00231222"/>
    <w:rsid w:val="00231948"/>
    <w:rsid w:val="00231B03"/>
    <w:rsid w:val="00231FF2"/>
    <w:rsid w:val="002320B8"/>
    <w:rsid w:val="00232A66"/>
    <w:rsid w:val="00234974"/>
    <w:rsid w:val="00234B55"/>
    <w:rsid w:val="002350C5"/>
    <w:rsid w:val="00235437"/>
    <w:rsid w:val="00235693"/>
    <w:rsid w:val="00235E85"/>
    <w:rsid w:val="0023615A"/>
    <w:rsid w:val="002363D3"/>
    <w:rsid w:val="002371B9"/>
    <w:rsid w:val="00237604"/>
    <w:rsid w:val="00240765"/>
    <w:rsid w:val="00240EC3"/>
    <w:rsid w:val="00241CA9"/>
    <w:rsid w:val="00241EBE"/>
    <w:rsid w:val="002421E3"/>
    <w:rsid w:val="00242279"/>
    <w:rsid w:val="00243563"/>
    <w:rsid w:val="002438AA"/>
    <w:rsid w:val="00243997"/>
    <w:rsid w:val="00243E8D"/>
    <w:rsid w:val="0024516C"/>
    <w:rsid w:val="00245532"/>
    <w:rsid w:val="00245C82"/>
    <w:rsid w:val="00245E36"/>
    <w:rsid w:val="00246A07"/>
    <w:rsid w:val="00246B06"/>
    <w:rsid w:val="00247340"/>
    <w:rsid w:val="002478A2"/>
    <w:rsid w:val="00250AB3"/>
    <w:rsid w:val="00250D32"/>
    <w:rsid w:val="002518FD"/>
    <w:rsid w:val="00251E01"/>
    <w:rsid w:val="00251E5E"/>
    <w:rsid w:val="00252261"/>
    <w:rsid w:val="002522BD"/>
    <w:rsid w:val="00254145"/>
    <w:rsid w:val="002557E7"/>
    <w:rsid w:val="00256A16"/>
    <w:rsid w:val="00257288"/>
    <w:rsid w:val="00257ACE"/>
    <w:rsid w:val="00257D48"/>
    <w:rsid w:val="00260625"/>
    <w:rsid w:val="00260F95"/>
    <w:rsid w:val="002615A1"/>
    <w:rsid w:val="00261EFB"/>
    <w:rsid w:val="002636DF"/>
    <w:rsid w:val="002637F5"/>
    <w:rsid w:val="0026386A"/>
    <w:rsid w:val="00264C68"/>
    <w:rsid w:val="00264D7B"/>
    <w:rsid w:val="00264E80"/>
    <w:rsid w:val="0026544F"/>
    <w:rsid w:val="00265BCB"/>
    <w:rsid w:val="00265C8D"/>
    <w:rsid w:val="002663DA"/>
    <w:rsid w:val="0026661F"/>
    <w:rsid w:val="00266AE6"/>
    <w:rsid w:val="0027098F"/>
    <w:rsid w:val="00270A8B"/>
    <w:rsid w:val="002711DC"/>
    <w:rsid w:val="002724BA"/>
    <w:rsid w:val="00273031"/>
    <w:rsid w:val="002741B6"/>
    <w:rsid w:val="00274ECC"/>
    <w:rsid w:val="00275E4F"/>
    <w:rsid w:val="0027639C"/>
    <w:rsid w:val="002766DA"/>
    <w:rsid w:val="00280C33"/>
    <w:rsid w:val="00280E0A"/>
    <w:rsid w:val="002819B1"/>
    <w:rsid w:val="00282053"/>
    <w:rsid w:val="002821D4"/>
    <w:rsid w:val="00282291"/>
    <w:rsid w:val="00282D6E"/>
    <w:rsid w:val="00283D99"/>
    <w:rsid w:val="002851E8"/>
    <w:rsid w:val="00285D9B"/>
    <w:rsid w:val="002863B5"/>
    <w:rsid w:val="002864EF"/>
    <w:rsid w:val="00286B0D"/>
    <w:rsid w:val="002871A8"/>
    <w:rsid w:val="00287951"/>
    <w:rsid w:val="002906F0"/>
    <w:rsid w:val="00290BBA"/>
    <w:rsid w:val="00291460"/>
    <w:rsid w:val="00291804"/>
    <w:rsid w:val="002918C2"/>
    <w:rsid w:val="00291B40"/>
    <w:rsid w:val="00292C29"/>
    <w:rsid w:val="0029403A"/>
    <w:rsid w:val="00294071"/>
    <w:rsid w:val="00294529"/>
    <w:rsid w:val="00294DA7"/>
    <w:rsid w:val="002960ED"/>
    <w:rsid w:val="002967B0"/>
    <w:rsid w:val="002975DC"/>
    <w:rsid w:val="0029791B"/>
    <w:rsid w:val="002A061C"/>
    <w:rsid w:val="002A15B7"/>
    <w:rsid w:val="002A1642"/>
    <w:rsid w:val="002A1924"/>
    <w:rsid w:val="002A1B73"/>
    <w:rsid w:val="002A1C57"/>
    <w:rsid w:val="002A1EE4"/>
    <w:rsid w:val="002A3460"/>
    <w:rsid w:val="002A3C21"/>
    <w:rsid w:val="002A3C57"/>
    <w:rsid w:val="002A3F7B"/>
    <w:rsid w:val="002A4287"/>
    <w:rsid w:val="002A48D7"/>
    <w:rsid w:val="002A550E"/>
    <w:rsid w:val="002A56E8"/>
    <w:rsid w:val="002A591A"/>
    <w:rsid w:val="002A5DFD"/>
    <w:rsid w:val="002A6601"/>
    <w:rsid w:val="002A7431"/>
    <w:rsid w:val="002B03B1"/>
    <w:rsid w:val="002B06D3"/>
    <w:rsid w:val="002B0D46"/>
    <w:rsid w:val="002B0F19"/>
    <w:rsid w:val="002B125D"/>
    <w:rsid w:val="002B1D77"/>
    <w:rsid w:val="002B220B"/>
    <w:rsid w:val="002B26F1"/>
    <w:rsid w:val="002B2D83"/>
    <w:rsid w:val="002B3518"/>
    <w:rsid w:val="002B3A49"/>
    <w:rsid w:val="002B3DE6"/>
    <w:rsid w:val="002B4008"/>
    <w:rsid w:val="002B4469"/>
    <w:rsid w:val="002B5C82"/>
    <w:rsid w:val="002B5F54"/>
    <w:rsid w:val="002B62F3"/>
    <w:rsid w:val="002B6B91"/>
    <w:rsid w:val="002B7959"/>
    <w:rsid w:val="002C118E"/>
    <w:rsid w:val="002C1A20"/>
    <w:rsid w:val="002C2D87"/>
    <w:rsid w:val="002C3883"/>
    <w:rsid w:val="002C3DFB"/>
    <w:rsid w:val="002C3F45"/>
    <w:rsid w:val="002C439F"/>
    <w:rsid w:val="002C52F7"/>
    <w:rsid w:val="002C5581"/>
    <w:rsid w:val="002C5A8C"/>
    <w:rsid w:val="002C6020"/>
    <w:rsid w:val="002C6880"/>
    <w:rsid w:val="002C6A6D"/>
    <w:rsid w:val="002C6BBC"/>
    <w:rsid w:val="002C7671"/>
    <w:rsid w:val="002C78AA"/>
    <w:rsid w:val="002C7F02"/>
    <w:rsid w:val="002D0C42"/>
    <w:rsid w:val="002D0E8E"/>
    <w:rsid w:val="002D0EC7"/>
    <w:rsid w:val="002D107D"/>
    <w:rsid w:val="002D114F"/>
    <w:rsid w:val="002D1178"/>
    <w:rsid w:val="002D214F"/>
    <w:rsid w:val="002D2DB3"/>
    <w:rsid w:val="002D2E00"/>
    <w:rsid w:val="002D332E"/>
    <w:rsid w:val="002D3A16"/>
    <w:rsid w:val="002D527F"/>
    <w:rsid w:val="002D5569"/>
    <w:rsid w:val="002D59BA"/>
    <w:rsid w:val="002D5A60"/>
    <w:rsid w:val="002D67DA"/>
    <w:rsid w:val="002D6AC8"/>
    <w:rsid w:val="002D7429"/>
    <w:rsid w:val="002E13CB"/>
    <w:rsid w:val="002E28AB"/>
    <w:rsid w:val="002E3132"/>
    <w:rsid w:val="002E347B"/>
    <w:rsid w:val="002E3D00"/>
    <w:rsid w:val="002E4FF8"/>
    <w:rsid w:val="002E6213"/>
    <w:rsid w:val="002E6784"/>
    <w:rsid w:val="002E6D67"/>
    <w:rsid w:val="002E79EC"/>
    <w:rsid w:val="002E7AD2"/>
    <w:rsid w:val="002E7B05"/>
    <w:rsid w:val="002E7ECE"/>
    <w:rsid w:val="002F0776"/>
    <w:rsid w:val="002F1256"/>
    <w:rsid w:val="002F14BF"/>
    <w:rsid w:val="002F1622"/>
    <w:rsid w:val="002F1F07"/>
    <w:rsid w:val="002F381F"/>
    <w:rsid w:val="002F3A2F"/>
    <w:rsid w:val="002F3BEC"/>
    <w:rsid w:val="002F4ABF"/>
    <w:rsid w:val="002F4ED0"/>
    <w:rsid w:val="002F5B90"/>
    <w:rsid w:val="002F64A9"/>
    <w:rsid w:val="002F6740"/>
    <w:rsid w:val="002F6E10"/>
    <w:rsid w:val="002F6FD2"/>
    <w:rsid w:val="002F7C73"/>
    <w:rsid w:val="002F7D33"/>
    <w:rsid w:val="00300965"/>
    <w:rsid w:val="00300B42"/>
    <w:rsid w:val="00301073"/>
    <w:rsid w:val="00301189"/>
    <w:rsid w:val="00301C2B"/>
    <w:rsid w:val="00301E4A"/>
    <w:rsid w:val="00301E5D"/>
    <w:rsid w:val="0030234B"/>
    <w:rsid w:val="00302F4E"/>
    <w:rsid w:val="003037CA"/>
    <w:rsid w:val="00303804"/>
    <w:rsid w:val="00304380"/>
    <w:rsid w:val="00304682"/>
    <w:rsid w:val="00305915"/>
    <w:rsid w:val="0030781A"/>
    <w:rsid w:val="0031086A"/>
    <w:rsid w:val="00311ED2"/>
    <w:rsid w:val="00314524"/>
    <w:rsid w:val="0031472A"/>
    <w:rsid w:val="003154B4"/>
    <w:rsid w:val="003154D9"/>
    <w:rsid w:val="00315688"/>
    <w:rsid w:val="003166E3"/>
    <w:rsid w:val="003168B8"/>
    <w:rsid w:val="003168C2"/>
    <w:rsid w:val="00317A01"/>
    <w:rsid w:val="00317D72"/>
    <w:rsid w:val="00317DEC"/>
    <w:rsid w:val="00320045"/>
    <w:rsid w:val="003201A7"/>
    <w:rsid w:val="003217A7"/>
    <w:rsid w:val="0032211A"/>
    <w:rsid w:val="00322126"/>
    <w:rsid w:val="003223BB"/>
    <w:rsid w:val="003229B4"/>
    <w:rsid w:val="00322C0A"/>
    <w:rsid w:val="00322D64"/>
    <w:rsid w:val="00323E09"/>
    <w:rsid w:val="00324938"/>
    <w:rsid w:val="00324A2F"/>
    <w:rsid w:val="00324E44"/>
    <w:rsid w:val="00325855"/>
    <w:rsid w:val="00325BE6"/>
    <w:rsid w:val="00325F9D"/>
    <w:rsid w:val="00326076"/>
    <w:rsid w:val="0032668D"/>
    <w:rsid w:val="00326DDA"/>
    <w:rsid w:val="003301FE"/>
    <w:rsid w:val="00330A14"/>
    <w:rsid w:val="0033101E"/>
    <w:rsid w:val="00331408"/>
    <w:rsid w:val="0033223A"/>
    <w:rsid w:val="00332B82"/>
    <w:rsid w:val="00333932"/>
    <w:rsid w:val="003348F9"/>
    <w:rsid w:val="003352FD"/>
    <w:rsid w:val="003354D1"/>
    <w:rsid w:val="003355CA"/>
    <w:rsid w:val="003359A1"/>
    <w:rsid w:val="00335D9E"/>
    <w:rsid w:val="003371DB"/>
    <w:rsid w:val="003372F9"/>
    <w:rsid w:val="00340071"/>
    <w:rsid w:val="003407D2"/>
    <w:rsid w:val="00340C06"/>
    <w:rsid w:val="00340EAB"/>
    <w:rsid w:val="00341127"/>
    <w:rsid w:val="00341276"/>
    <w:rsid w:val="0034249E"/>
    <w:rsid w:val="0034266A"/>
    <w:rsid w:val="00342C8B"/>
    <w:rsid w:val="0034397C"/>
    <w:rsid w:val="0034469C"/>
    <w:rsid w:val="00344E8E"/>
    <w:rsid w:val="003459F9"/>
    <w:rsid w:val="003463E7"/>
    <w:rsid w:val="00346B39"/>
    <w:rsid w:val="00346BD5"/>
    <w:rsid w:val="00346C6A"/>
    <w:rsid w:val="00346EB6"/>
    <w:rsid w:val="00347010"/>
    <w:rsid w:val="003474F4"/>
    <w:rsid w:val="00347704"/>
    <w:rsid w:val="00347C8C"/>
    <w:rsid w:val="00350006"/>
    <w:rsid w:val="00350C77"/>
    <w:rsid w:val="00350E30"/>
    <w:rsid w:val="003518AA"/>
    <w:rsid w:val="00352165"/>
    <w:rsid w:val="003528BE"/>
    <w:rsid w:val="00353073"/>
    <w:rsid w:val="00353182"/>
    <w:rsid w:val="00353232"/>
    <w:rsid w:val="003535AD"/>
    <w:rsid w:val="0035362E"/>
    <w:rsid w:val="00353B46"/>
    <w:rsid w:val="003546E8"/>
    <w:rsid w:val="00354C08"/>
    <w:rsid w:val="00355988"/>
    <w:rsid w:val="00356291"/>
    <w:rsid w:val="003565D9"/>
    <w:rsid w:val="00357B26"/>
    <w:rsid w:val="00357D3A"/>
    <w:rsid w:val="00357D77"/>
    <w:rsid w:val="003602E1"/>
    <w:rsid w:val="00360534"/>
    <w:rsid w:val="00361371"/>
    <w:rsid w:val="0036192D"/>
    <w:rsid w:val="00362017"/>
    <w:rsid w:val="003626FE"/>
    <w:rsid w:val="00363A56"/>
    <w:rsid w:val="0036419B"/>
    <w:rsid w:val="0036453A"/>
    <w:rsid w:val="00364BE8"/>
    <w:rsid w:val="003655C8"/>
    <w:rsid w:val="00365606"/>
    <w:rsid w:val="00366C76"/>
    <w:rsid w:val="00366D51"/>
    <w:rsid w:val="003701F2"/>
    <w:rsid w:val="0037026F"/>
    <w:rsid w:val="00371240"/>
    <w:rsid w:val="003719D1"/>
    <w:rsid w:val="00371FD6"/>
    <w:rsid w:val="003727CC"/>
    <w:rsid w:val="00372F20"/>
    <w:rsid w:val="00372FBE"/>
    <w:rsid w:val="00374652"/>
    <w:rsid w:val="00374731"/>
    <w:rsid w:val="00374C65"/>
    <w:rsid w:val="00374FFE"/>
    <w:rsid w:val="003755BE"/>
    <w:rsid w:val="00375983"/>
    <w:rsid w:val="00376D97"/>
    <w:rsid w:val="00376E59"/>
    <w:rsid w:val="00377014"/>
    <w:rsid w:val="003771D1"/>
    <w:rsid w:val="00377EC1"/>
    <w:rsid w:val="00377FE0"/>
    <w:rsid w:val="003802FF"/>
    <w:rsid w:val="00380340"/>
    <w:rsid w:val="00380373"/>
    <w:rsid w:val="00381351"/>
    <w:rsid w:val="00381883"/>
    <w:rsid w:val="003836BF"/>
    <w:rsid w:val="00383D39"/>
    <w:rsid w:val="003858A1"/>
    <w:rsid w:val="00386F12"/>
    <w:rsid w:val="00387911"/>
    <w:rsid w:val="00390E01"/>
    <w:rsid w:val="0039107F"/>
    <w:rsid w:val="003919F9"/>
    <w:rsid w:val="003920CF"/>
    <w:rsid w:val="003927A0"/>
    <w:rsid w:val="00392E9F"/>
    <w:rsid w:val="00392F19"/>
    <w:rsid w:val="003942A4"/>
    <w:rsid w:val="003943C1"/>
    <w:rsid w:val="00394560"/>
    <w:rsid w:val="003945B6"/>
    <w:rsid w:val="00395FF6"/>
    <w:rsid w:val="003971DD"/>
    <w:rsid w:val="0039742F"/>
    <w:rsid w:val="00397A58"/>
    <w:rsid w:val="003A040F"/>
    <w:rsid w:val="003A0C38"/>
    <w:rsid w:val="003A1CB8"/>
    <w:rsid w:val="003A307B"/>
    <w:rsid w:val="003A3B23"/>
    <w:rsid w:val="003A4734"/>
    <w:rsid w:val="003A49A9"/>
    <w:rsid w:val="003A5297"/>
    <w:rsid w:val="003A5AA8"/>
    <w:rsid w:val="003A63D9"/>
    <w:rsid w:val="003A64C1"/>
    <w:rsid w:val="003A6EBD"/>
    <w:rsid w:val="003A7F05"/>
    <w:rsid w:val="003B0084"/>
    <w:rsid w:val="003B0502"/>
    <w:rsid w:val="003B0C3F"/>
    <w:rsid w:val="003B1085"/>
    <w:rsid w:val="003B1116"/>
    <w:rsid w:val="003B1C73"/>
    <w:rsid w:val="003B1CBB"/>
    <w:rsid w:val="003B1F46"/>
    <w:rsid w:val="003B23C2"/>
    <w:rsid w:val="003B3520"/>
    <w:rsid w:val="003B3D59"/>
    <w:rsid w:val="003B427F"/>
    <w:rsid w:val="003B42B8"/>
    <w:rsid w:val="003B5869"/>
    <w:rsid w:val="003B5C4A"/>
    <w:rsid w:val="003B624A"/>
    <w:rsid w:val="003B671F"/>
    <w:rsid w:val="003B6D7B"/>
    <w:rsid w:val="003B71AF"/>
    <w:rsid w:val="003B76E3"/>
    <w:rsid w:val="003B7960"/>
    <w:rsid w:val="003C001E"/>
    <w:rsid w:val="003C027B"/>
    <w:rsid w:val="003C0454"/>
    <w:rsid w:val="003C06F9"/>
    <w:rsid w:val="003C0CB1"/>
    <w:rsid w:val="003C1713"/>
    <w:rsid w:val="003C1836"/>
    <w:rsid w:val="003C1A07"/>
    <w:rsid w:val="003C1BC9"/>
    <w:rsid w:val="003C202C"/>
    <w:rsid w:val="003C206B"/>
    <w:rsid w:val="003C3655"/>
    <w:rsid w:val="003C38B5"/>
    <w:rsid w:val="003C3921"/>
    <w:rsid w:val="003C398B"/>
    <w:rsid w:val="003C4B65"/>
    <w:rsid w:val="003C5D99"/>
    <w:rsid w:val="003C5E19"/>
    <w:rsid w:val="003D0106"/>
    <w:rsid w:val="003D033E"/>
    <w:rsid w:val="003D072A"/>
    <w:rsid w:val="003D0873"/>
    <w:rsid w:val="003D0A67"/>
    <w:rsid w:val="003D1087"/>
    <w:rsid w:val="003D2102"/>
    <w:rsid w:val="003D2B0F"/>
    <w:rsid w:val="003D3323"/>
    <w:rsid w:val="003D3F46"/>
    <w:rsid w:val="003D44CE"/>
    <w:rsid w:val="003D4FE3"/>
    <w:rsid w:val="003D5D2B"/>
    <w:rsid w:val="003D602F"/>
    <w:rsid w:val="003D603D"/>
    <w:rsid w:val="003D6351"/>
    <w:rsid w:val="003D6354"/>
    <w:rsid w:val="003E0D16"/>
    <w:rsid w:val="003E1686"/>
    <w:rsid w:val="003E1A68"/>
    <w:rsid w:val="003E2F59"/>
    <w:rsid w:val="003E35EC"/>
    <w:rsid w:val="003E424C"/>
    <w:rsid w:val="003E4252"/>
    <w:rsid w:val="003E4DEC"/>
    <w:rsid w:val="003E5043"/>
    <w:rsid w:val="003E62BA"/>
    <w:rsid w:val="003E6879"/>
    <w:rsid w:val="003E69DE"/>
    <w:rsid w:val="003E6FFB"/>
    <w:rsid w:val="003E70D2"/>
    <w:rsid w:val="003E746B"/>
    <w:rsid w:val="003F0789"/>
    <w:rsid w:val="003F1DAB"/>
    <w:rsid w:val="003F219F"/>
    <w:rsid w:val="003F33C8"/>
    <w:rsid w:val="003F46B0"/>
    <w:rsid w:val="003F4765"/>
    <w:rsid w:val="003F50A9"/>
    <w:rsid w:val="003F5869"/>
    <w:rsid w:val="003F5907"/>
    <w:rsid w:val="003F5A4C"/>
    <w:rsid w:val="003F6177"/>
    <w:rsid w:val="003F6697"/>
    <w:rsid w:val="003F680C"/>
    <w:rsid w:val="003F6B96"/>
    <w:rsid w:val="003F76FA"/>
    <w:rsid w:val="003F7B5B"/>
    <w:rsid w:val="004002E5"/>
    <w:rsid w:val="00400578"/>
    <w:rsid w:val="00400E45"/>
    <w:rsid w:val="00401882"/>
    <w:rsid w:val="00402615"/>
    <w:rsid w:val="00402640"/>
    <w:rsid w:val="00402E3C"/>
    <w:rsid w:val="0040424A"/>
    <w:rsid w:val="0040437C"/>
    <w:rsid w:val="004045C4"/>
    <w:rsid w:val="004050B7"/>
    <w:rsid w:val="004050D3"/>
    <w:rsid w:val="00405667"/>
    <w:rsid w:val="0040714D"/>
    <w:rsid w:val="004077F2"/>
    <w:rsid w:val="004100C8"/>
    <w:rsid w:val="004103EF"/>
    <w:rsid w:val="00410512"/>
    <w:rsid w:val="0041055E"/>
    <w:rsid w:val="00411390"/>
    <w:rsid w:val="00411812"/>
    <w:rsid w:val="00411DBD"/>
    <w:rsid w:val="004125F9"/>
    <w:rsid w:val="00412ACE"/>
    <w:rsid w:val="00412DC0"/>
    <w:rsid w:val="00413192"/>
    <w:rsid w:val="004131D6"/>
    <w:rsid w:val="004132EE"/>
    <w:rsid w:val="00413B27"/>
    <w:rsid w:val="004145D2"/>
    <w:rsid w:val="00414626"/>
    <w:rsid w:val="00414FB3"/>
    <w:rsid w:val="004152D5"/>
    <w:rsid w:val="00415EFA"/>
    <w:rsid w:val="0041630A"/>
    <w:rsid w:val="0041712F"/>
    <w:rsid w:val="00417D4D"/>
    <w:rsid w:val="0042076E"/>
    <w:rsid w:val="00421EE5"/>
    <w:rsid w:val="0042227A"/>
    <w:rsid w:val="00423235"/>
    <w:rsid w:val="004236F0"/>
    <w:rsid w:val="0042451A"/>
    <w:rsid w:val="0042463B"/>
    <w:rsid w:val="00424A8F"/>
    <w:rsid w:val="00425128"/>
    <w:rsid w:val="004260D9"/>
    <w:rsid w:val="00426B55"/>
    <w:rsid w:val="00426CB4"/>
    <w:rsid w:val="00427C59"/>
    <w:rsid w:val="00430E67"/>
    <w:rsid w:val="00431249"/>
    <w:rsid w:val="00431850"/>
    <w:rsid w:val="00432113"/>
    <w:rsid w:val="00432A96"/>
    <w:rsid w:val="00432DEA"/>
    <w:rsid w:val="00433925"/>
    <w:rsid w:val="00433E25"/>
    <w:rsid w:val="00434BA6"/>
    <w:rsid w:val="00434C19"/>
    <w:rsid w:val="00434C4D"/>
    <w:rsid w:val="004350A2"/>
    <w:rsid w:val="0043535B"/>
    <w:rsid w:val="00435B00"/>
    <w:rsid w:val="00437695"/>
    <w:rsid w:val="004405E0"/>
    <w:rsid w:val="00440F28"/>
    <w:rsid w:val="004412FD"/>
    <w:rsid w:val="00441787"/>
    <w:rsid w:val="00442092"/>
    <w:rsid w:val="004425EC"/>
    <w:rsid w:val="00443CB1"/>
    <w:rsid w:val="004449A7"/>
    <w:rsid w:val="004449FE"/>
    <w:rsid w:val="004456DF"/>
    <w:rsid w:val="0044590F"/>
    <w:rsid w:val="00445CFD"/>
    <w:rsid w:val="00445D12"/>
    <w:rsid w:val="004462E7"/>
    <w:rsid w:val="004473E6"/>
    <w:rsid w:val="00450810"/>
    <w:rsid w:val="004516BE"/>
    <w:rsid w:val="00451A97"/>
    <w:rsid w:val="00451AC7"/>
    <w:rsid w:val="00452A2E"/>
    <w:rsid w:val="00453E03"/>
    <w:rsid w:val="00453E04"/>
    <w:rsid w:val="004553C2"/>
    <w:rsid w:val="004558D3"/>
    <w:rsid w:val="004559EE"/>
    <w:rsid w:val="004559F2"/>
    <w:rsid w:val="00457832"/>
    <w:rsid w:val="00460F20"/>
    <w:rsid w:val="004619CA"/>
    <w:rsid w:val="00462484"/>
    <w:rsid w:val="004624F6"/>
    <w:rsid w:val="004628A5"/>
    <w:rsid w:val="00462943"/>
    <w:rsid w:val="00462C59"/>
    <w:rsid w:val="004637BC"/>
    <w:rsid w:val="00463AE2"/>
    <w:rsid w:val="004662A2"/>
    <w:rsid w:val="00466E42"/>
    <w:rsid w:val="004677B1"/>
    <w:rsid w:val="00467C74"/>
    <w:rsid w:val="00470737"/>
    <w:rsid w:val="004709F0"/>
    <w:rsid w:val="00470E3F"/>
    <w:rsid w:val="0047100F"/>
    <w:rsid w:val="00471BB3"/>
    <w:rsid w:val="00471D49"/>
    <w:rsid w:val="00471F69"/>
    <w:rsid w:val="004720C9"/>
    <w:rsid w:val="00472133"/>
    <w:rsid w:val="004723DA"/>
    <w:rsid w:val="00473FD6"/>
    <w:rsid w:val="004740D1"/>
    <w:rsid w:val="00474D73"/>
    <w:rsid w:val="00474F94"/>
    <w:rsid w:val="004754B0"/>
    <w:rsid w:val="00475E17"/>
    <w:rsid w:val="00475F87"/>
    <w:rsid w:val="00477144"/>
    <w:rsid w:val="00477DDF"/>
    <w:rsid w:val="00477EE9"/>
    <w:rsid w:val="00480477"/>
    <w:rsid w:val="00480582"/>
    <w:rsid w:val="00480965"/>
    <w:rsid w:val="004811CE"/>
    <w:rsid w:val="0048151E"/>
    <w:rsid w:val="0048171C"/>
    <w:rsid w:val="004823B7"/>
    <w:rsid w:val="00483005"/>
    <w:rsid w:val="004831A2"/>
    <w:rsid w:val="00484935"/>
    <w:rsid w:val="00484966"/>
    <w:rsid w:val="00484CAC"/>
    <w:rsid w:val="00485942"/>
    <w:rsid w:val="00485D1F"/>
    <w:rsid w:val="00486820"/>
    <w:rsid w:val="00487A17"/>
    <w:rsid w:val="00487F18"/>
    <w:rsid w:val="00490034"/>
    <w:rsid w:val="00490206"/>
    <w:rsid w:val="004905D6"/>
    <w:rsid w:val="00490E52"/>
    <w:rsid w:val="00490F92"/>
    <w:rsid w:val="00491380"/>
    <w:rsid w:val="004920DB"/>
    <w:rsid w:val="0049237F"/>
    <w:rsid w:val="00493D2D"/>
    <w:rsid w:val="0049459F"/>
    <w:rsid w:val="00494857"/>
    <w:rsid w:val="00494916"/>
    <w:rsid w:val="00495AF3"/>
    <w:rsid w:val="004974D9"/>
    <w:rsid w:val="004A03E9"/>
    <w:rsid w:val="004A098B"/>
    <w:rsid w:val="004A09EB"/>
    <w:rsid w:val="004A0C6A"/>
    <w:rsid w:val="004A0E60"/>
    <w:rsid w:val="004A1921"/>
    <w:rsid w:val="004A1C13"/>
    <w:rsid w:val="004A1D08"/>
    <w:rsid w:val="004A239C"/>
    <w:rsid w:val="004A2A46"/>
    <w:rsid w:val="004A37BD"/>
    <w:rsid w:val="004A38DD"/>
    <w:rsid w:val="004A4055"/>
    <w:rsid w:val="004A45A8"/>
    <w:rsid w:val="004A4E26"/>
    <w:rsid w:val="004A5264"/>
    <w:rsid w:val="004A5D41"/>
    <w:rsid w:val="004A5F42"/>
    <w:rsid w:val="004A68FE"/>
    <w:rsid w:val="004A6FBB"/>
    <w:rsid w:val="004A76D3"/>
    <w:rsid w:val="004A7ED0"/>
    <w:rsid w:val="004B0D91"/>
    <w:rsid w:val="004B2D23"/>
    <w:rsid w:val="004B2DC5"/>
    <w:rsid w:val="004B2FE8"/>
    <w:rsid w:val="004B33AB"/>
    <w:rsid w:val="004B38E1"/>
    <w:rsid w:val="004B43AE"/>
    <w:rsid w:val="004B483E"/>
    <w:rsid w:val="004B4AB9"/>
    <w:rsid w:val="004B4D38"/>
    <w:rsid w:val="004B4D85"/>
    <w:rsid w:val="004B577C"/>
    <w:rsid w:val="004B5933"/>
    <w:rsid w:val="004B5C41"/>
    <w:rsid w:val="004B5DF6"/>
    <w:rsid w:val="004B609E"/>
    <w:rsid w:val="004B708C"/>
    <w:rsid w:val="004C0369"/>
    <w:rsid w:val="004C295B"/>
    <w:rsid w:val="004C3015"/>
    <w:rsid w:val="004C30ED"/>
    <w:rsid w:val="004C3C28"/>
    <w:rsid w:val="004C44FF"/>
    <w:rsid w:val="004C4858"/>
    <w:rsid w:val="004C4E85"/>
    <w:rsid w:val="004C534C"/>
    <w:rsid w:val="004C5401"/>
    <w:rsid w:val="004C5775"/>
    <w:rsid w:val="004C6BF2"/>
    <w:rsid w:val="004C6F5C"/>
    <w:rsid w:val="004C71B2"/>
    <w:rsid w:val="004C758A"/>
    <w:rsid w:val="004C7623"/>
    <w:rsid w:val="004C7F08"/>
    <w:rsid w:val="004D0555"/>
    <w:rsid w:val="004D1403"/>
    <w:rsid w:val="004D336E"/>
    <w:rsid w:val="004D38C3"/>
    <w:rsid w:val="004D4129"/>
    <w:rsid w:val="004D5675"/>
    <w:rsid w:val="004D5BD5"/>
    <w:rsid w:val="004D620D"/>
    <w:rsid w:val="004D6AB1"/>
    <w:rsid w:val="004E0B0F"/>
    <w:rsid w:val="004E16E8"/>
    <w:rsid w:val="004E1E27"/>
    <w:rsid w:val="004E1E50"/>
    <w:rsid w:val="004E1F96"/>
    <w:rsid w:val="004E2006"/>
    <w:rsid w:val="004E2B2B"/>
    <w:rsid w:val="004E2D45"/>
    <w:rsid w:val="004E41B9"/>
    <w:rsid w:val="004E429D"/>
    <w:rsid w:val="004E5016"/>
    <w:rsid w:val="004E5762"/>
    <w:rsid w:val="004E5DCC"/>
    <w:rsid w:val="004E60B0"/>
    <w:rsid w:val="004E62DB"/>
    <w:rsid w:val="004E6E99"/>
    <w:rsid w:val="004E718D"/>
    <w:rsid w:val="004E7635"/>
    <w:rsid w:val="004E7E37"/>
    <w:rsid w:val="004E7EAD"/>
    <w:rsid w:val="004E7F3A"/>
    <w:rsid w:val="004F05E9"/>
    <w:rsid w:val="004F20D8"/>
    <w:rsid w:val="004F25A1"/>
    <w:rsid w:val="004F41EA"/>
    <w:rsid w:val="004F4635"/>
    <w:rsid w:val="004F5D0E"/>
    <w:rsid w:val="004F5F6C"/>
    <w:rsid w:val="004F5FF5"/>
    <w:rsid w:val="004F64D4"/>
    <w:rsid w:val="004F69D8"/>
    <w:rsid w:val="005008F8"/>
    <w:rsid w:val="0050117B"/>
    <w:rsid w:val="0050188F"/>
    <w:rsid w:val="00501EC3"/>
    <w:rsid w:val="00502005"/>
    <w:rsid w:val="00503155"/>
    <w:rsid w:val="005033DB"/>
    <w:rsid w:val="0050359D"/>
    <w:rsid w:val="00503A2F"/>
    <w:rsid w:val="00504910"/>
    <w:rsid w:val="005051EC"/>
    <w:rsid w:val="0050534E"/>
    <w:rsid w:val="00506CF7"/>
    <w:rsid w:val="00506E23"/>
    <w:rsid w:val="00507D0E"/>
    <w:rsid w:val="00507DD6"/>
    <w:rsid w:val="005105F0"/>
    <w:rsid w:val="0051069B"/>
    <w:rsid w:val="00510A9C"/>
    <w:rsid w:val="00510AB5"/>
    <w:rsid w:val="00511587"/>
    <w:rsid w:val="005116D0"/>
    <w:rsid w:val="00511D92"/>
    <w:rsid w:val="0051306E"/>
    <w:rsid w:val="00513422"/>
    <w:rsid w:val="005134B8"/>
    <w:rsid w:val="00514001"/>
    <w:rsid w:val="005141ED"/>
    <w:rsid w:val="00514977"/>
    <w:rsid w:val="00514DBD"/>
    <w:rsid w:val="00514F4C"/>
    <w:rsid w:val="005156F6"/>
    <w:rsid w:val="00515C5F"/>
    <w:rsid w:val="00515C73"/>
    <w:rsid w:val="00516937"/>
    <w:rsid w:val="00516984"/>
    <w:rsid w:val="005169A8"/>
    <w:rsid w:val="005169BB"/>
    <w:rsid w:val="00517711"/>
    <w:rsid w:val="00517795"/>
    <w:rsid w:val="00520AFB"/>
    <w:rsid w:val="00520E0B"/>
    <w:rsid w:val="00520E87"/>
    <w:rsid w:val="00521055"/>
    <w:rsid w:val="005216B1"/>
    <w:rsid w:val="005234EE"/>
    <w:rsid w:val="005235AE"/>
    <w:rsid w:val="00523639"/>
    <w:rsid w:val="00523A94"/>
    <w:rsid w:val="00524FA7"/>
    <w:rsid w:val="005255B7"/>
    <w:rsid w:val="005256DA"/>
    <w:rsid w:val="005257A8"/>
    <w:rsid w:val="0052696E"/>
    <w:rsid w:val="005269B2"/>
    <w:rsid w:val="00526E17"/>
    <w:rsid w:val="005271BE"/>
    <w:rsid w:val="0052771F"/>
    <w:rsid w:val="005277C8"/>
    <w:rsid w:val="005310AA"/>
    <w:rsid w:val="00531FE5"/>
    <w:rsid w:val="00535015"/>
    <w:rsid w:val="00535A67"/>
    <w:rsid w:val="00535E34"/>
    <w:rsid w:val="005360CD"/>
    <w:rsid w:val="00536557"/>
    <w:rsid w:val="005368E9"/>
    <w:rsid w:val="00536D45"/>
    <w:rsid w:val="005370AE"/>
    <w:rsid w:val="005375FD"/>
    <w:rsid w:val="00537CFF"/>
    <w:rsid w:val="00537FD8"/>
    <w:rsid w:val="005402FA"/>
    <w:rsid w:val="00540478"/>
    <w:rsid w:val="005405C4"/>
    <w:rsid w:val="00540A98"/>
    <w:rsid w:val="00540C12"/>
    <w:rsid w:val="00541E1A"/>
    <w:rsid w:val="00541F52"/>
    <w:rsid w:val="005424DA"/>
    <w:rsid w:val="005425B2"/>
    <w:rsid w:val="00542797"/>
    <w:rsid w:val="005449F8"/>
    <w:rsid w:val="00544BF8"/>
    <w:rsid w:val="00545429"/>
    <w:rsid w:val="005467B6"/>
    <w:rsid w:val="00546A0B"/>
    <w:rsid w:val="00547EF6"/>
    <w:rsid w:val="00547FA1"/>
    <w:rsid w:val="00551BFF"/>
    <w:rsid w:val="00552380"/>
    <w:rsid w:val="00552C4B"/>
    <w:rsid w:val="00552CB4"/>
    <w:rsid w:val="00552D0F"/>
    <w:rsid w:val="00552D21"/>
    <w:rsid w:val="00553E91"/>
    <w:rsid w:val="0055490D"/>
    <w:rsid w:val="00554CC7"/>
    <w:rsid w:val="00554F82"/>
    <w:rsid w:val="005550E7"/>
    <w:rsid w:val="00555C43"/>
    <w:rsid w:val="00555EC8"/>
    <w:rsid w:val="00556C8B"/>
    <w:rsid w:val="005602FB"/>
    <w:rsid w:val="00560C3A"/>
    <w:rsid w:val="00561731"/>
    <w:rsid w:val="00562AC3"/>
    <w:rsid w:val="00562E8C"/>
    <w:rsid w:val="00562F67"/>
    <w:rsid w:val="0056344E"/>
    <w:rsid w:val="00563653"/>
    <w:rsid w:val="005639B5"/>
    <w:rsid w:val="00563BD4"/>
    <w:rsid w:val="0056406E"/>
    <w:rsid w:val="00564217"/>
    <w:rsid w:val="005644A6"/>
    <w:rsid w:val="0056470B"/>
    <w:rsid w:val="00564B99"/>
    <w:rsid w:val="00565A88"/>
    <w:rsid w:val="00566007"/>
    <w:rsid w:val="005660C1"/>
    <w:rsid w:val="0056635C"/>
    <w:rsid w:val="005666D2"/>
    <w:rsid w:val="00566B86"/>
    <w:rsid w:val="005675AB"/>
    <w:rsid w:val="00567968"/>
    <w:rsid w:val="0057089E"/>
    <w:rsid w:val="00570A45"/>
    <w:rsid w:val="00571278"/>
    <w:rsid w:val="005717F3"/>
    <w:rsid w:val="00571977"/>
    <w:rsid w:val="00571D53"/>
    <w:rsid w:val="0057235C"/>
    <w:rsid w:val="005729BD"/>
    <w:rsid w:val="00572D6F"/>
    <w:rsid w:val="00573437"/>
    <w:rsid w:val="005739DA"/>
    <w:rsid w:val="00573B38"/>
    <w:rsid w:val="00573BE3"/>
    <w:rsid w:val="0057599A"/>
    <w:rsid w:val="0057606D"/>
    <w:rsid w:val="00576742"/>
    <w:rsid w:val="00577410"/>
    <w:rsid w:val="00577ACB"/>
    <w:rsid w:val="00577BAB"/>
    <w:rsid w:val="00577D95"/>
    <w:rsid w:val="00580154"/>
    <w:rsid w:val="00580EF2"/>
    <w:rsid w:val="00582404"/>
    <w:rsid w:val="0058246D"/>
    <w:rsid w:val="00583C39"/>
    <w:rsid w:val="00585216"/>
    <w:rsid w:val="005853A2"/>
    <w:rsid w:val="00586A90"/>
    <w:rsid w:val="00586E4B"/>
    <w:rsid w:val="00586F46"/>
    <w:rsid w:val="00587F28"/>
    <w:rsid w:val="00590408"/>
    <w:rsid w:val="0059051E"/>
    <w:rsid w:val="00590655"/>
    <w:rsid w:val="005909CF"/>
    <w:rsid w:val="005912F9"/>
    <w:rsid w:val="00591E71"/>
    <w:rsid w:val="00591F52"/>
    <w:rsid w:val="0059257C"/>
    <w:rsid w:val="00592BB8"/>
    <w:rsid w:val="00592D21"/>
    <w:rsid w:val="00592D45"/>
    <w:rsid w:val="00593592"/>
    <w:rsid w:val="0059372B"/>
    <w:rsid w:val="00593D33"/>
    <w:rsid w:val="00593DD1"/>
    <w:rsid w:val="00593DE4"/>
    <w:rsid w:val="005942E5"/>
    <w:rsid w:val="00595481"/>
    <w:rsid w:val="005957CB"/>
    <w:rsid w:val="00596A53"/>
    <w:rsid w:val="0059767A"/>
    <w:rsid w:val="00597AA3"/>
    <w:rsid w:val="00597B23"/>
    <w:rsid w:val="00597B93"/>
    <w:rsid w:val="005A00A8"/>
    <w:rsid w:val="005A00CD"/>
    <w:rsid w:val="005A0147"/>
    <w:rsid w:val="005A0D41"/>
    <w:rsid w:val="005A1010"/>
    <w:rsid w:val="005A2B55"/>
    <w:rsid w:val="005A2FFA"/>
    <w:rsid w:val="005A3063"/>
    <w:rsid w:val="005A31BD"/>
    <w:rsid w:val="005A3A62"/>
    <w:rsid w:val="005A3E8C"/>
    <w:rsid w:val="005A4B54"/>
    <w:rsid w:val="005A4E0D"/>
    <w:rsid w:val="005A5B08"/>
    <w:rsid w:val="005A5D73"/>
    <w:rsid w:val="005A5F86"/>
    <w:rsid w:val="005A753E"/>
    <w:rsid w:val="005A7BDA"/>
    <w:rsid w:val="005A7D3D"/>
    <w:rsid w:val="005A7F69"/>
    <w:rsid w:val="005B0C3B"/>
    <w:rsid w:val="005B0F6D"/>
    <w:rsid w:val="005B16A4"/>
    <w:rsid w:val="005B1B73"/>
    <w:rsid w:val="005B2665"/>
    <w:rsid w:val="005B297E"/>
    <w:rsid w:val="005B2D2B"/>
    <w:rsid w:val="005B3751"/>
    <w:rsid w:val="005B3BC9"/>
    <w:rsid w:val="005B3BD6"/>
    <w:rsid w:val="005B41DA"/>
    <w:rsid w:val="005B41DD"/>
    <w:rsid w:val="005B42EA"/>
    <w:rsid w:val="005B57F9"/>
    <w:rsid w:val="005B5FA5"/>
    <w:rsid w:val="005B62B4"/>
    <w:rsid w:val="005B72AE"/>
    <w:rsid w:val="005B74AF"/>
    <w:rsid w:val="005B7D8B"/>
    <w:rsid w:val="005B7E8E"/>
    <w:rsid w:val="005C09AC"/>
    <w:rsid w:val="005C1646"/>
    <w:rsid w:val="005C2CF6"/>
    <w:rsid w:val="005C2D86"/>
    <w:rsid w:val="005C302A"/>
    <w:rsid w:val="005C40F3"/>
    <w:rsid w:val="005C4AAB"/>
    <w:rsid w:val="005C4F90"/>
    <w:rsid w:val="005C5E86"/>
    <w:rsid w:val="005C7AE6"/>
    <w:rsid w:val="005C7B4B"/>
    <w:rsid w:val="005D087E"/>
    <w:rsid w:val="005D10B0"/>
    <w:rsid w:val="005D1492"/>
    <w:rsid w:val="005D14FB"/>
    <w:rsid w:val="005D250E"/>
    <w:rsid w:val="005D3124"/>
    <w:rsid w:val="005D329F"/>
    <w:rsid w:val="005D40CE"/>
    <w:rsid w:val="005D4391"/>
    <w:rsid w:val="005D483A"/>
    <w:rsid w:val="005D4F27"/>
    <w:rsid w:val="005D5952"/>
    <w:rsid w:val="005D61CB"/>
    <w:rsid w:val="005D6667"/>
    <w:rsid w:val="005D7137"/>
    <w:rsid w:val="005D7940"/>
    <w:rsid w:val="005E045B"/>
    <w:rsid w:val="005E0A39"/>
    <w:rsid w:val="005E0B77"/>
    <w:rsid w:val="005E0DFA"/>
    <w:rsid w:val="005E1C18"/>
    <w:rsid w:val="005E1EBD"/>
    <w:rsid w:val="005E252C"/>
    <w:rsid w:val="005E2BCC"/>
    <w:rsid w:val="005E352C"/>
    <w:rsid w:val="005E406D"/>
    <w:rsid w:val="005E41FD"/>
    <w:rsid w:val="005E42BD"/>
    <w:rsid w:val="005E5772"/>
    <w:rsid w:val="005E600B"/>
    <w:rsid w:val="005E656A"/>
    <w:rsid w:val="005E6F20"/>
    <w:rsid w:val="005E6F3A"/>
    <w:rsid w:val="005E71E1"/>
    <w:rsid w:val="005E7337"/>
    <w:rsid w:val="005F0238"/>
    <w:rsid w:val="005F16B4"/>
    <w:rsid w:val="005F1914"/>
    <w:rsid w:val="005F24FF"/>
    <w:rsid w:val="005F258D"/>
    <w:rsid w:val="005F2F99"/>
    <w:rsid w:val="005F2FAA"/>
    <w:rsid w:val="005F45A3"/>
    <w:rsid w:val="005F48ED"/>
    <w:rsid w:val="005F5054"/>
    <w:rsid w:val="005F5418"/>
    <w:rsid w:val="005F5441"/>
    <w:rsid w:val="005F6167"/>
    <w:rsid w:val="005F64EB"/>
    <w:rsid w:val="005F6C42"/>
    <w:rsid w:val="005F737E"/>
    <w:rsid w:val="005F768A"/>
    <w:rsid w:val="006009B9"/>
    <w:rsid w:val="0060197F"/>
    <w:rsid w:val="00601D6B"/>
    <w:rsid w:val="00602346"/>
    <w:rsid w:val="006024BF"/>
    <w:rsid w:val="006027A1"/>
    <w:rsid w:val="00602928"/>
    <w:rsid w:val="00602958"/>
    <w:rsid w:val="00602C66"/>
    <w:rsid w:val="0060343E"/>
    <w:rsid w:val="00604A3B"/>
    <w:rsid w:val="00604D21"/>
    <w:rsid w:val="00604D36"/>
    <w:rsid w:val="006050E9"/>
    <w:rsid w:val="00605155"/>
    <w:rsid w:val="00605576"/>
    <w:rsid w:val="00605679"/>
    <w:rsid w:val="00605740"/>
    <w:rsid w:val="006058C8"/>
    <w:rsid w:val="00606195"/>
    <w:rsid w:val="00606553"/>
    <w:rsid w:val="00606E78"/>
    <w:rsid w:val="00607BF1"/>
    <w:rsid w:val="00607E59"/>
    <w:rsid w:val="0061054C"/>
    <w:rsid w:val="006107D1"/>
    <w:rsid w:val="00613235"/>
    <w:rsid w:val="0061338F"/>
    <w:rsid w:val="00613434"/>
    <w:rsid w:val="006149D3"/>
    <w:rsid w:val="00616829"/>
    <w:rsid w:val="00616A8B"/>
    <w:rsid w:val="00617410"/>
    <w:rsid w:val="006204DC"/>
    <w:rsid w:val="006205E2"/>
    <w:rsid w:val="00620BD1"/>
    <w:rsid w:val="006213F2"/>
    <w:rsid w:val="006219F7"/>
    <w:rsid w:val="0062224D"/>
    <w:rsid w:val="00622BA2"/>
    <w:rsid w:val="006234B2"/>
    <w:rsid w:val="00623B0E"/>
    <w:rsid w:val="00623D89"/>
    <w:rsid w:val="00624032"/>
    <w:rsid w:val="00624E5F"/>
    <w:rsid w:val="006263AB"/>
    <w:rsid w:val="00626E82"/>
    <w:rsid w:val="00630313"/>
    <w:rsid w:val="0063035F"/>
    <w:rsid w:val="006306C7"/>
    <w:rsid w:val="0063095E"/>
    <w:rsid w:val="00630C5F"/>
    <w:rsid w:val="00630D4D"/>
    <w:rsid w:val="006320FA"/>
    <w:rsid w:val="006322BA"/>
    <w:rsid w:val="0063265C"/>
    <w:rsid w:val="00632A74"/>
    <w:rsid w:val="00633777"/>
    <w:rsid w:val="00633926"/>
    <w:rsid w:val="00633C3C"/>
    <w:rsid w:val="00633C5A"/>
    <w:rsid w:val="00634375"/>
    <w:rsid w:val="00634B50"/>
    <w:rsid w:val="00635345"/>
    <w:rsid w:val="006356D4"/>
    <w:rsid w:val="00635977"/>
    <w:rsid w:val="00635D63"/>
    <w:rsid w:val="00636B01"/>
    <w:rsid w:val="00636C2C"/>
    <w:rsid w:val="00636C40"/>
    <w:rsid w:val="006374A4"/>
    <w:rsid w:val="00637667"/>
    <w:rsid w:val="0063766B"/>
    <w:rsid w:val="0064074B"/>
    <w:rsid w:val="00640863"/>
    <w:rsid w:val="0064088B"/>
    <w:rsid w:val="006408B1"/>
    <w:rsid w:val="00640DB2"/>
    <w:rsid w:val="00640F94"/>
    <w:rsid w:val="0064140E"/>
    <w:rsid w:val="00641B98"/>
    <w:rsid w:val="006420B1"/>
    <w:rsid w:val="006450D0"/>
    <w:rsid w:val="00645130"/>
    <w:rsid w:val="00645396"/>
    <w:rsid w:val="00645E89"/>
    <w:rsid w:val="00646546"/>
    <w:rsid w:val="00647118"/>
    <w:rsid w:val="00647DC8"/>
    <w:rsid w:val="00650030"/>
    <w:rsid w:val="006505A6"/>
    <w:rsid w:val="0065253B"/>
    <w:rsid w:val="006531EC"/>
    <w:rsid w:val="00653C6B"/>
    <w:rsid w:val="00654D42"/>
    <w:rsid w:val="006552F1"/>
    <w:rsid w:val="006553CB"/>
    <w:rsid w:val="00655598"/>
    <w:rsid w:val="00655A8C"/>
    <w:rsid w:val="00656A47"/>
    <w:rsid w:val="00656F54"/>
    <w:rsid w:val="006572CB"/>
    <w:rsid w:val="00660F21"/>
    <w:rsid w:val="00661A4B"/>
    <w:rsid w:val="0066303D"/>
    <w:rsid w:val="0066517C"/>
    <w:rsid w:val="0066591D"/>
    <w:rsid w:val="00666054"/>
    <w:rsid w:val="00666D48"/>
    <w:rsid w:val="00666E02"/>
    <w:rsid w:val="006678F5"/>
    <w:rsid w:val="00667CCD"/>
    <w:rsid w:val="00670161"/>
    <w:rsid w:val="0067045B"/>
    <w:rsid w:val="006707A0"/>
    <w:rsid w:val="00670D0C"/>
    <w:rsid w:val="00670F20"/>
    <w:rsid w:val="00671647"/>
    <w:rsid w:val="00671D62"/>
    <w:rsid w:val="00672AAA"/>
    <w:rsid w:val="006730C6"/>
    <w:rsid w:val="00673543"/>
    <w:rsid w:val="00673F47"/>
    <w:rsid w:val="006748D9"/>
    <w:rsid w:val="00675105"/>
    <w:rsid w:val="00675475"/>
    <w:rsid w:val="00675AD1"/>
    <w:rsid w:val="006766A2"/>
    <w:rsid w:val="0067720C"/>
    <w:rsid w:val="006801E2"/>
    <w:rsid w:val="006823C9"/>
    <w:rsid w:val="006829F0"/>
    <w:rsid w:val="00682AC1"/>
    <w:rsid w:val="0068365A"/>
    <w:rsid w:val="00684DCC"/>
    <w:rsid w:val="00691388"/>
    <w:rsid w:val="00691ADB"/>
    <w:rsid w:val="00693D5B"/>
    <w:rsid w:val="00693F5B"/>
    <w:rsid w:val="006958C5"/>
    <w:rsid w:val="006966AA"/>
    <w:rsid w:val="00696ABF"/>
    <w:rsid w:val="00696B70"/>
    <w:rsid w:val="00696C0C"/>
    <w:rsid w:val="00697C74"/>
    <w:rsid w:val="006A0F96"/>
    <w:rsid w:val="006A2488"/>
    <w:rsid w:val="006A288D"/>
    <w:rsid w:val="006A2C4F"/>
    <w:rsid w:val="006A3194"/>
    <w:rsid w:val="006A336F"/>
    <w:rsid w:val="006A3578"/>
    <w:rsid w:val="006A370A"/>
    <w:rsid w:val="006A4655"/>
    <w:rsid w:val="006A487F"/>
    <w:rsid w:val="006A4F96"/>
    <w:rsid w:val="006A52DB"/>
    <w:rsid w:val="006A5539"/>
    <w:rsid w:val="006A5C62"/>
    <w:rsid w:val="006A5FBC"/>
    <w:rsid w:val="006A620D"/>
    <w:rsid w:val="006A6384"/>
    <w:rsid w:val="006A692C"/>
    <w:rsid w:val="006A7030"/>
    <w:rsid w:val="006A7392"/>
    <w:rsid w:val="006A7758"/>
    <w:rsid w:val="006B0351"/>
    <w:rsid w:val="006B0A17"/>
    <w:rsid w:val="006B0DAF"/>
    <w:rsid w:val="006B141C"/>
    <w:rsid w:val="006B1934"/>
    <w:rsid w:val="006B1BD2"/>
    <w:rsid w:val="006B1FCF"/>
    <w:rsid w:val="006B2B3C"/>
    <w:rsid w:val="006B2E3E"/>
    <w:rsid w:val="006B2EF8"/>
    <w:rsid w:val="006B356B"/>
    <w:rsid w:val="006B374E"/>
    <w:rsid w:val="006B41F8"/>
    <w:rsid w:val="006B4528"/>
    <w:rsid w:val="006B5522"/>
    <w:rsid w:val="006B64F0"/>
    <w:rsid w:val="006B6E56"/>
    <w:rsid w:val="006B7405"/>
    <w:rsid w:val="006B75F9"/>
    <w:rsid w:val="006C048F"/>
    <w:rsid w:val="006C0731"/>
    <w:rsid w:val="006C0BB9"/>
    <w:rsid w:val="006C131F"/>
    <w:rsid w:val="006C17FB"/>
    <w:rsid w:val="006C1D81"/>
    <w:rsid w:val="006C206E"/>
    <w:rsid w:val="006C2072"/>
    <w:rsid w:val="006C277F"/>
    <w:rsid w:val="006C3247"/>
    <w:rsid w:val="006C355B"/>
    <w:rsid w:val="006C3F21"/>
    <w:rsid w:val="006C464D"/>
    <w:rsid w:val="006C47E8"/>
    <w:rsid w:val="006C4BB2"/>
    <w:rsid w:val="006C4CD2"/>
    <w:rsid w:val="006C4D61"/>
    <w:rsid w:val="006C7038"/>
    <w:rsid w:val="006C7A00"/>
    <w:rsid w:val="006D05D1"/>
    <w:rsid w:val="006D0DAA"/>
    <w:rsid w:val="006D1C89"/>
    <w:rsid w:val="006D2BA2"/>
    <w:rsid w:val="006D2BB7"/>
    <w:rsid w:val="006D34C6"/>
    <w:rsid w:val="006D380B"/>
    <w:rsid w:val="006D3A17"/>
    <w:rsid w:val="006D3AF1"/>
    <w:rsid w:val="006D3E0E"/>
    <w:rsid w:val="006D42E5"/>
    <w:rsid w:val="006D4BA6"/>
    <w:rsid w:val="006D550A"/>
    <w:rsid w:val="006D5FFB"/>
    <w:rsid w:val="006D67EE"/>
    <w:rsid w:val="006D70EE"/>
    <w:rsid w:val="006D764A"/>
    <w:rsid w:val="006E020A"/>
    <w:rsid w:val="006E0782"/>
    <w:rsid w:val="006E08D8"/>
    <w:rsid w:val="006E097E"/>
    <w:rsid w:val="006E1688"/>
    <w:rsid w:val="006E1AB0"/>
    <w:rsid w:val="006E239D"/>
    <w:rsid w:val="006E37AC"/>
    <w:rsid w:val="006E54AE"/>
    <w:rsid w:val="006E5B50"/>
    <w:rsid w:val="006E5B59"/>
    <w:rsid w:val="006E5C90"/>
    <w:rsid w:val="006E6665"/>
    <w:rsid w:val="006E73EF"/>
    <w:rsid w:val="006E7C87"/>
    <w:rsid w:val="006E7C8D"/>
    <w:rsid w:val="006F0028"/>
    <w:rsid w:val="006F3906"/>
    <w:rsid w:val="006F399B"/>
    <w:rsid w:val="006F3B43"/>
    <w:rsid w:val="006F3DB4"/>
    <w:rsid w:val="006F3EF5"/>
    <w:rsid w:val="006F4736"/>
    <w:rsid w:val="006F4C54"/>
    <w:rsid w:val="006F4FDC"/>
    <w:rsid w:val="006F5BBA"/>
    <w:rsid w:val="006F60BE"/>
    <w:rsid w:val="006F7E4B"/>
    <w:rsid w:val="00700AE6"/>
    <w:rsid w:val="0070247A"/>
    <w:rsid w:val="00703646"/>
    <w:rsid w:val="007042AE"/>
    <w:rsid w:val="00704F99"/>
    <w:rsid w:val="00705166"/>
    <w:rsid w:val="00706379"/>
    <w:rsid w:val="00706BEE"/>
    <w:rsid w:val="00707913"/>
    <w:rsid w:val="007079C9"/>
    <w:rsid w:val="00707C84"/>
    <w:rsid w:val="00707E01"/>
    <w:rsid w:val="00710BEC"/>
    <w:rsid w:val="00711024"/>
    <w:rsid w:val="0071111D"/>
    <w:rsid w:val="0071176B"/>
    <w:rsid w:val="007119C3"/>
    <w:rsid w:val="00712221"/>
    <w:rsid w:val="00713E3C"/>
    <w:rsid w:val="00714D4D"/>
    <w:rsid w:val="0071609C"/>
    <w:rsid w:val="00716AE9"/>
    <w:rsid w:val="0072014A"/>
    <w:rsid w:val="00720B29"/>
    <w:rsid w:val="00722BD0"/>
    <w:rsid w:val="00724143"/>
    <w:rsid w:val="00724D56"/>
    <w:rsid w:val="00725663"/>
    <w:rsid w:val="00725A47"/>
    <w:rsid w:val="00725A65"/>
    <w:rsid w:val="007260CD"/>
    <w:rsid w:val="00726340"/>
    <w:rsid w:val="007266D3"/>
    <w:rsid w:val="00730572"/>
    <w:rsid w:val="00730BC9"/>
    <w:rsid w:val="00731148"/>
    <w:rsid w:val="0073156C"/>
    <w:rsid w:val="00731725"/>
    <w:rsid w:val="00731D67"/>
    <w:rsid w:val="00732029"/>
    <w:rsid w:val="00732383"/>
    <w:rsid w:val="0073263C"/>
    <w:rsid w:val="00733355"/>
    <w:rsid w:val="00733796"/>
    <w:rsid w:val="00733D6C"/>
    <w:rsid w:val="00734D74"/>
    <w:rsid w:val="007352E2"/>
    <w:rsid w:val="00735BBE"/>
    <w:rsid w:val="00736331"/>
    <w:rsid w:val="007374EE"/>
    <w:rsid w:val="00737B38"/>
    <w:rsid w:val="0074050A"/>
    <w:rsid w:val="0074115A"/>
    <w:rsid w:val="00741D94"/>
    <w:rsid w:val="0074212A"/>
    <w:rsid w:val="007430DC"/>
    <w:rsid w:val="00743612"/>
    <w:rsid w:val="00743D9B"/>
    <w:rsid w:val="007449DB"/>
    <w:rsid w:val="0074504A"/>
    <w:rsid w:val="00745B56"/>
    <w:rsid w:val="00745B74"/>
    <w:rsid w:val="00746156"/>
    <w:rsid w:val="007472D9"/>
    <w:rsid w:val="0074732D"/>
    <w:rsid w:val="007473E9"/>
    <w:rsid w:val="00747403"/>
    <w:rsid w:val="00750E99"/>
    <w:rsid w:val="007512AE"/>
    <w:rsid w:val="00751DD9"/>
    <w:rsid w:val="00752171"/>
    <w:rsid w:val="00753DE1"/>
    <w:rsid w:val="00753E11"/>
    <w:rsid w:val="007549FD"/>
    <w:rsid w:val="0075521E"/>
    <w:rsid w:val="007552E4"/>
    <w:rsid w:val="00755F83"/>
    <w:rsid w:val="007562C7"/>
    <w:rsid w:val="0075666F"/>
    <w:rsid w:val="00756DD3"/>
    <w:rsid w:val="00757039"/>
    <w:rsid w:val="00757633"/>
    <w:rsid w:val="007604BB"/>
    <w:rsid w:val="00760B26"/>
    <w:rsid w:val="007629CD"/>
    <w:rsid w:val="00762C7E"/>
    <w:rsid w:val="00763232"/>
    <w:rsid w:val="0076377D"/>
    <w:rsid w:val="00764084"/>
    <w:rsid w:val="0076416C"/>
    <w:rsid w:val="00765074"/>
    <w:rsid w:val="00765828"/>
    <w:rsid w:val="00766266"/>
    <w:rsid w:val="00767040"/>
    <w:rsid w:val="00767860"/>
    <w:rsid w:val="007719FE"/>
    <w:rsid w:val="007724CC"/>
    <w:rsid w:val="00772909"/>
    <w:rsid w:val="00773860"/>
    <w:rsid w:val="00773E3E"/>
    <w:rsid w:val="00774535"/>
    <w:rsid w:val="00775B3A"/>
    <w:rsid w:val="00775CC2"/>
    <w:rsid w:val="0077634A"/>
    <w:rsid w:val="00776399"/>
    <w:rsid w:val="007768A3"/>
    <w:rsid w:val="007771A0"/>
    <w:rsid w:val="00777446"/>
    <w:rsid w:val="007801F8"/>
    <w:rsid w:val="0078032C"/>
    <w:rsid w:val="007813E7"/>
    <w:rsid w:val="007817A4"/>
    <w:rsid w:val="007818C2"/>
    <w:rsid w:val="007819CC"/>
    <w:rsid w:val="00781D0B"/>
    <w:rsid w:val="00782D3A"/>
    <w:rsid w:val="00784158"/>
    <w:rsid w:val="007845C0"/>
    <w:rsid w:val="00784801"/>
    <w:rsid w:val="00785232"/>
    <w:rsid w:val="0078628C"/>
    <w:rsid w:val="0078644B"/>
    <w:rsid w:val="00786F52"/>
    <w:rsid w:val="00787B4A"/>
    <w:rsid w:val="007902AB"/>
    <w:rsid w:val="00790669"/>
    <w:rsid w:val="007907B5"/>
    <w:rsid w:val="007907B9"/>
    <w:rsid w:val="00790A3A"/>
    <w:rsid w:val="00790AFE"/>
    <w:rsid w:val="00790DCA"/>
    <w:rsid w:val="0079149E"/>
    <w:rsid w:val="00791F25"/>
    <w:rsid w:val="00792AF7"/>
    <w:rsid w:val="00792CA7"/>
    <w:rsid w:val="007936D8"/>
    <w:rsid w:val="00793F90"/>
    <w:rsid w:val="007945C5"/>
    <w:rsid w:val="00795079"/>
    <w:rsid w:val="007950F7"/>
    <w:rsid w:val="0079536F"/>
    <w:rsid w:val="00795DED"/>
    <w:rsid w:val="00795E4D"/>
    <w:rsid w:val="0079701E"/>
    <w:rsid w:val="0079719D"/>
    <w:rsid w:val="007A0DF8"/>
    <w:rsid w:val="007A0E1F"/>
    <w:rsid w:val="007A21EB"/>
    <w:rsid w:val="007A231A"/>
    <w:rsid w:val="007A28A7"/>
    <w:rsid w:val="007A42EA"/>
    <w:rsid w:val="007A46F8"/>
    <w:rsid w:val="007A4AA5"/>
    <w:rsid w:val="007A5239"/>
    <w:rsid w:val="007A5413"/>
    <w:rsid w:val="007A6342"/>
    <w:rsid w:val="007A7C8C"/>
    <w:rsid w:val="007B057F"/>
    <w:rsid w:val="007B1A93"/>
    <w:rsid w:val="007B27FC"/>
    <w:rsid w:val="007B2A49"/>
    <w:rsid w:val="007B2C11"/>
    <w:rsid w:val="007B3400"/>
    <w:rsid w:val="007B4536"/>
    <w:rsid w:val="007B4784"/>
    <w:rsid w:val="007B4CF8"/>
    <w:rsid w:val="007B54EE"/>
    <w:rsid w:val="007B5FF2"/>
    <w:rsid w:val="007B6409"/>
    <w:rsid w:val="007B676D"/>
    <w:rsid w:val="007B6AA4"/>
    <w:rsid w:val="007C060A"/>
    <w:rsid w:val="007C0E83"/>
    <w:rsid w:val="007C17BE"/>
    <w:rsid w:val="007C2169"/>
    <w:rsid w:val="007C2DB8"/>
    <w:rsid w:val="007C36C9"/>
    <w:rsid w:val="007C38C7"/>
    <w:rsid w:val="007C4B6D"/>
    <w:rsid w:val="007C5084"/>
    <w:rsid w:val="007C6209"/>
    <w:rsid w:val="007C66AF"/>
    <w:rsid w:val="007C6F77"/>
    <w:rsid w:val="007C7497"/>
    <w:rsid w:val="007C78AE"/>
    <w:rsid w:val="007C7C48"/>
    <w:rsid w:val="007D06DD"/>
    <w:rsid w:val="007D1672"/>
    <w:rsid w:val="007D1FAE"/>
    <w:rsid w:val="007D278A"/>
    <w:rsid w:val="007D37C8"/>
    <w:rsid w:val="007D3D6C"/>
    <w:rsid w:val="007D4167"/>
    <w:rsid w:val="007D52E8"/>
    <w:rsid w:val="007D5976"/>
    <w:rsid w:val="007D6401"/>
    <w:rsid w:val="007D65FC"/>
    <w:rsid w:val="007D7BF3"/>
    <w:rsid w:val="007D7CA2"/>
    <w:rsid w:val="007D7E99"/>
    <w:rsid w:val="007E01E4"/>
    <w:rsid w:val="007E0A30"/>
    <w:rsid w:val="007E1136"/>
    <w:rsid w:val="007E1F0D"/>
    <w:rsid w:val="007E2A26"/>
    <w:rsid w:val="007E30D0"/>
    <w:rsid w:val="007E3CE0"/>
    <w:rsid w:val="007E417B"/>
    <w:rsid w:val="007E4775"/>
    <w:rsid w:val="007E5B17"/>
    <w:rsid w:val="007E68D1"/>
    <w:rsid w:val="007E72A9"/>
    <w:rsid w:val="007E742C"/>
    <w:rsid w:val="007E757C"/>
    <w:rsid w:val="007E7A12"/>
    <w:rsid w:val="007E7E34"/>
    <w:rsid w:val="007F0286"/>
    <w:rsid w:val="007F0EEF"/>
    <w:rsid w:val="007F17B0"/>
    <w:rsid w:val="007F228F"/>
    <w:rsid w:val="007F2EF5"/>
    <w:rsid w:val="007F3664"/>
    <w:rsid w:val="007F3CAD"/>
    <w:rsid w:val="007F405B"/>
    <w:rsid w:val="007F4D84"/>
    <w:rsid w:val="007F57EB"/>
    <w:rsid w:val="007F6032"/>
    <w:rsid w:val="007F65AF"/>
    <w:rsid w:val="007F6CBA"/>
    <w:rsid w:val="007F7107"/>
    <w:rsid w:val="007F7422"/>
    <w:rsid w:val="007F787A"/>
    <w:rsid w:val="007F7951"/>
    <w:rsid w:val="00800620"/>
    <w:rsid w:val="00800A8F"/>
    <w:rsid w:val="00800D4C"/>
    <w:rsid w:val="00801B32"/>
    <w:rsid w:val="00801E30"/>
    <w:rsid w:val="008027BF"/>
    <w:rsid w:val="00802BB5"/>
    <w:rsid w:val="00803C61"/>
    <w:rsid w:val="00803F85"/>
    <w:rsid w:val="008046AA"/>
    <w:rsid w:val="008058D9"/>
    <w:rsid w:val="0080659E"/>
    <w:rsid w:val="0080763B"/>
    <w:rsid w:val="0081030F"/>
    <w:rsid w:val="00810407"/>
    <w:rsid w:val="008107A6"/>
    <w:rsid w:val="00811B5E"/>
    <w:rsid w:val="00811DB5"/>
    <w:rsid w:val="00812637"/>
    <w:rsid w:val="00812A99"/>
    <w:rsid w:val="00812D96"/>
    <w:rsid w:val="00812F4A"/>
    <w:rsid w:val="00812FC7"/>
    <w:rsid w:val="00812FF5"/>
    <w:rsid w:val="008136B4"/>
    <w:rsid w:val="008141B6"/>
    <w:rsid w:val="00814883"/>
    <w:rsid w:val="00814D4F"/>
    <w:rsid w:val="0081592F"/>
    <w:rsid w:val="00815E8F"/>
    <w:rsid w:val="00815EF9"/>
    <w:rsid w:val="00816ABA"/>
    <w:rsid w:val="00816BA4"/>
    <w:rsid w:val="00817725"/>
    <w:rsid w:val="0082087D"/>
    <w:rsid w:val="00820A9D"/>
    <w:rsid w:val="00820E34"/>
    <w:rsid w:val="00821C4C"/>
    <w:rsid w:val="0082210F"/>
    <w:rsid w:val="008227C4"/>
    <w:rsid w:val="008231F5"/>
    <w:rsid w:val="00823A0A"/>
    <w:rsid w:val="00824A63"/>
    <w:rsid w:val="00824B02"/>
    <w:rsid w:val="00824C02"/>
    <w:rsid w:val="0082510E"/>
    <w:rsid w:val="00825424"/>
    <w:rsid w:val="00827E60"/>
    <w:rsid w:val="00830654"/>
    <w:rsid w:val="00830F32"/>
    <w:rsid w:val="008315BF"/>
    <w:rsid w:val="00832900"/>
    <w:rsid w:val="00832AFA"/>
    <w:rsid w:val="00833078"/>
    <w:rsid w:val="00833814"/>
    <w:rsid w:val="00833B96"/>
    <w:rsid w:val="00834642"/>
    <w:rsid w:val="00834A1A"/>
    <w:rsid w:val="00834F7A"/>
    <w:rsid w:val="00835736"/>
    <w:rsid w:val="00835771"/>
    <w:rsid w:val="00836140"/>
    <w:rsid w:val="008370B2"/>
    <w:rsid w:val="008370DE"/>
    <w:rsid w:val="00837177"/>
    <w:rsid w:val="008372C6"/>
    <w:rsid w:val="0083789F"/>
    <w:rsid w:val="00841ACF"/>
    <w:rsid w:val="00842933"/>
    <w:rsid w:val="00843137"/>
    <w:rsid w:val="0084487F"/>
    <w:rsid w:val="008454C9"/>
    <w:rsid w:val="0084579C"/>
    <w:rsid w:val="00845912"/>
    <w:rsid w:val="00845B52"/>
    <w:rsid w:val="00845EDF"/>
    <w:rsid w:val="008463A5"/>
    <w:rsid w:val="00846879"/>
    <w:rsid w:val="008476BC"/>
    <w:rsid w:val="008502D1"/>
    <w:rsid w:val="00850C24"/>
    <w:rsid w:val="0085139B"/>
    <w:rsid w:val="0085157A"/>
    <w:rsid w:val="00851F52"/>
    <w:rsid w:val="008522C9"/>
    <w:rsid w:val="008527E3"/>
    <w:rsid w:val="00852C28"/>
    <w:rsid w:val="008535AF"/>
    <w:rsid w:val="008541AE"/>
    <w:rsid w:val="008544FB"/>
    <w:rsid w:val="00855124"/>
    <w:rsid w:val="00855421"/>
    <w:rsid w:val="00855757"/>
    <w:rsid w:val="00855B64"/>
    <w:rsid w:val="008565D1"/>
    <w:rsid w:val="00856769"/>
    <w:rsid w:val="00856F74"/>
    <w:rsid w:val="00857081"/>
    <w:rsid w:val="0085776F"/>
    <w:rsid w:val="00857B96"/>
    <w:rsid w:val="0086082C"/>
    <w:rsid w:val="00860B1A"/>
    <w:rsid w:val="00861E5C"/>
    <w:rsid w:val="00862D54"/>
    <w:rsid w:val="008631F1"/>
    <w:rsid w:val="00863A67"/>
    <w:rsid w:val="008644C6"/>
    <w:rsid w:val="008645B7"/>
    <w:rsid w:val="00864774"/>
    <w:rsid w:val="008647E0"/>
    <w:rsid w:val="00864ADC"/>
    <w:rsid w:val="00864E4D"/>
    <w:rsid w:val="00865492"/>
    <w:rsid w:val="008660BF"/>
    <w:rsid w:val="008670E4"/>
    <w:rsid w:val="008672C9"/>
    <w:rsid w:val="00867361"/>
    <w:rsid w:val="008674A9"/>
    <w:rsid w:val="0086779A"/>
    <w:rsid w:val="008706E9"/>
    <w:rsid w:val="00871139"/>
    <w:rsid w:val="00871583"/>
    <w:rsid w:val="008717B4"/>
    <w:rsid w:val="008718EE"/>
    <w:rsid w:val="00871C9A"/>
    <w:rsid w:val="008722DD"/>
    <w:rsid w:val="00872364"/>
    <w:rsid w:val="00872431"/>
    <w:rsid w:val="0087262B"/>
    <w:rsid w:val="00872C20"/>
    <w:rsid w:val="0087327F"/>
    <w:rsid w:val="00873317"/>
    <w:rsid w:val="008744EC"/>
    <w:rsid w:val="008747F7"/>
    <w:rsid w:val="00874E84"/>
    <w:rsid w:val="00875151"/>
    <w:rsid w:val="008759C4"/>
    <w:rsid w:val="00875A6D"/>
    <w:rsid w:val="00875B4A"/>
    <w:rsid w:val="00877BD6"/>
    <w:rsid w:val="00880153"/>
    <w:rsid w:val="00880BF0"/>
    <w:rsid w:val="00880E11"/>
    <w:rsid w:val="00880EFF"/>
    <w:rsid w:val="00880F97"/>
    <w:rsid w:val="00880FFA"/>
    <w:rsid w:val="00881335"/>
    <w:rsid w:val="0088133A"/>
    <w:rsid w:val="00881B1D"/>
    <w:rsid w:val="00881EBC"/>
    <w:rsid w:val="00883EB1"/>
    <w:rsid w:val="0088467F"/>
    <w:rsid w:val="0088468E"/>
    <w:rsid w:val="0088482E"/>
    <w:rsid w:val="00884DB5"/>
    <w:rsid w:val="00884F98"/>
    <w:rsid w:val="00886743"/>
    <w:rsid w:val="00886E54"/>
    <w:rsid w:val="00887072"/>
    <w:rsid w:val="00887B32"/>
    <w:rsid w:val="00887DC1"/>
    <w:rsid w:val="0089002C"/>
    <w:rsid w:val="0089021C"/>
    <w:rsid w:val="0089172B"/>
    <w:rsid w:val="00891F12"/>
    <w:rsid w:val="00892573"/>
    <w:rsid w:val="0089285E"/>
    <w:rsid w:val="0089294D"/>
    <w:rsid w:val="008936E6"/>
    <w:rsid w:val="00893DED"/>
    <w:rsid w:val="0089436C"/>
    <w:rsid w:val="008945C4"/>
    <w:rsid w:val="0089463C"/>
    <w:rsid w:val="0089475C"/>
    <w:rsid w:val="00894DC2"/>
    <w:rsid w:val="0089571A"/>
    <w:rsid w:val="00896055"/>
    <w:rsid w:val="00896269"/>
    <w:rsid w:val="00896305"/>
    <w:rsid w:val="008A010B"/>
    <w:rsid w:val="008A0943"/>
    <w:rsid w:val="008A0C8B"/>
    <w:rsid w:val="008A121A"/>
    <w:rsid w:val="008A13EA"/>
    <w:rsid w:val="008A39E2"/>
    <w:rsid w:val="008A3BB0"/>
    <w:rsid w:val="008A3F2C"/>
    <w:rsid w:val="008A4A2E"/>
    <w:rsid w:val="008A4F14"/>
    <w:rsid w:val="008A57F3"/>
    <w:rsid w:val="008A6237"/>
    <w:rsid w:val="008A6B6F"/>
    <w:rsid w:val="008A735A"/>
    <w:rsid w:val="008A7779"/>
    <w:rsid w:val="008B0288"/>
    <w:rsid w:val="008B0C04"/>
    <w:rsid w:val="008B0E84"/>
    <w:rsid w:val="008B12E9"/>
    <w:rsid w:val="008B14AA"/>
    <w:rsid w:val="008B3078"/>
    <w:rsid w:val="008B332A"/>
    <w:rsid w:val="008B3A32"/>
    <w:rsid w:val="008B3FF3"/>
    <w:rsid w:val="008B492F"/>
    <w:rsid w:val="008B512B"/>
    <w:rsid w:val="008B55DF"/>
    <w:rsid w:val="008B7A22"/>
    <w:rsid w:val="008C00BE"/>
    <w:rsid w:val="008C042B"/>
    <w:rsid w:val="008C1E64"/>
    <w:rsid w:val="008C1F4E"/>
    <w:rsid w:val="008C22A7"/>
    <w:rsid w:val="008C27CE"/>
    <w:rsid w:val="008C3A87"/>
    <w:rsid w:val="008C3FFA"/>
    <w:rsid w:val="008C4A5E"/>
    <w:rsid w:val="008C4CB5"/>
    <w:rsid w:val="008C4F81"/>
    <w:rsid w:val="008C59AF"/>
    <w:rsid w:val="008C7197"/>
    <w:rsid w:val="008C7DFB"/>
    <w:rsid w:val="008D01C3"/>
    <w:rsid w:val="008D1309"/>
    <w:rsid w:val="008D1610"/>
    <w:rsid w:val="008D2EB5"/>
    <w:rsid w:val="008D2F0E"/>
    <w:rsid w:val="008D33BA"/>
    <w:rsid w:val="008D365C"/>
    <w:rsid w:val="008D4A3E"/>
    <w:rsid w:val="008D538A"/>
    <w:rsid w:val="008D75D2"/>
    <w:rsid w:val="008D7622"/>
    <w:rsid w:val="008E19CD"/>
    <w:rsid w:val="008E1CB5"/>
    <w:rsid w:val="008E281E"/>
    <w:rsid w:val="008E2ABB"/>
    <w:rsid w:val="008E3A49"/>
    <w:rsid w:val="008E3F04"/>
    <w:rsid w:val="008E4956"/>
    <w:rsid w:val="008E4C62"/>
    <w:rsid w:val="008E7F9E"/>
    <w:rsid w:val="008F124B"/>
    <w:rsid w:val="008F176C"/>
    <w:rsid w:val="008F1C1C"/>
    <w:rsid w:val="008F2D73"/>
    <w:rsid w:val="008F33E5"/>
    <w:rsid w:val="008F3A21"/>
    <w:rsid w:val="008F3F02"/>
    <w:rsid w:val="008F4009"/>
    <w:rsid w:val="008F490B"/>
    <w:rsid w:val="008F4ADE"/>
    <w:rsid w:val="008F6DCD"/>
    <w:rsid w:val="008F6E4D"/>
    <w:rsid w:val="008F7053"/>
    <w:rsid w:val="008F76B1"/>
    <w:rsid w:val="00900A64"/>
    <w:rsid w:val="00900B92"/>
    <w:rsid w:val="0090145C"/>
    <w:rsid w:val="009018C8"/>
    <w:rsid w:val="009021A6"/>
    <w:rsid w:val="009022FF"/>
    <w:rsid w:val="00902D4D"/>
    <w:rsid w:val="00902FAA"/>
    <w:rsid w:val="009030BF"/>
    <w:rsid w:val="009030F4"/>
    <w:rsid w:val="00903679"/>
    <w:rsid w:val="00903859"/>
    <w:rsid w:val="00903B52"/>
    <w:rsid w:val="009046A5"/>
    <w:rsid w:val="009056FE"/>
    <w:rsid w:val="009058EA"/>
    <w:rsid w:val="00906A01"/>
    <w:rsid w:val="00907890"/>
    <w:rsid w:val="00907DDA"/>
    <w:rsid w:val="009101BB"/>
    <w:rsid w:val="0091032F"/>
    <w:rsid w:val="009106C4"/>
    <w:rsid w:val="00911052"/>
    <w:rsid w:val="009111E9"/>
    <w:rsid w:val="00912437"/>
    <w:rsid w:val="009124BA"/>
    <w:rsid w:val="0091380D"/>
    <w:rsid w:val="009139F7"/>
    <w:rsid w:val="00914368"/>
    <w:rsid w:val="00915518"/>
    <w:rsid w:val="0091644A"/>
    <w:rsid w:val="00916F64"/>
    <w:rsid w:val="00916FBE"/>
    <w:rsid w:val="009203BD"/>
    <w:rsid w:val="009204AB"/>
    <w:rsid w:val="00920F2C"/>
    <w:rsid w:val="009226E7"/>
    <w:rsid w:val="009227EB"/>
    <w:rsid w:val="00922894"/>
    <w:rsid w:val="009228B0"/>
    <w:rsid w:val="00922D40"/>
    <w:rsid w:val="0092345D"/>
    <w:rsid w:val="0092538D"/>
    <w:rsid w:val="00927229"/>
    <w:rsid w:val="00927392"/>
    <w:rsid w:val="00931076"/>
    <w:rsid w:val="009317FC"/>
    <w:rsid w:val="00933953"/>
    <w:rsid w:val="00933FC5"/>
    <w:rsid w:val="0093428F"/>
    <w:rsid w:val="00934368"/>
    <w:rsid w:val="0093440F"/>
    <w:rsid w:val="0093449A"/>
    <w:rsid w:val="009345D9"/>
    <w:rsid w:val="00934B15"/>
    <w:rsid w:val="00934D8C"/>
    <w:rsid w:val="009351EA"/>
    <w:rsid w:val="009358E3"/>
    <w:rsid w:val="00936200"/>
    <w:rsid w:val="009363AC"/>
    <w:rsid w:val="0093648B"/>
    <w:rsid w:val="00936660"/>
    <w:rsid w:val="00936810"/>
    <w:rsid w:val="00936962"/>
    <w:rsid w:val="00936D8F"/>
    <w:rsid w:val="00940C87"/>
    <w:rsid w:val="00942235"/>
    <w:rsid w:val="009423E7"/>
    <w:rsid w:val="00942638"/>
    <w:rsid w:val="00942B62"/>
    <w:rsid w:val="00942CC1"/>
    <w:rsid w:val="00943127"/>
    <w:rsid w:val="00943536"/>
    <w:rsid w:val="00943828"/>
    <w:rsid w:val="00943D79"/>
    <w:rsid w:val="00943F5D"/>
    <w:rsid w:val="009440C5"/>
    <w:rsid w:val="00944A1E"/>
    <w:rsid w:val="009454AD"/>
    <w:rsid w:val="00945CCE"/>
    <w:rsid w:val="00945CE3"/>
    <w:rsid w:val="00946438"/>
    <w:rsid w:val="0095065D"/>
    <w:rsid w:val="00950AB9"/>
    <w:rsid w:val="0095141F"/>
    <w:rsid w:val="00951856"/>
    <w:rsid w:val="00952469"/>
    <w:rsid w:val="009530DA"/>
    <w:rsid w:val="0095323B"/>
    <w:rsid w:val="00953651"/>
    <w:rsid w:val="00953AAA"/>
    <w:rsid w:val="009545C6"/>
    <w:rsid w:val="0095484D"/>
    <w:rsid w:val="00954B61"/>
    <w:rsid w:val="00955378"/>
    <w:rsid w:val="0095631E"/>
    <w:rsid w:val="00956A0C"/>
    <w:rsid w:val="00956A6F"/>
    <w:rsid w:val="00956BD9"/>
    <w:rsid w:val="00957390"/>
    <w:rsid w:val="00960787"/>
    <w:rsid w:val="00960C22"/>
    <w:rsid w:val="00961316"/>
    <w:rsid w:val="00961456"/>
    <w:rsid w:val="00962489"/>
    <w:rsid w:val="00962F6E"/>
    <w:rsid w:val="0096393D"/>
    <w:rsid w:val="009646A6"/>
    <w:rsid w:val="00964A5F"/>
    <w:rsid w:val="0096545A"/>
    <w:rsid w:val="009675A0"/>
    <w:rsid w:val="0096780B"/>
    <w:rsid w:val="00967CD3"/>
    <w:rsid w:val="009707A2"/>
    <w:rsid w:val="0097103A"/>
    <w:rsid w:val="0097243E"/>
    <w:rsid w:val="00972905"/>
    <w:rsid w:val="00972E38"/>
    <w:rsid w:val="00973CDA"/>
    <w:rsid w:val="00973D1C"/>
    <w:rsid w:val="00973DAE"/>
    <w:rsid w:val="00974040"/>
    <w:rsid w:val="0097409A"/>
    <w:rsid w:val="0097584E"/>
    <w:rsid w:val="009776F8"/>
    <w:rsid w:val="00977EE2"/>
    <w:rsid w:val="009804D1"/>
    <w:rsid w:val="00980668"/>
    <w:rsid w:val="00980B67"/>
    <w:rsid w:val="00981350"/>
    <w:rsid w:val="00981A79"/>
    <w:rsid w:val="00982152"/>
    <w:rsid w:val="009824D1"/>
    <w:rsid w:val="00982908"/>
    <w:rsid w:val="00983CEF"/>
    <w:rsid w:val="00984241"/>
    <w:rsid w:val="00985700"/>
    <w:rsid w:val="00985F09"/>
    <w:rsid w:val="0098602C"/>
    <w:rsid w:val="00986284"/>
    <w:rsid w:val="009863BB"/>
    <w:rsid w:val="00987746"/>
    <w:rsid w:val="00987843"/>
    <w:rsid w:val="009878B4"/>
    <w:rsid w:val="00990B7A"/>
    <w:rsid w:val="00990C2C"/>
    <w:rsid w:val="009937A6"/>
    <w:rsid w:val="009944D6"/>
    <w:rsid w:val="009946BC"/>
    <w:rsid w:val="009948AE"/>
    <w:rsid w:val="00996A7E"/>
    <w:rsid w:val="009A00FB"/>
    <w:rsid w:val="009A1A1B"/>
    <w:rsid w:val="009A1BDF"/>
    <w:rsid w:val="009A2736"/>
    <w:rsid w:val="009A2DAE"/>
    <w:rsid w:val="009A443F"/>
    <w:rsid w:val="009A496C"/>
    <w:rsid w:val="009A502E"/>
    <w:rsid w:val="009A5171"/>
    <w:rsid w:val="009A59DD"/>
    <w:rsid w:val="009A631B"/>
    <w:rsid w:val="009A7011"/>
    <w:rsid w:val="009A77AC"/>
    <w:rsid w:val="009A787C"/>
    <w:rsid w:val="009B09C3"/>
    <w:rsid w:val="009B0D75"/>
    <w:rsid w:val="009B1D8E"/>
    <w:rsid w:val="009B2846"/>
    <w:rsid w:val="009B445E"/>
    <w:rsid w:val="009B50AC"/>
    <w:rsid w:val="009B5CC0"/>
    <w:rsid w:val="009B6B9F"/>
    <w:rsid w:val="009B7010"/>
    <w:rsid w:val="009B711D"/>
    <w:rsid w:val="009C0D04"/>
    <w:rsid w:val="009C0F8A"/>
    <w:rsid w:val="009C0F96"/>
    <w:rsid w:val="009C35F8"/>
    <w:rsid w:val="009C3B33"/>
    <w:rsid w:val="009C5E96"/>
    <w:rsid w:val="009C67C2"/>
    <w:rsid w:val="009C7561"/>
    <w:rsid w:val="009D02E8"/>
    <w:rsid w:val="009D0566"/>
    <w:rsid w:val="009D189D"/>
    <w:rsid w:val="009D1C5F"/>
    <w:rsid w:val="009D2700"/>
    <w:rsid w:val="009D2C8B"/>
    <w:rsid w:val="009D3484"/>
    <w:rsid w:val="009D4C8C"/>
    <w:rsid w:val="009D5058"/>
    <w:rsid w:val="009D510D"/>
    <w:rsid w:val="009D51F3"/>
    <w:rsid w:val="009D619E"/>
    <w:rsid w:val="009D69AC"/>
    <w:rsid w:val="009D6FFA"/>
    <w:rsid w:val="009D707B"/>
    <w:rsid w:val="009D74F4"/>
    <w:rsid w:val="009D76CC"/>
    <w:rsid w:val="009E0528"/>
    <w:rsid w:val="009E0D8E"/>
    <w:rsid w:val="009E1032"/>
    <w:rsid w:val="009E1844"/>
    <w:rsid w:val="009E272F"/>
    <w:rsid w:val="009E288F"/>
    <w:rsid w:val="009E4029"/>
    <w:rsid w:val="009E430C"/>
    <w:rsid w:val="009E5312"/>
    <w:rsid w:val="009E53A1"/>
    <w:rsid w:val="009E595B"/>
    <w:rsid w:val="009E5B63"/>
    <w:rsid w:val="009E642B"/>
    <w:rsid w:val="009E65CA"/>
    <w:rsid w:val="009E74DF"/>
    <w:rsid w:val="009E75A6"/>
    <w:rsid w:val="009F0D1B"/>
    <w:rsid w:val="009F1633"/>
    <w:rsid w:val="009F244C"/>
    <w:rsid w:val="009F2690"/>
    <w:rsid w:val="009F362A"/>
    <w:rsid w:val="009F4DD1"/>
    <w:rsid w:val="009F53DD"/>
    <w:rsid w:val="009F544C"/>
    <w:rsid w:val="009F567B"/>
    <w:rsid w:val="009F5BBD"/>
    <w:rsid w:val="009F6367"/>
    <w:rsid w:val="009F65AA"/>
    <w:rsid w:val="009F696D"/>
    <w:rsid w:val="009F6BC6"/>
    <w:rsid w:val="009F74EF"/>
    <w:rsid w:val="009F7C62"/>
    <w:rsid w:val="009F7F83"/>
    <w:rsid w:val="00A007E6"/>
    <w:rsid w:val="00A009C1"/>
    <w:rsid w:val="00A01045"/>
    <w:rsid w:val="00A010D0"/>
    <w:rsid w:val="00A0126E"/>
    <w:rsid w:val="00A01F9A"/>
    <w:rsid w:val="00A023AA"/>
    <w:rsid w:val="00A02685"/>
    <w:rsid w:val="00A02826"/>
    <w:rsid w:val="00A028D0"/>
    <w:rsid w:val="00A02948"/>
    <w:rsid w:val="00A02C4D"/>
    <w:rsid w:val="00A03146"/>
    <w:rsid w:val="00A03913"/>
    <w:rsid w:val="00A03C7B"/>
    <w:rsid w:val="00A03F0E"/>
    <w:rsid w:val="00A0408D"/>
    <w:rsid w:val="00A04266"/>
    <w:rsid w:val="00A045A8"/>
    <w:rsid w:val="00A05194"/>
    <w:rsid w:val="00A052A8"/>
    <w:rsid w:val="00A05403"/>
    <w:rsid w:val="00A06988"/>
    <w:rsid w:val="00A06DC3"/>
    <w:rsid w:val="00A0767D"/>
    <w:rsid w:val="00A10170"/>
    <w:rsid w:val="00A102C9"/>
    <w:rsid w:val="00A110BF"/>
    <w:rsid w:val="00A112B9"/>
    <w:rsid w:val="00A11BF6"/>
    <w:rsid w:val="00A1243F"/>
    <w:rsid w:val="00A12454"/>
    <w:rsid w:val="00A1270F"/>
    <w:rsid w:val="00A134DB"/>
    <w:rsid w:val="00A13D4F"/>
    <w:rsid w:val="00A15C21"/>
    <w:rsid w:val="00A15D5A"/>
    <w:rsid w:val="00A16EE0"/>
    <w:rsid w:val="00A17328"/>
    <w:rsid w:val="00A204E7"/>
    <w:rsid w:val="00A21C0D"/>
    <w:rsid w:val="00A21C27"/>
    <w:rsid w:val="00A2237D"/>
    <w:rsid w:val="00A22B83"/>
    <w:rsid w:val="00A22D07"/>
    <w:rsid w:val="00A23A20"/>
    <w:rsid w:val="00A23DCF"/>
    <w:rsid w:val="00A242D0"/>
    <w:rsid w:val="00A24443"/>
    <w:rsid w:val="00A2459A"/>
    <w:rsid w:val="00A245EB"/>
    <w:rsid w:val="00A267D0"/>
    <w:rsid w:val="00A268B9"/>
    <w:rsid w:val="00A2703A"/>
    <w:rsid w:val="00A275E0"/>
    <w:rsid w:val="00A27B65"/>
    <w:rsid w:val="00A27E50"/>
    <w:rsid w:val="00A27F94"/>
    <w:rsid w:val="00A300D6"/>
    <w:rsid w:val="00A30611"/>
    <w:rsid w:val="00A3337C"/>
    <w:rsid w:val="00A33DFF"/>
    <w:rsid w:val="00A35115"/>
    <w:rsid w:val="00A360D7"/>
    <w:rsid w:val="00A36321"/>
    <w:rsid w:val="00A3683B"/>
    <w:rsid w:val="00A36D9A"/>
    <w:rsid w:val="00A37726"/>
    <w:rsid w:val="00A37B60"/>
    <w:rsid w:val="00A407A2"/>
    <w:rsid w:val="00A41244"/>
    <w:rsid w:val="00A4150A"/>
    <w:rsid w:val="00A4182F"/>
    <w:rsid w:val="00A42B67"/>
    <w:rsid w:val="00A42D9D"/>
    <w:rsid w:val="00A43000"/>
    <w:rsid w:val="00A43214"/>
    <w:rsid w:val="00A43326"/>
    <w:rsid w:val="00A434D8"/>
    <w:rsid w:val="00A451DC"/>
    <w:rsid w:val="00A45DBF"/>
    <w:rsid w:val="00A4717A"/>
    <w:rsid w:val="00A506FC"/>
    <w:rsid w:val="00A516A9"/>
    <w:rsid w:val="00A518FF"/>
    <w:rsid w:val="00A52864"/>
    <w:rsid w:val="00A52B08"/>
    <w:rsid w:val="00A52C67"/>
    <w:rsid w:val="00A534C2"/>
    <w:rsid w:val="00A539D8"/>
    <w:rsid w:val="00A53D76"/>
    <w:rsid w:val="00A541E6"/>
    <w:rsid w:val="00A547D5"/>
    <w:rsid w:val="00A54DB2"/>
    <w:rsid w:val="00A54FEA"/>
    <w:rsid w:val="00A55372"/>
    <w:rsid w:val="00A554AB"/>
    <w:rsid w:val="00A5579C"/>
    <w:rsid w:val="00A55A73"/>
    <w:rsid w:val="00A562B6"/>
    <w:rsid w:val="00A562F5"/>
    <w:rsid w:val="00A563A6"/>
    <w:rsid w:val="00A5662C"/>
    <w:rsid w:val="00A567B9"/>
    <w:rsid w:val="00A56C76"/>
    <w:rsid w:val="00A57062"/>
    <w:rsid w:val="00A570BF"/>
    <w:rsid w:val="00A579CE"/>
    <w:rsid w:val="00A57B7C"/>
    <w:rsid w:val="00A57E18"/>
    <w:rsid w:val="00A60284"/>
    <w:rsid w:val="00A60CFD"/>
    <w:rsid w:val="00A6138C"/>
    <w:rsid w:val="00A61B9E"/>
    <w:rsid w:val="00A6226E"/>
    <w:rsid w:val="00A6253E"/>
    <w:rsid w:val="00A62D80"/>
    <w:rsid w:val="00A62F85"/>
    <w:rsid w:val="00A62FB3"/>
    <w:rsid w:val="00A63888"/>
    <w:rsid w:val="00A6412E"/>
    <w:rsid w:val="00A64EDF"/>
    <w:rsid w:val="00A652B4"/>
    <w:rsid w:val="00A66258"/>
    <w:rsid w:val="00A67481"/>
    <w:rsid w:val="00A67781"/>
    <w:rsid w:val="00A67B2C"/>
    <w:rsid w:val="00A70437"/>
    <w:rsid w:val="00A70AFF"/>
    <w:rsid w:val="00A71999"/>
    <w:rsid w:val="00A71E62"/>
    <w:rsid w:val="00A71ED4"/>
    <w:rsid w:val="00A71EF7"/>
    <w:rsid w:val="00A7237D"/>
    <w:rsid w:val="00A723E1"/>
    <w:rsid w:val="00A73189"/>
    <w:rsid w:val="00A74415"/>
    <w:rsid w:val="00A75D82"/>
    <w:rsid w:val="00A75E47"/>
    <w:rsid w:val="00A761F9"/>
    <w:rsid w:val="00A763E8"/>
    <w:rsid w:val="00A76520"/>
    <w:rsid w:val="00A76523"/>
    <w:rsid w:val="00A76904"/>
    <w:rsid w:val="00A7752D"/>
    <w:rsid w:val="00A7753B"/>
    <w:rsid w:val="00A77E87"/>
    <w:rsid w:val="00A818EC"/>
    <w:rsid w:val="00A81EAF"/>
    <w:rsid w:val="00A82BE4"/>
    <w:rsid w:val="00A837BC"/>
    <w:rsid w:val="00A84C6B"/>
    <w:rsid w:val="00A84CFC"/>
    <w:rsid w:val="00A84E50"/>
    <w:rsid w:val="00A8536A"/>
    <w:rsid w:val="00A859CA"/>
    <w:rsid w:val="00A85A15"/>
    <w:rsid w:val="00A85A22"/>
    <w:rsid w:val="00A870FA"/>
    <w:rsid w:val="00A90DBF"/>
    <w:rsid w:val="00A91769"/>
    <w:rsid w:val="00A9212D"/>
    <w:rsid w:val="00A92871"/>
    <w:rsid w:val="00A92B53"/>
    <w:rsid w:val="00A933B2"/>
    <w:rsid w:val="00A93B92"/>
    <w:rsid w:val="00A94ECB"/>
    <w:rsid w:val="00A94FA6"/>
    <w:rsid w:val="00A9543B"/>
    <w:rsid w:val="00A977D5"/>
    <w:rsid w:val="00AA0171"/>
    <w:rsid w:val="00AA09FE"/>
    <w:rsid w:val="00AA1344"/>
    <w:rsid w:val="00AA15AC"/>
    <w:rsid w:val="00AA1738"/>
    <w:rsid w:val="00AA4727"/>
    <w:rsid w:val="00AA49A0"/>
    <w:rsid w:val="00AA4D86"/>
    <w:rsid w:val="00AA4E57"/>
    <w:rsid w:val="00AA5312"/>
    <w:rsid w:val="00AA53BC"/>
    <w:rsid w:val="00AA560C"/>
    <w:rsid w:val="00AA5765"/>
    <w:rsid w:val="00AA649C"/>
    <w:rsid w:val="00AA6585"/>
    <w:rsid w:val="00AA6710"/>
    <w:rsid w:val="00AB0137"/>
    <w:rsid w:val="00AB0154"/>
    <w:rsid w:val="00AB0681"/>
    <w:rsid w:val="00AB1075"/>
    <w:rsid w:val="00AB157E"/>
    <w:rsid w:val="00AB18C2"/>
    <w:rsid w:val="00AB1A07"/>
    <w:rsid w:val="00AB1D1B"/>
    <w:rsid w:val="00AB2848"/>
    <w:rsid w:val="00AB2FEC"/>
    <w:rsid w:val="00AB35F9"/>
    <w:rsid w:val="00AB4862"/>
    <w:rsid w:val="00AB4BDC"/>
    <w:rsid w:val="00AB51E3"/>
    <w:rsid w:val="00AB643E"/>
    <w:rsid w:val="00AB671E"/>
    <w:rsid w:val="00AB72DB"/>
    <w:rsid w:val="00AB7C2A"/>
    <w:rsid w:val="00AC16B6"/>
    <w:rsid w:val="00AC197A"/>
    <w:rsid w:val="00AC3246"/>
    <w:rsid w:val="00AC3618"/>
    <w:rsid w:val="00AC389D"/>
    <w:rsid w:val="00AC3A15"/>
    <w:rsid w:val="00AC53F3"/>
    <w:rsid w:val="00AC5E84"/>
    <w:rsid w:val="00AC62B6"/>
    <w:rsid w:val="00AC6976"/>
    <w:rsid w:val="00AC71DC"/>
    <w:rsid w:val="00AD0670"/>
    <w:rsid w:val="00AD08EA"/>
    <w:rsid w:val="00AD0C39"/>
    <w:rsid w:val="00AD0EEA"/>
    <w:rsid w:val="00AD12C0"/>
    <w:rsid w:val="00AD28BA"/>
    <w:rsid w:val="00AD3B14"/>
    <w:rsid w:val="00AD4DFA"/>
    <w:rsid w:val="00AD520B"/>
    <w:rsid w:val="00AD5548"/>
    <w:rsid w:val="00AD5712"/>
    <w:rsid w:val="00AD6998"/>
    <w:rsid w:val="00AD6FFC"/>
    <w:rsid w:val="00AD74C1"/>
    <w:rsid w:val="00AD788D"/>
    <w:rsid w:val="00AD7E89"/>
    <w:rsid w:val="00AE00BA"/>
    <w:rsid w:val="00AE0D29"/>
    <w:rsid w:val="00AE0E99"/>
    <w:rsid w:val="00AE21AB"/>
    <w:rsid w:val="00AE3BCC"/>
    <w:rsid w:val="00AE47AB"/>
    <w:rsid w:val="00AE47CF"/>
    <w:rsid w:val="00AE4CE5"/>
    <w:rsid w:val="00AE4FAE"/>
    <w:rsid w:val="00AE57B6"/>
    <w:rsid w:val="00AE6088"/>
    <w:rsid w:val="00AE6848"/>
    <w:rsid w:val="00AE75A3"/>
    <w:rsid w:val="00AF173E"/>
    <w:rsid w:val="00AF181D"/>
    <w:rsid w:val="00AF2A83"/>
    <w:rsid w:val="00AF4489"/>
    <w:rsid w:val="00AF4E98"/>
    <w:rsid w:val="00AF5397"/>
    <w:rsid w:val="00AF6007"/>
    <w:rsid w:val="00AF61C5"/>
    <w:rsid w:val="00AF62D6"/>
    <w:rsid w:val="00AF693D"/>
    <w:rsid w:val="00AF6E53"/>
    <w:rsid w:val="00AF72F8"/>
    <w:rsid w:val="00AF75A5"/>
    <w:rsid w:val="00AF7774"/>
    <w:rsid w:val="00AF77B0"/>
    <w:rsid w:val="00B00522"/>
    <w:rsid w:val="00B01BB4"/>
    <w:rsid w:val="00B02D62"/>
    <w:rsid w:val="00B038CE"/>
    <w:rsid w:val="00B0392A"/>
    <w:rsid w:val="00B0468C"/>
    <w:rsid w:val="00B056EE"/>
    <w:rsid w:val="00B0586D"/>
    <w:rsid w:val="00B05B43"/>
    <w:rsid w:val="00B05D9A"/>
    <w:rsid w:val="00B06A80"/>
    <w:rsid w:val="00B07161"/>
    <w:rsid w:val="00B07558"/>
    <w:rsid w:val="00B0767B"/>
    <w:rsid w:val="00B110F5"/>
    <w:rsid w:val="00B1118D"/>
    <w:rsid w:val="00B119E7"/>
    <w:rsid w:val="00B12C16"/>
    <w:rsid w:val="00B13123"/>
    <w:rsid w:val="00B13205"/>
    <w:rsid w:val="00B13864"/>
    <w:rsid w:val="00B13F68"/>
    <w:rsid w:val="00B141D0"/>
    <w:rsid w:val="00B14653"/>
    <w:rsid w:val="00B150E3"/>
    <w:rsid w:val="00B161C6"/>
    <w:rsid w:val="00B165A3"/>
    <w:rsid w:val="00B166D8"/>
    <w:rsid w:val="00B20954"/>
    <w:rsid w:val="00B20D9B"/>
    <w:rsid w:val="00B21D3C"/>
    <w:rsid w:val="00B23F4E"/>
    <w:rsid w:val="00B240F9"/>
    <w:rsid w:val="00B243AE"/>
    <w:rsid w:val="00B24EFF"/>
    <w:rsid w:val="00B275A3"/>
    <w:rsid w:val="00B27DC8"/>
    <w:rsid w:val="00B3049A"/>
    <w:rsid w:val="00B30760"/>
    <w:rsid w:val="00B30E8E"/>
    <w:rsid w:val="00B32663"/>
    <w:rsid w:val="00B33C17"/>
    <w:rsid w:val="00B3512A"/>
    <w:rsid w:val="00B356B9"/>
    <w:rsid w:val="00B3599E"/>
    <w:rsid w:val="00B36A8F"/>
    <w:rsid w:val="00B36E52"/>
    <w:rsid w:val="00B3783D"/>
    <w:rsid w:val="00B37C34"/>
    <w:rsid w:val="00B4053F"/>
    <w:rsid w:val="00B4074C"/>
    <w:rsid w:val="00B40765"/>
    <w:rsid w:val="00B40AB2"/>
    <w:rsid w:val="00B4107E"/>
    <w:rsid w:val="00B4119E"/>
    <w:rsid w:val="00B418E6"/>
    <w:rsid w:val="00B41C6F"/>
    <w:rsid w:val="00B425C3"/>
    <w:rsid w:val="00B4271E"/>
    <w:rsid w:val="00B4373D"/>
    <w:rsid w:val="00B439B4"/>
    <w:rsid w:val="00B440AD"/>
    <w:rsid w:val="00B44A9D"/>
    <w:rsid w:val="00B44B87"/>
    <w:rsid w:val="00B457A4"/>
    <w:rsid w:val="00B463E4"/>
    <w:rsid w:val="00B46615"/>
    <w:rsid w:val="00B47441"/>
    <w:rsid w:val="00B479BB"/>
    <w:rsid w:val="00B479C1"/>
    <w:rsid w:val="00B47A48"/>
    <w:rsid w:val="00B5065B"/>
    <w:rsid w:val="00B50E96"/>
    <w:rsid w:val="00B51FB4"/>
    <w:rsid w:val="00B53A35"/>
    <w:rsid w:val="00B53DB1"/>
    <w:rsid w:val="00B53E7E"/>
    <w:rsid w:val="00B55030"/>
    <w:rsid w:val="00B55656"/>
    <w:rsid w:val="00B55898"/>
    <w:rsid w:val="00B576CC"/>
    <w:rsid w:val="00B57D69"/>
    <w:rsid w:val="00B57DAE"/>
    <w:rsid w:val="00B57ED4"/>
    <w:rsid w:val="00B603A0"/>
    <w:rsid w:val="00B606E7"/>
    <w:rsid w:val="00B609C5"/>
    <w:rsid w:val="00B60B11"/>
    <w:rsid w:val="00B625BE"/>
    <w:rsid w:val="00B62E15"/>
    <w:rsid w:val="00B63196"/>
    <w:rsid w:val="00B6342E"/>
    <w:rsid w:val="00B65CE0"/>
    <w:rsid w:val="00B66E39"/>
    <w:rsid w:val="00B67340"/>
    <w:rsid w:val="00B677BE"/>
    <w:rsid w:val="00B70233"/>
    <w:rsid w:val="00B710D4"/>
    <w:rsid w:val="00B7113F"/>
    <w:rsid w:val="00B7125E"/>
    <w:rsid w:val="00B716BE"/>
    <w:rsid w:val="00B71D51"/>
    <w:rsid w:val="00B74294"/>
    <w:rsid w:val="00B74326"/>
    <w:rsid w:val="00B74E05"/>
    <w:rsid w:val="00B74EAA"/>
    <w:rsid w:val="00B750F0"/>
    <w:rsid w:val="00B752EB"/>
    <w:rsid w:val="00B75467"/>
    <w:rsid w:val="00B75621"/>
    <w:rsid w:val="00B76774"/>
    <w:rsid w:val="00B77214"/>
    <w:rsid w:val="00B776F5"/>
    <w:rsid w:val="00B77BCD"/>
    <w:rsid w:val="00B8004F"/>
    <w:rsid w:val="00B81141"/>
    <w:rsid w:val="00B81685"/>
    <w:rsid w:val="00B817FE"/>
    <w:rsid w:val="00B820E5"/>
    <w:rsid w:val="00B828C4"/>
    <w:rsid w:val="00B82B62"/>
    <w:rsid w:val="00B83889"/>
    <w:rsid w:val="00B838FE"/>
    <w:rsid w:val="00B83A64"/>
    <w:rsid w:val="00B8529A"/>
    <w:rsid w:val="00B858BA"/>
    <w:rsid w:val="00B8592B"/>
    <w:rsid w:val="00B86AED"/>
    <w:rsid w:val="00B86C17"/>
    <w:rsid w:val="00B86F01"/>
    <w:rsid w:val="00B93DC4"/>
    <w:rsid w:val="00B9427A"/>
    <w:rsid w:val="00B94606"/>
    <w:rsid w:val="00B95200"/>
    <w:rsid w:val="00BA03A8"/>
    <w:rsid w:val="00BA0914"/>
    <w:rsid w:val="00BA0E77"/>
    <w:rsid w:val="00BA1517"/>
    <w:rsid w:val="00BA223F"/>
    <w:rsid w:val="00BA23C4"/>
    <w:rsid w:val="00BA247F"/>
    <w:rsid w:val="00BA2BCF"/>
    <w:rsid w:val="00BA30BC"/>
    <w:rsid w:val="00BA474C"/>
    <w:rsid w:val="00BA4E1A"/>
    <w:rsid w:val="00BA51BD"/>
    <w:rsid w:val="00BA59C2"/>
    <w:rsid w:val="00BA5B14"/>
    <w:rsid w:val="00BA5D98"/>
    <w:rsid w:val="00BA5E95"/>
    <w:rsid w:val="00BA64D6"/>
    <w:rsid w:val="00BA6AA5"/>
    <w:rsid w:val="00BA73B6"/>
    <w:rsid w:val="00BA73CB"/>
    <w:rsid w:val="00BA7A1A"/>
    <w:rsid w:val="00BA7E27"/>
    <w:rsid w:val="00BA7E70"/>
    <w:rsid w:val="00BB012E"/>
    <w:rsid w:val="00BB03AA"/>
    <w:rsid w:val="00BB0AA9"/>
    <w:rsid w:val="00BB0E9A"/>
    <w:rsid w:val="00BB1050"/>
    <w:rsid w:val="00BB173F"/>
    <w:rsid w:val="00BB2603"/>
    <w:rsid w:val="00BB3214"/>
    <w:rsid w:val="00BB34A3"/>
    <w:rsid w:val="00BB3D7E"/>
    <w:rsid w:val="00BB4D0B"/>
    <w:rsid w:val="00BB4FCD"/>
    <w:rsid w:val="00BB533D"/>
    <w:rsid w:val="00BB59BE"/>
    <w:rsid w:val="00BB6156"/>
    <w:rsid w:val="00BB6793"/>
    <w:rsid w:val="00BC04E9"/>
    <w:rsid w:val="00BC0560"/>
    <w:rsid w:val="00BC4078"/>
    <w:rsid w:val="00BC44F2"/>
    <w:rsid w:val="00BC460E"/>
    <w:rsid w:val="00BC519D"/>
    <w:rsid w:val="00BC53F9"/>
    <w:rsid w:val="00BC5DE2"/>
    <w:rsid w:val="00BC76AF"/>
    <w:rsid w:val="00BD13EA"/>
    <w:rsid w:val="00BD186C"/>
    <w:rsid w:val="00BD1B4D"/>
    <w:rsid w:val="00BD27C8"/>
    <w:rsid w:val="00BD2E15"/>
    <w:rsid w:val="00BD3525"/>
    <w:rsid w:val="00BD57BF"/>
    <w:rsid w:val="00BD7E13"/>
    <w:rsid w:val="00BE22D0"/>
    <w:rsid w:val="00BE2FA0"/>
    <w:rsid w:val="00BE3808"/>
    <w:rsid w:val="00BE4060"/>
    <w:rsid w:val="00BE4332"/>
    <w:rsid w:val="00BE48ED"/>
    <w:rsid w:val="00BE4CD5"/>
    <w:rsid w:val="00BE533E"/>
    <w:rsid w:val="00BE6722"/>
    <w:rsid w:val="00BE6AC1"/>
    <w:rsid w:val="00BE7E60"/>
    <w:rsid w:val="00BF03CE"/>
    <w:rsid w:val="00BF05EB"/>
    <w:rsid w:val="00BF077C"/>
    <w:rsid w:val="00BF09D3"/>
    <w:rsid w:val="00BF0A97"/>
    <w:rsid w:val="00BF0B5E"/>
    <w:rsid w:val="00BF1521"/>
    <w:rsid w:val="00BF164E"/>
    <w:rsid w:val="00BF1B94"/>
    <w:rsid w:val="00BF214A"/>
    <w:rsid w:val="00BF2715"/>
    <w:rsid w:val="00BF3323"/>
    <w:rsid w:val="00BF36DC"/>
    <w:rsid w:val="00BF44B4"/>
    <w:rsid w:val="00BF56AF"/>
    <w:rsid w:val="00BF59C8"/>
    <w:rsid w:val="00BF7306"/>
    <w:rsid w:val="00BF7572"/>
    <w:rsid w:val="00C00B76"/>
    <w:rsid w:val="00C00DA1"/>
    <w:rsid w:val="00C01A20"/>
    <w:rsid w:val="00C01C7A"/>
    <w:rsid w:val="00C020D6"/>
    <w:rsid w:val="00C020E5"/>
    <w:rsid w:val="00C02392"/>
    <w:rsid w:val="00C02A4B"/>
    <w:rsid w:val="00C033A7"/>
    <w:rsid w:val="00C03752"/>
    <w:rsid w:val="00C03A84"/>
    <w:rsid w:val="00C03B88"/>
    <w:rsid w:val="00C05885"/>
    <w:rsid w:val="00C05C54"/>
    <w:rsid w:val="00C062E9"/>
    <w:rsid w:val="00C06366"/>
    <w:rsid w:val="00C069AA"/>
    <w:rsid w:val="00C072AB"/>
    <w:rsid w:val="00C07B64"/>
    <w:rsid w:val="00C10E55"/>
    <w:rsid w:val="00C1188A"/>
    <w:rsid w:val="00C11E5D"/>
    <w:rsid w:val="00C12A5F"/>
    <w:rsid w:val="00C12ADB"/>
    <w:rsid w:val="00C12C11"/>
    <w:rsid w:val="00C13721"/>
    <w:rsid w:val="00C13D90"/>
    <w:rsid w:val="00C13E12"/>
    <w:rsid w:val="00C14BA9"/>
    <w:rsid w:val="00C14FE4"/>
    <w:rsid w:val="00C1533F"/>
    <w:rsid w:val="00C15868"/>
    <w:rsid w:val="00C16AC4"/>
    <w:rsid w:val="00C16C70"/>
    <w:rsid w:val="00C1704A"/>
    <w:rsid w:val="00C173C7"/>
    <w:rsid w:val="00C17A93"/>
    <w:rsid w:val="00C17C61"/>
    <w:rsid w:val="00C20B9E"/>
    <w:rsid w:val="00C20CD2"/>
    <w:rsid w:val="00C212ED"/>
    <w:rsid w:val="00C2181D"/>
    <w:rsid w:val="00C21D2E"/>
    <w:rsid w:val="00C237CF"/>
    <w:rsid w:val="00C237FF"/>
    <w:rsid w:val="00C23F45"/>
    <w:rsid w:val="00C24784"/>
    <w:rsid w:val="00C251FA"/>
    <w:rsid w:val="00C253F8"/>
    <w:rsid w:val="00C25EC5"/>
    <w:rsid w:val="00C271CA"/>
    <w:rsid w:val="00C27535"/>
    <w:rsid w:val="00C3066D"/>
    <w:rsid w:val="00C32538"/>
    <w:rsid w:val="00C352E5"/>
    <w:rsid w:val="00C357D0"/>
    <w:rsid w:val="00C3733C"/>
    <w:rsid w:val="00C376A2"/>
    <w:rsid w:val="00C415B4"/>
    <w:rsid w:val="00C41621"/>
    <w:rsid w:val="00C42E65"/>
    <w:rsid w:val="00C4308E"/>
    <w:rsid w:val="00C44B05"/>
    <w:rsid w:val="00C4571B"/>
    <w:rsid w:val="00C45C3E"/>
    <w:rsid w:val="00C46292"/>
    <w:rsid w:val="00C46CAB"/>
    <w:rsid w:val="00C47199"/>
    <w:rsid w:val="00C505E8"/>
    <w:rsid w:val="00C50D81"/>
    <w:rsid w:val="00C52182"/>
    <w:rsid w:val="00C52416"/>
    <w:rsid w:val="00C530AC"/>
    <w:rsid w:val="00C53C7F"/>
    <w:rsid w:val="00C543F4"/>
    <w:rsid w:val="00C55E88"/>
    <w:rsid w:val="00C56C40"/>
    <w:rsid w:val="00C57B2C"/>
    <w:rsid w:val="00C6070F"/>
    <w:rsid w:val="00C61119"/>
    <w:rsid w:val="00C6291C"/>
    <w:rsid w:val="00C63217"/>
    <w:rsid w:val="00C633CB"/>
    <w:rsid w:val="00C65A13"/>
    <w:rsid w:val="00C65B1E"/>
    <w:rsid w:val="00C664CD"/>
    <w:rsid w:val="00C6691F"/>
    <w:rsid w:val="00C674E2"/>
    <w:rsid w:val="00C70638"/>
    <w:rsid w:val="00C72120"/>
    <w:rsid w:val="00C736B7"/>
    <w:rsid w:val="00C73944"/>
    <w:rsid w:val="00C74B8E"/>
    <w:rsid w:val="00C75645"/>
    <w:rsid w:val="00C76396"/>
    <w:rsid w:val="00C76476"/>
    <w:rsid w:val="00C767E4"/>
    <w:rsid w:val="00C76A58"/>
    <w:rsid w:val="00C76C1D"/>
    <w:rsid w:val="00C804A1"/>
    <w:rsid w:val="00C806E6"/>
    <w:rsid w:val="00C80BEA"/>
    <w:rsid w:val="00C81A49"/>
    <w:rsid w:val="00C81D4A"/>
    <w:rsid w:val="00C820E4"/>
    <w:rsid w:val="00C82459"/>
    <w:rsid w:val="00C835A2"/>
    <w:rsid w:val="00C8486A"/>
    <w:rsid w:val="00C85038"/>
    <w:rsid w:val="00C855B9"/>
    <w:rsid w:val="00C8591B"/>
    <w:rsid w:val="00C85EEB"/>
    <w:rsid w:val="00C86C56"/>
    <w:rsid w:val="00C8762C"/>
    <w:rsid w:val="00C902F0"/>
    <w:rsid w:val="00C9262E"/>
    <w:rsid w:val="00C92883"/>
    <w:rsid w:val="00C92A42"/>
    <w:rsid w:val="00C934D0"/>
    <w:rsid w:val="00C93962"/>
    <w:rsid w:val="00C93ACB"/>
    <w:rsid w:val="00C94319"/>
    <w:rsid w:val="00C956D0"/>
    <w:rsid w:val="00C96EE9"/>
    <w:rsid w:val="00C97FB5"/>
    <w:rsid w:val="00CA00F9"/>
    <w:rsid w:val="00CA09BC"/>
    <w:rsid w:val="00CA0E76"/>
    <w:rsid w:val="00CA1293"/>
    <w:rsid w:val="00CA1C40"/>
    <w:rsid w:val="00CA2961"/>
    <w:rsid w:val="00CA2A70"/>
    <w:rsid w:val="00CA2ADF"/>
    <w:rsid w:val="00CA33A9"/>
    <w:rsid w:val="00CA3D2F"/>
    <w:rsid w:val="00CA512C"/>
    <w:rsid w:val="00CA5340"/>
    <w:rsid w:val="00CA5C7B"/>
    <w:rsid w:val="00CA5E3D"/>
    <w:rsid w:val="00CA5FF7"/>
    <w:rsid w:val="00CA66FD"/>
    <w:rsid w:val="00CA7676"/>
    <w:rsid w:val="00CB034A"/>
    <w:rsid w:val="00CB0B9B"/>
    <w:rsid w:val="00CB2262"/>
    <w:rsid w:val="00CB32E8"/>
    <w:rsid w:val="00CB50D7"/>
    <w:rsid w:val="00CB5376"/>
    <w:rsid w:val="00CB7177"/>
    <w:rsid w:val="00CB7CED"/>
    <w:rsid w:val="00CB7D8A"/>
    <w:rsid w:val="00CC057B"/>
    <w:rsid w:val="00CC070F"/>
    <w:rsid w:val="00CC0DCF"/>
    <w:rsid w:val="00CC0E8A"/>
    <w:rsid w:val="00CC0EC1"/>
    <w:rsid w:val="00CC115D"/>
    <w:rsid w:val="00CC1571"/>
    <w:rsid w:val="00CC1998"/>
    <w:rsid w:val="00CC1BC7"/>
    <w:rsid w:val="00CC2D9B"/>
    <w:rsid w:val="00CC3F69"/>
    <w:rsid w:val="00CC4265"/>
    <w:rsid w:val="00CC4946"/>
    <w:rsid w:val="00CC62AB"/>
    <w:rsid w:val="00CC64A1"/>
    <w:rsid w:val="00CC6916"/>
    <w:rsid w:val="00CC692F"/>
    <w:rsid w:val="00CC79E8"/>
    <w:rsid w:val="00CC7B85"/>
    <w:rsid w:val="00CD01F2"/>
    <w:rsid w:val="00CD16DA"/>
    <w:rsid w:val="00CD1C1F"/>
    <w:rsid w:val="00CD2CFE"/>
    <w:rsid w:val="00CD33C0"/>
    <w:rsid w:val="00CD3AA2"/>
    <w:rsid w:val="00CD3B4E"/>
    <w:rsid w:val="00CD3B93"/>
    <w:rsid w:val="00CD3FFA"/>
    <w:rsid w:val="00CD414A"/>
    <w:rsid w:val="00CD414C"/>
    <w:rsid w:val="00CD4A58"/>
    <w:rsid w:val="00CD4EA9"/>
    <w:rsid w:val="00CD4F86"/>
    <w:rsid w:val="00CD6519"/>
    <w:rsid w:val="00CD7542"/>
    <w:rsid w:val="00CD7E1D"/>
    <w:rsid w:val="00CE0BA0"/>
    <w:rsid w:val="00CE13CB"/>
    <w:rsid w:val="00CE1562"/>
    <w:rsid w:val="00CE1C10"/>
    <w:rsid w:val="00CE295C"/>
    <w:rsid w:val="00CE2BAE"/>
    <w:rsid w:val="00CE308A"/>
    <w:rsid w:val="00CE327A"/>
    <w:rsid w:val="00CE3D99"/>
    <w:rsid w:val="00CE410C"/>
    <w:rsid w:val="00CE4CB2"/>
    <w:rsid w:val="00CE4ED3"/>
    <w:rsid w:val="00CE66C9"/>
    <w:rsid w:val="00CE68AC"/>
    <w:rsid w:val="00CE6B8E"/>
    <w:rsid w:val="00CE709C"/>
    <w:rsid w:val="00CE7A08"/>
    <w:rsid w:val="00CE7AC9"/>
    <w:rsid w:val="00CE7CCB"/>
    <w:rsid w:val="00CF0249"/>
    <w:rsid w:val="00CF03C9"/>
    <w:rsid w:val="00CF0A32"/>
    <w:rsid w:val="00CF0B3D"/>
    <w:rsid w:val="00CF0EBD"/>
    <w:rsid w:val="00CF1138"/>
    <w:rsid w:val="00CF2112"/>
    <w:rsid w:val="00CF25FA"/>
    <w:rsid w:val="00CF2BC1"/>
    <w:rsid w:val="00CF2CE6"/>
    <w:rsid w:val="00CF3933"/>
    <w:rsid w:val="00CF3AB3"/>
    <w:rsid w:val="00CF3B11"/>
    <w:rsid w:val="00CF47F6"/>
    <w:rsid w:val="00CF4E8A"/>
    <w:rsid w:val="00CF5CA9"/>
    <w:rsid w:val="00CF5D41"/>
    <w:rsid w:val="00CF6034"/>
    <w:rsid w:val="00CF6079"/>
    <w:rsid w:val="00CF60BB"/>
    <w:rsid w:val="00CF6D73"/>
    <w:rsid w:val="00CF706F"/>
    <w:rsid w:val="00CF777A"/>
    <w:rsid w:val="00D00AA8"/>
    <w:rsid w:val="00D0191B"/>
    <w:rsid w:val="00D01FB6"/>
    <w:rsid w:val="00D03642"/>
    <w:rsid w:val="00D0397F"/>
    <w:rsid w:val="00D05081"/>
    <w:rsid w:val="00D05572"/>
    <w:rsid w:val="00D10E0A"/>
    <w:rsid w:val="00D11432"/>
    <w:rsid w:val="00D116B2"/>
    <w:rsid w:val="00D121DA"/>
    <w:rsid w:val="00D12E74"/>
    <w:rsid w:val="00D13D72"/>
    <w:rsid w:val="00D13F9E"/>
    <w:rsid w:val="00D144F0"/>
    <w:rsid w:val="00D14A1C"/>
    <w:rsid w:val="00D14F41"/>
    <w:rsid w:val="00D15164"/>
    <w:rsid w:val="00D15465"/>
    <w:rsid w:val="00D15651"/>
    <w:rsid w:val="00D15BF0"/>
    <w:rsid w:val="00D15D48"/>
    <w:rsid w:val="00D1623B"/>
    <w:rsid w:val="00D16281"/>
    <w:rsid w:val="00D16BDD"/>
    <w:rsid w:val="00D16D87"/>
    <w:rsid w:val="00D16F78"/>
    <w:rsid w:val="00D179DC"/>
    <w:rsid w:val="00D17B6F"/>
    <w:rsid w:val="00D205BD"/>
    <w:rsid w:val="00D20EE1"/>
    <w:rsid w:val="00D2183E"/>
    <w:rsid w:val="00D21B18"/>
    <w:rsid w:val="00D21BE7"/>
    <w:rsid w:val="00D22146"/>
    <w:rsid w:val="00D23D17"/>
    <w:rsid w:val="00D243E4"/>
    <w:rsid w:val="00D24428"/>
    <w:rsid w:val="00D2486C"/>
    <w:rsid w:val="00D25970"/>
    <w:rsid w:val="00D2688F"/>
    <w:rsid w:val="00D26AC2"/>
    <w:rsid w:val="00D26B3B"/>
    <w:rsid w:val="00D270A4"/>
    <w:rsid w:val="00D277DF"/>
    <w:rsid w:val="00D27DA6"/>
    <w:rsid w:val="00D30510"/>
    <w:rsid w:val="00D31A89"/>
    <w:rsid w:val="00D31FE9"/>
    <w:rsid w:val="00D32145"/>
    <w:rsid w:val="00D336B7"/>
    <w:rsid w:val="00D33AC7"/>
    <w:rsid w:val="00D3491C"/>
    <w:rsid w:val="00D34C60"/>
    <w:rsid w:val="00D34E1B"/>
    <w:rsid w:val="00D36746"/>
    <w:rsid w:val="00D37124"/>
    <w:rsid w:val="00D376BA"/>
    <w:rsid w:val="00D378D0"/>
    <w:rsid w:val="00D37EB9"/>
    <w:rsid w:val="00D40A75"/>
    <w:rsid w:val="00D40D1F"/>
    <w:rsid w:val="00D411D3"/>
    <w:rsid w:val="00D42D54"/>
    <w:rsid w:val="00D434A0"/>
    <w:rsid w:val="00D4357F"/>
    <w:rsid w:val="00D43B84"/>
    <w:rsid w:val="00D43FA4"/>
    <w:rsid w:val="00D455BA"/>
    <w:rsid w:val="00D45634"/>
    <w:rsid w:val="00D45DDB"/>
    <w:rsid w:val="00D467FC"/>
    <w:rsid w:val="00D46D43"/>
    <w:rsid w:val="00D46EC3"/>
    <w:rsid w:val="00D4716A"/>
    <w:rsid w:val="00D471F1"/>
    <w:rsid w:val="00D476D3"/>
    <w:rsid w:val="00D47B2B"/>
    <w:rsid w:val="00D47DC4"/>
    <w:rsid w:val="00D51BD9"/>
    <w:rsid w:val="00D51CBB"/>
    <w:rsid w:val="00D52196"/>
    <w:rsid w:val="00D52E5D"/>
    <w:rsid w:val="00D53088"/>
    <w:rsid w:val="00D538AB"/>
    <w:rsid w:val="00D541E4"/>
    <w:rsid w:val="00D546EA"/>
    <w:rsid w:val="00D54863"/>
    <w:rsid w:val="00D54F29"/>
    <w:rsid w:val="00D5568A"/>
    <w:rsid w:val="00D572CC"/>
    <w:rsid w:val="00D57D99"/>
    <w:rsid w:val="00D57FA7"/>
    <w:rsid w:val="00D60332"/>
    <w:rsid w:val="00D60F71"/>
    <w:rsid w:val="00D6298F"/>
    <w:rsid w:val="00D629EF"/>
    <w:rsid w:val="00D62C4B"/>
    <w:rsid w:val="00D63519"/>
    <w:rsid w:val="00D63605"/>
    <w:rsid w:val="00D63849"/>
    <w:rsid w:val="00D63989"/>
    <w:rsid w:val="00D63C37"/>
    <w:rsid w:val="00D63D73"/>
    <w:rsid w:val="00D64452"/>
    <w:rsid w:val="00D64515"/>
    <w:rsid w:val="00D645E5"/>
    <w:rsid w:val="00D651CE"/>
    <w:rsid w:val="00D65CAC"/>
    <w:rsid w:val="00D664F5"/>
    <w:rsid w:val="00D664F6"/>
    <w:rsid w:val="00D66CB4"/>
    <w:rsid w:val="00D66E1E"/>
    <w:rsid w:val="00D66F17"/>
    <w:rsid w:val="00D67C59"/>
    <w:rsid w:val="00D67F33"/>
    <w:rsid w:val="00D70277"/>
    <w:rsid w:val="00D70696"/>
    <w:rsid w:val="00D7239E"/>
    <w:rsid w:val="00D724BA"/>
    <w:rsid w:val="00D72BF1"/>
    <w:rsid w:val="00D73024"/>
    <w:rsid w:val="00D73135"/>
    <w:rsid w:val="00D7331D"/>
    <w:rsid w:val="00D74791"/>
    <w:rsid w:val="00D75189"/>
    <w:rsid w:val="00D75722"/>
    <w:rsid w:val="00D76475"/>
    <w:rsid w:val="00D7650F"/>
    <w:rsid w:val="00D76D60"/>
    <w:rsid w:val="00D803B1"/>
    <w:rsid w:val="00D80CF5"/>
    <w:rsid w:val="00D810B1"/>
    <w:rsid w:val="00D82B07"/>
    <w:rsid w:val="00D83E18"/>
    <w:rsid w:val="00D849EE"/>
    <w:rsid w:val="00D84C38"/>
    <w:rsid w:val="00D85BC2"/>
    <w:rsid w:val="00D85D8E"/>
    <w:rsid w:val="00D85F5A"/>
    <w:rsid w:val="00D90AAD"/>
    <w:rsid w:val="00D914DF"/>
    <w:rsid w:val="00D917AC"/>
    <w:rsid w:val="00D9294E"/>
    <w:rsid w:val="00D92D50"/>
    <w:rsid w:val="00D92DD6"/>
    <w:rsid w:val="00D93346"/>
    <w:rsid w:val="00D93493"/>
    <w:rsid w:val="00D9368A"/>
    <w:rsid w:val="00D93A4C"/>
    <w:rsid w:val="00D95DCA"/>
    <w:rsid w:val="00D9670A"/>
    <w:rsid w:val="00D97B79"/>
    <w:rsid w:val="00DA01C8"/>
    <w:rsid w:val="00DA04D0"/>
    <w:rsid w:val="00DA0C86"/>
    <w:rsid w:val="00DA145D"/>
    <w:rsid w:val="00DA263D"/>
    <w:rsid w:val="00DA349E"/>
    <w:rsid w:val="00DA3504"/>
    <w:rsid w:val="00DA3928"/>
    <w:rsid w:val="00DA3D2F"/>
    <w:rsid w:val="00DA43DD"/>
    <w:rsid w:val="00DA4512"/>
    <w:rsid w:val="00DA50C6"/>
    <w:rsid w:val="00DA540E"/>
    <w:rsid w:val="00DA5AA6"/>
    <w:rsid w:val="00DA5BBA"/>
    <w:rsid w:val="00DA5D25"/>
    <w:rsid w:val="00DA68C9"/>
    <w:rsid w:val="00DA6C13"/>
    <w:rsid w:val="00DA6CCD"/>
    <w:rsid w:val="00DA72EE"/>
    <w:rsid w:val="00DB063D"/>
    <w:rsid w:val="00DB0B1D"/>
    <w:rsid w:val="00DB15BF"/>
    <w:rsid w:val="00DB1982"/>
    <w:rsid w:val="00DB1F8A"/>
    <w:rsid w:val="00DB2313"/>
    <w:rsid w:val="00DB26D2"/>
    <w:rsid w:val="00DB28A5"/>
    <w:rsid w:val="00DB2939"/>
    <w:rsid w:val="00DB3246"/>
    <w:rsid w:val="00DB352F"/>
    <w:rsid w:val="00DB3544"/>
    <w:rsid w:val="00DB36D3"/>
    <w:rsid w:val="00DB4D25"/>
    <w:rsid w:val="00DB52C5"/>
    <w:rsid w:val="00DB53F3"/>
    <w:rsid w:val="00DB6100"/>
    <w:rsid w:val="00DB67C9"/>
    <w:rsid w:val="00DB71C1"/>
    <w:rsid w:val="00DB7613"/>
    <w:rsid w:val="00DC0A17"/>
    <w:rsid w:val="00DC0C95"/>
    <w:rsid w:val="00DC0E9D"/>
    <w:rsid w:val="00DC1C5B"/>
    <w:rsid w:val="00DC1D96"/>
    <w:rsid w:val="00DC1EF0"/>
    <w:rsid w:val="00DC1F54"/>
    <w:rsid w:val="00DC1F6E"/>
    <w:rsid w:val="00DC2557"/>
    <w:rsid w:val="00DC2807"/>
    <w:rsid w:val="00DC2A90"/>
    <w:rsid w:val="00DC2E6D"/>
    <w:rsid w:val="00DC3BBE"/>
    <w:rsid w:val="00DC4F0B"/>
    <w:rsid w:val="00DC51EA"/>
    <w:rsid w:val="00DC5B59"/>
    <w:rsid w:val="00DC63E0"/>
    <w:rsid w:val="00DC65ED"/>
    <w:rsid w:val="00DC6883"/>
    <w:rsid w:val="00DC6EC2"/>
    <w:rsid w:val="00DC7313"/>
    <w:rsid w:val="00DD0949"/>
    <w:rsid w:val="00DD11C9"/>
    <w:rsid w:val="00DD1876"/>
    <w:rsid w:val="00DD194C"/>
    <w:rsid w:val="00DD3658"/>
    <w:rsid w:val="00DD45CA"/>
    <w:rsid w:val="00DD4C32"/>
    <w:rsid w:val="00DD4C84"/>
    <w:rsid w:val="00DD540F"/>
    <w:rsid w:val="00DD5A41"/>
    <w:rsid w:val="00DD6580"/>
    <w:rsid w:val="00DD6B85"/>
    <w:rsid w:val="00DD79EE"/>
    <w:rsid w:val="00DD7F3C"/>
    <w:rsid w:val="00DE2021"/>
    <w:rsid w:val="00DE288E"/>
    <w:rsid w:val="00DE2931"/>
    <w:rsid w:val="00DE4C3E"/>
    <w:rsid w:val="00DE4EB4"/>
    <w:rsid w:val="00DE5839"/>
    <w:rsid w:val="00DE5A78"/>
    <w:rsid w:val="00DE5F5D"/>
    <w:rsid w:val="00DE6434"/>
    <w:rsid w:val="00DE65A3"/>
    <w:rsid w:val="00DE6A9D"/>
    <w:rsid w:val="00DE747B"/>
    <w:rsid w:val="00DF07B6"/>
    <w:rsid w:val="00DF0BB5"/>
    <w:rsid w:val="00DF188D"/>
    <w:rsid w:val="00DF1EEC"/>
    <w:rsid w:val="00DF2E3A"/>
    <w:rsid w:val="00DF3523"/>
    <w:rsid w:val="00DF3FBA"/>
    <w:rsid w:val="00DF448A"/>
    <w:rsid w:val="00DF5530"/>
    <w:rsid w:val="00DF5946"/>
    <w:rsid w:val="00DF614F"/>
    <w:rsid w:val="00DF62A8"/>
    <w:rsid w:val="00DF7880"/>
    <w:rsid w:val="00E005AF"/>
    <w:rsid w:val="00E00A72"/>
    <w:rsid w:val="00E00EE9"/>
    <w:rsid w:val="00E01D7F"/>
    <w:rsid w:val="00E02D6F"/>
    <w:rsid w:val="00E03588"/>
    <w:rsid w:val="00E03862"/>
    <w:rsid w:val="00E03B11"/>
    <w:rsid w:val="00E041C9"/>
    <w:rsid w:val="00E044D2"/>
    <w:rsid w:val="00E04592"/>
    <w:rsid w:val="00E04764"/>
    <w:rsid w:val="00E04A24"/>
    <w:rsid w:val="00E05122"/>
    <w:rsid w:val="00E05825"/>
    <w:rsid w:val="00E05C03"/>
    <w:rsid w:val="00E05F36"/>
    <w:rsid w:val="00E0604B"/>
    <w:rsid w:val="00E06221"/>
    <w:rsid w:val="00E06DE1"/>
    <w:rsid w:val="00E07A48"/>
    <w:rsid w:val="00E07F61"/>
    <w:rsid w:val="00E10869"/>
    <w:rsid w:val="00E108AA"/>
    <w:rsid w:val="00E10D35"/>
    <w:rsid w:val="00E1184E"/>
    <w:rsid w:val="00E13B4F"/>
    <w:rsid w:val="00E13D2F"/>
    <w:rsid w:val="00E14017"/>
    <w:rsid w:val="00E141F1"/>
    <w:rsid w:val="00E148E7"/>
    <w:rsid w:val="00E14CF5"/>
    <w:rsid w:val="00E14D41"/>
    <w:rsid w:val="00E14E58"/>
    <w:rsid w:val="00E15CBE"/>
    <w:rsid w:val="00E16370"/>
    <w:rsid w:val="00E17C72"/>
    <w:rsid w:val="00E17F10"/>
    <w:rsid w:val="00E2020A"/>
    <w:rsid w:val="00E205D3"/>
    <w:rsid w:val="00E21FC6"/>
    <w:rsid w:val="00E22476"/>
    <w:rsid w:val="00E23238"/>
    <w:rsid w:val="00E23922"/>
    <w:rsid w:val="00E23AB5"/>
    <w:rsid w:val="00E23D0E"/>
    <w:rsid w:val="00E26474"/>
    <w:rsid w:val="00E304C5"/>
    <w:rsid w:val="00E30A2B"/>
    <w:rsid w:val="00E30CF0"/>
    <w:rsid w:val="00E32D8F"/>
    <w:rsid w:val="00E32EF8"/>
    <w:rsid w:val="00E336A3"/>
    <w:rsid w:val="00E34076"/>
    <w:rsid w:val="00E34CBF"/>
    <w:rsid w:val="00E36039"/>
    <w:rsid w:val="00E36176"/>
    <w:rsid w:val="00E37544"/>
    <w:rsid w:val="00E42EAB"/>
    <w:rsid w:val="00E431A9"/>
    <w:rsid w:val="00E4363B"/>
    <w:rsid w:val="00E444FA"/>
    <w:rsid w:val="00E44A1B"/>
    <w:rsid w:val="00E44DCE"/>
    <w:rsid w:val="00E46172"/>
    <w:rsid w:val="00E4667C"/>
    <w:rsid w:val="00E46B34"/>
    <w:rsid w:val="00E47119"/>
    <w:rsid w:val="00E47313"/>
    <w:rsid w:val="00E47E1E"/>
    <w:rsid w:val="00E47EF8"/>
    <w:rsid w:val="00E5081D"/>
    <w:rsid w:val="00E50BA6"/>
    <w:rsid w:val="00E50D69"/>
    <w:rsid w:val="00E51324"/>
    <w:rsid w:val="00E52884"/>
    <w:rsid w:val="00E5290A"/>
    <w:rsid w:val="00E53412"/>
    <w:rsid w:val="00E5347B"/>
    <w:rsid w:val="00E540CA"/>
    <w:rsid w:val="00E55042"/>
    <w:rsid w:val="00E56975"/>
    <w:rsid w:val="00E56F9C"/>
    <w:rsid w:val="00E572AE"/>
    <w:rsid w:val="00E57717"/>
    <w:rsid w:val="00E601B4"/>
    <w:rsid w:val="00E61DF8"/>
    <w:rsid w:val="00E62257"/>
    <w:rsid w:val="00E64928"/>
    <w:rsid w:val="00E657DE"/>
    <w:rsid w:val="00E65A65"/>
    <w:rsid w:val="00E65A9A"/>
    <w:rsid w:val="00E65F37"/>
    <w:rsid w:val="00E667F5"/>
    <w:rsid w:val="00E669E2"/>
    <w:rsid w:val="00E66B4A"/>
    <w:rsid w:val="00E67130"/>
    <w:rsid w:val="00E673E9"/>
    <w:rsid w:val="00E67616"/>
    <w:rsid w:val="00E70C12"/>
    <w:rsid w:val="00E70E62"/>
    <w:rsid w:val="00E71B9D"/>
    <w:rsid w:val="00E71BFB"/>
    <w:rsid w:val="00E72020"/>
    <w:rsid w:val="00E72485"/>
    <w:rsid w:val="00E7357A"/>
    <w:rsid w:val="00E738B9"/>
    <w:rsid w:val="00E7412B"/>
    <w:rsid w:val="00E748C8"/>
    <w:rsid w:val="00E74A35"/>
    <w:rsid w:val="00E74C12"/>
    <w:rsid w:val="00E75734"/>
    <w:rsid w:val="00E76135"/>
    <w:rsid w:val="00E76B8F"/>
    <w:rsid w:val="00E76C2A"/>
    <w:rsid w:val="00E76DC2"/>
    <w:rsid w:val="00E76FC4"/>
    <w:rsid w:val="00E770CD"/>
    <w:rsid w:val="00E77A6B"/>
    <w:rsid w:val="00E77F6E"/>
    <w:rsid w:val="00E80545"/>
    <w:rsid w:val="00E80695"/>
    <w:rsid w:val="00E806D9"/>
    <w:rsid w:val="00E81EDE"/>
    <w:rsid w:val="00E826C9"/>
    <w:rsid w:val="00E82F4F"/>
    <w:rsid w:val="00E832B5"/>
    <w:rsid w:val="00E83B0D"/>
    <w:rsid w:val="00E83FDC"/>
    <w:rsid w:val="00E842E7"/>
    <w:rsid w:val="00E84496"/>
    <w:rsid w:val="00E84B43"/>
    <w:rsid w:val="00E850E5"/>
    <w:rsid w:val="00E853DE"/>
    <w:rsid w:val="00E85BCD"/>
    <w:rsid w:val="00E85D14"/>
    <w:rsid w:val="00E864DF"/>
    <w:rsid w:val="00E86AA6"/>
    <w:rsid w:val="00E86E0E"/>
    <w:rsid w:val="00E87013"/>
    <w:rsid w:val="00E87B43"/>
    <w:rsid w:val="00E90723"/>
    <w:rsid w:val="00E90E65"/>
    <w:rsid w:val="00E91A59"/>
    <w:rsid w:val="00E91DF9"/>
    <w:rsid w:val="00E9238F"/>
    <w:rsid w:val="00E926F0"/>
    <w:rsid w:val="00E92BCA"/>
    <w:rsid w:val="00E94C15"/>
    <w:rsid w:val="00E96D9D"/>
    <w:rsid w:val="00E96DD2"/>
    <w:rsid w:val="00E978AD"/>
    <w:rsid w:val="00EA0E12"/>
    <w:rsid w:val="00EA18DE"/>
    <w:rsid w:val="00EA225D"/>
    <w:rsid w:val="00EA23A9"/>
    <w:rsid w:val="00EA25A0"/>
    <w:rsid w:val="00EA273A"/>
    <w:rsid w:val="00EA3129"/>
    <w:rsid w:val="00EA3781"/>
    <w:rsid w:val="00EA530B"/>
    <w:rsid w:val="00EA534F"/>
    <w:rsid w:val="00EA65CB"/>
    <w:rsid w:val="00EA6C94"/>
    <w:rsid w:val="00EA6EA4"/>
    <w:rsid w:val="00EA6EFE"/>
    <w:rsid w:val="00EA7DF4"/>
    <w:rsid w:val="00EA7EE5"/>
    <w:rsid w:val="00EB0D24"/>
    <w:rsid w:val="00EB0D5E"/>
    <w:rsid w:val="00EB124C"/>
    <w:rsid w:val="00EB146E"/>
    <w:rsid w:val="00EB2A42"/>
    <w:rsid w:val="00EB2CC3"/>
    <w:rsid w:val="00EB5CA5"/>
    <w:rsid w:val="00EB7FA4"/>
    <w:rsid w:val="00EC0649"/>
    <w:rsid w:val="00EC0AB8"/>
    <w:rsid w:val="00EC127C"/>
    <w:rsid w:val="00EC20A1"/>
    <w:rsid w:val="00EC24D6"/>
    <w:rsid w:val="00EC2844"/>
    <w:rsid w:val="00EC2C12"/>
    <w:rsid w:val="00EC3C97"/>
    <w:rsid w:val="00EC43E9"/>
    <w:rsid w:val="00EC5232"/>
    <w:rsid w:val="00EC5500"/>
    <w:rsid w:val="00EC56A8"/>
    <w:rsid w:val="00EC5BD1"/>
    <w:rsid w:val="00EC61A2"/>
    <w:rsid w:val="00EC7C51"/>
    <w:rsid w:val="00ED18F8"/>
    <w:rsid w:val="00ED1BF8"/>
    <w:rsid w:val="00ED1C00"/>
    <w:rsid w:val="00ED32B6"/>
    <w:rsid w:val="00ED3385"/>
    <w:rsid w:val="00ED3D79"/>
    <w:rsid w:val="00ED4022"/>
    <w:rsid w:val="00ED522C"/>
    <w:rsid w:val="00ED5ABC"/>
    <w:rsid w:val="00ED6911"/>
    <w:rsid w:val="00ED7799"/>
    <w:rsid w:val="00EE06D2"/>
    <w:rsid w:val="00EE14C0"/>
    <w:rsid w:val="00EE376C"/>
    <w:rsid w:val="00EE3DC3"/>
    <w:rsid w:val="00EE540F"/>
    <w:rsid w:val="00EE58CA"/>
    <w:rsid w:val="00EE58CB"/>
    <w:rsid w:val="00EE595E"/>
    <w:rsid w:val="00EE5DAE"/>
    <w:rsid w:val="00EE6B16"/>
    <w:rsid w:val="00EE6DE7"/>
    <w:rsid w:val="00EE6EDA"/>
    <w:rsid w:val="00EE7232"/>
    <w:rsid w:val="00EE778E"/>
    <w:rsid w:val="00EF0615"/>
    <w:rsid w:val="00EF15B4"/>
    <w:rsid w:val="00EF21B1"/>
    <w:rsid w:val="00EF22C7"/>
    <w:rsid w:val="00EF3386"/>
    <w:rsid w:val="00EF3445"/>
    <w:rsid w:val="00EF3657"/>
    <w:rsid w:val="00EF3A3B"/>
    <w:rsid w:val="00EF414B"/>
    <w:rsid w:val="00EF4432"/>
    <w:rsid w:val="00EF4B74"/>
    <w:rsid w:val="00EF4EFE"/>
    <w:rsid w:val="00EF53A1"/>
    <w:rsid w:val="00EF569D"/>
    <w:rsid w:val="00EF5F15"/>
    <w:rsid w:val="00EF631D"/>
    <w:rsid w:val="00EF6359"/>
    <w:rsid w:val="00EF6719"/>
    <w:rsid w:val="00EF6C6C"/>
    <w:rsid w:val="00EF7026"/>
    <w:rsid w:val="00EF770C"/>
    <w:rsid w:val="00EF77F1"/>
    <w:rsid w:val="00EF7B48"/>
    <w:rsid w:val="00EF7BE9"/>
    <w:rsid w:val="00EF7E10"/>
    <w:rsid w:val="00F006FF"/>
    <w:rsid w:val="00F00A0B"/>
    <w:rsid w:val="00F0199F"/>
    <w:rsid w:val="00F02069"/>
    <w:rsid w:val="00F02639"/>
    <w:rsid w:val="00F03B39"/>
    <w:rsid w:val="00F03E11"/>
    <w:rsid w:val="00F04A49"/>
    <w:rsid w:val="00F04CE4"/>
    <w:rsid w:val="00F055DE"/>
    <w:rsid w:val="00F056FC"/>
    <w:rsid w:val="00F05AC7"/>
    <w:rsid w:val="00F06234"/>
    <w:rsid w:val="00F0632F"/>
    <w:rsid w:val="00F069AE"/>
    <w:rsid w:val="00F07FA3"/>
    <w:rsid w:val="00F101FF"/>
    <w:rsid w:val="00F1036E"/>
    <w:rsid w:val="00F10476"/>
    <w:rsid w:val="00F106E8"/>
    <w:rsid w:val="00F10989"/>
    <w:rsid w:val="00F11081"/>
    <w:rsid w:val="00F110AA"/>
    <w:rsid w:val="00F11AA3"/>
    <w:rsid w:val="00F130AD"/>
    <w:rsid w:val="00F13224"/>
    <w:rsid w:val="00F135D8"/>
    <w:rsid w:val="00F138FC"/>
    <w:rsid w:val="00F13E3D"/>
    <w:rsid w:val="00F145CF"/>
    <w:rsid w:val="00F147DE"/>
    <w:rsid w:val="00F14F79"/>
    <w:rsid w:val="00F15221"/>
    <w:rsid w:val="00F152E7"/>
    <w:rsid w:val="00F15705"/>
    <w:rsid w:val="00F15AEA"/>
    <w:rsid w:val="00F16280"/>
    <w:rsid w:val="00F168B2"/>
    <w:rsid w:val="00F16DF0"/>
    <w:rsid w:val="00F178A7"/>
    <w:rsid w:val="00F179CA"/>
    <w:rsid w:val="00F17BEC"/>
    <w:rsid w:val="00F20E2E"/>
    <w:rsid w:val="00F21990"/>
    <w:rsid w:val="00F23074"/>
    <w:rsid w:val="00F23218"/>
    <w:rsid w:val="00F24477"/>
    <w:rsid w:val="00F24B98"/>
    <w:rsid w:val="00F25102"/>
    <w:rsid w:val="00F2538E"/>
    <w:rsid w:val="00F25BA9"/>
    <w:rsid w:val="00F25C79"/>
    <w:rsid w:val="00F25D72"/>
    <w:rsid w:val="00F261CD"/>
    <w:rsid w:val="00F263ED"/>
    <w:rsid w:val="00F26687"/>
    <w:rsid w:val="00F266D5"/>
    <w:rsid w:val="00F267F7"/>
    <w:rsid w:val="00F26F1A"/>
    <w:rsid w:val="00F30538"/>
    <w:rsid w:val="00F30A72"/>
    <w:rsid w:val="00F30B93"/>
    <w:rsid w:val="00F31299"/>
    <w:rsid w:val="00F31402"/>
    <w:rsid w:val="00F325FA"/>
    <w:rsid w:val="00F32D10"/>
    <w:rsid w:val="00F33495"/>
    <w:rsid w:val="00F3402D"/>
    <w:rsid w:val="00F342AE"/>
    <w:rsid w:val="00F3433A"/>
    <w:rsid w:val="00F350EC"/>
    <w:rsid w:val="00F3534A"/>
    <w:rsid w:val="00F35BFB"/>
    <w:rsid w:val="00F36102"/>
    <w:rsid w:val="00F36ACC"/>
    <w:rsid w:val="00F37A2C"/>
    <w:rsid w:val="00F37B0F"/>
    <w:rsid w:val="00F40390"/>
    <w:rsid w:val="00F40E5B"/>
    <w:rsid w:val="00F4183E"/>
    <w:rsid w:val="00F42000"/>
    <w:rsid w:val="00F423AF"/>
    <w:rsid w:val="00F429AC"/>
    <w:rsid w:val="00F42AEE"/>
    <w:rsid w:val="00F43061"/>
    <w:rsid w:val="00F4446E"/>
    <w:rsid w:val="00F44492"/>
    <w:rsid w:val="00F44D88"/>
    <w:rsid w:val="00F46161"/>
    <w:rsid w:val="00F462EB"/>
    <w:rsid w:val="00F4658E"/>
    <w:rsid w:val="00F4682C"/>
    <w:rsid w:val="00F47E3B"/>
    <w:rsid w:val="00F5017D"/>
    <w:rsid w:val="00F50C93"/>
    <w:rsid w:val="00F51609"/>
    <w:rsid w:val="00F5301E"/>
    <w:rsid w:val="00F53085"/>
    <w:rsid w:val="00F531EA"/>
    <w:rsid w:val="00F53D94"/>
    <w:rsid w:val="00F555E5"/>
    <w:rsid w:val="00F55BF0"/>
    <w:rsid w:val="00F55C25"/>
    <w:rsid w:val="00F55FAA"/>
    <w:rsid w:val="00F5645B"/>
    <w:rsid w:val="00F578D5"/>
    <w:rsid w:val="00F6059E"/>
    <w:rsid w:val="00F6076A"/>
    <w:rsid w:val="00F621D0"/>
    <w:rsid w:val="00F62700"/>
    <w:rsid w:val="00F62C48"/>
    <w:rsid w:val="00F630CE"/>
    <w:rsid w:val="00F630D3"/>
    <w:rsid w:val="00F632DE"/>
    <w:rsid w:val="00F66D5C"/>
    <w:rsid w:val="00F66F6E"/>
    <w:rsid w:val="00F717D5"/>
    <w:rsid w:val="00F718DC"/>
    <w:rsid w:val="00F72BF5"/>
    <w:rsid w:val="00F73727"/>
    <w:rsid w:val="00F73F22"/>
    <w:rsid w:val="00F740A4"/>
    <w:rsid w:val="00F74E25"/>
    <w:rsid w:val="00F7613B"/>
    <w:rsid w:val="00F7627B"/>
    <w:rsid w:val="00F766A7"/>
    <w:rsid w:val="00F76972"/>
    <w:rsid w:val="00F76DD6"/>
    <w:rsid w:val="00F76EC0"/>
    <w:rsid w:val="00F774D5"/>
    <w:rsid w:val="00F77691"/>
    <w:rsid w:val="00F80C01"/>
    <w:rsid w:val="00F80F4E"/>
    <w:rsid w:val="00F81006"/>
    <w:rsid w:val="00F829E7"/>
    <w:rsid w:val="00F82C7D"/>
    <w:rsid w:val="00F83419"/>
    <w:rsid w:val="00F834FD"/>
    <w:rsid w:val="00F8386B"/>
    <w:rsid w:val="00F83B30"/>
    <w:rsid w:val="00F85325"/>
    <w:rsid w:val="00F8573E"/>
    <w:rsid w:val="00F861E2"/>
    <w:rsid w:val="00F8651B"/>
    <w:rsid w:val="00F8669D"/>
    <w:rsid w:val="00F87B13"/>
    <w:rsid w:val="00F90209"/>
    <w:rsid w:val="00F90C8A"/>
    <w:rsid w:val="00F90E56"/>
    <w:rsid w:val="00F92948"/>
    <w:rsid w:val="00F92E11"/>
    <w:rsid w:val="00F92F5A"/>
    <w:rsid w:val="00F93266"/>
    <w:rsid w:val="00F940D7"/>
    <w:rsid w:val="00F9433F"/>
    <w:rsid w:val="00F96C06"/>
    <w:rsid w:val="00F9759B"/>
    <w:rsid w:val="00F97FB1"/>
    <w:rsid w:val="00FA00F2"/>
    <w:rsid w:val="00FA0AA8"/>
    <w:rsid w:val="00FA0FFA"/>
    <w:rsid w:val="00FA12F8"/>
    <w:rsid w:val="00FA20C2"/>
    <w:rsid w:val="00FA2988"/>
    <w:rsid w:val="00FA303A"/>
    <w:rsid w:val="00FA331F"/>
    <w:rsid w:val="00FA33EC"/>
    <w:rsid w:val="00FA429A"/>
    <w:rsid w:val="00FA46C9"/>
    <w:rsid w:val="00FA4C1F"/>
    <w:rsid w:val="00FA5383"/>
    <w:rsid w:val="00FA62BE"/>
    <w:rsid w:val="00FA62C2"/>
    <w:rsid w:val="00FA649B"/>
    <w:rsid w:val="00FA64E3"/>
    <w:rsid w:val="00FB0802"/>
    <w:rsid w:val="00FB216C"/>
    <w:rsid w:val="00FB3020"/>
    <w:rsid w:val="00FB3A6C"/>
    <w:rsid w:val="00FB401E"/>
    <w:rsid w:val="00FB4EC3"/>
    <w:rsid w:val="00FB59CC"/>
    <w:rsid w:val="00FB5C0F"/>
    <w:rsid w:val="00FB7265"/>
    <w:rsid w:val="00FB7AA1"/>
    <w:rsid w:val="00FB7B31"/>
    <w:rsid w:val="00FB7DC4"/>
    <w:rsid w:val="00FC07AA"/>
    <w:rsid w:val="00FC08E3"/>
    <w:rsid w:val="00FC0BA9"/>
    <w:rsid w:val="00FC22D0"/>
    <w:rsid w:val="00FC2C67"/>
    <w:rsid w:val="00FC33FD"/>
    <w:rsid w:val="00FC35C6"/>
    <w:rsid w:val="00FC4BB3"/>
    <w:rsid w:val="00FC544D"/>
    <w:rsid w:val="00FC54BC"/>
    <w:rsid w:val="00FC5A32"/>
    <w:rsid w:val="00FC708E"/>
    <w:rsid w:val="00FC7752"/>
    <w:rsid w:val="00FC78F7"/>
    <w:rsid w:val="00FD1549"/>
    <w:rsid w:val="00FD1696"/>
    <w:rsid w:val="00FD1DD1"/>
    <w:rsid w:val="00FD20C3"/>
    <w:rsid w:val="00FD22B1"/>
    <w:rsid w:val="00FD2752"/>
    <w:rsid w:val="00FD3240"/>
    <w:rsid w:val="00FD33F1"/>
    <w:rsid w:val="00FD3566"/>
    <w:rsid w:val="00FD3CCB"/>
    <w:rsid w:val="00FD5009"/>
    <w:rsid w:val="00FD5A58"/>
    <w:rsid w:val="00FD5C63"/>
    <w:rsid w:val="00FD71EC"/>
    <w:rsid w:val="00FD7B53"/>
    <w:rsid w:val="00FD7FE0"/>
    <w:rsid w:val="00FE1D44"/>
    <w:rsid w:val="00FE2413"/>
    <w:rsid w:val="00FE249A"/>
    <w:rsid w:val="00FE2D55"/>
    <w:rsid w:val="00FE306A"/>
    <w:rsid w:val="00FE33A7"/>
    <w:rsid w:val="00FE3C71"/>
    <w:rsid w:val="00FE3E84"/>
    <w:rsid w:val="00FE44A4"/>
    <w:rsid w:val="00FE4B97"/>
    <w:rsid w:val="00FE5397"/>
    <w:rsid w:val="00FE58AF"/>
    <w:rsid w:val="00FE6DF6"/>
    <w:rsid w:val="00FE6E83"/>
    <w:rsid w:val="00FF005E"/>
    <w:rsid w:val="00FF0A47"/>
    <w:rsid w:val="00FF17EA"/>
    <w:rsid w:val="00FF1C7C"/>
    <w:rsid w:val="00FF1E81"/>
    <w:rsid w:val="00FF2A48"/>
    <w:rsid w:val="00FF45DE"/>
    <w:rsid w:val="00FF49BC"/>
    <w:rsid w:val="00FF5772"/>
    <w:rsid w:val="00FF65A2"/>
    <w:rsid w:val="00FF6C13"/>
    <w:rsid w:val="00FF6E14"/>
    <w:rsid w:val="00FF75F8"/>
    <w:rsid w:val="00FF7764"/>
    <w:rsid w:val="00FF7D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36389D69"/>
  <w15:docId w15:val="{3F0C97CC-3A3A-4658-9050-2813ED18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F0"/>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rPr>
      <w:szCs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aliases w:val="(NECG) Footnote Reference"/>
    <w:basedOn w:val="DefaultParagraphFont"/>
    <w:rsid w:val="00243997"/>
    <w:rPr>
      <w:rFonts w:ascii="Times New Roman" w:hAnsi="Times New Roman"/>
      <w:position w:val="6"/>
      <w:sz w:val="20"/>
      <w:vertAlign w:val="baseline"/>
    </w:rPr>
  </w:style>
  <w:style w:type="paragraph" w:styleId="FootnoteText">
    <w:name w:val="footnote text"/>
    <w:aliases w:val="(NECG) Footnote Text,ALTS FOOTNOTE,Char Char Char,ALTS FOOTNOTE Char Char Char"/>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CommentTextChar">
    <w:name w:val="Comment Text Char"/>
    <w:basedOn w:val="DefaultParagraphFont"/>
    <w:link w:val="CommentText"/>
    <w:semiHidden/>
    <w:rsid w:val="00F47E3B"/>
    <w:rPr>
      <w:szCs w:val="24"/>
    </w:rPr>
  </w:style>
  <w:style w:type="character" w:customStyle="1" w:styleId="FootnoteTextChar">
    <w:name w:val="Footnote Text Char"/>
    <w:aliases w:val="(NECG) Footnote Text Char,ALTS FOOTNOTE Char,Char Char Char Char,ALTS FOOTNOTE Char Char Char Char"/>
    <w:basedOn w:val="DefaultParagraphFont"/>
    <w:link w:val="FootnoteText"/>
    <w:rsid w:val="00C902F0"/>
  </w:style>
  <w:style w:type="paragraph" w:styleId="CommentSubject">
    <w:name w:val="annotation subject"/>
    <w:basedOn w:val="CommentText"/>
    <w:next w:val="CommentText"/>
    <w:link w:val="CommentSubjectChar"/>
    <w:semiHidden/>
    <w:unhideWhenUsed/>
    <w:rsid w:val="006B0A17"/>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6B0A17"/>
    <w:rPr>
      <w:b/>
      <w:bCs/>
      <w:szCs w:val="24"/>
    </w:rPr>
  </w:style>
  <w:style w:type="paragraph" w:styleId="NormalWeb">
    <w:name w:val="Normal (Web)"/>
    <w:basedOn w:val="Normal"/>
    <w:uiPriority w:val="99"/>
    <w:semiHidden/>
    <w:unhideWhenUsed/>
    <w:rsid w:val="00B14653"/>
    <w:pPr>
      <w:spacing w:before="100" w:beforeAutospacing="1" w:after="100" w:afterAutospacing="1"/>
    </w:pPr>
  </w:style>
  <w:style w:type="character" w:customStyle="1" w:styleId="mi">
    <w:name w:val="mi"/>
    <w:basedOn w:val="DefaultParagraphFont"/>
    <w:rsid w:val="00B14653"/>
  </w:style>
  <w:style w:type="character" w:customStyle="1" w:styleId="mo">
    <w:name w:val="mo"/>
    <w:basedOn w:val="DefaultParagraphFont"/>
    <w:rsid w:val="00B14653"/>
  </w:style>
  <w:style w:type="character" w:customStyle="1" w:styleId="mn">
    <w:name w:val="mn"/>
    <w:basedOn w:val="DefaultParagraphFont"/>
    <w:rsid w:val="00B14653"/>
  </w:style>
  <w:style w:type="character" w:customStyle="1" w:styleId="mjxassistivemathml">
    <w:name w:val="mjx_assistive_mathml"/>
    <w:basedOn w:val="DefaultParagraphFont"/>
    <w:rsid w:val="00B14653"/>
  </w:style>
  <w:style w:type="character" w:styleId="Hyperlink">
    <w:name w:val="Hyperlink"/>
    <w:basedOn w:val="DefaultParagraphFont"/>
    <w:uiPriority w:val="99"/>
    <w:unhideWhenUsed/>
    <w:rsid w:val="00B14653"/>
    <w:rPr>
      <w:color w:val="0000FF"/>
      <w:u w:val="single"/>
    </w:rPr>
  </w:style>
  <w:style w:type="character" w:styleId="PlaceholderText">
    <w:name w:val="Placeholder Text"/>
    <w:basedOn w:val="DefaultParagraphFont"/>
    <w:uiPriority w:val="99"/>
    <w:semiHidden/>
    <w:rsid w:val="00264E80"/>
    <w:rPr>
      <w:color w:val="808080"/>
    </w:rPr>
  </w:style>
  <w:style w:type="character" w:styleId="FollowedHyperlink">
    <w:name w:val="FollowedHyperlink"/>
    <w:basedOn w:val="DefaultParagraphFont"/>
    <w:semiHidden/>
    <w:unhideWhenUsed/>
    <w:rsid w:val="00426B55"/>
    <w:rPr>
      <w:color w:val="BFBFBF" w:themeColor="followedHyperlink"/>
      <w:u w:val="single"/>
    </w:rPr>
  </w:style>
  <w:style w:type="character" w:customStyle="1" w:styleId="Heading3Char">
    <w:name w:val="Heading 3 Char"/>
    <w:basedOn w:val="DefaultParagraphFont"/>
    <w:link w:val="Heading3"/>
    <w:rsid w:val="004811CE"/>
    <w:rPr>
      <w:rFonts w:ascii="Arial" w:hAnsi="Arial"/>
      <w:b/>
      <w:sz w:val="26"/>
    </w:rPr>
  </w:style>
  <w:style w:type="character" w:customStyle="1" w:styleId="Heading4Char">
    <w:name w:val="Heading 4 Char"/>
    <w:basedOn w:val="DefaultParagraphFont"/>
    <w:link w:val="Heading4"/>
    <w:rsid w:val="00A81EAF"/>
    <w:rPr>
      <w:rFonts w:ascii="Arial" w:hAnsi="Arial"/>
      <w:sz w:val="24"/>
    </w:rPr>
  </w:style>
  <w:style w:type="paragraph" w:styleId="ListParagraph">
    <w:name w:val="List Paragraph"/>
    <w:basedOn w:val="Normal"/>
    <w:uiPriority w:val="34"/>
    <w:rsid w:val="006707A0"/>
    <w:pPr>
      <w:ind w:left="720"/>
      <w:contextualSpacing/>
    </w:pPr>
  </w:style>
  <w:style w:type="paragraph" w:customStyle="1" w:styleId="Default">
    <w:name w:val="Default"/>
    <w:rsid w:val="00647118"/>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C0649"/>
    <w:rPr>
      <w:sz w:val="24"/>
      <w:szCs w:val="24"/>
    </w:rPr>
  </w:style>
  <w:style w:type="character" w:styleId="EndnoteReference">
    <w:name w:val="endnote reference"/>
    <w:basedOn w:val="DefaultParagraphFont"/>
    <w:semiHidden/>
    <w:unhideWhenUsed/>
    <w:rsid w:val="0062224D"/>
    <w:rPr>
      <w:vertAlign w:val="superscript"/>
    </w:rPr>
  </w:style>
  <w:style w:type="paragraph" w:styleId="Bibliography">
    <w:name w:val="Bibliography"/>
    <w:basedOn w:val="Normal"/>
    <w:next w:val="Normal"/>
    <w:uiPriority w:val="37"/>
    <w:unhideWhenUsed/>
    <w:rsid w:val="007F65AF"/>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21249">
      <w:bodyDiv w:val="1"/>
      <w:marLeft w:val="0"/>
      <w:marRight w:val="0"/>
      <w:marTop w:val="0"/>
      <w:marBottom w:val="0"/>
      <w:divBdr>
        <w:top w:val="none" w:sz="0" w:space="0" w:color="auto"/>
        <w:left w:val="none" w:sz="0" w:space="0" w:color="auto"/>
        <w:bottom w:val="none" w:sz="0" w:space="0" w:color="auto"/>
        <w:right w:val="none" w:sz="0" w:space="0" w:color="auto"/>
      </w:divBdr>
    </w:div>
    <w:div w:id="174610972">
      <w:bodyDiv w:val="1"/>
      <w:marLeft w:val="0"/>
      <w:marRight w:val="0"/>
      <w:marTop w:val="0"/>
      <w:marBottom w:val="0"/>
      <w:divBdr>
        <w:top w:val="none" w:sz="0" w:space="0" w:color="auto"/>
        <w:left w:val="none" w:sz="0" w:space="0" w:color="auto"/>
        <w:bottom w:val="none" w:sz="0" w:space="0" w:color="auto"/>
        <w:right w:val="none" w:sz="0" w:space="0" w:color="auto"/>
      </w:divBdr>
    </w:div>
    <w:div w:id="212280367">
      <w:bodyDiv w:val="1"/>
      <w:marLeft w:val="0"/>
      <w:marRight w:val="0"/>
      <w:marTop w:val="0"/>
      <w:marBottom w:val="0"/>
      <w:divBdr>
        <w:top w:val="none" w:sz="0" w:space="0" w:color="auto"/>
        <w:left w:val="none" w:sz="0" w:space="0" w:color="auto"/>
        <w:bottom w:val="none" w:sz="0" w:space="0" w:color="auto"/>
        <w:right w:val="none" w:sz="0" w:space="0" w:color="auto"/>
      </w:divBdr>
    </w:div>
    <w:div w:id="539703166">
      <w:bodyDiv w:val="1"/>
      <w:marLeft w:val="0"/>
      <w:marRight w:val="0"/>
      <w:marTop w:val="0"/>
      <w:marBottom w:val="0"/>
      <w:divBdr>
        <w:top w:val="none" w:sz="0" w:space="0" w:color="auto"/>
        <w:left w:val="none" w:sz="0" w:space="0" w:color="auto"/>
        <w:bottom w:val="none" w:sz="0" w:space="0" w:color="auto"/>
        <w:right w:val="none" w:sz="0" w:space="0" w:color="auto"/>
      </w:divBdr>
    </w:div>
    <w:div w:id="1065878777">
      <w:bodyDiv w:val="1"/>
      <w:marLeft w:val="0"/>
      <w:marRight w:val="0"/>
      <w:marTop w:val="0"/>
      <w:marBottom w:val="0"/>
      <w:divBdr>
        <w:top w:val="none" w:sz="0" w:space="0" w:color="auto"/>
        <w:left w:val="none" w:sz="0" w:space="0" w:color="auto"/>
        <w:bottom w:val="none" w:sz="0" w:space="0" w:color="auto"/>
        <w:right w:val="none" w:sz="0" w:space="0" w:color="auto"/>
      </w:divBdr>
    </w:div>
    <w:div w:id="1276865817">
      <w:bodyDiv w:val="1"/>
      <w:marLeft w:val="0"/>
      <w:marRight w:val="0"/>
      <w:marTop w:val="0"/>
      <w:marBottom w:val="0"/>
      <w:divBdr>
        <w:top w:val="none" w:sz="0" w:space="0" w:color="auto"/>
        <w:left w:val="none" w:sz="0" w:space="0" w:color="auto"/>
        <w:bottom w:val="none" w:sz="0" w:space="0" w:color="auto"/>
        <w:right w:val="none" w:sz="0" w:space="0" w:color="auto"/>
      </w:divBdr>
    </w:div>
    <w:div w:id="1580216726">
      <w:bodyDiv w:val="1"/>
      <w:marLeft w:val="0"/>
      <w:marRight w:val="0"/>
      <w:marTop w:val="0"/>
      <w:marBottom w:val="0"/>
      <w:divBdr>
        <w:top w:val="none" w:sz="0" w:space="0" w:color="auto"/>
        <w:left w:val="none" w:sz="0" w:space="0" w:color="auto"/>
        <w:bottom w:val="none" w:sz="0" w:space="0" w:color="auto"/>
        <w:right w:val="none" w:sz="0" w:space="0" w:color="auto"/>
      </w:divBdr>
    </w:div>
    <w:div w:id="1739665359">
      <w:bodyDiv w:val="1"/>
      <w:marLeft w:val="0"/>
      <w:marRight w:val="0"/>
      <w:marTop w:val="0"/>
      <w:marBottom w:val="0"/>
      <w:divBdr>
        <w:top w:val="none" w:sz="0" w:space="0" w:color="auto"/>
        <w:left w:val="none" w:sz="0" w:space="0" w:color="auto"/>
        <w:bottom w:val="none" w:sz="0" w:space="0" w:color="auto"/>
        <w:right w:val="none" w:sz="0" w:space="0" w:color="auto"/>
      </w:divBdr>
      <w:divsChild>
        <w:div w:id="1456756131">
          <w:marLeft w:val="0"/>
          <w:marRight w:val="0"/>
          <w:marTop w:val="0"/>
          <w:marBottom w:val="0"/>
          <w:divBdr>
            <w:top w:val="none" w:sz="0" w:space="0" w:color="auto"/>
            <w:left w:val="none" w:sz="0" w:space="0" w:color="auto"/>
            <w:bottom w:val="none" w:sz="0" w:space="0" w:color="auto"/>
            <w:right w:val="none" w:sz="0" w:space="0" w:color="auto"/>
          </w:divBdr>
          <w:divsChild>
            <w:div w:id="69429504">
              <w:marLeft w:val="0"/>
              <w:marRight w:val="0"/>
              <w:marTop w:val="0"/>
              <w:marBottom w:val="0"/>
              <w:divBdr>
                <w:top w:val="none" w:sz="0" w:space="0" w:color="auto"/>
                <w:left w:val="none" w:sz="0" w:space="0" w:color="auto"/>
                <w:bottom w:val="none" w:sz="0" w:space="0" w:color="auto"/>
                <w:right w:val="none" w:sz="0" w:space="0" w:color="auto"/>
              </w:divBdr>
              <w:divsChild>
                <w:div w:id="810830730">
                  <w:marLeft w:val="0"/>
                  <w:marRight w:val="0"/>
                  <w:marTop w:val="0"/>
                  <w:marBottom w:val="0"/>
                  <w:divBdr>
                    <w:top w:val="none" w:sz="0" w:space="0" w:color="auto"/>
                    <w:left w:val="none" w:sz="0" w:space="0" w:color="auto"/>
                    <w:bottom w:val="none" w:sz="0" w:space="0" w:color="auto"/>
                    <w:right w:val="none" w:sz="0" w:space="0" w:color="auto"/>
                  </w:divBdr>
                </w:div>
                <w:div w:id="447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497636">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143189370">
      <w:bodyDiv w:val="1"/>
      <w:marLeft w:val="0"/>
      <w:marRight w:val="0"/>
      <w:marTop w:val="0"/>
      <w:marBottom w:val="0"/>
      <w:divBdr>
        <w:top w:val="none" w:sz="0" w:space="0" w:color="auto"/>
        <w:left w:val="none" w:sz="0" w:space="0" w:color="auto"/>
        <w:bottom w:val="none" w:sz="0" w:space="0" w:color="auto"/>
        <w:right w:val="none" w:sz="0" w:space="0" w:color="auto"/>
      </w:divBdr>
    </w:div>
    <w:div w:id="214619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chapter.dotm</Template>
  <TotalTime>51</TotalTime>
  <Pages>28</Pages>
  <Words>9840</Words>
  <Characters>57382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Analysing transport safety outcomes and heavy vehicle productivity</vt:lpstr>
    </vt:vector>
  </TitlesOfParts>
  <Company>Productivity Commission</Company>
  <LinksUpToDate>false</LinksUpToDate>
  <CharactersWithSpaces>67088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Analysing transport safety outcomes and heavy vehicle productivity</dc:title>
  <dc:subject>National Transport Regulatory Reform</dc:subject>
  <dc:creator>Productivity Commission</dc:creator>
  <cp:keywords/>
  <dc:description>B.</dc:description>
  <cp:lastModifiedBy>Pimperl, Mark</cp:lastModifiedBy>
  <cp:revision>7</cp:revision>
  <cp:lastPrinted>2019-12-13T00:07:00Z</cp:lastPrinted>
  <dcterms:created xsi:type="dcterms:W3CDTF">2019-12-13T00:01:00Z</dcterms:created>
  <dcterms:modified xsi:type="dcterms:W3CDTF">2019-12-13T00:54:00Z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0x0101007916246811615643A710C6FEAFF56A87110100EEFE548D9549EA4098E3A65339C068F300ACED1058BE4DD34AA1962C02E9E1CE49</vt:lpwstr>
  </property>
  <property fmtid="{D5CDD505-2E9C-101B-9397-08002B2CF9AE}" pid="3" name="_dlc_DocIdItemGuid">
    <vt:lpwstr>72fadb56-4ec1-4e39-b5df-7032eda748be</vt:lpwstr>
  </property>
  <property fmtid="{D5CDD505-2E9C-101B-9397-08002B2CF9AE}" pid="4" name="_dlc_DocId">
    <vt:lpwstr>PCDOC-1538422702-50</vt:lpwstr>
  </property>
  <property fmtid="{D5CDD505-2E9C-101B-9397-08002B2CF9AE}" pid="5" name="_dlc_DocIdUrl">
    <vt:lpwstr>http://inet.pc.gov.au/pmo/inq/transport/_layouts/15/DocIdRedir.aspx?ID=PCDOC-1538422702-50, PCDOC-1538422702-50</vt:lpwstr>
  </property>
  <property fmtid="{D5CDD505-2E9C-101B-9397-08002B2CF9AE}" pid="6" name="Record Tag">
    <vt:lpwstr>24;#Draft Report|84e4af37-8871-4c42-ad2f-98d46afe06b0</vt:lpwstr>
  </property>
  <property fmtid="{D5CDD505-2E9C-101B-9397-08002B2CF9AE}" pid="7" name="TaxKeyword">
    <vt:lpwstr/>
  </property>
  <property fmtid="{D5CDD505-2E9C-101B-9397-08002B2CF9AE}" pid="8" name="ZOTERO_PREF_1">
    <vt:lpwstr>&lt;data data-version="3" zotero-version="5.0.54"&gt;&lt;session id="Y2UJYDii"/&gt;&lt;style id="http://www.zotero.org/styles/Productivity-Commission" hasBibliography="1" bibliographyStyleHasBeenSet="1"/&gt;&lt;prefs&gt;&lt;pref name="fieldType" value="Field"/&gt;&lt;/prefs&gt;&lt;/data&gt;</vt:lpwstr>
  </property>
</Properties>
</file>