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E74" w:rsidRPr="00751E74" w:rsidRDefault="00751E74" w:rsidP="00415F39">
      <w:pPr>
        <w:pStyle w:val="Heading1"/>
        <w:spacing w:before="0"/>
        <w:rPr>
          <w:color w:val="FFFFFF" w:themeColor="background1"/>
          <w:sz w:val="16"/>
          <w:szCs w:val="16"/>
        </w:rPr>
      </w:pPr>
      <w:bookmarkStart w:id="0" w:name="ChapterNumber"/>
      <w:r w:rsidRPr="00751E74">
        <w:rPr>
          <w:color w:val="FFFFFF" w:themeColor="background1"/>
          <w:sz w:val="16"/>
          <w:szCs w:val="16"/>
        </w:rPr>
        <w:t>Compensation and Rehabilitation for Veterans</w:t>
      </w:r>
    </w:p>
    <w:p w:rsidR="00415F39" w:rsidRPr="00751E74" w:rsidRDefault="00751E74" w:rsidP="00751E74">
      <w:pPr>
        <w:pStyle w:val="BodyText"/>
        <w:rPr>
          <w:color w:val="FFFFFF" w:themeColor="background1"/>
          <w:sz w:val="16"/>
          <w:szCs w:val="16"/>
        </w:rPr>
      </w:pPr>
      <w:r w:rsidRPr="00751E74">
        <w:rPr>
          <w:color w:val="FFFFFF" w:themeColor="background1"/>
          <w:sz w:val="16"/>
          <w:szCs w:val="16"/>
        </w:rPr>
        <w:t>Productivity Commission Issues Paper, May 2018</w:t>
      </w:r>
      <w:r>
        <w:rPr>
          <w:noProof/>
          <w:color w:val="FFFFFF" w:themeColor="background1"/>
          <w:sz w:val="16"/>
          <w:szCs w:val="16"/>
        </w:rPr>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596000" cy="10746000"/>
            <wp:effectExtent l="0" t="0" r="5080" b="0"/>
            <wp:wrapNone/>
            <wp:docPr id="3" name="Picture 3" descr="Cover for: Compensation and Rehabilitation for Veterans, Productivity Commission Issues Paper, May 2018. &#10;The Commission has released this &#10;issues paper to assist individuals and organisations to prepare submissions. &#10;It contains and outlines:&#10;the scope of the inquiry; the Commission’s procedures; &#10;matters about which the Commission is seeking comment and information; &#10;how to make a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sues-paper-cover-Vets-inquiry.png"/>
                    <pic:cNvPicPr/>
                  </pic:nvPicPr>
                  <pic:blipFill>
                    <a:blip r:embed="rId8">
                      <a:extLst>
                        <a:ext uri="{28A0092B-C50C-407E-A947-70E740481C1C}">
                          <a14:useLocalDpi xmlns:a14="http://schemas.microsoft.com/office/drawing/2010/main" val="0"/>
                        </a:ext>
                      </a:extLst>
                    </a:blip>
                    <a:stretch>
                      <a:fillRect/>
                    </a:stretch>
                  </pic:blipFill>
                  <pic:spPr>
                    <a:xfrm>
                      <a:off x="0" y="0"/>
                      <a:ext cx="7596000" cy="10746000"/>
                    </a:xfrm>
                    <a:prstGeom prst="rect">
                      <a:avLst/>
                    </a:prstGeom>
                  </pic:spPr>
                </pic:pic>
              </a:graphicData>
            </a:graphic>
            <wp14:sizeRelH relativeFrom="page">
              <wp14:pctWidth>0</wp14:pctWidth>
            </wp14:sizeRelH>
            <wp14:sizeRelV relativeFrom="page">
              <wp14:pctHeight>0</wp14:pctHeight>
            </wp14:sizeRelV>
          </wp:anchor>
        </w:drawing>
      </w:r>
      <w:r w:rsidR="00415F39" w:rsidRPr="00751E74">
        <w:rPr>
          <w:color w:val="FFFFFF" w:themeColor="background1"/>
          <w:sz w:val="16"/>
          <w:szCs w:val="16"/>
        </w:rPr>
        <w:br w:type="page"/>
      </w:r>
    </w:p>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415F39">
            <w:pPr>
              <w:pStyle w:val="BoxTitle"/>
              <w:rPr>
                <w:sz w:val="22"/>
                <w:szCs w:val="22"/>
              </w:rPr>
            </w:pPr>
            <w:r w:rsidRPr="008A3857">
              <w:rPr>
                <w:sz w:val="22"/>
                <w:szCs w:val="22"/>
              </w:rPr>
              <w:t xml:space="preserve">The </w:t>
            </w:r>
            <w:r>
              <w:rPr>
                <w:sz w:val="22"/>
                <w:szCs w:val="22"/>
              </w:rPr>
              <w:t>Issues Paper</w:t>
            </w:r>
          </w:p>
        </w:tc>
      </w:tr>
      <w:tr w:rsidR="00415F39" w:rsidTr="001E4D46">
        <w:tc>
          <w:tcPr>
            <w:tcW w:w="8771" w:type="dxa"/>
            <w:tcBorders>
              <w:top w:val="nil"/>
              <w:left w:val="nil"/>
              <w:bottom w:val="nil"/>
              <w:right w:val="nil"/>
            </w:tcBorders>
            <w:shd w:val="clear" w:color="auto" w:fill="F2F2F2" w:themeFill="background1" w:themeFillShade="F2"/>
          </w:tcPr>
          <w:p w:rsidR="00415F39" w:rsidRDefault="00415F39" w:rsidP="00415F39">
            <w:pPr>
              <w:pStyle w:val="Box"/>
            </w:pPr>
            <w:r>
              <w:t>The Commission has released this issues paper to assist individuals and organisations to prepare su</w:t>
            </w:r>
            <w:r w:rsidR="008F7926">
              <w:t>bmissions to the inquiry</w:t>
            </w:r>
            <w:r>
              <w:t>. It contains and outlines:</w:t>
            </w:r>
          </w:p>
          <w:p w:rsidR="00415F39" w:rsidRDefault="00415F39" w:rsidP="00415F39">
            <w:pPr>
              <w:pStyle w:val="BoxListBullet"/>
            </w:pPr>
            <w:r>
              <w:t>the scope of the inquiry</w:t>
            </w:r>
          </w:p>
          <w:p w:rsidR="00415F39" w:rsidRDefault="00415F39" w:rsidP="00415F39">
            <w:pPr>
              <w:pStyle w:val="BoxListBullet"/>
            </w:pPr>
            <w:r>
              <w:t>the Commission’s procedures</w:t>
            </w:r>
          </w:p>
          <w:p w:rsidR="00415F39" w:rsidRDefault="00415F39" w:rsidP="00415F39">
            <w:pPr>
              <w:pStyle w:val="BoxListBullet"/>
            </w:pPr>
            <w:r>
              <w:t>matters about which the Commission is seeking comment and information</w:t>
            </w:r>
          </w:p>
          <w:p w:rsidR="00415F39" w:rsidRDefault="00415F39" w:rsidP="00415F39">
            <w:pPr>
              <w:pStyle w:val="BoxListBullet"/>
            </w:pPr>
            <w:r>
              <w:t>how to make a submission.</w:t>
            </w:r>
          </w:p>
          <w:p w:rsidR="00415F39" w:rsidRDefault="00415F39" w:rsidP="00415F39">
            <w:pPr>
              <w:pStyle w:val="Box"/>
            </w:pPr>
            <w:r>
              <w:t>Participants should not feel that they are restricted to comment only on matters raised in the issues paper. The Commission wishes to receive information and comment on issues which participants consider rel</w:t>
            </w:r>
            <w:r w:rsidR="008F7926">
              <w:t>evant to the inquiry’s</w:t>
            </w:r>
            <w:r>
              <w:t xml:space="preserve"> terms of reference.</w:t>
            </w:r>
          </w:p>
          <w:p w:rsidR="00415F39" w:rsidRDefault="00415F39" w:rsidP="009F3E26">
            <w:pPr>
              <w:pStyle w:val="BoxHeading1"/>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9F3E26" w:rsidTr="001E4D46">
              <w:trPr>
                <w:tblHeader/>
              </w:trPr>
              <w:tc>
                <w:tcPr>
                  <w:tcW w:w="3522" w:type="dxa"/>
                  <w:tcMar>
                    <w:left w:w="0" w:type="dxa"/>
                  </w:tcMar>
                </w:tcPr>
                <w:p w:rsidR="009F3E26" w:rsidRDefault="009F3E26" w:rsidP="00415F39">
                  <w:pPr>
                    <w:pStyle w:val="Box"/>
                  </w:pPr>
                  <w:r>
                    <w:t>Receipt of terms of reference</w:t>
                  </w:r>
                </w:p>
              </w:tc>
              <w:tc>
                <w:tcPr>
                  <w:tcW w:w="4950" w:type="dxa"/>
                </w:tcPr>
                <w:p w:rsidR="009F3E26" w:rsidRDefault="008F7926" w:rsidP="00415F39">
                  <w:pPr>
                    <w:pStyle w:val="Box"/>
                  </w:pPr>
                  <w:r>
                    <w:t>27 March 2018</w:t>
                  </w:r>
                </w:p>
              </w:tc>
            </w:tr>
            <w:tr w:rsidR="009F3E26" w:rsidTr="00EC0A05">
              <w:tc>
                <w:tcPr>
                  <w:tcW w:w="3522" w:type="dxa"/>
                  <w:tcMar>
                    <w:left w:w="0" w:type="dxa"/>
                  </w:tcMar>
                </w:tcPr>
                <w:p w:rsidR="009F3E26" w:rsidRDefault="009F3E26" w:rsidP="00DB2AE0">
                  <w:pPr>
                    <w:pStyle w:val="Box"/>
                    <w:spacing w:before="60"/>
                  </w:pPr>
                  <w:r>
                    <w:t>Due date for submissions</w:t>
                  </w:r>
                </w:p>
              </w:tc>
              <w:tc>
                <w:tcPr>
                  <w:tcW w:w="4950" w:type="dxa"/>
                </w:tcPr>
                <w:p w:rsidR="009F3E26" w:rsidRDefault="008F7926" w:rsidP="00DB2AE0">
                  <w:pPr>
                    <w:pStyle w:val="Box"/>
                    <w:spacing w:before="60"/>
                  </w:pPr>
                  <w:r>
                    <w:t>2 Ju</w:t>
                  </w:r>
                  <w:r w:rsidR="00B538AB">
                    <w:t>ly</w:t>
                  </w:r>
                  <w:r>
                    <w:t xml:space="preserve"> 2018</w:t>
                  </w:r>
                </w:p>
              </w:tc>
            </w:tr>
            <w:tr w:rsidR="009F3E26" w:rsidTr="00EC0A05">
              <w:tc>
                <w:tcPr>
                  <w:tcW w:w="3522" w:type="dxa"/>
                  <w:tcMar>
                    <w:left w:w="0" w:type="dxa"/>
                  </w:tcMar>
                </w:tcPr>
                <w:p w:rsidR="009F3E26" w:rsidRDefault="009F3E26" w:rsidP="00DB2AE0">
                  <w:pPr>
                    <w:pStyle w:val="Box"/>
                    <w:spacing w:before="60"/>
                  </w:pPr>
                  <w:r>
                    <w:t>Release of draft report</w:t>
                  </w:r>
                </w:p>
              </w:tc>
              <w:tc>
                <w:tcPr>
                  <w:tcW w:w="4950" w:type="dxa"/>
                </w:tcPr>
                <w:p w:rsidR="009F3E26" w:rsidRDefault="008F7926" w:rsidP="00DB2AE0">
                  <w:pPr>
                    <w:pStyle w:val="Box"/>
                    <w:spacing w:before="60"/>
                  </w:pPr>
                  <w:r>
                    <w:t>December 2018</w:t>
                  </w:r>
                </w:p>
              </w:tc>
            </w:tr>
            <w:tr w:rsidR="009F3E26" w:rsidTr="00EC0A05">
              <w:tc>
                <w:tcPr>
                  <w:tcW w:w="3522" w:type="dxa"/>
                  <w:tcMar>
                    <w:left w:w="0" w:type="dxa"/>
                  </w:tcMar>
                </w:tcPr>
                <w:p w:rsidR="009F3E26" w:rsidRDefault="009F3E26" w:rsidP="00DB2AE0">
                  <w:pPr>
                    <w:pStyle w:val="Box"/>
                    <w:spacing w:before="60"/>
                  </w:pPr>
                  <w:r>
                    <w:t>Draft report public hearings</w:t>
                  </w:r>
                </w:p>
              </w:tc>
              <w:tc>
                <w:tcPr>
                  <w:tcW w:w="4950" w:type="dxa"/>
                </w:tcPr>
                <w:p w:rsidR="009F3E26" w:rsidRDefault="00833A58" w:rsidP="00DB2AE0">
                  <w:pPr>
                    <w:pStyle w:val="Box"/>
                    <w:spacing w:before="60"/>
                  </w:pPr>
                  <w:r>
                    <w:t>February 2019</w:t>
                  </w:r>
                </w:p>
              </w:tc>
            </w:tr>
            <w:tr w:rsidR="009F3E26" w:rsidTr="00EC0A05">
              <w:tc>
                <w:tcPr>
                  <w:tcW w:w="3522" w:type="dxa"/>
                  <w:tcMar>
                    <w:left w:w="0" w:type="dxa"/>
                  </w:tcMar>
                </w:tcPr>
                <w:p w:rsidR="009F3E26" w:rsidRDefault="009F3E26" w:rsidP="00DB2AE0">
                  <w:pPr>
                    <w:pStyle w:val="Box"/>
                    <w:spacing w:before="60"/>
                  </w:pPr>
                  <w:r>
                    <w:t>Final report to Government</w:t>
                  </w:r>
                </w:p>
              </w:tc>
              <w:tc>
                <w:tcPr>
                  <w:tcW w:w="4950" w:type="dxa"/>
                </w:tcPr>
                <w:p w:rsidR="009F3E26" w:rsidRDefault="00833A58" w:rsidP="00DB2AE0">
                  <w:pPr>
                    <w:pStyle w:val="Box"/>
                    <w:spacing w:before="60"/>
                  </w:pPr>
                  <w:r>
                    <w:t>27 June 2019</w:t>
                  </w:r>
                </w:p>
              </w:tc>
            </w:tr>
          </w:tbl>
          <w:p w:rsidR="00415F39" w:rsidRDefault="00415F39" w:rsidP="009F3E26">
            <w:pPr>
              <w:pStyle w:val="BoxHeading1"/>
            </w:pPr>
            <w:r>
              <w:t>S</w:t>
            </w:r>
            <w:r w:rsidR="009F3E26">
              <w:t xml:space="preserve">ubmissions can be </w:t>
            </w:r>
            <w:r w:rsidR="00862E51">
              <w:t>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9F3E26" w:rsidTr="001E4D46">
              <w:trPr>
                <w:tblHeader/>
              </w:trPr>
              <w:tc>
                <w:tcPr>
                  <w:tcW w:w="3522" w:type="dxa"/>
                  <w:tcMar>
                    <w:left w:w="0" w:type="dxa"/>
                  </w:tcMar>
                </w:tcPr>
                <w:p w:rsidR="009F3E26" w:rsidRDefault="00862E51" w:rsidP="00862E51">
                  <w:pPr>
                    <w:pStyle w:val="Box"/>
                  </w:pPr>
                  <w:r>
                    <w:t>Online:</w:t>
                  </w:r>
                </w:p>
              </w:tc>
              <w:tc>
                <w:tcPr>
                  <w:tcW w:w="4950" w:type="dxa"/>
                </w:tcPr>
                <w:p w:rsidR="009F3E26" w:rsidRPr="00181654" w:rsidRDefault="0075155E" w:rsidP="00862E51">
                  <w:pPr>
                    <w:pStyle w:val="Box"/>
                  </w:pPr>
                  <w:hyperlink r:id="rId9" w:history="1">
                    <w:r w:rsidR="00751E74" w:rsidRPr="00181654">
                      <w:rPr>
                        <w:rStyle w:val="Hyperlink"/>
                        <w:u w:val="none"/>
                      </w:rPr>
                      <w:t>www.pc.gov.au/inquiries/current/veterans/make-submission</w:t>
                    </w:r>
                  </w:hyperlink>
                </w:p>
              </w:tc>
            </w:tr>
            <w:tr w:rsidR="009F3E26" w:rsidTr="00EC0A05">
              <w:tc>
                <w:tcPr>
                  <w:tcW w:w="3522" w:type="dxa"/>
                  <w:tcMar>
                    <w:left w:w="0" w:type="dxa"/>
                  </w:tcMar>
                </w:tcPr>
                <w:p w:rsidR="009F3E26" w:rsidRDefault="009F3E26" w:rsidP="00DB2AE0">
                  <w:pPr>
                    <w:pStyle w:val="Box"/>
                    <w:spacing w:before="60"/>
                    <w:jc w:val="left"/>
                  </w:pPr>
                  <w:r>
                    <w:t>By post:</w:t>
                  </w:r>
                </w:p>
              </w:tc>
              <w:tc>
                <w:tcPr>
                  <w:tcW w:w="4950" w:type="dxa"/>
                </w:tcPr>
                <w:p w:rsidR="009F3E26" w:rsidRDefault="008F7926" w:rsidP="00833A58">
                  <w:pPr>
                    <w:pStyle w:val="Box"/>
                    <w:spacing w:before="60"/>
                    <w:jc w:val="left"/>
                  </w:pPr>
                  <w:r>
                    <w:t>Veterans’ Compensation and Rehabilitation Inquiry</w:t>
                  </w:r>
                  <w:r w:rsidR="009F3E26">
                    <w:br/>
                    <w:t>Productivity Commission</w:t>
                  </w:r>
                  <w:r w:rsidR="009F3E26">
                    <w:br/>
                  </w:r>
                  <w:r w:rsidR="00833A58">
                    <w:t>GPO Box 1428</w:t>
                  </w:r>
                  <w:r w:rsidR="00833A58">
                    <w:br/>
                    <w:t>Canberra City ACT 2604</w:t>
                  </w:r>
                </w:p>
              </w:tc>
            </w:tr>
          </w:tbl>
          <w:p w:rsidR="00415F39" w:rsidRDefault="00415F39" w:rsidP="009F3E26">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9F3E26" w:rsidTr="001E4D46">
              <w:trPr>
                <w:tblHeader/>
              </w:trPr>
              <w:tc>
                <w:tcPr>
                  <w:tcW w:w="3522" w:type="dxa"/>
                  <w:tcMar>
                    <w:left w:w="0" w:type="dxa"/>
                  </w:tcMar>
                </w:tcPr>
                <w:p w:rsidR="009F3E26" w:rsidRDefault="009F3E26" w:rsidP="00415F39">
                  <w:pPr>
                    <w:pStyle w:val="Box"/>
                  </w:pPr>
                  <w:r>
                    <w:t xml:space="preserve">Administrative </w:t>
                  </w:r>
                  <w:r w:rsidR="00B538AB">
                    <w:t xml:space="preserve">and other </w:t>
                  </w:r>
                  <w:r>
                    <w:t>matters:</w:t>
                  </w:r>
                </w:p>
              </w:tc>
              <w:tc>
                <w:tcPr>
                  <w:tcW w:w="2268" w:type="dxa"/>
                </w:tcPr>
                <w:p w:rsidR="009F3E26" w:rsidRDefault="008F7926" w:rsidP="00415F39">
                  <w:pPr>
                    <w:pStyle w:val="Box"/>
                  </w:pPr>
                  <w:r>
                    <w:t>Pragya Giri</w:t>
                  </w:r>
                </w:p>
              </w:tc>
              <w:tc>
                <w:tcPr>
                  <w:tcW w:w="2682" w:type="dxa"/>
                </w:tcPr>
                <w:p w:rsidR="009F3E26" w:rsidRDefault="009F3E26" w:rsidP="008F7926">
                  <w:pPr>
                    <w:pStyle w:val="Box"/>
                  </w:pPr>
                  <w:proofErr w:type="spellStart"/>
                  <w:r>
                    <w:t>Ph</w:t>
                  </w:r>
                  <w:proofErr w:type="spellEnd"/>
                  <w:r>
                    <w:t xml:space="preserve">: </w:t>
                  </w:r>
                  <w:r w:rsidR="008F7926">
                    <w:t>02 6240 3250</w:t>
                  </w:r>
                </w:p>
              </w:tc>
            </w:tr>
            <w:tr w:rsidR="009F3E26" w:rsidTr="00EC0A05">
              <w:tc>
                <w:tcPr>
                  <w:tcW w:w="3522" w:type="dxa"/>
                  <w:tcMar>
                    <w:left w:w="0" w:type="dxa"/>
                  </w:tcMar>
                </w:tcPr>
                <w:p w:rsidR="009F3E26" w:rsidRDefault="009F3E26" w:rsidP="00DB2AE0">
                  <w:pPr>
                    <w:pStyle w:val="Box"/>
                    <w:spacing w:before="60"/>
                  </w:pPr>
                  <w:proofErr w:type="spellStart"/>
                  <w:r>
                    <w:t>Freecall</w:t>
                  </w:r>
                  <w:proofErr w:type="spellEnd"/>
                  <w:r>
                    <w:t xml:space="preserve"> number for regional areas:</w:t>
                  </w:r>
                </w:p>
              </w:tc>
              <w:tc>
                <w:tcPr>
                  <w:tcW w:w="2268" w:type="dxa"/>
                </w:tcPr>
                <w:p w:rsidR="009F3E26" w:rsidRDefault="009F3E26" w:rsidP="00DB2AE0">
                  <w:pPr>
                    <w:pStyle w:val="Box"/>
                    <w:spacing w:before="60"/>
                  </w:pPr>
                  <w:r>
                    <w:t>1800 020 083</w:t>
                  </w:r>
                </w:p>
              </w:tc>
              <w:tc>
                <w:tcPr>
                  <w:tcW w:w="2682" w:type="dxa"/>
                </w:tcPr>
                <w:p w:rsidR="009F3E26" w:rsidRDefault="009F3E26" w:rsidP="00DB2AE0">
                  <w:pPr>
                    <w:pStyle w:val="Box"/>
                    <w:spacing w:before="60"/>
                  </w:pPr>
                </w:p>
              </w:tc>
            </w:tr>
            <w:tr w:rsidR="009F3E26" w:rsidTr="00EC0A05">
              <w:tc>
                <w:tcPr>
                  <w:tcW w:w="3522" w:type="dxa"/>
                  <w:tcMar>
                    <w:left w:w="0" w:type="dxa"/>
                  </w:tcMar>
                </w:tcPr>
                <w:p w:rsidR="009F3E26" w:rsidRDefault="009F3E26" w:rsidP="00E57F05">
                  <w:pPr>
                    <w:pStyle w:val="Box"/>
                    <w:spacing w:before="60" w:after="120"/>
                  </w:pPr>
                  <w:r>
                    <w:t>Website</w:t>
                  </w:r>
                  <w:r w:rsidR="00FB20A0">
                    <w:t>:</w:t>
                  </w:r>
                </w:p>
              </w:tc>
              <w:tc>
                <w:tcPr>
                  <w:tcW w:w="2268" w:type="dxa"/>
                </w:tcPr>
                <w:p w:rsidR="009F3E26" w:rsidRPr="009F3E26" w:rsidRDefault="009F3E26" w:rsidP="00E57F05">
                  <w:pPr>
                    <w:pStyle w:val="Box"/>
                    <w:spacing w:before="60" w:after="120"/>
                    <w:rPr>
                      <w:b/>
                    </w:rPr>
                  </w:pPr>
                  <w:r w:rsidRPr="009F3E26">
                    <w:rPr>
                      <w:b/>
                    </w:rPr>
                    <w:t>www.pc.gov.au</w:t>
                  </w:r>
                </w:p>
              </w:tc>
              <w:tc>
                <w:tcPr>
                  <w:tcW w:w="2682" w:type="dxa"/>
                </w:tcPr>
                <w:p w:rsidR="009F3E26" w:rsidRDefault="009F3E26" w:rsidP="00DB2AE0">
                  <w:pPr>
                    <w:pStyle w:val="Box"/>
                    <w:spacing w:before="60"/>
                  </w:pPr>
                </w:p>
              </w:tc>
            </w:tr>
          </w:tbl>
          <w:p w:rsidR="00415F39" w:rsidRDefault="00415F39" w:rsidP="009F3E26">
            <w:pPr>
              <w:pStyle w:val="Box"/>
            </w:pPr>
          </w:p>
        </w:tc>
      </w:tr>
      <w:tr w:rsidR="00415F39" w:rsidTr="001E4D46">
        <w:tc>
          <w:tcPr>
            <w:tcW w:w="8771" w:type="dxa"/>
            <w:tcBorders>
              <w:top w:val="nil"/>
              <w:left w:val="nil"/>
              <w:bottom w:val="single" w:sz="6" w:space="0" w:color="78A22F"/>
              <w:right w:val="nil"/>
            </w:tcBorders>
            <w:shd w:val="clear" w:color="auto" w:fill="F2F2F2" w:themeFill="background1" w:themeFillShade="F2"/>
          </w:tcPr>
          <w:p w:rsidR="00415F39" w:rsidRDefault="00415F39" w:rsidP="00C32CEE">
            <w:pPr>
              <w:pStyle w:val="Box"/>
              <w:spacing w:before="0" w:line="120" w:lineRule="exact"/>
            </w:pPr>
          </w:p>
        </w:tc>
      </w:tr>
    </w:tbl>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C32CEE">
            <w:pPr>
              <w:pStyle w:val="BoxTitle"/>
              <w:rPr>
                <w:sz w:val="22"/>
                <w:szCs w:val="22"/>
              </w:rPr>
            </w:pPr>
            <w:r w:rsidRPr="008A3857">
              <w:rPr>
                <w:sz w:val="22"/>
                <w:szCs w:val="22"/>
              </w:rPr>
              <w:t>The Productivity Commission</w:t>
            </w:r>
          </w:p>
        </w:tc>
      </w:tr>
      <w:tr w:rsidR="00415F39" w:rsidTr="00C32CEE">
        <w:trPr>
          <w:cantSplit/>
        </w:trPr>
        <w:tc>
          <w:tcPr>
            <w:tcW w:w="8771" w:type="dxa"/>
            <w:tcBorders>
              <w:top w:val="nil"/>
              <w:left w:val="nil"/>
              <w:bottom w:val="nil"/>
              <w:right w:val="nil"/>
            </w:tcBorders>
            <w:shd w:val="clear" w:color="auto" w:fill="F2F2F2" w:themeFill="background1" w:themeFillShade="F2"/>
          </w:tcPr>
          <w:p w:rsidR="00415F39" w:rsidRDefault="00415F39" w:rsidP="00C32CEE">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15F39" w:rsidRDefault="00415F39" w:rsidP="00C32CEE">
            <w:pPr>
              <w:pStyle w:val="Box"/>
            </w:pPr>
            <w:r w:rsidRPr="00BB5DCF">
              <w:t>The Commission’s independence is underpinned by an Act of Parliament. Its processes and outputs are open to public scrutiny and are driven by concern for the wellbeing of the community as a whole.</w:t>
            </w:r>
          </w:p>
          <w:p w:rsidR="00415F39" w:rsidRDefault="00415F39" w:rsidP="00C32CEE">
            <w:pPr>
              <w:pStyle w:val="Box"/>
            </w:pPr>
            <w:r w:rsidRPr="00BB5DCF">
              <w:rPr>
                <w:szCs w:val="24"/>
              </w:rPr>
              <w:t>Further information on the Productivity Commission can be obtained from the Commission’s website (www.pc.gov.au)</w:t>
            </w:r>
            <w:r>
              <w:rPr>
                <w:szCs w:val="24"/>
              </w:rPr>
              <w:t>.</w:t>
            </w:r>
          </w:p>
        </w:tc>
      </w:tr>
      <w:tr w:rsidR="00415F39" w:rsidTr="00C32CEE">
        <w:trPr>
          <w:cantSplit/>
        </w:trPr>
        <w:tc>
          <w:tcPr>
            <w:tcW w:w="8771" w:type="dxa"/>
            <w:tcBorders>
              <w:top w:val="nil"/>
              <w:left w:val="nil"/>
              <w:bottom w:val="single" w:sz="6" w:space="0" w:color="78A22F"/>
              <w:right w:val="nil"/>
            </w:tcBorders>
            <w:shd w:val="clear" w:color="auto" w:fill="F2F2F2" w:themeFill="background1" w:themeFillShade="F2"/>
          </w:tcPr>
          <w:p w:rsidR="00415F39" w:rsidRDefault="00415F39" w:rsidP="00C32CEE">
            <w:pPr>
              <w:pStyle w:val="Box"/>
              <w:spacing w:before="0" w:line="120" w:lineRule="exact"/>
            </w:pPr>
          </w:p>
        </w:tc>
      </w:tr>
    </w:tbl>
    <w:p w:rsidR="00EC0A05" w:rsidRDefault="00EC0A05" w:rsidP="00EC0A05">
      <w:pPr>
        <w:pStyle w:val="BodyText"/>
      </w:pPr>
    </w:p>
    <w:p w:rsidR="00EC0A05" w:rsidRPr="00415F39" w:rsidRDefault="00EC0A05" w:rsidP="00EC0A05">
      <w:pPr>
        <w:pStyle w:val="BodyText"/>
        <w:sectPr w:rsidR="00EC0A05" w:rsidRPr="00415F39" w:rsidSect="00DA3EB4">
          <w:headerReference w:type="default" r:id="rId10"/>
          <w:footerReference w:type="default" r:id="rId11"/>
          <w:type w:val="continuous"/>
          <w:pgSz w:w="11907" w:h="16840" w:code="9"/>
          <w:pgMar w:top="1560" w:right="1304" w:bottom="851" w:left="1814" w:header="1276" w:footer="397" w:gutter="0"/>
          <w:pgNumType w:fmt="lowerRoman" w:chapSep="period"/>
          <w:cols w:space="720"/>
          <w:titlePg/>
        </w:sectPr>
      </w:pPr>
    </w:p>
    <w:bookmarkEnd w:id="0"/>
    <w:p w:rsidR="00F056FC" w:rsidRDefault="00EC0A05" w:rsidP="00EC0A05">
      <w:pPr>
        <w:pStyle w:val="Heading2nosectionno"/>
      </w:pPr>
      <w:r>
        <w:lastRenderedPageBreak/>
        <w:t>Contents</w:t>
      </w:r>
    </w:p>
    <w:p w:rsidR="006A5EE8" w:rsidRDefault="006A5EE8" w:rsidP="006A5EE8">
      <w:pPr>
        <w:pStyle w:val="TOC2"/>
        <w:spacing w:before="1080"/>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Background to the inquiry</w:t>
      </w:r>
      <w:r>
        <w:rPr>
          <w:noProof/>
        </w:rPr>
        <w:tab/>
        <w:t>1</w:t>
      </w:r>
    </w:p>
    <w:p w:rsidR="006A5EE8" w:rsidRDefault="006A5EE8" w:rsidP="006A5EE8">
      <w:pPr>
        <w:pStyle w:val="TOC2"/>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About the veterans’ compensation and rehabilitation system</w:t>
      </w:r>
      <w:r>
        <w:rPr>
          <w:noProof/>
        </w:rPr>
        <w:tab/>
        <w:t>1</w:t>
      </w:r>
    </w:p>
    <w:p w:rsidR="006A5EE8" w:rsidRDefault="006A5EE8" w:rsidP="006A5EE8">
      <w:pPr>
        <w:pStyle w:val="TOC2"/>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The Commission’s task and approach</w:t>
      </w:r>
      <w:r>
        <w:rPr>
          <w:noProof/>
        </w:rPr>
        <w:tab/>
        <w:t>6</w:t>
      </w:r>
    </w:p>
    <w:p w:rsidR="006A5EE8" w:rsidRDefault="006A5EE8" w:rsidP="006A5EE8">
      <w:pPr>
        <w:pStyle w:val="TOC2"/>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Assessing the veterans’ compensation and rehabilitation system</w:t>
      </w:r>
      <w:r>
        <w:rPr>
          <w:noProof/>
        </w:rPr>
        <w:tab/>
        <w:t>8</w:t>
      </w:r>
    </w:p>
    <w:p w:rsidR="006A5EE8" w:rsidRDefault="006A5EE8" w:rsidP="006A5EE8">
      <w:pPr>
        <w:pStyle w:val="TOC2"/>
        <w:rPr>
          <w:rFonts w:asciiTheme="minorHAnsi" w:eastAsiaTheme="minorEastAsia" w:hAnsiTheme="minorHAnsi" w:cstheme="minorBidi"/>
          <w:b w:val="0"/>
          <w:noProof/>
          <w:sz w:val="22"/>
          <w:szCs w:val="22"/>
        </w:rPr>
      </w:pPr>
      <w:r>
        <w:rPr>
          <w:noProof/>
        </w:rPr>
        <w:t>References</w:t>
      </w:r>
      <w:r>
        <w:rPr>
          <w:noProof/>
        </w:rPr>
        <w:tab/>
        <w:t>20</w:t>
      </w:r>
    </w:p>
    <w:p w:rsidR="006A5EE8" w:rsidRDefault="006A5EE8" w:rsidP="006A5EE8">
      <w:pPr>
        <w:pStyle w:val="TOC2"/>
        <w:rPr>
          <w:rFonts w:asciiTheme="minorHAnsi" w:eastAsiaTheme="minorEastAsia" w:hAnsiTheme="minorHAnsi" w:cstheme="minorBidi"/>
          <w:b w:val="0"/>
          <w:noProof/>
          <w:sz w:val="22"/>
          <w:szCs w:val="22"/>
        </w:rPr>
      </w:pPr>
      <w:r>
        <w:rPr>
          <w:noProof/>
        </w:rPr>
        <w:t>Attachment A: Terms of reference</w:t>
      </w:r>
      <w:r>
        <w:rPr>
          <w:noProof/>
        </w:rPr>
        <w:tab/>
        <w:t>22</w:t>
      </w:r>
    </w:p>
    <w:p w:rsidR="006A5EE8" w:rsidRDefault="006A5EE8" w:rsidP="006A5EE8">
      <w:pPr>
        <w:pStyle w:val="TOC2"/>
        <w:rPr>
          <w:rFonts w:asciiTheme="minorHAnsi" w:eastAsiaTheme="minorEastAsia" w:hAnsiTheme="minorHAnsi" w:cstheme="minorBidi"/>
          <w:b w:val="0"/>
          <w:noProof/>
          <w:sz w:val="22"/>
          <w:szCs w:val="22"/>
        </w:rPr>
      </w:pPr>
      <w:r>
        <w:rPr>
          <w:noProof/>
        </w:rPr>
        <w:t>Attachment B: How to make a submission or comment</w:t>
      </w:r>
      <w:r>
        <w:rPr>
          <w:noProof/>
        </w:rPr>
        <w:tab/>
        <w:t>24</w:t>
      </w:r>
    </w:p>
    <w:p w:rsidR="00391500" w:rsidRDefault="00391500" w:rsidP="00120072">
      <w:pPr>
        <w:pStyle w:val="BodyText"/>
      </w:pPr>
    </w:p>
    <w:p w:rsidR="006A5EE8" w:rsidRDefault="006A5EE8" w:rsidP="00120072">
      <w:pPr>
        <w:pStyle w:val="BodyText"/>
        <w:sectPr w:rsidR="006A5EE8" w:rsidSect="009F6FCD">
          <w:headerReference w:type="even" r:id="rId12"/>
          <w:headerReference w:type="default" r:id="rId13"/>
          <w:footerReference w:type="even" r:id="rId14"/>
          <w:footerReference w:type="default" r:id="rId15"/>
          <w:pgSz w:w="11907" w:h="16840" w:code="9"/>
          <w:pgMar w:top="1985" w:right="1304" w:bottom="1247" w:left="1814" w:header="1701" w:footer="397" w:gutter="0"/>
          <w:pgNumType w:fmt="lowerRoman" w:chapSep="period"/>
          <w:cols w:space="720"/>
        </w:sectPr>
      </w:pPr>
    </w:p>
    <w:p w:rsidR="00EC0A05" w:rsidRDefault="0075155E" w:rsidP="00B538AB">
      <w:pPr>
        <w:pStyle w:val="Heading2"/>
        <w:spacing w:before="0"/>
      </w:pPr>
      <w:r>
        <w:lastRenderedPageBreak/>
        <w:fldChar w:fldCharType="begin"/>
      </w:r>
      <w:r>
        <w:instrText xml:space="preserve"> SEQ Heading2 </w:instrText>
      </w:r>
      <w:r>
        <w:fldChar w:fldCharType="separate"/>
      </w:r>
      <w:bookmarkStart w:id="1" w:name="_Toc511661002"/>
      <w:bookmarkStart w:id="2" w:name="_Toc512930365"/>
      <w:bookmarkStart w:id="3" w:name="_Toc512933216"/>
      <w:bookmarkStart w:id="4" w:name="_Toc512933695"/>
      <w:bookmarkStart w:id="5" w:name="_Toc512933783"/>
      <w:r w:rsidR="00CC2ABA">
        <w:rPr>
          <w:noProof/>
        </w:rPr>
        <w:t>1</w:t>
      </w:r>
      <w:r>
        <w:rPr>
          <w:noProof/>
        </w:rPr>
        <w:fldChar w:fldCharType="end"/>
      </w:r>
      <w:r w:rsidR="003851B8">
        <w:tab/>
      </w:r>
      <w:r w:rsidR="002B523E">
        <w:t>B</w:t>
      </w:r>
      <w:r w:rsidR="003851B8">
        <w:t>ackground to th</w:t>
      </w:r>
      <w:r w:rsidR="00DC2949">
        <w:t xml:space="preserve">e </w:t>
      </w:r>
      <w:r w:rsidR="003851B8">
        <w:t>inquiry</w:t>
      </w:r>
      <w:bookmarkEnd w:id="1"/>
      <w:bookmarkEnd w:id="2"/>
      <w:bookmarkEnd w:id="3"/>
      <w:bookmarkEnd w:id="4"/>
      <w:bookmarkEnd w:id="5"/>
    </w:p>
    <w:p w:rsidR="00F53922" w:rsidRDefault="00DC2949" w:rsidP="00A7245D">
      <w:pPr>
        <w:pStyle w:val="BodyText"/>
      </w:pPr>
      <w:r>
        <w:t xml:space="preserve">A recent report titled </w:t>
      </w:r>
      <w:r w:rsidRPr="002F1334">
        <w:rPr>
          <w:i/>
        </w:rPr>
        <w:t>The Constant Battle: Suicide by Veterans</w:t>
      </w:r>
      <w:r>
        <w:t>,</w:t>
      </w:r>
      <w:r w:rsidR="003851B8">
        <w:t xml:space="preserve"> </w:t>
      </w:r>
      <w:r w:rsidR="00F53922">
        <w:t>by the Senate Foreign Affairs, Defence and Trade</w:t>
      </w:r>
      <w:r w:rsidR="00A47914">
        <w:t xml:space="preserve"> Reference</w:t>
      </w:r>
      <w:r w:rsidR="00B81133">
        <w:t>s</w:t>
      </w:r>
      <w:r w:rsidR="00A47914">
        <w:t xml:space="preserve"> Committee</w:t>
      </w:r>
      <w:r w:rsidR="00F53922">
        <w:t xml:space="preserve">, </w:t>
      </w:r>
      <w:r w:rsidR="00F63396">
        <w:t xml:space="preserve">highlighted </w:t>
      </w:r>
      <w:r w:rsidR="00A7245D">
        <w:t xml:space="preserve">concerns </w:t>
      </w:r>
      <w:r w:rsidR="00454444">
        <w:t xml:space="preserve">with </w:t>
      </w:r>
      <w:r>
        <w:t>the legislative framework for compensation and rehabilitation for veterans</w:t>
      </w:r>
      <w:r w:rsidR="00FE48A7">
        <w:t>. The Committee found the legislative framework to be complex</w:t>
      </w:r>
      <w:r w:rsidR="006A6E14">
        <w:t xml:space="preserve"> and </w:t>
      </w:r>
      <w:r w:rsidR="00FE48A7">
        <w:t>difficult to navigate</w:t>
      </w:r>
      <w:r w:rsidR="00E71941">
        <w:t xml:space="preserve">, </w:t>
      </w:r>
      <w:r w:rsidR="006A6E14">
        <w:t xml:space="preserve">and noted concerns about </w:t>
      </w:r>
      <w:r w:rsidR="00E71941">
        <w:t>inconsisten</w:t>
      </w:r>
      <w:r w:rsidR="000161C4">
        <w:t xml:space="preserve">t </w:t>
      </w:r>
      <w:r w:rsidR="00E71941">
        <w:t>treatment of claims for compensation</w:t>
      </w:r>
      <w:r w:rsidR="00F53922">
        <w:t xml:space="preserve">, and </w:t>
      </w:r>
      <w:r w:rsidR="00521052">
        <w:t xml:space="preserve">lengthy </w:t>
      </w:r>
      <w:r w:rsidR="00F53922">
        <w:t>delays in the processing of claims</w:t>
      </w:r>
      <w:r w:rsidR="00E93EF7">
        <w:t xml:space="preserve"> (</w:t>
      </w:r>
      <w:r w:rsidR="006A6E14">
        <w:t xml:space="preserve">with </w:t>
      </w:r>
      <w:r w:rsidR="00E93EF7">
        <w:t>unwarranted stress for veterans</w:t>
      </w:r>
      <w:r w:rsidR="008A276E">
        <w:t xml:space="preserve"> and their families</w:t>
      </w:r>
      <w:r w:rsidR="00E93EF7">
        <w:t>)</w:t>
      </w:r>
      <w:r w:rsidR="00406745">
        <w:t xml:space="preserve">. </w:t>
      </w:r>
      <w:r w:rsidR="00F63396">
        <w:t xml:space="preserve">The Committee </w:t>
      </w:r>
      <w:r w:rsidR="007A36A7">
        <w:t>said</w:t>
      </w:r>
      <w:r w:rsidR="00E71941">
        <w:t xml:space="preserve"> it </w:t>
      </w:r>
      <w:r w:rsidR="00F63396">
        <w:t xml:space="preserve">repeatedly </w:t>
      </w:r>
      <w:r w:rsidR="005E4D2A">
        <w:t xml:space="preserve">heard </w:t>
      </w:r>
      <w:r w:rsidR="00F63396">
        <w:t>that</w:t>
      </w:r>
      <w:r w:rsidR="00F53922">
        <w:t>:</w:t>
      </w:r>
    </w:p>
    <w:p w:rsidR="00F53922" w:rsidRDefault="00F53922" w:rsidP="00F53922">
      <w:pPr>
        <w:pStyle w:val="Quote"/>
      </w:pPr>
      <w:r>
        <w:t xml:space="preserve">… </w:t>
      </w:r>
      <w:r w:rsidR="00F63396">
        <w:t xml:space="preserve">excessive </w:t>
      </w:r>
      <w:r w:rsidR="005E4D2A">
        <w:t xml:space="preserve">legislative </w:t>
      </w:r>
      <w:r w:rsidR="00F63396">
        <w:t xml:space="preserve">complexity was </w:t>
      </w:r>
      <w:r w:rsidR="00A7245D">
        <w:t xml:space="preserve">a burden on veterans, advocates and the operations of </w:t>
      </w:r>
      <w:r w:rsidR="00DF35DB">
        <w:t>DVA</w:t>
      </w:r>
      <w:r w:rsidR="00A7245D">
        <w:t xml:space="preserve"> </w:t>
      </w:r>
      <w:r w:rsidR="008E0848">
        <w:t>[</w:t>
      </w:r>
      <w:r w:rsidR="00A7245D">
        <w:t>Department of Veterans’ Affairs</w:t>
      </w:r>
      <w:r w:rsidR="008E0848">
        <w:t>]</w:t>
      </w:r>
      <w:r w:rsidR="00A7245D">
        <w:t xml:space="preserve"> itself</w:t>
      </w:r>
      <w:r>
        <w:t>.</w:t>
      </w:r>
      <w:r w:rsidR="00A7245D">
        <w:t xml:space="preserve"> </w:t>
      </w:r>
      <w:r w:rsidR="00686C0B" w:rsidRPr="00614AEE">
        <w:rPr>
          <w:szCs w:val="24"/>
        </w:rPr>
        <w:t>(SFADTRC 2017, p. 67)</w:t>
      </w:r>
      <w:r w:rsidR="005E4D2A">
        <w:t xml:space="preserve"> </w:t>
      </w:r>
    </w:p>
    <w:p w:rsidR="00A7245D" w:rsidRDefault="005E4D2A" w:rsidP="00A7245D">
      <w:pPr>
        <w:pStyle w:val="BodyText"/>
      </w:pPr>
      <w:r>
        <w:t xml:space="preserve">A particular concern </w:t>
      </w:r>
      <w:r w:rsidR="00BC2199">
        <w:t xml:space="preserve">of the Committee was that </w:t>
      </w:r>
      <w:r w:rsidR="002F1334">
        <w:t>the</w:t>
      </w:r>
      <w:r w:rsidR="00A47914">
        <w:t xml:space="preserve"> current system, being</w:t>
      </w:r>
      <w:r w:rsidR="00BC2199">
        <w:t xml:space="preserve"> complex and challenging to navigate</w:t>
      </w:r>
      <w:r w:rsidR="00A47914">
        <w:t>,</w:t>
      </w:r>
      <w:r w:rsidR="00BC2199">
        <w:t xml:space="preserve"> </w:t>
      </w:r>
      <w:r w:rsidR="007A36A7">
        <w:t xml:space="preserve">would </w:t>
      </w:r>
      <w:r w:rsidR="00BC2199">
        <w:t xml:space="preserve">compromise </w:t>
      </w:r>
      <w:r w:rsidR="00C34921">
        <w:t>any</w:t>
      </w:r>
      <w:r w:rsidR="0002624F">
        <w:t xml:space="preserve"> </w:t>
      </w:r>
      <w:r w:rsidR="001E55EB">
        <w:t xml:space="preserve">efforts </w:t>
      </w:r>
      <w:r w:rsidR="006A6E14">
        <w:t>by the Department of Veteran</w:t>
      </w:r>
      <w:r w:rsidR="00A47914">
        <w:t>s’</w:t>
      </w:r>
      <w:r w:rsidR="006A6E14">
        <w:t xml:space="preserve"> Affairs (DVA) </w:t>
      </w:r>
      <w:r w:rsidR="001E55EB">
        <w:t xml:space="preserve">to make </w:t>
      </w:r>
      <w:r w:rsidR="000161C4">
        <w:t xml:space="preserve">the </w:t>
      </w:r>
      <w:r>
        <w:t>claim</w:t>
      </w:r>
      <w:r w:rsidR="0002624F">
        <w:t>s</w:t>
      </w:r>
      <w:r>
        <w:t xml:space="preserve"> process ‘veteran centric’. </w:t>
      </w:r>
    </w:p>
    <w:p w:rsidR="00F53922" w:rsidRDefault="00345D6A" w:rsidP="008F7926">
      <w:pPr>
        <w:pStyle w:val="BodyText"/>
      </w:pPr>
      <w:r>
        <w:t>The</w:t>
      </w:r>
      <w:r w:rsidR="00A840A4">
        <w:t xml:space="preserve"> </w:t>
      </w:r>
      <w:r w:rsidR="00667736">
        <w:t>C</w:t>
      </w:r>
      <w:r>
        <w:t>ommittee recommended a review of the veterans’ compensation</w:t>
      </w:r>
      <w:r w:rsidR="00754E54">
        <w:t xml:space="preserve"> and rehabilitation</w:t>
      </w:r>
      <w:r>
        <w:t xml:space="preserve"> system, </w:t>
      </w:r>
      <w:r w:rsidR="005E4D2A">
        <w:t xml:space="preserve">stating </w:t>
      </w:r>
      <w:r>
        <w:t>that ‘it is time for a comprehensive rethink of how the current system operates and will operate into the future’</w:t>
      </w:r>
      <w:r w:rsidR="0049135B" w:rsidDel="00686C0B">
        <w:t xml:space="preserve"> </w:t>
      </w:r>
      <w:r w:rsidR="00686C0B" w:rsidRPr="008F7926">
        <w:t>(SFADTRC 2017, p. 68)</w:t>
      </w:r>
      <w:r w:rsidR="0049135B" w:rsidRPr="008F7926">
        <w:t>.</w:t>
      </w:r>
      <w:r w:rsidR="00265027">
        <w:t xml:space="preserve"> </w:t>
      </w:r>
    </w:p>
    <w:p w:rsidR="00391500" w:rsidRDefault="00275BD3" w:rsidP="00120072">
      <w:pPr>
        <w:pStyle w:val="BodyText"/>
      </w:pPr>
      <w:r>
        <w:t xml:space="preserve">The </w:t>
      </w:r>
      <w:r w:rsidR="005C0783">
        <w:t xml:space="preserve">Australian </w:t>
      </w:r>
      <w:r>
        <w:t>Government has asked</w:t>
      </w:r>
      <w:r w:rsidR="00265027" w:rsidDel="007A36A7">
        <w:t xml:space="preserve"> the Productivity Commission</w:t>
      </w:r>
      <w:r>
        <w:t xml:space="preserve"> </w:t>
      </w:r>
      <w:r w:rsidR="00AA5082">
        <w:t xml:space="preserve">to </w:t>
      </w:r>
      <w:r>
        <w:t>undertak</w:t>
      </w:r>
      <w:r w:rsidR="00AA5082">
        <w:t xml:space="preserve">e </w:t>
      </w:r>
      <w:r>
        <w:t>the review.</w:t>
      </w:r>
    </w:p>
    <w:p w:rsidR="00345D6A" w:rsidRDefault="0075155E" w:rsidP="00345D6A">
      <w:pPr>
        <w:pStyle w:val="Heading2"/>
      </w:pPr>
      <w:r>
        <w:fldChar w:fldCharType="begin"/>
      </w:r>
      <w:r>
        <w:instrText xml:space="preserve"> SEQ Heading2 </w:instrText>
      </w:r>
      <w:r>
        <w:fldChar w:fldCharType="separate"/>
      </w:r>
      <w:bookmarkStart w:id="6" w:name="_Toc511661003"/>
      <w:bookmarkStart w:id="7" w:name="_Toc512930366"/>
      <w:bookmarkStart w:id="8" w:name="_Toc512933217"/>
      <w:bookmarkStart w:id="9" w:name="_Toc512933696"/>
      <w:bookmarkStart w:id="10" w:name="_Toc512933784"/>
      <w:r w:rsidR="00CC2ABA">
        <w:rPr>
          <w:noProof/>
        </w:rPr>
        <w:t>2</w:t>
      </w:r>
      <w:r>
        <w:rPr>
          <w:noProof/>
        </w:rPr>
        <w:fldChar w:fldCharType="end"/>
      </w:r>
      <w:r w:rsidR="00345D6A">
        <w:tab/>
      </w:r>
      <w:r w:rsidR="00454444">
        <w:t>About</w:t>
      </w:r>
      <w:r w:rsidR="007D3648">
        <w:t xml:space="preserve"> the</w:t>
      </w:r>
      <w:r w:rsidR="00454444">
        <w:t xml:space="preserve"> </w:t>
      </w:r>
      <w:r w:rsidR="00345D6A">
        <w:t>veterans’ compensation</w:t>
      </w:r>
      <w:r w:rsidR="008D3FBC">
        <w:t xml:space="preserve"> and rehabilitation</w:t>
      </w:r>
      <w:r w:rsidR="00345D6A">
        <w:t xml:space="preserve"> system</w:t>
      </w:r>
      <w:bookmarkEnd w:id="6"/>
      <w:bookmarkEnd w:id="7"/>
      <w:bookmarkEnd w:id="8"/>
      <w:bookmarkEnd w:id="9"/>
      <w:bookmarkEnd w:id="10"/>
    </w:p>
    <w:p w:rsidR="00FB7496" w:rsidRDefault="00FB7496" w:rsidP="00265A33">
      <w:pPr>
        <w:pStyle w:val="Heading3"/>
        <w:spacing w:before="280"/>
      </w:pPr>
      <w:r>
        <w:t>The nature of military service</w:t>
      </w:r>
    </w:p>
    <w:p w:rsidR="0096046F" w:rsidRDefault="00FB7496" w:rsidP="0096046F">
      <w:pPr>
        <w:pStyle w:val="BodyText"/>
      </w:pPr>
      <w:r>
        <w:t>An implicit</w:t>
      </w:r>
      <w:r w:rsidDel="002A3631">
        <w:t xml:space="preserve"> </w:t>
      </w:r>
      <w:r>
        <w:t>principle underpinning veterans’ support is that military service is unlike</w:t>
      </w:r>
      <w:r w:rsidDel="00064722">
        <w:t xml:space="preserve"> </w:t>
      </w:r>
      <w:r>
        <w:t>other forms of employment. Military service</w:t>
      </w:r>
      <w:r w:rsidDel="00064722">
        <w:t xml:space="preserve"> </w:t>
      </w:r>
      <w:r>
        <w:t>involves</w:t>
      </w:r>
      <w:r w:rsidDel="007A36A7">
        <w:t xml:space="preserve"> </w:t>
      </w:r>
      <w:r>
        <w:t>a requirement to follow orders (even where personnel may have to apply violence or place their own lives or health in danger), frequent relocations (both for military personnel and their families) and long and irregular hours (box </w:t>
      </w:r>
      <w:r w:rsidR="0096046F">
        <w:t>1).</w:t>
      </w:r>
    </w:p>
    <w:p w:rsidR="0096046F" w:rsidRDefault="00FB7496" w:rsidP="00FB7496">
      <w:pPr>
        <w:pStyle w:val="BodyText"/>
      </w:pPr>
      <w:r>
        <w:t>Military personnel are frequently placed in high</w:t>
      </w:r>
      <w:r w:rsidR="00D027D4">
        <w:noBreakHyphen/>
      </w:r>
      <w:r>
        <w:t xml:space="preserve">risk environments. There are risks in war </w:t>
      </w:r>
      <w:r w:rsidDel="00CB6A3E">
        <w:t xml:space="preserve">or </w:t>
      </w:r>
      <w:r>
        <w:t>operational service and while in training or peacetime service. That said, the risks are likely to be higher (and less able to be managed by the defence force) while veterans are on war or warlike service.</w:t>
      </w:r>
      <w:r w:rsidR="0096046F">
        <w:t xml:space="preserve"> </w:t>
      </w:r>
    </w:p>
    <w:p w:rsidR="008929F8" w:rsidRDefault="008929F8" w:rsidP="008929F8">
      <w:pPr>
        <w:pStyle w:val="BodyText"/>
      </w:pPr>
      <w:r>
        <w:t xml:space="preserve">And the impacts from military workplace injuries and illnesses are significant. </w:t>
      </w:r>
    </w:p>
    <w:p w:rsidR="008929F8" w:rsidRDefault="008929F8" w:rsidP="008929F8">
      <w:pPr>
        <w:pStyle w:val="ListBullet"/>
      </w:pPr>
      <w:r>
        <w:t>Injuries incurred by defence personnel include crushed vertebrae and spinal injuries, brain injuries, gunshot wounds, falls causing back and shoulder issues, knee injuries, amputations, hearing loss, and back and lower limb injuries caused by requirements to carry heavy loads</w:t>
      </w:r>
      <w:r w:rsidDel="00356624">
        <w:t xml:space="preserve"> </w:t>
      </w:r>
      <w:r w:rsidRPr="00695B56">
        <w:rPr>
          <w:szCs w:val="24"/>
        </w:rPr>
        <w:t>(JSCFADT 2013)</w:t>
      </w:r>
      <w:r>
        <w:t>.</w:t>
      </w:r>
    </w:p>
    <w:p w:rsidR="008929F8" w:rsidRDefault="008929F8" w:rsidP="008929F8">
      <w:pPr>
        <w:pStyle w:val="ListBullet"/>
      </w:pPr>
      <w:r>
        <w:lastRenderedPageBreak/>
        <w:t>In 2016</w:t>
      </w:r>
      <w:r>
        <w:noBreakHyphen/>
        <w:t>17, over 14 000 military personnel were involved in incidents</w:t>
      </w:r>
      <w:r w:rsidDel="00CB6A3E">
        <w:t xml:space="preserve"> </w:t>
      </w:r>
      <w:r>
        <w:t>and, of these, about 700 were involved in dangerous incidents (potentially leading to serious injury or death)</w:t>
      </w:r>
      <w:r w:rsidR="00A47914">
        <w:t>.</w:t>
      </w:r>
      <w:r>
        <w:t xml:space="preserve"> (In 2016</w:t>
      </w:r>
      <w:r>
        <w:noBreakHyphen/>
        <w:t xml:space="preserve">17, there were about 58 000 permanent members of the Australian Defence Force (ADF), and about 22 000 reservists </w:t>
      </w:r>
      <w:r w:rsidRPr="0033612B">
        <w:rPr>
          <w:szCs w:val="24"/>
        </w:rPr>
        <w:t>(DoD 2017)</w:t>
      </w:r>
      <w:r>
        <w:t>.)</w:t>
      </w:r>
    </w:p>
    <w:p w:rsidR="00311582" w:rsidRDefault="0031158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11582" w:rsidTr="007A1F56">
        <w:trPr>
          <w:tblHeader/>
        </w:trPr>
        <w:tc>
          <w:tcPr>
            <w:tcW w:w="5000" w:type="pct"/>
            <w:tcBorders>
              <w:top w:val="single" w:sz="6" w:space="0" w:color="78A22F"/>
              <w:left w:val="nil"/>
              <w:bottom w:val="nil"/>
              <w:right w:val="nil"/>
            </w:tcBorders>
            <w:shd w:val="clear" w:color="auto" w:fill="F2F2F2"/>
          </w:tcPr>
          <w:p w:rsidR="00311582" w:rsidRDefault="00311582" w:rsidP="0096046F">
            <w:pPr>
              <w:pStyle w:val="BoxTitle"/>
              <w:tabs>
                <w:tab w:val="left" w:pos="2453"/>
              </w:tabs>
            </w:pPr>
            <w:r>
              <w:rPr>
                <w:b w:val="0"/>
              </w:rPr>
              <w:t xml:space="preserve">Box </w:t>
            </w:r>
            <w:r w:rsidR="0096046F">
              <w:rPr>
                <w:b w:val="0"/>
              </w:rPr>
              <w:t>1</w:t>
            </w:r>
            <w:r>
              <w:tab/>
            </w:r>
            <w:r w:rsidR="00406745">
              <w:t xml:space="preserve">Comments </w:t>
            </w:r>
            <w:r>
              <w:t xml:space="preserve">on the features of military service </w:t>
            </w:r>
          </w:p>
        </w:tc>
      </w:tr>
      <w:tr w:rsidR="00311582" w:rsidTr="007A1F56">
        <w:tc>
          <w:tcPr>
            <w:tcW w:w="5000" w:type="pct"/>
            <w:tcBorders>
              <w:top w:val="nil"/>
              <w:left w:val="nil"/>
              <w:bottom w:val="nil"/>
              <w:right w:val="nil"/>
            </w:tcBorders>
            <w:shd w:val="clear" w:color="auto" w:fill="F2F2F2"/>
          </w:tcPr>
          <w:p w:rsidR="00311582" w:rsidRDefault="00311582" w:rsidP="002F1334">
            <w:pPr>
              <w:pStyle w:val="Box"/>
            </w:pPr>
            <w:r>
              <w:t>Many organisations and past reviews have commented on the unique or special nature of military service. For example, the Joint Committee on Foreign Affairs</w:t>
            </w:r>
            <w:r w:rsidR="008E0848">
              <w:t>,</w:t>
            </w:r>
            <w:r w:rsidDel="008E0848">
              <w:t xml:space="preserve"> </w:t>
            </w:r>
            <w:r>
              <w:t>Defence</w:t>
            </w:r>
            <w:r w:rsidR="008E0848">
              <w:t xml:space="preserve"> and Trade</w:t>
            </w:r>
            <w:r>
              <w:t xml:space="preserve"> </w:t>
            </w:r>
            <w:r w:rsidR="007A36A7">
              <w:t>said</w:t>
            </w:r>
            <w:r>
              <w:t>:</w:t>
            </w:r>
          </w:p>
          <w:p w:rsidR="00311582" w:rsidRPr="00311582" w:rsidRDefault="00311582" w:rsidP="002F1334">
            <w:pPr>
              <w:pStyle w:val="BoxQuote"/>
            </w:pPr>
            <w:r w:rsidRPr="00311582">
              <w:t>Defence Force members are required to serve when, where and as required, often in the most hazardous circumstances. They must follow without question the directions of government, while at the same time demonstrating initiative and originality of thought in the execution of their duties. Hours can be long and irregular … Family moves are regular, sometimes seemingly random and frequently stressful.</w:t>
            </w:r>
            <w:r w:rsidR="00DE4D59">
              <w:t xml:space="preserve"> </w:t>
            </w:r>
            <w:r w:rsidR="00DE4D59" w:rsidRPr="00614AEE">
              <w:rPr>
                <w:rFonts w:cs="Arial"/>
                <w:szCs w:val="24"/>
              </w:rPr>
              <w:t>(JCFADT 1988, p. 5)</w:t>
            </w:r>
          </w:p>
          <w:p w:rsidR="00311582" w:rsidRDefault="00311582" w:rsidP="002F1334">
            <w:pPr>
              <w:pStyle w:val="Box"/>
            </w:pPr>
            <w:r>
              <w:t>Similarly Glenn</w:t>
            </w:r>
            <w:r w:rsidDel="00DE4D59">
              <w:t xml:space="preserve"> </w:t>
            </w:r>
            <w:r>
              <w:t>said:</w:t>
            </w:r>
          </w:p>
          <w:p w:rsidR="00311582" w:rsidRPr="00846412" w:rsidRDefault="00311582" w:rsidP="002F1334">
            <w:pPr>
              <w:pStyle w:val="BoxQuote"/>
            </w:pPr>
            <w:r w:rsidRPr="005E1E4D">
              <w:t>Those who join the Services make a professional commitment quite unlike any other. They undertake to maintain the security, values and standards of the nation against external threat. They train for the application of extreme violence in a controlled and humane fashion, whilst accepting the risk of serious injury or death in achievement of the mission</w:t>
            </w:r>
            <w:r>
              <w:t>.</w:t>
            </w:r>
            <w:r w:rsidR="00DE4D59">
              <w:t xml:space="preserve"> </w:t>
            </w:r>
            <w:r w:rsidR="00330605" w:rsidRPr="0098438E">
              <w:rPr>
                <w:rFonts w:cs="Arial"/>
                <w:szCs w:val="24"/>
              </w:rPr>
              <w:t>(1995, p. 61)</w:t>
            </w:r>
          </w:p>
          <w:p w:rsidR="00311582" w:rsidRDefault="00311582" w:rsidP="002F1334">
            <w:pPr>
              <w:pStyle w:val="Box"/>
            </w:pPr>
            <w:r>
              <w:t>And more recently, the Defence Force Welfare Association commented on the risks faced by military personnel.</w:t>
            </w:r>
          </w:p>
          <w:p w:rsidR="00311582" w:rsidRDefault="00311582" w:rsidP="00DE4D59">
            <w:pPr>
              <w:pStyle w:val="BoxQuote"/>
            </w:pPr>
            <w:r w:rsidRPr="006E4413">
              <w:t>… once the individual has entered military service, the relationship of obedience is established. This relationship necessarily requires the surrender of the individual’s inalienable right to liberty, and alienates his right to life and security of the person, by placing responsibility for their preservation in the hands of others. Not every person who renders military service encounters the enemy on the battlefield, but every person who enters military service must accept that he is expected to do so, if ordered, and is trained to do so.</w:t>
            </w:r>
            <w:r w:rsidDel="00DE4D59">
              <w:t xml:space="preserve"> </w:t>
            </w:r>
            <w:r w:rsidR="00DE4D59" w:rsidRPr="00614AEE">
              <w:rPr>
                <w:rFonts w:cs="Arial"/>
                <w:szCs w:val="24"/>
              </w:rPr>
              <w:t>(DFWA 2009, pp. 4–5)</w:t>
            </w:r>
          </w:p>
        </w:tc>
      </w:tr>
      <w:tr w:rsidR="00311582" w:rsidTr="007A1F56">
        <w:tc>
          <w:tcPr>
            <w:tcW w:w="5000" w:type="pct"/>
            <w:tcBorders>
              <w:top w:val="nil"/>
              <w:left w:val="nil"/>
              <w:bottom w:val="single" w:sz="6" w:space="0" w:color="78A22F"/>
              <w:right w:val="nil"/>
            </w:tcBorders>
            <w:shd w:val="clear" w:color="auto" w:fill="F2F2F2"/>
          </w:tcPr>
          <w:p w:rsidR="00311582" w:rsidRDefault="00311582">
            <w:pPr>
              <w:pStyle w:val="Box"/>
              <w:spacing w:before="0" w:line="120" w:lineRule="exact"/>
            </w:pPr>
          </w:p>
        </w:tc>
      </w:tr>
      <w:tr w:rsidR="00311582" w:rsidRPr="000863A5" w:rsidTr="007A1F56">
        <w:tc>
          <w:tcPr>
            <w:tcW w:w="5000" w:type="pct"/>
            <w:tcBorders>
              <w:top w:val="single" w:sz="6" w:space="0" w:color="78A22F"/>
              <w:left w:val="nil"/>
              <w:bottom w:val="nil"/>
              <w:right w:val="nil"/>
            </w:tcBorders>
          </w:tcPr>
          <w:p w:rsidR="00311582" w:rsidRPr="00626D32" w:rsidRDefault="00311582" w:rsidP="007A1F56">
            <w:pPr>
              <w:pStyle w:val="BoxSpaceBelow"/>
            </w:pPr>
          </w:p>
        </w:tc>
      </w:tr>
    </w:tbl>
    <w:p w:rsidR="006F1773" w:rsidRDefault="0096046F" w:rsidP="00311582">
      <w:pPr>
        <w:pStyle w:val="BodyText"/>
      </w:pPr>
      <w:r>
        <w:t>Some m</w:t>
      </w:r>
      <w:r w:rsidR="00124EE4">
        <w:t xml:space="preserve">embers of the </w:t>
      </w:r>
      <w:r w:rsidR="00D72B52">
        <w:t>ADF</w:t>
      </w:r>
      <w:r w:rsidR="00124EE4">
        <w:t xml:space="preserve"> can</w:t>
      </w:r>
      <w:r w:rsidR="004248E7">
        <w:t xml:space="preserve"> </w:t>
      </w:r>
      <w:r w:rsidR="00124EE4">
        <w:t>be exposed to trauma</w:t>
      </w:r>
      <w:r w:rsidR="00B51E14">
        <w:t>tic events</w:t>
      </w:r>
      <w:r w:rsidR="00124EE4">
        <w:t xml:space="preserve">, and </w:t>
      </w:r>
      <w:r w:rsidR="009C5F8C">
        <w:t xml:space="preserve">can find it difficult to come to terms with actions taken while on service </w:t>
      </w:r>
      <w:r w:rsidR="009C5F8C" w:rsidRPr="00892BC7">
        <w:rPr>
          <w:szCs w:val="24"/>
        </w:rPr>
        <w:t>(NMHC 2017)</w:t>
      </w:r>
      <w:r w:rsidR="009C5F8C">
        <w:t>. W</w:t>
      </w:r>
      <w:r w:rsidR="00B51E14">
        <w:t xml:space="preserve">hen </w:t>
      </w:r>
      <w:r w:rsidR="009C5F8C">
        <w:t xml:space="preserve">personnel </w:t>
      </w:r>
      <w:r w:rsidR="00124EE4">
        <w:t>separat</w:t>
      </w:r>
      <w:r w:rsidR="00B51E14">
        <w:t xml:space="preserve">e </w:t>
      </w:r>
      <w:r w:rsidR="00124EE4">
        <w:t xml:space="preserve">from the </w:t>
      </w:r>
      <w:r w:rsidR="00691C7C">
        <w:t>ADF</w:t>
      </w:r>
      <w:r w:rsidR="00124EE4">
        <w:t xml:space="preserve"> </w:t>
      </w:r>
      <w:r w:rsidR="009C5F8C">
        <w:t xml:space="preserve">they </w:t>
      </w:r>
      <w:r w:rsidR="00124EE4">
        <w:t xml:space="preserve">can </w:t>
      </w:r>
      <w:r w:rsidR="009C5F8C">
        <w:t xml:space="preserve">also experience </w:t>
      </w:r>
      <w:r w:rsidR="00124EE4">
        <w:t xml:space="preserve">a loss of identity and </w:t>
      </w:r>
      <w:r w:rsidR="009C5F8C">
        <w:t xml:space="preserve">separation from </w:t>
      </w:r>
      <w:r w:rsidR="00124EE4">
        <w:t xml:space="preserve">social </w:t>
      </w:r>
      <w:r w:rsidR="009C5F8C">
        <w:t>support</w:t>
      </w:r>
      <w:r w:rsidR="00F32F91">
        <w:t xml:space="preserve"> and they can find it difficult to integrate into civilian life (having to make choices previous</w:t>
      </w:r>
      <w:r w:rsidR="00320558">
        <w:t>ly</w:t>
      </w:r>
      <w:r w:rsidR="00F32F91">
        <w:t xml:space="preserve"> made for them by the ADF)</w:t>
      </w:r>
      <w:r w:rsidR="009C5F8C">
        <w:t xml:space="preserve">. </w:t>
      </w:r>
      <w:r w:rsidR="00124EE4">
        <w:t xml:space="preserve">These factors can </w:t>
      </w:r>
      <w:r w:rsidR="004340A3">
        <w:t xml:space="preserve">increase the risk of </w:t>
      </w:r>
      <w:r w:rsidR="00124EE4">
        <w:t xml:space="preserve">mental health </w:t>
      </w:r>
      <w:r w:rsidR="004340A3">
        <w:t>problems</w:t>
      </w:r>
      <w:r w:rsidR="00124EE4">
        <w:t>, including depression and post</w:t>
      </w:r>
      <w:r w:rsidR="00064722">
        <w:noBreakHyphen/>
      </w:r>
      <w:r w:rsidR="00124EE4">
        <w:t>traumatic stress disorder</w:t>
      </w:r>
      <w:r w:rsidR="00413762">
        <w:t xml:space="preserve"> (PTSD)</w:t>
      </w:r>
      <w:r w:rsidR="00124EE4">
        <w:t xml:space="preserve">. </w:t>
      </w:r>
      <w:r w:rsidR="00AE2236">
        <w:t>T</w:t>
      </w:r>
      <w:r w:rsidR="003127E1">
        <w:t xml:space="preserve">he families of members dealing with mental health </w:t>
      </w:r>
      <w:r w:rsidR="00F32F91">
        <w:t xml:space="preserve">problems </w:t>
      </w:r>
      <w:r w:rsidR="003127E1">
        <w:t xml:space="preserve">can also be affected. </w:t>
      </w:r>
    </w:p>
    <w:p w:rsidR="00570BAF" w:rsidRDefault="00570BAF" w:rsidP="00311582">
      <w:pPr>
        <w:pStyle w:val="BodyText"/>
      </w:pPr>
      <w:r>
        <w:t xml:space="preserve">The </w:t>
      </w:r>
      <w:r w:rsidRPr="008477AE">
        <w:t>Transition and Wellbeing Research Programme</w:t>
      </w:r>
      <w:r>
        <w:t xml:space="preserve">’s recent report on </w:t>
      </w:r>
      <w:r w:rsidRPr="00413762">
        <w:t>Mental Health Prevalence</w:t>
      </w:r>
      <w:r w:rsidR="001A3552">
        <w:t xml:space="preserve"> </w:t>
      </w:r>
      <w:r w:rsidR="001A3552" w:rsidRPr="001A3552">
        <w:rPr>
          <w:szCs w:val="24"/>
        </w:rPr>
        <w:t xml:space="preserve">(Van </w:t>
      </w:r>
      <w:proofErr w:type="spellStart"/>
      <w:r w:rsidR="001A3552" w:rsidRPr="001A3552">
        <w:rPr>
          <w:szCs w:val="24"/>
        </w:rPr>
        <w:t>Hooff</w:t>
      </w:r>
      <w:proofErr w:type="spellEnd"/>
      <w:r w:rsidR="001A3552" w:rsidRPr="001A3552">
        <w:rPr>
          <w:szCs w:val="24"/>
        </w:rPr>
        <w:t xml:space="preserve"> et al. 2018)</w:t>
      </w:r>
      <w:r>
        <w:t xml:space="preserve"> of </w:t>
      </w:r>
      <w:r w:rsidR="008D0B51">
        <w:t xml:space="preserve">transitioned </w:t>
      </w:r>
      <w:r>
        <w:t xml:space="preserve">ADF members </w:t>
      </w:r>
      <w:r w:rsidR="008D0B51">
        <w:t xml:space="preserve">(members </w:t>
      </w:r>
      <w:r>
        <w:t xml:space="preserve">who </w:t>
      </w:r>
      <w:r w:rsidR="00A47914">
        <w:t>left the ADF</w:t>
      </w:r>
      <w:r>
        <w:t xml:space="preserve"> </w:t>
      </w:r>
      <w:r w:rsidR="008D0B51">
        <w:t xml:space="preserve">between </w:t>
      </w:r>
      <w:r>
        <w:t>2010 and 2014</w:t>
      </w:r>
      <w:r w:rsidR="008D0B51">
        <w:t>)</w:t>
      </w:r>
      <w:r>
        <w:t xml:space="preserve"> found that </w:t>
      </w:r>
      <w:r w:rsidR="008D0B51">
        <w:t xml:space="preserve">around one third reported high to very high psychological distress. And around one quarter of transitioned ADF members were found to have met the criteria for PTSD in their lifetime. </w:t>
      </w:r>
    </w:p>
    <w:p w:rsidR="003776B0" w:rsidRDefault="00265027" w:rsidP="00BD323A">
      <w:pPr>
        <w:pStyle w:val="BodyText"/>
        <w:keepNext/>
      </w:pPr>
      <w:r>
        <w:lastRenderedPageBreak/>
        <w:t>Th</w:t>
      </w:r>
      <w:r w:rsidR="00C869EA">
        <w:t>e</w:t>
      </w:r>
      <w:r w:rsidR="00C71056">
        <w:t xml:space="preserve"> </w:t>
      </w:r>
      <w:r w:rsidR="00F54A9A">
        <w:t xml:space="preserve">unique features </w:t>
      </w:r>
      <w:r w:rsidR="00C71056">
        <w:t>of military service</w:t>
      </w:r>
      <w:r>
        <w:t xml:space="preserve"> ha</w:t>
      </w:r>
      <w:r w:rsidR="00A47914">
        <w:t>ve</w:t>
      </w:r>
      <w:r>
        <w:t xml:space="preserve"> led to a system separate from, and more generous</w:t>
      </w:r>
      <w:r w:rsidR="00265683">
        <w:t xml:space="preserve"> </w:t>
      </w:r>
      <w:r w:rsidR="00C71056">
        <w:t>overall</w:t>
      </w:r>
      <w:r>
        <w:t xml:space="preserve"> than, the system of workers</w:t>
      </w:r>
      <w:r w:rsidR="00A840A4">
        <w:t>’</w:t>
      </w:r>
      <w:r>
        <w:t xml:space="preserve"> compensation</w:t>
      </w:r>
      <w:r w:rsidR="00667736">
        <w:t xml:space="preserve"> and support</w:t>
      </w:r>
      <w:r>
        <w:t xml:space="preserve"> generally available to civilian workers</w:t>
      </w:r>
      <w:r w:rsidR="00FC6539">
        <w:t>, including</w:t>
      </w:r>
      <w:r w:rsidR="003776B0">
        <w:t>:</w:t>
      </w:r>
    </w:p>
    <w:p w:rsidR="003776B0" w:rsidRDefault="00FC6539" w:rsidP="003776B0">
      <w:pPr>
        <w:pStyle w:val="ListBullet"/>
      </w:pPr>
      <w:r>
        <w:t xml:space="preserve">easier access to support (through a lower burden of proof for accepting liability for a condition) </w:t>
      </w:r>
    </w:p>
    <w:p w:rsidR="00DB21DA" w:rsidRDefault="00FC6539" w:rsidP="003776B0">
      <w:pPr>
        <w:pStyle w:val="ListBullet"/>
      </w:pPr>
      <w:r>
        <w:t>a higher level of compensation than that available to other Australian Government employees.</w:t>
      </w:r>
    </w:p>
    <w:p w:rsidR="00015AAA" w:rsidRDefault="00AB6B54" w:rsidP="001E78D3">
      <w:pPr>
        <w:pStyle w:val="Heading3"/>
      </w:pPr>
      <w:r>
        <w:t>V</w:t>
      </w:r>
      <w:r w:rsidR="00015AAA">
        <w:t>eteran</w:t>
      </w:r>
      <w:r w:rsidR="00903E9B">
        <w:t>s’</w:t>
      </w:r>
      <w:r>
        <w:t xml:space="preserve"> support</w:t>
      </w:r>
    </w:p>
    <w:p w:rsidR="00015AAA" w:rsidRDefault="00015AAA" w:rsidP="00015AAA">
      <w:pPr>
        <w:pStyle w:val="BodyText"/>
      </w:pPr>
      <w:r w:rsidRPr="008D3FBC">
        <w:t>The system of veterans</w:t>
      </w:r>
      <w:r>
        <w:t>’</w:t>
      </w:r>
      <w:r w:rsidRPr="008D3FBC">
        <w:t xml:space="preserve"> </w:t>
      </w:r>
      <w:r>
        <w:t>support</w:t>
      </w:r>
      <w:r w:rsidRPr="008D3FBC">
        <w:t xml:space="preserve"> </w:t>
      </w:r>
      <w:r>
        <w:t>includes</w:t>
      </w:r>
      <w:r w:rsidRPr="008D3FBC">
        <w:t xml:space="preserve"> income support, compensation,</w:t>
      </w:r>
      <w:r>
        <w:t xml:space="preserve"> health care,</w:t>
      </w:r>
      <w:r w:rsidRPr="008D3FBC">
        <w:t xml:space="preserve"> rehabilitation and other services</w:t>
      </w:r>
      <w:r>
        <w:t>. Supports and services are</w:t>
      </w:r>
      <w:r w:rsidRPr="008D3FBC">
        <w:t xml:space="preserve"> available to </w:t>
      </w:r>
      <w:r>
        <w:t>people who suffer an injury or illness rendering military service, and to</w:t>
      </w:r>
      <w:r w:rsidR="00FC2722">
        <w:t xml:space="preserve"> dependants of those whose death is related to service</w:t>
      </w:r>
      <w:r>
        <w:t>.</w:t>
      </w:r>
      <w:r w:rsidR="006B78CD" w:rsidRPr="00495F2E">
        <w:rPr>
          <w:rStyle w:val="FootnoteReference"/>
        </w:rPr>
        <w:footnoteReference w:id="2"/>
      </w:r>
      <w:r>
        <w:t xml:space="preserve"> Some supports are also available to people who serve in the ADF and their families, irrespective of whether they incur an injury or illness. </w:t>
      </w:r>
    </w:p>
    <w:p w:rsidR="00015AAA" w:rsidRDefault="00015AAA" w:rsidP="002C4267">
      <w:pPr>
        <w:pStyle w:val="BodyText"/>
      </w:pPr>
      <w:r>
        <w:t>In 2016</w:t>
      </w:r>
      <w:r w:rsidR="00D027D4">
        <w:noBreakHyphen/>
      </w:r>
      <w:r>
        <w:t>17, DVA spent</w:t>
      </w:r>
      <w:r w:rsidR="007D6AF3">
        <w:t xml:space="preserve"> </w:t>
      </w:r>
      <w:r>
        <w:t>$12.1 billion on the veterans’ rehabilitation and compensation system</w:t>
      </w:r>
      <w:r w:rsidR="002C4267">
        <w:t>, including</w:t>
      </w:r>
      <w:r>
        <w:t xml:space="preserve"> $6.4 billion on compensation and support</w:t>
      </w:r>
      <w:r w:rsidR="002C4267">
        <w:t xml:space="preserve">, </w:t>
      </w:r>
      <w:r>
        <w:t>$5.3 billion on health and wellbeing</w:t>
      </w:r>
      <w:r w:rsidR="002C4267">
        <w:t xml:space="preserve">, </w:t>
      </w:r>
      <w:r>
        <w:t xml:space="preserve">$47.2 million on commemorations </w:t>
      </w:r>
      <w:r w:rsidR="002C4267">
        <w:t xml:space="preserve">and </w:t>
      </w:r>
      <w:r>
        <w:t xml:space="preserve">$383.4 million on enabling services such as workplace training, financial management and information technology </w:t>
      </w:r>
      <w:r w:rsidR="005B38B6" w:rsidRPr="005B38B6">
        <w:rPr>
          <w:szCs w:val="24"/>
        </w:rPr>
        <w:t>(DVA 2017a)</w:t>
      </w:r>
      <w:r>
        <w:t xml:space="preserve">. </w:t>
      </w:r>
    </w:p>
    <w:p w:rsidR="00015AAA" w:rsidRDefault="007D6AF3" w:rsidP="00015AAA">
      <w:pPr>
        <w:pStyle w:val="BodyText"/>
      </w:pPr>
      <w:r>
        <w:t>The legislative framework for veterans’ support includes three Acts</w:t>
      </w:r>
      <w:r w:rsidR="00015AAA">
        <w:t xml:space="preserve">. </w:t>
      </w:r>
    </w:p>
    <w:p w:rsidR="00015AAA" w:rsidRDefault="00015AAA" w:rsidP="00015AAA">
      <w:pPr>
        <w:pStyle w:val="ListBullet"/>
      </w:pPr>
      <w:r>
        <w:t xml:space="preserve">The </w:t>
      </w:r>
      <w:r w:rsidRPr="002F1334">
        <w:rPr>
          <w:i/>
        </w:rPr>
        <w:t>Veterans</w:t>
      </w:r>
      <w:r w:rsidR="000F5A59">
        <w:rPr>
          <w:i/>
        </w:rPr>
        <w:t>’</w:t>
      </w:r>
      <w:r w:rsidRPr="002F1334">
        <w:rPr>
          <w:i/>
        </w:rPr>
        <w:t xml:space="preserve"> Entitlements Act 1986</w:t>
      </w:r>
      <w:r>
        <w:t xml:space="preserve"> (</w:t>
      </w:r>
      <w:proofErr w:type="spellStart"/>
      <w:r>
        <w:t>Cwlth</w:t>
      </w:r>
      <w:proofErr w:type="spellEnd"/>
      <w:r>
        <w:t>) (</w:t>
      </w:r>
      <w:proofErr w:type="spellStart"/>
      <w:r>
        <w:t>VEA</w:t>
      </w:r>
      <w:proofErr w:type="spellEnd"/>
      <w:r>
        <w:t>).</w:t>
      </w:r>
    </w:p>
    <w:p w:rsidR="00015AAA" w:rsidRDefault="00015AAA" w:rsidP="00015AAA">
      <w:pPr>
        <w:pStyle w:val="ListBullet"/>
      </w:pPr>
      <w:r>
        <w:t xml:space="preserve">The </w:t>
      </w:r>
      <w:r w:rsidRPr="002F1334">
        <w:rPr>
          <w:i/>
        </w:rPr>
        <w:t>Safety, Rehabilitation and Compensation (Defence</w:t>
      </w:r>
      <w:r w:rsidR="00D027D4">
        <w:rPr>
          <w:i/>
        </w:rPr>
        <w:noBreakHyphen/>
      </w:r>
      <w:r w:rsidRPr="002F1334">
        <w:rPr>
          <w:i/>
        </w:rPr>
        <w:t>Related Claims) Act 1988</w:t>
      </w:r>
      <w:r>
        <w:t xml:space="preserve"> (</w:t>
      </w:r>
      <w:proofErr w:type="spellStart"/>
      <w:r>
        <w:t>Cwlth</w:t>
      </w:r>
      <w:proofErr w:type="spellEnd"/>
      <w:r>
        <w:t>) (</w:t>
      </w:r>
      <w:proofErr w:type="spellStart"/>
      <w:r>
        <w:t>DRCA</w:t>
      </w:r>
      <w:proofErr w:type="spellEnd"/>
      <w:r>
        <w:t>).</w:t>
      </w:r>
    </w:p>
    <w:p w:rsidR="001E78D3" w:rsidRDefault="001E78D3" w:rsidP="00015AAA">
      <w:pPr>
        <w:pStyle w:val="ListBullet"/>
      </w:pPr>
      <w:r>
        <w:t xml:space="preserve">The </w:t>
      </w:r>
      <w:r w:rsidRPr="001E78D3">
        <w:rPr>
          <w:i/>
        </w:rPr>
        <w:t>Military Rehabilitation and Compensation Act 2004</w:t>
      </w:r>
      <w:r>
        <w:t xml:space="preserve"> (</w:t>
      </w:r>
      <w:proofErr w:type="spellStart"/>
      <w:r>
        <w:t>Cwlth</w:t>
      </w:r>
      <w:proofErr w:type="spellEnd"/>
      <w:r>
        <w:t>) (</w:t>
      </w:r>
      <w:proofErr w:type="spellStart"/>
      <w:r>
        <w:t>MRCA</w:t>
      </w:r>
      <w:proofErr w:type="spellEnd"/>
      <w:r>
        <w:t>).</w:t>
      </w:r>
    </w:p>
    <w:p w:rsidR="00A47914" w:rsidRPr="007D6AF3" w:rsidRDefault="00A47914" w:rsidP="004520B9">
      <w:pPr>
        <w:pStyle w:val="BodyText"/>
      </w:pPr>
      <w:r w:rsidRPr="007D6AF3">
        <w:t>The Acts have different eligibility requirements and provide different levels of support to veterans (figure 1).</w:t>
      </w:r>
    </w:p>
    <w:p w:rsidR="008929F8" w:rsidRDefault="008929F8" w:rsidP="008929F8">
      <w:pPr>
        <w:pStyle w:val="Heading3"/>
      </w:pPr>
      <w:r>
        <w:t>Who are veterans?</w:t>
      </w:r>
    </w:p>
    <w:p w:rsidR="008929F8" w:rsidRDefault="008929F8" w:rsidP="008929F8">
      <w:pPr>
        <w:pStyle w:val="BodyText"/>
      </w:pPr>
      <w:r>
        <w:t>The terms of reference for this inquiry ask the Commission to examine the compensation and rehabilitation arrangements for both serving and ex</w:t>
      </w:r>
      <w:r>
        <w:noBreakHyphen/>
        <w:t>serving members of the ADF. DVA defines a veteran as anyone who has served at least one day in the ADF, including those with warlike, non</w:t>
      </w:r>
      <w:r>
        <w:noBreakHyphen/>
        <w:t>warlike or peacetime service.</w:t>
      </w:r>
    </w:p>
    <w:p w:rsidR="008929F8" w:rsidRDefault="008929F8" w:rsidP="008929F8">
      <w:pPr>
        <w:pStyle w:val="BodyText"/>
      </w:pPr>
      <w:r>
        <w:t xml:space="preserve">Box 2 provides some facts about Australian veterans and DVA clients. </w:t>
      </w:r>
    </w:p>
    <w:p w:rsidR="005465E8" w:rsidRDefault="005465E8" w:rsidP="005465E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677A" w:rsidTr="001E78D3">
        <w:trPr>
          <w:tblHeader/>
        </w:trPr>
        <w:tc>
          <w:tcPr>
            <w:tcW w:w="5000" w:type="pct"/>
            <w:tcBorders>
              <w:top w:val="single" w:sz="6" w:space="0" w:color="78A22F"/>
              <w:left w:val="nil"/>
              <w:bottom w:val="nil"/>
              <w:right w:val="nil"/>
            </w:tcBorders>
            <w:shd w:val="clear" w:color="auto" w:fill="auto"/>
          </w:tcPr>
          <w:p w:rsidR="0083677A" w:rsidRPr="00176D3F" w:rsidRDefault="0083677A" w:rsidP="001E78D3">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CC2ABA">
              <w:rPr>
                <w:b w:val="0"/>
                <w:noProof/>
              </w:rPr>
              <w:t>1</w:t>
            </w:r>
            <w:r w:rsidRPr="00784A05">
              <w:rPr>
                <w:b w:val="0"/>
              </w:rPr>
              <w:fldChar w:fldCharType="end"/>
            </w:r>
            <w:r>
              <w:tab/>
              <w:t>Veterans’ support</w:t>
            </w:r>
          </w:p>
        </w:tc>
      </w:tr>
      <w:tr w:rsidR="0083677A" w:rsidTr="001E78D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3677A" w:rsidRPr="00B1465D" w:rsidTr="001E78D3">
              <w:trPr>
                <w:tblHeader/>
                <w:jc w:val="center"/>
              </w:trPr>
              <w:tc>
                <w:tcPr>
                  <w:tcW w:w="5000" w:type="pct"/>
                  <w:tcBorders>
                    <w:top w:val="nil"/>
                    <w:bottom w:val="nil"/>
                  </w:tcBorders>
                </w:tcPr>
                <w:p w:rsidR="0083677A" w:rsidRPr="00B1465D" w:rsidRDefault="0075155E" w:rsidP="001E78D3">
                  <w:pPr>
                    <w:pStyle w:val="Figure"/>
                    <w:spacing w:before="60" w:after="60"/>
                    <w:rPr>
                      <w:rFonts w:ascii="Arial" w:hAnsi="Arial" w:cs="Arial"/>
                      <w:sz w:val="18"/>
                      <w:szCs w:val="18"/>
                    </w:rPr>
                  </w:pPr>
                  <w:r w:rsidRPr="0075155E">
                    <w:rPr>
                      <w:rFonts w:ascii="Arial" w:hAnsi="Arial" w:cs="Arial"/>
                      <w:noProof/>
                      <w:sz w:val="18"/>
                      <w:szCs w:val="18"/>
                    </w:rPr>
                    <w:drawing>
                      <wp:inline distT="0" distB="0" distL="0" distR="0" wp14:anchorId="4D246C83" wp14:editId="0963CAC4">
                        <wp:extent cx="5335325" cy="3808730"/>
                        <wp:effectExtent l="0" t="0" r="0" b="1270"/>
                        <wp:docPr id="2" name="Picture 2" descr="This chart sets out the system of veterans' support.&#10;&#10;There are three Acts - the VEA and DRCA apply to injuries prior to 30 June 2004, while the MRCA applies for injuries after 30 June 2004. There are about 92000 veterans with accepted claims under the VEA, 52000 under the DRCA, and 26000 under the MRCA.&#10;&#10;The VEA covers impairments relating to operational, peacekeeping and hazardous service, and covers some other defence service, particularly between 1972 and 1994. The DRCA covers impairments in non-operational service, and also post-1994 operational service. The MRCA covers impairments in all eligible service.&#10;&#10;The VEA provides disability pensions and war widows and orphans pensions, while the DRCA and MRCA provide permanent impairment payments, dependant benefits and incapacity payments. Health and rehabilitation services are available under all three acts.&#10;&#10;There are about 165000 veterans receiving support from DVA, and about 130000 dependa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754"/>
                                <a:stretch/>
                              </pic:blipFill>
                              <pic:spPr bwMode="auto">
                                <a:xfrm>
                                  <a:off x="0" y="0"/>
                                  <a:ext cx="5335325" cy="3808730"/>
                                </a:xfrm>
                                <a:prstGeom prst="rect">
                                  <a:avLst/>
                                </a:prstGeom>
                                <a:noFill/>
                                <a:ln>
                                  <a:noFill/>
                                </a:ln>
                                <a:extLst>
                                  <a:ext uri="{53640926-AAD7-44D8-BBD7-CCE9431645EC}">
                                    <a14:shadowObscured xmlns:a14="http://schemas.microsoft.com/office/drawing/2010/main"/>
                                  </a:ext>
                                </a:extLst>
                              </pic:spPr>
                            </pic:pic>
                          </a:graphicData>
                        </a:graphic>
                      </wp:inline>
                    </w:drawing>
                  </w:r>
                  <w:bookmarkStart w:id="11" w:name="_GoBack"/>
                  <w:bookmarkEnd w:id="11"/>
                </w:p>
              </w:tc>
            </w:tr>
            <w:tr w:rsidR="00DF55C1" w:rsidRPr="00B1465D" w:rsidTr="001E78D3">
              <w:trPr>
                <w:tblHeader/>
                <w:jc w:val="center"/>
              </w:trPr>
              <w:tc>
                <w:tcPr>
                  <w:tcW w:w="5000" w:type="pct"/>
                  <w:tcBorders>
                    <w:top w:val="nil"/>
                    <w:bottom w:val="nil"/>
                  </w:tcBorders>
                </w:tcPr>
                <w:p w:rsidR="00DF55C1" w:rsidRDefault="00DF55C1" w:rsidP="00DF55C1">
                  <w:pPr>
                    <w:pStyle w:val="Note"/>
                    <w:rPr>
                      <w:noProof/>
                    </w:rPr>
                  </w:pPr>
                  <w:proofErr w:type="spellStart"/>
                  <w:r w:rsidRPr="00DF55C1">
                    <w:rPr>
                      <w:rStyle w:val="NoteLabel"/>
                    </w:rPr>
                    <w:t>a</w:t>
                  </w:r>
                  <w:proofErr w:type="spellEnd"/>
                  <w:r>
                    <w:rPr>
                      <w:noProof/>
                    </w:rPr>
                    <w:t xml:space="preserve"> Also includes participants in the British Nuclear Tests</w:t>
                  </w:r>
                  <w:r w:rsidR="007D6AF3">
                    <w:rPr>
                      <w:noProof/>
                    </w:rPr>
                    <w:t xml:space="preserve"> conducted</w:t>
                  </w:r>
                  <w:r>
                    <w:rPr>
                      <w:noProof/>
                    </w:rPr>
                    <w:t xml:space="preserve"> between 1952 and 1965.</w:t>
                  </w:r>
                </w:p>
              </w:tc>
            </w:tr>
            <w:tr w:rsidR="00F46504" w:rsidRPr="00B1465D" w:rsidTr="001E78D3">
              <w:trPr>
                <w:tblHeader/>
                <w:jc w:val="center"/>
              </w:trPr>
              <w:tc>
                <w:tcPr>
                  <w:tcW w:w="5000" w:type="pct"/>
                  <w:tcBorders>
                    <w:top w:val="nil"/>
                    <w:bottom w:val="nil"/>
                  </w:tcBorders>
                </w:tcPr>
                <w:p w:rsidR="00F46504" w:rsidRPr="00F46504" w:rsidRDefault="00F46504" w:rsidP="00F46504">
                  <w:pPr>
                    <w:pStyle w:val="Source"/>
                    <w:rPr>
                      <w:rStyle w:val="NoteLabel"/>
                      <w:b w:val="0"/>
                      <w:position w:val="0"/>
                    </w:rPr>
                  </w:pPr>
                  <w:r w:rsidRPr="00F46504">
                    <w:rPr>
                      <w:rStyle w:val="NoteLabel"/>
                      <w:b w:val="0"/>
                      <w:i/>
                      <w:position w:val="0"/>
                    </w:rPr>
                    <w:t>Source</w:t>
                  </w:r>
                  <w:r w:rsidRPr="00F46504">
                    <w:rPr>
                      <w:rStyle w:val="NoteLabel"/>
                      <w:b w:val="0"/>
                      <w:position w:val="0"/>
                    </w:rPr>
                    <w:t>: DVA (2017</w:t>
                  </w:r>
                  <w:r w:rsidR="000E7E43">
                    <w:rPr>
                      <w:rStyle w:val="NoteLabel"/>
                      <w:b w:val="0"/>
                      <w:position w:val="0"/>
                    </w:rPr>
                    <w:t>a</w:t>
                  </w:r>
                  <w:r w:rsidRPr="00F46504">
                    <w:rPr>
                      <w:rStyle w:val="NoteLabel"/>
                      <w:b w:val="0"/>
                      <w:position w:val="0"/>
                    </w:rPr>
                    <w:t>)</w:t>
                  </w:r>
                  <w:r>
                    <w:rPr>
                      <w:rStyle w:val="NoteLabel"/>
                      <w:b w:val="0"/>
                      <w:position w:val="0"/>
                    </w:rPr>
                    <w:t>.</w:t>
                  </w:r>
                </w:p>
              </w:tc>
            </w:tr>
          </w:tbl>
          <w:p w:rsidR="0083677A" w:rsidRDefault="0083677A" w:rsidP="001E78D3">
            <w:pPr>
              <w:pStyle w:val="Figure"/>
            </w:pPr>
          </w:p>
        </w:tc>
      </w:tr>
      <w:tr w:rsidR="0083677A" w:rsidTr="001E78D3">
        <w:tc>
          <w:tcPr>
            <w:tcW w:w="5000" w:type="pct"/>
            <w:tcBorders>
              <w:top w:val="nil"/>
              <w:left w:val="nil"/>
              <w:bottom w:val="single" w:sz="6" w:space="0" w:color="78A22F"/>
              <w:right w:val="nil"/>
            </w:tcBorders>
            <w:shd w:val="clear" w:color="auto" w:fill="auto"/>
          </w:tcPr>
          <w:p w:rsidR="0083677A" w:rsidRDefault="0083677A" w:rsidP="001E78D3">
            <w:pPr>
              <w:pStyle w:val="Figurespace"/>
            </w:pPr>
          </w:p>
        </w:tc>
      </w:tr>
      <w:tr w:rsidR="0083677A" w:rsidRPr="000863A5" w:rsidTr="001E78D3">
        <w:tc>
          <w:tcPr>
            <w:tcW w:w="5000" w:type="pct"/>
            <w:tcBorders>
              <w:top w:val="single" w:sz="6" w:space="0" w:color="78A22F"/>
              <w:left w:val="nil"/>
              <w:bottom w:val="nil"/>
              <w:right w:val="nil"/>
            </w:tcBorders>
          </w:tcPr>
          <w:p w:rsidR="0083677A" w:rsidRPr="00626D32" w:rsidRDefault="0083677A" w:rsidP="001E78D3">
            <w:pPr>
              <w:pStyle w:val="BoxSpaceBelow"/>
            </w:pPr>
          </w:p>
        </w:tc>
      </w:tr>
    </w:tbl>
    <w:p w:rsidR="00BD323A" w:rsidRDefault="00BD323A" w:rsidP="00BD323A">
      <w:pPr>
        <w:pStyle w:val="Heading3"/>
      </w:pPr>
      <w:r>
        <w:t>Veterans’ rehabilitation and compensation in the broader context</w:t>
      </w:r>
    </w:p>
    <w:p w:rsidR="00BD323A" w:rsidRDefault="00BD323A" w:rsidP="00BD323A">
      <w:pPr>
        <w:pStyle w:val="BodyText"/>
      </w:pPr>
      <w:r>
        <w:t xml:space="preserve">The veterans’ support system needs to be considered in the context of reforms in other areas of service delivery aimed at improving outcomes for </w:t>
      </w:r>
      <w:r w:rsidR="0024624C">
        <w:t xml:space="preserve">service users </w:t>
      </w:r>
      <w:r>
        <w:t>and achieving better value for taxpayers’ money. In the human service</w:t>
      </w:r>
      <w:r w:rsidR="0024624C">
        <w:t>s</w:t>
      </w:r>
      <w:r>
        <w:t xml:space="preserve"> sector, there is a move towards providing funding directly to users and allowing them to exercise choice and control over the services</w:t>
      </w:r>
      <w:r w:rsidR="0024624C">
        <w:t xml:space="preserve"> they receive</w:t>
      </w:r>
      <w:r>
        <w:t>. Examples include the National Disability Insurance Scheme and consumer</w:t>
      </w:r>
      <w:r>
        <w:noBreakHyphen/>
        <w:t xml:space="preserve">directed aged care. This approach can give users greater control over their own lives, encourage innovation and efficiencies in service delivery, and focus the attention of providers on the needs of users of their services </w:t>
      </w:r>
      <w:r w:rsidRPr="00821A6F">
        <w:rPr>
          <w:szCs w:val="24"/>
        </w:rPr>
        <w:t>(PC 2017)</w:t>
      </w:r>
      <w:r>
        <w:t>.</w:t>
      </w:r>
    </w:p>
    <w:p w:rsidR="008929F8" w:rsidRDefault="008929F8" w:rsidP="008929F8">
      <w:pPr>
        <w:pStyle w:val="BodyText"/>
      </w:pPr>
      <w:r>
        <w:t xml:space="preserve">DVA is currently in the process of changing its service delivery model under the banner of ‘Veteran Centric Reform’. This includes, among other things, upgrading </w:t>
      </w:r>
      <w:r w:rsidR="00006E6F">
        <w:t xml:space="preserve">information technology </w:t>
      </w:r>
      <w:r>
        <w:t>systems to streamline access to veterans’ support</w:t>
      </w:r>
      <w:r w:rsidR="00006E6F">
        <w:t>,</w:t>
      </w:r>
      <w:r>
        <w:t xml:space="preserve"> and DVA becoming more proactive in assisting veterans by starting early interventions for high</w:t>
      </w:r>
      <w:r>
        <w:noBreakHyphen/>
        <w:t xml:space="preserve">risk veterans and using data to reach out to veterans who are most likely to need support </w:t>
      </w:r>
      <w:r w:rsidRPr="005B38B6">
        <w:rPr>
          <w:szCs w:val="24"/>
        </w:rPr>
        <w:t>(DVA 2017b)</w:t>
      </w:r>
      <w:r>
        <w:t xml:space="preserve">. </w:t>
      </w:r>
    </w:p>
    <w:p w:rsidR="005412CC" w:rsidRDefault="005412CC" w:rsidP="005412C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4425"/>
        <w:gridCol w:w="4364"/>
      </w:tblGrid>
      <w:tr w:rsidR="005412CC" w:rsidTr="0096046F">
        <w:trPr>
          <w:tblHeader/>
        </w:trPr>
        <w:tc>
          <w:tcPr>
            <w:tcW w:w="5000" w:type="pct"/>
            <w:gridSpan w:val="2"/>
            <w:tcBorders>
              <w:top w:val="single" w:sz="6" w:space="0" w:color="78A22F"/>
              <w:left w:val="nil"/>
              <w:bottom w:val="nil"/>
              <w:right w:val="nil"/>
            </w:tcBorders>
            <w:shd w:val="clear" w:color="auto" w:fill="F2F2F2"/>
          </w:tcPr>
          <w:p w:rsidR="005412CC" w:rsidRDefault="005412CC" w:rsidP="005412CC">
            <w:pPr>
              <w:pStyle w:val="BoxTitle"/>
            </w:pPr>
            <w:r>
              <w:rPr>
                <w:b w:val="0"/>
              </w:rPr>
              <w:t>Box 2</w:t>
            </w:r>
            <w:r>
              <w:tab/>
              <w:t>Some facts about Australian veterans and DVA clients</w:t>
            </w:r>
          </w:p>
        </w:tc>
      </w:tr>
      <w:tr w:rsidR="005412CC" w:rsidTr="0096046F">
        <w:tc>
          <w:tcPr>
            <w:tcW w:w="5000" w:type="pct"/>
            <w:gridSpan w:val="2"/>
            <w:tcBorders>
              <w:top w:val="nil"/>
              <w:left w:val="nil"/>
              <w:bottom w:val="nil"/>
              <w:right w:val="nil"/>
            </w:tcBorders>
            <w:shd w:val="clear" w:color="auto" w:fill="F2F2F2"/>
          </w:tcPr>
          <w:p w:rsidR="005412CC" w:rsidRDefault="005412CC" w:rsidP="0096046F">
            <w:pPr>
              <w:pStyle w:val="Box"/>
            </w:pPr>
            <w:r>
              <w:t>Little is known about Australia’s total veteran population. According to DVA, there were about 317 000 living veterans at the end of June 2017 and</w:t>
            </w:r>
            <w:r w:rsidR="0024624C">
              <w:t>,</w:t>
            </w:r>
            <w:r>
              <w:t xml:space="preserve"> of these</w:t>
            </w:r>
            <w:r w:rsidR="0024624C">
              <w:t>, about</w:t>
            </w:r>
            <w:r>
              <w:t>:</w:t>
            </w:r>
          </w:p>
          <w:p w:rsidR="005412CC" w:rsidRDefault="005412CC" w:rsidP="0096046F">
            <w:pPr>
              <w:pStyle w:val="BoxListBullet"/>
            </w:pPr>
            <w:r>
              <w:t>25 000 served in the Second World War</w:t>
            </w:r>
          </w:p>
          <w:p w:rsidR="005412CC" w:rsidRDefault="005412CC" w:rsidP="0096046F">
            <w:pPr>
              <w:pStyle w:val="BoxListBullet"/>
            </w:pPr>
            <w:r>
              <w:t>43 000 served in the Vietnam War</w:t>
            </w:r>
          </w:p>
          <w:p w:rsidR="005412CC" w:rsidRDefault="005412CC" w:rsidP="0096046F">
            <w:pPr>
              <w:pStyle w:val="BoxListBullet"/>
            </w:pPr>
            <w:r>
              <w:t>58 000 served in post</w:t>
            </w:r>
            <w:r w:rsidR="00D027D4">
              <w:noBreakHyphen/>
            </w:r>
            <w:r>
              <w:t>1999 conflicts</w:t>
            </w:r>
          </w:p>
          <w:p w:rsidR="005412CC" w:rsidRDefault="005412CC" w:rsidP="0096046F">
            <w:pPr>
              <w:pStyle w:val="BoxListBullet"/>
            </w:pPr>
            <w:r>
              <w:t xml:space="preserve">147 000 have peacetime service between 1972 and 1994 </w:t>
            </w:r>
            <w:r w:rsidR="005B38B6" w:rsidRPr="00470620">
              <w:rPr>
                <w:rFonts w:cs="Arial"/>
                <w:szCs w:val="24"/>
              </w:rPr>
              <w:t>(DVA 2017a)</w:t>
            </w:r>
            <w:r>
              <w:t>.</w:t>
            </w:r>
          </w:p>
          <w:p w:rsidR="005412CC" w:rsidRDefault="005412CC" w:rsidP="0096046F">
            <w:pPr>
              <w:pStyle w:val="Box"/>
            </w:pPr>
            <w:r>
              <w:t xml:space="preserve">However, </w:t>
            </w:r>
            <w:r w:rsidR="000E1F8D">
              <w:t>DVA’s</w:t>
            </w:r>
            <w:r w:rsidR="00731A9A">
              <w:t xml:space="preserve"> </w:t>
            </w:r>
            <w:r>
              <w:t>estimate does not include all veterans with peacetime service</w:t>
            </w:r>
            <w:r w:rsidR="00602E8E" w:rsidRPr="00602E8E">
              <w:rPr>
                <w:rStyle w:val="NoteLabel"/>
              </w:rPr>
              <w:t>a</w:t>
            </w:r>
            <w:r>
              <w:t xml:space="preserve">. The RSL </w:t>
            </w:r>
            <w:r w:rsidRPr="00114FD6">
              <w:rPr>
                <w:rFonts w:cs="Arial"/>
              </w:rPr>
              <w:t>(2016)</w:t>
            </w:r>
            <w:r>
              <w:t xml:space="preserve"> said its best estimate is that there </w:t>
            </w:r>
            <w:r w:rsidR="0024624C">
              <w:t>are</w:t>
            </w:r>
            <w:r>
              <w:t xml:space="preserve"> between 300 000 and 500 000 living veterans in Australia.</w:t>
            </w:r>
          </w:p>
          <w:p w:rsidR="005412CC" w:rsidRDefault="005412CC" w:rsidP="0024624C">
            <w:pPr>
              <w:pStyle w:val="Box"/>
            </w:pPr>
            <w:r>
              <w:t>The below figures highlight some of the characteristics of DVA’s clients</w:t>
            </w:r>
            <w:r w:rsidR="008B0098">
              <w:t xml:space="preserve"> </w:t>
            </w:r>
            <w:r w:rsidR="001C11C3">
              <w:t>(</w:t>
            </w:r>
            <w:r w:rsidR="008B0098">
              <w:t>as at December 2017</w:t>
            </w:r>
            <w:r w:rsidR="001C11C3">
              <w:t>)</w:t>
            </w:r>
            <w:r w:rsidR="0024624C">
              <w:t xml:space="preserve"> — DVA has</w:t>
            </w:r>
            <w:r>
              <w:t xml:space="preserve"> about 165 000 veterans and 130 000 dependants</w:t>
            </w:r>
            <w:r w:rsidR="0024624C">
              <w:t xml:space="preserve"> as clients</w:t>
            </w:r>
            <w:r>
              <w:t xml:space="preserve">. </w:t>
            </w:r>
          </w:p>
        </w:tc>
      </w:tr>
      <w:tr w:rsidR="005412CC" w:rsidTr="00BD323A">
        <w:tblPrEx>
          <w:tblCellMar>
            <w:left w:w="108" w:type="dxa"/>
            <w:right w:w="108" w:type="dxa"/>
          </w:tblCellMar>
        </w:tblPrEx>
        <w:tc>
          <w:tcPr>
            <w:tcW w:w="2615" w:type="pct"/>
            <w:tcBorders>
              <w:top w:val="nil"/>
              <w:left w:val="nil"/>
              <w:bottom w:val="nil"/>
              <w:right w:val="nil"/>
            </w:tcBorders>
            <w:shd w:val="clear" w:color="auto" w:fill="F2F2F2"/>
          </w:tcPr>
          <w:p w:rsidR="005412CC" w:rsidRDefault="00B80A38" w:rsidP="00D3411D">
            <w:pPr>
              <w:pStyle w:val="Box"/>
              <w:spacing w:before="80"/>
            </w:pPr>
            <w:r w:rsidRPr="00B80A38">
              <w:rPr>
                <w:noProof/>
              </w:rPr>
              <w:drawing>
                <wp:inline distT="0" distB="0" distL="0" distR="0" wp14:anchorId="43058EA6" wp14:editId="473E4B0C">
                  <wp:extent cx="2653665" cy="3051175"/>
                  <wp:effectExtent l="0" t="0" r="0" b="0"/>
                  <wp:docPr id="12" name="Picture 12" descr="This chart sets out the age of DVA clients. Close to 100 000 clients are over 80, with the majority of these being dependants. Close to 60000 are aged between 70-79, and a further 60000 are between 60 and 69. About 25000 clients are between 50-59 and about 20000 are between 40-49. About 15000 are between 30-39 and under 10000 clients are under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3665" cy="3051175"/>
                          </a:xfrm>
                          <a:prstGeom prst="rect">
                            <a:avLst/>
                          </a:prstGeom>
                          <a:noFill/>
                          <a:ln>
                            <a:noFill/>
                          </a:ln>
                        </pic:spPr>
                      </pic:pic>
                    </a:graphicData>
                  </a:graphic>
                </wp:inline>
              </w:drawing>
            </w:r>
          </w:p>
        </w:tc>
        <w:tc>
          <w:tcPr>
            <w:tcW w:w="2385" w:type="pct"/>
            <w:tcBorders>
              <w:top w:val="nil"/>
              <w:left w:val="nil"/>
              <w:bottom w:val="nil"/>
              <w:right w:val="nil"/>
            </w:tcBorders>
            <w:shd w:val="clear" w:color="auto" w:fill="F2F2F2"/>
          </w:tcPr>
          <w:p w:rsidR="005412CC" w:rsidRDefault="00E25837" w:rsidP="00D3411D">
            <w:pPr>
              <w:pStyle w:val="Box"/>
              <w:spacing w:before="80"/>
            </w:pPr>
            <w:r w:rsidRPr="00E25837">
              <w:rPr>
                <w:noProof/>
              </w:rPr>
              <w:drawing>
                <wp:inline distT="0" distB="0" distL="0" distR="0" wp14:anchorId="3BD1F5E8" wp14:editId="00D3AA5D">
                  <wp:extent cx="2633980" cy="3051175"/>
                  <wp:effectExtent l="0" t="0" r="0" b="0"/>
                  <wp:docPr id="13" name="Picture 13" descr="This chart sets out the location of DVA clients. The most clients - about 80000 each are in NSW and Queensland. About 50000 clients are in Victoria. South Australia and Western Australia have between 20000 and 30000 clients each, while there are less than 10000 clients in each of Tasmania, the ACT and the 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3980" cy="3051175"/>
                          </a:xfrm>
                          <a:prstGeom prst="rect">
                            <a:avLst/>
                          </a:prstGeom>
                          <a:noFill/>
                          <a:ln>
                            <a:noFill/>
                          </a:ln>
                        </pic:spPr>
                      </pic:pic>
                    </a:graphicData>
                  </a:graphic>
                </wp:inline>
              </w:drawing>
            </w:r>
          </w:p>
        </w:tc>
      </w:tr>
      <w:tr w:rsidR="00602E8E" w:rsidTr="0096046F">
        <w:tc>
          <w:tcPr>
            <w:tcW w:w="5000" w:type="pct"/>
            <w:gridSpan w:val="2"/>
            <w:tcBorders>
              <w:top w:val="nil"/>
              <w:left w:val="nil"/>
              <w:bottom w:val="nil"/>
              <w:right w:val="nil"/>
            </w:tcBorders>
            <w:shd w:val="clear" w:color="auto" w:fill="F2F2F2"/>
          </w:tcPr>
          <w:p w:rsidR="00602E8E" w:rsidRPr="009B31BD" w:rsidRDefault="00602E8E" w:rsidP="00602E8E">
            <w:pPr>
              <w:pStyle w:val="Note"/>
            </w:pPr>
            <w:r w:rsidRPr="00602E8E">
              <w:rPr>
                <w:rStyle w:val="NoteLabel"/>
              </w:rPr>
              <w:t>a</w:t>
            </w:r>
            <w:r>
              <w:t xml:space="preserve"> </w:t>
            </w:r>
            <w:r w:rsidRPr="00602E8E">
              <w:t>The estimates do not include veterans with post</w:t>
            </w:r>
            <w:r w:rsidR="00680587">
              <w:noBreakHyphen/>
            </w:r>
            <w:r w:rsidRPr="00602E8E">
              <w:t>1994 service who have not seen operational service. Therefore it is not a complete estimate of living veterans.</w:t>
            </w:r>
          </w:p>
        </w:tc>
      </w:tr>
      <w:tr w:rsidR="005412CC" w:rsidTr="0096046F">
        <w:tc>
          <w:tcPr>
            <w:tcW w:w="5000" w:type="pct"/>
            <w:gridSpan w:val="2"/>
            <w:tcBorders>
              <w:top w:val="nil"/>
              <w:left w:val="nil"/>
              <w:bottom w:val="nil"/>
              <w:right w:val="nil"/>
            </w:tcBorders>
            <w:shd w:val="clear" w:color="auto" w:fill="F2F2F2"/>
          </w:tcPr>
          <w:p w:rsidR="005412CC" w:rsidRDefault="005412CC" w:rsidP="0096046F">
            <w:pPr>
              <w:pStyle w:val="BoxSource"/>
            </w:pPr>
            <w:r w:rsidRPr="009B31BD">
              <w:rPr>
                <w:i/>
              </w:rPr>
              <w:t>Source</w:t>
            </w:r>
            <w:r>
              <w:t>: Productivity Commission analysis based on unpublished DVA data.</w:t>
            </w:r>
          </w:p>
        </w:tc>
      </w:tr>
      <w:tr w:rsidR="005412CC" w:rsidTr="0096046F">
        <w:tc>
          <w:tcPr>
            <w:tcW w:w="5000" w:type="pct"/>
            <w:gridSpan w:val="2"/>
            <w:tcBorders>
              <w:top w:val="nil"/>
              <w:left w:val="nil"/>
              <w:bottom w:val="single" w:sz="6" w:space="0" w:color="78A22F"/>
              <w:right w:val="nil"/>
            </w:tcBorders>
            <w:shd w:val="clear" w:color="auto" w:fill="F2F2F2"/>
          </w:tcPr>
          <w:p w:rsidR="005412CC" w:rsidRDefault="005412CC" w:rsidP="0096046F">
            <w:pPr>
              <w:pStyle w:val="Box"/>
              <w:spacing w:before="0" w:line="120" w:lineRule="exact"/>
            </w:pPr>
          </w:p>
        </w:tc>
      </w:tr>
      <w:tr w:rsidR="005412CC" w:rsidRPr="000863A5" w:rsidTr="0096046F">
        <w:tc>
          <w:tcPr>
            <w:tcW w:w="5000" w:type="pct"/>
            <w:gridSpan w:val="2"/>
            <w:tcBorders>
              <w:top w:val="single" w:sz="6" w:space="0" w:color="78A22F"/>
              <w:left w:val="nil"/>
              <w:bottom w:val="nil"/>
              <w:right w:val="nil"/>
            </w:tcBorders>
          </w:tcPr>
          <w:p w:rsidR="005412CC" w:rsidRPr="00626D32" w:rsidRDefault="005412CC" w:rsidP="0096046F">
            <w:pPr>
              <w:pStyle w:val="BoxSpaceBelow"/>
            </w:pPr>
          </w:p>
        </w:tc>
      </w:tr>
    </w:tbl>
    <w:p w:rsidR="00BD323A" w:rsidRDefault="00BD323A" w:rsidP="00BD323A">
      <w:pPr>
        <w:pStyle w:val="BodyText"/>
      </w:pPr>
      <w:r>
        <w:t>DVA clients cover a range of ages and</w:t>
      </w:r>
      <w:r w:rsidR="00006E6F">
        <w:t xml:space="preserve"> service</w:t>
      </w:r>
      <w:r>
        <w:t xml:space="preserve"> experience (box 2). And the profile of veterans has changed with increased military activity since 1999. As DVA said:</w:t>
      </w:r>
    </w:p>
    <w:p w:rsidR="00BD323A" w:rsidRDefault="00BD323A" w:rsidP="00BD323A">
      <w:pPr>
        <w:pStyle w:val="Quote"/>
        <w:rPr>
          <w:szCs w:val="24"/>
        </w:rPr>
      </w:pPr>
      <w:r>
        <w:t>As the environment in which the ADF operates continues to change, so too do the needs of current and future veteran cohorts and their families and carers … The veteran and ex</w:t>
      </w:r>
      <w:r>
        <w:noBreakHyphen/>
        <w:t xml:space="preserve">service community is diverse, with different perspectives and service delivery expectations. DVA clients span all generations and life stages, from veterans and war widows aged over one hundred years to children as young as one year. </w:t>
      </w:r>
      <w:r w:rsidRPr="00470620">
        <w:rPr>
          <w:szCs w:val="24"/>
        </w:rPr>
        <w:t>(2015, p. 10)</w:t>
      </w:r>
    </w:p>
    <w:p w:rsidR="00E25837" w:rsidRDefault="00E25837">
      <w:pPr>
        <w:rPr>
          <w:sz w:val="24"/>
          <w:lang w:eastAsia="en-AU"/>
        </w:rPr>
      </w:pPr>
      <w:r>
        <w:br w:type="page"/>
      </w:r>
    </w:p>
    <w:p w:rsidR="00BD323A" w:rsidRDefault="00BD323A" w:rsidP="00BD323A">
      <w:pPr>
        <w:pStyle w:val="BodyText"/>
        <w:keepNext/>
      </w:pPr>
      <w:r>
        <w:lastRenderedPageBreak/>
        <w:t>Contemporary veterans are more likely (than older veterans) to:</w:t>
      </w:r>
    </w:p>
    <w:p w:rsidR="00BD323A" w:rsidRDefault="00BD323A" w:rsidP="00BD323A">
      <w:pPr>
        <w:pStyle w:val="ListBullet"/>
      </w:pPr>
      <w:r>
        <w:t>be women (often with dependent children)</w:t>
      </w:r>
    </w:p>
    <w:p w:rsidR="00BD323A" w:rsidRDefault="00BD323A" w:rsidP="00BD323A">
      <w:pPr>
        <w:pStyle w:val="ListBullet"/>
      </w:pPr>
      <w:r>
        <w:t>have been on multiple deployments</w:t>
      </w:r>
    </w:p>
    <w:p w:rsidR="00BD323A" w:rsidRDefault="00BD323A" w:rsidP="00BD323A">
      <w:pPr>
        <w:pStyle w:val="ListBullet"/>
      </w:pPr>
      <w:r>
        <w:t xml:space="preserve">rely on online sources of information </w:t>
      </w:r>
    </w:p>
    <w:p w:rsidR="00BD323A" w:rsidRDefault="00BD323A" w:rsidP="00BD323A">
      <w:pPr>
        <w:pStyle w:val="ListBullet"/>
      </w:pPr>
      <w:r>
        <w:t xml:space="preserve">need to prepare for a working life after service — the median length of time in the military was seven years in 2015 for members in the </w:t>
      </w:r>
      <w:r w:rsidR="00006E6F">
        <w:t>N</w:t>
      </w:r>
      <w:r>
        <w:t xml:space="preserve">avy and </w:t>
      </w:r>
      <w:r w:rsidR="00006E6F">
        <w:t>A</w:t>
      </w:r>
      <w:r>
        <w:t xml:space="preserve">rmy, and ten years for members of the </w:t>
      </w:r>
      <w:r w:rsidR="00006E6F">
        <w:t>A</w:t>
      </w:r>
      <w:r>
        <w:t xml:space="preserve">ir </w:t>
      </w:r>
      <w:r w:rsidR="00006E6F">
        <w:t>F</w:t>
      </w:r>
      <w:r>
        <w:t xml:space="preserve">orce </w:t>
      </w:r>
      <w:r w:rsidRPr="008466E7">
        <w:rPr>
          <w:szCs w:val="24"/>
        </w:rPr>
        <w:t xml:space="preserve">(DoD 2016; DVA 2015; Gill, Bain and </w:t>
      </w:r>
      <w:proofErr w:type="spellStart"/>
      <w:r w:rsidRPr="008466E7">
        <w:rPr>
          <w:szCs w:val="24"/>
        </w:rPr>
        <w:t>Seidl</w:t>
      </w:r>
      <w:proofErr w:type="spellEnd"/>
      <w:r w:rsidRPr="008466E7">
        <w:rPr>
          <w:szCs w:val="24"/>
        </w:rPr>
        <w:t> 2016)</w:t>
      </w:r>
      <w:r>
        <w:t xml:space="preserve">. </w:t>
      </w:r>
    </w:p>
    <w:p w:rsidR="00DB3390" w:rsidRDefault="00F808E8" w:rsidP="00032EB2">
      <w:pPr>
        <w:pStyle w:val="BodyText"/>
      </w:pPr>
      <w:r>
        <w:t>Th</w:t>
      </w:r>
      <w:r w:rsidR="004F1789">
        <w:t xml:space="preserve">is </w:t>
      </w:r>
      <w:r>
        <w:t xml:space="preserve">inquiry </w:t>
      </w:r>
      <w:r w:rsidR="004F1789">
        <w:t xml:space="preserve">will look at </w:t>
      </w:r>
      <w:r>
        <w:t>whether th</w:t>
      </w:r>
      <w:r w:rsidR="004F1789">
        <w:t xml:space="preserve">e </w:t>
      </w:r>
      <w:r>
        <w:t xml:space="preserve">system </w:t>
      </w:r>
      <w:r w:rsidR="004F1789">
        <w:t xml:space="preserve">is </w:t>
      </w:r>
      <w:r>
        <w:t xml:space="preserve">fit for purpose, </w:t>
      </w:r>
      <w:r w:rsidR="004F1789">
        <w:t xml:space="preserve">taking into account recent reforms </w:t>
      </w:r>
      <w:r>
        <w:t xml:space="preserve">in other service </w:t>
      </w:r>
      <w:r w:rsidR="004F1789">
        <w:t>areas</w:t>
      </w:r>
      <w:r w:rsidR="00786E27">
        <w:t xml:space="preserve"> and the changing needs of veterans</w:t>
      </w:r>
      <w:r w:rsidR="00203D7F">
        <w:t xml:space="preserve"> and their families</w:t>
      </w:r>
      <w:r w:rsidR="00470620">
        <w:t>.</w:t>
      </w:r>
      <w:r w:rsidR="00203D7F">
        <w:t xml:space="preserve"> </w:t>
      </w:r>
    </w:p>
    <w:p w:rsidR="00345D6A" w:rsidRDefault="0075155E" w:rsidP="009D286C">
      <w:pPr>
        <w:pStyle w:val="Heading2"/>
      </w:pPr>
      <w:r>
        <w:fldChar w:fldCharType="begin"/>
      </w:r>
      <w:r>
        <w:instrText xml:space="preserve"> SEQ Heading2 </w:instrText>
      </w:r>
      <w:r>
        <w:fldChar w:fldCharType="separate"/>
      </w:r>
      <w:bookmarkStart w:id="12" w:name="_Toc511661004"/>
      <w:bookmarkStart w:id="13" w:name="_Toc512930367"/>
      <w:bookmarkStart w:id="14" w:name="_Toc512933218"/>
      <w:bookmarkStart w:id="15" w:name="_Toc512933697"/>
      <w:bookmarkStart w:id="16" w:name="_Toc512933785"/>
      <w:r w:rsidR="00CC2ABA">
        <w:rPr>
          <w:noProof/>
        </w:rPr>
        <w:t>3</w:t>
      </w:r>
      <w:r>
        <w:rPr>
          <w:noProof/>
        </w:rPr>
        <w:fldChar w:fldCharType="end"/>
      </w:r>
      <w:r w:rsidR="009D286C">
        <w:tab/>
      </w:r>
      <w:r w:rsidR="00F145DB">
        <w:t xml:space="preserve">The </w:t>
      </w:r>
      <w:r w:rsidR="009D286C">
        <w:t>Commission</w:t>
      </w:r>
      <w:r w:rsidR="00F145DB">
        <w:t>’s task and approach</w:t>
      </w:r>
      <w:bookmarkEnd w:id="12"/>
      <w:bookmarkEnd w:id="13"/>
      <w:bookmarkEnd w:id="14"/>
      <w:bookmarkEnd w:id="15"/>
      <w:bookmarkEnd w:id="16"/>
    </w:p>
    <w:p w:rsidR="00502F41" w:rsidRDefault="00502F41" w:rsidP="00614AEE">
      <w:pPr>
        <w:pStyle w:val="Heading3"/>
        <w:spacing w:before="280"/>
      </w:pPr>
      <w:r>
        <w:t>What has the Commission be</w:t>
      </w:r>
      <w:r w:rsidR="0090183E">
        <w:t>en</w:t>
      </w:r>
      <w:r>
        <w:t xml:space="preserve"> asked to do?</w:t>
      </w:r>
    </w:p>
    <w:p w:rsidR="00FD63EA" w:rsidRDefault="00A94CF9" w:rsidP="00FD63EA">
      <w:pPr>
        <w:pStyle w:val="BodyText"/>
      </w:pPr>
      <w:r>
        <w:t>T</w:t>
      </w:r>
      <w:r w:rsidR="009D286C">
        <w:t>he Commission</w:t>
      </w:r>
      <w:r w:rsidR="002435E7">
        <w:t xml:space="preserve"> </w:t>
      </w:r>
      <w:r>
        <w:t>has been asked</w:t>
      </w:r>
      <w:r w:rsidR="002435E7">
        <w:t xml:space="preserve"> to</w:t>
      </w:r>
      <w:r w:rsidR="009D286C">
        <w:t xml:space="preserve"> undertake a comprehensive examination of how the current compensation and rehabilitation s</w:t>
      </w:r>
      <w:r w:rsidR="00F456D6">
        <w:t>ystem for veterans operates,</w:t>
      </w:r>
      <w:r w:rsidR="009D286C">
        <w:t xml:space="preserve"> how it should operate into the future</w:t>
      </w:r>
      <w:r w:rsidR="00F456D6">
        <w:t>, and whether it is ‘fit for purpose’</w:t>
      </w:r>
      <w:r w:rsidR="009D286C">
        <w:t>. In undertaking this task, the Commission is to</w:t>
      </w:r>
      <w:r w:rsidR="00FD63EA">
        <w:t>:</w:t>
      </w:r>
    </w:p>
    <w:p w:rsidR="00FD63EA" w:rsidRDefault="00FD63EA" w:rsidP="002D49DA">
      <w:pPr>
        <w:pStyle w:val="ListBullet"/>
      </w:pPr>
      <w:r>
        <w:t xml:space="preserve">review </w:t>
      </w:r>
      <w:r w:rsidR="00F456D6">
        <w:t>the efficiency and effectiveness of the legislative framework</w:t>
      </w:r>
      <w:r w:rsidR="000B108A">
        <w:t>,</w:t>
      </w:r>
      <w:r>
        <w:t xml:space="preserve"> and </w:t>
      </w:r>
      <w:r w:rsidR="00F456D6">
        <w:t>the effectiveness of governance and service delivery arrangements</w:t>
      </w:r>
    </w:p>
    <w:p w:rsidR="00924017" w:rsidRDefault="00FD63EA" w:rsidP="002D49DA">
      <w:pPr>
        <w:pStyle w:val="ListBullet"/>
      </w:pPr>
      <w:r>
        <w:t>take into account the current environment and challenges faced by veteran</w:t>
      </w:r>
      <w:r w:rsidR="008957A0">
        <w:t>s</w:t>
      </w:r>
      <w:r w:rsidR="00924017">
        <w:t>, including considering:</w:t>
      </w:r>
    </w:p>
    <w:p w:rsidR="00924017" w:rsidRDefault="00F456D6" w:rsidP="002D49DA">
      <w:pPr>
        <w:pStyle w:val="ListBullet2"/>
      </w:pPr>
      <w:r>
        <w:t xml:space="preserve">whether the arrangements reflect best practice, drawing on </w:t>
      </w:r>
      <w:r w:rsidR="00924017">
        <w:t xml:space="preserve">workers’ compensation arrangements and military compensation </w:t>
      </w:r>
      <w:r w:rsidR="008957A0">
        <w:t xml:space="preserve">schemes </w:t>
      </w:r>
      <w:r>
        <w:t xml:space="preserve">in Australia and </w:t>
      </w:r>
      <w:r w:rsidR="00924017">
        <w:t>internationally</w:t>
      </w:r>
    </w:p>
    <w:p w:rsidR="00924017" w:rsidRDefault="00924017" w:rsidP="002D49DA">
      <w:pPr>
        <w:pStyle w:val="ListBullet2"/>
      </w:pPr>
      <w:r>
        <w:t>the use of Statements of Principles</w:t>
      </w:r>
      <w:r w:rsidR="00AD5CC3">
        <w:t xml:space="preserve"> </w:t>
      </w:r>
      <w:r w:rsidR="009160FA">
        <w:t>(</w:t>
      </w:r>
      <w:proofErr w:type="spellStart"/>
      <w:r w:rsidR="009160FA">
        <w:t>SoPs</w:t>
      </w:r>
      <w:proofErr w:type="spellEnd"/>
      <w:r w:rsidR="009160FA">
        <w:t xml:space="preserve">) — </w:t>
      </w:r>
      <w:r w:rsidR="000B108A">
        <w:t>which</w:t>
      </w:r>
      <w:r w:rsidR="009160FA">
        <w:t xml:space="preserve"> are </w:t>
      </w:r>
      <w:r w:rsidR="00020844">
        <w:t>legislative instruments</w:t>
      </w:r>
      <w:r w:rsidR="009160FA">
        <w:t xml:space="preserve"> </w:t>
      </w:r>
      <w:r w:rsidR="00AD5CC3">
        <w:t>used</w:t>
      </w:r>
      <w:r w:rsidR="00020844">
        <w:t xml:space="preserve"> in the MRCA and VEA</w:t>
      </w:r>
      <w:r w:rsidR="00AD5CC3">
        <w:t xml:space="preserve"> </w:t>
      </w:r>
      <w:r w:rsidR="00020844">
        <w:t xml:space="preserve">that set out the </w:t>
      </w:r>
      <w:r w:rsidR="000F5A59">
        <w:t>requirements for a veteran’s impairment to be linked to their service</w:t>
      </w:r>
    </w:p>
    <w:p w:rsidR="00343074" w:rsidRDefault="00924017" w:rsidP="002D49DA">
      <w:pPr>
        <w:pStyle w:val="ListBullet2"/>
      </w:pPr>
      <w:r>
        <w:t>whether the arrangements deliver compensation and rehabilitation to veterans in a well</w:t>
      </w:r>
      <w:r w:rsidR="00D027D4">
        <w:noBreakHyphen/>
      </w:r>
      <w:r>
        <w:t>targeted, efficient and veteran</w:t>
      </w:r>
      <w:r w:rsidR="00D027D4">
        <w:noBreakHyphen/>
      </w:r>
      <w:r>
        <w:t>centric manner.</w:t>
      </w:r>
      <w:r w:rsidR="00F456D6">
        <w:t xml:space="preserve"> </w:t>
      </w:r>
    </w:p>
    <w:p w:rsidR="009D286C" w:rsidRDefault="00F456D6" w:rsidP="00343074">
      <w:pPr>
        <w:pStyle w:val="BodyText"/>
      </w:pPr>
      <w:r>
        <w:t xml:space="preserve">The full terms of reference </w:t>
      </w:r>
      <w:r w:rsidR="008957A0">
        <w:t xml:space="preserve">for this inquiry </w:t>
      </w:r>
      <w:r>
        <w:t xml:space="preserve">are </w:t>
      </w:r>
      <w:r w:rsidR="00713272">
        <w:t>in attachment A</w:t>
      </w:r>
      <w:r>
        <w:t>.</w:t>
      </w:r>
    </w:p>
    <w:p w:rsidR="009D286C" w:rsidRDefault="00AF74CD" w:rsidP="00DC3441">
      <w:pPr>
        <w:pStyle w:val="Heading3"/>
      </w:pPr>
      <w:r>
        <w:t>The Commission’s approach</w:t>
      </w:r>
    </w:p>
    <w:p w:rsidR="001764A4" w:rsidRDefault="003E049F" w:rsidP="00BD323A">
      <w:pPr>
        <w:pStyle w:val="BodyText"/>
        <w:keepNext/>
      </w:pPr>
      <w:r>
        <w:t>Q</w:t>
      </w:r>
      <w:r w:rsidR="00AF74CD">
        <w:t>uestion</w:t>
      </w:r>
      <w:r w:rsidR="002435E7">
        <w:t>s</w:t>
      </w:r>
      <w:r w:rsidR="00AF74CD">
        <w:t xml:space="preserve"> at the heart of this inquiry </w:t>
      </w:r>
      <w:r w:rsidR="00C07F78">
        <w:t xml:space="preserve">are </w:t>
      </w:r>
      <w:r w:rsidR="00AF74CD">
        <w:t>whether the system of compensation and rehabilitati</w:t>
      </w:r>
      <w:r w:rsidR="00024DE5">
        <w:t>on for veterans is</w:t>
      </w:r>
      <w:r w:rsidR="001764A4">
        <w:t>:</w:t>
      </w:r>
    </w:p>
    <w:p w:rsidR="00305CB8" w:rsidRDefault="00C07F78" w:rsidP="001764A4">
      <w:pPr>
        <w:pStyle w:val="ListBullet"/>
      </w:pPr>
      <w:r>
        <w:t>promot</w:t>
      </w:r>
      <w:r w:rsidR="001764A4">
        <w:t xml:space="preserve">ing </w:t>
      </w:r>
      <w:r w:rsidR="00323FB1">
        <w:t xml:space="preserve">the </w:t>
      </w:r>
      <w:r w:rsidR="00066284">
        <w:t xml:space="preserve">wellbeing </w:t>
      </w:r>
      <w:r w:rsidR="00323FB1">
        <w:t xml:space="preserve">of </w:t>
      </w:r>
      <w:r w:rsidR="009E700C">
        <w:t>veterans</w:t>
      </w:r>
      <w:r w:rsidR="00924017">
        <w:t xml:space="preserve"> and the Australian community</w:t>
      </w:r>
    </w:p>
    <w:p w:rsidR="001764A4" w:rsidRDefault="00305CB8" w:rsidP="00305CB8">
      <w:pPr>
        <w:pStyle w:val="ListBullet"/>
      </w:pPr>
      <w:r>
        <w:t>provided in the most effective and efficient way</w:t>
      </w:r>
      <w:r w:rsidR="00024DE5">
        <w:t>.</w:t>
      </w:r>
      <w:r w:rsidR="00AF74CD">
        <w:t xml:space="preserve"> </w:t>
      </w:r>
    </w:p>
    <w:p w:rsidR="00AF74CD" w:rsidRDefault="00A90991" w:rsidP="001764A4">
      <w:pPr>
        <w:pStyle w:val="BodyText"/>
      </w:pPr>
      <w:r>
        <w:lastRenderedPageBreak/>
        <w:t>T</w:t>
      </w:r>
      <w:r w:rsidR="00124A99">
        <w:t>he</w:t>
      </w:r>
      <w:r w:rsidR="001D3BD7">
        <w:t xml:space="preserve"> Commission will </w:t>
      </w:r>
      <w:r w:rsidR="00FA5E76">
        <w:t xml:space="preserve">examine </w:t>
      </w:r>
      <w:r w:rsidR="001D3BD7">
        <w:t>the</w:t>
      </w:r>
      <w:r w:rsidR="00124A99">
        <w:t xml:space="preserve">se questions with a view to </w:t>
      </w:r>
      <w:r w:rsidR="00583794">
        <w:t>establishing a sustainable, well</w:t>
      </w:r>
      <w:r w:rsidR="00D027D4">
        <w:noBreakHyphen/>
      </w:r>
      <w:r w:rsidR="00583794">
        <w:t xml:space="preserve">functioning system that is fit for the purpose of delivering compensation, support and services for veterans </w:t>
      </w:r>
      <w:r w:rsidR="001D3BD7">
        <w:t xml:space="preserve">for </w:t>
      </w:r>
      <w:r w:rsidR="00583794">
        <w:t xml:space="preserve">the decades ahead. </w:t>
      </w:r>
      <w:r w:rsidR="00200404">
        <w:t xml:space="preserve">We will also look at </w:t>
      </w:r>
      <w:r w:rsidR="00583794">
        <w:t>how reform can</w:t>
      </w:r>
      <w:r w:rsidR="000B108A">
        <w:t xml:space="preserve"> best</w:t>
      </w:r>
      <w:r w:rsidR="00583794">
        <w:t xml:space="preserve"> deliver benefits for veterans </w:t>
      </w:r>
      <w:r w:rsidR="00F32F91">
        <w:t>whil</w:t>
      </w:r>
      <w:r w:rsidR="000B108A">
        <w:t>e</w:t>
      </w:r>
      <w:r w:rsidR="00F32F91">
        <w:t xml:space="preserve"> achieving </w:t>
      </w:r>
      <w:r w:rsidR="00583794">
        <w:t xml:space="preserve">value for money for the </w:t>
      </w:r>
      <w:r w:rsidR="0096046F">
        <w:t xml:space="preserve">Australian </w:t>
      </w:r>
      <w:r w:rsidR="00583794">
        <w:t>community</w:t>
      </w:r>
      <w:r w:rsidR="0096046F">
        <w:t xml:space="preserve"> that veterans have served</w:t>
      </w:r>
      <w:r w:rsidR="00583794">
        <w:t>.</w:t>
      </w:r>
    </w:p>
    <w:p w:rsidR="007D4F13" w:rsidRDefault="00200404" w:rsidP="0091452A">
      <w:pPr>
        <w:pStyle w:val="BodyText"/>
      </w:pPr>
      <w:r>
        <w:t xml:space="preserve">The Commission </w:t>
      </w:r>
      <w:r w:rsidR="00E15103">
        <w:t xml:space="preserve">recognises </w:t>
      </w:r>
      <w:r w:rsidR="00220793">
        <w:t xml:space="preserve">that the Australian Government has a duty of care to veterans </w:t>
      </w:r>
      <w:r w:rsidR="00FA5E76">
        <w:t xml:space="preserve">for </w:t>
      </w:r>
      <w:r w:rsidR="001C11C3">
        <w:t>service</w:t>
      </w:r>
      <w:r w:rsidR="00680587">
        <w:noBreakHyphen/>
      </w:r>
      <w:r w:rsidR="001C11C3">
        <w:t xml:space="preserve">related </w:t>
      </w:r>
      <w:r w:rsidR="00220793">
        <w:t>injur</w:t>
      </w:r>
      <w:r w:rsidR="00FA5E76">
        <w:t xml:space="preserve">ies and </w:t>
      </w:r>
      <w:r w:rsidR="00220793">
        <w:t>illness</w:t>
      </w:r>
      <w:r w:rsidR="00FA5E76">
        <w:t xml:space="preserve">es </w:t>
      </w:r>
      <w:r w:rsidR="007D4F13">
        <w:t>(</w:t>
      </w:r>
      <w:r w:rsidR="00DB022B">
        <w:t>while they are in the service and beyond</w:t>
      </w:r>
      <w:r w:rsidR="007D4F13">
        <w:t>)</w:t>
      </w:r>
      <w:r w:rsidR="00220793">
        <w:t xml:space="preserve">. </w:t>
      </w:r>
      <w:r w:rsidR="001A0F0F">
        <w:t>The interests of veteran</w:t>
      </w:r>
      <w:r w:rsidR="00006D1A">
        <w:t>s</w:t>
      </w:r>
      <w:r w:rsidR="001A0F0F">
        <w:t xml:space="preserve"> will be best served when t</w:t>
      </w:r>
      <w:r w:rsidR="00220793">
        <w:t xml:space="preserve">he system </w:t>
      </w:r>
      <w:r w:rsidR="001A0F0F">
        <w:t xml:space="preserve">designed to support them has </w:t>
      </w:r>
      <w:r w:rsidR="00220793">
        <w:t xml:space="preserve">at its core </w:t>
      </w:r>
      <w:r w:rsidR="00FA5E76">
        <w:t>the</w:t>
      </w:r>
      <w:r w:rsidR="00500ABF">
        <w:t xml:space="preserve"> </w:t>
      </w:r>
      <w:r w:rsidR="00D3060B">
        <w:t xml:space="preserve">wellbeing </w:t>
      </w:r>
      <w:r w:rsidR="00500ABF">
        <w:t>of veteran</w:t>
      </w:r>
      <w:r w:rsidR="00006D1A">
        <w:t>s</w:t>
      </w:r>
      <w:r w:rsidR="00500ABF">
        <w:t xml:space="preserve"> </w:t>
      </w:r>
      <w:r w:rsidR="001A0F0F">
        <w:t xml:space="preserve">and </w:t>
      </w:r>
      <w:r w:rsidR="00220793">
        <w:t>their families.</w:t>
      </w:r>
    </w:p>
    <w:p w:rsidR="004754A5" w:rsidRDefault="00A90991" w:rsidP="0091452A">
      <w:pPr>
        <w:pStyle w:val="BodyText"/>
      </w:pPr>
      <w:r>
        <w:t xml:space="preserve">The Commission will consult widely. It will undertake stakeholder visits, conduct public hearings, and invite submissions </w:t>
      </w:r>
      <w:r w:rsidR="003C5690">
        <w:t xml:space="preserve">and comments </w:t>
      </w:r>
      <w:r>
        <w:t xml:space="preserve">from participants. It will also consider evidence provided to </w:t>
      </w:r>
      <w:r w:rsidR="00AF74CD">
        <w:t>previous reviews</w:t>
      </w:r>
      <w:r>
        <w:t xml:space="preserve"> </w:t>
      </w:r>
      <w:r w:rsidR="0091452A">
        <w:t>into veterans’ affairs</w:t>
      </w:r>
      <w:r w:rsidR="00305917">
        <w:t>, as well as</w:t>
      </w:r>
      <w:r w:rsidR="0091452A">
        <w:t xml:space="preserve"> </w:t>
      </w:r>
      <w:r>
        <w:t xml:space="preserve">the findings of </w:t>
      </w:r>
      <w:r w:rsidR="00305917">
        <w:t>both the</w:t>
      </w:r>
      <w:r w:rsidR="007C2100">
        <w:t xml:space="preserve"> performance audit of the efficiency of service delivery </w:t>
      </w:r>
      <w:r w:rsidR="00305917">
        <w:t>being undertaken by</w:t>
      </w:r>
      <w:r w:rsidR="008957A0">
        <w:t xml:space="preserve"> </w:t>
      </w:r>
      <w:r w:rsidR="0091452A">
        <w:t xml:space="preserve">the </w:t>
      </w:r>
      <w:r>
        <w:t>Australian National Audit Office</w:t>
      </w:r>
      <w:r w:rsidR="007B22E8">
        <w:t xml:space="preserve"> (ANAO)</w:t>
      </w:r>
      <w:r w:rsidR="00305917">
        <w:t xml:space="preserve"> and the veterans’ advocacy and support services s</w:t>
      </w:r>
      <w:r w:rsidR="00305917" w:rsidRPr="00305917">
        <w:t xml:space="preserve">coping </w:t>
      </w:r>
      <w:r w:rsidR="00305917">
        <w:t>s</w:t>
      </w:r>
      <w:r w:rsidR="00305917" w:rsidRPr="00305917">
        <w:t>tudy</w:t>
      </w:r>
      <w:r w:rsidR="00305917">
        <w:t xml:space="preserve"> being led by </w:t>
      </w:r>
      <w:r w:rsidR="00FC2722">
        <w:t xml:space="preserve">Mr </w:t>
      </w:r>
      <w:r w:rsidR="00305917">
        <w:t xml:space="preserve">Robert </w:t>
      </w:r>
      <w:proofErr w:type="spellStart"/>
      <w:r w:rsidR="00305917">
        <w:t>Cornall</w:t>
      </w:r>
      <w:proofErr w:type="spellEnd"/>
      <w:r w:rsidR="007C2100">
        <w:t xml:space="preserve">. </w:t>
      </w:r>
    </w:p>
    <w:p w:rsidR="001D3BD7" w:rsidRDefault="004754A5" w:rsidP="0091452A">
      <w:pPr>
        <w:pStyle w:val="BodyText"/>
      </w:pPr>
      <w:r>
        <w:t>Because this is a system</w:t>
      </w:r>
      <w:r w:rsidR="00D027D4">
        <w:noBreakHyphen/>
      </w:r>
      <w:r>
        <w:t>wide review</w:t>
      </w:r>
      <w:r w:rsidR="000B108A">
        <w:t>,</w:t>
      </w:r>
      <w:r>
        <w:t xml:space="preserve"> with a focus on identifying reforms that can offer the greatest improvements to the compensation and rehabilitation system for veterans, the Commission will focus on systemic problems</w:t>
      </w:r>
      <w:r w:rsidR="00583794">
        <w:t xml:space="preserve"> and opportunities for reform</w:t>
      </w:r>
      <w:r>
        <w:t xml:space="preserve">. </w:t>
      </w:r>
    </w:p>
    <w:p w:rsidR="007C2100" w:rsidRDefault="00F6643F" w:rsidP="0091452A">
      <w:pPr>
        <w:pStyle w:val="BodyText"/>
      </w:pPr>
      <w:r>
        <w:t xml:space="preserve">In the context of reviewing the </w:t>
      </w:r>
      <w:r w:rsidR="00E4496A">
        <w:t xml:space="preserve">effectiveness of </w:t>
      </w:r>
      <w:r>
        <w:t xml:space="preserve">the system’s </w:t>
      </w:r>
      <w:r w:rsidR="00E4496A">
        <w:t xml:space="preserve">governance and service delivery arrangements, the Commission will look at the activities of </w:t>
      </w:r>
      <w:r>
        <w:t>DVA</w:t>
      </w:r>
      <w:r w:rsidR="00963D5C">
        <w:t xml:space="preserve"> and the ADF (including </w:t>
      </w:r>
      <w:r w:rsidR="0083677A">
        <w:t xml:space="preserve">the </w:t>
      </w:r>
      <w:r w:rsidR="00963D5C">
        <w:t>preventi</w:t>
      </w:r>
      <w:r w:rsidR="0083677A">
        <w:t>on of s</w:t>
      </w:r>
      <w:r w:rsidR="00963D5C">
        <w:t>ervice</w:t>
      </w:r>
      <w:r w:rsidR="00D027D4">
        <w:noBreakHyphen/>
      </w:r>
      <w:r w:rsidR="00963D5C">
        <w:t>related injuries</w:t>
      </w:r>
      <w:r w:rsidR="0096046F">
        <w:t xml:space="preserve">, </w:t>
      </w:r>
      <w:r w:rsidR="00963D5C">
        <w:t>and rehabilitation and transition services)</w:t>
      </w:r>
      <w:r>
        <w:t xml:space="preserve">, </w:t>
      </w:r>
      <w:r w:rsidR="00627E79">
        <w:t xml:space="preserve">relevant statutory bodies, </w:t>
      </w:r>
      <w:r>
        <w:t>program</w:t>
      </w:r>
      <w:r w:rsidR="00963D5C">
        <w:t>mes</w:t>
      </w:r>
      <w:r>
        <w:t xml:space="preserve"> and initiatives </w:t>
      </w:r>
      <w:r w:rsidR="001D3BD7">
        <w:t>provided by</w:t>
      </w:r>
      <w:r>
        <w:t xml:space="preserve"> State and Territory Governments</w:t>
      </w:r>
      <w:r w:rsidR="00963D5C">
        <w:t xml:space="preserve"> and </w:t>
      </w:r>
      <w:r w:rsidR="00627E79">
        <w:t>ex</w:t>
      </w:r>
      <w:r w:rsidR="00D027D4">
        <w:noBreakHyphen/>
      </w:r>
      <w:r w:rsidR="00627E79">
        <w:t>service organisations</w:t>
      </w:r>
      <w:r w:rsidR="00D3060B">
        <w:t xml:space="preserve"> (ESOs)</w:t>
      </w:r>
      <w:r>
        <w:t xml:space="preserve">. </w:t>
      </w:r>
    </w:p>
    <w:p w:rsidR="00AF74CD" w:rsidRPr="00AF74CD" w:rsidRDefault="00D14230" w:rsidP="00AF74CD">
      <w:pPr>
        <w:pStyle w:val="Heading3"/>
      </w:pPr>
      <w:r>
        <w:t xml:space="preserve">How you can contribute </w:t>
      </w:r>
      <w:r w:rsidR="00AF74CD">
        <w:t>to this inquiry</w:t>
      </w:r>
    </w:p>
    <w:p w:rsidR="005D5D6C" w:rsidRPr="006A5EE8" w:rsidRDefault="005D5D6C" w:rsidP="009D286C">
      <w:pPr>
        <w:pStyle w:val="BodyText"/>
        <w:rPr>
          <w:spacing w:val="-2"/>
        </w:rPr>
      </w:pPr>
      <w:r w:rsidRPr="006A5EE8">
        <w:rPr>
          <w:spacing w:val="-2"/>
        </w:rPr>
        <w:t>The Commission would like to hear from serving and ex</w:t>
      </w:r>
      <w:r w:rsidR="00D027D4" w:rsidRPr="006A5EE8">
        <w:rPr>
          <w:spacing w:val="-2"/>
        </w:rPr>
        <w:noBreakHyphen/>
      </w:r>
      <w:r w:rsidRPr="006A5EE8">
        <w:rPr>
          <w:spacing w:val="-2"/>
        </w:rPr>
        <w:t xml:space="preserve">serving members of the ADF and </w:t>
      </w:r>
      <w:r w:rsidR="00583794" w:rsidRPr="006A5EE8">
        <w:rPr>
          <w:spacing w:val="-2"/>
        </w:rPr>
        <w:t>their families,</w:t>
      </w:r>
      <w:r w:rsidRPr="006A5EE8">
        <w:rPr>
          <w:spacing w:val="-2"/>
        </w:rPr>
        <w:t xml:space="preserve"> and other stakeholders about their experiences with the </w:t>
      </w:r>
      <w:r w:rsidR="00C06864" w:rsidRPr="006A5EE8">
        <w:rPr>
          <w:spacing w:val="-2"/>
        </w:rPr>
        <w:t>v</w:t>
      </w:r>
      <w:r w:rsidRPr="006A5EE8">
        <w:rPr>
          <w:spacing w:val="-2"/>
        </w:rPr>
        <w:t xml:space="preserve">eterans’ compensation and rehabilitation system. We want to hear your views on what is working well </w:t>
      </w:r>
      <w:r w:rsidR="00F94061" w:rsidRPr="006A5EE8">
        <w:rPr>
          <w:spacing w:val="-2"/>
        </w:rPr>
        <w:t xml:space="preserve">(and not so well) </w:t>
      </w:r>
      <w:r w:rsidRPr="006A5EE8">
        <w:rPr>
          <w:spacing w:val="-2"/>
        </w:rPr>
        <w:t>and what could be improved or changed</w:t>
      </w:r>
      <w:r w:rsidR="00F94061" w:rsidRPr="006A5EE8">
        <w:rPr>
          <w:spacing w:val="-2"/>
        </w:rPr>
        <w:t xml:space="preserve"> to make the system ‘fit for purpose’</w:t>
      </w:r>
      <w:r w:rsidRPr="006A5EE8">
        <w:rPr>
          <w:spacing w:val="-2"/>
        </w:rPr>
        <w:t xml:space="preserve">. </w:t>
      </w:r>
    </w:p>
    <w:p w:rsidR="00F94061" w:rsidRDefault="00A94CF9" w:rsidP="009D286C">
      <w:pPr>
        <w:pStyle w:val="BodyText"/>
      </w:pPr>
      <w:r>
        <w:t>T</w:t>
      </w:r>
      <w:r w:rsidR="009D286C">
        <w:t xml:space="preserve">his issues paper </w:t>
      </w:r>
      <w:r w:rsidR="008E474D">
        <w:t>is intended</w:t>
      </w:r>
      <w:r>
        <w:t xml:space="preserve"> to </w:t>
      </w:r>
      <w:r w:rsidR="008E474D">
        <w:t xml:space="preserve">assist </w:t>
      </w:r>
      <w:r w:rsidR="00D14230">
        <w:t xml:space="preserve">you </w:t>
      </w:r>
      <w:r w:rsidR="008E474D">
        <w:t>prepare</w:t>
      </w:r>
      <w:r>
        <w:t xml:space="preserve"> </w:t>
      </w:r>
      <w:r w:rsidR="009D286C">
        <w:t xml:space="preserve">a submission to this inquiry. </w:t>
      </w:r>
      <w:r w:rsidR="00D14230">
        <w:t>It sets out some of the issues and questions the Commission has identified as relevant at this early stage of the inquiry. You do not need to comment on every issue raised in this paper and you are free to raise any other issues or ideas</w:t>
      </w:r>
      <w:r w:rsidR="005D5D6C">
        <w:t xml:space="preserve"> that </w:t>
      </w:r>
      <w:r w:rsidR="00A13B07">
        <w:t>are relevant to the terms of reference</w:t>
      </w:r>
      <w:r w:rsidR="00861C29">
        <w:t>.</w:t>
      </w:r>
    </w:p>
    <w:p w:rsidR="00861C29" w:rsidRDefault="00F94061" w:rsidP="009D286C">
      <w:pPr>
        <w:pStyle w:val="BodyText"/>
      </w:pPr>
      <w:r>
        <w:t xml:space="preserve">Where </w:t>
      </w:r>
      <w:r w:rsidR="0076167C">
        <w:t xml:space="preserve">you identify </w:t>
      </w:r>
      <w:r>
        <w:t>problems with the system, y</w:t>
      </w:r>
      <w:r w:rsidR="004754A5">
        <w:t xml:space="preserve">ou </w:t>
      </w:r>
      <w:r w:rsidR="0091452A">
        <w:t xml:space="preserve">should provide some indication of </w:t>
      </w:r>
      <w:r w:rsidR="001445F9">
        <w:t>the magnitude of the</w:t>
      </w:r>
      <w:r w:rsidR="001445F9" w:rsidDel="00F94061">
        <w:t xml:space="preserve"> </w:t>
      </w:r>
      <w:r w:rsidR="001445F9">
        <w:t>problem</w:t>
      </w:r>
      <w:r w:rsidR="0091452A">
        <w:t>s</w:t>
      </w:r>
      <w:r w:rsidR="00D433AC">
        <w:t>, why change is needed</w:t>
      </w:r>
      <w:r w:rsidR="001445F9">
        <w:t xml:space="preserve"> and potentia</w:t>
      </w:r>
      <w:r w:rsidR="00F456D6">
        <w:t xml:space="preserve">l </w:t>
      </w:r>
      <w:r w:rsidR="0091452A">
        <w:t xml:space="preserve">ways </w:t>
      </w:r>
      <w:r w:rsidR="00F456D6">
        <w:t>t</w:t>
      </w:r>
      <w:r w:rsidR="000A2A09">
        <w:t>he system could be improved</w:t>
      </w:r>
      <w:r w:rsidR="0091452A">
        <w:t xml:space="preserve"> (where possible </w:t>
      </w:r>
      <w:r w:rsidR="00F456D6">
        <w:t>supported with data and other evidence</w:t>
      </w:r>
      <w:r w:rsidR="0091452A">
        <w:t>)</w:t>
      </w:r>
      <w:r w:rsidR="00F456D6">
        <w:t>.</w:t>
      </w:r>
    </w:p>
    <w:p w:rsidR="00831F56" w:rsidRDefault="004754A5" w:rsidP="009D286C">
      <w:pPr>
        <w:pStyle w:val="BodyText"/>
      </w:pPr>
      <w:r>
        <w:t xml:space="preserve">Submissions should be provided to the Commission by </w:t>
      </w:r>
      <w:r w:rsidR="00940DF1">
        <w:t xml:space="preserve">Monday </w:t>
      </w:r>
      <w:r w:rsidR="003F3412">
        <w:t>2</w:t>
      </w:r>
      <w:r w:rsidR="00940DF1">
        <w:t xml:space="preserve"> </w:t>
      </w:r>
      <w:r w:rsidR="003F3412">
        <w:t>Ju</w:t>
      </w:r>
      <w:r w:rsidR="00940DF1">
        <w:t>ly</w:t>
      </w:r>
      <w:r>
        <w:t xml:space="preserve"> 2018.</w:t>
      </w:r>
    </w:p>
    <w:p w:rsidR="004754A5" w:rsidRDefault="00831F56" w:rsidP="009D286C">
      <w:pPr>
        <w:pStyle w:val="BodyText"/>
      </w:pPr>
      <w:r>
        <w:lastRenderedPageBreak/>
        <w:t xml:space="preserve">You can also make a brief comment through the Commission’s website. </w:t>
      </w:r>
      <w:r w:rsidR="00C06864">
        <w:t>C</w:t>
      </w:r>
      <w:r>
        <w:t xml:space="preserve">omments will not be considered formal submissions, but may be used to inform </w:t>
      </w:r>
      <w:r w:rsidR="00F94061">
        <w:t xml:space="preserve">our </w:t>
      </w:r>
      <w:r>
        <w:t>report.</w:t>
      </w:r>
      <w:r w:rsidR="00B61247">
        <w:t xml:space="preserve"> Attachment</w:t>
      </w:r>
      <w:r w:rsidR="00713272">
        <w:t> B</w:t>
      </w:r>
      <w:r w:rsidR="00B61247">
        <w:t xml:space="preserve"> </w:t>
      </w:r>
      <w:r w:rsidR="00940DF1">
        <w:t>provides</w:t>
      </w:r>
      <w:r w:rsidR="00B61247">
        <w:t xml:space="preserve"> further details on how you can make a submission or brief comment.</w:t>
      </w:r>
    </w:p>
    <w:p w:rsidR="00391500" w:rsidRDefault="0075155E" w:rsidP="00313EF8">
      <w:pPr>
        <w:pStyle w:val="Heading2"/>
      </w:pPr>
      <w:r>
        <w:fldChar w:fldCharType="begin"/>
      </w:r>
      <w:r>
        <w:instrText xml:space="preserve"> SEQ Heading2 </w:instrText>
      </w:r>
      <w:r>
        <w:fldChar w:fldCharType="separate"/>
      </w:r>
      <w:bookmarkStart w:id="17" w:name="_Toc511661005"/>
      <w:bookmarkStart w:id="18" w:name="_Toc512930368"/>
      <w:bookmarkStart w:id="19" w:name="_Toc512933219"/>
      <w:bookmarkStart w:id="20" w:name="_Toc512933698"/>
      <w:bookmarkStart w:id="21" w:name="_Toc512933786"/>
      <w:r w:rsidR="00CC2ABA">
        <w:rPr>
          <w:noProof/>
        </w:rPr>
        <w:t>4</w:t>
      </w:r>
      <w:r>
        <w:rPr>
          <w:noProof/>
        </w:rPr>
        <w:fldChar w:fldCharType="end"/>
      </w:r>
      <w:r w:rsidR="00313EF8">
        <w:tab/>
        <w:t>Assessing the veterans’ compensation and rehabilitation system</w:t>
      </w:r>
      <w:bookmarkEnd w:id="17"/>
      <w:bookmarkEnd w:id="18"/>
      <w:bookmarkEnd w:id="19"/>
      <w:bookmarkEnd w:id="20"/>
      <w:bookmarkEnd w:id="21"/>
    </w:p>
    <w:p w:rsidR="00A178C0" w:rsidRDefault="00A178C0" w:rsidP="00A178C0">
      <w:pPr>
        <w:pStyle w:val="BodyText"/>
      </w:pPr>
      <w:r>
        <w:t xml:space="preserve">Understanding the objectives or purpose of the </w:t>
      </w:r>
      <w:r w:rsidR="0091452A">
        <w:t xml:space="preserve">compensation and rehabilitation </w:t>
      </w:r>
      <w:r>
        <w:t xml:space="preserve">system is </w:t>
      </w:r>
      <w:r w:rsidR="003B309A">
        <w:t xml:space="preserve">important </w:t>
      </w:r>
      <w:r>
        <w:t>for determining how well the current system is performing, and what a</w:t>
      </w:r>
      <w:r w:rsidR="003C5690">
        <w:t xml:space="preserve">n improved </w:t>
      </w:r>
      <w:r>
        <w:t xml:space="preserve">system </w:t>
      </w:r>
      <w:r w:rsidR="009D0F18">
        <w:t>w</w:t>
      </w:r>
      <w:r>
        <w:t xml:space="preserve">ould look like. </w:t>
      </w:r>
    </w:p>
    <w:p w:rsidR="00130A4A" w:rsidRDefault="0096276C" w:rsidP="00A178C0">
      <w:pPr>
        <w:pStyle w:val="BodyText"/>
      </w:pPr>
      <w:r>
        <w:t>The legislation underpinning veterans’ compensation and rehabilitation does not outline principles on which support should be based. However, p</w:t>
      </w:r>
      <w:r w:rsidR="000B1CEF">
        <w:t xml:space="preserve">ast reviews </w:t>
      </w:r>
      <w:r w:rsidR="00972EB6">
        <w:t>outlined</w:t>
      </w:r>
      <w:r w:rsidR="000B1CEF">
        <w:t xml:space="preserve"> </w:t>
      </w:r>
      <w:r w:rsidR="00124A99">
        <w:t>various</w:t>
      </w:r>
      <w:r w:rsidR="000B1CEF">
        <w:t xml:space="preserve"> </w:t>
      </w:r>
      <w:r w:rsidR="00124A99">
        <w:t>objectives that Australia’s military repatriation</w:t>
      </w:r>
      <w:r w:rsidR="000B1CEF">
        <w:t xml:space="preserve"> system should aim to achieve</w:t>
      </w:r>
      <w:r w:rsidR="005432E1">
        <w:t xml:space="preserve"> for veterans</w:t>
      </w:r>
      <w:r w:rsidR="0091452A">
        <w:t xml:space="preserve">, </w:t>
      </w:r>
      <w:r w:rsidR="000B1CEF">
        <w:t>includ</w:t>
      </w:r>
      <w:r w:rsidR="0091452A">
        <w:t xml:space="preserve">ing </w:t>
      </w:r>
      <w:r w:rsidR="000B1CEF">
        <w:t>that the system should:</w:t>
      </w:r>
    </w:p>
    <w:p w:rsidR="000B1CEF" w:rsidRDefault="000B1CEF" w:rsidP="000B1CEF">
      <w:pPr>
        <w:pStyle w:val="ListBullet"/>
      </w:pPr>
      <w:r>
        <w:t xml:space="preserve">appropriately, adequately and fairly compensate those </w:t>
      </w:r>
      <w:r w:rsidR="009F4B92">
        <w:t>who</w:t>
      </w:r>
      <w:r>
        <w:t xml:space="preserve"> have suffer</w:t>
      </w:r>
      <w:r w:rsidR="00DD234F">
        <w:t>ed</w:t>
      </w:r>
      <w:r>
        <w:t xml:space="preserve"> incapacity that could be related to their service — both financially and by the provision of high</w:t>
      </w:r>
      <w:r w:rsidR="00D027D4">
        <w:noBreakHyphen/>
      </w:r>
      <w:r>
        <w:t>quality medical and hospital care</w:t>
      </w:r>
    </w:p>
    <w:p w:rsidR="000B1CEF" w:rsidRDefault="000B1CEF" w:rsidP="000B1CEF">
      <w:pPr>
        <w:pStyle w:val="ListBullet"/>
      </w:pPr>
      <w:r>
        <w:t xml:space="preserve">suitably rehabilitate those who have served, and </w:t>
      </w:r>
      <w:r w:rsidR="00DD234F">
        <w:t xml:space="preserve">support them to </w:t>
      </w:r>
      <w:r>
        <w:t>re</w:t>
      </w:r>
      <w:r w:rsidR="00D027D4">
        <w:noBreakHyphen/>
      </w:r>
      <w:r>
        <w:t>establish them</w:t>
      </w:r>
      <w:r w:rsidR="00DD234F">
        <w:t>selves</w:t>
      </w:r>
      <w:r>
        <w:t xml:space="preserve"> into civilian life at the conclusion of their service</w:t>
      </w:r>
    </w:p>
    <w:p w:rsidR="00972EB6" w:rsidRDefault="00972EB6" w:rsidP="000B1CEF">
      <w:pPr>
        <w:pStyle w:val="ListBullet"/>
      </w:pPr>
      <w:r>
        <w:t>promote health and encourage veterans to take responsibility for self</w:t>
      </w:r>
      <w:r w:rsidR="00D027D4">
        <w:noBreakHyphen/>
      </w:r>
      <w:r>
        <w:t xml:space="preserve">help measures </w:t>
      </w:r>
    </w:p>
    <w:p w:rsidR="000B1CEF" w:rsidRDefault="000B1CEF" w:rsidP="000B1CEF">
      <w:pPr>
        <w:pStyle w:val="ListBullet"/>
      </w:pPr>
      <w:r>
        <w:t>adequate</w:t>
      </w:r>
      <w:r w:rsidR="001764A4">
        <w:t xml:space="preserve">ly </w:t>
      </w:r>
      <w:r>
        <w:t>provi</w:t>
      </w:r>
      <w:r w:rsidR="001764A4">
        <w:t xml:space="preserve">de </w:t>
      </w:r>
      <w:r>
        <w:t>for the care of dependants where death has resulted from service</w:t>
      </w:r>
    </w:p>
    <w:p w:rsidR="000B1CEF" w:rsidRDefault="000B1CEF" w:rsidP="000B1CEF">
      <w:pPr>
        <w:pStyle w:val="ListBullet"/>
      </w:pPr>
      <w:r>
        <w:t xml:space="preserve">deliver a mix of services that complement </w:t>
      </w:r>
      <w:r w:rsidR="009F4B92">
        <w:t>those</w:t>
      </w:r>
      <w:r>
        <w:t xml:space="preserve"> available to the wider community</w:t>
      </w:r>
    </w:p>
    <w:p w:rsidR="00972EB6" w:rsidRDefault="00972EB6" w:rsidP="000B1CEF">
      <w:pPr>
        <w:pStyle w:val="ListBullet"/>
      </w:pPr>
      <w:r>
        <w:t>provide incentives to encourage veterans to engage in paid employment</w:t>
      </w:r>
    </w:p>
    <w:p w:rsidR="00894C98" w:rsidRDefault="00972EB6" w:rsidP="000B1CEF">
      <w:pPr>
        <w:pStyle w:val="ListBullet"/>
      </w:pPr>
      <w:r>
        <w:t>achieve timeliness, consistency and equity in claim</w:t>
      </w:r>
      <w:r w:rsidR="009F4B92">
        <w:t>s</w:t>
      </w:r>
      <w:r>
        <w:t xml:space="preserve"> assessment and decision making</w:t>
      </w:r>
    </w:p>
    <w:p w:rsidR="00972EB6" w:rsidRDefault="002435E7" w:rsidP="002435E7">
      <w:pPr>
        <w:pStyle w:val="ListBullet"/>
      </w:pPr>
      <w:r>
        <w:t>deliver on past commitments made to veterans</w:t>
      </w:r>
      <w:r w:rsidR="00330605">
        <w:t xml:space="preserve"> </w:t>
      </w:r>
      <w:r w:rsidR="00330605" w:rsidRPr="00330605">
        <w:rPr>
          <w:szCs w:val="24"/>
        </w:rPr>
        <w:t xml:space="preserve">(Clarke, Riding and </w:t>
      </w:r>
      <w:proofErr w:type="spellStart"/>
      <w:r w:rsidR="00330605" w:rsidRPr="00330605">
        <w:rPr>
          <w:szCs w:val="24"/>
        </w:rPr>
        <w:t>Rosalky</w:t>
      </w:r>
      <w:proofErr w:type="spellEnd"/>
      <w:r w:rsidR="00330605" w:rsidRPr="00330605">
        <w:rPr>
          <w:szCs w:val="24"/>
        </w:rPr>
        <w:t xml:space="preserve"> 2003; </w:t>
      </w:r>
      <w:proofErr w:type="spellStart"/>
      <w:r w:rsidR="00330605" w:rsidRPr="00330605">
        <w:rPr>
          <w:szCs w:val="24"/>
        </w:rPr>
        <w:t>Toose</w:t>
      </w:r>
      <w:proofErr w:type="spellEnd"/>
      <w:r w:rsidR="00330605" w:rsidRPr="00330605">
        <w:rPr>
          <w:szCs w:val="24"/>
        </w:rPr>
        <w:t> 1975)</w:t>
      </w:r>
      <w:r w:rsidR="00972EB6">
        <w:t>.</w:t>
      </w:r>
    </w:p>
    <w:p w:rsidR="001764A4" w:rsidRDefault="00972EB6" w:rsidP="00614AEE">
      <w:pPr>
        <w:pStyle w:val="BodyText"/>
      </w:pPr>
      <w:r>
        <w:t>At the core of</w:t>
      </w:r>
      <w:r w:rsidR="00124A99">
        <w:t xml:space="preserve"> these</w:t>
      </w:r>
      <w:r>
        <w:t xml:space="preserve"> </w:t>
      </w:r>
      <w:r w:rsidR="00A26FEF">
        <w:t xml:space="preserve">objectives </w:t>
      </w:r>
      <w:r w:rsidR="00124A99">
        <w:t>is</w:t>
      </w:r>
      <w:r w:rsidR="008851C1">
        <w:t xml:space="preserve"> </w:t>
      </w:r>
      <w:r w:rsidR="00C111CB">
        <w:t xml:space="preserve">a </w:t>
      </w:r>
      <w:r>
        <w:t xml:space="preserve">system </w:t>
      </w:r>
      <w:r w:rsidR="00C111CB">
        <w:t xml:space="preserve">that </w:t>
      </w:r>
      <w:r>
        <w:t>improve</w:t>
      </w:r>
      <w:r w:rsidR="00C111CB">
        <w:t>s</w:t>
      </w:r>
      <w:r>
        <w:t xml:space="preserve"> the wellbeing of veterans — part</w:t>
      </w:r>
      <w:r w:rsidR="00124A99">
        <w:t>icularly those who most need</w:t>
      </w:r>
      <w:r>
        <w:t xml:space="preserve"> support.</w:t>
      </w:r>
      <w:r w:rsidR="00FC6539">
        <w:t xml:space="preserve"> </w:t>
      </w:r>
      <w:r w:rsidR="00A26FEF">
        <w:t>However, t</w:t>
      </w:r>
      <w:r w:rsidR="00FC6539">
        <w:t>here are tensions between some of these objectives</w:t>
      </w:r>
      <w:r w:rsidR="00A26FEF">
        <w:t xml:space="preserve"> (</w:t>
      </w:r>
      <w:r w:rsidR="00FC6539">
        <w:t>such as providing adequate compensation and incentives to return to work</w:t>
      </w:r>
      <w:r w:rsidR="00A26FEF">
        <w:t>)</w:t>
      </w:r>
      <w:r w:rsidR="00FC6539">
        <w:t>, while other objectives are complementary.</w:t>
      </w:r>
      <w:r>
        <w:t xml:space="preserve"> </w:t>
      </w:r>
      <w:r w:rsidR="00FC6539">
        <w:t>T</w:t>
      </w:r>
      <w:r w:rsidR="00F056FB">
        <w:t xml:space="preserve">his has a bearing on what, specifically, the system should seek to achieve and how </w:t>
      </w:r>
      <w:r w:rsidR="008957A0">
        <w:t xml:space="preserve">its </w:t>
      </w:r>
      <w:r w:rsidR="00F056FB">
        <w:t>performance should be judged</w:t>
      </w:r>
      <w:r w:rsidR="00FC6539">
        <w:t>.</w:t>
      </w:r>
      <w:r w:rsidR="0010592B">
        <w:t xml:space="preserve"> </w:t>
      </w:r>
      <w:r w:rsidR="000A2A09">
        <w:t>T</w:t>
      </w:r>
      <w:r w:rsidR="008851C1">
        <w:t xml:space="preserve">he system should also </w:t>
      </w:r>
      <w:r w:rsidR="000A2A09">
        <w:t>(as is the case in other areas of public policy)</w:t>
      </w:r>
      <w:r w:rsidR="008851C1">
        <w:t xml:space="preserve"> </w:t>
      </w:r>
      <w:r w:rsidR="000A2A09">
        <w:t xml:space="preserve">be </w:t>
      </w:r>
      <w:r w:rsidR="00AF6F17">
        <w:t>well</w:t>
      </w:r>
      <w:r w:rsidR="00AF6F17">
        <w:noBreakHyphen/>
        <w:t xml:space="preserve">targeted, and </w:t>
      </w:r>
      <w:r w:rsidR="008851C1">
        <w:t>designed and delivered in the most effective and efficient way</w:t>
      </w:r>
      <w:r w:rsidR="003C5392">
        <w:t xml:space="preserve">. </w:t>
      </w:r>
    </w:p>
    <w:p w:rsidR="006A5EE8" w:rsidRDefault="006A5EE8" w:rsidP="00C32CEE">
      <w:pPr>
        <w:pStyle w:val="BoxSpaceAboveElement"/>
        <w:keepLines/>
        <w:rPr>
          <w:vanish w:val="0"/>
          <w:color w:val="auto"/>
        </w:rPr>
      </w:pPr>
      <w:r>
        <w:rPr>
          <w:vanish w:val="0"/>
          <w:color w:val="auto"/>
        </w:rPr>
        <w:br w:type="page"/>
      </w:r>
    </w:p>
    <w:p w:rsidR="00F12379" w:rsidRPr="004E3B94" w:rsidRDefault="00F12379" w:rsidP="00C32CEE">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F12379" w:rsidTr="00C32CEE">
        <w:trPr>
          <w:tblHeader/>
        </w:trPr>
        <w:tc>
          <w:tcPr>
            <w:tcW w:w="5000" w:type="pct"/>
            <w:tcBorders>
              <w:top w:val="single" w:sz="6" w:space="0" w:color="78A22F"/>
              <w:left w:val="nil"/>
              <w:bottom w:val="nil"/>
              <w:right w:val="nil"/>
            </w:tcBorders>
            <w:shd w:val="clear" w:color="auto" w:fill="auto"/>
          </w:tcPr>
          <w:p w:rsidR="00F12379" w:rsidRPr="00CE4C64" w:rsidRDefault="00AD08F0" w:rsidP="00AD08F0">
            <w:pPr>
              <w:pStyle w:val="InformationRequestTitle"/>
              <w:spacing w:before="120"/>
            </w:pPr>
            <w:r>
              <w:t>Questions</w:t>
            </w:r>
          </w:p>
        </w:tc>
      </w:tr>
      <w:tr w:rsidR="00F12379" w:rsidRPr="00750BE2" w:rsidTr="00C32CEE">
        <w:tc>
          <w:tcPr>
            <w:tcW w:w="5000" w:type="pct"/>
            <w:tcBorders>
              <w:top w:val="nil"/>
              <w:left w:val="nil"/>
              <w:bottom w:val="nil"/>
              <w:right w:val="nil"/>
            </w:tcBorders>
            <w:shd w:val="clear" w:color="auto" w:fill="auto"/>
          </w:tcPr>
          <w:p w:rsidR="008957A0" w:rsidRDefault="008957A0" w:rsidP="008957A0">
            <w:pPr>
              <w:pStyle w:val="InformationRequest"/>
            </w:pPr>
            <w:r w:rsidRPr="00552092" w:rsidDel="002A7EF0">
              <w:t xml:space="preserve">What should the </w:t>
            </w:r>
            <w:r>
              <w:t>priority</w:t>
            </w:r>
            <w:r w:rsidRPr="00552092">
              <w:t xml:space="preserve"> objectives </w:t>
            </w:r>
            <w:r>
              <w:t>for</w:t>
            </w:r>
            <w:r w:rsidRPr="00552092">
              <w:t xml:space="preserve"> veterans</w:t>
            </w:r>
            <w:r>
              <w:t>’</w:t>
            </w:r>
            <w:r w:rsidRPr="00552092">
              <w:t xml:space="preserve"> support be</w:t>
            </w:r>
            <w:r w:rsidR="000A2A09">
              <w:t>? W</w:t>
            </w:r>
            <w:r>
              <w:t>hy</w:t>
            </w:r>
            <w:r w:rsidRPr="00552092">
              <w:t>?</w:t>
            </w:r>
            <w:r w:rsidR="0096276C">
              <w:t xml:space="preserve"> What principles should underpin the legislation and administration of the system?</w:t>
            </w:r>
          </w:p>
          <w:p w:rsidR="00A327D7" w:rsidRPr="00A327D7" w:rsidRDefault="00E57C9D" w:rsidP="00AD08F0">
            <w:pPr>
              <w:pStyle w:val="InformationRequest"/>
            </w:pPr>
            <w:r>
              <w:t xml:space="preserve">Is </w:t>
            </w:r>
            <w:r w:rsidR="00972EB6" w:rsidRPr="00552092">
              <w:t xml:space="preserve">the </w:t>
            </w:r>
            <w:r w:rsidR="00AD08F0">
              <w:t xml:space="preserve">current </w:t>
            </w:r>
            <w:r w:rsidR="00972EB6" w:rsidRPr="00552092">
              <w:t xml:space="preserve">system </w:t>
            </w:r>
            <w:r>
              <w:t xml:space="preserve">upholding these </w:t>
            </w:r>
            <w:r w:rsidR="000A2A09">
              <w:t xml:space="preserve">priority </w:t>
            </w:r>
            <w:r w:rsidR="00A4743B">
              <w:t>objectives</w:t>
            </w:r>
            <w:r w:rsidR="00A327D7">
              <w:t xml:space="preserve">? </w:t>
            </w:r>
            <w:r w:rsidR="00DB4E3A">
              <w:t>Where are the key deficiencies in the system?</w:t>
            </w:r>
          </w:p>
        </w:tc>
      </w:tr>
      <w:tr w:rsidR="00F12379" w:rsidTr="008851C1">
        <w:trPr>
          <w:trHeight w:val="76"/>
        </w:trPr>
        <w:tc>
          <w:tcPr>
            <w:tcW w:w="5000" w:type="pct"/>
            <w:tcBorders>
              <w:top w:val="nil"/>
              <w:left w:val="nil"/>
              <w:bottom w:val="single" w:sz="6" w:space="0" w:color="78A22F"/>
              <w:right w:val="nil"/>
            </w:tcBorders>
            <w:shd w:val="clear" w:color="auto" w:fill="auto"/>
          </w:tcPr>
          <w:p w:rsidR="00F12379" w:rsidRDefault="00F12379" w:rsidP="00C32CEE">
            <w:pPr>
              <w:pStyle w:val="Space"/>
              <w:keepLines/>
            </w:pPr>
          </w:p>
        </w:tc>
      </w:tr>
      <w:tr w:rsidR="00F12379" w:rsidRPr="000863A5" w:rsidTr="00C32CEE">
        <w:tc>
          <w:tcPr>
            <w:tcW w:w="5000" w:type="pct"/>
            <w:tcBorders>
              <w:top w:val="single" w:sz="6" w:space="0" w:color="78A22F"/>
              <w:left w:val="nil"/>
              <w:bottom w:val="nil"/>
              <w:right w:val="nil"/>
            </w:tcBorders>
          </w:tcPr>
          <w:p w:rsidR="00F12379" w:rsidRPr="00626D32" w:rsidRDefault="00F12379" w:rsidP="00C32CEE">
            <w:pPr>
              <w:pStyle w:val="BoxSpaceBelow"/>
              <w:keepLines/>
            </w:pPr>
          </w:p>
        </w:tc>
      </w:tr>
    </w:tbl>
    <w:p w:rsidR="00FC6539" w:rsidRDefault="00FC6539" w:rsidP="00717D98">
      <w:pPr>
        <w:pStyle w:val="Heading3"/>
      </w:pPr>
      <w:r>
        <w:t>A system to meet the needs of future veterans</w:t>
      </w:r>
    </w:p>
    <w:p w:rsidR="00AD08F0" w:rsidRDefault="00AD08F0" w:rsidP="009A7B7D">
      <w:pPr>
        <w:pStyle w:val="BodyText"/>
      </w:pPr>
      <w:r>
        <w:t>S</w:t>
      </w:r>
      <w:r w:rsidR="008851C1">
        <w:t xml:space="preserve">upport </w:t>
      </w:r>
      <w:r>
        <w:t xml:space="preserve">provided </w:t>
      </w:r>
      <w:r w:rsidR="008851C1">
        <w:t xml:space="preserve">to </w:t>
      </w:r>
      <w:r w:rsidR="00124A99">
        <w:t>veterans</w:t>
      </w:r>
      <w:r w:rsidR="00234882">
        <w:t xml:space="preserve"> </w:t>
      </w:r>
      <w:r w:rsidR="008851C1">
        <w:t>has</w:t>
      </w:r>
      <w:r w:rsidR="008851C1" w:rsidDel="0023745A">
        <w:t xml:space="preserve"> </w:t>
      </w:r>
      <w:r w:rsidR="008851C1">
        <w:t>evolved in response to a range of factor</w:t>
      </w:r>
      <w:r w:rsidR="001D2256">
        <w:t>s, including</w:t>
      </w:r>
      <w:r>
        <w:t>:</w:t>
      </w:r>
    </w:p>
    <w:p w:rsidR="00AD08F0" w:rsidRDefault="001D2256" w:rsidP="00717D98">
      <w:pPr>
        <w:pStyle w:val="ListBullet"/>
      </w:pPr>
      <w:r>
        <w:t xml:space="preserve">the changing characteristics of service </w:t>
      </w:r>
      <w:r w:rsidR="008957A0">
        <w:t>members</w:t>
      </w:r>
    </w:p>
    <w:p w:rsidR="00AD08F0" w:rsidRDefault="001D2256" w:rsidP="00717D98">
      <w:pPr>
        <w:pStyle w:val="ListBullet"/>
      </w:pPr>
      <w:r>
        <w:t>advances in recogni</w:t>
      </w:r>
      <w:r w:rsidR="006B182B">
        <w:t xml:space="preserve">sing </w:t>
      </w:r>
      <w:r>
        <w:t xml:space="preserve">conditions that may arise </w:t>
      </w:r>
      <w:r w:rsidR="006B182B">
        <w:t xml:space="preserve">from </w:t>
      </w:r>
      <w:r>
        <w:t>service</w:t>
      </w:r>
    </w:p>
    <w:p w:rsidR="00AD08F0" w:rsidRDefault="001D2256" w:rsidP="00717D98">
      <w:pPr>
        <w:pStyle w:val="ListBullet"/>
      </w:pPr>
      <w:r>
        <w:t xml:space="preserve">developments in methods of, and philosophies for, treatment and aiding transition from service. </w:t>
      </w:r>
    </w:p>
    <w:p w:rsidR="00234882" w:rsidRDefault="00731A9A" w:rsidP="009A7B7D">
      <w:pPr>
        <w:pStyle w:val="BodyText"/>
      </w:pPr>
      <w:r>
        <w:t>For example,</w:t>
      </w:r>
      <w:r w:rsidR="002A7EF0">
        <w:t xml:space="preserve"> </w:t>
      </w:r>
      <w:r w:rsidR="007071BD">
        <w:t>t</w:t>
      </w:r>
      <w:r w:rsidR="002A7EF0">
        <w:t xml:space="preserve">he </w:t>
      </w:r>
      <w:r w:rsidR="001D2256">
        <w:t xml:space="preserve">2004 </w:t>
      </w:r>
      <w:r w:rsidR="002A7EF0">
        <w:t>MRCA has a greater focus on rehabilitating veterans</w:t>
      </w:r>
      <w:r w:rsidR="001D2256">
        <w:t xml:space="preserve"> than the 1986 VEA</w:t>
      </w:r>
      <w:r w:rsidR="00FF5ACD">
        <w:t xml:space="preserve"> (</w:t>
      </w:r>
      <w:r w:rsidR="001D2256">
        <w:t>which focuses on providing disability pensions and other financial support for life</w:t>
      </w:r>
      <w:r w:rsidR="00FF5ACD">
        <w:t>)</w:t>
      </w:r>
      <w:r w:rsidR="001D2256">
        <w:t>, reflecting changing attitudes and best practice over time</w:t>
      </w:r>
      <w:r w:rsidR="00A1399B">
        <w:t>.</w:t>
      </w:r>
      <w:r w:rsidR="00900518">
        <w:t xml:space="preserve"> Mental health is also </w:t>
      </w:r>
      <w:r w:rsidR="007459B8">
        <w:t>now</w:t>
      </w:r>
      <w:r w:rsidR="00900518">
        <w:t xml:space="preserve"> receiving increased attention. </w:t>
      </w:r>
    </w:p>
    <w:p w:rsidR="00234882" w:rsidRDefault="00A1399B" w:rsidP="009A7B7D">
      <w:pPr>
        <w:pStyle w:val="BodyText"/>
      </w:pPr>
      <w:r>
        <w:t xml:space="preserve">The </w:t>
      </w:r>
      <w:r w:rsidR="00A045EF">
        <w:t xml:space="preserve">dynamic nature of veterans’ needs </w:t>
      </w:r>
      <w:r>
        <w:t xml:space="preserve">implies </w:t>
      </w:r>
      <w:r w:rsidR="002A7EF0">
        <w:t xml:space="preserve">that the system </w:t>
      </w:r>
      <w:r>
        <w:t>should have sufficient flexibility to</w:t>
      </w:r>
      <w:r w:rsidR="002A7EF0">
        <w:t xml:space="preserve"> </w:t>
      </w:r>
      <w:r w:rsidR="007459B8">
        <w:t xml:space="preserve">be </w:t>
      </w:r>
      <w:r w:rsidR="002A7EF0">
        <w:t xml:space="preserve">able to </w:t>
      </w:r>
      <w:r w:rsidR="001D2256">
        <w:t xml:space="preserve">respond </w:t>
      </w:r>
      <w:r w:rsidR="002A7EF0">
        <w:t xml:space="preserve">to </w:t>
      </w:r>
      <w:r w:rsidR="007315FF">
        <w:t xml:space="preserve">external </w:t>
      </w:r>
      <w:r w:rsidR="00A045EF">
        <w:t xml:space="preserve">changes — </w:t>
      </w:r>
      <w:r>
        <w:t xml:space="preserve">such as medical advances. </w:t>
      </w:r>
      <w:r w:rsidR="001D2256">
        <w:t>A ‘veteran</w:t>
      </w:r>
      <w:r w:rsidR="001D2256">
        <w:noBreakHyphen/>
        <w:t xml:space="preserve">centric’ orientation for the system also implies that </w:t>
      </w:r>
      <w:r>
        <w:t xml:space="preserve">it should </w:t>
      </w:r>
      <w:r w:rsidR="001D2256">
        <w:t xml:space="preserve">allow </w:t>
      </w:r>
      <w:r w:rsidR="002369BC">
        <w:t xml:space="preserve">supports to be designed to meet </w:t>
      </w:r>
      <w:r w:rsidR="00A045EF">
        <w:t>the</w:t>
      </w:r>
      <w:r w:rsidR="002369BC">
        <w:t xml:space="preserve"> </w:t>
      </w:r>
      <w:r>
        <w:t>individual</w:t>
      </w:r>
      <w:r w:rsidR="00A045EF">
        <w:t>’</w:t>
      </w:r>
      <w:r>
        <w:t>s</w:t>
      </w:r>
      <w:r w:rsidR="002369BC">
        <w:t xml:space="preserve"> needs</w:t>
      </w:r>
      <w:r>
        <w:t>.</w:t>
      </w:r>
    </w:p>
    <w:p w:rsidR="002A7EF0" w:rsidRPr="004E3B94" w:rsidRDefault="002A7EF0" w:rsidP="00BD323A">
      <w:pPr>
        <w:pStyle w:val="BoxSpaceAboveElement"/>
        <w:keepNext w:val="0"/>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2A7EF0" w:rsidTr="00174DF8">
        <w:trPr>
          <w:tblHeader/>
        </w:trPr>
        <w:tc>
          <w:tcPr>
            <w:tcW w:w="5000" w:type="pct"/>
            <w:tcBorders>
              <w:top w:val="single" w:sz="6" w:space="0" w:color="78A22F"/>
              <w:left w:val="nil"/>
              <w:bottom w:val="nil"/>
              <w:right w:val="nil"/>
            </w:tcBorders>
            <w:shd w:val="clear" w:color="auto" w:fill="auto"/>
          </w:tcPr>
          <w:p w:rsidR="002A7EF0" w:rsidRPr="00CE4C64" w:rsidRDefault="007315FF" w:rsidP="00BD323A">
            <w:pPr>
              <w:pStyle w:val="InformationRequestTitle"/>
              <w:keepNext w:val="0"/>
              <w:spacing w:before="120"/>
            </w:pPr>
            <w:r>
              <w:t>Question</w:t>
            </w:r>
            <w:r w:rsidR="00D01BB3">
              <w:t>s</w:t>
            </w:r>
          </w:p>
        </w:tc>
      </w:tr>
      <w:tr w:rsidR="002A7EF0" w:rsidRPr="00750BE2" w:rsidTr="00174DF8">
        <w:tc>
          <w:tcPr>
            <w:tcW w:w="5000" w:type="pct"/>
            <w:tcBorders>
              <w:top w:val="nil"/>
              <w:left w:val="nil"/>
              <w:bottom w:val="nil"/>
              <w:right w:val="nil"/>
            </w:tcBorders>
            <w:shd w:val="clear" w:color="auto" w:fill="auto"/>
          </w:tcPr>
          <w:p w:rsidR="00874A6C" w:rsidRDefault="002A7EF0" w:rsidP="00BD323A">
            <w:pPr>
              <w:pStyle w:val="InformationRequest"/>
            </w:pPr>
            <w:r w:rsidRPr="00552092">
              <w:t xml:space="preserve">What should the system of veterans’ support </w:t>
            </w:r>
            <w:r w:rsidR="001812C9">
              <w:t xml:space="preserve">seek to achieve </w:t>
            </w:r>
            <w:r>
              <w:t>in the long</w:t>
            </w:r>
            <w:r w:rsidR="0023745A">
              <w:t>er</w:t>
            </w:r>
            <w:r>
              <w:t xml:space="preserve"> term</w:t>
            </w:r>
            <w:r w:rsidRPr="00552092">
              <w:t>?</w:t>
            </w:r>
            <w:r w:rsidR="00874A6C">
              <w:t xml:space="preserve"> What factors should be considered when examining what is in the best interest of veterans? </w:t>
            </w:r>
          </w:p>
          <w:p w:rsidR="002A7EF0" w:rsidRPr="006E7EE2" w:rsidRDefault="00874A6C" w:rsidP="007C3133">
            <w:pPr>
              <w:pStyle w:val="InformationRequest"/>
            </w:pPr>
            <w:r>
              <w:t>How have veterans’ needs and preferences changed over time?</w:t>
            </w:r>
            <w:r w:rsidR="007C3133">
              <w:t xml:space="preserve"> How</w:t>
            </w:r>
            <w:r>
              <w:t xml:space="preserve"> </w:t>
            </w:r>
            <w:r w:rsidR="007C3133">
              <w:t>c</w:t>
            </w:r>
            <w:r w:rsidR="00D433AC">
              <w:t>an the system better cater for the changing veteran population and the changing needs of veterans?</w:t>
            </w:r>
          </w:p>
        </w:tc>
      </w:tr>
      <w:tr w:rsidR="002A7EF0" w:rsidTr="00174DF8">
        <w:tc>
          <w:tcPr>
            <w:tcW w:w="5000" w:type="pct"/>
            <w:tcBorders>
              <w:top w:val="nil"/>
              <w:left w:val="nil"/>
              <w:bottom w:val="single" w:sz="6" w:space="0" w:color="78A22F"/>
              <w:right w:val="nil"/>
            </w:tcBorders>
            <w:shd w:val="clear" w:color="auto" w:fill="auto"/>
          </w:tcPr>
          <w:p w:rsidR="002A7EF0" w:rsidRDefault="002A7EF0" w:rsidP="00BD323A">
            <w:pPr>
              <w:pStyle w:val="Space"/>
              <w:keepNext w:val="0"/>
              <w:keepLines/>
            </w:pPr>
          </w:p>
        </w:tc>
      </w:tr>
      <w:tr w:rsidR="002A7EF0" w:rsidRPr="000863A5" w:rsidTr="00174DF8">
        <w:tc>
          <w:tcPr>
            <w:tcW w:w="5000" w:type="pct"/>
            <w:tcBorders>
              <w:top w:val="single" w:sz="6" w:space="0" w:color="78A22F"/>
              <w:left w:val="nil"/>
              <w:bottom w:val="nil"/>
              <w:right w:val="nil"/>
            </w:tcBorders>
          </w:tcPr>
          <w:p w:rsidR="002A7EF0" w:rsidRPr="00626D32" w:rsidRDefault="002A7EF0" w:rsidP="00BD323A">
            <w:pPr>
              <w:pStyle w:val="BoxSpaceBelow"/>
              <w:keepLines/>
            </w:pPr>
          </w:p>
        </w:tc>
      </w:tr>
    </w:tbl>
    <w:p w:rsidR="00CD4994" w:rsidRDefault="00717D98" w:rsidP="00CD4994">
      <w:pPr>
        <w:pStyle w:val="Heading3"/>
      </w:pPr>
      <w:r>
        <w:t>How should t</w:t>
      </w:r>
      <w:r w:rsidR="00CD4994">
        <w:t>he nature of military service</w:t>
      </w:r>
      <w:r>
        <w:t xml:space="preserve"> be recognised?</w:t>
      </w:r>
    </w:p>
    <w:p w:rsidR="00CD4994" w:rsidRDefault="00CD4994" w:rsidP="00CD4994">
      <w:pPr>
        <w:pStyle w:val="BodyText"/>
      </w:pPr>
      <w:r>
        <w:t xml:space="preserve">The need for a separate system of veterans’ support has been justified </w:t>
      </w:r>
      <w:r w:rsidR="007722F6">
        <w:t xml:space="preserve">because of </w:t>
      </w:r>
      <w:r>
        <w:t xml:space="preserve">the </w:t>
      </w:r>
      <w:r w:rsidR="0010592B">
        <w:t xml:space="preserve">unique </w:t>
      </w:r>
      <w:r>
        <w:t xml:space="preserve">nature of military service. The Review of Military Compensation Arrangements, for example, stated that ‘… due to the unique nature of military service, compensation arrangements separate from the civilian compensation arrangements should be continued’ </w:t>
      </w:r>
      <w:r w:rsidR="008E0848" w:rsidRPr="008E0848">
        <w:rPr>
          <w:szCs w:val="24"/>
        </w:rPr>
        <w:t>(Campbell 2011a, p. </w:t>
      </w:r>
      <w:r w:rsidR="00CD5953" w:rsidRPr="00CD5953" w:rsidDel="008E0848">
        <w:rPr>
          <w:szCs w:val="24"/>
        </w:rPr>
        <w:t>94)</w:t>
      </w:r>
      <w:r>
        <w:t>.</w:t>
      </w:r>
      <w:r w:rsidR="00C74FF9">
        <w:t xml:space="preserve"> </w:t>
      </w:r>
      <w:r w:rsidR="00900518">
        <w:t>And i</w:t>
      </w:r>
      <w:r w:rsidR="00C74FF9">
        <w:t xml:space="preserve">n part, the </w:t>
      </w:r>
      <w:r w:rsidR="00DB022B">
        <w:t xml:space="preserve">unique </w:t>
      </w:r>
      <w:r w:rsidR="00C74FF9">
        <w:t>nature of military service is recognised in the salary and benefits provided to ADF members</w:t>
      </w:r>
      <w:r w:rsidR="007C3133">
        <w:t>. T</w:t>
      </w:r>
      <w:r w:rsidR="00D3060B">
        <w:t xml:space="preserve">his </w:t>
      </w:r>
      <w:r w:rsidR="00C74FF9">
        <w:t xml:space="preserve">includes a service allowance to </w:t>
      </w:r>
      <w:r w:rsidR="000F5A59">
        <w:lastRenderedPageBreak/>
        <w:t>compensate</w:t>
      </w:r>
      <w:r w:rsidR="00C74FF9">
        <w:t xml:space="preserve"> members for factors such as requirements to relocate and be away from home, and allowances for being deployed.</w:t>
      </w:r>
    </w:p>
    <w:p w:rsidR="00CD4994" w:rsidRDefault="00C23E42" w:rsidP="00CD4994">
      <w:pPr>
        <w:pStyle w:val="BodyText"/>
      </w:pPr>
      <w:r>
        <w:t>However, t</w:t>
      </w:r>
      <w:r w:rsidR="00CD4994">
        <w:t>he</w:t>
      </w:r>
      <w:r w:rsidR="00CD4994" w:rsidDel="00C23E42">
        <w:t xml:space="preserve"> </w:t>
      </w:r>
      <w:r w:rsidR="00CD4994">
        <w:t xml:space="preserve">question </w:t>
      </w:r>
      <w:r>
        <w:t xml:space="preserve">that needs to be asked is </w:t>
      </w:r>
      <w:r w:rsidR="00CD2700">
        <w:t xml:space="preserve">— </w:t>
      </w:r>
      <w:r>
        <w:t xml:space="preserve">what is the best way to </w:t>
      </w:r>
      <w:r w:rsidR="00CD4994">
        <w:t>recognise</w:t>
      </w:r>
      <w:r w:rsidR="00CD2700">
        <w:t xml:space="preserve"> th</w:t>
      </w:r>
      <w:r w:rsidR="00DB4E3A">
        <w:t>e needs of veterans</w:t>
      </w:r>
      <w:r w:rsidR="00CD4994">
        <w:t xml:space="preserve"> in the compensation and other support they receive</w:t>
      </w:r>
      <w:r w:rsidR="00CD2700">
        <w:t>?</w:t>
      </w:r>
      <w:r w:rsidR="00CD4994">
        <w:t xml:space="preserve"> </w:t>
      </w:r>
      <w:r w:rsidR="00CD2700">
        <w:t xml:space="preserve">As </w:t>
      </w:r>
      <w:r w:rsidR="00CD4994" w:rsidDel="00CD2700">
        <w:t>t</w:t>
      </w:r>
      <w:r w:rsidR="00CD4994">
        <w:t>he RSL</w:t>
      </w:r>
      <w:r w:rsidR="00413DEA">
        <w:t>,</w:t>
      </w:r>
      <w:r w:rsidR="00CD4994">
        <w:t xml:space="preserve"> in its submission to the Senate inquiry</w:t>
      </w:r>
      <w:r w:rsidR="00602E8E">
        <w:t xml:space="preserve"> into veterans’ suicide</w:t>
      </w:r>
      <w:r w:rsidR="00413DEA">
        <w:t>,</w:t>
      </w:r>
      <w:r>
        <w:t xml:space="preserve"> said</w:t>
      </w:r>
      <w:r w:rsidR="00CD4994">
        <w:t>:</w:t>
      </w:r>
    </w:p>
    <w:p w:rsidR="00CD4994" w:rsidRDefault="00CD4994" w:rsidP="00CD4994">
      <w:pPr>
        <w:pStyle w:val="Quote"/>
      </w:pPr>
      <w:r>
        <w:t xml:space="preserve">A question that is rarely asked is whether this time, effort and cost results in the best benefit to the veteran concerned? In other words is the award of monetary compensation the optimum outcome or, might something else, rather than a compensation payment, such as comprehensive lifetime health care (i.e. the issue of a gold card) be more appropriate in some circumstances? </w:t>
      </w:r>
      <w:r w:rsidR="00F87615" w:rsidRPr="00E718D4">
        <w:rPr>
          <w:szCs w:val="24"/>
        </w:rPr>
        <w:t>(2016, p. 1</w:t>
      </w:r>
      <w:r w:rsidR="00F87615" w:rsidRPr="00F87615">
        <w:rPr>
          <w:szCs w:val="24"/>
        </w:rPr>
        <w:t>2)</w:t>
      </w:r>
    </w:p>
    <w:p w:rsidR="002204DD" w:rsidRDefault="001C0567" w:rsidP="00CD4994">
      <w:pPr>
        <w:pStyle w:val="BodyText"/>
      </w:pPr>
      <w:r>
        <w:t>F</w:t>
      </w:r>
      <w:r w:rsidR="00CD4994">
        <w:t>or program</w:t>
      </w:r>
      <w:r w:rsidR="0023745A">
        <w:t>s</w:t>
      </w:r>
      <w:r w:rsidR="00CD4994">
        <w:t xml:space="preserve"> delivered to veterans, it needs to be asked how veterans’ needs are different and how best, given these differences, supports should be designed and delivered. In some cases</w:t>
      </w:r>
      <w:r w:rsidR="00CD4994" w:rsidDel="00561671">
        <w:t xml:space="preserve">, </w:t>
      </w:r>
      <w:r w:rsidR="00CD4994">
        <w:t>services may be duplicating those available to the general population</w:t>
      </w:r>
      <w:r w:rsidR="00CD2700">
        <w:t>. This</w:t>
      </w:r>
      <w:r w:rsidR="00CD4994" w:rsidDel="00CD2700">
        <w:t xml:space="preserve"> </w:t>
      </w:r>
      <w:r w:rsidR="00CD4994">
        <w:t xml:space="preserve">can be costly and lead to little </w:t>
      </w:r>
      <w:r w:rsidR="00413DEA">
        <w:t xml:space="preserve">or no </w:t>
      </w:r>
      <w:r w:rsidR="00CD4994">
        <w:t>benefit for the veteran community.</w:t>
      </w:r>
      <w:r w:rsidR="003979B4">
        <w:t xml:space="preserve"> </w:t>
      </w:r>
      <w:r w:rsidR="002204DD">
        <w:t xml:space="preserve">Where the veterans’ support system </w:t>
      </w:r>
      <w:r w:rsidR="005D324C">
        <w:t xml:space="preserve">provides different levels of support </w:t>
      </w:r>
      <w:r w:rsidR="00FF79F7">
        <w:t xml:space="preserve">or sets different hurdles for accessing support </w:t>
      </w:r>
      <w:r w:rsidR="005D324C">
        <w:t>to veterans with similar needs but different service histories,</w:t>
      </w:r>
      <w:r w:rsidR="00DB4E3A">
        <w:t xml:space="preserve"> the </w:t>
      </w:r>
      <w:r w:rsidR="005D324C" w:rsidDel="00DB4E3A">
        <w:t xml:space="preserve">differences need to be justified and </w:t>
      </w:r>
      <w:r w:rsidR="005D324C">
        <w:t>understood</w:t>
      </w:r>
      <w:r w:rsidR="0050481F">
        <w:t xml:space="preserve"> by veterans</w:t>
      </w:r>
      <w:r w:rsidR="005D324C">
        <w:t>.</w:t>
      </w:r>
    </w:p>
    <w:p w:rsidR="00CD4994" w:rsidRPr="004E3B94" w:rsidRDefault="00CD4994" w:rsidP="00BD323A">
      <w:pPr>
        <w:pStyle w:val="BoxSpaceAboveElement"/>
        <w:keepNext w:val="0"/>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D4994" w:rsidTr="004327E3">
        <w:trPr>
          <w:tblHeader/>
        </w:trPr>
        <w:tc>
          <w:tcPr>
            <w:tcW w:w="5000" w:type="pct"/>
            <w:tcBorders>
              <w:top w:val="single" w:sz="6" w:space="0" w:color="78A22F"/>
              <w:left w:val="nil"/>
              <w:bottom w:val="nil"/>
              <w:right w:val="nil"/>
            </w:tcBorders>
            <w:shd w:val="clear" w:color="auto" w:fill="auto"/>
          </w:tcPr>
          <w:p w:rsidR="00CD4994" w:rsidRPr="00CE4C64" w:rsidRDefault="00CD4994" w:rsidP="00BD323A">
            <w:pPr>
              <w:pStyle w:val="InformationRequestTitle"/>
              <w:keepNext w:val="0"/>
              <w:spacing w:before="120"/>
            </w:pPr>
            <w:r>
              <w:t>Questions</w:t>
            </w:r>
          </w:p>
        </w:tc>
      </w:tr>
      <w:tr w:rsidR="00CD4994" w:rsidRPr="00750BE2" w:rsidTr="004327E3">
        <w:tc>
          <w:tcPr>
            <w:tcW w:w="5000" w:type="pct"/>
            <w:tcBorders>
              <w:top w:val="nil"/>
              <w:left w:val="nil"/>
              <w:bottom w:val="nil"/>
              <w:right w:val="nil"/>
            </w:tcBorders>
            <w:shd w:val="clear" w:color="auto" w:fill="auto"/>
          </w:tcPr>
          <w:p w:rsidR="00CD4994" w:rsidRDefault="00CD4994" w:rsidP="00BD323A">
            <w:pPr>
              <w:pStyle w:val="InformationRequest"/>
            </w:pPr>
            <w:r>
              <w:t xml:space="preserve">What are the key characteristics of military service that </w:t>
            </w:r>
            <w:r w:rsidR="00515C49">
              <w:t>mean veterans need</w:t>
            </w:r>
            <w:r>
              <w:t xml:space="preserve"> different services </w:t>
            </w:r>
            <w:r w:rsidR="00FF79F7">
              <w:t>or ways of accessing services</w:t>
            </w:r>
            <w:r>
              <w:t xml:space="preserve"> to those available to the general population?</w:t>
            </w:r>
            <w:r w:rsidR="007913F4">
              <w:t xml:space="preserve"> How should these characteristics be recognised in the system of veterans’ support?</w:t>
            </w:r>
          </w:p>
          <w:p w:rsidR="00CD4994" w:rsidRDefault="006A5544" w:rsidP="00BD323A">
            <w:pPr>
              <w:pStyle w:val="InformationRequest"/>
            </w:pPr>
            <w:r>
              <w:t>What is the rationale for providing different levels of compensation to veterans to that offered for other occupations, including people in other high</w:t>
            </w:r>
            <w:r w:rsidR="00D027D4">
              <w:noBreakHyphen/>
            </w:r>
            <w:r>
              <w:t>risk occupations such as emergency services workers?</w:t>
            </w:r>
            <w:r w:rsidR="00731A9A">
              <w:t xml:space="preserve"> </w:t>
            </w:r>
            <w:r w:rsidR="00900518">
              <w:t xml:space="preserve">Are there </w:t>
            </w:r>
            <w:r w:rsidR="00731A9A">
              <w:t>implications for better policy design?</w:t>
            </w:r>
          </w:p>
          <w:p w:rsidR="00CD4994" w:rsidRPr="009F733E" w:rsidRDefault="00B27381" w:rsidP="00BD323A">
            <w:pPr>
              <w:pStyle w:val="InformationRequest"/>
            </w:pPr>
            <w:r>
              <w:t>Are</w:t>
            </w:r>
            <w:r w:rsidR="00DB4E3A">
              <w:t xml:space="preserve"> differences in support </w:t>
            </w:r>
            <w:r w:rsidR="00FF79F7">
              <w:t xml:space="preserve">and ways of accessing support </w:t>
            </w:r>
            <w:r w:rsidR="004D1532">
              <w:t xml:space="preserve">based on </w:t>
            </w:r>
            <w:r w:rsidR="00DB4E3A">
              <w:t>different types of service</w:t>
            </w:r>
            <w:r>
              <w:t xml:space="preserve"> (</w:t>
            </w:r>
            <w:r w:rsidR="009E3BC8">
              <w:t>such as operational,</w:t>
            </w:r>
            <w:r w:rsidR="00DB4E3A">
              <w:t xml:space="preserve"> peacetime and Reserve service</w:t>
            </w:r>
            <w:r w:rsidR="00B847C9">
              <w:t>)</w:t>
            </w:r>
            <w:r w:rsidR="00DB4E3A">
              <w:t xml:space="preserve"> justified?</w:t>
            </w:r>
            <w:r w:rsidR="0050481F">
              <w:t xml:space="preserve"> </w:t>
            </w:r>
          </w:p>
        </w:tc>
      </w:tr>
      <w:tr w:rsidR="00CD4994" w:rsidTr="004327E3">
        <w:tc>
          <w:tcPr>
            <w:tcW w:w="5000" w:type="pct"/>
            <w:tcBorders>
              <w:top w:val="nil"/>
              <w:left w:val="nil"/>
              <w:bottom w:val="single" w:sz="6" w:space="0" w:color="78A22F"/>
              <w:right w:val="nil"/>
            </w:tcBorders>
            <w:shd w:val="clear" w:color="auto" w:fill="auto"/>
          </w:tcPr>
          <w:p w:rsidR="00CD4994" w:rsidRDefault="00CD4994" w:rsidP="00BD323A">
            <w:pPr>
              <w:pStyle w:val="Space"/>
              <w:keepNext w:val="0"/>
              <w:keepLines/>
            </w:pPr>
          </w:p>
        </w:tc>
      </w:tr>
      <w:tr w:rsidR="00CD4994" w:rsidRPr="000863A5" w:rsidTr="004327E3">
        <w:tc>
          <w:tcPr>
            <w:tcW w:w="5000" w:type="pct"/>
            <w:tcBorders>
              <w:top w:val="single" w:sz="6" w:space="0" w:color="78A22F"/>
              <w:left w:val="nil"/>
              <w:bottom w:val="nil"/>
              <w:right w:val="nil"/>
            </w:tcBorders>
          </w:tcPr>
          <w:p w:rsidR="00CD4994" w:rsidRPr="00626D32" w:rsidRDefault="00CD4994" w:rsidP="00BD323A">
            <w:pPr>
              <w:pStyle w:val="BoxSpaceBelow"/>
              <w:keepLines/>
            </w:pPr>
          </w:p>
        </w:tc>
      </w:tr>
    </w:tbl>
    <w:p w:rsidR="00E47E32" w:rsidRDefault="00E47E32" w:rsidP="00E47E32">
      <w:pPr>
        <w:pStyle w:val="Heading3"/>
      </w:pPr>
      <w:r>
        <w:t>The complexity of veterans’ support</w:t>
      </w:r>
    </w:p>
    <w:p w:rsidR="00E47E32" w:rsidRDefault="00CD4994" w:rsidP="00E47E32">
      <w:pPr>
        <w:pStyle w:val="BodyText"/>
      </w:pPr>
      <w:r>
        <w:t>O</w:t>
      </w:r>
      <w:r w:rsidR="00E47E32">
        <w:t xml:space="preserve">ne of the recurring </w:t>
      </w:r>
      <w:r w:rsidR="000C2082">
        <w:t>themes of</w:t>
      </w:r>
      <w:r w:rsidR="00E47E32">
        <w:t xml:space="preserve"> the </w:t>
      </w:r>
      <w:r w:rsidR="00C20ADE">
        <w:t>S</w:t>
      </w:r>
      <w:r w:rsidR="00E47E32">
        <w:t>enate inquiry</w:t>
      </w:r>
      <w:r w:rsidR="007C3133">
        <w:t xml:space="preserve"> into veterans’ suicide</w:t>
      </w:r>
      <w:r w:rsidR="00E47E32">
        <w:t xml:space="preserve"> was </w:t>
      </w:r>
      <w:r w:rsidR="0090183E">
        <w:t>the</w:t>
      </w:r>
      <w:r w:rsidR="00E47E32">
        <w:t xml:space="preserve"> </w:t>
      </w:r>
      <w:r w:rsidR="00C35969">
        <w:t xml:space="preserve">‘complexity’ of the current system </w:t>
      </w:r>
      <w:r w:rsidR="005021A8">
        <w:t xml:space="preserve">— a </w:t>
      </w:r>
      <w:r w:rsidR="00C35969">
        <w:t>result</w:t>
      </w:r>
      <w:r w:rsidR="005021A8">
        <w:t xml:space="preserve"> of </w:t>
      </w:r>
      <w:r w:rsidR="006E4413">
        <w:t>the</w:t>
      </w:r>
      <w:r w:rsidR="00ED1AC9">
        <w:t>re being</w:t>
      </w:r>
      <w:r>
        <w:t xml:space="preserve"> three </w:t>
      </w:r>
      <w:r w:rsidR="00C35969">
        <w:t xml:space="preserve">pieces of legislation </w:t>
      </w:r>
      <w:r w:rsidR="00ED1AC9">
        <w:t>designed to support veterans,</w:t>
      </w:r>
      <w:r w:rsidR="00C35969">
        <w:t xml:space="preserve"> </w:t>
      </w:r>
      <w:r w:rsidR="00ED1AC9">
        <w:t xml:space="preserve">but </w:t>
      </w:r>
      <w:r w:rsidR="00C35969">
        <w:t>each with its own eligibility requirements and suite of supports</w:t>
      </w:r>
      <w:r w:rsidR="00DF4B20">
        <w:t xml:space="preserve">. For example, the </w:t>
      </w:r>
      <w:r w:rsidR="00D34406">
        <w:t>Government of South Australia</w:t>
      </w:r>
      <w:r w:rsidR="00DF4B20">
        <w:t xml:space="preserve"> s</w:t>
      </w:r>
      <w:r w:rsidR="00CD2700">
        <w:t>aid</w:t>
      </w:r>
      <w:r w:rsidR="00DF4B20">
        <w:t>:</w:t>
      </w:r>
    </w:p>
    <w:p w:rsidR="00DF4B20" w:rsidRPr="006A5EE8" w:rsidRDefault="0070152B" w:rsidP="00DF4B20">
      <w:pPr>
        <w:pStyle w:val="Quote"/>
        <w:rPr>
          <w:spacing w:val="-2"/>
        </w:rPr>
      </w:pPr>
      <w:r w:rsidRPr="006A5EE8">
        <w:rPr>
          <w:spacing w:val="-2"/>
        </w:rPr>
        <w:t xml:space="preserve">Claims for compensation relating to service in the ADF are assessed under one of a number of different Acts, depending on the time and/or the type of the service, with different liability tests applying. </w:t>
      </w:r>
      <w:r w:rsidR="00DF4B20" w:rsidRPr="006A5EE8">
        <w:rPr>
          <w:spacing w:val="-2"/>
        </w:rPr>
        <w:t>This legislative framework is cumbersome, complex, confusing and difficult to navigate for advocates, DVA staff and members of the serving and ex</w:t>
      </w:r>
      <w:r w:rsidR="00D027D4" w:rsidRPr="006A5EE8">
        <w:rPr>
          <w:spacing w:val="-2"/>
        </w:rPr>
        <w:noBreakHyphen/>
      </w:r>
      <w:r w:rsidR="00DF4B20" w:rsidRPr="006A5EE8">
        <w:rPr>
          <w:spacing w:val="-2"/>
        </w:rPr>
        <w:t xml:space="preserve">serving community. </w:t>
      </w:r>
      <w:r w:rsidRPr="006A5EE8">
        <w:rPr>
          <w:spacing w:val="-2"/>
        </w:rPr>
        <w:t xml:space="preserve">In some circumstances a veteran may have a claim under more than one Act requiring the claimant (or their advocate) to make a number of applications to more than one compensatory scheme. </w:t>
      </w:r>
      <w:r w:rsidR="00D34406" w:rsidRPr="006A5EE8">
        <w:rPr>
          <w:spacing w:val="-2"/>
          <w:szCs w:val="24"/>
        </w:rPr>
        <w:t>(2016, p. 4)</w:t>
      </w:r>
      <w:r w:rsidRPr="006A5EE8">
        <w:rPr>
          <w:spacing w:val="-2"/>
        </w:rPr>
        <w:t xml:space="preserve"> </w:t>
      </w:r>
    </w:p>
    <w:p w:rsidR="00731A9A" w:rsidRDefault="0070152B" w:rsidP="00DF4B20">
      <w:pPr>
        <w:pStyle w:val="BodyText"/>
      </w:pPr>
      <w:r>
        <w:lastRenderedPageBreak/>
        <w:t>Because s</w:t>
      </w:r>
      <w:r w:rsidR="00346DE4">
        <w:t>ome veterans</w:t>
      </w:r>
      <w:r w:rsidR="00B5268B">
        <w:t xml:space="preserve"> </w:t>
      </w:r>
      <w:r w:rsidR="00124A99">
        <w:t xml:space="preserve">are </w:t>
      </w:r>
      <w:r w:rsidR="00346DE4">
        <w:t xml:space="preserve">eligible </w:t>
      </w:r>
      <w:r w:rsidR="001A3D69">
        <w:t>for benefits</w:t>
      </w:r>
      <w:r w:rsidR="00346DE4">
        <w:t xml:space="preserve"> under multiple </w:t>
      </w:r>
      <w:r w:rsidR="001A3D69">
        <w:t>Acts</w:t>
      </w:r>
      <w:r w:rsidR="00124A99">
        <w:t>,</w:t>
      </w:r>
      <w:r w:rsidR="00DB4E3A">
        <w:t xml:space="preserve"> and may be eligible to receive different levels of support under each Act for the same injury or illness</w:t>
      </w:r>
      <w:r>
        <w:t>, i</w:t>
      </w:r>
      <w:r w:rsidR="00DB4E3A">
        <w:t xml:space="preserve">t is often unclear to veterans which package of support </w:t>
      </w:r>
      <w:r w:rsidR="005423C4">
        <w:t>is</w:t>
      </w:r>
      <w:r w:rsidR="00DB4E3A">
        <w:t xml:space="preserve"> most beneficial for them</w:t>
      </w:r>
      <w:r w:rsidR="00DB421F">
        <w:t>, and what they are entitled to</w:t>
      </w:r>
      <w:r w:rsidR="00DB4E3A">
        <w:t xml:space="preserve">. </w:t>
      </w:r>
    </w:p>
    <w:p w:rsidR="0080273F" w:rsidRDefault="00DB4E3A" w:rsidP="00DF4B20">
      <w:pPr>
        <w:pStyle w:val="BodyText"/>
      </w:pPr>
      <w:r>
        <w:t>There are also complicated adjustments in support between the Acts to prevent claimants being compensated twice for the same impairment</w:t>
      </w:r>
      <w:r w:rsidR="001A3D69">
        <w:t>.</w:t>
      </w:r>
      <w:r w:rsidR="00FB2611">
        <w:t xml:space="preserve"> Some veterans may be discouraged from accessing supports by</w:t>
      </w:r>
      <w:r w:rsidR="001A3D69">
        <w:t xml:space="preserve"> </w:t>
      </w:r>
      <w:r w:rsidR="00FB2611">
        <w:t>t</w:t>
      </w:r>
      <w:r w:rsidR="001A3D69">
        <w:t xml:space="preserve">he difficulty of </w:t>
      </w:r>
      <w:r w:rsidR="00A002E1">
        <w:t xml:space="preserve">assessing </w:t>
      </w:r>
      <w:r w:rsidR="00FB2611">
        <w:t>their</w:t>
      </w:r>
      <w:r w:rsidR="00A002E1">
        <w:t xml:space="preserve"> entitlements, or the necessity of doing so in circumstances of dispute</w:t>
      </w:r>
      <w:r w:rsidR="00413DEA" w:rsidDel="00FB2611">
        <w:t xml:space="preserve"> </w:t>
      </w:r>
      <w:r w:rsidR="00CB4F01" w:rsidRPr="00CB4F01">
        <w:rPr>
          <w:szCs w:val="24"/>
        </w:rPr>
        <w:t>(SFADTRC 2017)</w:t>
      </w:r>
      <w:r w:rsidR="001A3D69">
        <w:t>.</w:t>
      </w:r>
      <w:r w:rsidR="00A523DF">
        <w:t xml:space="preserve"> </w:t>
      </w:r>
    </w:p>
    <w:p w:rsidR="00CD4994" w:rsidRDefault="00CD4994" w:rsidP="00CD4994">
      <w:pPr>
        <w:pStyle w:val="BodyText"/>
      </w:pPr>
      <w:r>
        <w:t xml:space="preserve">While the VEA and the DRCA </w:t>
      </w:r>
      <w:r w:rsidR="004248CC">
        <w:t>only cover</w:t>
      </w:r>
      <w:r>
        <w:t xml:space="preserve"> injuries or illnesses that occurred prior to 2004, claims under both Acts are continuing, and are likely to continue for some time</w:t>
      </w:r>
      <w:r w:rsidR="00CD2700">
        <w:t xml:space="preserve">. </w:t>
      </w:r>
      <w:r w:rsidR="001C0567">
        <w:t>And u</w:t>
      </w:r>
      <w:r>
        <w:t xml:space="preserve">nlike many other workplace compensation schemes, there is generally no limit on the time between an injury occurring and when a claim for acceptance of liability for injury or death can be made. </w:t>
      </w:r>
      <w:r w:rsidR="00D53E31">
        <w:t xml:space="preserve">Veterans often do not lodge a claim at the time when an incident that causes an impairment occurs </w:t>
      </w:r>
      <w:r>
        <w:t>— for example, in 2011, it took on average 17 years</w:t>
      </w:r>
      <w:r w:rsidR="00D53E31">
        <w:t xml:space="preserve"> from the time </w:t>
      </w:r>
      <w:r w:rsidR="0070152B">
        <w:t xml:space="preserve">a person </w:t>
      </w:r>
      <w:r w:rsidR="00D53E31">
        <w:t>suffered an impairment</w:t>
      </w:r>
      <w:r>
        <w:t xml:space="preserve"> for </w:t>
      </w:r>
      <w:r w:rsidR="0070152B">
        <w:t xml:space="preserve">the </w:t>
      </w:r>
      <w:r>
        <w:t xml:space="preserve">veteran to lodge a claim </w:t>
      </w:r>
      <w:r w:rsidR="008E0848" w:rsidRPr="008E0848">
        <w:rPr>
          <w:szCs w:val="24"/>
        </w:rPr>
        <w:t>(Campbell 2011a)</w:t>
      </w:r>
      <w:r>
        <w:t xml:space="preserve">. </w:t>
      </w:r>
    </w:p>
    <w:p w:rsidR="0094670E" w:rsidRDefault="0094670E" w:rsidP="00DF4B20">
      <w:pPr>
        <w:pStyle w:val="BodyText"/>
      </w:pPr>
      <w:r>
        <w:t xml:space="preserve">There may also be other sources of complexity in the system. For example, </w:t>
      </w:r>
      <w:r w:rsidR="00A002E1">
        <w:t>there are</w:t>
      </w:r>
      <w:r>
        <w:t xml:space="preserve"> </w:t>
      </w:r>
      <w:r w:rsidR="00DB421F">
        <w:t>over 30</w:t>
      </w:r>
      <w:r w:rsidR="007C3133">
        <w:t> </w:t>
      </w:r>
      <w:r>
        <w:t xml:space="preserve">different benefits and allowances available to veterans, depending on when they served, their type of service, their ages and the extent of their injuries or illnesses. </w:t>
      </w:r>
      <w:r w:rsidR="001C0567">
        <w:t xml:space="preserve">Some also </w:t>
      </w:r>
      <w:r w:rsidR="005500BC">
        <w:t>claim</w:t>
      </w:r>
      <w:r w:rsidR="00A002E1" w:rsidDel="005500BC">
        <w:t xml:space="preserve"> </w:t>
      </w:r>
      <w:r w:rsidR="00A002E1">
        <w:t>that the</w:t>
      </w:r>
      <w:r>
        <w:t xml:space="preserve"> administration of the system (discussed below) </w:t>
      </w:r>
      <w:r w:rsidR="005500BC">
        <w:t xml:space="preserve">is a </w:t>
      </w:r>
      <w:r>
        <w:t xml:space="preserve">source of </w:t>
      </w:r>
      <w:r w:rsidR="00A002E1">
        <w:t xml:space="preserve">avoidable </w:t>
      </w:r>
      <w:r>
        <w:t>complexity</w:t>
      </w:r>
      <w:r w:rsidR="00A002E1">
        <w:t xml:space="preserve"> and cost</w:t>
      </w:r>
      <w:r>
        <w:t>.</w:t>
      </w:r>
    </w:p>
    <w:p w:rsidR="00820163" w:rsidRDefault="001A3D69" w:rsidP="00DF4B20">
      <w:pPr>
        <w:pStyle w:val="BodyText"/>
      </w:pPr>
      <w:r>
        <w:t xml:space="preserve">The Commission </w:t>
      </w:r>
      <w:r w:rsidR="0070152B">
        <w:t xml:space="preserve">would like </w:t>
      </w:r>
      <w:r>
        <w:t xml:space="preserve">feedback </w:t>
      </w:r>
      <w:r w:rsidR="005500BC">
        <w:t>on</w:t>
      </w:r>
      <w:r w:rsidR="007A3561" w:rsidDel="005500BC">
        <w:t xml:space="preserve"> </w:t>
      </w:r>
      <w:r w:rsidR="007A3561">
        <w:t>where the</w:t>
      </w:r>
      <w:r w:rsidR="007C3133">
        <w:t xml:space="preserve"> system is most complex</w:t>
      </w:r>
      <w:r w:rsidR="007A3561">
        <w:t xml:space="preserve">, </w:t>
      </w:r>
      <w:r w:rsidR="00A002E1">
        <w:t>the consequences (</w:t>
      </w:r>
      <w:r w:rsidR="007C3133">
        <w:t>and</w:t>
      </w:r>
      <w:r w:rsidR="00A002E1">
        <w:t xml:space="preserve"> costs) </w:t>
      </w:r>
      <w:r w:rsidR="009635BA">
        <w:t xml:space="preserve">of this complexity, </w:t>
      </w:r>
      <w:r w:rsidR="004D10C7">
        <w:t>any beneficial aspects</w:t>
      </w:r>
      <w:r w:rsidR="00A523DF">
        <w:t xml:space="preserve"> </w:t>
      </w:r>
      <w:r w:rsidR="00A002E1">
        <w:t>of</w:t>
      </w:r>
      <w:r w:rsidR="009635BA">
        <w:t xml:space="preserve"> </w:t>
      </w:r>
      <w:r w:rsidR="0097291A">
        <w:t xml:space="preserve">the policy purpose or </w:t>
      </w:r>
      <w:r w:rsidR="00A523DF">
        <w:t>design</w:t>
      </w:r>
      <w:r w:rsidR="004D10C7">
        <w:t xml:space="preserve"> giving rise to this complexity</w:t>
      </w:r>
      <w:r w:rsidR="00A002E1">
        <w:t xml:space="preserve">, </w:t>
      </w:r>
      <w:r w:rsidR="007A3561">
        <w:t>and</w:t>
      </w:r>
      <w:r>
        <w:t xml:space="preserve"> how the system </w:t>
      </w:r>
      <w:r w:rsidR="005500BC">
        <w:t xml:space="preserve">might </w:t>
      </w:r>
      <w:r>
        <w:t xml:space="preserve">be simplified. </w:t>
      </w:r>
    </w:p>
    <w:p w:rsidR="00C32CEE" w:rsidRPr="004E3B94" w:rsidRDefault="00C32CEE" w:rsidP="00C32CEE">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32CEE" w:rsidTr="00C32CEE">
        <w:trPr>
          <w:tblHeader/>
        </w:trPr>
        <w:tc>
          <w:tcPr>
            <w:tcW w:w="5000" w:type="pct"/>
            <w:tcBorders>
              <w:top w:val="single" w:sz="6" w:space="0" w:color="78A22F"/>
              <w:left w:val="nil"/>
              <w:bottom w:val="nil"/>
              <w:right w:val="nil"/>
            </w:tcBorders>
            <w:shd w:val="clear" w:color="auto" w:fill="auto"/>
          </w:tcPr>
          <w:p w:rsidR="00C32CEE" w:rsidRPr="00CE4C64" w:rsidRDefault="005500BC" w:rsidP="005500BC">
            <w:pPr>
              <w:pStyle w:val="InformationRequestTitle"/>
              <w:spacing w:before="120"/>
            </w:pPr>
            <w:r>
              <w:t>Questions</w:t>
            </w:r>
          </w:p>
        </w:tc>
      </w:tr>
      <w:tr w:rsidR="00C32CEE" w:rsidRPr="00750BE2" w:rsidTr="00C32CEE">
        <w:tc>
          <w:tcPr>
            <w:tcW w:w="5000" w:type="pct"/>
            <w:tcBorders>
              <w:top w:val="nil"/>
              <w:left w:val="nil"/>
              <w:bottom w:val="nil"/>
              <w:right w:val="nil"/>
            </w:tcBorders>
            <w:shd w:val="clear" w:color="auto" w:fill="auto"/>
          </w:tcPr>
          <w:p w:rsidR="006E71AF" w:rsidRDefault="00174DF8" w:rsidP="00F2189F">
            <w:pPr>
              <w:pStyle w:val="InformationRequest"/>
              <w:keepNext/>
            </w:pPr>
            <w:r>
              <w:t xml:space="preserve">What </w:t>
            </w:r>
            <w:r w:rsidR="009635BA">
              <w:t xml:space="preserve">are </w:t>
            </w:r>
            <w:r>
              <w:t>the source</w:t>
            </w:r>
            <w:r w:rsidR="009635BA">
              <w:t>s</w:t>
            </w:r>
            <w:r>
              <w:t xml:space="preserve"> of complexity in the system of veterans’ support? What are the </w:t>
            </w:r>
            <w:r w:rsidR="00594DA3">
              <w:t xml:space="preserve">reasons and </w:t>
            </w:r>
            <w:r w:rsidR="009635BA">
              <w:t>consequences (</w:t>
            </w:r>
            <w:r>
              <w:t>costs</w:t>
            </w:r>
            <w:r w:rsidR="009635BA">
              <w:t>)</w:t>
            </w:r>
            <w:r>
              <w:t xml:space="preserve"> of this complexity?</w:t>
            </w:r>
            <w:r w:rsidR="009635BA">
              <w:t xml:space="preserve"> </w:t>
            </w:r>
            <w:r w:rsidR="006E71AF">
              <w:t xml:space="preserve">What </w:t>
            </w:r>
            <w:r w:rsidR="000A5066">
              <w:t xml:space="preserve">changes could be made </w:t>
            </w:r>
            <w:r w:rsidR="006E71AF">
              <w:t xml:space="preserve">to make the system of veterans’ support </w:t>
            </w:r>
            <w:r w:rsidR="000A5066">
              <w:t>less complex and easier for veterans to navigate</w:t>
            </w:r>
            <w:r w:rsidR="006E71AF">
              <w:t xml:space="preserve">? </w:t>
            </w:r>
          </w:p>
          <w:p w:rsidR="006E71AF" w:rsidRDefault="006E71AF" w:rsidP="00F2189F">
            <w:pPr>
              <w:pStyle w:val="InformationRequest"/>
              <w:keepNext/>
            </w:pPr>
            <w:r>
              <w:t xml:space="preserve">Can you point to </w:t>
            </w:r>
            <w:r w:rsidR="00900518">
              <w:t xml:space="preserve">any features or </w:t>
            </w:r>
            <w:r>
              <w:t>examples</w:t>
            </w:r>
            <w:r w:rsidR="009E325B">
              <w:t xml:space="preserve"> in other </w:t>
            </w:r>
            <w:r w:rsidR="00900518">
              <w:t>worker</w:t>
            </w:r>
            <w:r w:rsidR="009D0997">
              <w:t>s’</w:t>
            </w:r>
            <w:r w:rsidR="00900518">
              <w:t xml:space="preserve"> compensation arrangements and military compensation frameworks</w:t>
            </w:r>
            <w:r w:rsidR="009E325B">
              <w:t xml:space="preserve"> (</w:t>
            </w:r>
            <w:r>
              <w:t xml:space="preserve">in Australia </w:t>
            </w:r>
            <w:r w:rsidR="005D795B">
              <w:t xml:space="preserve">or </w:t>
            </w:r>
            <w:r>
              <w:t>overseas</w:t>
            </w:r>
            <w:r w:rsidR="009E325B">
              <w:t>)</w:t>
            </w:r>
            <w:r>
              <w:t xml:space="preserve">, </w:t>
            </w:r>
            <w:r w:rsidR="007C3133">
              <w:t>that</w:t>
            </w:r>
            <w:r w:rsidR="00874A6C">
              <w:t xml:space="preserve"> may be relevant to improving the system of veterans’ support</w:t>
            </w:r>
            <w:r>
              <w:t>?</w:t>
            </w:r>
          </w:p>
          <w:p w:rsidR="0097291A" w:rsidRPr="0097291A" w:rsidRDefault="000A5066" w:rsidP="00F2189F">
            <w:pPr>
              <w:pStyle w:val="InformationRequest"/>
              <w:keepNext/>
            </w:pPr>
            <w:r>
              <w:t xml:space="preserve">Is it possible to consolidate the entitlements into </w:t>
            </w:r>
            <w:r w:rsidR="00745BF3" w:rsidRPr="00745BF3">
              <w:t xml:space="preserve">one </w:t>
            </w:r>
            <w:r w:rsidR="00340E5E">
              <w:t>A</w:t>
            </w:r>
            <w:r w:rsidR="00745BF3" w:rsidRPr="00745BF3">
              <w:t>ct</w:t>
            </w:r>
            <w:r>
              <w:t>? I</w:t>
            </w:r>
            <w:r w:rsidR="0019158E">
              <w:t>f</w:t>
            </w:r>
            <w:r>
              <w:t xml:space="preserve"> so, how would it </w:t>
            </w:r>
            <w:r w:rsidR="00745BF3" w:rsidRPr="00745BF3">
              <w:t>be done?</w:t>
            </w:r>
            <w:r w:rsidR="00745BF3">
              <w:t xml:space="preserve"> What transitional </w:t>
            </w:r>
            <w:r>
              <w:t>arrangements would be required</w:t>
            </w:r>
            <w:r w:rsidR="00745BF3">
              <w:t>?</w:t>
            </w:r>
            <w:r w:rsidR="0097291A">
              <w:t xml:space="preserve"> How might these be managed?</w:t>
            </w:r>
          </w:p>
          <w:p w:rsidR="00C32CEE" w:rsidRPr="006E7EE2" w:rsidRDefault="00DB421F" w:rsidP="00F2189F">
            <w:pPr>
              <w:pStyle w:val="InformationRequest"/>
              <w:keepNext/>
            </w:pPr>
            <w:r>
              <w:t>Are there approaches, other than grandfathering entitlements, that can preserve outcomes for veterans receiving benefits or who may lodge a claim in the future?</w:t>
            </w:r>
          </w:p>
        </w:tc>
      </w:tr>
      <w:tr w:rsidR="00C32CEE" w:rsidTr="00C32CEE">
        <w:tc>
          <w:tcPr>
            <w:tcW w:w="5000" w:type="pct"/>
            <w:tcBorders>
              <w:top w:val="nil"/>
              <w:left w:val="nil"/>
              <w:bottom w:val="single" w:sz="6" w:space="0" w:color="78A22F"/>
              <w:right w:val="nil"/>
            </w:tcBorders>
            <w:shd w:val="clear" w:color="auto" w:fill="auto"/>
          </w:tcPr>
          <w:p w:rsidR="00C32CEE" w:rsidRDefault="00C32CEE" w:rsidP="00C32CEE">
            <w:pPr>
              <w:pStyle w:val="Space"/>
              <w:keepLines/>
            </w:pPr>
          </w:p>
        </w:tc>
      </w:tr>
      <w:tr w:rsidR="00C32CEE" w:rsidRPr="000863A5" w:rsidTr="00C32CEE">
        <w:tc>
          <w:tcPr>
            <w:tcW w:w="5000" w:type="pct"/>
            <w:tcBorders>
              <w:top w:val="single" w:sz="6" w:space="0" w:color="78A22F"/>
              <w:left w:val="nil"/>
              <w:bottom w:val="nil"/>
              <w:right w:val="nil"/>
            </w:tcBorders>
          </w:tcPr>
          <w:p w:rsidR="00C32CEE" w:rsidRPr="00626D32" w:rsidRDefault="00C32CEE" w:rsidP="00C32CEE">
            <w:pPr>
              <w:pStyle w:val="BoxSpaceBelow"/>
              <w:keepLines/>
            </w:pPr>
          </w:p>
        </w:tc>
      </w:tr>
    </w:tbl>
    <w:p w:rsidR="00227C33" w:rsidRDefault="0031789C" w:rsidP="00227C33">
      <w:pPr>
        <w:pStyle w:val="Heading3"/>
      </w:pPr>
      <w:r>
        <w:lastRenderedPageBreak/>
        <w:t xml:space="preserve">The claims </w:t>
      </w:r>
      <w:r w:rsidR="006E727A">
        <w:t xml:space="preserve">and appeals </w:t>
      </w:r>
      <w:r>
        <w:t>process</w:t>
      </w:r>
    </w:p>
    <w:p w:rsidR="006E727A" w:rsidRDefault="00174DF8" w:rsidP="00227C33">
      <w:pPr>
        <w:pStyle w:val="BodyText"/>
      </w:pPr>
      <w:r>
        <w:t>P</w:t>
      </w:r>
      <w:r w:rsidR="0031789C">
        <w:t xml:space="preserve">articipants to previous reviews </w:t>
      </w:r>
      <w:r w:rsidR="00283A21">
        <w:t xml:space="preserve">were </w:t>
      </w:r>
      <w:r>
        <w:t>critic</w:t>
      </w:r>
      <w:r w:rsidR="00283A21">
        <w:t xml:space="preserve">al of </w:t>
      </w:r>
      <w:r w:rsidR="0031789C">
        <w:t xml:space="preserve">the claims </w:t>
      </w:r>
      <w:r w:rsidR="006E727A">
        <w:t xml:space="preserve">and appeals </w:t>
      </w:r>
      <w:r w:rsidR="0031789C">
        <w:t>process and the administration of the s</w:t>
      </w:r>
      <w:r w:rsidR="004D64BB">
        <w:t>ystem</w:t>
      </w:r>
      <w:r w:rsidR="0031789C">
        <w:t xml:space="preserve">. </w:t>
      </w:r>
      <w:r w:rsidR="00AF7F5E">
        <w:t xml:space="preserve">Key concerns </w:t>
      </w:r>
      <w:r w:rsidR="00283A21">
        <w:t>included</w:t>
      </w:r>
      <w:r w:rsidR="00AF7F5E">
        <w:t xml:space="preserve"> delays in claims processing, </w:t>
      </w:r>
      <w:r w:rsidR="00365E67">
        <w:t>the quality and consistency of decisions, incorrect payments, and an adversarial approach to decision making</w:t>
      </w:r>
      <w:r w:rsidR="00265C9B">
        <w:t xml:space="preserve"> </w:t>
      </w:r>
      <w:r w:rsidR="00265C9B" w:rsidRPr="00265C9B">
        <w:rPr>
          <w:szCs w:val="24"/>
        </w:rPr>
        <w:t>(NMHC 2017; SFADTRC 2017)</w:t>
      </w:r>
      <w:r w:rsidR="00365E67">
        <w:t>.</w:t>
      </w:r>
      <w:r w:rsidR="003B4AC5">
        <w:t xml:space="preserve"> </w:t>
      </w:r>
      <w:r w:rsidR="000056E3">
        <w:t>And as t</w:t>
      </w:r>
      <w:r w:rsidR="003B4AC5">
        <w:t>he N</w:t>
      </w:r>
      <w:r w:rsidR="007C3133">
        <w:t xml:space="preserve">ational </w:t>
      </w:r>
      <w:r w:rsidR="003B4AC5">
        <w:t>M</w:t>
      </w:r>
      <w:r w:rsidR="007C3133">
        <w:t xml:space="preserve">ental </w:t>
      </w:r>
      <w:r w:rsidR="003B4AC5">
        <w:t>H</w:t>
      </w:r>
      <w:r w:rsidR="007C3133">
        <w:t xml:space="preserve">ealth </w:t>
      </w:r>
      <w:r w:rsidR="003B4AC5">
        <w:t>C</w:t>
      </w:r>
      <w:r w:rsidR="007C3133">
        <w:t>ommission</w:t>
      </w:r>
      <w:r w:rsidR="003B4AC5">
        <w:t xml:space="preserve"> </w:t>
      </w:r>
      <w:r w:rsidR="001D6FEE" w:rsidRPr="001D6FEE">
        <w:t>(2017)</w:t>
      </w:r>
      <w:r w:rsidR="003B4AC5">
        <w:t xml:space="preserve"> </w:t>
      </w:r>
      <w:r w:rsidR="00283A21">
        <w:t>said</w:t>
      </w:r>
      <w:r w:rsidR="000056E3">
        <w:t>,</w:t>
      </w:r>
      <w:r w:rsidR="003B4AC5">
        <w:t xml:space="preserve"> these difficulties can cause aggravation and distress for veteran</w:t>
      </w:r>
      <w:r w:rsidR="00340E5E">
        <w:t>s</w:t>
      </w:r>
      <w:r w:rsidR="003B4AC5">
        <w:t>, potentially worsening</w:t>
      </w:r>
      <w:r w:rsidR="00891719">
        <w:t xml:space="preserve"> </w:t>
      </w:r>
      <w:r w:rsidR="000056E3">
        <w:t xml:space="preserve">a </w:t>
      </w:r>
      <w:r w:rsidR="003B4AC5">
        <w:t xml:space="preserve">veteran’s condition, and </w:t>
      </w:r>
      <w:r w:rsidR="00CC3F16">
        <w:t xml:space="preserve">their </w:t>
      </w:r>
      <w:r w:rsidR="003B4AC5">
        <w:t>distrust of DVA.</w:t>
      </w:r>
    </w:p>
    <w:p w:rsidR="00BE464A" w:rsidRDefault="00BE464A" w:rsidP="00227C33">
      <w:pPr>
        <w:pStyle w:val="BodyText"/>
      </w:pPr>
      <w:r>
        <w:t xml:space="preserve">Veterans can be assisted through the claims </w:t>
      </w:r>
      <w:r w:rsidR="006E727A">
        <w:t xml:space="preserve">and appeals </w:t>
      </w:r>
      <w:r>
        <w:t xml:space="preserve">process by advocates provided by </w:t>
      </w:r>
      <w:r w:rsidR="007C40C9">
        <w:t>ESOs</w:t>
      </w:r>
      <w:r>
        <w:t xml:space="preserve">. Advocates </w:t>
      </w:r>
      <w:r w:rsidR="00E60A55">
        <w:t>offer</w:t>
      </w:r>
      <w:r>
        <w:t xml:space="preserve"> advice to veterans on the support and services available to them, and help </w:t>
      </w:r>
      <w:r w:rsidR="00283A21">
        <w:t xml:space="preserve">them </w:t>
      </w:r>
      <w:r>
        <w:t>lodge claims</w:t>
      </w:r>
      <w:r w:rsidR="000B10B8">
        <w:t xml:space="preserve"> and appeals</w:t>
      </w:r>
      <w:r>
        <w:t>. Advocates receive training and accreditation through DVA.</w:t>
      </w:r>
    </w:p>
    <w:p w:rsidR="00365E67" w:rsidRDefault="0014322A" w:rsidP="00227C33">
      <w:pPr>
        <w:pStyle w:val="BodyText"/>
      </w:pPr>
      <w:r>
        <w:t>DVA</w:t>
      </w:r>
      <w:r w:rsidR="00283A21">
        <w:t xml:space="preserve">’s </w:t>
      </w:r>
      <w:r w:rsidR="00365E67">
        <w:t>Veteran Centric Reform</w:t>
      </w:r>
      <w:r>
        <w:t xml:space="preserve"> program</w:t>
      </w:r>
      <w:r w:rsidR="00365E67">
        <w:t xml:space="preserve"> </w:t>
      </w:r>
      <w:r w:rsidR="00283A21">
        <w:t xml:space="preserve">is </w:t>
      </w:r>
      <w:r w:rsidR="00731A9A">
        <w:t xml:space="preserve">intended </w:t>
      </w:r>
      <w:r>
        <w:t>t</w:t>
      </w:r>
      <w:r w:rsidR="00365E67">
        <w:t>o improve the administration of the system</w:t>
      </w:r>
      <w:r w:rsidR="00283A21">
        <w:t>. H</w:t>
      </w:r>
      <w:r w:rsidR="00CC3F16">
        <w:t xml:space="preserve">owever, because </w:t>
      </w:r>
      <w:r w:rsidR="00283A21">
        <w:t xml:space="preserve">it is early days, </w:t>
      </w:r>
      <w:r w:rsidR="00365E67">
        <w:t xml:space="preserve">it remains to be seen </w:t>
      </w:r>
      <w:r w:rsidR="00283A21">
        <w:t xml:space="preserve">what improvements the program will make to </w:t>
      </w:r>
      <w:r w:rsidR="00365E67">
        <w:t>the administration of the system.</w:t>
      </w:r>
    </w:p>
    <w:p w:rsidR="00365E67" w:rsidRPr="004E3B94" w:rsidRDefault="00365E67" w:rsidP="00C32CEE">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365E67" w:rsidTr="00C32CEE">
        <w:trPr>
          <w:tblHeader/>
        </w:trPr>
        <w:tc>
          <w:tcPr>
            <w:tcW w:w="5000" w:type="pct"/>
            <w:tcBorders>
              <w:top w:val="single" w:sz="6" w:space="0" w:color="78A22F"/>
              <w:left w:val="nil"/>
              <w:bottom w:val="nil"/>
              <w:right w:val="nil"/>
            </w:tcBorders>
            <w:shd w:val="clear" w:color="auto" w:fill="auto"/>
          </w:tcPr>
          <w:p w:rsidR="00365E67" w:rsidRPr="00CE4C64" w:rsidRDefault="00CC3F16" w:rsidP="00C32CEE">
            <w:pPr>
              <w:pStyle w:val="InformationRequestTitle"/>
              <w:spacing w:before="120"/>
            </w:pPr>
            <w:r>
              <w:t>Questions</w:t>
            </w:r>
          </w:p>
        </w:tc>
      </w:tr>
      <w:tr w:rsidR="00365E67" w:rsidRPr="00750BE2" w:rsidTr="00C32CEE">
        <w:tc>
          <w:tcPr>
            <w:tcW w:w="5000" w:type="pct"/>
            <w:tcBorders>
              <w:top w:val="nil"/>
              <w:left w:val="nil"/>
              <w:bottom w:val="nil"/>
              <w:right w:val="nil"/>
            </w:tcBorders>
            <w:shd w:val="clear" w:color="auto" w:fill="auto"/>
          </w:tcPr>
          <w:p w:rsidR="00731725" w:rsidRDefault="00891719">
            <w:pPr>
              <w:pStyle w:val="InformationRequest"/>
              <w:keepNext/>
            </w:pPr>
            <w:r>
              <w:t xml:space="preserve">How could the administration of the claims </w:t>
            </w:r>
            <w:r w:rsidR="000B10B8" w:rsidRPr="00731725">
              <w:t xml:space="preserve">and appeals </w:t>
            </w:r>
            <w:r>
              <w:t xml:space="preserve">process be improved to deliver </w:t>
            </w:r>
            <w:r w:rsidR="00EA76B3">
              <w:t xml:space="preserve">more </w:t>
            </w:r>
            <w:r>
              <w:t>effective and timely services to veterans in the future?</w:t>
            </w:r>
            <w:r w:rsidR="000B10B8" w:rsidRPr="00731725">
              <w:t xml:space="preserve"> </w:t>
            </w:r>
          </w:p>
          <w:p w:rsidR="00903E9B" w:rsidRDefault="000B10B8">
            <w:pPr>
              <w:pStyle w:val="InformationRequest"/>
              <w:keepNext/>
            </w:pPr>
            <w:r w:rsidRPr="00731725">
              <w:t xml:space="preserve">Are there diverging areas of the claims and appeals process </w:t>
            </w:r>
            <w:r w:rsidRPr="00F9134F">
              <w:t xml:space="preserve">under </w:t>
            </w:r>
            <w:r w:rsidR="00EA76B3">
              <w:t xml:space="preserve">the </w:t>
            </w:r>
            <w:r w:rsidR="00731725">
              <w:t>different</w:t>
            </w:r>
            <w:r w:rsidRPr="00731725">
              <w:t xml:space="preserve"> Acts that could be harmonised?</w:t>
            </w:r>
          </w:p>
          <w:p w:rsidR="00A2352C" w:rsidRDefault="00903E9B" w:rsidP="007B2661">
            <w:pPr>
              <w:pStyle w:val="InformationRequest"/>
              <w:keepNext/>
            </w:pPr>
            <w:r>
              <w:t>Are there aspects of the claims and appeals process that result in inequitable outcomes for veterans, such as limitations on legal representation?</w:t>
            </w:r>
          </w:p>
          <w:p w:rsidR="002C4267" w:rsidRDefault="002C4267" w:rsidP="002C4267">
            <w:pPr>
              <w:pStyle w:val="InformationRequest"/>
              <w:keepNext/>
            </w:pPr>
            <w:r>
              <w:t>Will the Veteran Centric Reform program address the problems with the administration of the veterans’ support system?</w:t>
            </w:r>
          </w:p>
          <w:p w:rsidR="002C4267" w:rsidRPr="002C4267" w:rsidRDefault="002C4267" w:rsidP="002C4267">
            <w:pPr>
              <w:pStyle w:val="InformationRequest"/>
            </w:pPr>
            <w:r>
              <w:t>Are advocates effective? How could their use be improved? Are there any lessons that can be drawn from advocates about how individualised support could be best provided to veterans?</w:t>
            </w:r>
          </w:p>
        </w:tc>
      </w:tr>
      <w:tr w:rsidR="00365E67" w:rsidTr="00C32CEE">
        <w:tc>
          <w:tcPr>
            <w:tcW w:w="5000" w:type="pct"/>
            <w:tcBorders>
              <w:top w:val="nil"/>
              <w:left w:val="nil"/>
              <w:bottom w:val="single" w:sz="6" w:space="0" w:color="78A22F"/>
              <w:right w:val="nil"/>
            </w:tcBorders>
            <w:shd w:val="clear" w:color="auto" w:fill="auto"/>
          </w:tcPr>
          <w:p w:rsidR="00365E67" w:rsidRDefault="00365E67" w:rsidP="00C32CEE">
            <w:pPr>
              <w:pStyle w:val="Space"/>
              <w:keepLines/>
            </w:pPr>
          </w:p>
        </w:tc>
      </w:tr>
      <w:tr w:rsidR="00365E67" w:rsidRPr="000863A5" w:rsidTr="00BD323A">
        <w:trPr>
          <w:trHeight w:val="86"/>
        </w:trPr>
        <w:tc>
          <w:tcPr>
            <w:tcW w:w="5000" w:type="pct"/>
            <w:tcBorders>
              <w:top w:val="single" w:sz="6" w:space="0" w:color="78A22F"/>
              <w:left w:val="nil"/>
              <w:bottom w:val="nil"/>
              <w:right w:val="nil"/>
            </w:tcBorders>
          </w:tcPr>
          <w:p w:rsidR="00365E67" w:rsidRPr="00626D32" w:rsidRDefault="00365E67" w:rsidP="007B2661">
            <w:pPr>
              <w:pStyle w:val="BoxSpaceBelow"/>
              <w:keepLines/>
            </w:pPr>
          </w:p>
        </w:tc>
      </w:tr>
    </w:tbl>
    <w:p w:rsidR="00C02C06" w:rsidRDefault="00413DEA" w:rsidP="00227C33">
      <w:pPr>
        <w:pStyle w:val="BodyText"/>
      </w:pPr>
      <w:proofErr w:type="spellStart"/>
      <w:r>
        <w:t>SoP</w:t>
      </w:r>
      <w:r w:rsidR="0019702A">
        <w:t>s</w:t>
      </w:r>
      <w:proofErr w:type="spellEnd"/>
      <w:r>
        <w:t xml:space="preserve"> </w:t>
      </w:r>
      <w:r w:rsidR="000E5483">
        <w:t>are binding legislative instruments that set out the service</w:t>
      </w:r>
      <w:r w:rsidR="00D027D4">
        <w:noBreakHyphen/>
      </w:r>
      <w:r w:rsidR="000E5483">
        <w:t xml:space="preserve">related factors that could cause a medical condition, based on available medical and scientific evidence. For a claim to </w:t>
      </w:r>
      <w:r w:rsidR="00731A9A">
        <w:t>progress</w:t>
      </w:r>
      <w:r w:rsidR="000E5483">
        <w:t>, at least on</w:t>
      </w:r>
      <w:r w:rsidR="00C02FCF">
        <w:t>e of</w:t>
      </w:r>
      <w:r w:rsidR="000E5483">
        <w:t xml:space="preserve"> the factors listed in the relevant </w:t>
      </w:r>
      <w:proofErr w:type="spellStart"/>
      <w:r w:rsidR="000E5483">
        <w:t>SoP</w:t>
      </w:r>
      <w:proofErr w:type="spellEnd"/>
      <w:r w:rsidR="000E5483">
        <w:t xml:space="preserve"> must be proven to have been present during the claimant’s service. </w:t>
      </w:r>
    </w:p>
    <w:p w:rsidR="00227C33" w:rsidRDefault="00227C33" w:rsidP="00227C33">
      <w:pPr>
        <w:pStyle w:val="BodyText"/>
      </w:pPr>
      <w:r>
        <w:t xml:space="preserve">The </w:t>
      </w:r>
      <w:proofErr w:type="spellStart"/>
      <w:r>
        <w:t>SoPs</w:t>
      </w:r>
      <w:proofErr w:type="spellEnd"/>
      <w:r>
        <w:t xml:space="preserve"> were introduced into the </w:t>
      </w:r>
      <w:r w:rsidR="007C3133">
        <w:t>VEA (and later, the MRCA)</w:t>
      </w:r>
      <w:r w:rsidR="00BB64ED">
        <w:t xml:space="preserve"> in 1994</w:t>
      </w:r>
      <w:r w:rsidR="007C3133">
        <w:t xml:space="preserve"> </w:t>
      </w:r>
      <w:r w:rsidR="00BB64ED">
        <w:t>to create ‘a more equitable, more efficient, consistent, and less adversarial system of dealing with claims’</w:t>
      </w:r>
      <w:r w:rsidR="00E97391">
        <w:t xml:space="preserve"> </w:t>
      </w:r>
      <w:r w:rsidR="008E0848" w:rsidRPr="008E0848">
        <w:rPr>
          <w:szCs w:val="24"/>
        </w:rPr>
        <w:t>(Campbell 2011b, p. </w:t>
      </w:r>
      <w:r w:rsidR="00E97391" w:rsidRPr="00E97391" w:rsidDel="008E0848">
        <w:rPr>
          <w:szCs w:val="24"/>
        </w:rPr>
        <w:t>18)</w:t>
      </w:r>
      <w:r w:rsidR="00BB64ED">
        <w:t xml:space="preserve">. </w:t>
      </w:r>
      <w:r w:rsidR="00365E67">
        <w:t>However,</w:t>
      </w:r>
      <w:r w:rsidR="00BB64ED">
        <w:t xml:space="preserve"> </w:t>
      </w:r>
      <w:r w:rsidR="00365E67">
        <w:t>p</w:t>
      </w:r>
      <w:r w:rsidR="003D0DE6">
        <w:t>articipants to the</w:t>
      </w:r>
      <w:r w:rsidR="00BE3BBB">
        <w:t xml:space="preserve"> 2011</w:t>
      </w:r>
      <w:r w:rsidR="003D0DE6">
        <w:t xml:space="preserve"> MRCA </w:t>
      </w:r>
      <w:r w:rsidR="00532E59">
        <w:t>review said</w:t>
      </w:r>
      <w:r w:rsidR="003D0DE6">
        <w:t xml:space="preserve"> that the use of the </w:t>
      </w:r>
      <w:proofErr w:type="spellStart"/>
      <w:r w:rsidR="003D0DE6">
        <w:t>SoPs</w:t>
      </w:r>
      <w:proofErr w:type="spellEnd"/>
      <w:r w:rsidR="003D0DE6">
        <w:t xml:space="preserve"> was inflexible, and </w:t>
      </w:r>
      <w:r w:rsidR="00174DF8">
        <w:t xml:space="preserve">DVA should have greater discretion to eschew reliance on the </w:t>
      </w:r>
      <w:proofErr w:type="spellStart"/>
      <w:r w:rsidR="00174DF8">
        <w:t>SoPs</w:t>
      </w:r>
      <w:proofErr w:type="spellEnd"/>
      <w:r w:rsidR="003D0DE6">
        <w:t xml:space="preserve"> ‘where other medical evidence supports a decision favourable to the member or former member’</w:t>
      </w:r>
      <w:r w:rsidR="00E97391">
        <w:t xml:space="preserve"> </w:t>
      </w:r>
      <w:r w:rsidR="008E0848" w:rsidRPr="008E0848">
        <w:rPr>
          <w:szCs w:val="24"/>
        </w:rPr>
        <w:t>(Campbell 2011b, p. </w:t>
      </w:r>
      <w:r w:rsidR="00E97391" w:rsidRPr="00E97391" w:rsidDel="008E0848">
        <w:rPr>
          <w:szCs w:val="24"/>
        </w:rPr>
        <w:t>17)</w:t>
      </w:r>
      <w:r w:rsidR="003D0DE6">
        <w:t xml:space="preserve">. Similar views were expressed during the </w:t>
      </w:r>
      <w:r w:rsidR="00C20ADE">
        <w:t>S</w:t>
      </w:r>
      <w:r w:rsidR="003D0DE6">
        <w:t>enate inquiry into veterans’ suicide.</w:t>
      </w:r>
    </w:p>
    <w:p w:rsidR="000E5483" w:rsidRDefault="00174DF8" w:rsidP="00227C33">
      <w:pPr>
        <w:pStyle w:val="BodyText"/>
      </w:pPr>
      <w:r>
        <w:lastRenderedPageBreak/>
        <w:t>The issue is complicated by the use of</w:t>
      </w:r>
      <w:r w:rsidR="003D0DE6">
        <w:t xml:space="preserve"> two different standards of proof</w:t>
      </w:r>
      <w:r>
        <w:t>,</w:t>
      </w:r>
      <w:r w:rsidR="003D0DE6">
        <w:t xml:space="preserve"> </w:t>
      </w:r>
      <w:r>
        <w:t>which</w:t>
      </w:r>
      <w:r w:rsidR="003D0DE6">
        <w:t xml:space="preserve"> apply depending on whether a veteran was injured as a result of peacetime or operational service.</w:t>
      </w:r>
    </w:p>
    <w:p w:rsidR="000E5483" w:rsidRDefault="000E5483" w:rsidP="000E5483">
      <w:pPr>
        <w:pStyle w:val="ListBullet"/>
      </w:pPr>
      <w:r>
        <w:t>For warlike and non</w:t>
      </w:r>
      <w:r w:rsidR="00D027D4">
        <w:noBreakHyphen/>
      </w:r>
      <w:r>
        <w:t xml:space="preserve">warlike service (and their equivalents under the VEA), the ‘reasonable hypothesis’ </w:t>
      </w:r>
      <w:proofErr w:type="spellStart"/>
      <w:r>
        <w:t>SoPs</w:t>
      </w:r>
      <w:proofErr w:type="spellEnd"/>
      <w:r>
        <w:t xml:space="preserve"> apply — these </w:t>
      </w:r>
      <w:proofErr w:type="spellStart"/>
      <w:r>
        <w:t>SoPs</w:t>
      </w:r>
      <w:proofErr w:type="spellEnd"/>
      <w:r>
        <w:t xml:space="preserve"> are based on it being reasonable to hypothesise that the person’s service caused or aggravated their condition.</w:t>
      </w:r>
    </w:p>
    <w:p w:rsidR="000E5483" w:rsidRDefault="000E5483" w:rsidP="000E5483">
      <w:pPr>
        <w:pStyle w:val="ListBullet"/>
      </w:pPr>
      <w:r>
        <w:t xml:space="preserve">For peacetime or other service, the ‘balance of probabilities’ </w:t>
      </w:r>
      <w:proofErr w:type="spellStart"/>
      <w:r>
        <w:t>SoPs</w:t>
      </w:r>
      <w:proofErr w:type="spellEnd"/>
      <w:r>
        <w:t xml:space="preserve"> apply — these </w:t>
      </w:r>
      <w:proofErr w:type="spellStart"/>
      <w:r>
        <w:t>SoPs</w:t>
      </w:r>
      <w:proofErr w:type="spellEnd"/>
      <w:r>
        <w:t xml:space="preserve"> are based on it being more likely than not that the person’s service caused or aggravated their condition</w:t>
      </w:r>
      <w:r w:rsidR="007C3133">
        <w:t>.</w:t>
      </w:r>
      <w:r w:rsidR="00274DF8">
        <w:t xml:space="preserve"> </w:t>
      </w:r>
      <w:r w:rsidR="007C3133">
        <w:t>However,</w:t>
      </w:r>
      <w:r w:rsidR="00274DF8">
        <w:t xml:space="preserve"> Pearce and Holman </w:t>
      </w:r>
      <w:r w:rsidR="00274DF8" w:rsidRPr="00274DF8">
        <w:t>(1997)</w:t>
      </w:r>
      <w:r w:rsidR="00274DF8">
        <w:t xml:space="preserve"> suggested that</w:t>
      </w:r>
      <w:r w:rsidR="00861FD3">
        <w:t>,</w:t>
      </w:r>
      <w:r w:rsidR="00274DF8">
        <w:t xml:space="preserve"> </w:t>
      </w:r>
      <w:r w:rsidR="00861FD3">
        <w:t xml:space="preserve">in reality, this </w:t>
      </w:r>
      <w:r w:rsidR="00414A89">
        <w:t>likelihood</w:t>
      </w:r>
      <w:r w:rsidR="00274DF8">
        <w:t xml:space="preserve"> </w:t>
      </w:r>
      <w:r w:rsidR="00861FD3">
        <w:t>is far</w:t>
      </w:r>
      <w:r w:rsidR="00274DF8">
        <w:t xml:space="preserve"> less than 50 per cent</w:t>
      </w:r>
      <w:r w:rsidR="00861FD3">
        <w:t xml:space="preserve">, which may imply some ‘benefit of the doubt’ </w:t>
      </w:r>
      <w:r w:rsidR="003A73D8">
        <w:t>for the veteran</w:t>
      </w:r>
      <w:r w:rsidR="00861FD3">
        <w:t>.</w:t>
      </w:r>
    </w:p>
    <w:p w:rsidR="003D0DE6" w:rsidRDefault="003D0DE6" w:rsidP="00227C33">
      <w:pPr>
        <w:pStyle w:val="BodyText"/>
      </w:pPr>
      <w:r>
        <w:t xml:space="preserve">This leads to two different sets of </w:t>
      </w:r>
      <w:proofErr w:type="spellStart"/>
      <w:r>
        <w:t>SoPs</w:t>
      </w:r>
      <w:proofErr w:type="spellEnd"/>
      <w:r>
        <w:t xml:space="preserve">, and </w:t>
      </w:r>
      <w:r w:rsidR="00532E59">
        <w:t xml:space="preserve">therefore </w:t>
      </w:r>
      <w:r>
        <w:t>inconsistencies in determinations between the two groups of veterans.</w:t>
      </w:r>
    </w:p>
    <w:p w:rsidR="005D019B" w:rsidRDefault="005D019B" w:rsidP="00227C33">
      <w:pPr>
        <w:pStyle w:val="BodyText"/>
      </w:pPr>
      <w:r>
        <w:t xml:space="preserve">Since 2016, DVA has streamlined the acceptance of liability for some conditions where most military personnel are likely to meet at least one of the factors in the relevant </w:t>
      </w:r>
      <w:proofErr w:type="spellStart"/>
      <w:r>
        <w:t>SoP</w:t>
      </w:r>
      <w:proofErr w:type="spellEnd"/>
      <w:r>
        <w:t xml:space="preserve"> </w:t>
      </w:r>
      <w:r w:rsidR="0081209C" w:rsidRPr="0081209C">
        <w:rPr>
          <w:szCs w:val="24"/>
        </w:rPr>
        <w:t>(</w:t>
      </w:r>
      <w:proofErr w:type="spellStart"/>
      <w:r w:rsidR="0081209C" w:rsidRPr="0081209C">
        <w:rPr>
          <w:szCs w:val="24"/>
        </w:rPr>
        <w:t>Tehan</w:t>
      </w:r>
      <w:proofErr w:type="spellEnd"/>
      <w:r w:rsidR="0081209C" w:rsidRPr="0081209C">
        <w:rPr>
          <w:szCs w:val="24"/>
        </w:rPr>
        <w:t> 2016)</w:t>
      </w:r>
      <w:r>
        <w:t xml:space="preserve">. This may improve the use of the </w:t>
      </w:r>
      <w:proofErr w:type="spellStart"/>
      <w:r>
        <w:t>SoPs</w:t>
      </w:r>
      <w:proofErr w:type="spellEnd"/>
      <w:r>
        <w:t>, and reduce the times taken to process claims going forward.</w:t>
      </w:r>
    </w:p>
    <w:p w:rsidR="00365E67" w:rsidRPr="004E3B94" w:rsidRDefault="00365E67" w:rsidP="00C32CEE">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365E67" w:rsidTr="00C32CEE">
        <w:trPr>
          <w:tblHeader/>
        </w:trPr>
        <w:tc>
          <w:tcPr>
            <w:tcW w:w="5000" w:type="pct"/>
            <w:tcBorders>
              <w:top w:val="single" w:sz="6" w:space="0" w:color="78A22F"/>
              <w:left w:val="nil"/>
              <w:bottom w:val="nil"/>
              <w:right w:val="nil"/>
            </w:tcBorders>
            <w:shd w:val="clear" w:color="auto" w:fill="auto"/>
          </w:tcPr>
          <w:p w:rsidR="00365E67" w:rsidRPr="00CE4C64" w:rsidRDefault="00942228" w:rsidP="00C32CEE">
            <w:pPr>
              <w:pStyle w:val="InformationRequestTitle"/>
              <w:spacing w:before="120"/>
            </w:pPr>
            <w:r>
              <w:t>Questions</w:t>
            </w:r>
          </w:p>
        </w:tc>
      </w:tr>
      <w:tr w:rsidR="00365E67" w:rsidRPr="00750BE2" w:rsidTr="00C32CEE">
        <w:tc>
          <w:tcPr>
            <w:tcW w:w="5000" w:type="pct"/>
            <w:tcBorders>
              <w:top w:val="nil"/>
              <w:left w:val="nil"/>
              <w:bottom w:val="nil"/>
              <w:right w:val="nil"/>
            </w:tcBorders>
            <w:shd w:val="clear" w:color="auto" w:fill="auto"/>
          </w:tcPr>
          <w:p w:rsidR="00365E67" w:rsidRDefault="00CD65BA" w:rsidP="00C32CEE">
            <w:pPr>
              <w:pStyle w:val="InformationRequest"/>
              <w:keepNext/>
            </w:pPr>
            <w:r>
              <w:t>Have the Statements of Principle</w:t>
            </w:r>
            <w:r w:rsidR="00835262">
              <w:t>s</w:t>
            </w:r>
            <w:r>
              <w:t xml:space="preserve"> helped to create a more equitable, efficient and consistent system of support</w:t>
            </w:r>
            <w:r w:rsidR="00532E59">
              <w:t xml:space="preserve"> for veterans</w:t>
            </w:r>
            <w:r>
              <w:t xml:space="preserve">? </w:t>
            </w:r>
            <w:r w:rsidR="003B15DE">
              <w:t>Are there ways to improve</w:t>
            </w:r>
            <w:r>
              <w:t xml:space="preserve"> their use</w:t>
            </w:r>
            <w:r w:rsidR="003B15DE">
              <w:t>?</w:t>
            </w:r>
          </w:p>
          <w:p w:rsidR="00CD65BA" w:rsidRPr="00CD65BA" w:rsidRDefault="00CD65BA" w:rsidP="00C02C06">
            <w:pPr>
              <w:pStyle w:val="InformationRequest"/>
            </w:pPr>
            <w:r>
              <w:t xml:space="preserve">What is the rationale for having two different standards of proof for veterans with different types of service? </w:t>
            </w:r>
            <w:r w:rsidR="003B15DE">
              <w:t xml:space="preserve">Are there alternatives to recognise different groups of veterans? </w:t>
            </w:r>
            <w:r w:rsidR="008F179D">
              <w:t>W</w:t>
            </w:r>
            <w:r w:rsidR="003B15DE">
              <w:t xml:space="preserve">hat would be the costs and benefits of moving to </w:t>
            </w:r>
            <w:r w:rsidR="008F179D">
              <w:t xml:space="preserve">one standard of proof for all veterans </w:t>
            </w:r>
            <w:r w:rsidR="003B15DE">
              <w:t xml:space="preserve">(for example, would it </w:t>
            </w:r>
            <w:r w:rsidR="008F179D">
              <w:t>make the claims process easier</w:t>
            </w:r>
            <w:r w:rsidR="003B15DE">
              <w:t>)</w:t>
            </w:r>
            <w:r w:rsidR="008F179D">
              <w:t xml:space="preserve">? </w:t>
            </w:r>
          </w:p>
        </w:tc>
      </w:tr>
      <w:tr w:rsidR="00365E67" w:rsidTr="00C32CEE">
        <w:tc>
          <w:tcPr>
            <w:tcW w:w="5000" w:type="pct"/>
            <w:tcBorders>
              <w:top w:val="nil"/>
              <w:left w:val="nil"/>
              <w:bottom w:val="single" w:sz="6" w:space="0" w:color="78A22F"/>
              <w:right w:val="nil"/>
            </w:tcBorders>
            <w:shd w:val="clear" w:color="auto" w:fill="auto"/>
          </w:tcPr>
          <w:p w:rsidR="00365E67" w:rsidRDefault="00365E67" w:rsidP="00C32CEE">
            <w:pPr>
              <w:pStyle w:val="Space"/>
              <w:keepLines/>
            </w:pPr>
          </w:p>
        </w:tc>
      </w:tr>
      <w:tr w:rsidR="00365E67" w:rsidRPr="000863A5" w:rsidTr="00C32CEE">
        <w:tc>
          <w:tcPr>
            <w:tcW w:w="5000" w:type="pct"/>
            <w:tcBorders>
              <w:top w:val="single" w:sz="6" w:space="0" w:color="78A22F"/>
              <w:left w:val="nil"/>
              <w:bottom w:val="nil"/>
              <w:right w:val="nil"/>
            </w:tcBorders>
          </w:tcPr>
          <w:p w:rsidR="00365E67" w:rsidRPr="00626D32" w:rsidRDefault="00365E67" w:rsidP="00C32CEE">
            <w:pPr>
              <w:pStyle w:val="BoxSpaceBelow"/>
              <w:keepLines/>
            </w:pPr>
          </w:p>
        </w:tc>
      </w:tr>
    </w:tbl>
    <w:p w:rsidR="00024DE5" w:rsidRDefault="00024DE5" w:rsidP="005D6FC7">
      <w:pPr>
        <w:pStyle w:val="Heading3"/>
      </w:pPr>
      <w:r>
        <w:t>System governance</w:t>
      </w:r>
    </w:p>
    <w:p w:rsidR="006A064C" w:rsidRDefault="00005557" w:rsidP="004066DD">
      <w:pPr>
        <w:pStyle w:val="BodyText"/>
      </w:pPr>
      <w:r>
        <w:t>A</w:t>
      </w:r>
      <w:r w:rsidR="001B4F47">
        <w:t xml:space="preserve"> number of </w:t>
      </w:r>
      <w:r w:rsidR="004066DD">
        <w:t xml:space="preserve">bodies </w:t>
      </w:r>
      <w:r>
        <w:t xml:space="preserve">are </w:t>
      </w:r>
      <w:r w:rsidR="00B23C2F">
        <w:t xml:space="preserve">directly </w:t>
      </w:r>
      <w:r w:rsidR="004066DD">
        <w:t xml:space="preserve">involved in governing the </w:t>
      </w:r>
      <w:r w:rsidR="00490AC9">
        <w:t xml:space="preserve">current </w:t>
      </w:r>
      <w:r w:rsidR="004066DD">
        <w:t>system of veterans</w:t>
      </w:r>
      <w:r w:rsidR="00C02FCF">
        <w:t>’</w:t>
      </w:r>
      <w:r w:rsidR="004066DD">
        <w:t xml:space="preserve"> support, including </w:t>
      </w:r>
      <w:r w:rsidR="00B23C2F">
        <w:t>a range of</w:t>
      </w:r>
      <w:r w:rsidR="006C4610">
        <w:t xml:space="preserve"> </w:t>
      </w:r>
      <w:r w:rsidR="004066DD">
        <w:t>statutory authorities</w:t>
      </w:r>
      <w:r w:rsidR="006C4610">
        <w:t xml:space="preserve"> with </w:t>
      </w:r>
      <w:r w:rsidR="00B23C2F">
        <w:t xml:space="preserve">varying </w:t>
      </w:r>
      <w:r w:rsidR="00D033B2">
        <w:t>degrees of authority</w:t>
      </w:r>
      <w:r w:rsidR="00B23C2F">
        <w:t xml:space="preserve"> and autonomy</w:t>
      </w:r>
      <w:r w:rsidR="004066DD">
        <w:t>,</w:t>
      </w:r>
      <w:r w:rsidR="00B23C2F">
        <w:t xml:space="preserve"> and</w:t>
      </w:r>
      <w:r w:rsidR="006C4610">
        <w:t xml:space="preserve"> two</w:t>
      </w:r>
      <w:r w:rsidR="004066DD">
        <w:t xml:space="preserve"> </w:t>
      </w:r>
      <w:r w:rsidR="00490AC9">
        <w:t xml:space="preserve">Australian Government </w:t>
      </w:r>
      <w:r w:rsidR="004066DD">
        <w:t xml:space="preserve">departments </w:t>
      </w:r>
      <w:r w:rsidR="00490AC9">
        <w:t xml:space="preserve">with responsibility </w:t>
      </w:r>
      <w:r w:rsidR="004066DD">
        <w:t>for providing and making decisions about veterans</w:t>
      </w:r>
      <w:r w:rsidR="00660EDF">
        <w:t>’</w:t>
      </w:r>
      <w:r w:rsidR="004066DD">
        <w:t xml:space="preserve"> support (figure</w:t>
      </w:r>
      <w:r w:rsidR="00C02C06">
        <w:t> 2</w:t>
      </w:r>
      <w:r w:rsidR="004066DD">
        <w:t xml:space="preserve">). </w:t>
      </w:r>
    </w:p>
    <w:p w:rsidR="00FB7496" w:rsidRDefault="00FB7496" w:rsidP="00FB7496">
      <w:pPr>
        <w:pStyle w:val="BodyText"/>
        <w:keepNext/>
      </w:pPr>
      <w:r>
        <w:t>A</w:t>
      </w:r>
      <w:r w:rsidDel="00B66000">
        <w:t xml:space="preserve"> </w:t>
      </w:r>
      <w:r>
        <w:t>range of views</w:t>
      </w:r>
      <w:r w:rsidR="007C3133">
        <w:t xml:space="preserve"> on the current governance arrangements</w:t>
      </w:r>
      <w:r>
        <w:t xml:space="preserve"> were put to the Senate inquiry</w:t>
      </w:r>
      <w:r w:rsidR="007C3133">
        <w:t xml:space="preserve"> on veterans’ suicide</w:t>
      </w:r>
      <w:r>
        <w:t xml:space="preserve"> — for example, some participants</w:t>
      </w:r>
      <w:r w:rsidR="007C3133">
        <w:t xml:space="preserve"> suggested that</w:t>
      </w:r>
      <w:r>
        <w:t>:</w:t>
      </w:r>
    </w:p>
    <w:p w:rsidR="00FB7496" w:rsidRDefault="00FB7496" w:rsidP="00FB7496">
      <w:pPr>
        <w:pStyle w:val="ListBullet"/>
      </w:pPr>
      <w:r>
        <w:t>the role of DVA needed to be maintained while others suggested that the Department of Human Services could deliver some of DVA’s services (such as the administration of income supports) more efficiently</w:t>
      </w:r>
    </w:p>
    <w:p w:rsidR="00FB7496" w:rsidRDefault="00FB7496" w:rsidP="00FB7496">
      <w:pPr>
        <w:pStyle w:val="ListBullet"/>
      </w:pPr>
      <w:r>
        <w:t>the ADF should take on a greater responsibility for injured veterans.</w:t>
      </w:r>
    </w:p>
    <w:p w:rsidR="00A60811" w:rsidRDefault="00A60811" w:rsidP="004066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60811" w:rsidTr="004327E3">
        <w:trPr>
          <w:tblHeader/>
        </w:trPr>
        <w:tc>
          <w:tcPr>
            <w:tcW w:w="5000" w:type="pct"/>
            <w:tcBorders>
              <w:top w:val="single" w:sz="6" w:space="0" w:color="78A22F"/>
              <w:left w:val="nil"/>
              <w:bottom w:val="nil"/>
              <w:right w:val="nil"/>
            </w:tcBorders>
            <w:shd w:val="clear" w:color="auto" w:fill="auto"/>
          </w:tcPr>
          <w:p w:rsidR="00A60811" w:rsidRPr="00176D3F" w:rsidRDefault="00A60811" w:rsidP="00FC4FDD">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CC2ABA">
              <w:rPr>
                <w:b w:val="0"/>
                <w:noProof/>
              </w:rPr>
              <w:t>2</w:t>
            </w:r>
            <w:r w:rsidRPr="00784A05">
              <w:rPr>
                <w:b w:val="0"/>
              </w:rPr>
              <w:fldChar w:fldCharType="end"/>
            </w:r>
            <w:r>
              <w:tab/>
            </w:r>
            <w:r w:rsidR="00126B5F">
              <w:t>Governance of veterans’ support</w:t>
            </w:r>
          </w:p>
        </w:tc>
      </w:tr>
      <w:tr w:rsidR="00A60811" w:rsidTr="004327E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60811" w:rsidRPr="00B1465D" w:rsidTr="004327E3">
              <w:trPr>
                <w:tblHeader/>
                <w:jc w:val="center"/>
              </w:trPr>
              <w:tc>
                <w:tcPr>
                  <w:tcW w:w="5000" w:type="pct"/>
                  <w:tcBorders>
                    <w:top w:val="nil"/>
                    <w:bottom w:val="nil"/>
                  </w:tcBorders>
                </w:tcPr>
                <w:p w:rsidR="00A60811" w:rsidRPr="00B1465D" w:rsidRDefault="00B85920" w:rsidP="004327E3">
                  <w:pPr>
                    <w:pStyle w:val="Figure"/>
                    <w:spacing w:before="60" w:after="60"/>
                    <w:rPr>
                      <w:rFonts w:ascii="Arial" w:hAnsi="Arial" w:cs="Arial"/>
                      <w:sz w:val="18"/>
                      <w:szCs w:val="18"/>
                    </w:rPr>
                  </w:pPr>
                  <w:r w:rsidRPr="00B85920">
                    <w:rPr>
                      <w:rFonts w:ascii="Arial" w:hAnsi="Arial" w:cs="Arial"/>
                      <w:noProof/>
                      <w:sz w:val="18"/>
                      <w:szCs w:val="18"/>
                    </w:rPr>
                    <w:drawing>
                      <wp:inline distT="0" distB="0" distL="0" distR="0" wp14:anchorId="362F101B" wp14:editId="4689B93E">
                        <wp:extent cx="5400000" cy="4580625"/>
                        <wp:effectExtent l="0" t="0" r="0" b="0"/>
                        <wp:docPr id="6" name="Picture 6" descr="There are several bodies involved in veterans' support, including:&#10;Two government departments. The Department of Defence has responsibility for rehabilitating current members, and assisting transition from the military. The Department of Veterans' Affairs accepts delegated responsibility for claims from two commissions - the Repatriation Commission and the Military Rehabilitation and Compensation Commission - which have primary responsibility for deciding claims.&#10;&#10;Two medical bodies are involved in the process. The Repatriation Medical Authority determines statements of principle, and the Specialist Medical Review Council can review these statements.&#10;&#10;There are two appeals bodies. The Veterans' Review Board reconsiders DVA decisions under the MRCA and VEA. The Administrative Appeals Tribunal reviews Veterans' Review Board decisions or DVA reconsidera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0000" cy="4580625"/>
                                </a:xfrm>
                                <a:prstGeom prst="rect">
                                  <a:avLst/>
                                </a:prstGeom>
                                <a:noFill/>
                                <a:ln>
                                  <a:noFill/>
                                </a:ln>
                              </pic:spPr>
                            </pic:pic>
                          </a:graphicData>
                        </a:graphic>
                      </wp:inline>
                    </w:drawing>
                  </w:r>
                </w:p>
              </w:tc>
            </w:tr>
          </w:tbl>
          <w:p w:rsidR="00A60811" w:rsidRDefault="00A60811" w:rsidP="004327E3">
            <w:pPr>
              <w:pStyle w:val="Figure"/>
            </w:pPr>
          </w:p>
        </w:tc>
      </w:tr>
      <w:tr w:rsidR="00A60811" w:rsidTr="004327E3">
        <w:tc>
          <w:tcPr>
            <w:tcW w:w="5000" w:type="pct"/>
            <w:tcBorders>
              <w:top w:val="nil"/>
              <w:left w:val="nil"/>
              <w:bottom w:val="single" w:sz="6" w:space="0" w:color="78A22F"/>
              <w:right w:val="nil"/>
            </w:tcBorders>
            <w:shd w:val="clear" w:color="auto" w:fill="auto"/>
          </w:tcPr>
          <w:p w:rsidR="00A60811" w:rsidRDefault="00A60811" w:rsidP="004327E3">
            <w:pPr>
              <w:pStyle w:val="Figurespace"/>
            </w:pPr>
          </w:p>
        </w:tc>
      </w:tr>
    </w:tbl>
    <w:p w:rsidR="002C4267" w:rsidRDefault="002C4267" w:rsidP="002C4267">
      <w:pPr>
        <w:pStyle w:val="BodyText"/>
      </w:pPr>
      <w:r>
        <w:t>The Commission is seeking views on how well the current governance arrangements for policy development, service delivery and decision review are working. We are also interested in the role of non</w:t>
      </w:r>
      <w:r>
        <w:noBreakHyphen/>
        <w:t>government</w:t>
      </w:r>
      <w:r w:rsidRPr="00177EB3">
        <w:t xml:space="preserve"> </w:t>
      </w:r>
      <w:r>
        <w:t xml:space="preserve">organisations operating in the current system, particularly the ESOs in their functions as veteran advocates, and service providers. </w:t>
      </w:r>
    </w:p>
    <w:p w:rsidR="002C4267" w:rsidRPr="004E3B94" w:rsidRDefault="002C4267" w:rsidP="002C4267">
      <w:pPr>
        <w:pStyle w:val="BoxSpaceAboveElement"/>
        <w:keepLines/>
        <w:spacing w:before="200"/>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2C4267" w:rsidTr="0027780C">
        <w:trPr>
          <w:tblHeader/>
        </w:trPr>
        <w:tc>
          <w:tcPr>
            <w:tcW w:w="5000" w:type="pct"/>
            <w:tcBorders>
              <w:top w:val="single" w:sz="6" w:space="0" w:color="78A22F"/>
              <w:left w:val="nil"/>
              <w:bottom w:val="nil"/>
              <w:right w:val="nil"/>
            </w:tcBorders>
            <w:shd w:val="clear" w:color="auto" w:fill="auto"/>
          </w:tcPr>
          <w:p w:rsidR="002C4267" w:rsidRPr="00CE4C64" w:rsidRDefault="002C4267" w:rsidP="002C4267">
            <w:pPr>
              <w:pStyle w:val="InformationRequestTitle"/>
              <w:keepNext w:val="0"/>
              <w:spacing w:before="80"/>
            </w:pPr>
            <w:r>
              <w:t>Questions</w:t>
            </w:r>
          </w:p>
        </w:tc>
      </w:tr>
      <w:tr w:rsidR="002C4267" w:rsidRPr="00750BE2" w:rsidTr="0027780C">
        <w:tc>
          <w:tcPr>
            <w:tcW w:w="5000" w:type="pct"/>
            <w:tcBorders>
              <w:top w:val="nil"/>
              <w:left w:val="nil"/>
              <w:bottom w:val="nil"/>
              <w:right w:val="nil"/>
            </w:tcBorders>
            <w:shd w:val="clear" w:color="auto" w:fill="auto"/>
          </w:tcPr>
          <w:p w:rsidR="002C4267" w:rsidRDefault="002C4267" w:rsidP="002C4267">
            <w:pPr>
              <w:pStyle w:val="InformationRequest"/>
              <w:spacing w:before="100"/>
            </w:pPr>
            <w:r>
              <w:t>Do</w:t>
            </w:r>
            <w:r w:rsidDel="00712CAB">
              <w:t xml:space="preserve"> the governance </w:t>
            </w:r>
            <w:r>
              <w:t>arrangements for the veterans’ support system encourage good decision making — from initial policy development to its administration and review? If not, what changes could be made?</w:t>
            </w:r>
          </w:p>
          <w:p w:rsidR="002C4267" w:rsidRDefault="002C4267" w:rsidP="002C4267">
            <w:pPr>
              <w:pStyle w:val="InformationRequest"/>
              <w:spacing w:before="100"/>
            </w:pPr>
            <w:r>
              <w:t xml:space="preserve">Are incentives sufficiently aligned between </w:t>
            </w:r>
            <w:r w:rsidRPr="004A11C5">
              <w:t>agencies</w:t>
            </w:r>
            <w:r>
              <w:t>, or are there areas of conflict that could be better managed?</w:t>
            </w:r>
            <w:r w:rsidRPr="004A11C5">
              <w:t xml:space="preserve"> </w:t>
            </w:r>
            <w:r>
              <w:t xml:space="preserve">If there are any incentive problems how can they be resolved? </w:t>
            </w:r>
          </w:p>
          <w:p w:rsidR="002C4267" w:rsidRDefault="002C4267" w:rsidP="002C4267">
            <w:pPr>
              <w:pStyle w:val="InformationRequest"/>
              <w:spacing w:before="100"/>
            </w:pPr>
            <w:r>
              <w:t>Is the veterans’ support system sufficiently transparent and accountable for both veterans and the community?</w:t>
            </w:r>
          </w:p>
          <w:p w:rsidR="002C4267" w:rsidRPr="008A5D37" w:rsidRDefault="002C4267" w:rsidP="002C4267">
            <w:pPr>
              <w:pStyle w:val="InformationRequest"/>
              <w:spacing w:before="100"/>
            </w:pPr>
            <w:r>
              <w:t>What role should ESOs play? Are there systemic areas for improvement in the ESO sector that would enhance veterans’ wellbeing?</w:t>
            </w:r>
          </w:p>
        </w:tc>
      </w:tr>
      <w:tr w:rsidR="002C4267" w:rsidTr="0027780C">
        <w:tc>
          <w:tcPr>
            <w:tcW w:w="5000" w:type="pct"/>
            <w:tcBorders>
              <w:top w:val="nil"/>
              <w:left w:val="nil"/>
              <w:bottom w:val="single" w:sz="6" w:space="0" w:color="78A22F"/>
              <w:right w:val="nil"/>
            </w:tcBorders>
            <w:shd w:val="clear" w:color="auto" w:fill="auto"/>
          </w:tcPr>
          <w:p w:rsidR="002C4267" w:rsidRDefault="002C4267" w:rsidP="002C4267">
            <w:pPr>
              <w:pStyle w:val="Space"/>
              <w:keepNext w:val="0"/>
              <w:keepLines/>
            </w:pPr>
          </w:p>
        </w:tc>
      </w:tr>
    </w:tbl>
    <w:p w:rsidR="00500091" w:rsidRDefault="00500091" w:rsidP="002C4267">
      <w:pPr>
        <w:pStyle w:val="Heading3"/>
        <w:keepNext w:val="0"/>
      </w:pPr>
      <w:r>
        <w:lastRenderedPageBreak/>
        <w:t>The role of the Australian Defence Force — minimising risk</w:t>
      </w:r>
    </w:p>
    <w:p w:rsidR="00FC4FDD" w:rsidRDefault="00FC4FDD" w:rsidP="004066DD">
      <w:pPr>
        <w:pStyle w:val="BodyText"/>
      </w:pPr>
      <w:r>
        <w:t xml:space="preserve">The </w:t>
      </w:r>
      <w:r w:rsidR="00204FC1">
        <w:t>ADF</w:t>
      </w:r>
      <w:r w:rsidR="007C3133">
        <w:t xml:space="preserve"> and its members are</w:t>
      </w:r>
      <w:r>
        <w:t xml:space="preserve"> best placed to minimise the risk of injury, illness or death occurring in the ADF</w:t>
      </w:r>
      <w:r w:rsidR="00D44E4C">
        <w:t xml:space="preserve"> including </w:t>
      </w:r>
      <w:r>
        <w:t xml:space="preserve">when members are </w:t>
      </w:r>
      <w:r w:rsidR="00D44E4C">
        <w:t xml:space="preserve">in combat zones, in </w:t>
      </w:r>
      <w:r>
        <w:t xml:space="preserve">warlike operations, </w:t>
      </w:r>
      <w:r w:rsidR="00D44E4C">
        <w:t xml:space="preserve">when they </w:t>
      </w:r>
      <w:r>
        <w:t>are training</w:t>
      </w:r>
      <w:r w:rsidR="00D44E4C">
        <w:t>,</w:t>
      </w:r>
      <w:r>
        <w:t xml:space="preserve"> or on peacetime service.</w:t>
      </w:r>
      <w:r w:rsidR="00635391">
        <w:t xml:space="preserve"> </w:t>
      </w:r>
      <w:r w:rsidR="00F172E1">
        <w:t>T</w:t>
      </w:r>
      <w:r w:rsidR="00FC1C2C">
        <w:t>he ADF</w:t>
      </w:r>
      <w:r w:rsidR="00110113">
        <w:t xml:space="preserve"> is </w:t>
      </w:r>
      <w:r w:rsidR="00635391">
        <w:t xml:space="preserve">also best placed to </w:t>
      </w:r>
      <w:r w:rsidR="00110113">
        <w:t xml:space="preserve">record </w:t>
      </w:r>
      <w:r w:rsidR="00FC1C2C">
        <w:t xml:space="preserve">the nature and details of </w:t>
      </w:r>
      <w:r w:rsidR="00110113">
        <w:t>incidents</w:t>
      </w:r>
      <w:r w:rsidR="00B62FD5">
        <w:t xml:space="preserve"> and </w:t>
      </w:r>
      <w:r w:rsidR="00110113">
        <w:t>injur</w:t>
      </w:r>
      <w:r w:rsidR="00B62FD5">
        <w:t>ies</w:t>
      </w:r>
      <w:r w:rsidR="00FC1C2C">
        <w:t xml:space="preserve"> when they occur. </w:t>
      </w:r>
      <w:r w:rsidR="00F172E1">
        <w:t xml:space="preserve">Providing </w:t>
      </w:r>
      <w:r w:rsidR="00FC1C2C">
        <w:t xml:space="preserve">this information to DVA </w:t>
      </w:r>
      <w:r w:rsidR="00997DBE">
        <w:t xml:space="preserve">can </w:t>
      </w:r>
      <w:r w:rsidR="00F172E1">
        <w:t xml:space="preserve">assist with the </w:t>
      </w:r>
      <w:r w:rsidR="00FC1C2C">
        <w:t xml:space="preserve">management </w:t>
      </w:r>
      <w:r w:rsidR="00F172E1">
        <w:t xml:space="preserve">of claims </w:t>
      </w:r>
      <w:r w:rsidR="00FC1C2C">
        <w:t xml:space="preserve">and </w:t>
      </w:r>
      <w:r w:rsidR="00997DBE">
        <w:t xml:space="preserve">early </w:t>
      </w:r>
      <w:r w:rsidR="00FC1C2C">
        <w:t>access to treatment</w:t>
      </w:r>
      <w:r w:rsidR="00B62FD5">
        <w:t xml:space="preserve">. </w:t>
      </w:r>
    </w:p>
    <w:p w:rsidR="00005557" w:rsidRDefault="00FC4FDD" w:rsidP="004066DD">
      <w:pPr>
        <w:pStyle w:val="BodyText"/>
      </w:pPr>
      <w:r>
        <w:t xml:space="preserve">A unique aspect of the system of veterans’ support is that the employer (the ADF) is not financially responsible for the compensation of its workers. </w:t>
      </w:r>
      <w:r w:rsidR="004066DD">
        <w:t>The</w:t>
      </w:r>
      <w:r w:rsidR="007C3133">
        <w:t xml:space="preserve"> </w:t>
      </w:r>
      <w:proofErr w:type="spellStart"/>
      <w:r w:rsidR="007C3133">
        <w:t>Tanzer</w:t>
      </w:r>
      <w:proofErr w:type="spellEnd"/>
      <w:r w:rsidR="004066DD">
        <w:t xml:space="preserve"> Review of the Military Compensation Scheme </w:t>
      </w:r>
      <w:r w:rsidR="00005557">
        <w:t>said that</w:t>
      </w:r>
      <w:r w:rsidR="007C3133">
        <w:t>,</w:t>
      </w:r>
      <w:r w:rsidR="00005557">
        <w:t xml:space="preserve"> if the objective of improving occupational health and safety is be to achieved, </w:t>
      </w:r>
      <w:r w:rsidR="004066DD">
        <w:t>a premium</w:t>
      </w:r>
      <w:r w:rsidR="00D027D4">
        <w:noBreakHyphen/>
      </w:r>
      <w:r w:rsidR="004066DD">
        <w:t>based model</w:t>
      </w:r>
      <w:r w:rsidR="00005557">
        <w:t xml:space="preserve"> should be adopted, noting that:</w:t>
      </w:r>
    </w:p>
    <w:p w:rsidR="004066DD" w:rsidRDefault="00005557" w:rsidP="00A2352C">
      <w:pPr>
        <w:pStyle w:val="Quote"/>
      </w:pPr>
      <w:r>
        <w:t xml:space="preserve">This would be </w:t>
      </w:r>
      <w:r w:rsidR="004066DD">
        <w:t>desirable because the annual cost to Defence would be linked to current injury cost and knowledge of that should have an effect on approaches to safety and injury prevention</w:t>
      </w:r>
      <w:r>
        <w:t>.</w:t>
      </w:r>
      <w:r w:rsidR="004066DD">
        <w:t xml:space="preserve"> </w:t>
      </w:r>
      <w:r w:rsidR="006271DB" w:rsidRPr="006271DB">
        <w:rPr>
          <w:szCs w:val="24"/>
        </w:rPr>
        <w:t>(</w:t>
      </w:r>
      <w:proofErr w:type="spellStart"/>
      <w:r w:rsidR="006271DB" w:rsidRPr="006271DB">
        <w:rPr>
          <w:szCs w:val="24"/>
        </w:rPr>
        <w:t>Tanzer</w:t>
      </w:r>
      <w:proofErr w:type="spellEnd"/>
      <w:r w:rsidR="006271DB" w:rsidRPr="006271DB">
        <w:rPr>
          <w:szCs w:val="24"/>
        </w:rPr>
        <w:t> 1999, p. 3)</w:t>
      </w:r>
      <w:r w:rsidR="004066DD">
        <w:t xml:space="preserve"> </w:t>
      </w:r>
    </w:p>
    <w:p w:rsidR="00FC4FDD" w:rsidRPr="004E3B94" w:rsidRDefault="00FC4FDD" w:rsidP="004327E3">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FC4FDD" w:rsidTr="004327E3">
        <w:trPr>
          <w:tblHeader/>
        </w:trPr>
        <w:tc>
          <w:tcPr>
            <w:tcW w:w="5000" w:type="pct"/>
            <w:tcBorders>
              <w:top w:val="single" w:sz="6" w:space="0" w:color="78A22F"/>
              <w:left w:val="nil"/>
              <w:bottom w:val="nil"/>
              <w:right w:val="nil"/>
            </w:tcBorders>
            <w:shd w:val="clear" w:color="auto" w:fill="auto"/>
          </w:tcPr>
          <w:p w:rsidR="00FC4FDD" w:rsidRPr="00CE4C64" w:rsidRDefault="00FC4FDD" w:rsidP="004327E3">
            <w:pPr>
              <w:pStyle w:val="InformationRequestTitle"/>
              <w:spacing w:before="120"/>
            </w:pPr>
            <w:r>
              <w:t>Questions</w:t>
            </w:r>
          </w:p>
        </w:tc>
      </w:tr>
      <w:tr w:rsidR="00FC4FDD" w:rsidRPr="00750BE2" w:rsidTr="004327E3">
        <w:tc>
          <w:tcPr>
            <w:tcW w:w="5000" w:type="pct"/>
            <w:tcBorders>
              <w:top w:val="nil"/>
              <w:left w:val="nil"/>
              <w:bottom w:val="nil"/>
              <w:right w:val="nil"/>
            </w:tcBorders>
            <w:shd w:val="clear" w:color="auto" w:fill="auto"/>
          </w:tcPr>
          <w:p w:rsidR="00FC4FDD" w:rsidRDefault="00FC4FDD" w:rsidP="004327E3">
            <w:pPr>
              <w:pStyle w:val="InformationRequest"/>
              <w:keepNext/>
            </w:pPr>
            <w:r w:rsidRPr="00126672">
              <w:t xml:space="preserve">What obligations should be placed on </w:t>
            </w:r>
            <w:r w:rsidR="00573C58">
              <w:t xml:space="preserve">the ADF </w:t>
            </w:r>
            <w:r>
              <w:t xml:space="preserve">and </w:t>
            </w:r>
            <w:r w:rsidR="00FC1C2C">
              <w:t>individual unit commanders</w:t>
            </w:r>
            <w:r w:rsidR="00FC1C2C" w:rsidRPr="00126672">
              <w:t xml:space="preserve"> </w:t>
            </w:r>
            <w:r w:rsidRPr="00126672">
              <w:t>to prevent service</w:t>
            </w:r>
            <w:r w:rsidR="00D027D4">
              <w:noBreakHyphen/>
            </w:r>
            <w:r w:rsidRPr="00126672">
              <w:t>related injuries</w:t>
            </w:r>
            <w:r w:rsidR="00B62FD5">
              <w:t xml:space="preserve"> and record incidents and injuries</w:t>
            </w:r>
            <w:r w:rsidR="00FC1C2C">
              <w:t xml:space="preserve"> when they occur</w:t>
            </w:r>
            <w:r w:rsidR="00A9078F">
              <w:t>?</w:t>
            </w:r>
            <w:r w:rsidR="00FC1C2C">
              <w:t xml:space="preserve"> To what extent do cultural </w:t>
            </w:r>
            <w:r w:rsidR="00997DBE">
              <w:t xml:space="preserve">or other </w:t>
            </w:r>
            <w:r w:rsidR="00FC1C2C">
              <w:t xml:space="preserve">issues </w:t>
            </w:r>
            <w:r w:rsidR="00997DBE">
              <w:t xml:space="preserve">create a barrier within the ADF </w:t>
            </w:r>
            <w:r w:rsidR="00FC1C2C">
              <w:t xml:space="preserve">to </w:t>
            </w:r>
            <w:r w:rsidR="00997DBE">
              <w:t xml:space="preserve">injury </w:t>
            </w:r>
            <w:r w:rsidR="00FC1C2C">
              <w:t xml:space="preserve">prevention or </w:t>
            </w:r>
            <w:r w:rsidR="00997DBE">
              <w:t>record</w:t>
            </w:r>
            <w:r w:rsidR="00997DBE">
              <w:noBreakHyphen/>
            </w:r>
            <w:r w:rsidR="00FC1C2C">
              <w:t>keeping?</w:t>
            </w:r>
          </w:p>
          <w:p w:rsidR="00FC4FDD" w:rsidRPr="00FC4FDD" w:rsidRDefault="00BE5075" w:rsidP="002765E4">
            <w:pPr>
              <w:pStyle w:val="InformationRequest"/>
            </w:pPr>
            <w:r>
              <w:t>T</w:t>
            </w:r>
            <w:r w:rsidR="00FC4FDD" w:rsidRPr="00126672">
              <w:t xml:space="preserve">he </w:t>
            </w:r>
            <w:r w:rsidR="00573C58">
              <w:t>ADF</w:t>
            </w:r>
            <w:r w:rsidR="00FC4FDD" w:rsidRPr="00126672">
              <w:t xml:space="preserve"> is not financially accountable for the cost of</w:t>
            </w:r>
            <w:r w:rsidR="002765E4">
              <w:t xml:space="preserve"> compensation or for the cost of treating</w:t>
            </w:r>
            <w:r w:rsidR="00FC4FDD" w:rsidRPr="00126672">
              <w:t xml:space="preserve"> service</w:t>
            </w:r>
            <w:r w:rsidR="00D027D4">
              <w:noBreakHyphen/>
            </w:r>
            <w:r w:rsidR="00FC4FDD" w:rsidRPr="00126672">
              <w:t>related injuries and illnesses</w:t>
            </w:r>
            <w:r w:rsidR="00CD59D9">
              <w:t xml:space="preserve"> after </w:t>
            </w:r>
            <w:r w:rsidR="00DA7A80">
              <w:t xml:space="preserve">a </w:t>
            </w:r>
            <w:r w:rsidR="00CD59D9">
              <w:t xml:space="preserve">veteran </w:t>
            </w:r>
            <w:r w:rsidR="00DA7A80">
              <w:t>leaves the ADF</w:t>
            </w:r>
            <w:r w:rsidR="00FC4FDD" w:rsidRPr="00126672">
              <w:t xml:space="preserve">. Is this a barrier to the </w:t>
            </w:r>
            <w:r w:rsidR="002765E4">
              <w:t>ADF</w:t>
            </w:r>
            <w:r w:rsidR="002765E4" w:rsidRPr="00126672">
              <w:t xml:space="preserve"> </w:t>
            </w:r>
            <w:r w:rsidR="00FC4FDD" w:rsidRPr="00126672">
              <w:t>having an adequate focus on preventing injury and illnesses and providing early intervention and rehabilitation support?</w:t>
            </w:r>
            <w:r w:rsidR="00FC4FDD">
              <w:t xml:space="preserve"> If so, </w:t>
            </w:r>
            <w:r w:rsidR="00D02383">
              <w:t>how might this be</w:t>
            </w:r>
            <w:r w:rsidR="00FC4FDD">
              <w:t xml:space="preserve"> remed</w:t>
            </w:r>
            <w:r w:rsidR="00D02383">
              <w:t>ied</w:t>
            </w:r>
            <w:r w:rsidR="00FC4FDD">
              <w:t>?</w:t>
            </w:r>
          </w:p>
        </w:tc>
      </w:tr>
      <w:tr w:rsidR="00FC4FDD" w:rsidTr="004327E3">
        <w:tc>
          <w:tcPr>
            <w:tcW w:w="5000" w:type="pct"/>
            <w:tcBorders>
              <w:top w:val="nil"/>
              <w:left w:val="nil"/>
              <w:bottom w:val="single" w:sz="6" w:space="0" w:color="78A22F"/>
              <w:right w:val="nil"/>
            </w:tcBorders>
            <w:shd w:val="clear" w:color="auto" w:fill="auto"/>
          </w:tcPr>
          <w:p w:rsidR="00FC4FDD" w:rsidRDefault="00FC4FDD" w:rsidP="004327E3">
            <w:pPr>
              <w:pStyle w:val="Space"/>
              <w:keepLines/>
            </w:pPr>
          </w:p>
        </w:tc>
      </w:tr>
      <w:tr w:rsidR="00FC4FDD" w:rsidRPr="000863A5" w:rsidTr="004327E3">
        <w:tc>
          <w:tcPr>
            <w:tcW w:w="5000" w:type="pct"/>
            <w:tcBorders>
              <w:top w:val="single" w:sz="6" w:space="0" w:color="78A22F"/>
              <w:left w:val="nil"/>
              <w:bottom w:val="nil"/>
              <w:right w:val="nil"/>
            </w:tcBorders>
          </w:tcPr>
          <w:p w:rsidR="00FC4FDD" w:rsidRPr="00626D32" w:rsidRDefault="00FC4FDD" w:rsidP="004327E3">
            <w:pPr>
              <w:pStyle w:val="BoxSpaceBelow"/>
              <w:keepLines/>
            </w:pPr>
          </w:p>
        </w:tc>
      </w:tr>
    </w:tbl>
    <w:p w:rsidR="005D6FC7" w:rsidRDefault="005D6FC7" w:rsidP="005D6FC7">
      <w:pPr>
        <w:pStyle w:val="Heading3"/>
      </w:pPr>
      <w:r>
        <w:t>Providing</w:t>
      </w:r>
      <w:r w:rsidR="009D242B">
        <w:t xml:space="preserve"> financial</w:t>
      </w:r>
      <w:r>
        <w:t xml:space="preserve"> compensation for </w:t>
      </w:r>
      <w:r w:rsidR="00797E01">
        <w:t>an impairment</w:t>
      </w:r>
    </w:p>
    <w:p w:rsidR="00432495" w:rsidRDefault="00432495" w:rsidP="00432495">
      <w:pPr>
        <w:pStyle w:val="BodyText"/>
      </w:pPr>
      <w:r>
        <w:t xml:space="preserve">Veterans can receive </w:t>
      </w:r>
      <w:r w:rsidR="00F17343">
        <w:t>several</w:t>
      </w:r>
      <w:r>
        <w:t xml:space="preserve"> different types of compensation under the DRCA and the MRCA for impairments relating to service.</w:t>
      </w:r>
    </w:p>
    <w:p w:rsidR="00432495" w:rsidRDefault="00432495" w:rsidP="00C72123">
      <w:pPr>
        <w:pStyle w:val="ListBullet"/>
      </w:pPr>
      <w:r>
        <w:t>Permanent impairment payments provide payments to cover the non</w:t>
      </w:r>
      <w:r w:rsidR="00D027D4">
        <w:noBreakHyphen/>
      </w:r>
      <w:r>
        <w:t>economic loss — the pain and suffering — associated with an impairment</w:t>
      </w:r>
      <w:r w:rsidR="00204FC1">
        <w:t>.</w:t>
      </w:r>
    </w:p>
    <w:p w:rsidR="00432495" w:rsidRDefault="00432495" w:rsidP="00C72123">
      <w:pPr>
        <w:pStyle w:val="ListBullet"/>
      </w:pPr>
      <w:r>
        <w:t>Incapacity payments provide payments for the economic loss of an impairment, based on the veteran’s previous income</w:t>
      </w:r>
      <w:r w:rsidR="00204FC1">
        <w:t>.</w:t>
      </w:r>
    </w:p>
    <w:p w:rsidR="00432495" w:rsidRDefault="00432495" w:rsidP="00C72123">
      <w:pPr>
        <w:pStyle w:val="ListBullet"/>
      </w:pPr>
      <w:r>
        <w:t>Benefits are available for dependants in the event of a service</w:t>
      </w:r>
      <w:r w:rsidR="00D027D4">
        <w:noBreakHyphen/>
      </w:r>
      <w:r>
        <w:t>related death.</w:t>
      </w:r>
    </w:p>
    <w:p w:rsidR="00432495" w:rsidRDefault="00432495" w:rsidP="00432495">
      <w:pPr>
        <w:pStyle w:val="BodyText"/>
      </w:pPr>
      <w:r>
        <w:t>The VEA focuses on paying disability pensions for life in the event of a service</w:t>
      </w:r>
      <w:r w:rsidR="00D027D4">
        <w:noBreakHyphen/>
      </w:r>
      <w:r>
        <w:t>related impairment or death. A special rate disability pension, based on the VEA pension</w:t>
      </w:r>
      <w:r w:rsidR="002524E8">
        <w:t>,</w:t>
      </w:r>
      <w:r>
        <w:t xml:space="preserve"> is also available under the MRCA.</w:t>
      </w:r>
      <w:r w:rsidR="001900B6">
        <w:t xml:space="preserve"> Payments may be available under all three Acts to cover certain costs, such as the cost of hiring a person to help the veteran with activities of daily living.</w:t>
      </w:r>
      <w:r w:rsidR="00BE5075">
        <w:t xml:space="preserve"> </w:t>
      </w:r>
    </w:p>
    <w:p w:rsidR="009E30C5" w:rsidRDefault="00D02383" w:rsidP="00A2352C">
      <w:pPr>
        <w:pStyle w:val="BodyText"/>
        <w:keepNext/>
      </w:pPr>
      <w:r>
        <w:lastRenderedPageBreak/>
        <w:t>T</w:t>
      </w:r>
      <w:r w:rsidR="00432495">
        <w:t>here are similarities between</w:t>
      </w:r>
      <w:r w:rsidR="009E30C5">
        <w:t xml:space="preserve"> payments under</w:t>
      </w:r>
      <w:r w:rsidR="00432495">
        <w:t xml:space="preserve"> the three Acts, </w:t>
      </w:r>
      <w:r>
        <w:t xml:space="preserve">but </w:t>
      </w:r>
      <w:r w:rsidR="00432495">
        <w:t>there are also differences</w:t>
      </w:r>
      <w:r w:rsidR="002765E4">
        <w:t>.</w:t>
      </w:r>
    </w:p>
    <w:p w:rsidR="00432495" w:rsidRDefault="002765E4" w:rsidP="00C72123">
      <w:pPr>
        <w:pStyle w:val="ListBullet"/>
      </w:pPr>
      <w:r>
        <w:t>T</w:t>
      </w:r>
      <w:r w:rsidR="00432495">
        <w:t>he level of compensation a veteran c</w:t>
      </w:r>
      <w:r w:rsidR="00D02383">
        <w:t xml:space="preserve">an </w:t>
      </w:r>
      <w:r w:rsidR="00432495">
        <w:t>receive differs across the Acts</w:t>
      </w:r>
      <w:r w:rsidR="00206700">
        <w:t>.</w:t>
      </w:r>
      <w:r w:rsidR="00432495">
        <w:t xml:space="preserve"> </w:t>
      </w:r>
      <w:r w:rsidR="00F17343">
        <w:t>In particular, government</w:t>
      </w:r>
      <w:r w:rsidR="00D027D4">
        <w:noBreakHyphen/>
      </w:r>
      <w:r w:rsidR="00F17343">
        <w:t>funded superannuation received by a veteran is offset against compensation received under the MRCA and DRCA, but not against compensation received under the VEA.</w:t>
      </w:r>
      <w:r w:rsidR="00432495">
        <w:t xml:space="preserve"> </w:t>
      </w:r>
      <w:r w:rsidR="00D02383">
        <w:t>And e</w:t>
      </w:r>
      <w:r w:rsidR="00432495">
        <w:t>ven within the Acts, compensation can vary for veterans with different types of service —</w:t>
      </w:r>
      <w:r w:rsidR="00432495" w:rsidDel="00206700">
        <w:t xml:space="preserve"> </w:t>
      </w:r>
      <w:r w:rsidR="00432495">
        <w:t>under the MRCA</w:t>
      </w:r>
      <w:r w:rsidR="00D02383">
        <w:t>,</w:t>
      </w:r>
      <w:r w:rsidR="00432495">
        <w:t xml:space="preserve"> veterans </w:t>
      </w:r>
      <w:r w:rsidR="00325BCB">
        <w:t>w</w:t>
      </w:r>
      <w:r w:rsidR="00D02383">
        <w:t xml:space="preserve">ith </w:t>
      </w:r>
      <w:r w:rsidR="00432495">
        <w:t xml:space="preserve">an impairment due to peacetime service can receive </w:t>
      </w:r>
      <w:r w:rsidR="00D02383">
        <w:t xml:space="preserve">less </w:t>
      </w:r>
      <w:r w:rsidR="00432495">
        <w:t xml:space="preserve">permanent impairment compensation than a veteran with the same impairment </w:t>
      </w:r>
      <w:r w:rsidR="00B1367F">
        <w:t xml:space="preserve">from </w:t>
      </w:r>
      <w:r w:rsidR="00432495">
        <w:t>warlike or non</w:t>
      </w:r>
      <w:r w:rsidR="00D027D4">
        <w:noBreakHyphen/>
      </w:r>
      <w:r w:rsidR="00432495">
        <w:t>warlike</w:t>
      </w:r>
      <w:r w:rsidR="009E30C5">
        <w:t xml:space="preserve"> service</w:t>
      </w:r>
      <w:r w:rsidR="00676BF7">
        <w:t>.</w:t>
      </w:r>
    </w:p>
    <w:p w:rsidR="009E30C5" w:rsidRDefault="002765E4" w:rsidP="00C72123">
      <w:pPr>
        <w:pStyle w:val="ListBullet"/>
      </w:pPr>
      <w:r>
        <w:t>E</w:t>
      </w:r>
      <w:r w:rsidR="009E30C5">
        <w:t>ligibility for payments and how payments are calculated differs between the Acts.</w:t>
      </w:r>
      <w:r w:rsidR="00334338">
        <w:t xml:space="preserve"> For example, to receive permanent impairment compensation under the MRCA and DRCA, an impairment must be permanent and stable — this is not </w:t>
      </w:r>
      <w:r w:rsidR="00280D2F">
        <w:t xml:space="preserve">the case </w:t>
      </w:r>
      <w:r w:rsidR="00334338">
        <w:t>under the VEA.</w:t>
      </w:r>
      <w:r w:rsidR="009E30C5">
        <w:t xml:space="preserve"> </w:t>
      </w:r>
      <w:r w:rsidR="00334338">
        <w:t>In addition</w:t>
      </w:r>
      <w:r w:rsidR="009E30C5">
        <w:t xml:space="preserve">, </w:t>
      </w:r>
      <w:r w:rsidR="00B1367F">
        <w:t xml:space="preserve">a number of </w:t>
      </w:r>
      <w:r w:rsidR="009E30C5">
        <w:t xml:space="preserve">court cases, including </w:t>
      </w:r>
      <w:r>
        <w:t>the Fellowes case</w:t>
      </w:r>
      <w:r w:rsidR="00206700" w:rsidRPr="00495F2E">
        <w:rPr>
          <w:rStyle w:val="FootnoteReference"/>
        </w:rPr>
        <w:footnoteReference w:id="3"/>
      </w:r>
      <w:r w:rsidR="009E30C5">
        <w:t xml:space="preserve">, have influenced how multiple impairments are </w:t>
      </w:r>
      <w:r w:rsidR="003A73D8">
        <w:t>assessed</w:t>
      </w:r>
      <w:r w:rsidR="009E30C5">
        <w:t xml:space="preserve"> under the DRCA</w:t>
      </w:r>
      <w:r w:rsidR="00B1367F">
        <w:t xml:space="preserve">, but </w:t>
      </w:r>
      <w:r w:rsidR="009E30C5">
        <w:t>not influenced processes under the MRCA or VEA.</w:t>
      </w:r>
    </w:p>
    <w:p w:rsidR="009E30C5" w:rsidRDefault="002765E4" w:rsidP="00C72123">
      <w:pPr>
        <w:pStyle w:val="ListBullet"/>
      </w:pPr>
      <w:r>
        <w:t>S</w:t>
      </w:r>
      <w:r w:rsidR="009E30C5">
        <w:t xml:space="preserve">ome payments or options are available under some Acts but not others. For example, under the MRCA, permanent impairment payments can be </w:t>
      </w:r>
      <w:r w:rsidR="00B1367F">
        <w:t xml:space="preserve">paid </w:t>
      </w:r>
      <w:r w:rsidR="009E30C5">
        <w:t xml:space="preserve">as a lump sum or weekly payment, whereas under the DRCA permanent impairment payments must be made as a lump sum. </w:t>
      </w:r>
      <w:r>
        <w:t>I</w:t>
      </w:r>
      <w:r w:rsidR="009E30C5">
        <w:t xml:space="preserve">ncapacity payments based on previous income </w:t>
      </w:r>
      <w:r>
        <w:t>are not available</w:t>
      </w:r>
      <w:r w:rsidR="009E30C5">
        <w:t xml:space="preserve"> under the VEA — veterans with incapacity for work under this Act must take</w:t>
      </w:r>
      <w:r>
        <w:t xml:space="preserve"> a</w:t>
      </w:r>
      <w:r w:rsidR="009E30C5">
        <w:t xml:space="preserve"> disability pension</w:t>
      </w:r>
      <w:r>
        <w:t xml:space="preserve"> at a set rate</w:t>
      </w:r>
      <w:r w:rsidR="009E30C5">
        <w:t>.</w:t>
      </w:r>
    </w:p>
    <w:p w:rsidR="00F61D43" w:rsidRDefault="001F29D0" w:rsidP="001F29D0">
      <w:pPr>
        <w:pStyle w:val="BodyText"/>
      </w:pPr>
      <w:r>
        <w:t xml:space="preserve">The Commission </w:t>
      </w:r>
      <w:r w:rsidR="00B1367F">
        <w:t>would like</w:t>
      </w:r>
      <w:r>
        <w:t xml:space="preserve"> feedback on whether these differen</w:t>
      </w:r>
      <w:r w:rsidR="002765E4">
        <w:t>t arrangements</w:t>
      </w:r>
      <w:r>
        <w:t xml:space="preserve"> can be streamlined, which provisions provide adequate, fair and efficient compensation for veterans, and how these provisions could be improved. Participants should consider the whole compensation package received by veterans when </w:t>
      </w:r>
      <w:r w:rsidR="00B1367F">
        <w:t xml:space="preserve">providing </w:t>
      </w:r>
      <w:r>
        <w:t xml:space="preserve">their responses. </w:t>
      </w:r>
    </w:p>
    <w:p w:rsidR="00F42B8F" w:rsidRDefault="00204FC1" w:rsidP="00F42B8F">
      <w:pPr>
        <w:pStyle w:val="BodyText"/>
      </w:pPr>
      <w:r>
        <w:t>C</w:t>
      </w:r>
      <w:r w:rsidR="00F42B8F">
        <w:t xml:space="preserve">ompensation schemes should provide incentives for workers to rehabilitate and return to work where feasible. </w:t>
      </w:r>
      <w:r>
        <w:t>R</w:t>
      </w:r>
      <w:r w:rsidR="003A69FC">
        <w:t>eturning to work can improve</w:t>
      </w:r>
      <w:r w:rsidR="003A73D8">
        <w:t xml:space="preserve"> the</w:t>
      </w:r>
      <w:r w:rsidR="003A69FC">
        <w:t xml:space="preserve"> recovery and</w:t>
      </w:r>
      <w:r w:rsidR="003A69FC" w:rsidDel="003A73D8">
        <w:t xml:space="preserve"> </w:t>
      </w:r>
      <w:r w:rsidR="003A69FC">
        <w:t xml:space="preserve">health of the worker, but income replacement schemes can dampen the incentive to return to work. </w:t>
      </w:r>
      <w:r w:rsidR="00891719">
        <w:t>Most workers’ compensation schemes (including those provided to veterans) have safeguards in place to minimise disincentives to work</w:t>
      </w:r>
      <w:r w:rsidR="00401483">
        <w:t xml:space="preserve">. </w:t>
      </w:r>
    </w:p>
    <w:p w:rsidR="003A69FC" w:rsidRPr="004E3B94" w:rsidRDefault="003A69FC" w:rsidP="003A69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3A69FC" w:rsidTr="003A69FC">
        <w:trPr>
          <w:tblHeader/>
        </w:trPr>
        <w:tc>
          <w:tcPr>
            <w:tcW w:w="5000" w:type="pct"/>
            <w:tcBorders>
              <w:top w:val="single" w:sz="6" w:space="0" w:color="78A22F"/>
              <w:left w:val="nil"/>
              <w:bottom w:val="nil"/>
              <w:right w:val="nil"/>
            </w:tcBorders>
            <w:shd w:val="clear" w:color="auto" w:fill="auto"/>
          </w:tcPr>
          <w:p w:rsidR="003A69FC" w:rsidRPr="00CE4C64" w:rsidRDefault="00F145DB" w:rsidP="003A69FC">
            <w:pPr>
              <w:pStyle w:val="InformationRequestTitle"/>
              <w:spacing w:before="120"/>
            </w:pPr>
            <w:r>
              <w:t>Questions</w:t>
            </w:r>
          </w:p>
        </w:tc>
      </w:tr>
      <w:tr w:rsidR="003A69FC" w:rsidRPr="00750BE2" w:rsidTr="003A69FC">
        <w:tc>
          <w:tcPr>
            <w:tcW w:w="5000" w:type="pct"/>
            <w:tcBorders>
              <w:top w:val="nil"/>
              <w:left w:val="nil"/>
              <w:bottom w:val="nil"/>
              <w:right w:val="nil"/>
            </w:tcBorders>
            <w:shd w:val="clear" w:color="auto" w:fill="auto"/>
          </w:tcPr>
          <w:p w:rsidR="00BE5075" w:rsidRDefault="00822050">
            <w:pPr>
              <w:pStyle w:val="InformationRequest"/>
            </w:pPr>
            <w:r>
              <w:t xml:space="preserve">Is the package of compensation received by veterans adequate, fair and </w:t>
            </w:r>
            <w:r w:rsidR="001F29D0">
              <w:t>efficient</w:t>
            </w:r>
            <w:r>
              <w:t>? If not, where are the key shortcomings, and how should these be addressed?</w:t>
            </w:r>
          </w:p>
          <w:p w:rsidR="007B2661" w:rsidRPr="007B2661" w:rsidRDefault="000C3A7B" w:rsidP="007B2661">
            <w:pPr>
              <w:pStyle w:val="InformationRequest"/>
            </w:pPr>
            <w:r>
              <w:t>Is access to compensation benefits fair and timely? In particular, are there challenges associated with the requirement</w:t>
            </w:r>
            <w:r w:rsidR="00305CB8">
              <w:t>s</w:t>
            </w:r>
            <w:r>
              <w:t xml:space="preserve"> in the MRCA</w:t>
            </w:r>
            <w:r w:rsidR="00305CB8">
              <w:t xml:space="preserve"> and DRCA</w:t>
            </w:r>
            <w:r>
              <w:t xml:space="preserve"> that impairments be permanent and stable to receive permanent impairment compensation? How could these provisions be improved?</w:t>
            </w:r>
          </w:p>
        </w:tc>
      </w:tr>
      <w:tr w:rsidR="003A69FC" w:rsidTr="003A69FC">
        <w:tc>
          <w:tcPr>
            <w:tcW w:w="5000" w:type="pct"/>
            <w:tcBorders>
              <w:top w:val="nil"/>
              <w:left w:val="nil"/>
              <w:bottom w:val="single" w:sz="6" w:space="0" w:color="78A22F"/>
              <w:right w:val="nil"/>
            </w:tcBorders>
            <w:shd w:val="clear" w:color="auto" w:fill="auto"/>
          </w:tcPr>
          <w:p w:rsidR="003A69FC" w:rsidRDefault="003A69FC" w:rsidP="003A69FC">
            <w:pPr>
              <w:pStyle w:val="Space"/>
              <w:keepLines/>
            </w:pPr>
          </w:p>
        </w:tc>
      </w:tr>
      <w:tr w:rsidR="003A69FC" w:rsidRPr="000863A5" w:rsidTr="003A69FC">
        <w:tc>
          <w:tcPr>
            <w:tcW w:w="5000" w:type="pct"/>
            <w:tcBorders>
              <w:top w:val="single" w:sz="6" w:space="0" w:color="78A22F"/>
              <w:left w:val="nil"/>
              <w:bottom w:val="nil"/>
              <w:right w:val="nil"/>
            </w:tcBorders>
          </w:tcPr>
          <w:p w:rsidR="003A69FC" w:rsidRPr="00626D32" w:rsidRDefault="003A69FC" w:rsidP="003A69FC">
            <w:pPr>
              <w:pStyle w:val="BoxSpaceBelow"/>
              <w:keepLines/>
            </w:pPr>
          </w:p>
        </w:tc>
      </w:tr>
    </w:tbl>
    <w:p w:rsidR="002C4267" w:rsidRPr="004E3B94" w:rsidRDefault="002C4267" w:rsidP="0027780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2C4267" w:rsidTr="0027780C">
        <w:trPr>
          <w:tblHeader/>
        </w:trPr>
        <w:tc>
          <w:tcPr>
            <w:tcW w:w="5000" w:type="pct"/>
            <w:tcBorders>
              <w:top w:val="single" w:sz="6" w:space="0" w:color="78A22F"/>
              <w:left w:val="nil"/>
              <w:bottom w:val="nil"/>
              <w:right w:val="nil"/>
            </w:tcBorders>
            <w:shd w:val="clear" w:color="auto" w:fill="auto"/>
          </w:tcPr>
          <w:p w:rsidR="002C4267" w:rsidRPr="00CE4C64" w:rsidRDefault="002C4267" w:rsidP="0027780C">
            <w:pPr>
              <w:pStyle w:val="InformationRequestTitle"/>
              <w:spacing w:before="120"/>
            </w:pPr>
            <w:r>
              <w:t>Questions</w:t>
            </w:r>
          </w:p>
        </w:tc>
      </w:tr>
      <w:tr w:rsidR="002C4267" w:rsidRPr="00750BE2" w:rsidTr="0027780C">
        <w:tc>
          <w:tcPr>
            <w:tcW w:w="5000" w:type="pct"/>
            <w:tcBorders>
              <w:top w:val="nil"/>
              <w:left w:val="nil"/>
              <w:bottom w:val="nil"/>
              <w:right w:val="nil"/>
            </w:tcBorders>
            <w:shd w:val="clear" w:color="auto" w:fill="auto"/>
          </w:tcPr>
          <w:p w:rsidR="002C4267" w:rsidRDefault="002C4267" w:rsidP="002C4267">
            <w:pPr>
              <w:pStyle w:val="InformationRequest"/>
            </w:pPr>
            <w:r>
              <w:t>Is there scope to better align the compensation received under the VEA, MRCA and DRCA? In particular, could the provisions for permanent impairment compensation and incapacity payments in the MRCA and DRCA be made consistent?</w:t>
            </w:r>
          </w:p>
          <w:p w:rsidR="002C4267" w:rsidRDefault="002C4267" w:rsidP="002C4267">
            <w:pPr>
              <w:pStyle w:val="InformationRequest"/>
            </w:pPr>
            <w:r>
              <w:t>Are there complications caused by the interaction of compensation with military superannuation? How could these be addressed?</w:t>
            </w:r>
          </w:p>
          <w:p w:rsidR="002C4267" w:rsidRPr="00334338" w:rsidRDefault="002C4267" w:rsidP="002C4267">
            <w:pPr>
              <w:pStyle w:val="InformationRequest"/>
            </w:pPr>
            <w:r>
              <w:t>What is the rationale for different levels of compensation to veterans with different types of service in the MRCA? Should these differences continue?</w:t>
            </w:r>
          </w:p>
          <w:p w:rsidR="002C4267" w:rsidRPr="006E7EE2" w:rsidRDefault="002C4267" w:rsidP="002C4267">
            <w:pPr>
              <w:pStyle w:val="InformationRequest"/>
              <w:keepNext/>
            </w:pPr>
            <w:r>
              <w:t>For those veterans who receive compensation, are there adequate incentives to rehabilitate or return to work? Are there examples of other compensation schemes that provide support for injured workers and successfully create incentives to rehabilitate or return to work?</w:t>
            </w:r>
          </w:p>
        </w:tc>
      </w:tr>
      <w:tr w:rsidR="002C4267" w:rsidTr="0027780C">
        <w:tc>
          <w:tcPr>
            <w:tcW w:w="5000" w:type="pct"/>
            <w:tcBorders>
              <w:top w:val="nil"/>
              <w:left w:val="nil"/>
              <w:bottom w:val="single" w:sz="6" w:space="0" w:color="78A22F"/>
              <w:right w:val="nil"/>
            </w:tcBorders>
            <w:shd w:val="clear" w:color="auto" w:fill="auto"/>
          </w:tcPr>
          <w:p w:rsidR="002C4267" w:rsidRDefault="002C4267" w:rsidP="0027780C">
            <w:pPr>
              <w:pStyle w:val="Space"/>
              <w:keepLines/>
            </w:pPr>
          </w:p>
        </w:tc>
      </w:tr>
      <w:tr w:rsidR="002C4267" w:rsidRPr="000863A5" w:rsidTr="0027780C">
        <w:tc>
          <w:tcPr>
            <w:tcW w:w="5000" w:type="pct"/>
            <w:tcBorders>
              <w:top w:val="single" w:sz="6" w:space="0" w:color="78A22F"/>
              <w:left w:val="nil"/>
              <w:bottom w:val="nil"/>
              <w:right w:val="nil"/>
            </w:tcBorders>
          </w:tcPr>
          <w:p w:rsidR="002C4267" w:rsidRPr="00626D32" w:rsidRDefault="002C4267" w:rsidP="0027780C">
            <w:pPr>
              <w:pStyle w:val="BoxSpaceBelow"/>
              <w:keepLines/>
            </w:pPr>
          </w:p>
        </w:tc>
      </w:tr>
    </w:tbl>
    <w:p w:rsidR="00313EF8" w:rsidRDefault="005D6FC7" w:rsidP="005D6FC7">
      <w:pPr>
        <w:pStyle w:val="Heading3"/>
      </w:pPr>
      <w:r>
        <w:t xml:space="preserve">Helping people to transition from the </w:t>
      </w:r>
      <w:r w:rsidR="007C31AC">
        <w:t>ADF</w:t>
      </w:r>
    </w:p>
    <w:p w:rsidR="005C7195" w:rsidRDefault="00F61D43" w:rsidP="005D6FC7">
      <w:pPr>
        <w:pStyle w:val="BodyText"/>
      </w:pPr>
      <w:r>
        <w:t>T</w:t>
      </w:r>
      <w:r w:rsidR="00D246C9">
        <w:t>ransition services</w:t>
      </w:r>
      <w:r w:rsidR="001401CE">
        <w:t xml:space="preserve"> to help veterans adjust to civilian life</w:t>
      </w:r>
      <w:r w:rsidR="00D246C9">
        <w:t xml:space="preserve"> </w:t>
      </w:r>
      <w:r w:rsidR="00C7178F">
        <w:t>ha</w:t>
      </w:r>
      <w:r>
        <w:t xml:space="preserve">ve </w:t>
      </w:r>
      <w:r w:rsidR="005C7195">
        <w:t xml:space="preserve">recently </w:t>
      </w:r>
      <w:r w:rsidR="00C7178F">
        <w:t xml:space="preserve">come under </w:t>
      </w:r>
      <w:r w:rsidR="005C7195">
        <w:t xml:space="preserve">the spotlight with a number of </w:t>
      </w:r>
      <w:r w:rsidR="00D246C9">
        <w:t>studies highlight</w:t>
      </w:r>
      <w:r w:rsidR="005C7195">
        <w:t xml:space="preserve">ing </w:t>
      </w:r>
      <w:r w:rsidR="00D246C9">
        <w:t xml:space="preserve">the pressures faced by people as they leave the </w:t>
      </w:r>
      <w:r w:rsidR="007553D6">
        <w:t>ADF</w:t>
      </w:r>
      <w:r w:rsidR="00D246C9">
        <w:t>.</w:t>
      </w:r>
      <w:r w:rsidR="002765E4">
        <w:t xml:space="preserve"> For example,</w:t>
      </w:r>
      <w:r w:rsidR="00D246C9">
        <w:t xml:space="preserve"> </w:t>
      </w:r>
      <w:r w:rsidR="002765E4">
        <w:t>t</w:t>
      </w:r>
      <w:r w:rsidR="00D246C9">
        <w:t xml:space="preserve">he National Mental Health Commission </w:t>
      </w:r>
      <w:r w:rsidR="00B35D3E" w:rsidRPr="00B35D3E">
        <w:t>(2017)</w:t>
      </w:r>
      <w:r>
        <w:t xml:space="preserve"> </w:t>
      </w:r>
      <w:r w:rsidR="005C7195">
        <w:t>highlighted</w:t>
      </w:r>
      <w:r w:rsidR="00D246C9">
        <w:t xml:space="preserve"> many of the pressures faced by transitioning military personnel, including the psychological transition from being a </w:t>
      </w:r>
      <w:r w:rsidR="00015AAA">
        <w:t>member of the ADF</w:t>
      </w:r>
      <w:r w:rsidR="00D246C9">
        <w:t xml:space="preserve"> to becoming a civilian, and </w:t>
      </w:r>
      <w:r w:rsidR="005C7195">
        <w:t xml:space="preserve">noted </w:t>
      </w:r>
      <w:r w:rsidR="00D246C9">
        <w:t>that some person</w:t>
      </w:r>
      <w:r w:rsidR="00C7178F">
        <w:t>nel are institutionalised or depende</w:t>
      </w:r>
      <w:r w:rsidR="00D246C9">
        <w:t>nt on the ADF and fear returning to civilian life.</w:t>
      </w:r>
      <w:r w:rsidR="00D37963">
        <w:t xml:space="preserve"> Phoenix Australia </w:t>
      </w:r>
      <w:r w:rsidR="00B35D3E" w:rsidRPr="00B35D3E">
        <w:rPr>
          <w:szCs w:val="24"/>
        </w:rPr>
        <w:t>(2016, p. 3)</w:t>
      </w:r>
      <w:r w:rsidR="00D37963">
        <w:t xml:space="preserve"> noted that ‘the post</w:t>
      </w:r>
      <w:r w:rsidR="00D027D4">
        <w:noBreakHyphen/>
      </w:r>
      <w:r w:rsidR="00D37963">
        <w:t>discharge period has been recognised as a period of elevated risk for mental health problems and suicidality’</w:t>
      </w:r>
      <w:r w:rsidR="006E4413">
        <w:t>.</w:t>
      </w:r>
      <w:r w:rsidR="00846ADF">
        <w:t xml:space="preserve"> </w:t>
      </w:r>
    </w:p>
    <w:p w:rsidR="005D6FC7" w:rsidRDefault="00846ADF" w:rsidP="005D6FC7">
      <w:pPr>
        <w:pStyle w:val="BodyText"/>
      </w:pPr>
      <w:r>
        <w:t xml:space="preserve">Some members may also require rehabilitation for an impairment </w:t>
      </w:r>
      <w:r w:rsidR="005C7195">
        <w:t xml:space="preserve">when they </w:t>
      </w:r>
      <w:r>
        <w:t>leav</w:t>
      </w:r>
      <w:r w:rsidR="005C7195">
        <w:t xml:space="preserve">e </w:t>
      </w:r>
      <w:r>
        <w:t>the defence force</w:t>
      </w:r>
      <w:r w:rsidR="005C7195">
        <w:t xml:space="preserve">. Rehabilitation services can </w:t>
      </w:r>
      <w:r w:rsidR="001401CE">
        <w:t>help</w:t>
      </w:r>
      <w:r w:rsidR="005C7195">
        <w:t xml:space="preserve"> </w:t>
      </w:r>
      <w:r w:rsidR="001401CE">
        <w:t>pe</w:t>
      </w:r>
      <w:r w:rsidR="005C7195">
        <w:t xml:space="preserve">ople </w:t>
      </w:r>
      <w:r w:rsidR="001401CE">
        <w:t>recover physically and psychologically, rebuild</w:t>
      </w:r>
      <w:r w:rsidR="005C7195">
        <w:t xml:space="preserve"> </w:t>
      </w:r>
      <w:r w:rsidR="001401CE">
        <w:t>social connectedness, and assist</w:t>
      </w:r>
      <w:r w:rsidR="005C7195">
        <w:t xml:space="preserve"> them </w:t>
      </w:r>
      <w:r w:rsidR="001401CE">
        <w:t>to return to work where</w:t>
      </w:r>
      <w:r w:rsidR="005C7195">
        <w:t xml:space="preserve"> </w:t>
      </w:r>
      <w:r w:rsidR="001401CE">
        <w:t xml:space="preserve">possible </w:t>
      </w:r>
      <w:r w:rsidR="00D765A6" w:rsidRPr="00D765A6">
        <w:rPr>
          <w:szCs w:val="24"/>
        </w:rPr>
        <w:t>(DVA 2016)</w:t>
      </w:r>
      <w:r w:rsidR="001401CE">
        <w:t>.</w:t>
      </w:r>
    </w:p>
    <w:p w:rsidR="00846ADF" w:rsidRDefault="00846ADF" w:rsidP="005D6FC7">
      <w:pPr>
        <w:pStyle w:val="BodyText"/>
      </w:pPr>
      <w:r>
        <w:t xml:space="preserve">In practice, </w:t>
      </w:r>
      <w:r w:rsidR="00E3074F">
        <w:t xml:space="preserve">assessing the </w:t>
      </w:r>
      <w:r>
        <w:t>effective</w:t>
      </w:r>
      <w:r w:rsidR="00E3074F">
        <w:t>ness of</w:t>
      </w:r>
      <w:r>
        <w:t xml:space="preserve"> transition and rehabilitation services i</w:t>
      </w:r>
      <w:r w:rsidR="004A7372">
        <w:t xml:space="preserve">s difficult. The ANAO </w:t>
      </w:r>
      <w:r w:rsidR="00330605" w:rsidRPr="00330605">
        <w:t>(2016)</w:t>
      </w:r>
      <w:r>
        <w:t xml:space="preserve"> noted that DVA keeps no comprehensive performance data to indicate whether rehabilitation services are meeting the needs of its clients, </w:t>
      </w:r>
      <w:r w:rsidR="00BB15BD">
        <w:t>and</w:t>
      </w:r>
      <w:r w:rsidR="00F42B8F">
        <w:t xml:space="preserve"> that the ADF and DVA had</w:t>
      </w:r>
      <w:r w:rsidR="00401483">
        <w:t xml:space="preserve">, to that date, </w:t>
      </w:r>
      <w:r w:rsidR="00BB15BD">
        <w:t xml:space="preserve">not adequately assessed the effectiveness of transition services. </w:t>
      </w:r>
      <w:r w:rsidR="00610651">
        <w:t xml:space="preserve">This makes it difficult to </w:t>
      </w:r>
      <w:r w:rsidR="006A064C">
        <w:t xml:space="preserve">determine </w:t>
      </w:r>
      <w:r w:rsidR="00610651">
        <w:t xml:space="preserve">whether the current mix of rehabilitation and transition services is </w:t>
      </w:r>
      <w:r w:rsidR="00431A10">
        <w:t>meeting the needs of users</w:t>
      </w:r>
      <w:r w:rsidR="00610651">
        <w:t>.</w:t>
      </w:r>
    </w:p>
    <w:p w:rsidR="00BB15BD" w:rsidRDefault="005C7195" w:rsidP="005D6FC7">
      <w:pPr>
        <w:pStyle w:val="BodyText"/>
      </w:pPr>
      <w:r>
        <w:t>T</w:t>
      </w:r>
      <w:r w:rsidR="00BB15BD">
        <w:t>he ADF has responsibility for transition and rehabilitation services for its members,</w:t>
      </w:r>
      <w:r w:rsidR="00A07123">
        <w:t xml:space="preserve"> and </w:t>
      </w:r>
      <w:r w:rsidR="003C781D">
        <w:t xml:space="preserve">for </w:t>
      </w:r>
      <w:r w:rsidR="00A07123">
        <w:t>providing some transition services following discharge</w:t>
      </w:r>
      <w:r>
        <w:t xml:space="preserve">. </w:t>
      </w:r>
      <w:r w:rsidR="00BB15BD">
        <w:t xml:space="preserve">DVA has responsibility post discharge once </w:t>
      </w:r>
      <w:r w:rsidR="00401483">
        <w:t xml:space="preserve">it has accepted </w:t>
      </w:r>
      <w:r w:rsidR="00BB15BD">
        <w:t xml:space="preserve">liability for a condition. </w:t>
      </w:r>
      <w:r w:rsidR="00610651">
        <w:t xml:space="preserve">Some participants to the </w:t>
      </w:r>
      <w:r w:rsidR="00C20ADE">
        <w:t>S</w:t>
      </w:r>
      <w:r w:rsidR="00610651">
        <w:t>enate inquiry</w:t>
      </w:r>
      <w:r w:rsidR="002765E4">
        <w:t xml:space="preserve"> into veterans’ suicide</w:t>
      </w:r>
      <w:r w:rsidR="00610651">
        <w:t xml:space="preserve"> </w:t>
      </w:r>
      <w:r>
        <w:t xml:space="preserve">said </w:t>
      </w:r>
      <w:r w:rsidR="00610651">
        <w:t xml:space="preserve">that these arrangements can </w:t>
      </w:r>
      <w:r>
        <w:t xml:space="preserve">affect </w:t>
      </w:r>
      <w:r w:rsidR="00610651">
        <w:t>continuity of care, as members may have to change providers upon discharge.</w:t>
      </w:r>
    </w:p>
    <w:p w:rsidR="00610651" w:rsidRDefault="00610651" w:rsidP="005D6FC7">
      <w:pPr>
        <w:pStyle w:val="BodyText"/>
      </w:pPr>
      <w:r>
        <w:lastRenderedPageBreak/>
        <w:t xml:space="preserve">There can also be gaps in care following discharge. DVA is trialling </w:t>
      </w:r>
      <w:r w:rsidR="003C781D">
        <w:t>‘</w:t>
      </w:r>
      <w:r>
        <w:t>accelerated access to rehabilitation</w:t>
      </w:r>
      <w:r w:rsidR="003C781D">
        <w:t>’</w:t>
      </w:r>
      <w:r>
        <w:t xml:space="preserve">, but </w:t>
      </w:r>
      <w:r w:rsidR="005C7195">
        <w:t xml:space="preserve">as a </w:t>
      </w:r>
      <w:r>
        <w:t>general</w:t>
      </w:r>
      <w:r w:rsidR="005C7195">
        <w:t xml:space="preserve"> rule </w:t>
      </w:r>
      <w:r>
        <w:t>does not provide rehabilitation services until liability has been accepted for a condition. Members discharged from the ADF prior to their claim being settled may be unable to access rehabilitation service</w:t>
      </w:r>
      <w:r w:rsidR="00552092">
        <w:t>s</w:t>
      </w:r>
      <w:r>
        <w:t xml:space="preserve"> in the interim.</w:t>
      </w:r>
    </w:p>
    <w:p w:rsidR="00582D5E" w:rsidRDefault="00582D5E" w:rsidP="005D6FC7">
      <w:pPr>
        <w:pStyle w:val="BodyText"/>
      </w:pPr>
      <w:r>
        <w:t>M</w:t>
      </w:r>
      <w:r w:rsidR="002E7358">
        <w:t xml:space="preserve">any </w:t>
      </w:r>
      <w:r>
        <w:t xml:space="preserve">veterans will need to find civilian employment when they leave the ADF, and this can be challenging for some. Recent efforts to </w:t>
      </w:r>
      <w:r w:rsidRPr="00582D5E">
        <w:t>improve employment opportunities for veterans</w:t>
      </w:r>
      <w:r>
        <w:t xml:space="preserve"> have centred on the </w:t>
      </w:r>
      <w:r w:rsidRPr="00582D5E">
        <w:t>Prime Minister’s Veterans’ Employment Program</w:t>
      </w:r>
      <w:r w:rsidR="002E7358">
        <w:t xml:space="preserve">. This program </w:t>
      </w:r>
      <w:r>
        <w:t xml:space="preserve">seeks to </w:t>
      </w:r>
      <w:r w:rsidRPr="00582D5E">
        <w:t xml:space="preserve">raise awareness </w:t>
      </w:r>
      <w:r w:rsidR="00C15D8F">
        <w:t xml:space="preserve">with employers </w:t>
      </w:r>
      <w:r w:rsidRPr="00582D5E">
        <w:t xml:space="preserve">about the skills and experience </w:t>
      </w:r>
      <w:r w:rsidR="00C15D8F">
        <w:t xml:space="preserve">of </w:t>
      </w:r>
      <w:r>
        <w:t>f</w:t>
      </w:r>
      <w:r w:rsidRPr="00582D5E">
        <w:t>ormer ADF personnel</w:t>
      </w:r>
      <w:r>
        <w:t xml:space="preserve">. </w:t>
      </w:r>
    </w:p>
    <w:p w:rsidR="00610651" w:rsidRPr="004E3B94" w:rsidRDefault="00610651" w:rsidP="003A69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10651" w:rsidTr="003A69FC">
        <w:trPr>
          <w:tblHeader/>
        </w:trPr>
        <w:tc>
          <w:tcPr>
            <w:tcW w:w="5000" w:type="pct"/>
            <w:tcBorders>
              <w:top w:val="single" w:sz="6" w:space="0" w:color="78A22F"/>
              <w:left w:val="nil"/>
              <w:bottom w:val="nil"/>
              <w:right w:val="nil"/>
            </w:tcBorders>
            <w:shd w:val="clear" w:color="auto" w:fill="auto"/>
          </w:tcPr>
          <w:p w:rsidR="00610651" w:rsidRPr="00CE4C64" w:rsidRDefault="00F145DB" w:rsidP="003A69FC">
            <w:pPr>
              <w:pStyle w:val="InformationRequestTitle"/>
              <w:spacing w:before="120"/>
            </w:pPr>
            <w:r>
              <w:t>Questions</w:t>
            </w:r>
          </w:p>
        </w:tc>
      </w:tr>
      <w:tr w:rsidR="00610651" w:rsidRPr="00750BE2" w:rsidTr="003A69FC">
        <w:tc>
          <w:tcPr>
            <w:tcW w:w="5000" w:type="pct"/>
            <w:tcBorders>
              <w:top w:val="nil"/>
              <w:left w:val="nil"/>
              <w:bottom w:val="nil"/>
              <w:right w:val="nil"/>
            </w:tcBorders>
            <w:shd w:val="clear" w:color="auto" w:fill="auto"/>
          </w:tcPr>
          <w:p w:rsidR="00BE6A73" w:rsidRDefault="007D7F01">
            <w:pPr>
              <w:pStyle w:val="InformationRequest"/>
              <w:keepNext/>
            </w:pPr>
            <w:r>
              <w:t>Are</w:t>
            </w:r>
            <w:r w:rsidR="00610651" w:rsidRPr="00074867">
              <w:t xml:space="preserve"> transition and rehabilitation services </w:t>
            </w:r>
            <w:r w:rsidR="00431A10">
              <w:t xml:space="preserve">meeting the needs of </w:t>
            </w:r>
            <w:r>
              <w:t>veterans and their families</w:t>
            </w:r>
            <w:r w:rsidR="00610651" w:rsidRPr="00074867">
              <w:t>? Are veterans getting access to the services they need</w:t>
            </w:r>
            <w:r w:rsidR="00BE6A73">
              <w:t xml:space="preserve"> when they need them</w:t>
            </w:r>
            <w:r w:rsidR="00610651" w:rsidRPr="00074867">
              <w:t>?</w:t>
            </w:r>
            <w:r w:rsidR="00BE6A73">
              <w:t xml:space="preserve"> </w:t>
            </w:r>
            <w:r w:rsidR="00BE6A73" w:rsidRPr="00074867">
              <w:t>What c</w:t>
            </w:r>
            <w:r w:rsidR="00BE6A73">
              <w:t xml:space="preserve">ould </w:t>
            </w:r>
            <w:r w:rsidR="00BE6A73" w:rsidRPr="00074867">
              <w:t>be done to improve the timeliness of transition and rehabilitation services, and the coordination of service</w:t>
            </w:r>
            <w:r w:rsidR="006332CE">
              <w:t>s</w:t>
            </w:r>
            <w:r w:rsidR="00BE6A73" w:rsidRPr="00074867">
              <w:t xml:space="preserve">? </w:t>
            </w:r>
            <w:r w:rsidR="00BE6A73">
              <w:t>What changes could be made to ma</w:t>
            </w:r>
            <w:r w:rsidR="006332CE">
              <w:t xml:space="preserve">ke it easier for ADF personnel to </w:t>
            </w:r>
            <w:r w:rsidR="00BE6A73">
              <w:t>transition to civilian life</w:t>
            </w:r>
            <w:r w:rsidR="00D30CF0">
              <w:t xml:space="preserve"> and to find civilian employment</w:t>
            </w:r>
            <w:r w:rsidR="00C15D8F">
              <w:t xml:space="preserve"> that matches their skill</w:t>
            </w:r>
            <w:r w:rsidR="002A3E3A">
              <w:t>s and potential</w:t>
            </w:r>
            <w:r w:rsidR="00BE6A73">
              <w:t>?</w:t>
            </w:r>
            <w:r w:rsidR="00990EFF">
              <w:t xml:space="preserve"> </w:t>
            </w:r>
          </w:p>
          <w:p w:rsidR="00074867" w:rsidRPr="00074867" w:rsidRDefault="00074867">
            <w:pPr>
              <w:pStyle w:val="InformationRequest"/>
              <w:keepNext/>
            </w:pPr>
            <w:r w:rsidRPr="00074867">
              <w:t xml:space="preserve">Veterans who are medically discharged are generally in higher needs categories than people who access other rehabilitation and compensation schemes, and </w:t>
            </w:r>
            <w:r w:rsidR="00401483">
              <w:t xml:space="preserve">have exhausted </w:t>
            </w:r>
            <w:r w:rsidRPr="00074867">
              <w:t>options for return to work in the ADF. How should this be reflected in the design of rehabilitation services for veterans?</w:t>
            </w:r>
          </w:p>
          <w:p w:rsidR="00B157AE" w:rsidRPr="00074867" w:rsidRDefault="00B157AE">
            <w:pPr>
              <w:pStyle w:val="InformationRequest"/>
              <w:keepNext/>
            </w:pPr>
            <w:r w:rsidRPr="00074867">
              <w:t>How should the effectiveness of transition and rehabilitation services be measured?</w:t>
            </w:r>
            <w:r w:rsidR="005C7195">
              <w:t xml:space="preserve"> What evidence is </w:t>
            </w:r>
            <w:r w:rsidR="000D541A">
              <w:t xml:space="preserve">currently </w:t>
            </w:r>
            <w:r w:rsidR="005C7195">
              <w:t>available on the effectiveness of transition and rehabilitation services?</w:t>
            </w:r>
            <w:r w:rsidR="00CD59D9">
              <w:t xml:space="preserve"> How can the service system be improved?</w:t>
            </w:r>
          </w:p>
          <w:p w:rsidR="00074867" w:rsidRPr="00610651" w:rsidRDefault="00074867">
            <w:pPr>
              <w:pStyle w:val="InformationRequest"/>
              <w:keepNext/>
            </w:pPr>
            <w:r w:rsidRPr="00074867">
              <w:t xml:space="preserve">In some countries, rehabilitation services are provided to the families of severely injured </w:t>
            </w:r>
            <w:r w:rsidR="005F4595">
              <w:t xml:space="preserve">and </w:t>
            </w:r>
            <w:r w:rsidRPr="00074867">
              <w:t>deceased veterans. Is there a rationale for providing such services in Australia?</w:t>
            </w:r>
            <w:r w:rsidR="005F4595">
              <w:t xml:space="preserve"> If so, what evidence is there </w:t>
            </w:r>
            <w:r w:rsidR="000D541A">
              <w:t>on the effectiveness of</w:t>
            </w:r>
            <w:r w:rsidR="005F4595">
              <w:t xml:space="preserve"> these services</w:t>
            </w:r>
            <w:r w:rsidR="000D541A">
              <w:t xml:space="preserve">? </w:t>
            </w:r>
          </w:p>
        </w:tc>
      </w:tr>
      <w:tr w:rsidR="00610651" w:rsidTr="003A69FC">
        <w:tc>
          <w:tcPr>
            <w:tcW w:w="5000" w:type="pct"/>
            <w:tcBorders>
              <w:top w:val="nil"/>
              <w:left w:val="nil"/>
              <w:bottom w:val="single" w:sz="6" w:space="0" w:color="78A22F"/>
              <w:right w:val="nil"/>
            </w:tcBorders>
            <w:shd w:val="clear" w:color="auto" w:fill="auto"/>
          </w:tcPr>
          <w:p w:rsidR="00610651" w:rsidRDefault="00610651" w:rsidP="003A69FC">
            <w:pPr>
              <w:pStyle w:val="Space"/>
              <w:keepLines/>
            </w:pPr>
          </w:p>
        </w:tc>
      </w:tr>
      <w:tr w:rsidR="00610651" w:rsidRPr="000863A5" w:rsidTr="003A69FC">
        <w:tc>
          <w:tcPr>
            <w:tcW w:w="5000" w:type="pct"/>
            <w:tcBorders>
              <w:top w:val="single" w:sz="6" w:space="0" w:color="78A22F"/>
              <w:left w:val="nil"/>
              <w:bottom w:val="nil"/>
              <w:right w:val="nil"/>
            </w:tcBorders>
          </w:tcPr>
          <w:p w:rsidR="00610651" w:rsidRPr="00626D32" w:rsidRDefault="00610651">
            <w:pPr>
              <w:pStyle w:val="BoxSpaceBelow"/>
              <w:keepNext/>
              <w:keepLines/>
            </w:pPr>
          </w:p>
        </w:tc>
      </w:tr>
    </w:tbl>
    <w:p w:rsidR="00805A2E" w:rsidRDefault="00822050" w:rsidP="00805A2E">
      <w:pPr>
        <w:pStyle w:val="Heading3"/>
      </w:pPr>
      <w:r>
        <w:t>Income support and health care</w:t>
      </w:r>
    </w:p>
    <w:p w:rsidR="00372E1B" w:rsidRDefault="00E3074F" w:rsidP="00805A2E">
      <w:pPr>
        <w:pStyle w:val="BodyText"/>
      </w:pPr>
      <w:r>
        <w:t>V</w:t>
      </w:r>
      <w:r w:rsidR="00A814D1">
        <w:t xml:space="preserve">eterans can </w:t>
      </w:r>
      <w:r>
        <w:t xml:space="preserve">also </w:t>
      </w:r>
      <w:r w:rsidR="00A814D1">
        <w:t xml:space="preserve">be eligible </w:t>
      </w:r>
      <w:r>
        <w:t xml:space="preserve">for </w:t>
      </w:r>
      <w:r w:rsidR="00A814D1">
        <w:t xml:space="preserve">additional allowances and benefits from DVA </w:t>
      </w:r>
      <w:r>
        <w:t>(</w:t>
      </w:r>
      <w:r w:rsidR="00A814D1">
        <w:t>aside from compensation</w:t>
      </w:r>
      <w:r w:rsidR="002765E4">
        <w:t xml:space="preserve"> received under the three Acts</w:t>
      </w:r>
      <w:r w:rsidR="00A814D1">
        <w:t xml:space="preserve"> for an impairment</w:t>
      </w:r>
      <w:r>
        <w:t>)</w:t>
      </w:r>
      <w:r w:rsidR="00A814D1">
        <w:t>.</w:t>
      </w:r>
      <w:r w:rsidR="00372E1B">
        <w:t xml:space="preserve"> For example:</w:t>
      </w:r>
    </w:p>
    <w:p w:rsidR="00372E1B" w:rsidRDefault="00372E1B" w:rsidP="00A2352C">
      <w:pPr>
        <w:pStyle w:val="ListBullet"/>
      </w:pPr>
      <w:r>
        <w:t>veterans with eligible service can receive the service pension. This largely replicates the age and disability pensions available to the general population, but is provided through DVA and is made available at an earlier age</w:t>
      </w:r>
    </w:p>
    <w:p w:rsidR="00372E1B" w:rsidRDefault="00D65DEE" w:rsidP="00A2352C">
      <w:pPr>
        <w:pStyle w:val="ListBullet"/>
      </w:pPr>
      <w:r>
        <w:t>veterans</w:t>
      </w:r>
      <w:r w:rsidR="002D698C">
        <w:t xml:space="preserve"> and their dependants</w:t>
      </w:r>
      <w:r>
        <w:t xml:space="preserve"> can receive allowances for education, modified vehicles, clothing and home loan subsidies.</w:t>
      </w:r>
    </w:p>
    <w:p w:rsidR="004103C8" w:rsidRDefault="00DB012E" w:rsidP="00805A2E">
      <w:pPr>
        <w:pStyle w:val="BodyText"/>
      </w:pPr>
      <w:r>
        <w:t xml:space="preserve">Of the </w:t>
      </w:r>
      <w:r w:rsidR="00912311">
        <w:t>$5</w:t>
      </w:r>
      <w:r>
        <w:t>.3</w:t>
      </w:r>
      <w:r w:rsidR="006332CE">
        <w:t> </w:t>
      </w:r>
      <w:r w:rsidR="00912311">
        <w:t>billion</w:t>
      </w:r>
      <w:r>
        <w:t xml:space="preserve"> DVA spent </w:t>
      </w:r>
      <w:r w:rsidR="004103C8">
        <w:t>on health</w:t>
      </w:r>
      <w:r w:rsidR="002765E4">
        <w:t xml:space="preserve"> </w:t>
      </w:r>
      <w:r w:rsidR="00D65DEE">
        <w:t>care</w:t>
      </w:r>
      <w:r w:rsidR="00F92451" w:rsidDel="000D541A">
        <w:t xml:space="preserve"> </w:t>
      </w:r>
      <w:r>
        <w:t>in 2016</w:t>
      </w:r>
      <w:r w:rsidR="00D027D4">
        <w:noBreakHyphen/>
      </w:r>
      <w:r>
        <w:t xml:space="preserve">17, the majority was </w:t>
      </w:r>
      <w:r w:rsidR="00B25B9B">
        <w:t xml:space="preserve">for treatment received via a </w:t>
      </w:r>
      <w:r w:rsidR="002765E4">
        <w:t>g</w:t>
      </w:r>
      <w:r w:rsidR="00B25B9B">
        <w:t xml:space="preserve">old or </w:t>
      </w:r>
      <w:r w:rsidR="002765E4">
        <w:t>w</w:t>
      </w:r>
      <w:r w:rsidR="00B25B9B">
        <w:t>hite card</w:t>
      </w:r>
      <w:r w:rsidR="00D65DEE">
        <w:t xml:space="preserve"> </w:t>
      </w:r>
      <w:r w:rsidR="00A3110D">
        <w:t xml:space="preserve">(DVA provided around 135 000 </w:t>
      </w:r>
      <w:r w:rsidR="002765E4">
        <w:t>g</w:t>
      </w:r>
      <w:r w:rsidR="00A3110D">
        <w:t xml:space="preserve">old </w:t>
      </w:r>
      <w:r w:rsidR="002765E4">
        <w:t>h</w:t>
      </w:r>
      <w:r w:rsidR="00A3110D">
        <w:t>ea</w:t>
      </w:r>
      <w:r w:rsidR="002765E4">
        <w:t>l</w:t>
      </w:r>
      <w:r w:rsidR="00A3110D">
        <w:t xml:space="preserve">th </w:t>
      </w:r>
      <w:r w:rsidR="002765E4">
        <w:t>c</w:t>
      </w:r>
      <w:r w:rsidR="00A3110D">
        <w:t>ard</w:t>
      </w:r>
      <w:r w:rsidR="002765E4">
        <w:t>s</w:t>
      </w:r>
      <w:r w:rsidR="00A3110D">
        <w:t xml:space="preserve"> and 59 000 </w:t>
      </w:r>
      <w:r w:rsidR="002765E4">
        <w:t>w</w:t>
      </w:r>
      <w:r w:rsidR="00A3110D">
        <w:t>hi</w:t>
      </w:r>
      <w:r w:rsidR="002765E4">
        <w:t>t</w:t>
      </w:r>
      <w:r w:rsidR="00A3110D">
        <w:t xml:space="preserve">e </w:t>
      </w:r>
      <w:r w:rsidR="002765E4">
        <w:t>h</w:t>
      </w:r>
      <w:r w:rsidR="00A3110D">
        <w:t xml:space="preserve">ealth </w:t>
      </w:r>
      <w:r w:rsidR="002765E4">
        <w:t>c</w:t>
      </w:r>
      <w:r w:rsidR="00A3110D">
        <w:t xml:space="preserve">ards in that year) </w:t>
      </w:r>
      <w:r w:rsidR="005B38B6" w:rsidRPr="005B38B6">
        <w:rPr>
          <w:szCs w:val="24"/>
        </w:rPr>
        <w:t>(DVA 2017a)</w:t>
      </w:r>
      <w:r w:rsidR="004103C8">
        <w:t>.</w:t>
      </w:r>
      <w:r>
        <w:t xml:space="preserve"> </w:t>
      </w:r>
      <w:r w:rsidR="004103C8">
        <w:t xml:space="preserve">The gold card is available </w:t>
      </w:r>
      <w:r w:rsidR="00912311">
        <w:t xml:space="preserve">to </w:t>
      </w:r>
      <w:r w:rsidR="004103C8">
        <w:t>veterans</w:t>
      </w:r>
      <w:r w:rsidR="00912311">
        <w:t xml:space="preserve"> </w:t>
      </w:r>
      <w:r w:rsidR="004103C8">
        <w:lastRenderedPageBreak/>
        <w:t xml:space="preserve">over 70 </w:t>
      </w:r>
      <w:r w:rsidR="00912311">
        <w:t xml:space="preserve">years of age </w:t>
      </w:r>
      <w:r w:rsidR="004103C8">
        <w:t>with qualifying service</w:t>
      </w:r>
      <w:r w:rsidR="002D698C">
        <w:t>,</w:t>
      </w:r>
      <w:r w:rsidR="004103C8" w:rsidDel="002D698C">
        <w:t xml:space="preserve"> </w:t>
      </w:r>
      <w:r w:rsidR="004103C8">
        <w:t>some veterans with claims under the MRCA and VEA</w:t>
      </w:r>
      <w:r w:rsidR="002D698C">
        <w:t>, and some dependants of deceased veterans</w:t>
      </w:r>
      <w:r w:rsidR="004103C8">
        <w:t xml:space="preserve">. </w:t>
      </w:r>
      <w:r w:rsidR="000D541A">
        <w:t>G</w:t>
      </w:r>
      <w:r w:rsidR="004103C8">
        <w:t xml:space="preserve">old card </w:t>
      </w:r>
      <w:r w:rsidR="000D541A">
        <w:t>holders are eligible for treatment and care for all health conditions (</w:t>
      </w:r>
      <w:r w:rsidR="004103C8">
        <w:t>including health</w:t>
      </w:r>
      <w:r w:rsidR="002765E4">
        <w:t xml:space="preserve"> </w:t>
      </w:r>
      <w:r w:rsidR="004103C8">
        <w:t>care unrelated to impairments suffered as a result of service</w:t>
      </w:r>
      <w:r w:rsidR="000D541A">
        <w:t>)</w:t>
      </w:r>
      <w:r w:rsidR="004103C8">
        <w:t>. The white card is available to all veterans and provides health</w:t>
      </w:r>
      <w:r w:rsidR="002765E4">
        <w:t xml:space="preserve"> </w:t>
      </w:r>
      <w:r w:rsidR="004103C8">
        <w:t>care for conditions for which DVA has accepted liability, as well as some non</w:t>
      </w:r>
      <w:r w:rsidR="00D027D4">
        <w:noBreakHyphen/>
      </w:r>
      <w:r w:rsidR="004103C8">
        <w:t xml:space="preserve">liability health coverage. </w:t>
      </w:r>
    </w:p>
    <w:p w:rsidR="00805A2E" w:rsidRDefault="00144BC0" w:rsidP="00805A2E">
      <w:pPr>
        <w:pStyle w:val="BodyText"/>
      </w:pPr>
      <w:r>
        <w:t>The allowances and benefits</w:t>
      </w:r>
      <w:r w:rsidR="00372E1B">
        <w:t xml:space="preserve"> that veterans</w:t>
      </w:r>
      <w:r w:rsidR="002D698C">
        <w:t xml:space="preserve"> and their dependants</w:t>
      </w:r>
      <w:r w:rsidR="00372E1B">
        <w:t xml:space="preserve"> receive</w:t>
      </w:r>
      <w:r>
        <w:t xml:space="preserve"> have evolved over time. </w:t>
      </w:r>
      <w:r w:rsidR="00350385">
        <w:t>F</w:t>
      </w:r>
      <w:r w:rsidR="00A814D1">
        <w:t xml:space="preserve">or example, </w:t>
      </w:r>
      <w:r w:rsidR="005920E8">
        <w:t xml:space="preserve">DVA recently extended </w:t>
      </w:r>
      <w:r w:rsidR="00350385">
        <w:t xml:space="preserve">treatment of </w:t>
      </w:r>
      <w:r w:rsidR="005920E8">
        <w:t xml:space="preserve">all mental health conditions </w:t>
      </w:r>
      <w:r w:rsidR="00350385">
        <w:t>under new non</w:t>
      </w:r>
      <w:r w:rsidR="00680587">
        <w:noBreakHyphen/>
      </w:r>
      <w:r w:rsidR="00350385">
        <w:t xml:space="preserve">liability health care arrangements </w:t>
      </w:r>
      <w:r w:rsidR="005920E8">
        <w:t>(mental health condition</w:t>
      </w:r>
      <w:r w:rsidR="00350385">
        <w:t>s</w:t>
      </w:r>
      <w:r w:rsidR="005920E8">
        <w:t xml:space="preserve"> do not need to be related to </w:t>
      </w:r>
      <w:r w:rsidR="00A814D1">
        <w:t>service</w:t>
      </w:r>
      <w:r w:rsidR="005920E8">
        <w:t>)</w:t>
      </w:r>
      <w:r w:rsidR="00A814D1">
        <w:t xml:space="preserve">. </w:t>
      </w:r>
      <w:r w:rsidR="00350385">
        <w:t>Other</w:t>
      </w:r>
      <w:r w:rsidR="002765E4">
        <w:t xml:space="preserve"> allowances and benefits</w:t>
      </w:r>
      <w:r w:rsidR="00A814D1">
        <w:t xml:space="preserve"> </w:t>
      </w:r>
      <w:proofErr w:type="spellStart"/>
      <w:r w:rsidR="00A814D1">
        <w:t>pre</w:t>
      </w:r>
      <w:r w:rsidR="00401483">
        <w:noBreakHyphen/>
      </w:r>
      <w:r w:rsidR="00A814D1">
        <w:t>date</w:t>
      </w:r>
      <w:proofErr w:type="spellEnd"/>
      <w:r w:rsidR="00A814D1">
        <w:t xml:space="preserve"> similar services being made available to the general population — for example, the </w:t>
      </w:r>
      <w:r w:rsidR="002765E4">
        <w:t>g</w:t>
      </w:r>
      <w:r w:rsidR="00A814D1">
        <w:t xml:space="preserve">old </w:t>
      </w:r>
      <w:r w:rsidR="002765E4">
        <w:t>c</w:t>
      </w:r>
      <w:r w:rsidR="00A814D1">
        <w:t>ard pre</w:t>
      </w:r>
      <w:r w:rsidR="00680587">
        <w:noBreakHyphen/>
      </w:r>
      <w:r w:rsidR="00A814D1">
        <w:t>dates free or subsidised health care through Medicare. In cases</w:t>
      </w:r>
      <w:r w:rsidR="002765E4">
        <w:t xml:space="preserve"> such as the service pension</w:t>
      </w:r>
      <w:r w:rsidR="00A814D1">
        <w:t>, the benefit largely replicates a benefit available to the general population</w:t>
      </w:r>
      <w:r w:rsidR="00C7777E">
        <w:t>.</w:t>
      </w:r>
    </w:p>
    <w:p w:rsidR="00CD65BA" w:rsidRPr="004E3B94" w:rsidRDefault="00CD65BA" w:rsidP="00DB3390">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D65BA" w:rsidTr="00DB3390">
        <w:trPr>
          <w:tblHeader/>
        </w:trPr>
        <w:tc>
          <w:tcPr>
            <w:tcW w:w="5000" w:type="pct"/>
            <w:tcBorders>
              <w:top w:val="single" w:sz="6" w:space="0" w:color="78A22F"/>
              <w:left w:val="nil"/>
              <w:bottom w:val="nil"/>
              <w:right w:val="nil"/>
            </w:tcBorders>
            <w:shd w:val="clear" w:color="auto" w:fill="auto"/>
          </w:tcPr>
          <w:p w:rsidR="00CD65BA" w:rsidRPr="00CE4C64" w:rsidRDefault="00F145DB" w:rsidP="00DB3390">
            <w:pPr>
              <w:pStyle w:val="InformationRequestTitle"/>
              <w:spacing w:before="120"/>
            </w:pPr>
            <w:r>
              <w:t>Questions</w:t>
            </w:r>
          </w:p>
        </w:tc>
      </w:tr>
      <w:tr w:rsidR="00CD65BA" w:rsidRPr="00750BE2" w:rsidTr="00DB3390">
        <w:tc>
          <w:tcPr>
            <w:tcW w:w="5000" w:type="pct"/>
            <w:tcBorders>
              <w:top w:val="nil"/>
              <w:left w:val="nil"/>
              <w:bottom w:val="nil"/>
              <w:right w:val="nil"/>
            </w:tcBorders>
            <w:shd w:val="clear" w:color="auto" w:fill="auto"/>
          </w:tcPr>
          <w:p w:rsidR="00330605" w:rsidRDefault="00330605" w:rsidP="00E3074F">
            <w:pPr>
              <w:pStyle w:val="InformationRequest"/>
              <w:keepNext/>
            </w:pPr>
            <w:r>
              <w:t>Is health care for veterans, including through the gold and white cards, provided in an effective and efficient manner? Has the non</w:t>
            </w:r>
            <w:r w:rsidR="00D027D4">
              <w:noBreakHyphen/>
            </w:r>
            <w:r>
              <w:t>liability coverage of mental health through the white card been ben</w:t>
            </w:r>
            <w:r w:rsidR="0027693D">
              <w:t>e</w:t>
            </w:r>
            <w:r>
              <w:t>ficial?</w:t>
            </w:r>
          </w:p>
          <w:p w:rsidR="00FF2D30" w:rsidRDefault="00C7777E" w:rsidP="00E3074F">
            <w:pPr>
              <w:pStyle w:val="InformationRequest"/>
              <w:keepNext/>
            </w:pPr>
            <w:r>
              <w:t xml:space="preserve">Is there scope </w:t>
            </w:r>
            <w:r w:rsidR="00E3074F">
              <w:t xml:space="preserve">to </w:t>
            </w:r>
            <w:r>
              <w:t>simplif</w:t>
            </w:r>
            <w:r w:rsidR="00E3074F">
              <w:t xml:space="preserve">y </w:t>
            </w:r>
            <w:r>
              <w:t>the range of benefits available</w:t>
            </w:r>
            <w:r w:rsidR="00BD4F98">
              <w:t>, and how they are administered</w:t>
            </w:r>
            <w:r>
              <w:t>?</w:t>
            </w:r>
            <w:r w:rsidR="0002039A">
              <w:t xml:space="preserve"> Are all of the payments available necessary and beneficial?</w:t>
            </w:r>
            <w:r w:rsidR="006A064C">
              <w:t xml:space="preserve"> Are they achieving value for money outcomes?</w:t>
            </w:r>
          </w:p>
          <w:p w:rsidR="00CD65BA" w:rsidRPr="006E7EE2" w:rsidRDefault="0002039A" w:rsidP="00A9078F">
            <w:pPr>
              <w:pStyle w:val="InformationRequest"/>
            </w:pPr>
            <w:r>
              <w:t>What are the benefits of</w:t>
            </w:r>
            <w:r w:rsidR="00FF2D30">
              <w:t xml:space="preserve"> having </w:t>
            </w:r>
            <w:r w:rsidR="00A9078F">
              <w:t xml:space="preserve">generally available income support </w:t>
            </w:r>
            <w:r w:rsidR="00FF2D30">
              <w:t>payments</w:t>
            </w:r>
            <w:r>
              <w:t xml:space="preserve"> also</w:t>
            </w:r>
            <w:r w:rsidR="00FF2D30">
              <w:t xml:space="preserve"> </w:t>
            </w:r>
            <w:r>
              <w:t>a</w:t>
            </w:r>
            <w:r w:rsidR="00602E8E">
              <w:t>vailable to veterans through</w:t>
            </w:r>
            <w:r>
              <w:t xml:space="preserve"> DVA?</w:t>
            </w:r>
            <w:r w:rsidR="003A66BF">
              <w:t xml:space="preserve"> What are the costs?</w:t>
            </w:r>
          </w:p>
        </w:tc>
      </w:tr>
      <w:tr w:rsidR="00CD65BA" w:rsidTr="00DB3390">
        <w:tc>
          <w:tcPr>
            <w:tcW w:w="5000" w:type="pct"/>
            <w:tcBorders>
              <w:top w:val="nil"/>
              <w:left w:val="nil"/>
              <w:bottom w:val="single" w:sz="6" w:space="0" w:color="78A22F"/>
              <w:right w:val="nil"/>
            </w:tcBorders>
            <w:shd w:val="clear" w:color="auto" w:fill="auto"/>
          </w:tcPr>
          <w:p w:rsidR="00CD65BA" w:rsidRDefault="00CD65BA" w:rsidP="00DB3390">
            <w:pPr>
              <w:pStyle w:val="Space"/>
              <w:keepLines/>
            </w:pPr>
          </w:p>
        </w:tc>
      </w:tr>
      <w:tr w:rsidR="00CD65BA" w:rsidRPr="000863A5" w:rsidTr="00DB3390">
        <w:tc>
          <w:tcPr>
            <w:tcW w:w="5000" w:type="pct"/>
            <w:tcBorders>
              <w:top w:val="single" w:sz="6" w:space="0" w:color="78A22F"/>
              <w:left w:val="nil"/>
              <w:bottom w:val="nil"/>
              <w:right w:val="nil"/>
            </w:tcBorders>
          </w:tcPr>
          <w:p w:rsidR="00CD65BA" w:rsidRPr="00626D32" w:rsidRDefault="00CD65BA" w:rsidP="00DB3390">
            <w:pPr>
              <w:pStyle w:val="BoxSpaceBelow"/>
              <w:keepLines/>
            </w:pPr>
          </w:p>
        </w:tc>
      </w:tr>
    </w:tbl>
    <w:p w:rsidR="00892BC7" w:rsidRDefault="00892BC7">
      <w:pPr>
        <w:pStyle w:val="BodyText"/>
      </w:pPr>
      <w:r>
        <w:br w:type="page"/>
      </w:r>
    </w:p>
    <w:p w:rsidR="00892BC7" w:rsidRDefault="00892BC7" w:rsidP="009A769C">
      <w:pPr>
        <w:pStyle w:val="Heading2"/>
      </w:pPr>
      <w:bookmarkStart w:id="22" w:name="_Toc511661006"/>
      <w:bookmarkStart w:id="23" w:name="_Toc512930369"/>
      <w:bookmarkStart w:id="24" w:name="_Toc512933220"/>
      <w:bookmarkStart w:id="25" w:name="_Toc512933699"/>
      <w:bookmarkStart w:id="26" w:name="_Toc512933787"/>
      <w:r>
        <w:lastRenderedPageBreak/>
        <w:t>References</w:t>
      </w:r>
      <w:bookmarkEnd w:id="22"/>
      <w:bookmarkEnd w:id="23"/>
      <w:bookmarkEnd w:id="24"/>
      <w:bookmarkEnd w:id="25"/>
      <w:bookmarkEnd w:id="26"/>
    </w:p>
    <w:p w:rsidR="008E0848" w:rsidRDefault="008E0848" w:rsidP="00446E37">
      <w:pPr>
        <w:pStyle w:val="Reference"/>
      </w:pPr>
      <w:r>
        <w:t xml:space="preserve">ANAO (Australian National Audit Office) 2016, </w:t>
      </w:r>
      <w:r w:rsidRPr="00446E37">
        <w:rPr>
          <w:i/>
        </w:rPr>
        <w:t>Administration of Rehabilitation Services under the Military Rehabilitation and Compensation Act 2004</w:t>
      </w:r>
      <w:r>
        <w:t>, Report No. 32 2015</w:t>
      </w:r>
      <w:r w:rsidR="00D027D4">
        <w:noBreakHyphen/>
      </w:r>
      <w:r>
        <w:t>16, Canberra.</w:t>
      </w:r>
    </w:p>
    <w:p w:rsidR="008E0848" w:rsidRDefault="008E0848" w:rsidP="00446E37">
      <w:pPr>
        <w:pStyle w:val="Reference"/>
      </w:pPr>
      <w:r>
        <w:t xml:space="preserve">Campbell, I. 2011a, </w:t>
      </w:r>
      <w:r w:rsidRPr="00446E37">
        <w:rPr>
          <w:i/>
        </w:rPr>
        <w:t xml:space="preserve">Review of Military Compensation Arrangements: Report to the Minister for Veterans’ Affairs </w:t>
      </w:r>
      <w:r w:rsidR="005230F8">
        <w:rPr>
          <w:i/>
        </w:rPr>
        <w:t>—</w:t>
      </w:r>
      <w:r w:rsidRPr="00446E37">
        <w:rPr>
          <w:i/>
        </w:rPr>
        <w:t xml:space="preserve"> Volume 1: Overview</w:t>
      </w:r>
      <w:r>
        <w:t>, Canberra.</w:t>
      </w:r>
    </w:p>
    <w:p w:rsidR="008E0848" w:rsidRDefault="008E0848" w:rsidP="00446E37">
      <w:pPr>
        <w:pStyle w:val="Reference"/>
      </w:pPr>
      <w:r>
        <w:t xml:space="preserve">—— 2011b, </w:t>
      </w:r>
      <w:r w:rsidRPr="00446E37">
        <w:rPr>
          <w:i/>
        </w:rPr>
        <w:t xml:space="preserve">Review of Military Compensation Arrangements: Report to the Minister for Veterans’ Affairs </w:t>
      </w:r>
      <w:r w:rsidR="005230F8">
        <w:rPr>
          <w:i/>
        </w:rPr>
        <w:t>—</w:t>
      </w:r>
      <w:r w:rsidRPr="00446E37">
        <w:rPr>
          <w:i/>
        </w:rPr>
        <w:t xml:space="preserve"> Volume 2: Detailed Analysis</w:t>
      </w:r>
      <w:r>
        <w:t>, Canberra.</w:t>
      </w:r>
    </w:p>
    <w:p w:rsidR="008E0848" w:rsidRDefault="008E0848" w:rsidP="00446E37">
      <w:pPr>
        <w:pStyle w:val="Reference"/>
      </w:pPr>
      <w:r>
        <w:t xml:space="preserve">Clarke, J., Riding, D. and </w:t>
      </w:r>
      <w:proofErr w:type="spellStart"/>
      <w:r>
        <w:t>Rosalky</w:t>
      </w:r>
      <w:proofErr w:type="spellEnd"/>
      <w:r>
        <w:t xml:space="preserve">, D. 2003, </w:t>
      </w:r>
      <w:r w:rsidRPr="00446E37">
        <w:rPr>
          <w:i/>
        </w:rPr>
        <w:t>Report of the Review of Veterans’ Entitlements</w:t>
      </w:r>
      <w:r>
        <w:t xml:space="preserve">, </w:t>
      </w:r>
      <w:r w:rsidR="005230F8">
        <w:t>Canberra</w:t>
      </w:r>
      <w:r>
        <w:t>.</w:t>
      </w:r>
    </w:p>
    <w:p w:rsidR="008E0848" w:rsidRDefault="008E0848" w:rsidP="00446E37">
      <w:pPr>
        <w:pStyle w:val="Reference"/>
      </w:pPr>
      <w:r>
        <w:t xml:space="preserve">DFWA (Defence Force Welfare Association) 2009, </w:t>
      </w:r>
      <w:r w:rsidRPr="00446E37">
        <w:rPr>
          <w:i/>
        </w:rPr>
        <w:t>The Unique Nature of Military Service</w:t>
      </w:r>
      <w:r>
        <w:t>, www.dfwa.org.au/sites/default/files/DFWA%20Nature%20of%20Military%20Service%20Paper%2010-09%20_Amdt%201_.pdf (accessed 9 April 2018).</w:t>
      </w:r>
    </w:p>
    <w:p w:rsidR="008E0848" w:rsidRDefault="008E0848" w:rsidP="00446E37">
      <w:pPr>
        <w:pStyle w:val="Reference"/>
      </w:pPr>
      <w:r>
        <w:t xml:space="preserve">DoD (Department of Defence) 2016, </w:t>
      </w:r>
      <w:r w:rsidRPr="00446E37">
        <w:rPr>
          <w:i/>
        </w:rPr>
        <w:t>Defence Census 2015 Public Report</w:t>
      </w:r>
      <w:r>
        <w:t xml:space="preserve">, </w:t>
      </w:r>
      <w:r w:rsidR="005230F8">
        <w:t>Canberra</w:t>
      </w:r>
      <w:r>
        <w:t>.</w:t>
      </w:r>
    </w:p>
    <w:p w:rsidR="008E0848" w:rsidRDefault="00446E37" w:rsidP="00446E37">
      <w:pPr>
        <w:pStyle w:val="Reference"/>
      </w:pPr>
      <w:r>
        <w:t xml:space="preserve">—— </w:t>
      </w:r>
      <w:r w:rsidR="008E0848">
        <w:t xml:space="preserve">2017, </w:t>
      </w:r>
      <w:r w:rsidR="008E0848" w:rsidRPr="00446E37">
        <w:rPr>
          <w:i/>
        </w:rPr>
        <w:t>Department of Defence Annual Report 2016</w:t>
      </w:r>
      <w:r w:rsidR="00D027D4">
        <w:rPr>
          <w:i/>
        </w:rPr>
        <w:noBreakHyphen/>
      </w:r>
      <w:r w:rsidR="008E0848" w:rsidRPr="00446E37">
        <w:rPr>
          <w:i/>
        </w:rPr>
        <w:t>17</w:t>
      </w:r>
      <w:r>
        <w:t>, Canberra</w:t>
      </w:r>
      <w:r w:rsidR="008E0848">
        <w:t>.</w:t>
      </w:r>
    </w:p>
    <w:p w:rsidR="008E0848" w:rsidRDefault="008E0848" w:rsidP="00446E37">
      <w:pPr>
        <w:pStyle w:val="Reference"/>
      </w:pPr>
      <w:r>
        <w:t xml:space="preserve">DVA (Department of Veterans’ Affairs) 2015, </w:t>
      </w:r>
      <w:r w:rsidRPr="00446E37">
        <w:rPr>
          <w:i/>
        </w:rPr>
        <w:t>Social Health Strategy 2015</w:t>
      </w:r>
      <w:r w:rsidR="00D027D4">
        <w:rPr>
          <w:i/>
        </w:rPr>
        <w:t>–</w:t>
      </w:r>
      <w:r w:rsidRPr="00446E37">
        <w:rPr>
          <w:i/>
        </w:rPr>
        <w:t>2023 for the Veteran and Ex-Service Community</w:t>
      </w:r>
      <w:r>
        <w:t>, Canberra.</w:t>
      </w:r>
    </w:p>
    <w:p w:rsidR="008E0848" w:rsidRDefault="00446E37" w:rsidP="00446E37">
      <w:pPr>
        <w:pStyle w:val="Reference"/>
      </w:pPr>
      <w:r>
        <w:t>——</w:t>
      </w:r>
      <w:r w:rsidR="008E0848">
        <w:t xml:space="preserve"> 2016, </w:t>
      </w:r>
      <w:r w:rsidR="008E0848" w:rsidRPr="00446E37">
        <w:rPr>
          <w:i/>
        </w:rPr>
        <w:t>1.2</w:t>
      </w:r>
      <w:r w:rsidRPr="00446E37">
        <w:rPr>
          <w:i/>
        </w:rPr>
        <w:t>:</w:t>
      </w:r>
      <w:r w:rsidR="008E0848" w:rsidRPr="00446E37">
        <w:rPr>
          <w:i/>
        </w:rPr>
        <w:t xml:space="preserve"> What are the aims of rehabilitation?</w:t>
      </w:r>
      <w:r w:rsidR="008E0848">
        <w:t>, http://clik.dva.gov.au/rehabilitation-policy-library/1-introduction-rehabilitation/12-what-are-aims-rehabilitation (accessed 16 April 2018).</w:t>
      </w:r>
    </w:p>
    <w:p w:rsidR="008E0848" w:rsidRDefault="00446E37" w:rsidP="00446E37">
      <w:pPr>
        <w:pStyle w:val="Reference"/>
      </w:pPr>
      <w:r>
        <w:t>——</w:t>
      </w:r>
      <w:r w:rsidR="00751E74">
        <w:t> </w:t>
      </w:r>
      <w:r w:rsidR="008E0848">
        <w:t xml:space="preserve">2017a, </w:t>
      </w:r>
      <w:r w:rsidR="008E0848" w:rsidRPr="00446E37">
        <w:rPr>
          <w:i/>
        </w:rPr>
        <w:t>Annual Reports 2016</w:t>
      </w:r>
      <w:r w:rsidR="00D027D4">
        <w:rPr>
          <w:i/>
        </w:rPr>
        <w:noBreakHyphen/>
      </w:r>
      <w:r w:rsidR="008E0848" w:rsidRPr="00446E37">
        <w:rPr>
          <w:i/>
        </w:rPr>
        <w:t>17</w:t>
      </w:r>
      <w:r>
        <w:t>, Canberra</w:t>
      </w:r>
      <w:r w:rsidR="008E0848">
        <w:t>.</w:t>
      </w:r>
    </w:p>
    <w:p w:rsidR="008E0848" w:rsidRDefault="00446E37" w:rsidP="00446E37">
      <w:pPr>
        <w:pStyle w:val="Reference"/>
      </w:pPr>
      <w:r>
        <w:t>——</w:t>
      </w:r>
      <w:r w:rsidR="006A5EE8">
        <w:t> </w:t>
      </w:r>
      <w:proofErr w:type="spellStart"/>
      <w:r w:rsidR="008E0848">
        <w:t>2017b</w:t>
      </w:r>
      <w:proofErr w:type="spellEnd"/>
      <w:r w:rsidR="008E0848">
        <w:t xml:space="preserve">, </w:t>
      </w:r>
      <w:r w:rsidR="008E0848" w:rsidRPr="00446E37">
        <w:rPr>
          <w:i/>
        </w:rPr>
        <w:t xml:space="preserve">The </w:t>
      </w:r>
      <w:proofErr w:type="spellStart"/>
      <w:r w:rsidR="008E0848" w:rsidRPr="00446E37">
        <w:rPr>
          <w:i/>
        </w:rPr>
        <w:t>DVA</w:t>
      </w:r>
      <w:proofErr w:type="spellEnd"/>
      <w:r w:rsidR="008E0848" w:rsidRPr="00446E37">
        <w:rPr>
          <w:i/>
        </w:rPr>
        <w:t xml:space="preserve"> Transformation</w:t>
      </w:r>
      <w:r w:rsidR="008E0848">
        <w:t xml:space="preserve">, </w:t>
      </w:r>
      <w:proofErr w:type="spellStart"/>
      <w:r w:rsidR="008E0848">
        <w:t>www.dva.gov.au</w:t>
      </w:r>
      <w:proofErr w:type="spellEnd"/>
      <w:r w:rsidR="008E0848">
        <w:t>/sites/default/files/files/</w:t>
      </w:r>
      <w:proofErr w:type="spellStart"/>
      <w:r w:rsidR="008E0848">
        <w:t>about%20</w:t>
      </w:r>
      <w:proofErr w:type="spellEnd"/>
      <w:r w:rsidR="00751E74">
        <w:br/>
      </w:r>
      <w:proofErr w:type="spellStart"/>
      <w:r w:rsidR="008E0848">
        <w:t>dva</w:t>
      </w:r>
      <w:proofErr w:type="spellEnd"/>
      <w:r w:rsidR="008E0848">
        <w:t>/</w:t>
      </w:r>
      <w:proofErr w:type="spellStart"/>
      <w:r w:rsidR="008E0848">
        <w:t>vetaffairs</w:t>
      </w:r>
      <w:proofErr w:type="spellEnd"/>
      <w:r w:rsidR="008E0848">
        <w:t>/2017/</w:t>
      </w:r>
      <w:proofErr w:type="spellStart"/>
      <w:r w:rsidR="008E0848">
        <w:t>Vol33No3_10-11.pdf</w:t>
      </w:r>
      <w:proofErr w:type="spellEnd"/>
      <w:r w:rsidR="008E0848">
        <w:t xml:space="preserve"> (accessed 16 April 2018).</w:t>
      </w:r>
    </w:p>
    <w:p w:rsidR="008E0848" w:rsidRDefault="008E0848" w:rsidP="00446E37">
      <w:pPr>
        <w:pStyle w:val="Reference"/>
      </w:pPr>
      <w:r>
        <w:t xml:space="preserve">Gill, G., Bain, R. and </w:t>
      </w:r>
      <w:proofErr w:type="spellStart"/>
      <w:r>
        <w:t>Seidl</w:t>
      </w:r>
      <w:proofErr w:type="spellEnd"/>
      <w:r>
        <w:t xml:space="preserve">, I. 2016, ‘Supporting Australia’s new veterans’, </w:t>
      </w:r>
      <w:r w:rsidRPr="00446E37">
        <w:rPr>
          <w:i/>
        </w:rPr>
        <w:t>Australian Family Physician</w:t>
      </w:r>
      <w:r>
        <w:t>, vol. 45, no. 3, p. 102.</w:t>
      </w:r>
    </w:p>
    <w:p w:rsidR="008E0848" w:rsidRDefault="008E0848" w:rsidP="00446E37">
      <w:pPr>
        <w:pStyle w:val="Reference"/>
      </w:pPr>
      <w:r>
        <w:t xml:space="preserve">Glenn, G. 1995, </w:t>
      </w:r>
      <w:r w:rsidRPr="00446E37">
        <w:rPr>
          <w:i/>
        </w:rPr>
        <w:t>Serving Australia: the Australian Defence Force in the Twenty First Century</w:t>
      </w:r>
      <w:r>
        <w:t>, Canberra.</w:t>
      </w:r>
    </w:p>
    <w:p w:rsidR="008E0848" w:rsidRDefault="008E0848" w:rsidP="00446E37">
      <w:pPr>
        <w:pStyle w:val="Reference"/>
      </w:pPr>
      <w:r>
        <w:t xml:space="preserve">Government of South Australia 2016, </w:t>
      </w:r>
      <w:r w:rsidRPr="00446E37">
        <w:rPr>
          <w:i/>
        </w:rPr>
        <w:t>Inquiry into Suicide by Veterans and Ex-Service Personnel: Submission by the Government of South Australia</w:t>
      </w:r>
      <w:r>
        <w:t>, Submission no. 187, www.aph.gov.au/DocumentStore.ashx?id=2c28b75b-26a8-4b03-be41-f4e7bcd993e5&amp;subId=414547 (accessed 16 April 2018).</w:t>
      </w:r>
    </w:p>
    <w:p w:rsidR="008E0848" w:rsidRDefault="008E0848" w:rsidP="00446E37">
      <w:pPr>
        <w:pStyle w:val="Reference"/>
      </w:pPr>
      <w:r>
        <w:t xml:space="preserve">JCFADT (Joint Committee on Foreign Affairs, Defence and Trade) 1988, </w:t>
      </w:r>
      <w:r w:rsidRPr="00446E37">
        <w:rPr>
          <w:i/>
        </w:rPr>
        <w:t>Personnel Wastage in the Australian Defence Force</w:t>
      </w:r>
      <w:r>
        <w:t>, Canberra.</w:t>
      </w:r>
    </w:p>
    <w:p w:rsidR="008E0848" w:rsidRDefault="008E0848" w:rsidP="00446E37">
      <w:pPr>
        <w:pStyle w:val="Reference"/>
      </w:pPr>
      <w:r>
        <w:t xml:space="preserve">JSCFADT (Joint Standing Committee on Foreign Affairs, Defence and Trade) 2013, </w:t>
      </w:r>
      <w:r w:rsidRPr="00446E37">
        <w:rPr>
          <w:i/>
        </w:rPr>
        <w:t>Care of ADF Personnel Wounded and Injured on Operations</w:t>
      </w:r>
      <w:r w:rsidRPr="004520B9">
        <w:t>,</w:t>
      </w:r>
      <w:r w:rsidRPr="00446E37">
        <w:rPr>
          <w:i/>
        </w:rPr>
        <w:t xml:space="preserve"> </w:t>
      </w:r>
      <w:r w:rsidRPr="004520B9">
        <w:t>Inquiry of the Defence Sub</w:t>
      </w:r>
      <w:r w:rsidR="00257B76" w:rsidRPr="004520B9">
        <w:noBreakHyphen/>
      </w:r>
      <w:r w:rsidRPr="004520B9">
        <w:t>Committee, June,</w:t>
      </w:r>
      <w:r w:rsidRPr="00446E37">
        <w:rPr>
          <w:i/>
        </w:rPr>
        <w:t xml:space="preserve"> </w:t>
      </w:r>
      <w:r>
        <w:t>Canberra.</w:t>
      </w:r>
    </w:p>
    <w:p w:rsidR="008E0848" w:rsidRDefault="008E0848" w:rsidP="00446E37">
      <w:pPr>
        <w:pStyle w:val="Reference"/>
      </w:pPr>
      <w:r>
        <w:lastRenderedPageBreak/>
        <w:t xml:space="preserve">NMHC (National Mental Health Commission) 2017, </w:t>
      </w:r>
      <w:r w:rsidRPr="00446E37">
        <w:rPr>
          <w:i/>
        </w:rPr>
        <w:t>Review into the Suicide and Self-Harm Prevention Services Available to current and former serving ADF members and their families</w:t>
      </w:r>
      <w:r>
        <w:t>, Final Report, 28 March, Sydney.</w:t>
      </w:r>
    </w:p>
    <w:p w:rsidR="008E0848" w:rsidRDefault="008E0848" w:rsidP="00446E37">
      <w:pPr>
        <w:pStyle w:val="Reference"/>
      </w:pPr>
      <w:r>
        <w:t xml:space="preserve">PC (Productivity Commission) 2017, </w:t>
      </w:r>
      <w:r w:rsidRPr="00446E37">
        <w:rPr>
          <w:i/>
        </w:rPr>
        <w:t>Introducing Competition and Informed User Choice into Human Services: Reforms to Human Services</w:t>
      </w:r>
      <w:r>
        <w:t>, Inquiry Report no. 85, Canberra.</w:t>
      </w:r>
    </w:p>
    <w:p w:rsidR="008E0848" w:rsidRDefault="008E0848" w:rsidP="00446E37">
      <w:pPr>
        <w:pStyle w:val="Reference"/>
      </w:pPr>
      <w:r>
        <w:t xml:space="preserve">Pearce, D. and Holman, D. 1997, </w:t>
      </w:r>
      <w:r w:rsidRPr="00446E37">
        <w:rPr>
          <w:i/>
        </w:rPr>
        <w:t>Review of the Repatriation Medical Authority &amp; the Specialist Medical Review Council</w:t>
      </w:r>
      <w:r>
        <w:t>, Canberra.</w:t>
      </w:r>
    </w:p>
    <w:p w:rsidR="008E0848" w:rsidRDefault="008E0848" w:rsidP="00446E37">
      <w:pPr>
        <w:pStyle w:val="Reference"/>
      </w:pPr>
      <w:r>
        <w:t xml:space="preserve">Phoenix Australia 2016, </w:t>
      </w:r>
      <w:r w:rsidRPr="00446E37">
        <w:rPr>
          <w:i/>
        </w:rPr>
        <w:t>Submission to Senate Inquiry: Suicide by Veterans and Ex-Service Personnel</w:t>
      </w:r>
      <w:r>
        <w:t>, submission no.</w:t>
      </w:r>
      <w:r w:rsidR="00D027D4">
        <w:t xml:space="preserve"> </w:t>
      </w:r>
      <w:r>
        <w:t>177, www.aph.gov.au/DocumentStore.ashx?id=bd70f360-be27-4193-b7ff-9e3ea5719d30&amp;subId=414587 (accessed 13 April 2018).</w:t>
      </w:r>
    </w:p>
    <w:p w:rsidR="008E0848" w:rsidRDefault="008E0848" w:rsidP="00446E37">
      <w:pPr>
        <w:pStyle w:val="Reference"/>
      </w:pPr>
      <w:r>
        <w:t xml:space="preserve">RMA (Repatriation Medical Authority) 2017, </w:t>
      </w:r>
      <w:r w:rsidRPr="00446E37">
        <w:rPr>
          <w:i/>
        </w:rPr>
        <w:t>Twenty-Third Annual Report 2016</w:t>
      </w:r>
      <w:r w:rsidR="00D027D4">
        <w:rPr>
          <w:i/>
        </w:rPr>
        <w:noBreakHyphen/>
      </w:r>
      <w:r w:rsidRPr="00446E37">
        <w:rPr>
          <w:i/>
        </w:rPr>
        <w:t>17</w:t>
      </w:r>
      <w:r>
        <w:t>, Brisbane.</w:t>
      </w:r>
    </w:p>
    <w:p w:rsidR="008E0848" w:rsidRDefault="008E0848" w:rsidP="00446E37">
      <w:pPr>
        <w:pStyle w:val="Reference"/>
      </w:pPr>
      <w:r>
        <w:t xml:space="preserve">RSL (Returned and Services League of Australia) 2016, </w:t>
      </w:r>
      <w:r w:rsidRPr="00446E37">
        <w:rPr>
          <w:i/>
        </w:rPr>
        <w:t>Submission to the Inquiry into the Suicide by Veterans and Ex-Service Personnel</w:t>
      </w:r>
      <w:r>
        <w:t>, Submission no. 216, www.aph.gov.au/</w:t>
      </w:r>
      <w:r w:rsidR="007563C7">
        <w:br/>
      </w:r>
      <w:r>
        <w:t>DocumentStore.ashx?id=b144afbe-3092-4e9f-baaa-a7e57d24d500&amp;subId=414905 (accessed 16 April 2018).</w:t>
      </w:r>
    </w:p>
    <w:p w:rsidR="008E0848" w:rsidRDefault="008E0848" w:rsidP="00446E37">
      <w:pPr>
        <w:pStyle w:val="Reference"/>
      </w:pPr>
      <w:r>
        <w:t xml:space="preserve">SFADTRC (Senate Foreign Affairs, Defence and Trade References Committee) 2017, </w:t>
      </w:r>
      <w:r w:rsidRPr="00446E37">
        <w:rPr>
          <w:i/>
        </w:rPr>
        <w:t>The Constant Battle: Suicide by Veterans, August, Parliament of Australia</w:t>
      </w:r>
      <w:r>
        <w:t>, Canberra.</w:t>
      </w:r>
    </w:p>
    <w:p w:rsidR="008E0848" w:rsidRDefault="008E0848" w:rsidP="00446E37">
      <w:pPr>
        <w:pStyle w:val="Reference"/>
      </w:pPr>
      <w:proofErr w:type="spellStart"/>
      <w:r>
        <w:t>Tanzer</w:t>
      </w:r>
      <w:proofErr w:type="spellEnd"/>
      <w:r>
        <w:t xml:space="preserve">, N. 1999, </w:t>
      </w:r>
      <w:r w:rsidRPr="00446E37">
        <w:rPr>
          <w:i/>
        </w:rPr>
        <w:t>The Review of the Military Compensation Scheme</w:t>
      </w:r>
      <w:r>
        <w:t>, March, Department of Defence.</w:t>
      </w:r>
    </w:p>
    <w:p w:rsidR="008E0848" w:rsidRDefault="008E0848" w:rsidP="00446E37">
      <w:pPr>
        <w:pStyle w:val="Reference"/>
      </w:pPr>
      <w:proofErr w:type="spellStart"/>
      <w:r>
        <w:t>Tehan</w:t>
      </w:r>
      <w:proofErr w:type="spellEnd"/>
      <w:r>
        <w:t xml:space="preserve">, D. (Minister for Veterans’ Affairs and Minister for Defence Personnel) 2016, </w:t>
      </w:r>
      <w:r w:rsidRPr="00446E37">
        <w:rPr>
          <w:i/>
        </w:rPr>
        <w:t>Streamlined Processes Reduces Red Tape for Veterans</w:t>
      </w:r>
      <w:r>
        <w:t xml:space="preserve">, September, </w:t>
      </w:r>
      <w:proofErr w:type="spellStart"/>
      <w:r>
        <w:t>minister.dva.gov.au</w:t>
      </w:r>
      <w:proofErr w:type="spellEnd"/>
      <w:r>
        <w:t>/</w:t>
      </w:r>
      <w:proofErr w:type="spellStart"/>
      <w:r>
        <w:t>media_releases</w:t>
      </w:r>
      <w:proofErr w:type="spellEnd"/>
      <w:r>
        <w:t>/2016/</w:t>
      </w:r>
      <w:proofErr w:type="spellStart"/>
      <w:r>
        <w:t>sep</w:t>
      </w:r>
      <w:proofErr w:type="spellEnd"/>
      <w:r>
        <w:t>/</w:t>
      </w:r>
      <w:proofErr w:type="spellStart"/>
      <w:r>
        <w:t>va087.htm</w:t>
      </w:r>
      <w:proofErr w:type="spellEnd"/>
      <w:r>
        <w:t xml:space="preserve"> (accessed 16 April 2018).</w:t>
      </w:r>
    </w:p>
    <w:p w:rsidR="008E0848" w:rsidRDefault="008E0848" w:rsidP="00446E37">
      <w:pPr>
        <w:pStyle w:val="Reference"/>
      </w:pPr>
      <w:proofErr w:type="spellStart"/>
      <w:r>
        <w:t>Toose</w:t>
      </w:r>
      <w:proofErr w:type="spellEnd"/>
      <w:r>
        <w:t xml:space="preserve">, </w:t>
      </w:r>
      <w:proofErr w:type="spellStart"/>
      <w:r>
        <w:t>P.B</w:t>
      </w:r>
      <w:proofErr w:type="spellEnd"/>
      <w:r>
        <w:t xml:space="preserve">. 1975, </w:t>
      </w:r>
      <w:r w:rsidRPr="00446E37">
        <w:rPr>
          <w:i/>
        </w:rPr>
        <w:t>Independent Enquiry into the Repatriation System</w:t>
      </w:r>
      <w:r>
        <w:t>, Canberra.</w:t>
      </w:r>
    </w:p>
    <w:p w:rsidR="008E0848" w:rsidRDefault="008E0848" w:rsidP="00446E37">
      <w:pPr>
        <w:pStyle w:val="Reference"/>
      </w:pPr>
      <w:r>
        <w:t xml:space="preserve">Van </w:t>
      </w:r>
      <w:proofErr w:type="spellStart"/>
      <w:r>
        <w:t>Hooff</w:t>
      </w:r>
      <w:proofErr w:type="spellEnd"/>
      <w:r>
        <w:t xml:space="preserve">, M., Lawrence-Wood, E., </w:t>
      </w:r>
      <w:proofErr w:type="spellStart"/>
      <w:r>
        <w:t>Hodson</w:t>
      </w:r>
      <w:proofErr w:type="spellEnd"/>
      <w:r>
        <w:t xml:space="preserve">, S., Sadler, N., </w:t>
      </w:r>
      <w:proofErr w:type="spellStart"/>
      <w:r>
        <w:t>Benassi</w:t>
      </w:r>
      <w:proofErr w:type="spellEnd"/>
      <w:r>
        <w:t>, H., Hansen, C., Avery, J., Searle, A. and McFarlane, A. 2018</w:t>
      </w:r>
      <w:r w:rsidRPr="00446E37">
        <w:t>,</w:t>
      </w:r>
      <w:r w:rsidRPr="00446E37">
        <w:rPr>
          <w:i/>
        </w:rPr>
        <w:t xml:space="preserve"> Mental Health Prevalence</w:t>
      </w:r>
      <w:r>
        <w:t>, Mental Health and Wellbeing Study, Department of Defence and Department of Veterans’ Affairs, Canberra.</w:t>
      </w:r>
    </w:p>
    <w:p w:rsidR="00313EF8" w:rsidRDefault="00313EF8" w:rsidP="00120072">
      <w:pPr>
        <w:pStyle w:val="BodyText"/>
      </w:pPr>
    </w:p>
    <w:p w:rsidR="00391500" w:rsidRDefault="00391500" w:rsidP="00120072">
      <w:pPr>
        <w:pStyle w:val="BodyText"/>
        <w:sectPr w:rsidR="00391500" w:rsidSect="008E7834">
          <w:headerReference w:type="even" r:id="rId20"/>
          <w:headerReference w:type="default" r:id="rId21"/>
          <w:footerReference w:type="default" r:id="rId22"/>
          <w:type w:val="oddPage"/>
          <w:pgSz w:w="11907" w:h="16840" w:code="9"/>
          <w:pgMar w:top="1985" w:right="1304" w:bottom="1247" w:left="1814" w:header="1701" w:footer="397" w:gutter="0"/>
          <w:pgNumType w:start="1" w:chapSep="period"/>
          <w:cols w:space="720"/>
        </w:sectPr>
      </w:pPr>
    </w:p>
    <w:p w:rsidR="00114FD6" w:rsidRDefault="00114FD6" w:rsidP="006438D9">
      <w:pPr>
        <w:pStyle w:val="Heading2"/>
        <w:spacing w:before="0"/>
      </w:pPr>
      <w:bookmarkStart w:id="27" w:name="_Toc511661007"/>
      <w:bookmarkStart w:id="28" w:name="_Toc512930370"/>
      <w:bookmarkStart w:id="29" w:name="_Toc512933221"/>
      <w:bookmarkStart w:id="30" w:name="_Toc512933700"/>
      <w:bookmarkStart w:id="31" w:name="_Toc512933788"/>
      <w:r>
        <w:lastRenderedPageBreak/>
        <w:t>Attachment A: Terms of reference</w:t>
      </w:r>
      <w:bookmarkEnd w:id="27"/>
      <w:bookmarkEnd w:id="28"/>
      <w:bookmarkEnd w:id="29"/>
      <w:bookmarkEnd w:id="30"/>
      <w:bookmarkEnd w:id="31"/>
    </w:p>
    <w:p w:rsidR="00114FD6" w:rsidRDefault="00751E74" w:rsidP="00114FD6">
      <w:pPr>
        <w:pStyle w:val="BodyText"/>
      </w:pPr>
      <w:r>
        <w:t>INQUIRY INTO VETERANS’ AFFAIRS’ LEGISLATIVE FRAMEWORK AND SUPPORTING ARCHITECTURE FOR COMPENSATION AND REHABILITATION FOR VETERANS (SERVING AND EX-SERVING AUSTRALIAN DEFENCE FORCE MEMBERS)</w:t>
      </w:r>
    </w:p>
    <w:p w:rsidR="00114FD6" w:rsidRPr="00730373" w:rsidRDefault="00114FD6" w:rsidP="00114FD6">
      <w:pPr>
        <w:pStyle w:val="BodyText"/>
      </w:pPr>
      <w:r w:rsidRPr="00730373">
        <w:t xml:space="preserve">I, the Hon Scott Morrison MP, Treasurer, pursuant to Parts 2 and 3 of the </w:t>
      </w:r>
      <w:r w:rsidRPr="00FA2285">
        <w:rPr>
          <w:i/>
        </w:rPr>
        <w:t>Productivity Commission Act 1998</w:t>
      </w:r>
      <w:r w:rsidRPr="00730373">
        <w:t>, hereby request that the Productivity Commission undertake an inquiry into the system of compensation and rehabilitation for veterans (Serving and Ex</w:t>
      </w:r>
      <w:r>
        <w:noBreakHyphen/>
      </w:r>
      <w:r w:rsidRPr="00730373">
        <w:t>serving Australian Defence Force members).</w:t>
      </w:r>
    </w:p>
    <w:p w:rsidR="00114FD6" w:rsidRPr="00730373" w:rsidRDefault="00114FD6" w:rsidP="00713272">
      <w:pPr>
        <w:pStyle w:val="Heading3"/>
      </w:pPr>
      <w:r w:rsidRPr="00730373">
        <w:t>Background</w:t>
      </w:r>
    </w:p>
    <w:p w:rsidR="00114FD6" w:rsidRPr="00730373" w:rsidRDefault="00114FD6" w:rsidP="00114FD6">
      <w:pPr>
        <w:pStyle w:val="BodyText"/>
      </w:pPr>
      <w:r w:rsidRPr="00730373">
        <w:t>The recently released report of the Senate Foreign Affairs, Defence and Trade References Committee into Suicide by Veterans and Ex</w:t>
      </w:r>
      <w:r w:rsidRPr="00730373">
        <w:rPr>
          <w:rFonts w:ascii="Cambria Math" w:hAnsi="Cambria Math" w:cs="Cambria Math"/>
        </w:rPr>
        <w:t>‑</w:t>
      </w:r>
      <w:r w:rsidRPr="00730373">
        <w:t xml:space="preserve">Service Personnel, </w:t>
      </w:r>
      <w:r w:rsidRPr="00FA2285">
        <w:rPr>
          <w:i/>
        </w:rPr>
        <w:t>The Constant Battle: Suicide by Veterans</w:t>
      </w:r>
      <w:r w:rsidRPr="00730373">
        <w:t xml:space="preserve"> (Senate Inquiry) documents the complexity in the overall legislative framework for compensation and rehabilitation for veterans. Submissions to the review called for an inquiry into the interplay between the various acts, including the use of the Statements of Principles and the effectiveness of the administration by the Department of Veterans’ Affairs.</w:t>
      </w:r>
    </w:p>
    <w:p w:rsidR="00114FD6" w:rsidRPr="00730373" w:rsidRDefault="00114FD6" w:rsidP="00114FD6">
      <w:pPr>
        <w:pStyle w:val="BodyText"/>
      </w:pPr>
      <w:r w:rsidRPr="00730373">
        <w:t>There have been many major reviews of veterans’ legislation and programs, particularly its compensation program, over the last 40 plus years. Consistent with observations made by the Senate Foreign Affairs, Defence and Trade References Committee, the Government is now seeking a comprehensive examination of how the current compensation and rehabilitation system operates and should operate into the future.</w:t>
      </w:r>
    </w:p>
    <w:p w:rsidR="00114FD6" w:rsidRPr="00730373" w:rsidRDefault="00114FD6" w:rsidP="00713272">
      <w:pPr>
        <w:pStyle w:val="Heading3"/>
      </w:pPr>
      <w:r w:rsidRPr="00730373">
        <w:t>Scope</w:t>
      </w:r>
    </w:p>
    <w:p w:rsidR="00114FD6" w:rsidRPr="00730373" w:rsidRDefault="00114FD6" w:rsidP="00114FD6">
      <w:pPr>
        <w:pStyle w:val="BodyText"/>
      </w:pPr>
      <w:r w:rsidRPr="00730373">
        <w:t>This Productivity Commission inquiry will examine whether the system of compensation and rehabilitation for veterans (Serving and Ex-serving Australian Defence Force members) is fit for purpose now and into the future. In undertaking the inquiry, the Productivity Commission should review the efficiency and effectiveness of the legislative framework for compensation and rehabilitation of ex-service personnel and veterans, and assess opportunities for simplification.</w:t>
      </w:r>
    </w:p>
    <w:p w:rsidR="00114FD6" w:rsidRPr="00730373" w:rsidRDefault="00114FD6" w:rsidP="00114FD6">
      <w:pPr>
        <w:pStyle w:val="BodyText"/>
      </w:pPr>
      <w:r w:rsidRPr="00730373">
        <w:t xml:space="preserve">This framework includes the </w:t>
      </w:r>
      <w:r w:rsidRPr="00F31FD0">
        <w:rPr>
          <w:i/>
        </w:rPr>
        <w:t>Veterans’ Entitlements Act 1986</w:t>
      </w:r>
      <w:r w:rsidRPr="00730373">
        <w:t xml:space="preserve">, the </w:t>
      </w:r>
      <w:r w:rsidRPr="00F31FD0">
        <w:rPr>
          <w:i/>
        </w:rPr>
        <w:t>Military Rehabilitation and Compensation Act 2004</w:t>
      </w:r>
      <w:r w:rsidRPr="00730373">
        <w:t xml:space="preserve"> and the </w:t>
      </w:r>
      <w:r w:rsidRPr="00F31FD0">
        <w:rPr>
          <w:i/>
        </w:rPr>
        <w:t>Safety, Rehabilitation and Compensation (Defence-related Claims) Act 1988</w:t>
      </w:r>
      <w:r w:rsidRPr="00730373">
        <w:t>. The Productivity Commission should consider the interplay between the various pieces of legislation. It should also examine the effectiveness of the governance, administrative and service delivery arrangements that support the legislation (the ‘supporting architecture’).</w:t>
      </w:r>
    </w:p>
    <w:p w:rsidR="00114FD6" w:rsidRPr="00730373" w:rsidRDefault="00114FD6" w:rsidP="00114FD6">
      <w:pPr>
        <w:pStyle w:val="BodyText"/>
      </w:pPr>
      <w:r w:rsidRPr="00730373">
        <w:lastRenderedPageBreak/>
        <w:t>The Productivity Commission should have regard to the current environment and challenges faced by veterans, including but not limited to:</w:t>
      </w:r>
    </w:p>
    <w:p w:rsidR="00114FD6" w:rsidRPr="00730373" w:rsidRDefault="00114FD6" w:rsidP="00114FD6">
      <w:pPr>
        <w:pStyle w:val="ListBullet"/>
      </w:pPr>
      <w:r w:rsidRPr="00730373">
        <w:t>whether the arrangements reflect contemporary best practice, drawing on experiences of Australian workers’ compensation arrangements and military compensation frameworks in other similar jurisdictions (local and international);</w:t>
      </w:r>
    </w:p>
    <w:p w:rsidR="00114FD6" w:rsidRPr="00730373" w:rsidRDefault="00114FD6" w:rsidP="00114FD6">
      <w:pPr>
        <w:pStyle w:val="ListBullet"/>
      </w:pPr>
      <w:r w:rsidRPr="00730373">
        <w:t>the use of the Statements of Principles as a means to contribute to consistent decision-making based on sound medical-scientific evidence; and</w:t>
      </w:r>
    </w:p>
    <w:p w:rsidR="00114FD6" w:rsidRPr="00730373" w:rsidRDefault="00114FD6" w:rsidP="00114FD6">
      <w:pPr>
        <w:pStyle w:val="ListBullet"/>
      </w:pPr>
      <w:r w:rsidRPr="00730373">
        <w:t>whether the legislative framework and supporting architecture delivers compensation and rehabilitation to veterans in a well targeted, efficient and veteran-centric manner.</w:t>
      </w:r>
    </w:p>
    <w:p w:rsidR="00114FD6" w:rsidRPr="00730373" w:rsidRDefault="00114FD6" w:rsidP="00114FD6">
      <w:pPr>
        <w:pStyle w:val="BodyText"/>
      </w:pPr>
      <w:r w:rsidRPr="00730373">
        <w:t>The Productivity Commission will also consider issues raised in previous reviews.</w:t>
      </w:r>
    </w:p>
    <w:p w:rsidR="00114FD6" w:rsidRPr="00730373" w:rsidRDefault="00114FD6" w:rsidP="00713272">
      <w:pPr>
        <w:pStyle w:val="Heading3"/>
      </w:pPr>
      <w:r w:rsidRPr="00730373">
        <w:t>Process</w:t>
      </w:r>
    </w:p>
    <w:p w:rsidR="00114FD6" w:rsidRPr="00730373" w:rsidRDefault="00114FD6" w:rsidP="00114FD6">
      <w:pPr>
        <w:pStyle w:val="BodyText"/>
      </w:pPr>
      <w:r w:rsidRPr="00730373">
        <w:t>The Productivity Commission should undertake appropriate public consultation, including holding hearings (including in regional Australia), inviting public submissions and releasing a draft report to the public.</w:t>
      </w:r>
    </w:p>
    <w:p w:rsidR="00114FD6" w:rsidRPr="00730373" w:rsidRDefault="00114FD6" w:rsidP="00114FD6">
      <w:pPr>
        <w:pStyle w:val="BodyText"/>
      </w:pPr>
      <w:r w:rsidRPr="00730373">
        <w:t>The final report should be provided to Government within 15 months.</w:t>
      </w:r>
    </w:p>
    <w:p w:rsidR="00114FD6" w:rsidRPr="00730373" w:rsidRDefault="00114FD6" w:rsidP="00751E74">
      <w:pPr>
        <w:pStyle w:val="BodyText"/>
        <w:spacing w:before="600"/>
        <w:jc w:val="left"/>
        <w:rPr>
          <w:b/>
        </w:rPr>
      </w:pPr>
      <w:r w:rsidRPr="00730373">
        <w:rPr>
          <w:b/>
        </w:rPr>
        <w:t>The Hon Scott Morrison MP</w:t>
      </w:r>
      <w:r w:rsidR="00751E74">
        <w:rPr>
          <w:b/>
        </w:rPr>
        <w:br/>
      </w:r>
      <w:r w:rsidRPr="00730373">
        <w:rPr>
          <w:b/>
        </w:rPr>
        <w:t>Treasurer</w:t>
      </w:r>
    </w:p>
    <w:p w:rsidR="00114FD6" w:rsidRPr="00730373" w:rsidRDefault="00114FD6" w:rsidP="00114FD6">
      <w:pPr>
        <w:pStyle w:val="BodyText"/>
      </w:pPr>
      <w:r w:rsidRPr="00730373">
        <w:t>[Received 27 March 2018]</w:t>
      </w:r>
    </w:p>
    <w:p w:rsidR="00114FD6" w:rsidRDefault="00114FD6">
      <w:pPr>
        <w:rPr>
          <w:rFonts w:ascii="Arial" w:hAnsi="Arial"/>
          <w:b/>
          <w:sz w:val="32"/>
          <w:lang w:eastAsia="en-AU"/>
        </w:rPr>
      </w:pPr>
      <w:r>
        <w:br w:type="page"/>
      </w:r>
    </w:p>
    <w:p w:rsidR="00391500" w:rsidRPr="00391500" w:rsidRDefault="00391500" w:rsidP="00EE6BB6">
      <w:pPr>
        <w:pStyle w:val="Heading2"/>
        <w:spacing w:before="0"/>
      </w:pPr>
      <w:bookmarkStart w:id="32" w:name="_Toc511661008"/>
      <w:bookmarkStart w:id="33" w:name="_Toc512930371"/>
      <w:bookmarkStart w:id="34" w:name="_Toc512933222"/>
      <w:bookmarkStart w:id="35" w:name="_Toc512933701"/>
      <w:bookmarkStart w:id="36" w:name="_Toc512933789"/>
      <w:r>
        <w:lastRenderedPageBreak/>
        <w:t xml:space="preserve">Attachment </w:t>
      </w:r>
      <w:r w:rsidR="00114FD6">
        <w:t>B</w:t>
      </w:r>
      <w:r w:rsidR="00862E51">
        <w:t xml:space="preserve">: How to </w:t>
      </w:r>
      <w:r w:rsidRPr="00391500">
        <w:t>make a submission</w:t>
      </w:r>
      <w:r w:rsidR="00505EDA">
        <w:t xml:space="preserve"> or comment</w:t>
      </w:r>
      <w:bookmarkEnd w:id="32"/>
      <w:bookmarkEnd w:id="33"/>
      <w:bookmarkEnd w:id="34"/>
      <w:bookmarkEnd w:id="35"/>
      <w:bookmarkEnd w:id="36"/>
    </w:p>
    <w:p w:rsidR="00862E51" w:rsidRDefault="00862E51" w:rsidP="006438D9">
      <w:pPr>
        <w:pStyle w:val="Heading3"/>
        <w:spacing w:before="280"/>
      </w:pPr>
      <w:r>
        <w:t>How to prepare a submission</w:t>
      </w:r>
    </w:p>
    <w:p w:rsidR="00862E51" w:rsidRDefault="00862E51" w:rsidP="00862E51">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862E51" w:rsidRDefault="00862E51" w:rsidP="00862E51">
      <w:pPr>
        <w:pStyle w:val="Heading4"/>
      </w:pPr>
      <w:r>
        <w:t>Generally</w:t>
      </w:r>
    </w:p>
    <w:p w:rsidR="00862E51" w:rsidRDefault="00862E51" w:rsidP="00862E51">
      <w:pPr>
        <w:pStyle w:val="ListBullet"/>
      </w:pPr>
      <w:r>
        <w:t>Each submission, except for any attachment supplied in confidence, will be published on the Commission’s website shortly after receipt, and will remain there indefinitely as a public document.</w:t>
      </w:r>
    </w:p>
    <w:p w:rsidR="00862E51" w:rsidRDefault="00862E51" w:rsidP="00862E51">
      <w:pPr>
        <w:pStyle w:val="ListBullet"/>
      </w:pPr>
      <w:r>
        <w:t>The Commission reserves the right to not publish material on its website that is offensive, potentially defamatory, or clearly out of scope for the inquiry.</w:t>
      </w:r>
    </w:p>
    <w:p w:rsidR="00862E51" w:rsidRDefault="00862E51" w:rsidP="00862E51">
      <w:pPr>
        <w:pStyle w:val="Heading4"/>
      </w:pPr>
      <w:r>
        <w:t>Copyright</w:t>
      </w:r>
    </w:p>
    <w:p w:rsidR="00862E51" w:rsidRDefault="00862E51" w:rsidP="00862E51">
      <w:pPr>
        <w:pStyle w:val="ListBullet"/>
      </w:pPr>
      <w:r>
        <w:t>Copyright in submissions sent to the Commission resides with the author(s), not with the Commission.</w:t>
      </w:r>
    </w:p>
    <w:p w:rsidR="00862E51" w:rsidRDefault="00862E51" w:rsidP="00862E51">
      <w:pPr>
        <w:pStyle w:val="ListBullet"/>
      </w:pPr>
      <w:r>
        <w:t>Do not send us material for which you are not the copyright owner — such as newspaper articles — you should just reference or link to this material in your submission.</w:t>
      </w:r>
    </w:p>
    <w:p w:rsidR="00862E51" w:rsidRDefault="00862E51" w:rsidP="00862E51">
      <w:pPr>
        <w:pStyle w:val="Heading4"/>
      </w:pPr>
      <w:r>
        <w:t>In confidence material</w:t>
      </w:r>
    </w:p>
    <w:p w:rsidR="00862E51" w:rsidRPr="009D6440" w:rsidRDefault="00862E51" w:rsidP="00862E51">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862E51" w:rsidRDefault="00862E51" w:rsidP="00862E51">
      <w:pPr>
        <w:pStyle w:val="ListBullet"/>
      </w:pPr>
      <w:r w:rsidRPr="009D6440">
        <w:t>The Commission may also request a non</w:t>
      </w:r>
      <w:r>
        <w:noBreakHyphen/>
      </w:r>
      <w:r w:rsidRPr="009D6440">
        <w:t>confidential summary of the confidential material it is given, or the reasons why a summary cannot be provided.</w:t>
      </w:r>
    </w:p>
    <w:p w:rsidR="00862E51" w:rsidRDefault="00862E51" w:rsidP="00862E51">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862E51" w:rsidRPr="009D6440" w:rsidRDefault="00862E51" w:rsidP="00862E51">
      <w:pPr>
        <w:pStyle w:val="ListBullet"/>
      </w:pPr>
      <w:r w:rsidRPr="009D6440">
        <w:t>You are encouraged to contact the Commission for further information and advice before submitting such material.</w:t>
      </w:r>
    </w:p>
    <w:p w:rsidR="00862E51" w:rsidRDefault="00862E51" w:rsidP="00862E51">
      <w:pPr>
        <w:pStyle w:val="Heading4"/>
      </w:pPr>
      <w:r>
        <w:t>Privacy</w:t>
      </w:r>
    </w:p>
    <w:p w:rsidR="00862E51" w:rsidRDefault="00862E51" w:rsidP="00862E51">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 these details unless necessary.</w:t>
      </w:r>
    </w:p>
    <w:p w:rsidR="00862E51" w:rsidRDefault="00862E51" w:rsidP="00862E51">
      <w:pPr>
        <w:pStyle w:val="ListBullet"/>
      </w:pPr>
      <w:r>
        <w:lastRenderedPageBreak/>
        <w:t>You may wish to remain anonymous or use a pseudonym. Please note that, if you choose to remain anonymous or use a pseudonym, the Commission may place less weight on your submission.</w:t>
      </w:r>
    </w:p>
    <w:p w:rsidR="00862E51" w:rsidRDefault="00862E51" w:rsidP="00862E51">
      <w:pPr>
        <w:pStyle w:val="Heading4"/>
      </w:pPr>
      <w:r>
        <w:t>Technical tips</w:t>
      </w:r>
    </w:p>
    <w:p w:rsidR="00862E51" w:rsidRPr="009D6440" w:rsidRDefault="00862E51" w:rsidP="00862E51">
      <w:pPr>
        <w:pStyle w:val="ListBullet"/>
      </w:pPr>
      <w:r w:rsidRPr="009D6440">
        <w:t>The Commission prefers to receive submissions as a Microsoft Word (.</w:t>
      </w:r>
      <w:proofErr w:type="spellStart"/>
      <w:r w:rsidRPr="009D6440">
        <w:t>docx</w:t>
      </w:r>
      <w:proofErr w:type="spellEnd"/>
      <w:r w:rsidRPr="009D6440">
        <w:t xml:space="preserve">) files. PDF files are acceptable if produced from a Word document or similar text based software. You may wish to research the </w:t>
      </w:r>
      <w:proofErr w:type="spellStart"/>
      <w:r w:rsidRPr="009D6440">
        <w:t>Internet</w:t>
      </w:r>
      <w:proofErr w:type="spellEnd"/>
      <w:r w:rsidRPr="009D6440">
        <w:t xml:space="preserve"> on how to make your documents more accessible or for the more technical, follow advice from Web Content Accessibility Guidelines (WCAG) 2.0</w:t>
      </w:r>
      <w:r>
        <w:t>&lt;</w:t>
      </w:r>
      <w:r w:rsidRPr="00C738C7">
        <w:t>http://www.w3.org/TR/WCAG20/</w:t>
      </w:r>
      <w:r>
        <w:t>&gt;.</w:t>
      </w:r>
    </w:p>
    <w:p w:rsidR="00862E51" w:rsidRPr="009D6440" w:rsidRDefault="00862E51" w:rsidP="00862E51">
      <w:pPr>
        <w:pStyle w:val="ListBullet"/>
      </w:pPr>
      <w:r w:rsidRPr="009D6440">
        <w:t>Do not send password protected files.</w:t>
      </w:r>
    </w:p>
    <w:p w:rsidR="00862E51" w:rsidRPr="009D6440" w:rsidRDefault="00862E51" w:rsidP="00862E51">
      <w:pPr>
        <w:pStyle w:val="ListBullet"/>
      </w:pPr>
      <w:r w:rsidRPr="009D6440">
        <w:t>Track changes, editing marks, hidden text and internal links should be removed from submissions.</w:t>
      </w:r>
    </w:p>
    <w:p w:rsidR="00862E51" w:rsidRDefault="00862E51" w:rsidP="00862E51">
      <w:pPr>
        <w:pStyle w:val="ListBullet"/>
      </w:pPr>
      <w:r w:rsidRPr="009D6440">
        <w:t>To minimise linking problems, type the full web address (for example, http://www.referred</w:t>
      </w:r>
      <w:r>
        <w:noBreakHyphen/>
      </w:r>
      <w:r w:rsidRPr="009D6440">
        <w:t>website.com/folder/file</w:t>
      </w:r>
      <w:r>
        <w:noBreakHyphen/>
      </w:r>
      <w:r w:rsidRPr="009D6440">
        <w:t>name.html).</w:t>
      </w:r>
    </w:p>
    <w:p w:rsidR="00862E51" w:rsidRDefault="00862E51" w:rsidP="00862E51">
      <w:pPr>
        <w:pStyle w:val="Heading3"/>
      </w:pPr>
      <w:r>
        <w:t>How to lodge a submission</w:t>
      </w:r>
    </w:p>
    <w:p w:rsidR="00862E51" w:rsidRDefault="00862E51" w:rsidP="00862E51">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439"/>
      </w:tblGrid>
      <w:tr w:rsidR="00AA4178" w:rsidTr="00B87C8E">
        <w:trPr>
          <w:tblHeader/>
        </w:trPr>
        <w:tc>
          <w:tcPr>
            <w:tcW w:w="1384" w:type="dxa"/>
          </w:tcPr>
          <w:p w:rsidR="00AA4178" w:rsidRDefault="00862E51" w:rsidP="00AA4178">
            <w:pPr>
              <w:pStyle w:val="BodyText"/>
              <w:tabs>
                <w:tab w:val="left" w:pos="1701"/>
              </w:tabs>
              <w:spacing w:before="120"/>
            </w:pPr>
            <w:r>
              <w:t>Online</w:t>
            </w:r>
            <w:r w:rsidR="00AA4178">
              <w:t>*</w:t>
            </w:r>
          </w:p>
        </w:tc>
        <w:tc>
          <w:tcPr>
            <w:tcW w:w="7621" w:type="dxa"/>
          </w:tcPr>
          <w:p w:rsidR="00AA4178" w:rsidRDefault="009A769C" w:rsidP="00862E51">
            <w:pPr>
              <w:pStyle w:val="BodyText"/>
              <w:tabs>
                <w:tab w:val="left" w:pos="1701"/>
              </w:tabs>
              <w:spacing w:before="120"/>
            </w:pPr>
            <w:r w:rsidRPr="009A769C">
              <w:t>http://www.pc.gov.au/inquiries/current/veterans/make-submission</w:t>
            </w:r>
          </w:p>
        </w:tc>
      </w:tr>
      <w:tr w:rsidR="00AA4178" w:rsidTr="00AA4178">
        <w:tc>
          <w:tcPr>
            <w:tcW w:w="1384" w:type="dxa"/>
          </w:tcPr>
          <w:p w:rsidR="00AA4178" w:rsidRDefault="00AA4178" w:rsidP="00AA4178">
            <w:pPr>
              <w:pStyle w:val="BodyText"/>
              <w:tabs>
                <w:tab w:val="left" w:pos="1701"/>
              </w:tabs>
              <w:spacing w:before="120"/>
            </w:pPr>
            <w:r>
              <w:t>Post</w:t>
            </w:r>
            <w:r w:rsidR="00862E51">
              <w:t>*</w:t>
            </w:r>
          </w:p>
        </w:tc>
        <w:tc>
          <w:tcPr>
            <w:tcW w:w="7621" w:type="dxa"/>
          </w:tcPr>
          <w:p w:rsidR="00AA4178" w:rsidRDefault="009A769C" w:rsidP="00AA4178">
            <w:pPr>
              <w:pStyle w:val="BodyText"/>
              <w:tabs>
                <w:tab w:val="left" w:pos="1701"/>
              </w:tabs>
              <w:spacing w:before="120"/>
              <w:jc w:val="left"/>
            </w:pPr>
            <w:r>
              <w:t>Veterans’ Compensation and Rehabilitation Inquiry</w:t>
            </w:r>
            <w:r>
              <w:br/>
              <w:t>Productivity Commission</w:t>
            </w:r>
            <w:r>
              <w:br/>
              <w:t>GPO Box 1428</w:t>
            </w:r>
            <w:r>
              <w:br/>
              <w:t>Canberra City ACT 2604</w:t>
            </w:r>
          </w:p>
        </w:tc>
      </w:tr>
    </w:tbl>
    <w:p w:rsidR="00862E51" w:rsidRDefault="00862E51" w:rsidP="00862E51">
      <w:pPr>
        <w:pStyle w:val="BodyText"/>
      </w:pPr>
      <w:r>
        <w:t>*</w:t>
      </w:r>
      <w:r w:rsidRPr="007354B8">
        <w:t xml:space="preserve"> </w:t>
      </w:r>
      <w:r>
        <w:t>If you do not receive notification of receipt of your submission to the Commission, please co</w:t>
      </w:r>
      <w:smartTag w:uri="urn:schemas-microsoft-com:office:smarttags" w:element="PersonName">
        <w:r>
          <w:t>nt</w:t>
        </w:r>
      </w:smartTag>
      <w:r>
        <w:t>act the Administrative Officer.</w:t>
      </w:r>
    </w:p>
    <w:p w:rsidR="00391500" w:rsidRPr="00391500" w:rsidRDefault="00391500" w:rsidP="00391500">
      <w:pPr>
        <w:pStyle w:val="Heading4"/>
      </w:pPr>
      <w:r w:rsidRPr="00391500">
        <w:t>Due date for submissions</w:t>
      </w:r>
    </w:p>
    <w:p w:rsidR="00391500" w:rsidRDefault="00391500" w:rsidP="00391500">
      <w:pPr>
        <w:pStyle w:val="BodyText"/>
      </w:pPr>
      <w:r>
        <w:t xml:space="preserve">Please send submissions to the Commission by </w:t>
      </w:r>
      <w:r w:rsidR="0002624F" w:rsidRPr="004520B9">
        <w:rPr>
          <w:b/>
        </w:rPr>
        <w:t>2 July 2018</w:t>
      </w:r>
      <w:r w:rsidRPr="00A516A2">
        <w:t>.</w:t>
      </w:r>
    </w:p>
    <w:p w:rsidR="00505EDA" w:rsidRDefault="00505EDA" w:rsidP="00364CA8">
      <w:pPr>
        <w:pStyle w:val="Heading3"/>
      </w:pPr>
      <w:r>
        <w:t xml:space="preserve">How to make a brief comment </w:t>
      </w:r>
    </w:p>
    <w:p w:rsidR="00BA4C12" w:rsidRDefault="00BA4C12" w:rsidP="00505EDA">
      <w:pPr>
        <w:pStyle w:val="BodyText"/>
      </w:pPr>
      <w:r>
        <w:t xml:space="preserve">Participants can also provide brief comments. Brief comments made are not considered formal submissions, though comments may be used by the Commission to inform its report. </w:t>
      </w:r>
    </w:p>
    <w:p w:rsidR="00BA4C12" w:rsidRDefault="00BA4C12" w:rsidP="00505EDA">
      <w:pPr>
        <w:pStyle w:val="BodyText"/>
      </w:pPr>
      <w:r>
        <w:lastRenderedPageBreak/>
        <w:t>Brief comments may be published anonymously on the Commission</w:t>
      </w:r>
      <w:r w:rsidR="009A769C">
        <w:t>’</w:t>
      </w:r>
      <w:r>
        <w:t>s website, unless you indicate that you do not want the comment to be published. The Commission reserves the right to not publish material on its website that is offensive, potentially defamatory, or clearly out of scope of the inquiry.</w:t>
      </w:r>
      <w:r w:rsidR="00D027D4">
        <w:t xml:space="preserve"> </w:t>
      </w:r>
    </w:p>
    <w:p w:rsidR="00391500" w:rsidRDefault="00BA4C12" w:rsidP="00751E74">
      <w:pPr>
        <w:pStyle w:val="BodyText"/>
        <w:spacing w:after="240"/>
      </w:pPr>
      <w:r>
        <w:t xml:space="preserve">Brief comments </w:t>
      </w:r>
      <w:r w:rsidRPr="008960C8">
        <w:t>should be lodged using the online form on the Commission’s website</w:t>
      </w:r>
      <w:r w:rsidR="00F67476">
        <w:t xml:space="preserve"> located at</w:t>
      </w:r>
      <w:r w:rsidR="00751E74">
        <w:t>:</w:t>
      </w:r>
      <w:r w:rsidR="00F67476">
        <w:t xml:space="preserve"> </w:t>
      </w:r>
      <w:hyperlink r:id="rId23" w:history="1">
        <w:r w:rsidR="00751E74" w:rsidRPr="00751E74">
          <w:rPr>
            <w:rStyle w:val="Hyperlink"/>
            <w:u w:val="none"/>
          </w:rPr>
          <w:t>www.pc.gov.au/inquiries/current/veterans/comment</w:t>
        </w:r>
      </w:hyperlink>
      <w:r w:rsidRPr="008960C8">
        <w:t>.</w:t>
      </w:r>
    </w:p>
    <w:sectPr w:rsidR="00391500" w:rsidSect="008E7834">
      <w:headerReference w:type="even" r:id="rId24"/>
      <w:headerReference w:type="default" r:id="rId25"/>
      <w:footerReference w:type="even" r:id="rId26"/>
      <w:footerReference w:type="default" r:id="rId27"/>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654" w:rsidRDefault="00181654">
      <w:r>
        <w:separator/>
      </w:r>
    </w:p>
  </w:endnote>
  <w:endnote w:type="continuationSeparator" w:id="0">
    <w:p w:rsidR="00181654" w:rsidRDefault="00181654">
      <w:r>
        <w:continuationSeparator/>
      </w:r>
    </w:p>
  </w:endnote>
  <w:endnote w:type="continuationNotice" w:id="1">
    <w:p w:rsidR="00181654" w:rsidRDefault="00181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81654" w:rsidTr="005F48ED">
      <w:trPr>
        <w:trHeight w:hRule="exact" w:val="567"/>
      </w:trPr>
      <w:tc>
        <w:tcPr>
          <w:tcW w:w="510" w:type="dxa"/>
        </w:tcPr>
        <w:p w:rsidR="00181654" w:rsidRDefault="00181654">
          <w:pPr>
            <w:pStyle w:val="Footer"/>
            <w:ind w:right="360" w:firstLine="360"/>
          </w:pPr>
        </w:p>
      </w:tc>
      <w:tc>
        <w:tcPr>
          <w:tcW w:w="7767" w:type="dxa"/>
        </w:tcPr>
        <w:p w:rsidR="00181654" w:rsidRPr="00BA5B14" w:rsidRDefault="00181654"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Compensation and Rehabilitation for Veterans</w:t>
          </w:r>
          <w:r w:rsidRPr="00BA5B14">
            <w:rPr>
              <w:rFonts w:cs="Arial"/>
            </w:rPr>
            <w:fldChar w:fldCharType="end"/>
          </w:r>
        </w:p>
      </w:tc>
      <w:tc>
        <w:tcPr>
          <w:tcW w:w="510" w:type="dxa"/>
        </w:tcPr>
        <w:p w:rsidR="00181654" w:rsidRPr="00A24443" w:rsidRDefault="00181654">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rsidR="00181654" w:rsidRDefault="00181654">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81654" w:rsidTr="005F48ED">
      <w:trPr>
        <w:trHeight w:hRule="exact" w:val="567"/>
      </w:trPr>
      <w:tc>
        <w:tcPr>
          <w:tcW w:w="510" w:type="dxa"/>
        </w:tcPr>
        <w:p w:rsidR="00181654" w:rsidRPr="00A24443" w:rsidRDefault="0018165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5155E">
            <w:rPr>
              <w:rStyle w:val="PageNumber"/>
              <w:caps w:val="0"/>
              <w:noProof/>
            </w:rPr>
            <w:t>4</w:t>
          </w:r>
          <w:r w:rsidRPr="00A24443">
            <w:rPr>
              <w:rStyle w:val="PageNumber"/>
              <w:caps w:val="0"/>
            </w:rPr>
            <w:fldChar w:fldCharType="end"/>
          </w:r>
        </w:p>
      </w:tc>
      <w:tc>
        <w:tcPr>
          <w:tcW w:w="7767" w:type="dxa"/>
        </w:tcPr>
        <w:p w:rsidR="00181654" w:rsidRPr="0013739A" w:rsidRDefault="00181654" w:rsidP="0013739A">
          <w:pPr>
            <w:pStyle w:val="Footer"/>
            <w:rPr>
              <w:rFonts w:cs="Arial"/>
            </w:rPr>
          </w:pPr>
          <w:r>
            <w:rPr>
              <w:rFonts w:cs="Arial"/>
            </w:rPr>
            <w:t>issues paper</w:t>
          </w:r>
        </w:p>
      </w:tc>
      <w:tc>
        <w:tcPr>
          <w:tcW w:w="510" w:type="dxa"/>
        </w:tcPr>
        <w:p w:rsidR="00181654" w:rsidRDefault="00181654" w:rsidP="0019293B">
          <w:pPr>
            <w:pStyle w:val="Footer"/>
          </w:pPr>
        </w:p>
      </w:tc>
    </w:tr>
  </w:tbl>
  <w:p w:rsidR="00181654" w:rsidRDefault="00181654"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81654" w:rsidTr="005F48ED">
      <w:trPr>
        <w:trHeight w:hRule="exact" w:val="567"/>
      </w:trPr>
      <w:tc>
        <w:tcPr>
          <w:tcW w:w="510" w:type="dxa"/>
        </w:tcPr>
        <w:p w:rsidR="00181654" w:rsidRDefault="00181654">
          <w:pPr>
            <w:pStyle w:val="Footer"/>
            <w:ind w:right="360" w:firstLine="360"/>
          </w:pPr>
        </w:p>
      </w:tc>
      <w:tc>
        <w:tcPr>
          <w:tcW w:w="7767" w:type="dxa"/>
        </w:tcPr>
        <w:p w:rsidR="00181654" w:rsidRPr="00BA5B14" w:rsidRDefault="00181654" w:rsidP="0013739A">
          <w:pPr>
            <w:pStyle w:val="Footer"/>
            <w:jc w:val="right"/>
            <w:rPr>
              <w:rFonts w:cs="Arial"/>
            </w:rPr>
          </w:pPr>
          <w:r>
            <w:rPr>
              <w:rFonts w:cs="Arial"/>
            </w:rPr>
            <w:t>Compensation and Rehabilitation for Veterans</w:t>
          </w:r>
        </w:p>
      </w:tc>
      <w:tc>
        <w:tcPr>
          <w:tcW w:w="510" w:type="dxa"/>
        </w:tcPr>
        <w:p w:rsidR="00181654" w:rsidRPr="00A24443" w:rsidRDefault="0018165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5155E">
            <w:rPr>
              <w:rStyle w:val="PageNumber"/>
              <w:caps w:val="0"/>
              <w:noProof/>
            </w:rPr>
            <w:t>iii</w:t>
          </w:r>
          <w:r w:rsidRPr="00A24443">
            <w:rPr>
              <w:rStyle w:val="PageNumber"/>
              <w:caps w:val="0"/>
            </w:rPr>
            <w:fldChar w:fldCharType="end"/>
          </w:r>
        </w:p>
      </w:tc>
    </w:tr>
  </w:tbl>
  <w:p w:rsidR="00181654" w:rsidRDefault="00181654">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81654" w:rsidTr="005F48ED">
      <w:trPr>
        <w:trHeight w:hRule="exact" w:val="567"/>
      </w:trPr>
      <w:tc>
        <w:tcPr>
          <w:tcW w:w="510" w:type="dxa"/>
        </w:tcPr>
        <w:p w:rsidR="00181654" w:rsidRDefault="00181654">
          <w:pPr>
            <w:pStyle w:val="Footer"/>
            <w:ind w:right="360" w:firstLine="360"/>
          </w:pPr>
        </w:p>
      </w:tc>
      <w:tc>
        <w:tcPr>
          <w:tcW w:w="7767" w:type="dxa"/>
        </w:tcPr>
        <w:p w:rsidR="00181654" w:rsidRPr="00BA5B14" w:rsidRDefault="00181654" w:rsidP="0013739A">
          <w:pPr>
            <w:pStyle w:val="Footer"/>
            <w:jc w:val="right"/>
            <w:rPr>
              <w:rFonts w:cs="Arial"/>
            </w:rPr>
          </w:pPr>
          <w:r>
            <w:rPr>
              <w:rFonts w:cs="Arial"/>
            </w:rPr>
            <w:t>Compensation and Rehabilitation for Veterans</w:t>
          </w:r>
        </w:p>
      </w:tc>
      <w:tc>
        <w:tcPr>
          <w:tcW w:w="510" w:type="dxa"/>
        </w:tcPr>
        <w:p w:rsidR="00181654" w:rsidRDefault="00181654">
          <w:pPr>
            <w:pStyle w:val="Footer"/>
            <w:jc w:val="right"/>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5155E">
            <w:rPr>
              <w:rStyle w:val="PageNumber"/>
              <w:caps w:val="0"/>
              <w:noProof/>
            </w:rPr>
            <w:t>3</w:t>
          </w:r>
          <w:r w:rsidRPr="00A24443">
            <w:rPr>
              <w:rStyle w:val="PageNumber"/>
              <w:caps w:val="0"/>
            </w:rPr>
            <w:fldChar w:fldCharType="end"/>
          </w:r>
        </w:p>
        <w:p w:rsidR="00181654" w:rsidRPr="00A24443" w:rsidRDefault="00181654">
          <w:pPr>
            <w:pStyle w:val="Footer"/>
            <w:jc w:val="right"/>
            <w:rPr>
              <w:caps w:val="0"/>
            </w:rPr>
          </w:pPr>
        </w:p>
      </w:tc>
    </w:tr>
  </w:tbl>
  <w:p w:rsidR="00181654" w:rsidRDefault="00181654">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81654" w:rsidTr="005F48ED">
      <w:trPr>
        <w:trHeight w:hRule="exact" w:val="567"/>
      </w:trPr>
      <w:tc>
        <w:tcPr>
          <w:tcW w:w="510" w:type="dxa"/>
        </w:tcPr>
        <w:p w:rsidR="00181654" w:rsidRPr="00A24443" w:rsidRDefault="0018165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5155E">
            <w:rPr>
              <w:rStyle w:val="PageNumber"/>
              <w:caps w:val="0"/>
              <w:noProof/>
            </w:rPr>
            <w:t>26</w:t>
          </w:r>
          <w:r w:rsidRPr="00A24443">
            <w:rPr>
              <w:rStyle w:val="PageNumber"/>
              <w:caps w:val="0"/>
            </w:rPr>
            <w:fldChar w:fldCharType="end"/>
          </w:r>
        </w:p>
      </w:tc>
      <w:tc>
        <w:tcPr>
          <w:tcW w:w="7767" w:type="dxa"/>
        </w:tcPr>
        <w:p w:rsidR="00181654" w:rsidRPr="0013739A" w:rsidRDefault="00181654" w:rsidP="0013739A">
          <w:pPr>
            <w:pStyle w:val="Footer"/>
            <w:rPr>
              <w:rFonts w:cs="Arial"/>
            </w:rPr>
          </w:pPr>
          <w:r>
            <w:rPr>
              <w:rFonts w:cs="Arial"/>
            </w:rPr>
            <w:t>compensation and rehabilitation for veterans</w:t>
          </w:r>
        </w:p>
      </w:tc>
      <w:tc>
        <w:tcPr>
          <w:tcW w:w="510" w:type="dxa"/>
        </w:tcPr>
        <w:p w:rsidR="00181654" w:rsidRDefault="00181654" w:rsidP="0019293B">
          <w:pPr>
            <w:pStyle w:val="Footer"/>
          </w:pPr>
        </w:p>
      </w:tc>
    </w:tr>
  </w:tbl>
  <w:p w:rsidR="00181654" w:rsidRDefault="00181654"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81654" w:rsidTr="005F48ED">
      <w:trPr>
        <w:trHeight w:hRule="exact" w:val="567"/>
      </w:trPr>
      <w:tc>
        <w:tcPr>
          <w:tcW w:w="510" w:type="dxa"/>
        </w:tcPr>
        <w:p w:rsidR="00181654" w:rsidRDefault="00181654">
          <w:pPr>
            <w:pStyle w:val="Footer"/>
            <w:ind w:right="360" w:firstLine="360"/>
          </w:pPr>
        </w:p>
      </w:tc>
      <w:tc>
        <w:tcPr>
          <w:tcW w:w="7767" w:type="dxa"/>
        </w:tcPr>
        <w:p w:rsidR="00181654" w:rsidRPr="00BA5B14" w:rsidRDefault="00181654"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Compensation and Rehabilitation for Veterans</w:t>
          </w:r>
          <w:r w:rsidRPr="00BA5B14">
            <w:rPr>
              <w:rFonts w:cs="Arial"/>
            </w:rPr>
            <w:fldChar w:fldCharType="end"/>
          </w:r>
        </w:p>
      </w:tc>
      <w:tc>
        <w:tcPr>
          <w:tcW w:w="510" w:type="dxa"/>
        </w:tcPr>
        <w:p w:rsidR="00181654" w:rsidRPr="00A24443" w:rsidRDefault="0018165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5155E">
            <w:rPr>
              <w:rStyle w:val="PageNumber"/>
              <w:caps w:val="0"/>
              <w:noProof/>
            </w:rPr>
            <w:t>25</w:t>
          </w:r>
          <w:r w:rsidRPr="00A24443">
            <w:rPr>
              <w:rStyle w:val="PageNumber"/>
              <w:caps w:val="0"/>
            </w:rPr>
            <w:fldChar w:fldCharType="end"/>
          </w:r>
        </w:p>
      </w:tc>
    </w:tr>
  </w:tbl>
  <w:p w:rsidR="00181654" w:rsidRDefault="00181654">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654" w:rsidRDefault="00181654">
      <w:r>
        <w:separator/>
      </w:r>
    </w:p>
  </w:footnote>
  <w:footnote w:type="continuationSeparator" w:id="0">
    <w:p w:rsidR="00181654" w:rsidRDefault="00181654">
      <w:r>
        <w:continuationSeparator/>
      </w:r>
    </w:p>
  </w:footnote>
  <w:footnote w:type="continuationNotice" w:id="1">
    <w:p w:rsidR="00181654" w:rsidRDefault="00181654"/>
  </w:footnote>
  <w:footnote w:id="2">
    <w:p w:rsidR="00181654" w:rsidRDefault="00181654">
      <w:pPr>
        <w:pStyle w:val="FootnoteText"/>
      </w:pPr>
      <w:r w:rsidRPr="00495F2E">
        <w:rPr>
          <w:rStyle w:val="FootnoteReference"/>
        </w:rPr>
        <w:footnoteRef/>
      </w:r>
      <w:r>
        <w:tab/>
        <w:t>Compensation and support may also be available to others who have been on overseas deployments, such as police deployed on peacekeeping missions.</w:t>
      </w:r>
    </w:p>
  </w:footnote>
  <w:footnote w:id="3">
    <w:p w:rsidR="00181654" w:rsidRDefault="00181654">
      <w:pPr>
        <w:pStyle w:val="FootnoteText"/>
      </w:pPr>
      <w:r w:rsidRPr="00495F2E">
        <w:rPr>
          <w:rStyle w:val="FootnoteReference"/>
        </w:rPr>
        <w:footnoteRef/>
      </w:r>
      <w:r>
        <w:tab/>
        <w:t>Fellowes v Military Rehabilitation and Compensation Commission [2009] HCA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81654">
      <w:tc>
        <w:tcPr>
          <w:tcW w:w="6634" w:type="dxa"/>
          <w:tcBorders>
            <w:top w:val="single" w:sz="6" w:space="0" w:color="auto"/>
          </w:tcBorders>
        </w:tcPr>
        <w:p w:rsidR="00181654" w:rsidRDefault="00181654" w:rsidP="00E669E2">
          <w:pPr>
            <w:pStyle w:val="HeaderOdd"/>
          </w:pPr>
        </w:p>
      </w:tc>
      <w:tc>
        <w:tcPr>
          <w:tcW w:w="2155" w:type="dxa"/>
          <w:tcBorders>
            <w:top w:val="single" w:sz="24" w:space="0" w:color="auto"/>
          </w:tcBorders>
        </w:tcPr>
        <w:p w:rsidR="00181654" w:rsidRDefault="00181654" w:rsidP="00E669E2">
          <w:pPr>
            <w:pStyle w:val="HeaderOdd"/>
          </w:pPr>
        </w:p>
      </w:tc>
    </w:tr>
  </w:tbl>
  <w:p w:rsidR="00181654" w:rsidRDefault="00181654"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81654">
      <w:tc>
        <w:tcPr>
          <w:tcW w:w="2155" w:type="dxa"/>
          <w:tcBorders>
            <w:top w:val="single" w:sz="24" w:space="0" w:color="auto"/>
          </w:tcBorders>
        </w:tcPr>
        <w:p w:rsidR="00181654" w:rsidRDefault="00181654" w:rsidP="0019293B">
          <w:pPr>
            <w:pStyle w:val="HeaderEven"/>
          </w:pPr>
        </w:p>
      </w:tc>
      <w:tc>
        <w:tcPr>
          <w:tcW w:w="6634" w:type="dxa"/>
          <w:tcBorders>
            <w:top w:val="single" w:sz="6" w:space="0" w:color="auto"/>
          </w:tcBorders>
        </w:tcPr>
        <w:p w:rsidR="00181654" w:rsidRDefault="00181654" w:rsidP="0019293B">
          <w:pPr>
            <w:pStyle w:val="HeaderEven"/>
          </w:pPr>
        </w:p>
      </w:tc>
    </w:tr>
  </w:tbl>
  <w:p w:rsidR="00181654" w:rsidRDefault="00181654"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81654">
      <w:tc>
        <w:tcPr>
          <w:tcW w:w="6634" w:type="dxa"/>
          <w:tcBorders>
            <w:top w:val="single" w:sz="6" w:space="0" w:color="auto"/>
          </w:tcBorders>
        </w:tcPr>
        <w:p w:rsidR="00181654" w:rsidRDefault="00181654" w:rsidP="00E669E2">
          <w:pPr>
            <w:pStyle w:val="HeaderOdd"/>
          </w:pPr>
        </w:p>
      </w:tc>
      <w:tc>
        <w:tcPr>
          <w:tcW w:w="2155" w:type="dxa"/>
          <w:tcBorders>
            <w:top w:val="single" w:sz="24" w:space="0" w:color="auto"/>
          </w:tcBorders>
        </w:tcPr>
        <w:p w:rsidR="00181654" w:rsidRDefault="00181654" w:rsidP="00E669E2">
          <w:pPr>
            <w:pStyle w:val="HeaderOdd"/>
          </w:pPr>
        </w:p>
      </w:tc>
    </w:tr>
  </w:tbl>
  <w:p w:rsidR="00181654" w:rsidRDefault="00181654"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81654">
      <w:tc>
        <w:tcPr>
          <w:tcW w:w="2155" w:type="dxa"/>
          <w:tcBorders>
            <w:top w:val="single" w:sz="24" w:space="0" w:color="auto"/>
          </w:tcBorders>
        </w:tcPr>
        <w:p w:rsidR="00181654" w:rsidRDefault="00181654" w:rsidP="0019293B">
          <w:pPr>
            <w:pStyle w:val="HeaderEven"/>
          </w:pPr>
        </w:p>
      </w:tc>
      <w:tc>
        <w:tcPr>
          <w:tcW w:w="6634" w:type="dxa"/>
          <w:tcBorders>
            <w:top w:val="single" w:sz="6" w:space="0" w:color="auto"/>
          </w:tcBorders>
        </w:tcPr>
        <w:p w:rsidR="00181654" w:rsidRDefault="00181654" w:rsidP="0019293B">
          <w:pPr>
            <w:pStyle w:val="HeaderEven"/>
          </w:pPr>
        </w:p>
      </w:tc>
    </w:tr>
  </w:tbl>
  <w:p w:rsidR="00181654" w:rsidRDefault="00181654"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81654">
      <w:tc>
        <w:tcPr>
          <w:tcW w:w="6634" w:type="dxa"/>
          <w:tcBorders>
            <w:top w:val="single" w:sz="6" w:space="0" w:color="auto"/>
          </w:tcBorders>
        </w:tcPr>
        <w:p w:rsidR="00181654" w:rsidRDefault="00181654" w:rsidP="00E669E2">
          <w:pPr>
            <w:pStyle w:val="HeaderOdd"/>
          </w:pPr>
        </w:p>
      </w:tc>
      <w:tc>
        <w:tcPr>
          <w:tcW w:w="2155" w:type="dxa"/>
          <w:tcBorders>
            <w:top w:val="single" w:sz="24" w:space="0" w:color="auto"/>
          </w:tcBorders>
        </w:tcPr>
        <w:p w:rsidR="00181654" w:rsidRDefault="00181654" w:rsidP="00E669E2">
          <w:pPr>
            <w:pStyle w:val="HeaderOdd"/>
          </w:pPr>
        </w:p>
      </w:tc>
    </w:tr>
  </w:tbl>
  <w:p w:rsidR="00181654" w:rsidRDefault="00181654"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81654">
      <w:tc>
        <w:tcPr>
          <w:tcW w:w="2155" w:type="dxa"/>
          <w:tcBorders>
            <w:top w:val="single" w:sz="24" w:space="0" w:color="auto"/>
          </w:tcBorders>
        </w:tcPr>
        <w:p w:rsidR="00181654" w:rsidRDefault="00181654" w:rsidP="0019293B">
          <w:pPr>
            <w:pStyle w:val="HeaderEven"/>
          </w:pPr>
        </w:p>
      </w:tc>
      <w:tc>
        <w:tcPr>
          <w:tcW w:w="6634" w:type="dxa"/>
          <w:tcBorders>
            <w:top w:val="single" w:sz="6" w:space="0" w:color="auto"/>
          </w:tcBorders>
        </w:tcPr>
        <w:p w:rsidR="00181654" w:rsidRDefault="00181654" w:rsidP="0019293B">
          <w:pPr>
            <w:pStyle w:val="HeaderEven"/>
          </w:pPr>
        </w:p>
      </w:tc>
    </w:tr>
  </w:tbl>
  <w:p w:rsidR="00181654" w:rsidRDefault="00181654"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81654">
      <w:tc>
        <w:tcPr>
          <w:tcW w:w="6634" w:type="dxa"/>
          <w:tcBorders>
            <w:top w:val="single" w:sz="6" w:space="0" w:color="auto"/>
          </w:tcBorders>
        </w:tcPr>
        <w:p w:rsidR="00181654" w:rsidRDefault="00181654" w:rsidP="00E669E2">
          <w:pPr>
            <w:pStyle w:val="HeaderOdd"/>
          </w:pPr>
        </w:p>
      </w:tc>
      <w:tc>
        <w:tcPr>
          <w:tcW w:w="2155" w:type="dxa"/>
          <w:tcBorders>
            <w:top w:val="single" w:sz="24" w:space="0" w:color="auto"/>
          </w:tcBorders>
        </w:tcPr>
        <w:p w:rsidR="00181654" w:rsidRDefault="00181654" w:rsidP="00E669E2">
          <w:pPr>
            <w:pStyle w:val="HeaderOdd"/>
          </w:pPr>
        </w:p>
      </w:tc>
    </w:tr>
  </w:tbl>
  <w:p w:rsidR="00181654" w:rsidRDefault="00181654"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FEC6F90"/>
    <w:lvl w:ilvl="0">
      <w:start w:val="1"/>
      <w:numFmt w:val="decimal"/>
      <w:lvlText w:val="%1."/>
      <w:lvlJc w:val="left"/>
      <w:pPr>
        <w:tabs>
          <w:tab w:val="num" w:pos="1492"/>
        </w:tabs>
        <w:ind w:left="1492" w:hanging="360"/>
      </w:pPr>
    </w:lvl>
  </w:abstractNum>
  <w:abstractNum w:abstractNumId="1">
    <w:nsid w:val="FFFFFF7D"/>
    <w:multiLevelType w:val="singleLevel"/>
    <w:tmpl w:val="90744332"/>
    <w:lvl w:ilvl="0">
      <w:start w:val="1"/>
      <w:numFmt w:val="decimal"/>
      <w:lvlText w:val="%1."/>
      <w:lvlJc w:val="left"/>
      <w:pPr>
        <w:tabs>
          <w:tab w:val="num" w:pos="1209"/>
        </w:tabs>
        <w:ind w:left="1209" w:hanging="360"/>
      </w:pPr>
    </w:lvl>
  </w:abstractNum>
  <w:abstractNum w:abstractNumId="2">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47C2EA9"/>
    <w:multiLevelType w:val="hybridMultilevel"/>
    <w:tmpl w:val="448C09C6"/>
    <w:lvl w:ilvl="0" w:tplc="0C090001">
      <w:start w:val="2016"/>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nsid w:val="0C2B7B67"/>
    <w:multiLevelType w:val="hybridMultilevel"/>
    <w:tmpl w:val="20D85BF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2C156AAF"/>
    <w:multiLevelType w:val="hybridMultilevel"/>
    <w:tmpl w:val="814E28F0"/>
    <w:lvl w:ilvl="0" w:tplc="30FC8CA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9">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2">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3">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6">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7">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8"/>
  </w:num>
  <w:num w:numId="2">
    <w:abstractNumId w:val="6"/>
  </w:num>
  <w:num w:numId="3">
    <w:abstractNumId w:val="20"/>
  </w:num>
  <w:num w:numId="4">
    <w:abstractNumId w:val="7"/>
  </w:num>
  <w:num w:numId="5">
    <w:abstractNumId w:val="25"/>
  </w:num>
  <w:num w:numId="6">
    <w:abstractNumId w:val="22"/>
  </w:num>
  <w:num w:numId="7">
    <w:abstractNumId w:val="13"/>
  </w:num>
  <w:num w:numId="8">
    <w:abstractNumId w:val="21"/>
  </w:num>
  <w:num w:numId="9">
    <w:abstractNumId w:val="12"/>
  </w:num>
  <w:num w:numId="10">
    <w:abstractNumId w:val="11"/>
  </w:num>
  <w:num w:numId="11">
    <w:abstractNumId w:val="15"/>
  </w:num>
  <w:num w:numId="12">
    <w:abstractNumId w:val="16"/>
  </w:num>
  <w:num w:numId="13">
    <w:abstractNumId w:val="9"/>
  </w:num>
  <w:num w:numId="14">
    <w:abstractNumId w:val="23"/>
  </w:num>
  <w:num w:numId="15">
    <w:abstractNumId w:val="26"/>
  </w:num>
  <w:num w:numId="16">
    <w:abstractNumId w:val="19"/>
  </w:num>
  <w:num w:numId="17">
    <w:abstractNumId w:val="27"/>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4"/>
  </w:num>
  <w:num w:numId="21">
    <w:abstractNumId w:val="14"/>
  </w:num>
  <w:num w:numId="22">
    <w:abstractNumId w:val="3"/>
  </w:num>
  <w:num w:numId="23">
    <w:abstractNumId w:val="2"/>
  </w:num>
  <w:num w:numId="24">
    <w:abstractNumId w:val="1"/>
  </w:num>
  <w:num w:numId="25">
    <w:abstractNumId w:val="0"/>
  </w:num>
  <w:num w:numId="26">
    <w:abstractNumId w:val="8"/>
  </w:num>
  <w:num w:numId="27">
    <w:abstractNumId w:val="17"/>
  </w:num>
  <w:num w:numId="2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3851B8"/>
    <w:rsid w:val="00005557"/>
    <w:rsid w:val="000056E3"/>
    <w:rsid w:val="0000590A"/>
    <w:rsid w:val="00006D1A"/>
    <w:rsid w:val="00006E6F"/>
    <w:rsid w:val="00011A0F"/>
    <w:rsid w:val="00014DA1"/>
    <w:rsid w:val="00015427"/>
    <w:rsid w:val="00015891"/>
    <w:rsid w:val="00015AAA"/>
    <w:rsid w:val="000161C4"/>
    <w:rsid w:val="0002039A"/>
    <w:rsid w:val="00020844"/>
    <w:rsid w:val="000227D5"/>
    <w:rsid w:val="000233C9"/>
    <w:rsid w:val="00023BC6"/>
    <w:rsid w:val="000245AA"/>
    <w:rsid w:val="00024DE5"/>
    <w:rsid w:val="00025C5A"/>
    <w:rsid w:val="00025E83"/>
    <w:rsid w:val="0002624F"/>
    <w:rsid w:val="00027763"/>
    <w:rsid w:val="00032C9C"/>
    <w:rsid w:val="00032EB2"/>
    <w:rsid w:val="00033337"/>
    <w:rsid w:val="000336DC"/>
    <w:rsid w:val="0003370F"/>
    <w:rsid w:val="00033ACB"/>
    <w:rsid w:val="00033D49"/>
    <w:rsid w:val="00033F6D"/>
    <w:rsid w:val="00034575"/>
    <w:rsid w:val="00035B18"/>
    <w:rsid w:val="0003664B"/>
    <w:rsid w:val="00037B28"/>
    <w:rsid w:val="00037EDE"/>
    <w:rsid w:val="00040853"/>
    <w:rsid w:val="00040FA3"/>
    <w:rsid w:val="0004111F"/>
    <w:rsid w:val="00045F7B"/>
    <w:rsid w:val="000466B6"/>
    <w:rsid w:val="000478BC"/>
    <w:rsid w:val="00051A2E"/>
    <w:rsid w:val="0005339C"/>
    <w:rsid w:val="00054654"/>
    <w:rsid w:val="00055077"/>
    <w:rsid w:val="00055DC2"/>
    <w:rsid w:val="000565B3"/>
    <w:rsid w:val="00060127"/>
    <w:rsid w:val="0006268A"/>
    <w:rsid w:val="00064722"/>
    <w:rsid w:val="000651B2"/>
    <w:rsid w:val="00066048"/>
    <w:rsid w:val="00066284"/>
    <w:rsid w:val="0006738C"/>
    <w:rsid w:val="0007150B"/>
    <w:rsid w:val="00074867"/>
    <w:rsid w:val="00077481"/>
    <w:rsid w:val="000779D9"/>
    <w:rsid w:val="0008094B"/>
    <w:rsid w:val="00082ED0"/>
    <w:rsid w:val="000837A7"/>
    <w:rsid w:val="00092D85"/>
    <w:rsid w:val="000938F5"/>
    <w:rsid w:val="00093A02"/>
    <w:rsid w:val="0009526D"/>
    <w:rsid w:val="00095663"/>
    <w:rsid w:val="00096D48"/>
    <w:rsid w:val="00096E55"/>
    <w:rsid w:val="0009783E"/>
    <w:rsid w:val="000A1C67"/>
    <w:rsid w:val="000A20CF"/>
    <w:rsid w:val="000A2A09"/>
    <w:rsid w:val="000A3574"/>
    <w:rsid w:val="000A4118"/>
    <w:rsid w:val="000A426F"/>
    <w:rsid w:val="000A5066"/>
    <w:rsid w:val="000A533E"/>
    <w:rsid w:val="000A5406"/>
    <w:rsid w:val="000A7C53"/>
    <w:rsid w:val="000A7E81"/>
    <w:rsid w:val="000A7EFB"/>
    <w:rsid w:val="000B044B"/>
    <w:rsid w:val="000B0BB2"/>
    <w:rsid w:val="000B1022"/>
    <w:rsid w:val="000B108A"/>
    <w:rsid w:val="000B10B8"/>
    <w:rsid w:val="000B1AD4"/>
    <w:rsid w:val="000B1CEF"/>
    <w:rsid w:val="000B3F0A"/>
    <w:rsid w:val="000B47C0"/>
    <w:rsid w:val="000B4EF6"/>
    <w:rsid w:val="000B58F1"/>
    <w:rsid w:val="000B601B"/>
    <w:rsid w:val="000C207E"/>
    <w:rsid w:val="000C2082"/>
    <w:rsid w:val="000C3A7B"/>
    <w:rsid w:val="000C3CE2"/>
    <w:rsid w:val="000C4A64"/>
    <w:rsid w:val="000C4D97"/>
    <w:rsid w:val="000C5C03"/>
    <w:rsid w:val="000C70BE"/>
    <w:rsid w:val="000C7A24"/>
    <w:rsid w:val="000C7B4D"/>
    <w:rsid w:val="000D2CC1"/>
    <w:rsid w:val="000D41E9"/>
    <w:rsid w:val="000D433F"/>
    <w:rsid w:val="000D5017"/>
    <w:rsid w:val="000D541A"/>
    <w:rsid w:val="000D54DD"/>
    <w:rsid w:val="000D6302"/>
    <w:rsid w:val="000D71BE"/>
    <w:rsid w:val="000D78CE"/>
    <w:rsid w:val="000E09AC"/>
    <w:rsid w:val="000E1F8D"/>
    <w:rsid w:val="000E5483"/>
    <w:rsid w:val="000E6B9D"/>
    <w:rsid w:val="000E6F4D"/>
    <w:rsid w:val="000E7E43"/>
    <w:rsid w:val="000F0035"/>
    <w:rsid w:val="000F15CC"/>
    <w:rsid w:val="000F2B7B"/>
    <w:rsid w:val="000F39C4"/>
    <w:rsid w:val="000F420B"/>
    <w:rsid w:val="000F5A59"/>
    <w:rsid w:val="000F5BCA"/>
    <w:rsid w:val="001017CC"/>
    <w:rsid w:val="00101C0C"/>
    <w:rsid w:val="00103097"/>
    <w:rsid w:val="00103930"/>
    <w:rsid w:val="00103C06"/>
    <w:rsid w:val="00104965"/>
    <w:rsid w:val="00105531"/>
    <w:rsid w:val="001058C5"/>
    <w:rsid w:val="0010592B"/>
    <w:rsid w:val="0010753E"/>
    <w:rsid w:val="00110113"/>
    <w:rsid w:val="00110116"/>
    <w:rsid w:val="0011112B"/>
    <w:rsid w:val="001118A4"/>
    <w:rsid w:val="00114FD6"/>
    <w:rsid w:val="0011530C"/>
    <w:rsid w:val="00116992"/>
    <w:rsid w:val="00120072"/>
    <w:rsid w:val="001208E3"/>
    <w:rsid w:val="00120F7B"/>
    <w:rsid w:val="00122753"/>
    <w:rsid w:val="001230CE"/>
    <w:rsid w:val="00124A99"/>
    <w:rsid w:val="00124EE4"/>
    <w:rsid w:val="00126672"/>
    <w:rsid w:val="00126B5F"/>
    <w:rsid w:val="00126EB8"/>
    <w:rsid w:val="001274D4"/>
    <w:rsid w:val="00130A4A"/>
    <w:rsid w:val="00132EA4"/>
    <w:rsid w:val="001340C5"/>
    <w:rsid w:val="00134A2D"/>
    <w:rsid w:val="001363AA"/>
    <w:rsid w:val="0013739A"/>
    <w:rsid w:val="001401CE"/>
    <w:rsid w:val="0014123F"/>
    <w:rsid w:val="0014322A"/>
    <w:rsid w:val="0014396F"/>
    <w:rsid w:val="00143D4D"/>
    <w:rsid w:val="001441FA"/>
    <w:rsid w:val="001445F9"/>
    <w:rsid w:val="00144BC0"/>
    <w:rsid w:val="001458D5"/>
    <w:rsid w:val="00154283"/>
    <w:rsid w:val="00155069"/>
    <w:rsid w:val="00156423"/>
    <w:rsid w:val="00156AFB"/>
    <w:rsid w:val="00161320"/>
    <w:rsid w:val="00162BBC"/>
    <w:rsid w:val="00167AF5"/>
    <w:rsid w:val="001710B8"/>
    <w:rsid w:val="0017202A"/>
    <w:rsid w:val="0017205F"/>
    <w:rsid w:val="00173DA1"/>
    <w:rsid w:val="00174B75"/>
    <w:rsid w:val="00174DF8"/>
    <w:rsid w:val="001761BF"/>
    <w:rsid w:val="001764A4"/>
    <w:rsid w:val="00176CE5"/>
    <w:rsid w:val="00176EDB"/>
    <w:rsid w:val="001779B3"/>
    <w:rsid w:val="00177EB3"/>
    <w:rsid w:val="001812C9"/>
    <w:rsid w:val="00181654"/>
    <w:rsid w:val="00183E82"/>
    <w:rsid w:val="001854A2"/>
    <w:rsid w:val="001860F5"/>
    <w:rsid w:val="001878BB"/>
    <w:rsid w:val="001900B6"/>
    <w:rsid w:val="0019084A"/>
    <w:rsid w:val="0019158E"/>
    <w:rsid w:val="00191AE0"/>
    <w:rsid w:val="0019293B"/>
    <w:rsid w:val="00193258"/>
    <w:rsid w:val="0019426B"/>
    <w:rsid w:val="0019702A"/>
    <w:rsid w:val="001A02E5"/>
    <w:rsid w:val="001A0F0F"/>
    <w:rsid w:val="001A2371"/>
    <w:rsid w:val="001A3552"/>
    <w:rsid w:val="001A36F9"/>
    <w:rsid w:val="001A3D69"/>
    <w:rsid w:val="001A4700"/>
    <w:rsid w:val="001A4BE7"/>
    <w:rsid w:val="001A6117"/>
    <w:rsid w:val="001A74B8"/>
    <w:rsid w:val="001A7579"/>
    <w:rsid w:val="001A76A4"/>
    <w:rsid w:val="001B0903"/>
    <w:rsid w:val="001B0B3C"/>
    <w:rsid w:val="001B4F47"/>
    <w:rsid w:val="001B527B"/>
    <w:rsid w:val="001B70BD"/>
    <w:rsid w:val="001C0567"/>
    <w:rsid w:val="001C0865"/>
    <w:rsid w:val="001C11C3"/>
    <w:rsid w:val="001C147D"/>
    <w:rsid w:val="001C209D"/>
    <w:rsid w:val="001C2FC4"/>
    <w:rsid w:val="001C3ABA"/>
    <w:rsid w:val="001C5111"/>
    <w:rsid w:val="001C732A"/>
    <w:rsid w:val="001D02D0"/>
    <w:rsid w:val="001D2256"/>
    <w:rsid w:val="001D39AD"/>
    <w:rsid w:val="001D3BD7"/>
    <w:rsid w:val="001D5814"/>
    <w:rsid w:val="001D6FEE"/>
    <w:rsid w:val="001D71B2"/>
    <w:rsid w:val="001E2A15"/>
    <w:rsid w:val="001E3039"/>
    <w:rsid w:val="001E4985"/>
    <w:rsid w:val="001E4D46"/>
    <w:rsid w:val="001E55EB"/>
    <w:rsid w:val="001E6FA9"/>
    <w:rsid w:val="001E7437"/>
    <w:rsid w:val="001E7655"/>
    <w:rsid w:val="001E78D3"/>
    <w:rsid w:val="001E7BE8"/>
    <w:rsid w:val="001F0128"/>
    <w:rsid w:val="001F0248"/>
    <w:rsid w:val="001F0DE6"/>
    <w:rsid w:val="001F0E27"/>
    <w:rsid w:val="001F0EEE"/>
    <w:rsid w:val="001F158C"/>
    <w:rsid w:val="001F1FE9"/>
    <w:rsid w:val="001F29D0"/>
    <w:rsid w:val="001F3EB3"/>
    <w:rsid w:val="001F49AE"/>
    <w:rsid w:val="001F4F86"/>
    <w:rsid w:val="001F6A86"/>
    <w:rsid w:val="001F708F"/>
    <w:rsid w:val="001F7830"/>
    <w:rsid w:val="00200404"/>
    <w:rsid w:val="00201806"/>
    <w:rsid w:val="00202C2C"/>
    <w:rsid w:val="00203D7F"/>
    <w:rsid w:val="00204FC1"/>
    <w:rsid w:val="00206700"/>
    <w:rsid w:val="002135AB"/>
    <w:rsid w:val="002136C3"/>
    <w:rsid w:val="002144BE"/>
    <w:rsid w:val="00215C28"/>
    <w:rsid w:val="00217050"/>
    <w:rsid w:val="0021770B"/>
    <w:rsid w:val="002204DD"/>
    <w:rsid w:val="00220793"/>
    <w:rsid w:val="00220E4A"/>
    <w:rsid w:val="0022134B"/>
    <w:rsid w:val="0022369F"/>
    <w:rsid w:val="002237F5"/>
    <w:rsid w:val="00227519"/>
    <w:rsid w:val="00227C33"/>
    <w:rsid w:val="00230878"/>
    <w:rsid w:val="002318A9"/>
    <w:rsid w:val="00232727"/>
    <w:rsid w:val="00234882"/>
    <w:rsid w:val="002369BC"/>
    <w:rsid w:val="0023745A"/>
    <w:rsid w:val="002403CE"/>
    <w:rsid w:val="00242279"/>
    <w:rsid w:val="002435E7"/>
    <w:rsid w:val="00243997"/>
    <w:rsid w:val="00244E29"/>
    <w:rsid w:val="0024516C"/>
    <w:rsid w:val="0024574A"/>
    <w:rsid w:val="00245C82"/>
    <w:rsid w:val="0024624C"/>
    <w:rsid w:val="002468FB"/>
    <w:rsid w:val="002472BB"/>
    <w:rsid w:val="00247547"/>
    <w:rsid w:val="00252154"/>
    <w:rsid w:val="002524E8"/>
    <w:rsid w:val="00252E20"/>
    <w:rsid w:val="0025545A"/>
    <w:rsid w:val="00256AB3"/>
    <w:rsid w:val="00257B76"/>
    <w:rsid w:val="00262C50"/>
    <w:rsid w:val="002647CB"/>
    <w:rsid w:val="002647CE"/>
    <w:rsid w:val="00265027"/>
    <w:rsid w:val="002655F4"/>
    <w:rsid w:val="00265683"/>
    <w:rsid w:val="00265A33"/>
    <w:rsid w:val="00265C9B"/>
    <w:rsid w:val="00266AAC"/>
    <w:rsid w:val="00266D8F"/>
    <w:rsid w:val="00271415"/>
    <w:rsid w:val="002724BA"/>
    <w:rsid w:val="00274DF8"/>
    <w:rsid w:val="00275BD3"/>
    <w:rsid w:val="002765E4"/>
    <w:rsid w:val="0027693D"/>
    <w:rsid w:val="00276F44"/>
    <w:rsid w:val="0027780C"/>
    <w:rsid w:val="0028013F"/>
    <w:rsid w:val="00280670"/>
    <w:rsid w:val="00280D2F"/>
    <w:rsid w:val="00281F15"/>
    <w:rsid w:val="002829D2"/>
    <w:rsid w:val="00283A21"/>
    <w:rsid w:val="002841F3"/>
    <w:rsid w:val="002842D9"/>
    <w:rsid w:val="00285576"/>
    <w:rsid w:val="00290392"/>
    <w:rsid w:val="00290606"/>
    <w:rsid w:val="00290C28"/>
    <w:rsid w:val="00291525"/>
    <w:rsid w:val="00291B40"/>
    <w:rsid w:val="00293497"/>
    <w:rsid w:val="00294034"/>
    <w:rsid w:val="00295BC4"/>
    <w:rsid w:val="00296D0E"/>
    <w:rsid w:val="002A0B43"/>
    <w:rsid w:val="002A14B9"/>
    <w:rsid w:val="002A3631"/>
    <w:rsid w:val="002A3E3A"/>
    <w:rsid w:val="002A5460"/>
    <w:rsid w:val="002A5BC6"/>
    <w:rsid w:val="002A7EF0"/>
    <w:rsid w:val="002B1291"/>
    <w:rsid w:val="002B4008"/>
    <w:rsid w:val="002B43D5"/>
    <w:rsid w:val="002B523E"/>
    <w:rsid w:val="002B656A"/>
    <w:rsid w:val="002B6DC9"/>
    <w:rsid w:val="002C40C3"/>
    <w:rsid w:val="002C4267"/>
    <w:rsid w:val="002C439F"/>
    <w:rsid w:val="002C4FCD"/>
    <w:rsid w:val="002C6372"/>
    <w:rsid w:val="002D0E8E"/>
    <w:rsid w:val="002D2AE0"/>
    <w:rsid w:val="002D49DA"/>
    <w:rsid w:val="002D4D54"/>
    <w:rsid w:val="002D527F"/>
    <w:rsid w:val="002D5CB9"/>
    <w:rsid w:val="002D6797"/>
    <w:rsid w:val="002D698C"/>
    <w:rsid w:val="002D6FB0"/>
    <w:rsid w:val="002E0A36"/>
    <w:rsid w:val="002E4A32"/>
    <w:rsid w:val="002E4E78"/>
    <w:rsid w:val="002E7358"/>
    <w:rsid w:val="002F06C9"/>
    <w:rsid w:val="002F1334"/>
    <w:rsid w:val="002F152E"/>
    <w:rsid w:val="002F21FF"/>
    <w:rsid w:val="002F2599"/>
    <w:rsid w:val="002F2FF2"/>
    <w:rsid w:val="00301189"/>
    <w:rsid w:val="00301E4A"/>
    <w:rsid w:val="00302A40"/>
    <w:rsid w:val="00302F04"/>
    <w:rsid w:val="003047AA"/>
    <w:rsid w:val="00305917"/>
    <w:rsid w:val="00305CB8"/>
    <w:rsid w:val="0030628F"/>
    <w:rsid w:val="00306840"/>
    <w:rsid w:val="00306B9A"/>
    <w:rsid w:val="00311582"/>
    <w:rsid w:val="003127E1"/>
    <w:rsid w:val="00313EF8"/>
    <w:rsid w:val="003143F8"/>
    <w:rsid w:val="00315A25"/>
    <w:rsid w:val="00316537"/>
    <w:rsid w:val="003168B8"/>
    <w:rsid w:val="00316932"/>
    <w:rsid w:val="00316E68"/>
    <w:rsid w:val="0031789C"/>
    <w:rsid w:val="00320558"/>
    <w:rsid w:val="00323E09"/>
    <w:rsid w:val="00323FB1"/>
    <w:rsid w:val="00325BCB"/>
    <w:rsid w:val="00325F04"/>
    <w:rsid w:val="003267C2"/>
    <w:rsid w:val="00330605"/>
    <w:rsid w:val="00333932"/>
    <w:rsid w:val="00333A33"/>
    <w:rsid w:val="00333E67"/>
    <w:rsid w:val="003342D1"/>
    <w:rsid w:val="00334338"/>
    <w:rsid w:val="00334FD2"/>
    <w:rsid w:val="003352F4"/>
    <w:rsid w:val="00335343"/>
    <w:rsid w:val="003358D9"/>
    <w:rsid w:val="00335E9E"/>
    <w:rsid w:val="0033612B"/>
    <w:rsid w:val="00336CD9"/>
    <w:rsid w:val="00340E5E"/>
    <w:rsid w:val="00340F06"/>
    <w:rsid w:val="003414A6"/>
    <w:rsid w:val="00342111"/>
    <w:rsid w:val="00342497"/>
    <w:rsid w:val="00343074"/>
    <w:rsid w:val="00343334"/>
    <w:rsid w:val="003433C2"/>
    <w:rsid w:val="00345D6A"/>
    <w:rsid w:val="00346631"/>
    <w:rsid w:val="00346DE4"/>
    <w:rsid w:val="003473E8"/>
    <w:rsid w:val="00347602"/>
    <w:rsid w:val="00350385"/>
    <w:rsid w:val="0035050A"/>
    <w:rsid w:val="00350E65"/>
    <w:rsid w:val="003518AA"/>
    <w:rsid w:val="00351A37"/>
    <w:rsid w:val="00351B37"/>
    <w:rsid w:val="00352165"/>
    <w:rsid w:val="00353182"/>
    <w:rsid w:val="003565D9"/>
    <w:rsid w:val="00356624"/>
    <w:rsid w:val="003602E1"/>
    <w:rsid w:val="003633D4"/>
    <w:rsid w:val="00363564"/>
    <w:rsid w:val="00363D47"/>
    <w:rsid w:val="00364CA8"/>
    <w:rsid w:val="00365E67"/>
    <w:rsid w:val="00367388"/>
    <w:rsid w:val="0037026F"/>
    <w:rsid w:val="00371240"/>
    <w:rsid w:val="00372E1B"/>
    <w:rsid w:val="003731D8"/>
    <w:rsid w:val="00373CB0"/>
    <w:rsid w:val="00374731"/>
    <w:rsid w:val="00374987"/>
    <w:rsid w:val="00376261"/>
    <w:rsid w:val="00376E59"/>
    <w:rsid w:val="00376FF4"/>
    <w:rsid w:val="003776B0"/>
    <w:rsid w:val="00377F56"/>
    <w:rsid w:val="003802F7"/>
    <w:rsid w:val="00380340"/>
    <w:rsid w:val="00383055"/>
    <w:rsid w:val="003851B8"/>
    <w:rsid w:val="003910FE"/>
    <w:rsid w:val="00391500"/>
    <w:rsid w:val="003919F9"/>
    <w:rsid w:val="00394194"/>
    <w:rsid w:val="003979B4"/>
    <w:rsid w:val="003A015A"/>
    <w:rsid w:val="003A22FF"/>
    <w:rsid w:val="003A426B"/>
    <w:rsid w:val="003A5805"/>
    <w:rsid w:val="003A6242"/>
    <w:rsid w:val="003A66BF"/>
    <w:rsid w:val="003A69FC"/>
    <w:rsid w:val="003A73D8"/>
    <w:rsid w:val="003B0C73"/>
    <w:rsid w:val="003B15DE"/>
    <w:rsid w:val="003B1D9B"/>
    <w:rsid w:val="003B2124"/>
    <w:rsid w:val="003B2352"/>
    <w:rsid w:val="003B23C2"/>
    <w:rsid w:val="003B309A"/>
    <w:rsid w:val="003B3A9B"/>
    <w:rsid w:val="003B3B12"/>
    <w:rsid w:val="003B444C"/>
    <w:rsid w:val="003B44B0"/>
    <w:rsid w:val="003B4AC5"/>
    <w:rsid w:val="003B6E2E"/>
    <w:rsid w:val="003B727A"/>
    <w:rsid w:val="003C040D"/>
    <w:rsid w:val="003C1245"/>
    <w:rsid w:val="003C1FA7"/>
    <w:rsid w:val="003C33DA"/>
    <w:rsid w:val="003C38B5"/>
    <w:rsid w:val="003C3F49"/>
    <w:rsid w:val="003C5392"/>
    <w:rsid w:val="003C5690"/>
    <w:rsid w:val="003C5D99"/>
    <w:rsid w:val="003C68A2"/>
    <w:rsid w:val="003C781D"/>
    <w:rsid w:val="003D0DE6"/>
    <w:rsid w:val="003D1087"/>
    <w:rsid w:val="003D1738"/>
    <w:rsid w:val="003D335D"/>
    <w:rsid w:val="003D48DC"/>
    <w:rsid w:val="003D4A17"/>
    <w:rsid w:val="003D674C"/>
    <w:rsid w:val="003E049F"/>
    <w:rsid w:val="003E2F59"/>
    <w:rsid w:val="003E6B19"/>
    <w:rsid w:val="003E746B"/>
    <w:rsid w:val="003F0789"/>
    <w:rsid w:val="003F08A6"/>
    <w:rsid w:val="003F2E77"/>
    <w:rsid w:val="003F3412"/>
    <w:rsid w:val="003F6F9F"/>
    <w:rsid w:val="0040123B"/>
    <w:rsid w:val="00401483"/>
    <w:rsid w:val="00401882"/>
    <w:rsid w:val="0040278F"/>
    <w:rsid w:val="0040378C"/>
    <w:rsid w:val="004066DD"/>
    <w:rsid w:val="00406745"/>
    <w:rsid w:val="00407CC0"/>
    <w:rsid w:val="004100C8"/>
    <w:rsid w:val="004103C8"/>
    <w:rsid w:val="00410E82"/>
    <w:rsid w:val="00411216"/>
    <w:rsid w:val="00411625"/>
    <w:rsid w:val="00411B7F"/>
    <w:rsid w:val="00411DBD"/>
    <w:rsid w:val="00412ACE"/>
    <w:rsid w:val="00413762"/>
    <w:rsid w:val="00413DEA"/>
    <w:rsid w:val="00414565"/>
    <w:rsid w:val="004145D2"/>
    <w:rsid w:val="004149D7"/>
    <w:rsid w:val="00414A89"/>
    <w:rsid w:val="00415A34"/>
    <w:rsid w:val="00415F39"/>
    <w:rsid w:val="00416A16"/>
    <w:rsid w:val="00416B86"/>
    <w:rsid w:val="00420BDE"/>
    <w:rsid w:val="004210DC"/>
    <w:rsid w:val="00421541"/>
    <w:rsid w:val="004240C1"/>
    <w:rsid w:val="004248CC"/>
    <w:rsid w:val="004248E7"/>
    <w:rsid w:val="004251E6"/>
    <w:rsid w:val="004268C2"/>
    <w:rsid w:val="00426CB4"/>
    <w:rsid w:val="004272A8"/>
    <w:rsid w:val="0043099B"/>
    <w:rsid w:val="00430F4E"/>
    <w:rsid w:val="00431249"/>
    <w:rsid w:val="00431A10"/>
    <w:rsid w:val="00432495"/>
    <w:rsid w:val="004327E3"/>
    <w:rsid w:val="00433850"/>
    <w:rsid w:val="004338B5"/>
    <w:rsid w:val="00433C40"/>
    <w:rsid w:val="004340A3"/>
    <w:rsid w:val="00434C19"/>
    <w:rsid w:val="00443E30"/>
    <w:rsid w:val="00444B6B"/>
    <w:rsid w:val="00445E06"/>
    <w:rsid w:val="0044621A"/>
    <w:rsid w:val="0044635A"/>
    <w:rsid w:val="004465B7"/>
    <w:rsid w:val="004468C0"/>
    <w:rsid w:val="00446E37"/>
    <w:rsid w:val="00446E8B"/>
    <w:rsid w:val="00447C6A"/>
    <w:rsid w:val="00447F79"/>
    <w:rsid w:val="00450810"/>
    <w:rsid w:val="00450B82"/>
    <w:rsid w:val="004520B9"/>
    <w:rsid w:val="0045244F"/>
    <w:rsid w:val="00452F4C"/>
    <w:rsid w:val="00453059"/>
    <w:rsid w:val="0045371F"/>
    <w:rsid w:val="00454444"/>
    <w:rsid w:val="00455E58"/>
    <w:rsid w:val="004602DB"/>
    <w:rsid w:val="00461EB0"/>
    <w:rsid w:val="00464A66"/>
    <w:rsid w:val="00464D06"/>
    <w:rsid w:val="00465AAF"/>
    <w:rsid w:val="004677D4"/>
    <w:rsid w:val="00467C2B"/>
    <w:rsid w:val="00467C86"/>
    <w:rsid w:val="00470620"/>
    <w:rsid w:val="00470737"/>
    <w:rsid w:val="0047406D"/>
    <w:rsid w:val="004754A5"/>
    <w:rsid w:val="00475936"/>
    <w:rsid w:val="00476BEE"/>
    <w:rsid w:val="00477144"/>
    <w:rsid w:val="00482510"/>
    <w:rsid w:val="00482FCF"/>
    <w:rsid w:val="00483952"/>
    <w:rsid w:val="0048443C"/>
    <w:rsid w:val="00485AB6"/>
    <w:rsid w:val="00486C36"/>
    <w:rsid w:val="004878D1"/>
    <w:rsid w:val="004908C2"/>
    <w:rsid w:val="00490AC9"/>
    <w:rsid w:val="0049135B"/>
    <w:rsid w:val="00491380"/>
    <w:rsid w:val="004914FB"/>
    <w:rsid w:val="00492EA8"/>
    <w:rsid w:val="004932FE"/>
    <w:rsid w:val="00493E00"/>
    <w:rsid w:val="0049459F"/>
    <w:rsid w:val="00495F2E"/>
    <w:rsid w:val="0049657D"/>
    <w:rsid w:val="004971FE"/>
    <w:rsid w:val="004A037A"/>
    <w:rsid w:val="004A11C5"/>
    <w:rsid w:val="004A1893"/>
    <w:rsid w:val="004A1C58"/>
    <w:rsid w:val="004A38DD"/>
    <w:rsid w:val="004A3BD9"/>
    <w:rsid w:val="004A3F4D"/>
    <w:rsid w:val="004A42CF"/>
    <w:rsid w:val="004A68B4"/>
    <w:rsid w:val="004A7372"/>
    <w:rsid w:val="004A76E4"/>
    <w:rsid w:val="004B3121"/>
    <w:rsid w:val="004B43AE"/>
    <w:rsid w:val="004B4E6B"/>
    <w:rsid w:val="004B74D8"/>
    <w:rsid w:val="004C16D1"/>
    <w:rsid w:val="004C1FB1"/>
    <w:rsid w:val="004C229B"/>
    <w:rsid w:val="004C30ED"/>
    <w:rsid w:val="004C35B9"/>
    <w:rsid w:val="004C4548"/>
    <w:rsid w:val="004C6B6A"/>
    <w:rsid w:val="004C6FDF"/>
    <w:rsid w:val="004D10C7"/>
    <w:rsid w:val="004D1532"/>
    <w:rsid w:val="004D1579"/>
    <w:rsid w:val="004D5675"/>
    <w:rsid w:val="004D5911"/>
    <w:rsid w:val="004D5D07"/>
    <w:rsid w:val="004D6217"/>
    <w:rsid w:val="004D64BB"/>
    <w:rsid w:val="004D6C65"/>
    <w:rsid w:val="004E0523"/>
    <w:rsid w:val="004E12C9"/>
    <w:rsid w:val="004E3B00"/>
    <w:rsid w:val="004E4709"/>
    <w:rsid w:val="004E60A8"/>
    <w:rsid w:val="004F0381"/>
    <w:rsid w:val="004F132E"/>
    <w:rsid w:val="004F15B1"/>
    <w:rsid w:val="004F1789"/>
    <w:rsid w:val="004F22B6"/>
    <w:rsid w:val="004F5529"/>
    <w:rsid w:val="00500091"/>
    <w:rsid w:val="00500ABF"/>
    <w:rsid w:val="005021A8"/>
    <w:rsid w:val="00502F41"/>
    <w:rsid w:val="00503F2C"/>
    <w:rsid w:val="0050449B"/>
    <w:rsid w:val="0050481F"/>
    <w:rsid w:val="00505EDA"/>
    <w:rsid w:val="00511136"/>
    <w:rsid w:val="0051254A"/>
    <w:rsid w:val="00513AD6"/>
    <w:rsid w:val="00515C49"/>
    <w:rsid w:val="00516CE3"/>
    <w:rsid w:val="00517795"/>
    <w:rsid w:val="00520318"/>
    <w:rsid w:val="00521052"/>
    <w:rsid w:val="005230F8"/>
    <w:rsid w:val="00523639"/>
    <w:rsid w:val="0052407F"/>
    <w:rsid w:val="00524914"/>
    <w:rsid w:val="00524C3F"/>
    <w:rsid w:val="005268A3"/>
    <w:rsid w:val="00526B8F"/>
    <w:rsid w:val="00531FE5"/>
    <w:rsid w:val="00532E59"/>
    <w:rsid w:val="00533E16"/>
    <w:rsid w:val="00536A86"/>
    <w:rsid w:val="00537AAB"/>
    <w:rsid w:val="005400CF"/>
    <w:rsid w:val="005402FA"/>
    <w:rsid w:val="00540FC6"/>
    <w:rsid w:val="00541289"/>
    <w:rsid w:val="005412CC"/>
    <w:rsid w:val="005423C4"/>
    <w:rsid w:val="005432E1"/>
    <w:rsid w:val="00543DBB"/>
    <w:rsid w:val="005465E8"/>
    <w:rsid w:val="0054743E"/>
    <w:rsid w:val="005500BC"/>
    <w:rsid w:val="0055010B"/>
    <w:rsid w:val="00550E53"/>
    <w:rsid w:val="00552092"/>
    <w:rsid w:val="00552974"/>
    <w:rsid w:val="005539E6"/>
    <w:rsid w:val="00554D40"/>
    <w:rsid w:val="0055684F"/>
    <w:rsid w:val="005579C9"/>
    <w:rsid w:val="005579F2"/>
    <w:rsid w:val="00561671"/>
    <w:rsid w:val="00562124"/>
    <w:rsid w:val="00562581"/>
    <w:rsid w:val="00565DC6"/>
    <w:rsid w:val="00566B4F"/>
    <w:rsid w:val="005709BD"/>
    <w:rsid w:val="00570BAF"/>
    <w:rsid w:val="005729BD"/>
    <w:rsid w:val="005738D9"/>
    <w:rsid w:val="0057395A"/>
    <w:rsid w:val="00573C58"/>
    <w:rsid w:val="00582D5E"/>
    <w:rsid w:val="00583794"/>
    <w:rsid w:val="00583C39"/>
    <w:rsid w:val="00583FE8"/>
    <w:rsid w:val="00587F28"/>
    <w:rsid w:val="00590018"/>
    <w:rsid w:val="005909CF"/>
    <w:rsid w:val="00591E71"/>
    <w:rsid w:val="005920E8"/>
    <w:rsid w:val="005928FD"/>
    <w:rsid w:val="00594DA3"/>
    <w:rsid w:val="005963C6"/>
    <w:rsid w:val="005979A9"/>
    <w:rsid w:val="00597FFA"/>
    <w:rsid w:val="005A0D41"/>
    <w:rsid w:val="005A14B7"/>
    <w:rsid w:val="005A3DC0"/>
    <w:rsid w:val="005A47C4"/>
    <w:rsid w:val="005A547D"/>
    <w:rsid w:val="005A7F07"/>
    <w:rsid w:val="005B2BC7"/>
    <w:rsid w:val="005B38B6"/>
    <w:rsid w:val="005B4252"/>
    <w:rsid w:val="005B4653"/>
    <w:rsid w:val="005B64EC"/>
    <w:rsid w:val="005B766A"/>
    <w:rsid w:val="005C0783"/>
    <w:rsid w:val="005C1FC4"/>
    <w:rsid w:val="005C36D4"/>
    <w:rsid w:val="005C4190"/>
    <w:rsid w:val="005C4231"/>
    <w:rsid w:val="005C46B9"/>
    <w:rsid w:val="005C5E19"/>
    <w:rsid w:val="005C5FE0"/>
    <w:rsid w:val="005C7195"/>
    <w:rsid w:val="005C7512"/>
    <w:rsid w:val="005D019B"/>
    <w:rsid w:val="005D0390"/>
    <w:rsid w:val="005D04A4"/>
    <w:rsid w:val="005D04B3"/>
    <w:rsid w:val="005D31C1"/>
    <w:rsid w:val="005D324C"/>
    <w:rsid w:val="005D4538"/>
    <w:rsid w:val="005D48D7"/>
    <w:rsid w:val="005D5D6C"/>
    <w:rsid w:val="005D6FC7"/>
    <w:rsid w:val="005D795B"/>
    <w:rsid w:val="005E1E4D"/>
    <w:rsid w:val="005E292C"/>
    <w:rsid w:val="005E2DEC"/>
    <w:rsid w:val="005E3C33"/>
    <w:rsid w:val="005E4B6D"/>
    <w:rsid w:val="005E4D2A"/>
    <w:rsid w:val="005E5D55"/>
    <w:rsid w:val="005F38E4"/>
    <w:rsid w:val="005F3F50"/>
    <w:rsid w:val="005F4595"/>
    <w:rsid w:val="005F48ED"/>
    <w:rsid w:val="005F5909"/>
    <w:rsid w:val="0060062A"/>
    <w:rsid w:val="00602E8E"/>
    <w:rsid w:val="006039C0"/>
    <w:rsid w:val="006059D2"/>
    <w:rsid w:val="006060ED"/>
    <w:rsid w:val="00606E78"/>
    <w:rsid w:val="0060708E"/>
    <w:rsid w:val="00607BF1"/>
    <w:rsid w:val="00610651"/>
    <w:rsid w:val="006110A3"/>
    <w:rsid w:val="00611B64"/>
    <w:rsid w:val="0061291B"/>
    <w:rsid w:val="00613B77"/>
    <w:rsid w:val="00613D95"/>
    <w:rsid w:val="006147A5"/>
    <w:rsid w:val="00614AEE"/>
    <w:rsid w:val="00620BFC"/>
    <w:rsid w:val="00623854"/>
    <w:rsid w:val="006242F2"/>
    <w:rsid w:val="00624DE9"/>
    <w:rsid w:val="00626ED7"/>
    <w:rsid w:val="006271DB"/>
    <w:rsid w:val="00627E79"/>
    <w:rsid w:val="00630D4D"/>
    <w:rsid w:val="006310DD"/>
    <w:rsid w:val="006324C4"/>
    <w:rsid w:val="00632A74"/>
    <w:rsid w:val="006332CE"/>
    <w:rsid w:val="00635391"/>
    <w:rsid w:val="0063696F"/>
    <w:rsid w:val="00637527"/>
    <w:rsid w:val="00641FC8"/>
    <w:rsid w:val="00643154"/>
    <w:rsid w:val="006438D9"/>
    <w:rsid w:val="00644FEA"/>
    <w:rsid w:val="0064606D"/>
    <w:rsid w:val="00646BF2"/>
    <w:rsid w:val="00647BB6"/>
    <w:rsid w:val="00650566"/>
    <w:rsid w:val="006522A2"/>
    <w:rsid w:val="00652834"/>
    <w:rsid w:val="00654BB9"/>
    <w:rsid w:val="00654D42"/>
    <w:rsid w:val="00660EDF"/>
    <w:rsid w:val="0066364F"/>
    <w:rsid w:val="00663D51"/>
    <w:rsid w:val="006641E6"/>
    <w:rsid w:val="00664284"/>
    <w:rsid w:val="00664FF3"/>
    <w:rsid w:val="006676E6"/>
    <w:rsid w:val="00667736"/>
    <w:rsid w:val="0067017D"/>
    <w:rsid w:val="006701D3"/>
    <w:rsid w:val="006704D0"/>
    <w:rsid w:val="006709E9"/>
    <w:rsid w:val="0067128C"/>
    <w:rsid w:val="006721A3"/>
    <w:rsid w:val="00676BF7"/>
    <w:rsid w:val="0067729B"/>
    <w:rsid w:val="0067768D"/>
    <w:rsid w:val="00680587"/>
    <w:rsid w:val="00680E97"/>
    <w:rsid w:val="00680EEE"/>
    <w:rsid w:val="0068178F"/>
    <w:rsid w:val="0068293A"/>
    <w:rsid w:val="00684FBF"/>
    <w:rsid w:val="00685394"/>
    <w:rsid w:val="00685E89"/>
    <w:rsid w:val="00686C0B"/>
    <w:rsid w:val="00687D31"/>
    <w:rsid w:val="006908F9"/>
    <w:rsid w:val="00690D66"/>
    <w:rsid w:val="006916CC"/>
    <w:rsid w:val="00691C7C"/>
    <w:rsid w:val="00691D06"/>
    <w:rsid w:val="00692073"/>
    <w:rsid w:val="00693244"/>
    <w:rsid w:val="00695B56"/>
    <w:rsid w:val="00697F37"/>
    <w:rsid w:val="006A064C"/>
    <w:rsid w:val="006A3C58"/>
    <w:rsid w:val="006A4655"/>
    <w:rsid w:val="006A4DA8"/>
    <w:rsid w:val="006A526F"/>
    <w:rsid w:val="006A5544"/>
    <w:rsid w:val="006A5EE8"/>
    <w:rsid w:val="006A6112"/>
    <w:rsid w:val="006A693C"/>
    <w:rsid w:val="006A6C1A"/>
    <w:rsid w:val="006A6E14"/>
    <w:rsid w:val="006B0C81"/>
    <w:rsid w:val="006B10C5"/>
    <w:rsid w:val="006B182B"/>
    <w:rsid w:val="006B2B3C"/>
    <w:rsid w:val="006B78CD"/>
    <w:rsid w:val="006B7A74"/>
    <w:rsid w:val="006B7D14"/>
    <w:rsid w:val="006C1D81"/>
    <w:rsid w:val="006C4255"/>
    <w:rsid w:val="006C4610"/>
    <w:rsid w:val="006C4796"/>
    <w:rsid w:val="006C57AB"/>
    <w:rsid w:val="006C69FE"/>
    <w:rsid w:val="006C6AB0"/>
    <w:rsid w:val="006C7038"/>
    <w:rsid w:val="006D0354"/>
    <w:rsid w:val="006D6A54"/>
    <w:rsid w:val="006E0A7D"/>
    <w:rsid w:val="006E0FF9"/>
    <w:rsid w:val="006E419E"/>
    <w:rsid w:val="006E4413"/>
    <w:rsid w:val="006E463F"/>
    <w:rsid w:val="006E4CA9"/>
    <w:rsid w:val="006E71AF"/>
    <w:rsid w:val="006E727A"/>
    <w:rsid w:val="006E73B9"/>
    <w:rsid w:val="006E73EF"/>
    <w:rsid w:val="006E7E63"/>
    <w:rsid w:val="006F1773"/>
    <w:rsid w:val="006F2ECC"/>
    <w:rsid w:val="006F2FDF"/>
    <w:rsid w:val="006F3AA9"/>
    <w:rsid w:val="006F42C3"/>
    <w:rsid w:val="006F481F"/>
    <w:rsid w:val="006F7592"/>
    <w:rsid w:val="00700819"/>
    <w:rsid w:val="00700BA4"/>
    <w:rsid w:val="0070152B"/>
    <w:rsid w:val="00701EC6"/>
    <w:rsid w:val="00705DA5"/>
    <w:rsid w:val="0070655A"/>
    <w:rsid w:val="007068FC"/>
    <w:rsid w:val="00706C30"/>
    <w:rsid w:val="007071BD"/>
    <w:rsid w:val="00707829"/>
    <w:rsid w:val="007079C9"/>
    <w:rsid w:val="00712CAB"/>
    <w:rsid w:val="00713272"/>
    <w:rsid w:val="0071384B"/>
    <w:rsid w:val="0071491F"/>
    <w:rsid w:val="00714D4D"/>
    <w:rsid w:val="00715C7B"/>
    <w:rsid w:val="007164E9"/>
    <w:rsid w:val="00717D98"/>
    <w:rsid w:val="00720426"/>
    <w:rsid w:val="007210D2"/>
    <w:rsid w:val="00722E32"/>
    <w:rsid w:val="00723105"/>
    <w:rsid w:val="00723241"/>
    <w:rsid w:val="007242F7"/>
    <w:rsid w:val="00724B97"/>
    <w:rsid w:val="007254ED"/>
    <w:rsid w:val="00726006"/>
    <w:rsid w:val="007266D3"/>
    <w:rsid w:val="00727AC4"/>
    <w:rsid w:val="00730373"/>
    <w:rsid w:val="00730409"/>
    <w:rsid w:val="007315FF"/>
    <w:rsid w:val="00731725"/>
    <w:rsid w:val="00731A9A"/>
    <w:rsid w:val="00732029"/>
    <w:rsid w:val="0073317D"/>
    <w:rsid w:val="00733256"/>
    <w:rsid w:val="00733832"/>
    <w:rsid w:val="00736350"/>
    <w:rsid w:val="007369F4"/>
    <w:rsid w:val="0074082D"/>
    <w:rsid w:val="0074211C"/>
    <w:rsid w:val="007444C9"/>
    <w:rsid w:val="007450E2"/>
    <w:rsid w:val="007459B8"/>
    <w:rsid w:val="00745BF3"/>
    <w:rsid w:val="00750902"/>
    <w:rsid w:val="0075155E"/>
    <w:rsid w:val="00751E74"/>
    <w:rsid w:val="00753815"/>
    <w:rsid w:val="00753A67"/>
    <w:rsid w:val="00754E54"/>
    <w:rsid w:val="007553D6"/>
    <w:rsid w:val="00755419"/>
    <w:rsid w:val="00755CFF"/>
    <w:rsid w:val="007563C7"/>
    <w:rsid w:val="007604BB"/>
    <w:rsid w:val="0076167C"/>
    <w:rsid w:val="00762C95"/>
    <w:rsid w:val="00763C5C"/>
    <w:rsid w:val="00763F1F"/>
    <w:rsid w:val="007641FA"/>
    <w:rsid w:val="00765968"/>
    <w:rsid w:val="0077156E"/>
    <w:rsid w:val="007722F6"/>
    <w:rsid w:val="0077272F"/>
    <w:rsid w:val="00780C16"/>
    <w:rsid w:val="0078177B"/>
    <w:rsid w:val="00781FEF"/>
    <w:rsid w:val="007824A2"/>
    <w:rsid w:val="00784FAB"/>
    <w:rsid w:val="00785232"/>
    <w:rsid w:val="007868EF"/>
    <w:rsid w:val="00786E27"/>
    <w:rsid w:val="007901DB"/>
    <w:rsid w:val="007913C7"/>
    <w:rsid w:val="007913F4"/>
    <w:rsid w:val="0079701E"/>
    <w:rsid w:val="00797E01"/>
    <w:rsid w:val="007A19D5"/>
    <w:rsid w:val="007A1F56"/>
    <w:rsid w:val="007A21EB"/>
    <w:rsid w:val="007A3512"/>
    <w:rsid w:val="007A3561"/>
    <w:rsid w:val="007A36A7"/>
    <w:rsid w:val="007A546E"/>
    <w:rsid w:val="007A7950"/>
    <w:rsid w:val="007B0B90"/>
    <w:rsid w:val="007B1A93"/>
    <w:rsid w:val="007B22E8"/>
    <w:rsid w:val="007B2661"/>
    <w:rsid w:val="007B27A3"/>
    <w:rsid w:val="007B6B14"/>
    <w:rsid w:val="007B7CD4"/>
    <w:rsid w:val="007B7E17"/>
    <w:rsid w:val="007C2100"/>
    <w:rsid w:val="007C22AD"/>
    <w:rsid w:val="007C3133"/>
    <w:rsid w:val="007C31AC"/>
    <w:rsid w:val="007C36C9"/>
    <w:rsid w:val="007C40C9"/>
    <w:rsid w:val="007C4914"/>
    <w:rsid w:val="007C49B9"/>
    <w:rsid w:val="007C6CD7"/>
    <w:rsid w:val="007D3648"/>
    <w:rsid w:val="007D3A8A"/>
    <w:rsid w:val="007D4F13"/>
    <w:rsid w:val="007D5889"/>
    <w:rsid w:val="007D6401"/>
    <w:rsid w:val="007D6AF3"/>
    <w:rsid w:val="007D6C57"/>
    <w:rsid w:val="007D6FE1"/>
    <w:rsid w:val="007D7490"/>
    <w:rsid w:val="007D7F01"/>
    <w:rsid w:val="007E01E4"/>
    <w:rsid w:val="007E0726"/>
    <w:rsid w:val="007E5ED9"/>
    <w:rsid w:val="007E5FC0"/>
    <w:rsid w:val="007E7A12"/>
    <w:rsid w:val="007E7E60"/>
    <w:rsid w:val="007F47D6"/>
    <w:rsid w:val="007F7107"/>
    <w:rsid w:val="007F7E95"/>
    <w:rsid w:val="00800D4C"/>
    <w:rsid w:val="0080273F"/>
    <w:rsid w:val="008028A2"/>
    <w:rsid w:val="00802BD0"/>
    <w:rsid w:val="00802D6D"/>
    <w:rsid w:val="00803961"/>
    <w:rsid w:val="00805A2E"/>
    <w:rsid w:val="008076EE"/>
    <w:rsid w:val="00807FE6"/>
    <w:rsid w:val="0081030F"/>
    <w:rsid w:val="00811204"/>
    <w:rsid w:val="0081209C"/>
    <w:rsid w:val="00812F4A"/>
    <w:rsid w:val="008146D9"/>
    <w:rsid w:val="008156D6"/>
    <w:rsid w:val="008163D4"/>
    <w:rsid w:val="00820163"/>
    <w:rsid w:val="008204BF"/>
    <w:rsid w:val="0082087D"/>
    <w:rsid w:val="008218B1"/>
    <w:rsid w:val="00821A6F"/>
    <w:rsid w:val="00822050"/>
    <w:rsid w:val="008226C4"/>
    <w:rsid w:val="0082399F"/>
    <w:rsid w:val="00824A88"/>
    <w:rsid w:val="008257AD"/>
    <w:rsid w:val="00827268"/>
    <w:rsid w:val="00831F56"/>
    <w:rsid w:val="00831FA8"/>
    <w:rsid w:val="00831FFA"/>
    <w:rsid w:val="0083218A"/>
    <w:rsid w:val="00832386"/>
    <w:rsid w:val="00833A58"/>
    <w:rsid w:val="00835262"/>
    <w:rsid w:val="00835771"/>
    <w:rsid w:val="0083677A"/>
    <w:rsid w:val="00837ADD"/>
    <w:rsid w:val="00842933"/>
    <w:rsid w:val="00842BA8"/>
    <w:rsid w:val="0084335C"/>
    <w:rsid w:val="008435AD"/>
    <w:rsid w:val="0084474A"/>
    <w:rsid w:val="008447DF"/>
    <w:rsid w:val="00846412"/>
    <w:rsid w:val="008466E7"/>
    <w:rsid w:val="00846ADF"/>
    <w:rsid w:val="00852EA6"/>
    <w:rsid w:val="00855679"/>
    <w:rsid w:val="0086082C"/>
    <w:rsid w:val="00860AD6"/>
    <w:rsid w:val="00861C29"/>
    <w:rsid w:val="00861FD3"/>
    <w:rsid w:val="00862E51"/>
    <w:rsid w:val="008644BD"/>
    <w:rsid w:val="00864ADC"/>
    <w:rsid w:val="00866A9B"/>
    <w:rsid w:val="00866DD5"/>
    <w:rsid w:val="00867581"/>
    <w:rsid w:val="00874A6C"/>
    <w:rsid w:val="00880153"/>
    <w:rsid w:val="00880F97"/>
    <w:rsid w:val="0088133A"/>
    <w:rsid w:val="0088156C"/>
    <w:rsid w:val="00883E43"/>
    <w:rsid w:val="00883FF4"/>
    <w:rsid w:val="008851C1"/>
    <w:rsid w:val="00886612"/>
    <w:rsid w:val="0088675A"/>
    <w:rsid w:val="00887F6B"/>
    <w:rsid w:val="00891719"/>
    <w:rsid w:val="00892296"/>
    <w:rsid w:val="0089285E"/>
    <w:rsid w:val="008929F8"/>
    <w:rsid w:val="00892BC7"/>
    <w:rsid w:val="0089436C"/>
    <w:rsid w:val="00894C98"/>
    <w:rsid w:val="00894FCF"/>
    <w:rsid w:val="00895778"/>
    <w:rsid w:val="008957A0"/>
    <w:rsid w:val="00896098"/>
    <w:rsid w:val="0089696F"/>
    <w:rsid w:val="008A137B"/>
    <w:rsid w:val="008A2230"/>
    <w:rsid w:val="008A276E"/>
    <w:rsid w:val="008A33D6"/>
    <w:rsid w:val="008A5466"/>
    <w:rsid w:val="008A5D37"/>
    <w:rsid w:val="008B0098"/>
    <w:rsid w:val="008B3F27"/>
    <w:rsid w:val="008B7079"/>
    <w:rsid w:val="008C0A70"/>
    <w:rsid w:val="008C180F"/>
    <w:rsid w:val="008C20E0"/>
    <w:rsid w:val="008C447D"/>
    <w:rsid w:val="008C609E"/>
    <w:rsid w:val="008C644D"/>
    <w:rsid w:val="008C7AE7"/>
    <w:rsid w:val="008C7F7F"/>
    <w:rsid w:val="008D0B51"/>
    <w:rsid w:val="008D256C"/>
    <w:rsid w:val="008D365C"/>
    <w:rsid w:val="008D3FBC"/>
    <w:rsid w:val="008D4FE9"/>
    <w:rsid w:val="008D5E5A"/>
    <w:rsid w:val="008D6852"/>
    <w:rsid w:val="008D79FC"/>
    <w:rsid w:val="008E0848"/>
    <w:rsid w:val="008E1910"/>
    <w:rsid w:val="008E2726"/>
    <w:rsid w:val="008E37B7"/>
    <w:rsid w:val="008E474D"/>
    <w:rsid w:val="008E676C"/>
    <w:rsid w:val="008E6A7B"/>
    <w:rsid w:val="008E72C9"/>
    <w:rsid w:val="008E7834"/>
    <w:rsid w:val="008F0E23"/>
    <w:rsid w:val="008F152A"/>
    <w:rsid w:val="008F179D"/>
    <w:rsid w:val="008F3A79"/>
    <w:rsid w:val="008F614B"/>
    <w:rsid w:val="008F7926"/>
    <w:rsid w:val="00900518"/>
    <w:rsid w:val="00900A3A"/>
    <w:rsid w:val="0090183E"/>
    <w:rsid w:val="00901C0C"/>
    <w:rsid w:val="0090264C"/>
    <w:rsid w:val="00902DE8"/>
    <w:rsid w:val="009030BF"/>
    <w:rsid w:val="00903B52"/>
    <w:rsid w:val="00903E9B"/>
    <w:rsid w:val="0090530F"/>
    <w:rsid w:val="00905B9C"/>
    <w:rsid w:val="00905C96"/>
    <w:rsid w:val="00905CF3"/>
    <w:rsid w:val="00905F6B"/>
    <w:rsid w:val="00907CF1"/>
    <w:rsid w:val="0091032F"/>
    <w:rsid w:val="009118E6"/>
    <w:rsid w:val="00912311"/>
    <w:rsid w:val="009131B7"/>
    <w:rsid w:val="00914368"/>
    <w:rsid w:val="0091452A"/>
    <w:rsid w:val="00915593"/>
    <w:rsid w:val="00915CD8"/>
    <w:rsid w:val="009160FA"/>
    <w:rsid w:val="00916508"/>
    <w:rsid w:val="009175CD"/>
    <w:rsid w:val="00920C62"/>
    <w:rsid w:val="009216C1"/>
    <w:rsid w:val="00922C93"/>
    <w:rsid w:val="00924017"/>
    <w:rsid w:val="00924C75"/>
    <w:rsid w:val="00925367"/>
    <w:rsid w:val="00926A43"/>
    <w:rsid w:val="00926D85"/>
    <w:rsid w:val="00930869"/>
    <w:rsid w:val="00931076"/>
    <w:rsid w:val="00932EBD"/>
    <w:rsid w:val="00933901"/>
    <w:rsid w:val="009345D9"/>
    <w:rsid w:val="0093469E"/>
    <w:rsid w:val="00934B15"/>
    <w:rsid w:val="00934F21"/>
    <w:rsid w:val="00935A4B"/>
    <w:rsid w:val="00935E86"/>
    <w:rsid w:val="00936763"/>
    <w:rsid w:val="00937741"/>
    <w:rsid w:val="009379EF"/>
    <w:rsid w:val="00937FCB"/>
    <w:rsid w:val="00940871"/>
    <w:rsid w:val="00940C87"/>
    <w:rsid w:val="00940DF1"/>
    <w:rsid w:val="0094157A"/>
    <w:rsid w:val="00942228"/>
    <w:rsid w:val="009424DF"/>
    <w:rsid w:val="009426E7"/>
    <w:rsid w:val="00942B62"/>
    <w:rsid w:val="00945A20"/>
    <w:rsid w:val="0094670E"/>
    <w:rsid w:val="00946DEF"/>
    <w:rsid w:val="0094788A"/>
    <w:rsid w:val="00947EE6"/>
    <w:rsid w:val="0095323B"/>
    <w:rsid w:val="00953387"/>
    <w:rsid w:val="00954132"/>
    <w:rsid w:val="00956A0C"/>
    <w:rsid w:val="00956BD9"/>
    <w:rsid w:val="0096046F"/>
    <w:rsid w:val="0096137B"/>
    <w:rsid w:val="00962489"/>
    <w:rsid w:val="0096276C"/>
    <w:rsid w:val="009635BA"/>
    <w:rsid w:val="00963D5C"/>
    <w:rsid w:val="009643CF"/>
    <w:rsid w:val="009650A1"/>
    <w:rsid w:val="00965852"/>
    <w:rsid w:val="00967CD3"/>
    <w:rsid w:val="0097079E"/>
    <w:rsid w:val="009710FA"/>
    <w:rsid w:val="00971A41"/>
    <w:rsid w:val="0097291A"/>
    <w:rsid w:val="00972EB6"/>
    <w:rsid w:val="00973980"/>
    <w:rsid w:val="009765D8"/>
    <w:rsid w:val="009770EE"/>
    <w:rsid w:val="00982E58"/>
    <w:rsid w:val="0098438E"/>
    <w:rsid w:val="00986D73"/>
    <w:rsid w:val="00987183"/>
    <w:rsid w:val="009877CA"/>
    <w:rsid w:val="00987E26"/>
    <w:rsid w:val="00990C2C"/>
    <w:rsid w:val="00990EFF"/>
    <w:rsid w:val="009927A6"/>
    <w:rsid w:val="0099472B"/>
    <w:rsid w:val="00997D4F"/>
    <w:rsid w:val="00997DBE"/>
    <w:rsid w:val="009A22C6"/>
    <w:rsid w:val="009A2D93"/>
    <w:rsid w:val="009A40A3"/>
    <w:rsid w:val="009A4347"/>
    <w:rsid w:val="009A4896"/>
    <w:rsid w:val="009A4CE2"/>
    <w:rsid w:val="009A50E3"/>
    <w:rsid w:val="009A769C"/>
    <w:rsid w:val="009A7B7D"/>
    <w:rsid w:val="009A7E0A"/>
    <w:rsid w:val="009B0312"/>
    <w:rsid w:val="009B136D"/>
    <w:rsid w:val="009B2828"/>
    <w:rsid w:val="009B2BF5"/>
    <w:rsid w:val="009B3E9E"/>
    <w:rsid w:val="009B7124"/>
    <w:rsid w:val="009C00C3"/>
    <w:rsid w:val="009C072B"/>
    <w:rsid w:val="009C5F8C"/>
    <w:rsid w:val="009D0997"/>
    <w:rsid w:val="009D09CD"/>
    <w:rsid w:val="009D0F18"/>
    <w:rsid w:val="009D14BC"/>
    <w:rsid w:val="009D242B"/>
    <w:rsid w:val="009D24C1"/>
    <w:rsid w:val="009D24DD"/>
    <w:rsid w:val="009D286C"/>
    <w:rsid w:val="009D3489"/>
    <w:rsid w:val="009D5ECE"/>
    <w:rsid w:val="009E1844"/>
    <w:rsid w:val="009E2F12"/>
    <w:rsid w:val="009E30C5"/>
    <w:rsid w:val="009E325B"/>
    <w:rsid w:val="009E3BC8"/>
    <w:rsid w:val="009E42AE"/>
    <w:rsid w:val="009E700C"/>
    <w:rsid w:val="009E7781"/>
    <w:rsid w:val="009E7CA0"/>
    <w:rsid w:val="009F0D1B"/>
    <w:rsid w:val="009F0E84"/>
    <w:rsid w:val="009F1F7F"/>
    <w:rsid w:val="009F3E26"/>
    <w:rsid w:val="009F4B92"/>
    <w:rsid w:val="009F5143"/>
    <w:rsid w:val="009F5BBD"/>
    <w:rsid w:val="009F696D"/>
    <w:rsid w:val="009F6BC6"/>
    <w:rsid w:val="009F6FCD"/>
    <w:rsid w:val="009F733E"/>
    <w:rsid w:val="009F74EF"/>
    <w:rsid w:val="00A002E1"/>
    <w:rsid w:val="00A01212"/>
    <w:rsid w:val="00A01879"/>
    <w:rsid w:val="00A025C6"/>
    <w:rsid w:val="00A0409C"/>
    <w:rsid w:val="00A045EF"/>
    <w:rsid w:val="00A06254"/>
    <w:rsid w:val="00A0684B"/>
    <w:rsid w:val="00A07123"/>
    <w:rsid w:val="00A07872"/>
    <w:rsid w:val="00A07F61"/>
    <w:rsid w:val="00A1399B"/>
    <w:rsid w:val="00A13B07"/>
    <w:rsid w:val="00A140E8"/>
    <w:rsid w:val="00A14FFB"/>
    <w:rsid w:val="00A15D5A"/>
    <w:rsid w:val="00A16250"/>
    <w:rsid w:val="00A17328"/>
    <w:rsid w:val="00A178C0"/>
    <w:rsid w:val="00A21540"/>
    <w:rsid w:val="00A22A25"/>
    <w:rsid w:val="00A2352C"/>
    <w:rsid w:val="00A23A20"/>
    <w:rsid w:val="00A24443"/>
    <w:rsid w:val="00A2480A"/>
    <w:rsid w:val="00A24C8C"/>
    <w:rsid w:val="00A268B9"/>
    <w:rsid w:val="00A26D2C"/>
    <w:rsid w:val="00A26FEF"/>
    <w:rsid w:val="00A2703A"/>
    <w:rsid w:val="00A3110D"/>
    <w:rsid w:val="00A31486"/>
    <w:rsid w:val="00A31B0C"/>
    <w:rsid w:val="00A31C98"/>
    <w:rsid w:val="00A325D1"/>
    <w:rsid w:val="00A327D7"/>
    <w:rsid w:val="00A33DFF"/>
    <w:rsid w:val="00A35115"/>
    <w:rsid w:val="00A36A6C"/>
    <w:rsid w:val="00A36D9A"/>
    <w:rsid w:val="00A373F6"/>
    <w:rsid w:val="00A374AA"/>
    <w:rsid w:val="00A44D01"/>
    <w:rsid w:val="00A451F3"/>
    <w:rsid w:val="00A45841"/>
    <w:rsid w:val="00A4743B"/>
    <w:rsid w:val="00A47656"/>
    <w:rsid w:val="00A47914"/>
    <w:rsid w:val="00A51283"/>
    <w:rsid w:val="00A523DF"/>
    <w:rsid w:val="00A52F86"/>
    <w:rsid w:val="00A53A81"/>
    <w:rsid w:val="00A554AB"/>
    <w:rsid w:val="00A561C2"/>
    <w:rsid w:val="00A563FD"/>
    <w:rsid w:val="00A57062"/>
    <w:rsid w:val="00A572AB"/>
    <w:rsid w:val="00A6012E"/>
    <w:rsid w:val="00A60811"/>
    <w:rsid w:val="00A6151E"/>
    <w:rsid w:val="00A61858"/>
    <w:rsid w:val="00A630F4"/>
    <w:rsid w:val="00A64E68"/>
    <w:rsid w:val="00A654C0"/>
    <w:rsid w:val="00A668B9"/>
    <w:rsid w:val="00A67181"/>
    <w:rsid w:val="00A673D6"/>
    <w:rsid w:val="00A67781"/>
    <w:rsid w:val="00A70D70"/>
    <w:rsid w:val="00A7245D"/>
    <w:rsid w:val="00A73539"/>
    <w:rsid w:val="00A75659"/>
    <w:rsid w:val="00A761F9"/>
    <w:rsid w:val="00A76B31"/>
    <w:rsid w:val="00A80944"/>
    <w:rsid w:val="00A814D1"/>
    <w:rsid w:val="00A816E5"/>
    <w:rsid w:val="00A83958"/>
    <w:rsid w:val="00A840A4"/>
    <w:rsid w:val="00A84D79"/>
    <w:rsid w:val="00A869C2"/>
    <w:rsid w:val="00A90534"/>
    <w:rsid w:val="00A9078F"/>
    <w:rsid w:val="00A90991"/>
    <w:rsid w:val="00A92B53"/>
    <w:rsid w:val="00A94CF9"/>
    <w:rsid w:val="00A94FA6"/>
    <w:rsid w:val="00A959C4"/>
    <w:rsid w:val="00A95B1F"/>
    <w:rsid w:val="00A977AB"/>
    <w:rsid w:val="00AA134C"/>
    <w:rsid w:val="00AA4178"/>
    <w:rsid w:val="00AA49A0"/>
    <w:rsid w:val="00AA5082"/>
    <w:rsid w:val="00AA556A"/>
    <w:rsid w:val="00AA6710"/>
    <w:rsid w:val="00AA71A6"/>
    <w:rsid w:val="00AB0681"/>
    <w:rsid w:val="00AB27D8"/>
    <w:rsid w:val="00AB28CE"/>
    <w:rsid w:val="00AB5997"/>
    <w:rsid w:val="00AB6B54"/>
    <w:rsid w:val="00AC0605"/>
    <w:rsid w:val="00AC0CBA"/>
    <w:rsid w:val="00AC1C67"/>
    <w:rsid w:val="00AC7846"/>
    <w:rsid w:val="00AD0377"/>
    <w:rsid w:val="00AD08F0"/>
    <w:rsid w:val="00AD14CC"/>
    <w:rsid w:val="00AD1B54"/>
    <w:rsid w:val="00AD33AF"/>
    <w:rsid w:val="00AD520B"/>
    <w:rsid w:val="00AD5CC3"/>
    <w:rsid w:val="00AD5FB6"/>
    <w:rsid w:val="00AE055C"/>
    <w:rsid w:val="00AE1E78"/>
    <w:rsid w:val="00AE2236"/>
    <w:rsid w:val="00AE3986"/>
    <w:rsid w:val="00AE39AF"/>
    <w:rsid w:val="00AE3BCC"/>
    <w:rsid w:val="00AE6C77"/>
    <w:rsid w:val="00AE78AC"/>
    <w:rsid w:val="00AF004E"/>
    <w:rsid w:val="00AF12C3"/>
    <w:rsid w:val="00AF1B8E"/>
    <w:rsid w:val="00AF2895"/>
    <w:rsid w:val="00AF2EFE"/>
    <w:rsid w:val="00AF30B1"/>
    <w:rsid w:val="00AF4C1A"/>
    <w:rsid w:val="00AF69CA"/>
    <w:rsid w:val="00AF6C6A"/>
    <w:rsid w:val="00AF6F17"/>
    <w:rsid w:val="00AF74CD"/>
    <w:rsid w:val="00AF7F5E"/>
    <w:rsid w:val="00B00D74"/>
    <w:rsid w:val="00B05E9B"/>
    <w:rsid w:val="00B063B6"/>
    <w:rsid w:val="00B066E4"/>
    <w:rsid w:val="00B06FD9"/>
    <w:rsid w:val="00B112E7"/>
    <w:rsid w:val="00B11652"/>
    <w:rsid w:val="00B118A8"/>
    <w:rsid w:val="00B1367F"/>
    <w:rsid w:val="00B137D6"/>
    <w:rsid w:val="00B13EA7"/>
    <w:rsid w:val="00B157AE"/>
    <w:rsid w:val="00B15FE1"/>
    <w:rsid w:val="00B16F93"/>
    <w:rsid w:val="00B23C2F"/>
    <w:rsid w:val="00B23EE4"/>
    <w:rsid w:val="00B245BC"/>
    <w:rsid w:val="00B24755"/>
    <w:rsid w:val="00B259F1"/>
    <w:rsid w:val="00B25B9B"/>
    <w:rsid w:val="00B25D9A"/>
    <w:rsid w:val="00B269D9"/>
    <w:rsid w:val="00B27068"/>
    <w:rsid w:val="00B27381"/>
    <w:rsid w:val="00B27C90"/>
    <w:rsid w:val="00B3132A"/>
    <w:rsid w:val="00B32F96"/>
    <w:rsid w:val="00B334D0"/>
    <w:rsid w:val="00B35D3E"/>
    <w:rsid w:val="00B35FA2"/>
    <w:rsid w:val="00B4113B"/>
    <w:rsid w:val="00B425C3"/>
    <w:rsid w:val="00B440AD"/>
    <w:rsid w:val="00B44674"/>
    <w:rsid w:val="00B45D54"/>
    <w:rsid w:val="00B46615"/>
    <w:rsid w:val="00B46B72"/>
    <w:rsid w:val="00B46E6C"/>
    <w:rsid w:val="00B473E9"/>
    <w:rsid w:val="00B479BB"/>
    <w:rsid w:val="00B50722"/>
    <w:rsid w:val="00B51E14"/>
    <w:rsid w:val="00B51EFE"/>
    <w:rsid w:val="00B5268B"/>
    <w:rsid w:val="00B529C6"/>
    <w:rsid w:val="00B538AB"/>
    <w:rsid w:val="00B53E7E"/>
    <w:rsid w:val="00B56CB3"/>
    <w:rsid w:val="00B61247"/>
    <w:rsid w:val="00B62FD5"/>
    <w:rsid w:val="00B6342E"/>
    <w:rsid w:val="00B65B6E"/>
    <w:rsid w:val="00B66000"/>
    <w:rsid w:val="00B67269"/>
    <w:rsid w:val="00B7113F"/>
    <w:rsid w:val="00B72DF3"/>
    <w:rsid w:val="00B7406A"/>
    <w:rsid w:val="00B74193"/>
    <w:rsid w:val="00B7668B"/>
    <w:rsid w:val="00B76D1A"/>
    <w:rsid w:val="00B80A38"/>
    <w:rsid w:val="00B81133"/>
    <w:rsid w:val="00B8231E"/>
    <w:rsid w:val="00B82E48"/>
    <w:rsid w:val="00B83365"/>
    <w:rsid w:val="00B847C9"/>
    <w:rsid w:val="00B849D7"/>
    <w:rsid w:val="00B85920"/>
    <w:rsid w:val="00B85A0C"/>
    <w:rsid w:val="00B86FD7"/>
    <w:rsid w:val="00B87C8E"/>
    <w:rsid w:val="00B900CB"/>
    <w:rsid w:val="00B9043F"/>
    <w:rsid w:val="00B90646"/>
    <w:rsid w:val="00B917A9"/>
    <w:rsid w:val="00B91EA9"/>
    <w:rsid w:val="00B92AE2"/>
    <w:rsid w:val="00B95EBE"/>
    <w:rsid w:val="00BA1134"/>
    <w:rsid w:val="00BA2BCF"/>
    <w:rsid w:val="00BA4C12"/>
    <w:rsid w:val="00BA5B14"/>
    <w:rsid w:val="00BA73B6"/>
    <w:rsid w:val="00BA7E27"/>
    <w:rsid w:val="00BA7F82"/>
    <w:rsid w:val="00BB0250"/>
    <w:rsid w:val="00BB15BD"/>
    <w:rsid w:val="00BB2603"/>
    <w:rsid w:val="00BB27C3"/>
    <w:rsid w:val="00BB38B5"/>
    <w:rsid w:val="00BB3F38"/>
    <w:rsid w:val="00BB4FB2"/>
    <w:rsid w:val="00BB4FCD"/>
    <w:rsid w:val="00BB64ED"/>
    <w:rsid w:val="00BB6781"/>
    <w:rsid w:val="00BC04BD"/>
    <w:rsid w:val="00BC04E9"/>
    <w:rsid w:val="00BC13FB"/>
    <w:rsid w:val="00BC2199"/>
    <w:rsid w:val="00BC3DB0"/>
    <w:rsid w:val="00BC76AC"/>
    <w:rsid w:val="00BC7AD1"/>
    <w:rsid w:val="00BD0197"/>
    <w:rsid w:val="00BD13EA"/>
    <w:rsid w:val="00BD323A"/>
    <w:rsid w:val="00BD4F98"/>
    <w:rsid w:val="00BD6451"/>
    <w:rsid w:val="00BE061D"/>
    <w:rsid w:val="00BE1913"/>
    <w:rsid w:val="00BE3808"/>
    <w:rsid w:val="00BE3BBB"/>
    <w:rsid w:val="00BE464A"/>
    <w:rsid w:val="00BE5075"/>
    <w:rsid w:val="00BE5CBC"/>
    <w:rsid w:val="00BE60CD"/>
    <w:rsid w:val="00BE6A73"/>
    <w:rsid w:val="00BE71C6"/>
    <w:rsid w:val="00BE73C6"/>
    <w:rsid w:val="00BF0159"/>
    <w:rsid w:val="00BF2A38"/>
    <w:rsid w:val="00BF31D7"/>
    <w:rsid w:val="00BF5330"/>
    <w:rsid w:val="00C00895"/>
    <w:rsid w:val="00C00FC1"/>
    <w:rsid w:val="00C02C06"/>
    <w:rsid w:val="00C02FCF"/>
    <w:rsid w:val="00C04191"/>
    <w:rsid w:val="00C051B3"/>
    <w:rsid w:val="00C05FC2"/>
    <w:rsid w:val="00C062E9"/>
    <w:rsid w:val="00C066D0"/>
    <w:rsid w:val="00C06864"/>
    <w:rsid w:val="00C07B64"/>
    <w:rsid w:val="00C07F78"/>
    <w:rsid w:val="00C111CB"/>
    <w:rsid w:val="00C11AF5"/>
    <w:rsid w:val="00C13318"/>
    <w:rsid w:val="00C13721"/>
    <w:rsid w:val="00C14FE4"/>
    <w:rsid w:val="00C15D8F"/>
    <w:rsid w:val="00C169E2"/>
    <w:rsid w:val="00C170A6"/>
    <w:rsid w:val="00C20ADE"/>
    <w:rsid w:val="00C21F68"/>
    <w:rsid w:val="00C23E42"/>
    <w:rsid w:val="00C245F1"/>
    <w:rsid w:val="00C2490A"/>
    <w:rsid w:val="00C24C7B"/>
    <w:rsid w:val="00C26E80"/>
    <w:rsid w:val="00C3066D"/>
    <w:rsid w:val="00C30788"/>
    <w:rsid w:val="00C3162B"/>
    <w:rsid w:val="00C32CEE"/>
    <w:rsid w:val="00C34921"/>
    <w:rsid w:val="00C353E5"/>
    <w:rsid w:val="00C35969"/>
    <w:rsid w:val="00C35E20"/>
    <w:rsid w:val="00C408FD"/>
    <w:rsid w:val="00C42D1B"/>
    <w:rsid w:val="00C45270"/>
    <w:rsid w:val="00C453F1"/>
    <w:rsid w:val="00C51795"/>
    <w:rsid w:val="00C52416"/>
    <w:rsid w:val="00C53FBE"/>
    <w:rsid w:val="00C543F4"/>
    <w:rsid w:val="00C61C57"/>
    <w:rsid w:val="00C61D6C"/>
    <w:rsid w:val="00C6291C"/>
    <w:rsid w:val="00C6329E"/>
    <w:rsid w:val="00C633CB"/>
    <w:rsid w:val="00C6426E"/>
    <w:rsid w:val="00C654EA"/>
    <w:rsid w:val="00C65BEE"/>
    <w:rsid w:val="00C664CD"/>
    <w:rsid w:val="00C67186"/>
    <w:rsid w:val="00C705B9"/>
    <w:rsid w:val="00C71056"/>
    <w:rsid w:val="00C7178F"/>
    <w:rsid w:val="00C72123"/>
    <w:rsid w:val="00C721A7"/>
    <w:rsid w:val="00C736B7"/>
    <w:rsid w:val="00C738C7"/>
    <w:rsid w:val="00C74FF9"/>
    <w:rsid w:val="00C7562B"/>
    <w:rsid w:val="00C7777E"/>
    <w:rsid w:val="00C77B21"/>
    <w:rsid w:val="00C81D4A"/>
    <w:rsid w:val="00C82063"/>
    <w:rsid w:val="00C8242C"/>
    <w:rsid w:val="00C83DFE"/>
    <w:rsid w:val="00C848D6"/>
    <w:rsid w:val="00C8554F"/>
    <w:rsid w:val="00C869EA"/>
    <w:rsid w:val="00C8762C"/>
    <w:rsid w:val="00C91162"/>
    <w:rsid w:val="00C9151E"/>
    <w:rsid w:val="00C9294E"/>
    <w:rsid w:val="00C936C2"/>
    <w:rsid w:val="00C93EA5"/>
    <w:rsid w:val="00C955AB"/>
    <w:rsid w:val="00C9570A"/>
    <w:rsid w:val="00C960C2"/>
    <w:rsid w:val="00C9684E"/>
    <w:rsid w:val="00C96CB1"/>
    <w:rsid w:val="00CA00F9"/>
    <w:rsid w:val="00CA0AEC"/>
    <w:rsid w:val="00CA0F67"/>
    <w:rsid w:val="00CA106D"/>
    <w:rsid w:val="00CA10F7"/>
    <w:rsid w:val="00CA249E"/>
    <w:rsid w:val="00CA2961"/>
    <w:rsid w:val="00CA3FF7"/>
    <w:rsid w:val="00CA6394"/>
    <w:rsid w:val="00CB228B"/>
    <w:rsid w:val="00CB4F01"/>
    <w:rsid w:val="00CB50D7"/>
    <w:rsid w:val="00CB6A3E"/>
    <w:rsid w:val="00CB6FA5"/>
    <w:rsid w:val="00CB7177"/>
    <w:rsid w:val="00CB7CED"/>
    <w:rsid w:val="00CC070F"/>
    <w:rsid w:val="00CC1998"/>
    <w:rsid w:val="00CC2ABA"/>
    <w:rsid w:val="00CC3C0C"/>
    <w:rsid w:val="00CC3F16"/>
    <w:rsid w:val="00CC4946"/>
    <w:rsid w:val="00CC558D"/>
    <w:rsid w:val="00CC60C2"/>
    <w:rsid w:val="00CC64A1"/>
    <w:rsid w:val="00CC6512"/>
    <w:rsid w:val="00CC70DC"/>
    <w:rsid w:val="00CD033E"/>
    <w:rsid w:val="00CD2700"/>
    <w:rsid w:val="00CD352F"/>
    <w:rsid w:val="00CD41C3"/>
    <w:rsid w:val="00CD4994"/>
    <w:rsid w:val="00CD4998"/>
    <w:rsid w:val="00CD5953"/>
    <w:rsid w:val="00CD59D9"/>
    <w:rsid w:val="00CD63C2"/>
    <w:rsid w:val="00CD65BA"/>
    <w:rsid w:val="00CD6D8A"/>
    <w:rsid w:val="00CD7A4E"/>
    <w:rsid w:val="00CE0A13"/>
    <w:rsid w:val="00CE1087"/>
    <w:rsid w:val="00CE2DC4"/>
    <w:rsid w:val="00CE3748"/>
    <w:rsid w:val="00CE580D"/>
    <w:rsid w:val="00CE5A67"/>
    <w:rsid w:val="00CF07C1"/>
    <w:rsid w:val="00CF187F"/>
    <w:rsid w:val="00CF3B11"/>
    <w:rsid w:val="00CF695C"/>
    <w:rsid w:val="00D01BB3"/>
    <w:rsid w:val="00D02383"/>
    <w:rsid w:val="00D0272B"/>
    <w:rsid w:val="00D027D4"/>
    <w:rsid w:val="00D03082"/>
    <w:rsid w:val="00D033B2"/>
    <w:rsid w:val="00D06446"/>
    <w:rsid w:val="00D10670"/>
    <w:rsid w:val="00D109CC"/>
    <w:rsid w:val="00D11747"/>
    <w:rsid w:val="00D14230"/>
    <w:rsid w:val="00D14674"/>
    <w:rsid w:val="00D14C4F"/>
    <w:rsid w:val="00D150BF"/>
    <w:rsid w:val="00D15839"/>
    <w:rsid w:val="00D212AB"/>
    <w:rsid w:val="00D246C9"/>
    <w:rsid w:val="00D25E82"/>
    <w:rsid w:val="00D25FE9"/>
    <w:rsid w:val="00D270A4"/>
    <w:rsid w:val="00D3060B"/>
    <w:rsid w:val="00D30C1D"/>
    <w:rsid w:val="00D30CF0"/>
    <w:rsid w:val="00D31FE9"/>
    <w:rsid w:val="00D33D97"/>
    <w:rsid w:val="00D3411D"/>
    <w:rsid w:val="00D34406"/>
    <w:rsid w:val="00D34E1B"/>
    <w:rsid w:val="00D36034"/>
    <w:rsid w:val="00D376BA"/>
    <w:rsid w:val="00D37768"/>
    <w:rsid w:val="00D37963"/>
    <w:rsid w:val="00D40FD1"/>
    <w:rsid w:val="00D41725"/>
    <w:rsid w:val="00D41DCE"/>
    <w:rsid w:val="00D42840"/>
    <w:rsid w:val="00D433AC"/>
    <w:rsid w:val="00D44C06"/>
    <w:rsid w:val="00D44E4C"/>
    <w:rsid w:val="00D4550C"/>
    <w:rsid w:val="00D45634"/>
    <w:rsid w:val="00D479A9"/>
    <w:rsid w:val="00D50308"/>
    <w:rsid w:val="00D5121A"/>
    <w:rsid w:val="00D51C07"/>
    <w:rsid w:val="00D53E31"/>
    <w:rsid w:val="00D546F8"/>
    <w:rsid w:val="00D54F14"/>
    <w:rsid w:val="00D5568A"/>
    <w:rsid w:val="00D55A6D"/>
    <w:rsid w:val="00D55C76"/>
    <w:rsid w:val="00D561B3"/>
    <w:rsid w:val="00D57849"/>
    <w:rsid w:val="00D57AE5"/>
    <w:rsid w:val="00D57C4F"/>
    <w:rsid w:val="00D57C99"/>
    <w:rsid w:val="00D617C3"/>
    <w:rsid w:val="00D637CF"/>
    <w:rsid w:val="00D63906"/>
    <w:rsid w:val="00D63BC8"/>
    <w:rsid w:val="00D63D73"/>
    <w:rsid w:val="00D64452"/>
    <w:rsid w:val="00D65CAD"/>
    <w:rsid w:val="00D65DEE"/>
    <w:rsid w:val="00D66E1E"/>
    <w:rsid w:val="00D67389"/>
    <w:rsid w:val="00D674EF"/>
    <w:rsid w:val="00D6755A"/>
    <w:rsid w:val="00D70377"/>
    <w:rsid w:val="00D70696"/>
    <w:rsid w:val="00D7102C"/>
    <w:rsid w:val="00D71E00"/>
    <w:rsid w:val="00D72B52"/>
    <w:rsid w:val="00D72B65"/>
    <w:rsid w:val="00D731DE"/>
    <w:rsid w:val="00D73526"/>
    <w:rsid w:val="00D7352B"/>
    <w:rsid w:val="00D74CA3"/>
    <w:rsid w:val="00D75722"/>
    <w:rsid w:val="00D761EA"/>
    <w:rsid w:val="00D765A6"/>
    <w:rsid w:val="00D80CF5"/>
    <w:rsid w:val="00D843CA"/>
    <w:rsid w:val="00D86C45"/>
    <w:rsid w:val="00D95125"/>
    <w:rsid w:val="00D95F8B"/>
    <w:rsid w:val="00DA1D04"/>
    <w:rsid w:val="00DA31B9"/>
    <w:rsid w:val="00DA3EB4"/>
    <w:rsid w:val="00DA4355"/>
    <w:rsid w:val="00DA523A"/>
    <w:rsid w:val="00DA5BBA"/>
    <w:rsid w:val="00DA73CD"/>
    <w:rsid w:val="00DA7A80"/>
    <w:rsid w:val="00DB012E"/>
    <w:rsid w:val="00DB022B"/>
    <w:rsid w:val="00DB05A6"/>
    <w:rsid w:val="00DB06CC"/>
    <w:rsid w:val="00DB0DB9"/>
    <w:rsid w:val="00DB1265"/>
    <w:rsid w:val="00DB1C54"/>
    <w:rsid w:val="00DB21DA"/>
    <w:rsid w:val="00DB26D2"/>
    <w:rsid w:val="00DB2AE0"/>
    <w:rsid w:val="00DB2FF4"/>
    <w:rsid w:val="00DB3371"/>
    <w:rsid w:val="00DB3390"/>
    <w:rsid w:val="00DB421F"/>
    <w:rsid w:val="00DB4E3A"/>
    <w:rsid w:val="00DB67C9"/>
    <w:rsid w:val="00DB6FBD"/>
    <w:rsid w:val="00DB73EE"/>
    <w:rsid w:val="00DB74F4"/>
    <w:rsid w:val="00DC0C0D"/>
    <w:rsid w:val="00DC0C95"/>
    <w:rsid w:val="00DC2949"/>
    <w:rsid w:val="00DC2A3F"/>
    <w:rsid w:val="00DC3441"/>
    <w:rsid w:val="00DD234F"/>
    <w:rsid w:val="00DD2B2A"/>
    <w:rsid w:val="00DD2CC4"/>
    <w:rsid w:val="00DD473C"/>
    <w:rsid w:val="00DD6580"/>
    <w:rsid w:val="00DD7316"/>
    <w:rsid w:val="00DE1E18"/>
    <w:rsid w:val="00DE253E"/>
    <w:rsid w:val="00DE3DC7"/>
    <w:rsid w:val="00DE4D59"/>
    <w:rsid w:val="00DE5403"/>
    <w:rsid w:val="00DE54AA"/>
    <w:rsid w:val="00DF2193"/>
    <w:rsid w:val="00DF35DB"/>
    <w:rsid w:val="00DF4B20"/>
    <w:rsid w:val="00DF4FB1"/>
    <w:rsid w:val="00DF5477"/>
    <w:rsid w:val="00DF55C1"/>
    <w:rsid w:val="00DF6C5D"/>
    <w:rsid w:val="00DF7F29"/>
    <w:rsid w:val="00E00B32"/>
    <w:rsid w:val="00E01D7F"/>
    <w:rsid w:val="00E051F6"/>
    <w:rsid w:val="00E056A0"/>
    <w:rsid w:val="00E071EF"/>
    <w:rsid w:val="00E10CEF"/>
    <w:rsid w:val="00E11348"/>
    <w:rsid w:val="00E15103"/>
    <w:rsid w:val="00E15A51"/>
    <w:rsid w:val="00E17C72"/>
    <w:rsid w:val="00E21FC6"/>
    <w:rsid w:val="00E225DB"/>
    <w:rsid w:val="00E22F61"/>
    <w:rsid w:val="00E235CF"/>
    <w:rsid w:val="00E23812"/>
    <w:rsid w:val="00E24931"/>
    <w:rsid w:val="00E24943"/>
    <w:rsid w:val="00E25837"/>
    <w:rsid w:val="00E2636A"/>
    <w:rsid w:val="00E266C5"/>
    <w:rsid w:val="00E303F4"/>
    <w:rsid w:val="00E3074F"/>
    <w:rsid w:val="00E323BB"/>
    <w:rsid w:val="00E32F75"/>
    <w:rsid w:val="00E338AE"/>
    <w:rsid w:val="00E375F6"/>
    <w:rsid w:val="00E37790"/>
    <w:rsid w:val="00E4019E"/>
    <w:rsid w:val="00E402CA"/>
    <w:rsid w:val="00E431A9"/>
    <w:rsid w:val="00E443E2"/>
    <w:rsid w:val="00E4496A"/>
    <w:rsid w:val="00E45840"/>
    <w:rsid w:val="00E460E3"/>
    <w:rsid w:val="00E47E32"/>
    <w:rsid w:val="00E51406"/>
    <w:rsid w:val="00E5178C"/>
    <w:rsid w:val="00E54388"/>
    <w:rsid w:val="00E5526D"/>
    <w:rsid w:val="00E55E38"/>
    <w:rsid w:val="00E570E6"/>
    <w:rsid w:val="00E57C9D"/>
    <w:rsid w:val="00E57F05"/>
    <w:rsid w:val="00E60A55"/>
    <w:rsid w:val="00E60EEC"/>
    <w:rsid w:val="00E61868"/>
    <w:rsid w:val="00E61E5C"/>
    <w:rsid w:val="00E64FB2"/>
    <w:rsid w:val="00E65129"/>
    <w:rsid w:val="00E669E2"/>
    <w:rsid w:val="00E718D4"/>
    <w:rsid w:val="00E71941"/>
    <w:rsid w:val="00E73277"/>
    <w:rsid w:val="00E76135"/>
    <w:rsid w:val="00E774E8"/>
    <w:rsid w:val="00E82ACD"/>
    <w:rsid w:val="00E82F4F"/>
    <w:rsid w:val="00E8340B"/>
    <w:rsid w:val="00E84D55"/>
    <w:rsid w:val="00E864DF"/>
    <w:rsid w:val="00E87EA9"/>
    <w:rsid w:val="00E911D8"/>
    <w:rsid w:val="00E93EF7"/>
    <w:rsid w:val="00E94A3C"/>
    <w:rsid w:val="00E97391"/>
    <w:rsid w:val="00E97639"/>
    <w:rsid w:val="00EA1AFA"/>
    <w:rsid w:val="00EA1C88"/>
    <w:rsid w:val="00EA20F9"/>
    <w:rsid w:val="00EA2F91"/>
    <w:rsid w:val="00EA3CFC"/>
    <w:rsid w:val="00EA3F34"/>
    <w:rsid w:val="00EA448E"/>
    <w:rsid w:val="00EA48B5"/>
    <w:rsid w:val="00EA552C"/>
    <w:rsid w:val="00EA62AB"/>
    <w:rsid w:val="00EA76B3"/>
    <w:rsid w:val="00EB057A"/>
    <w:rsid w:val="00EB6630"/>
    <w:rsid w:val="00EB6914"/>
    <w:rsid w:val="00EC091A"/>
    <w:rsid w:val="00EC0A05"/>
    <w:rsid w:val="00EC2844"/>
    <w:rsid w:val="00EC4C8E"/>
    <w:rsid w:val="00EC5500"/>
    <w:rsid w:val="00EC7D4F"/>
    <w:rsid w:val="00ED1277"/>
    <w:rsid w:val="00ED1286"/>
    <w:rsid w:val="00ED18F8"/>
    <w:rsid w:val="00ED1AC9"/>
    <w:rsid w:val="00ED2085"/>
    <w:rsid w:val="00ED255A"/>
    <w:rsid w:val="00ED3577"/>
    <w:rsid w:val="00ED3FBA"/>
    <w:rsid w:val="00ED5E73"/>
    <w:rsid w:val="00EE00DE"/>
    <w:rsid w:val="00EE293E"/>
    <w:rsid w:val="00EE3CC7"/>
    <w:rsid w:val="00EE6BB6"/>
    <w:rsid w:val="00EE6D59"/>
    <w:rsid w:val="00EE6EDA"/>
    <w:rsid w:val="00EF21EB"/>
    <w:rsid w:val="00EF4AA5"/>
    <w:rsid w:val="00EF593F"/>
    <w:rsid w:val="00EF6C6C"/>
    <w:rsid w:val="00EF70FB"/>
    <w:rsid w:val="00EF7153"/>
    <w:rsid w:val="00EF72BB"/>
    <w:rsid w:val="00EF77C3"/>
    <w:rsid w:val="00F0018A"/>
    <w:rsid w:val="00F01637"/>
    <w:rsid w:val="00F0319B"/>
    <w:rsid w:val="00F032A3"/>
    <w:rsid w:val="00F0365A"/>
    <w:rsid w:val="00F056FB"/>
    <w:rsid w:val="00F056FC"/>
    <w:rsid w:val="00F0632F"/>
    <w:rsid w:val="00F069AE"/>
    <w:rsid w:val="00F10476"/>
    <w:rsid w:val="00F114A5"/>
    <w:rsid w:val="00F12379"/>
    <w:rsid w:val="00F135D8"/>
    <w:rsid w:val="00F13C18"/>
    <w:rsid w:val="00F14268"/>
    <w:rsid w:val="00F145DB"/>
    <w:rsid w:val="00F172E1"/>
    <w:rsid w:val="00F17343"/>
    <w:rsid w:val="00F20DEE"/>
    <w:rsid w:val="00F210C5"/>
    <w:rsid w:val="00F217F6"/>
    <w:rsid w:val="00F2189F"/>
    <w:rsid w:val="00F2192A"/>
    <w:rsid w:val="00F23B1A"/>
    <w:rsid w:val="00F248BB"/>
    <w:rsid w:val="00F27691"/>
    <w:rsid w:val="00F27B58"/>
    <w:rsid w:val="00F30998"/>
    <w:rsid w:val="00F31299"/>
    <w:rsid w:val="00F31A82"/>
    <w:rsid w:val="00F31C62"/>
    <w:rsid w:val="00F31FD0"/>
    <w:rsid w:val="00F32F91"/>
    <w:rsid w:val="00F33C03"/>
    <w:rsid w:val="00F3534A"/>
    <w:rsid w:val="00F35F79"/>
    <w:rsid w:val="00F41062"/>
    <w:rsid w:val="00F42B8F"/>
    <w:rsid w:val="00F42CC3"/>
    <w:rsid w:val="00F456D6"/>
    <w:rsid w:val="00F45D3A"/>
    <w:rsid w:val="00F46504"/>
    <w:rsid w:val="00F4794F"/>
    <w:rsid w:val="00F50289"/>
    <w:rsid w:val="00F50F0B"/>
    <w:rsid w:val="00F51609"/>
    <w:rsid w:val="00F53922"/>
    <w:rsid w:val="00F53CB8"/>
    <w:rsid w:val="00F54A9A"/>
    <w:rsid w:val="00F55C25"/>
    <w:rsid w:val="00F578AE"/>
    <w:rsid w:val="00F617E0"/>
    <w:rsid w:val="00F61D43"/>
    <w:rsid w:val="00F63396"/>
    <w:rsid w:val="00F65DA0"/>
    <w:rsid w:val="00F6643F"/>
    <w:rsid w:val="00F67476"/>
    <w:rsid w:val="00F7039C"/>
    <w:rsid w:val="00F70DE8"/>
    <w:rsid w:val="00F74C97"/>
    <w:rsid w:val="00F7562A"/>
    <w:rsid w:val="00F766A7"/>
    <w:rsid w:val="00F767C6"/>
    <w:rsid w:val="00F808E8"/>
    <w:rsid w:val="00F80F1D"/>
    <w:rsid w:val="00F81006"/>
    <w:rsid w:val="00F85325"/>
    <w:rsid w:val="00F85A6D"/>
    <w:rsid w:val="00F85B17"/>
    <w:rsid w:val="00F86E78"/>
    <w:rsid w:val="00F870B9"/>
    <w:rsid w:val="00F872EC"/>
    <w:rsid w:val="00F87615"/>
    <w:rsid w:val="00F90FF9"/>
    <w:rsid w:val="00F9134F"/>
    <w:rsid w:val="00F92451"/>
    <w:rsid w:val="00F93693"/>
    <w:rsid w:val="00F94061"/>
    <w:rsid w:val="00F94604"/>
    <w:rsid w:val="00FA1505"/>
    <w:rsid w:val="00FA2285"/>
    <w:rsid w:val="00FA28F5"/>
    <w:rsid w:val="00FA44DF"/>
    <w:rsid w:val="00FA5029"/>
    <w:rsid w:val="00FA5073"/>
    <w:rsid w:val="00FA5E76"/>
    <w:rsid w:val="00FA6D33"/>
    <w:rsid w:val="00FB0186"/>
    <w:rsid w:val="00FB0311"/>
    <w:rsid w:val="00FB20A0"/>
    <w:rsid w:val="00FB2611"/>
    <w:rsid w:val="00FB2917"/>
    <w:rsid w:val="00FB3B03"/>
    <w:rsid w:val="00FB4284"/>
    <w:rsid w:val="00FB7496"/>
    <w:rsid w:val="00FC1374"/>
    <w:rsid w:val="00FC1734"/>
    <w:rsid w:val="00FC1C2C"/>
    <w:rsid w:val="00FC2722"/>
    <w:rsid w:val="00FC4FDD"/>
    <w:rsid w:val="00FC6539"/>
    <w:rsid w:val="00FC7E47"/>
    <w:rsid w:val="00FD22B1"/>
    <w:rsid w:val="00FD3142"/>
    <w:rsid w:val="00FD33F1"/>
    <w:rsid w:val="00FD3566"/>
    <w:rsid w:val="00FD3EFC"/>
    <w:rsid w:val="00FD4AED"/>
    <w:rsid w:val="00FD63EA"/>
    <w:rsid w:val="00FE09D9"/>
    <w:rsid w:val="00FE2C6C"/>
    <w:rsid w:val="00FE48A7"/>
    <w:rsid w:val="00FE4A4B"/>
    <w:rsid w:val="00FE5397"/>
    <w:rsid w:val="00FF0610"/>
    <w:rsid w:val="00FF0ADA"/>
    <w:rsid w:val="00FF1389"/>
    <w:rsid w:val="00FF2D30"/>
    <w:rsid w:val="00FF4079"/>
    <w:rsid w:val="00FF5307"/>
    <w:rsid w:val="00FF5599"/>
    <w:rsid w:val="00FF5AC4"/>
    <w:rsid w:val="00FF5ACD"/>
    <w:rsid w:val="00FF5B7C"/>
    <w:rsid w:val="00FF7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15:docId w15:val="{8A7EDB99-2E52-439E-BF61-64B7A7CC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9AE"/>
    <w:rPr>
      <w:sz w:val="26"/>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qFormat/>
    <w:rsid w:val="00812F4A"/>
    <w:pPr>
      <w:numPr>
        <w:numId w:val="3"/>
      </w:numPr>
      <w:spacing w:before="120"/>
    </w:pPr>
  </w:style>
  <w:style w:type="paragraph" w:styleId="ListBullet2">
    <w:name w:val="List Bullet 2"/>
    <w:basedOn w:val="BodyText"/>
    <w:qForma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000000"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styleId="CommentSubject">
    <w:name w:val="annotation subject"/>
    <w:basedOn w:val="CommentText"/>
    <w:next w:val="CommentText"/>
    <w:link w:val="CommentSubjectChar"/>
    <w:semiHidden/>
    <w:unhideWhenUsed/>
    <w:rsid w:val="00920C62"/>
    <w:pPr>
      <w:spacing w:before="0" w:line="240" w:lineRule="auto"/>
      <w:ind w:left="0" w:firstLine="0"/>
    </w:pPr>
    <w:rPr>
      <w:b/>
      <w:bCs/>
    </w:rPr>
  </w:style>
  <w:style w:type="character" w:customStyle="1" w:styleId="CommentSubjectChar">
    <w:name w:val="Comment Subject Char"/>
    <w:basedOn w:val="CommentTextChar"/>
    <w:link w:val="CommentSubject"/>
    <w:semiHidden/>
    <w:rsid w:val="00920C62"/>
    <w:rPr>
      <w:b/>
      <w:bCs/>
      <w:lang w:eastAsia="en-US"/>
    </w:rPr>
  </w:style>
  <w:style w:type="paragraph" w:customStyle="1" w:styleId="BoxSpaceAboveElement">
    <w:name w:val="Box Space Above Element"/>
    <w:basedOn w:val="BoxSpaceAbove"/>
    <w:link w:val="BoxSpaceAboveElementChar"/>
    <w:qFormat/>
    <w:rsid w:val="00F12379"/>
    <w:pPr>
      <w:spacing w:before="240"/>
    </w:pPr>
    <w:rPr>
      <w:b/>
      <w:vanish/>
      <w:color w:val="FF00FF"/>
      <w:sz w:val="14"/>
    </w:rPr>
  </w:style>
  <w:style w:type="character" w:customStyle="1" w:styleId="BoxSpaceAboveElementChar">
    <w:name w:val="Box Space Above Element Char"/>
    <w:basedOn w:val="DefaultParagraphFont"/>
    <w:link w:val="BoxSpaceAboveElement"/>
    <w:rsid w:val="00F12379"/>
    <w:rPr>
      <w:b/>
      <w:vanish/>
      <w:color w:val="FF00FF"/>
      <w:sz w:val="14"/>
    </w:rPr>
  </w:style>
  <w:style w:type="paragraph" w:styleId="Revision">
    <w:name w:val="Revision"/>
    <w:hidden/>
    <w:uiPriority w:val="99"/>
    <w:semiHidden/>
    <w:rsid w:val="00E911D8"/>
    <w:rPr>
      <w:sz w:val="26"/>
      <w:lang w:eastAsia="en-US"/>
    </w:rPr>
  </w:style>
  <w:style w:type="paragraph" w:styleId="Bibliography">
    <w:name w:val="Bibliography"/>
    <w:basedOn w:val="Normal"/>
    <w:next w:val="Normal"/>
    <w:uiPriority w:val="37"/>
    <w:unhideWhenUsed/>
    <w:rsid w:val="00892BC7"/>
    <w:pPr>
      <w:spacing w:after="240"/>
      <w:ind w:left="720" w:hanging="720"/>
    </w:pPr>
  </w:style>
  <w:style w:type="paragraph" w:customStyle="1" w:styleId="Heading1NotTOC">
    <w:name w:val="Heading 1 Not TOC"/>
    <w:basedOn w:val="Heading1"/>
    <w:next w:val="BodyText"/>
    <w:rsid w:val="00730373"/>
    <w:rPr>
      <w:kern w:val="28"/>
      <w:szCs w:val="26"/>
      <w:lang w:eastAsia="en-US"/>
    </w:rPr>
  </w:style>
  <w:style w:type="character" w:customStyle="1" w:styleId="TOC1Char">
    <w:name w:val="TOC 1 Char"/>
    <w:basedOn w:val="DefaultParagraphFont"/>
    <w:link w:val="TOC1"/>
    <w:uiPriority w:val="39"/>
    <w:rsid w:val="00730373"/>
    <w:rPr>
      <w:rFonts w:ascii="Arial" w:hAnsi="Arial"/>
      <w:b/>
      <w:caps/>
      <w:sz w:val="26"/>
      <w:lang w:eastAsia="en-US"/>
    </w:rPr>
  </w:style>
  <w:style w:type="character" w:styleId="EndnoteReference">
    <w:name w:val="endnote reference"/>
    <w:basedOn w:val="DefaultParagraphFont"/>
    <w:semiHidden/>
    <w:unhideWhenUsed/>
    <w:rsid w:val="00FD3142"/>
    <w:rPr>
      <w:vertAlign w:val="superscript"/>
    </w:rPr>
  </w:style>
  <w:style w:type="paragraph" w:customStyle="1" w:styleId="Copyrightbodytext">
    <w:name w:val="Copyright bodytext"/>
    <w:basedOn w:val="BodyText"/>
    <w:link w:val="CopyrightbodytextChar"/>
    <w:qFormat/>
    <w:rsid w:val="00597FFA"/>
    <w:pPr>
      <w:spacing w:before="60"/>
    </w:pPr>
    <w:rPr>
      <w:sz w:val="22"/>
    </w:rPr>
  </w:style>
  <w:style w:type="character" w:customStyle="1" w:styleId="CopyrightbodytextChar">
    <w:name w:val="Copyright bodytext Char"/>
    <w:basedOn w:val="BodyTextChar"/>
    <w:link w:val="Copyrightbodytext"/>
    <w:rsid w:val="00597F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1020351845">
      <w:bodyDiv w:val="1"/>
      <w:marLeft w:val="0"/>
      <w:marRight w:val="0"/>
      <w:marTop w:val="0"/>
      <w:marBottom w:val="0"/>
      <w:divBdr>
        <w:top w:val="none" w:sz="0" w:space="0" w:color="auto"/>
        <w:left w:val="none" w:sz="0" w:space="0" w:color="auto"/>
        <w:bottom w:val="none" w:sz="0" w:space="0" w:color="auto"/>
        <w:right w:val="none" w:sz="0" w:space="0" w:color="auto"/>
      </w:divBdr>
    </w:div>
    <w:div w:id="1140003669">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pc.gov.au/inquiries/current/veterans/comment"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www.pc.gov.au/inquiries/current/veterans/make-submission"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5B529-EFE1-467B-897E-1A0C1EBE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30</Pages>
  <Words>8673</Words>
  <Characters>49461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Issues paper - Compensation and Rehabilitation for Veterans</vt:lpstr>
    </vt:vector>
  </TitlesOfParts>
  <Company>Productivity Commission</Company>
  <LinksUpToDate>false</LinksUpToDate>
  <CharactersWithSpaces>58018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Compensation and Rehabilitation for Veterans</dc:title>
  <dc:subject/>
  <dc:creator>Productivity Commission</dc:creator>
  <cp:keywords/>
  <dc:description/>
  <cp:lastModifiedBy>Cross, Michelle</cp:lastModifiedBy>
  <cp:revision>18</cp:revision>
  <cp:lastPrinted>2018-05-01T13:48:00Z</cp:lastPrinted>
  <dcterms:created xsi:type="dcterms:W3CDTF">2018-05-01T06:09:00Z</dcterms:created>
  <dcterms:modified xsi:type="dcterms:W3CDTF">2018-05-02T23:56:00Z</dcterms:modified>
</cp:coreProperties>
</file>