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DE58E" w14:textId="76AC8F8F" w:rsidR="005E5B4F" w:rsidRPr="00CA32B0" w:rsidRDefault="005E5B4F" w:rsidP="005E5B4F">
      <w:pPr>
        <w:pStyle w:val="Heading1"/>
        <w:rPr>
          <w:color w:val="FFFFFF" w:themeColor="background1"/>
          <w:sz w:val="16"/>
          <w:szCs w:val="16"/>
        </w:rPr>
      </w:pPr>
      <w:r w:rsidRPr="00CA32B0">
        <w:rPr>
          <w:noProof/>
          <w:color w:val="FFFFFF" w:themeColor="background1"/>
          <w:sz w:val="16"/>
          <w:szCs w:val="16"/>
        </w:rPr>
        <w:drawing>
          <wp:anchor distT="0" distB="0" distL="114300" distR="114300" simplePos="0" relativeHeight="251659264" behindDoc="0" locked="0" layoutInCell="1" allowOverlap="1" wp14:anchorId="2AF96D56" wp14:editId="5E3CC821">
            <wp:simplePos x="0" y="0"/>
            <wp:positionH relativeFrom="page">
              <wp:align>center</wp:align>
            </wp:positionH>
            <wp:positionV relativeFrom="page">
              <wp:align>center</wp:align>
            </wp:positionV>
            <wp:extent cx="7559998" cy="10690797"/>
            <wp:effectExtent l="0" t="0" r="3175" b="0"/>
            <wp:wrapNone/>
            <wp:docPr id="3" name="Picture 3" descr="Cover for Urban water services: regional and remote communities, Supporting Paper G to National Water Reform 2020, Productivity Commission Draft Report, Februar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ver for Urban water services: regional and remote communities, Supporting Paper G to National Water Reform 2020, Productivity Commission Draft Report, February 20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998" cy="10690797"/>
                    </a:xfrm>
                    <a:prstGeom prst="rect">
                      <a:avLst/>
                    </a:prstGeom>
                  </pic:spPr>
                </pic:pic>
              </a:graphicData>
            </a:graphic>
            <wp14:sizeRelH relativeFrom="page">
              <wp14:pctWidth>0</wp14:pctWidth>
            </wp14:sizeRelH>
            <wp14:sizeRelV relativeFrom="page">
              <wp14:pctHeight>0</wp14:pctHeight>
            </wp14:sizeRelV>
          </wp:anchor>
        </w:drawing>
      </w:r>
      <w:r w:rsidR="00CA32B0" w:rsidRPr="00CA32B0">
        <w:rPr>
          <w:color w:val="FFFFFF" w:themeColor="background1"/>
          <w:sz w:val="16"/>
          <w:szCs w:val="16"/>
        </w:rPr>
        <w:t>Urban water services: regional and remote communities</w:t>
      </w:r>
    </w:p>
    <w:p w14:paraId="6BCC34E7" w14:textId="0CFBEB91" w:rsidR="005E5B4F" w:rsidRPr="00CA32B0" w:rsidRDefault="005E5B4F" w:rsidP="005E5B4F">
      <w:pPr>
        <w:pStyle w:val="BodyText"/>
        <w:rPr>
          <w:b/>
          <w:color w:val="FFFFFF" w:themeColor="background1"/>
          <w:sz w:val="16"/>
          <w:szCs w:val="16"/>
        </w:rPr>
      </w:pPr>
      <w:r w:rsidRPr="00CA32B0">
        <w:rPr>
          <w:color w:val="FFFFFF" w:themeColor="background1"/>
          <w:sz w:val="16"/>
          <w:szCs w:val="16"/>
        </w:rPr>
        <w:t xml:space="preserve">Supporting Paper </w:t>
      </w:r>
      <w:r w:rsidR="00CA32B0" w:rsidRPr="00CA32B0">
        <w:rPr>
          <w:color w:val="FFFFFF" w:themeColor="background1"/>
          <w:sz w:val="16"/>
          <w:szCs w:val="16"/>
        </w:rPr>
        <w:t>G</w:t>
      </w:r>
      <w:r w:rsidRPr="00CA32B0">
        <w:rPr>
          <w:color w:val="FFFFFF" w:themeColor="background1"/>
          <w:sz w:val="16"/>
          <w:szCs w:val="16"/>
        </w:rPr>
        <w:t xml:space="preserve"> to </w:t>
      </w:r>
      <w:r w:rsidRPr="00CA32B0">
        <w:rPr>
          <w:i/>
          <w:iCs/>
          <w:color w:val="FFFFFF" w:themeColor="background1"/>
          <w:sz w:val="16"/>
          <w:szCs w:val="16"/>
        </w:rPr>
        <w:t>National Water Reform 2020,</w:t>
      </w:r>
      <w:r w:rsidRPr="00CA32B0">
        <w:rPr>
          <w:color w:val="FFFFFF" w:themeColor="background1"/>
          <w:sz w:val="16"/>
          <w:szCs w:val="16"/>
        </w:rPr>
        <w:t xml:space="preserve"> Draft Report, Canberra</w:t>
      </w:r>
      <w:r w:rsidRPr="00CA32B0">
        <w:rPr>
          <w:color w:val="FFFFFF" w:themeColor="background1"/>
          <w:sz w:val="16"/>
          <w:szCs w:val="16"/>
        </w:rPr>
        <w:br w:type="page"/>
      </w:r>
    </w:p>
    <w:p w14:paraId="1416643A" w14:textId="77777777" w:rsidR="005E5B4F" w:rsidRPr="001B4097" w:rsidRDefault="005E5B4F" w:rsidP="005E5B4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5E5B4F" w:rsidRPr="006B57EA" w14:paraId="09F38FD8" w14:textId="77777777" w:rsidTr="0055187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A0FC489" w14:textId="77777777" w:rsidR="005E5B4F" w:rsidRPr="006B57EA" w:rsidRDefault="005E5B4F" w:rsidP="0055187F">
            <w:pPr>
              <w:keepNext/>
              <w:keepLines/>
              <w:spacing w:before="120" w:after="120" w:line="280" w:lineRule="atLeast"/>
              <w:jc w:val="both"/>
              <w:rPr>
                <w:rFonts w:ascii="Arial" w:hAnsi="Arial" w:cs="Arial"/>
                <w:b/>
                <w:bCs/>
                <w:caps/>
                <w:noProof/>
                <w:sz w:val="22"/>
                <w:szCs w:val="22"/>
              </w:rPr>
            </w:pPr>
            <w:r w:rsidRPr="006B57EA">
              <w:rPr>
                <w:rFonts w:ascii="Arial" w:hAnsi="Arial" w:cs="Arial"/>
                <w:b/>
                <w:bCs/>
                <w:caps/>
                <w:sz w:val="22"/>
                <w:szCs w:val="22"/>
              </w:rPr>
              <w:t xml:space="preserve">Guide to the supporting papers </w:t>
            </w:r>
            <w:r w:rsidRPr="006B57EA">
              <w:rPr>
                <w:rFonts w:ascii="Arial" w:hAnsi="Arial" w:cs="Arial"/>
                <w:b/>
                <w:bCs/>
                <w:i/>
                <w:iCs/>
                <w:caps/>
                <w:sz w:val="22"/>
                <w:szCs w:val="22"/>
              </w:rPr>
              <w:t>(and descriptor)</w:t>
            </w:r>
          </w:p>
        </w:tc>
      </w:tr>
      <w:tr w:rsidR="005E5B4F" w:rsidRPr="006B57EA" w14:paraId="6DCCD52D" w14:textId="77777777" w:rsidTr="0055187F">
        <w:trPr>
          <w:cantSplit/>
        </w:trPr>
        <w:tc>
          <w:tcPr>
            <w:tcW w:w="5000" w:type="pct"/>
            <w:tcBorders>
              <w:top w:val="nil"/>
              <w:left w:val="nil"/>
              <w:bottom w:val="nil"/>
              <w:right w:val="nil"/>
            </w:tcBorders>
            <w:shd w:val="clear" w:color="auto" w:fill="F2F2F2"/>
            <w:tcMar>
              <w:left w:w="170" w:type="dxa"/>
              <w:right w:w="170" w:type="dxa"/>
            </w:tcMar>
          </w:tcPr>
          <w:tbl>
            <w:tblPr>
              <w:tblStyle w:val="TableGrid"/>
              <w:tblW w:w="8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Layout for design"/>
            </w:tblPr>
            <w:tblGrid>
              <w:gridCol w:w="1020"/>
              <w:gridCol w:w="7540"/>
            </w:tblGrid>
            <w:tr w:rsidR="005E5B4F" w:rsidRPr="006B57EA" w14:paraId="7670E808" w14:textId="77777777" w:rsidTr="00DF6D11">
              <w:trPr>
                <w:trHeight w:val="510"/>
                <w:tblHeader/>
                <w:jc w:val="center"/>
              </w:trPr>
              <w:tc>
                <w:tcPr>
                  <w:tcW w:w="1020" w:type="dxa"/>
                  <w:vAlign w:val="center"/>
                </w:tcPr>
                <w:p w14:paraId="5FE1FD4D" w14:textId="77777777" w:rsidR="005E5B4F" w:rsidRPr="006B57EA" w:rsidRDefault="005E5B4F" w:rsidP="0055187F">
                  <w:pPr>
                    <w:spacing w:line="300" w:lineRule="atLeast"/>
                    <w:rPr>
                      <w:rFonts w:ascii="Arial" w:hAnsi="Arial" w:cs="Arial"/>
                      <w:sz w:val="22"/>
                      <w:szCs w:val="22"/>
                    </w:rPr>
                  </w:pPr>
                  <w:bookmarkStart w:id="0" w:name="_Hlk61861059"/>
                  <w:r w:rsidRPr="006B57EA">
                    <w:rPr>
                      <w:rFonts w:ascii="Arial" w:hAnsi="Arial" w:cs="Arial"/>
                      <w:sz w:val="22"/>
                      <w:szCs w:val="22"/>
                    </w:rPr>
                    <w:t>SP A</w:t>
                  </w:r>
                </w:p>
              </w:tc>
              <w:tc>
                <w:tcPr>
                  <w:tcW w:w="7540" w:type="dxa"/>
                  <w:vAlign w:val="center"/>
                </w:tcPr>
                <w:p w14:paraId="7BBF56C6" w14:textId="77777777" w:rsidR="005E5B4F" w:rsidRPr="006B57EA" w:rsidRDefault="005E5B4F" w:rsidP="0055187F">
                  <w:pPr>
                    <w:spacing w:line="300" w:lineRule="atLeast"/>
                    <w:rPr>
                      <w:rFonts w:ascii="Arial" w:hAnsi="Arial" w:cs="Arial"/>
                      <w:sz w:val="22"/>
                      <w:szCs w:val="22"/>
                    </w:rPr>
                  </w:pPr>
                  <w:r w:rsidRPr="006B57EA">
                    <w:rPr>
                      <w:rFonts w:ascii="Arial" w:hAnsi="Arial" w:cs="Arial"/>
                      <w:sz w:val="22"/>
                      <w:szCs w:val="22"/>
                    </w:rPr>
                    <w:t>Water entitlements and planning (</w:t>
                  </w:r>
                  <w:r w:rsidRPr="006B57EA">
                    <w:rPr>
                      <w:rFonts w:ascii="Arial" w:hAnsi="Arial" w:cs="Arial"/>
                      <w:i/>
                      <w:iCs/>
                      <w:sz w:val="22"/>
                      <w:szCs w:val="22"/>
                    </w:rPr>
                    <w:t>Entitlements and planning</w:t>
                  </w:r>
                  <w:r w:rsidRPr="006B57EA">
                    <w:rPr>
                      <w:rFonts w:ascii="Arial" w:hAnsi="Arial" w:cs="Arial"/>
                      <w:sz w:val="22"/>
                      <w:szCs w:val="22"/>
                    </w:rPr>
                    <w:t>)</w:t>
                  </w:r>
                </w:p>
              </w:tc>
            </w:tr>
            <w:tr w:rsidR="005E5B4F" w:rsidRPr="006B57EA" w14:paraId="0142E25A" w14:textId="77777777" w:rsidTr="00DF6D11">
              <w:trPr>
                <w:trHeight w:val="510"/>
                <w:jc w:val="center"/>
              </w:trPr>
              <w:tc>
                <w:tcPr>
                  <w:tcW w:w="1020" w:type="dxa"/>
                  <w:shd w:val="clear" w:color="auto" w:fill="auto"/>
                  <w:vAlign w:val="center"/>
                </w:tcPr>
                <w:p w14:paraId="64826FB8" w14:textId="77777777" w:rsidR="005E5B4F" w:rsidRPr="006B57EA" w:rsidRDefault="005E5B4F" w:rsidP="0055187F">
                  <w:pPr>
                    <w:spacing w:line="300" w:lineRule="atLeast"/>
                    <w:rPr>
                      <w:rFonts w:ascii="Arial" w:hAnsi="Arial" w:cs="Arial"/>
                      <w:bCs/>
                      <w:sz w:val="22"/>
                      <w:szCs w:val="22"/>
                    </w:rPr>
                  </w:pPr>
                  <w:r w:rsidRPr="006B57EA">
                    <w:rPr>
                      <w:rFonts w:ascii="Arial" w:hAnsi="Arial" w:cs="Arial"/>
                      <w:bCs/>
                      <w:sz w:val="22"/>
                      <w:szCs w:val="22"/>
                    </w:rPr>
                    <w:t>SP B</w:t>
                  </w:r>
                </w:p>
              </w:tc>
              <w:tc>
                <w:tcPr>
                  <w:tcW w:w="7540" w:type="dxa"/>
                  <w:shd w:val="clear" w:color="auto" w:fill="auto"/>
                  <w:vAlign w:val="center"/>
                </w:tcPr>
                <w:p w14:paraId="7B04C693" w14:textId="77777777" w:rsidR="005E5B4F" w:rsidRPr="006B57EA" w:rsidRDefault="005E5B4F" w:rsidP="0055187F">
                  <w:pPr>
                    <w:spacing w:line="300" w:lineRule="atLeast"/>
                    <w:rPr>
                      <w:rFonts w:ascii="Arial" w:hAnsi="Arial" w:cs="Arial"/>
                      <w:bCs/>
                      <w:sz w:val="22"/>
                      <w:szCs w:val="22"/>
                    </w:rPr>
                  </w:pPr>
                  <w:r w:rsidRPr="006B57EA">
                    <w:rPr>
                      <w:rFonts w:ascii="Arial" w:hAnsi="Arial" w:cs="Arial"/>
                      <w:bCs/>
                      <w:sz w:val="22"/>
                      <w:szCs w:val="22"/>
                    </w:rPr>
                    <w:t>Water trading and markets (</w:t>
                  </w:r>
                  <w:r w:rsidRPr="006B57EA">
                    <w:rPr>
                      <w:rFonts w:ascii="Arial" w:hAnsi="Arial" w:cs="Arial"/>
                      <w:bCs/>
                      <w:i/>
                      <w:iCs/>
                      <w:sz w:val="22"/>
                      <w:szCs w:val="22"/>
                    </w:rPr>
                    <w:t>Trading</w:t>
                  </w:r>
                  <w:r w:rsidRPr="006B57EA">
                    <w:rPr>
                      <w:rFonts w:ascii="Arial" w:hAnsi="Arial" w:cs="Arial"/>
                      <w:bCs/>
                      <w:sz w:val="22"/>
                      <w:szCs w:val="22"/>
                    </w:rPr>
                    <w:t>)</w:t>
                  </w:r>
                </w:p>
              </w:tc>
            </w:tr>
            <w:tr w:rsidR="005E5B4F" w:rsidRPr="006B57EA" w14:paraId="6C0E7AD6" w14:textId="77777777" w:rsidTr="00DF6D11">
              <w:trPr>
                <w:trHeight w:val="510"/>
                <w:jc w:val="center"/>
              </w:trPr>
              <w:tc>
                <w:tcPr>
                  <w:tcW w:w="1020" w:type="dxa"/>
                  <w:shd w:val="clear" w:color="auto" w:fill="F2F2F2" w:themeFill="background1" w:themeFillShade="F2"/>
                  <w:vAlign w:val="center"/>
                </w:tcPr>
                <w:p w14:paraId="7DF24E5D" w14:textId="77777777" w:rsidR="005E5B4F" w:rsidRPr="008B7EAF" w:rsidRDefault="005E5B4F" w:rsidP="0055187F">
                  <w:pPr>
                    <w:spacing w:line="300" w:lineRule="atLeast"/>
                    <w:rPr>
                      <w:rFonts w:ascii="Arial" w:hAnsi="Arial" w:cs="Arial"/>
                      <w:bCs/>
                      <w:sz w:val="22"/>
                      <w:szCs w:val="22"/>
                    </w:rPr>
                  </w:pPr>
                  <w:r w:rsidRPr="008B7EAF">
                    <w:rPr>
                      <w:rFonts w:ascii="Arial" w:hAnsi="Arial" w:cs="Arial"/>
                      <w:bCs/>
                      <w:sz w:val="22"/>
                      <w:szCs w:val="22"/>
                    </w:rPr>
                    <w:t>SP C</w:t>
                  </w:r>
                </w:p>
              </w:tc>
              <w:tc>
                <w:tcPr>
                  <w:tcW w:w="7540" w:type="dxa"/>
                  <w:shd w:val="clear" w:color="auto" w:fill="F2F2F2" w:themeFill="background1" w:themeFillShade="F2"/>
                  <w:vAlign w:val="center"/>
                </w:tcPr>
                <w:p w14:paraId="53B5446A" w14:textId="77777777" w:rsidR="005E5B4F" w:rsidRPr="008B7EAF" w:rsidRDefault="005E5B4F" w:rsidP="0055187F">
                  <w:pPr>
                    <w:spacing w:line="300" w:lineRule="atLeast"/>
                    <w:rPr>
                      <w:rFonts w:ascii="Arial" w:hAnsi="Arial" w:cs="Arial"/>
                      <w:bCs/>
                      <w:sz w:val="22"/>
                      <w:szCs w:val="22"/>
                    </w:rPr>
                  </w:pPr>
                  <w:r w:rsidRPr="008B7EAF">
                    <w:rPr>
                      <w:rFonts w:ascii="Arial" w:hAnsi="Arial" w:cs="Arial"/>
                      <w:bCs/>
                      <w:sz w:val="22"/>
                      <w:szCs w:val="22"/>
                    </w:rPr>
                    <w:t>Environmental management (</w:t>
                  </w:r>
                  <w:r w:rsidRPr="008B7EAF">
                    <w:rPr>
                      <w:rFonts w:ascii="Arial" w:hAnsi="Arial" w:cs="Arial"/>
                      <w:bCs/>
                      <w:i/>
                      <w:iCs/>
                      <w:sz w:val="22"/>
                      <w:szCs w:val="22"/>
                    </w:rPr>
                    <w:t>Environment</w:t>
                  </w:r>
                  <w:r w:rsidRPr="008B7EAF">
                    <w:rPr>
                      <w:rFonts w:ascii="Arial" w:hAnsi="Arial" w:cs="Arial"/>
                      <w:bCs/>
                      <w:sz w:val="22"/>
                      <w:szCs w:val="22"/>
                    </w:rPr>
                    <w:t>)</w:t>
                  </w:r>
                </w:p>
              </w:tc>
            </w:tr>
            <w:tr w:rsidR="005E5B4F" w:rsidRPr="006B57EA" w14:paraId="4D579178" w14:textId="77777777" w:rsidTr="00DF6D11">
              <w:trPr>
                <w:trHeight w:val="510"/>
                <w:jc w:val="center"/>
              </w:trPr>
              <w:tc>
                <w:tcPr>
                  <w:tcW w:w="1020" w:type="dxa"/>
                  <w:shd w:val="clear" w:color="auto" w:fill="F2F2F2" w:themeFill="background1" w:themeFillShade="F2"/>
                  <w:vAlign w:val="center"/>
                </w:tcPr>
                <w:p w14:paraId="028B45E7" w14:textId="77777777" w:rsidR="005E5B4F" w:rsidRPr="00BA0058" w:rsidRDefault="005E5B4F" w:rsidP="0055187F">
                  <w:pPr>
                    <w:spacing w:line="300" w:lineRule="atLeast"/>
                    <w:rPr>
                      <w:rFonts w:ascii="Arial" w:hAnsi="Arial" w:cs="Arial"/>
                      <w:sz w:val="22"/>
                      <w:szCs w:val="22"/>
                    </w:rPr>
                  </w:pPr>
                  <w:r w:rsidRPr="00BA0058">
                    <w:rPr>
                      <w:rFonts w:ascii="Arial" w:hAnsi="Arial" w:cs="Arial"/>
                      <w:sz w:val="22"/>
                      <w:szCs w:val="22"/>
                    </w:rPr>
                    <w:t>SP D</w:t>
                  </w:r>
                </w:p>
              </w:tc>
              <w:tc>
                <w:tcPr>
                  <w:tcW w:w="7540" w:type="dxa"/>
                  <w:shd w:val="clear" w:color="auto" w:fill="F2F2F2" w:themeFill="background1" w:themeFillShade="F2"/>
                  <w:vAlign w:val="center"/>
                </w:tcPr>
                <w:p w14:paraId="34056099" w14:textId="77777777" w:rsidR="005E5B4F" w:rsidRPr="00BA0058" w:rsidRDefault="005E5B4F" w:rsidP="0055187F">
                  <w:pPr>
                    <w:tabs>
                      <w:tab w:val="left" w:pos="1951"/>
                    </w:tabs>
                    <w:spacing w:line="300" w:lineRule="atLeast"/>
                    <w:rPr>
                      <w:rFonts w:ascii="Arial" w:hAnsi="Arial" w:cs="Arial"/>
                      <w:sz w:val="22"/>
                      <w:szCs w:val="22"/>
                    </w:rPr>
                  </w:pPr>
                  <w:r w:rsidRPr="00BA0058">
                    <w:rPr>
                      <w:rFonts w:ascii="Arial" w:hAnsi="Arial" w:cs="Arial"/>
                      <w:sz w:val="22"/>
                      <w:szCs w:val="22"/>
                    </w:rPr>
                    <w:t>Securing Aboriginal and Torres Strait Islander people’s interests in water (</w:t>
                  </w:r>
                  <w:r w:rsidRPr="00BA0058">
                    <w:rPr>
                      <w:rFonts w:ascii="Arial" w:hAnsi="Arial" w:cs="Arial"/>
                      <w:i/>
                      <w:iCs/>
                      <w:sz w:val="22"/>
                      <w:szCs w:val="22"/>
                    </w:rPr>
                    <w:t>Cultural access</w:t>
                  </w:r>
                  <w:r w:rsidRPr="00BA0058">
                    <w:rPr>
                      <w:rFonts w:ascii="Arial" w:hAnsi="Arial" w:cs="Arial"/>
                      <w:sz w:val="22"/>
                      <w:szCs w:val="22"/>
                    </w:rPr>
                    <w:t>)</w:t>
                  </w:r>
                </w:p>
              </w:tc>
            </w:tr>
            <w:tr w:rsidR="005E5B4F" w:rsidRPr="006B57EA" w14:paraId="59CD11BB" w14:textId="77777777" w:rsidTr="00DF6D11">
              <w:trPr>
                <w:trHeight w:val="510"/>
                <w:jc w:val="center"/>
              </w:trPr>
              <w:tc>
                <w:tcPr>
                  <w:tcW w:w="1020" w:type="dxa"/>
                  <w:vAlign w:val="center"/>
                </w:tcPr>
                <w:p w14:paraId="337488CE" w14:textId="77777777" w:rsidR="005E5B4F" w:rsidRPr="006B57EA" w:rsidRDefault="005E5B4F" w:rsidP="0055187F">
                  <w:pPr>
                    <w:spacing w:line="300" w:lineRule="atLeast"/>
                    <w:rPr>
                      <w:rFonts w:ascii="Arial" w:hAnsi="Arial" w:cs="Arial"/>
                      <w:sz w:val="22"/>
                      <w:szCs w:val="22"/>
                    </w:rPr>
                  </w:pPr>
                  <w:r w:rsidRPr="006B57EA">
                    <w:rPr>
                      <w:rFonts w:ascii="Arial" w:hAnsi="Arial" w:cs="Arial"/>
                      <w:sz w:val="22"/>
                      <w:szCs w:val="22"/>
                    </w:rPr>
                    <w:t>SP E</w:t>
                  </w:r>
                </w:p>
              </w:tc>
              <w:tc>
                <w:tcPr>
                  <w:tcW w:w="7540" w:type="dxa"/>
                  <w:vAlign w:val="center"/>
                </w:tcPr>
                <w:p w14:paraId="18B10302" w14:textId="77777777" w:rsidR="005E5B4F" w:rsidRPr="006B57EA" w:rsidRDefault="005E5B4F" w:rsidP="0055187F">
                  <w:pPr>
                    <w:spacing w:line="300" w:lineRule="atLeast"/>
                    <w:rPr>
                      <w:rFonts w:ascii="Arial" w:hAnsi="Arial" w:cs="Arial"/>
                      <w:sz w:val="22"/>
                      <w:szCs w:val="22"/>
                    </w:rPr>
                  </w:pPr>
                  <w:r w:rsidRPr="006B57EA">
                    <w:rPr>
                      <w:rFonts w:ascii="Arial" w:hAnsi="Arial" w:cs="Arial"/>
                      <w:sz w:val="22"/>
                      <w:szCs w:val="22"/>
                    </w:rPr>
                    <w:t xml:space="preserve">Ensuring the integrity of water resource management </w:t>
                  </w:r>
                  <w:r w:rsidRPr="006B57EA">
                    <w:rPr>
                      <w:rFonts w:ascii="Arial" w:hAnsi="Arial" w:cs="Arial"/>
                      <w:i/>
                      <w:iCs/>
                      <w:sz w:val="22"/>
                      <w:szCs w:val="22"/>
                    </w:rPr>
                    <w:t>(Integrity)</w:t>
                  </w:r>
                </w:p>
              </w:tc>
            </w:tr>
            <w:tr w:rsidR="005E5B4F" w:rsidRPr="005E5B4F" w14:paraId="706870D0" w14:textId="77777777" w:rsidTr="00DF6D11">
              <w:trPr>
                <w:trHeight w:val="510"/>
                <w:jc w:val="center"/>
              </w:trPr>
              <w:tc>
                <w:tcPr>
                  <w:tcW w:w="1020" w:type="dxa"/>
                  <w:tcBorders>
                    <w:bottom w:val="single" w:sz="12" w:space="0" w:color="B8D995"/>
                  </w:tcBorders>
                  <w:shd w:val="clear" w:color="auto" w:fill="F2F2F2" w:themeFill="background1" w:themeFillShade="F2"/>
                  <w:vAlign w:val="center"/>
                </w:tcPr>
                <w:p w14:paraId="2B2E2101" w14:textId="77777777" w:rsidR="005E5B4F" w:rsidRPr="005E5B4F" w:rsidRDefault="005E5B4F" w:rsidP="0055187F">
                  <w:pPr>
                    <w:spacing w:line="300" w:lineRule="atLeast"/>
                    <w:rPr>
                      <w:rFonts w:ascii="Arial" w:hAnsi="Arial" w:cs="Arial"/>
                      <w:sz w:val="22"/>
                      <w:szCs w:val="22"/>
                    </w:rPr>
                  </w:pPr>
                  <w:r w:rsidRPr="005E5B4F">
                    <w:rPr>
                      <w:rFonts w:ascii="Arial" w:hAnsi="Arial" w:cs="Arial"/>
                      <w:sz w:val="22"/>
                      <w:szCs w:val="22"/>
                    </w:rPr>
                    <w:t>SP F</w:t>
                  </w:r>
                </w:p>
              </w:tc>
              <w:tc>
                <w:tcPr>
                  <w:tcW w:w="7540" w:type="dxa"/>
                  <w:tcBorders>
                    <w:bottom w:val="single" w:sz="12" w:space="0" w:color="B8D995"/>
                  </w:tcBorders>
                  <w:shd w:val="clear" w:color="auto" w:fill="F2F2F2" w:themeFill="background1" w:themeFillShade="F2"/>
                  <w:vAlign w:val="center"/>
                </w:tcPr>
                <w:p w14:paraId="23B4F6B0" w14:textId="77777777" w:rsidR="005E5B4F" w:rsidRPr="005E5B4F" w:rsidRDefault="005E5B4F" w:rsidP="0055187F">
                  <w:pPr>
                    <w:spacing w:line="300" w:lineRule="atLeast"/>
                    <w:rPr>
                      <w:rFonts w:ascii="Arial" w:hAnsi="Arial" w:cs="Arial"/>
                      <w:sz w:val="22"/>
                      <w:szCs w:val="22"/>
                    </w:rPr>
                  </w:pPr>
                  <w:r w:rsidRPr="005E5B4F">
                    <w:rPr>
                      <w:rFonts w:ascii="Arial" w:hAnsi="Arial" w:cs="Arial"/>
                      <w:sz w:val="22"/>
                      <w:szCs w:val="22"/>
                    </w:rPr>
                    <w:t>Urban water services (</w:t>
                  </w:r>
                  <w:r w:rsidRPr="005E5B4F">
                    <w:rPr>
                      <w:rFonts w:ascii="Arial" w:hAnsi="Arial" w:cs="Arial"/>
                      <w:i/>
                      <w:iCs/>
                      <w:sz w:val="22"/>
                      <w:szCs w:val="22"/>
                    </w:rPr>
                    <w:t>Urban</w:t>
                  </w:r>
                  <w:r w:rsidRPr="005E5B4F">
                    <w:rPr>
                      <w:rFonts w:ascii="Arial" w:hAnsi="Arial" w:cs="Arial"/>
                      <w:sz w:val="22"/>
                      <w:szCs w:val="22"/>
                    </w:rPr>
                    <w:t>)</w:t>
                  </w:r>
                </w:p>
              </w:tc>
            </w:tr>
            <w:tr w:rsidR="005E5B4F" w:rsidRPr="006B57EA" w14:paraId="78D380DD" w14:textId="77777777" w:rsidTr="00DF6D11">
              <w:trPr>
                <w:trHeight w:val="510"/>
                <w:jc w:val="center"/>
              </w:trPr>
              <w:tc>
                <w:tcPr>
                  <w:tcW w:w="1020" w:type="dxa"/>
                  <w:tcBorders>
                    <w:top w:val="single" w:sz="12" w:space="0" w:color="B8D995"/>
                    <w:left w:val="single" w:sz="12" w:space="0" w:color="B8D995"/>
                    <w:bottom w:val="single" w:sz="12" w:space="0" w:color="B8D995"/>
                  </w:tcBorders>
                  <w:shd w:val="clear" w:color="auto" w:fill="DBECCA"/>
                  <w:vAlign w:val="center"/>
                </w:tcPr>
                <w:p w14:paraId="71BCC236" w14:textId="77777777" w:rsidR="005E5B4F" w:rsidRPr="005E5B4F" w:rsidRDefault="005E5B4F" w:rsidP="0055187F">
                  <w:pPr>
                    <w:spacing w:line="300" w:lineRule="atLeast"/>
                    <w:rPr>
                      <w:rFonts w:ascii="Arial" w:hAnsi="Arial" w:cs="Arial"/>
                      <w:b/>
                      <w:bCs/>
                      <w:sz w:val="22"/>
                      <w:szCs w:val="22"/>
                    </w:rPr>
                  </w:pPr>
                  <w:r w:rsidRPr="005E5B4F">
                    <w:rPr>
                      <w:rFonts w:ascii="Arial" w:hAnsi="Arial" w:cs="Arial"/>
                      <w:b/>
                      <w:bCs/>
                      <w:sz w:val="22"/>
                      <w:szCs w:val="22"/>
                    </w:rPr>
                    <w:t>SP G</w:t>
                  </w:r>
                </w:p>
              </w:tc>
              <w:tc>
                <w:tcPr>
                  <w:tcW w:w="7540" w:type="dxa"/>
                  <w:tcBorders>
                    <w:top w:val="single" w:sz="12" w:space="0" w:color="B8D995"/>
                    <w:bottom w:val="single" w:sz="12" w:space="0" w:color="B8D995"/>
                    <w:right w:val="single" w:sz="12" w:space="0" w:color="B8D995"/>
                  </w:tcBorders>
                  <w:shd w:val="clear" w:color="auto" w:fill="DBECCA"/>
                  <w:vAlign w:val="center"/>
                </w:tcPr>
                <w:p w14:paraId="71738C1F" w14:textId="77777777" w:rsidR="005E5B4F" w:rsidRPr="005E5B4F" w:rsidRDefault="005E5B4F" w:rsidP="0055187F">
                  <w:pPr>
                    <w:spacing w:line="300" w:lineRule="atLeast"/>
                    <w:rPr>
                      <w:rFonts w:ascii="Arial" w:hAnsi="Arial" w:cs="Arial"/>
                      <w:b/>
                      <w:bCs/>
                      <w:sz w:val="22"/>
                      <w:szCs w:val="22"/>
                    </w:rPr>
                  </w:pPr>
                  <w:r w:rsidRPr="005E5B4F">
                    <w:rPr>
                      <w:rFonts w:ascii="Arial" w:hAnsi="Arial" w:cs="Arial"/>
                      <w:b/>
                      <w:bCs/>
                      <w:sz w:val="22"/>
                      <w:szCs w:val="22"/>
                    </w:rPr>
                    <w:t>Urban water services: regional and remote communities (</w:t>
                  </w:r>
                  <w:r w:rsidRPr="005E5B4F">
                    <w:rPr>
                      <w:rFonts w:ascii="Arial" w:hAnsi="Arial" w:cs="Arial"/>
                      <w:b/>
                      <w:bCs/>
                      <w:i/>
                      <w:iCs/>
                      <w:sz w:val="22"/>
                      <w:szCs w:val="22"/>
                    </w:rPr>
                    <w:t>Regional</w:t>
                  </w:r>
                  <w:r w:rsidRPr="005E5B4F">
                    <w:rPr>
                      <w:rFonts w:ascii="Arial" w:hAnsi="Arial" w:cs="Arial"/>
                      <w:b/>
                      <w:bCs/>
                      <w:sz w:val="22"/>
                      <w:szCs w:val="22"/>
                    </w:rPr>
                    <w:t>)</w:t>
                  </w:r>
                  <w:r w:rsidRPr="005E5B4F">
                    <w:rPr>
                      <w:rFonts w:ascii="Arial" w:hAnsi="Arial" w:cs="Arial"/>
                      <w:b/>
                      <w:bCs/>
                      <w:i/>
                      <w:iCs/>
                      <w:sz w:val="22"/>
                      <w:szCs w:val="22"/>
                    </w:rPr>
                    <w:t xml:space="preserve"> </w:t>
                  </w:r>
                </w:p>
              </w:tc>
            </w:tr>
            <w:tr w:rsidR="005E5B4F" w:rsidRPr="006B57EA" w14:paraId="0C6F8311" w14:textId="77777777" w:rsidTr="00DF6D11">
              <w:trPr>
                <w:trHeight w:val="510"/>
                <w:jc w:val="center"/>
              </w:trPr>
              <w:tc>
                <w:tcPr>
                  <w:tcW w:w="1020" w:type="dxa"/>
                  <w:tcBorders>
                    <w:top w:val="single" w:sz="12" w:space="0" w:color="B8D995"/>
                  </w:tcBorders>
                  <w:vAlign w:val="center"/>
                </w:tcPr>
                <w:p w14:paraId="65038503" w14:textId="77777777" w:rsidR="005E5B4F" w:rsidRPr="006B57EA" w:rsidRDefault="005E5B4F" w:rsidP="0055187F">
                  <w:pPr>
                    <w:spacing w:line="300" w:lineRule="atLeast"/>
                    <w:rPr>
                      <w:rFonts w:ascii="Arial" w:hAnsi="Arial" w:cs="Arial"/>
                      <w:sz w:val="22"/>
                      <w:szCs w:val="22"/>
                    </w:rPr>
                  </w:pPr>
                  <w:r w:rsidRPr="006B57EA">
                    <w:rPr>
                      <w:rFonts w:ascii="Arial" w:hAnsi="Arial" w:cs="Arial"/>
                      <w:sz w:val="22"/>
                      <w:szCs w:val="22"/>
                    </w:rPr>
                    <w:t>SP H</w:t>
                  </w:r>
                </w:p>
              </w:tc>
              <w:tc>
                <w:tcPr>
                  <w:tcW w:w="7540" w:type="dxa"/>
                  <w:tcBorders>
                    <w:top w:val="single" w:sz="12" w:space="0" w:color="B8D995"/>
                  </w:tcBorders>
                  <w:vAlign w:val="center"/>
                </w:tcPr>
                <w:p w14:paraId="53129F20" w14:textId="77777777" w:rsidR="005E5B4F" w:rsidRPr="006B57EA" w:rsidRDefault="005E5B4F" w:rsidP="0055187F">
                  <w:pPr>
                    <w:spacing w:line="300" w:lineRule="atLeast"/>
                    <w:rPr>
                      <w:rFonts w:ascii="Arial" w:hAnsi="Arial" w:cs="Arial"/>
                      <w:sz w:val="22"/>
                      <w:szCs w:val="22"/>
                    </w:rPr>
                  </w:pPr>
                  <w:r w:rsidRPr="006B57EA">
                    <w:rPr>
                      <w:rFonts w:ascii="Arial" w:hAnsi="Arial" w:cs="Arial"/>
                      <w:sz w:val="22"/>
                      <w:szCs w:val="22"/>
                    </w:rPr>
                    <w:t>Water reform in rural Australia (</w:t>
                  </w:r>
                  <w:r w:rsidRPr="006B57EA">
                    <w:rPr>
                      <w:rFonts w:ascii="Arial" w:hAnsi="Arial" w:cs="Arial"/>
                      <w:i/>
                      <w:iCs/>
                      <w:sz w:val="22"/>
                      <w:szCs w:val="22"/>
                    </w:rPr>
                    <w:t>Rural</w:t>
                  </w:r>
                  <w:r w:rsidRPr="006B57EA">
                    <w:rPr>
                      <w:rFonts w:ascii="Arial" w:hAnsi="Arial" w:cs="Arial"/>
                      <w:sz w:val="22"/>
                      <w:szCs w:val="22"/>
                    </w:rPr>
                    <w:t>)</w:t>
                  </w:r>
                </w:p>
              </w:tc>
            </w:tr>
            <w:tr w:rsidR="005E5B4F" w:rsidRPr="006B57EA" w14:paraId="5EDF75E8" w14:textId="77777777" w:rsidTr="00DF6D11">
              <w:trPr>
                <w:trHeight w:val="510"/>
                <w:jc w:val="center"/>
              </w:trPr>
              <w:tc>
                <w:tcPr>
                  <w:tcW w:w="1020" w:type="dxa"/>
                  <w:vAlign w:val="center"/>
                </w:tcPr>
                <w:p w14:paraId="2D03E0FE" w14:textId="77777777" w:rsidR="005E5B4F" w:rsidRPr="006B57EA" w:rsidRDefault="005E5B4F" w:rsidP="0055187F">
                  <w:pPr>
                    <w:spacing w:line="300" w:lineRule="atLeast"/>
                    <w:rPr>
                      <w:rFonts w:ascii="Arial" w:hAnsi="Arial" w:cs="Arial"/>
                      <w:sz w:val="22"/>
                      <w:szCs w:val="22"/>
                    </w:rPr>
                  </w:pPr>
                  <w:r w:rsidRPr="006B57EA">
                    <w:rPr>
                      <w:rFonts w:ascii="Arial" w:hAnsi="Arial" w:cs="Arial"/>
                      <w:sz w:val="22"/>
                      <w:szCs w:val="22"/>
                    </w:rPr>
                    <w:t>SP I</w:t>
                  </w:r>
                </w:p>
              </w:tc>
              <w:tc>
                <w:tcPr>
                  <w:tcW w:w="7540" w:type="dxa"/>
                  <w:vAlign w:val="center"/>
                </w:tcPr>
                <w:p w14:paraId="08DB447F" w14:textId="77777777" w:rsidR="005E5B4F" w:rsidRPr="006B57EA" w:rsidRDefault="005E5B4F" w:rsidP="0055187F">
                  <w:pPr>
                    <w:spacing w:line="300" w:lineRule="atLeast"/>
                    <w:rPr>
                      <w:rFonts w:ascii="Arial" w:hAnsi="Arial" w:cs="Arial"/>
                      <w:sz w:val="22"/>
                      <w:szCs w:val="22"/>
                    </w:rPr>
                  </w:pPr>
                  <w:r w:rsidRPr="006B57EA">
                    <w:rPr>
                      <w:rFonts w:ascii="Arial" w:hAnsi="Arial" w:cs="Arial"/>
                      <w:sz w:val="22"/>
                      <w:szCs w:val="22"/>
                    </w:rPr>
                    <w:t>Government investment in major water infrastructure (</w:t>
                  </w:r>
                  <w:r w:rsidRPr="006B57EA">
                    <w:rPr>
                      <w:rFonts w:ascii="Arial" w:hAnsi="Arial" w:cs="Arial"/>
                      <w:i/>
                      <w:iCs/>
                      <w:sz w:val="22"/>
                      <w:szCs w:val="22"/>
                    </w:rPr>
                    <w:t>Infrastructure</w:t>
                  </w:r>
                  <w:r w:rsidRPr="006B57EA">
                    <w:rPr>
                      <w:rFonts w:ascii="Arial" w:hAnsi="Arial" w:cs="Arial"/>
                      <w:sz w:val="22"/>
                      <w:szCs w:val="22"/>
                    </w:rPr>
                    <w:t>)</w:t>
                  </w:r>
                </w:p>
              </w:tc>
            </w:tr>
            <w:tr w:rsidR="005E5B4F" w:rsidRPr="006B57EA" w14:paraId="2F2E62B3" w14:textId="77777777" w:rsidTr="00DF6D11">
              <w:trPr>
                <w:trHeight w:val="510"/>
                <w:jc w:val="center"/>
              </w:trPr>
              <w:tc>
                <w:tcPr>
                  <w:tcW w:w="1020" w:type="dxa"/>
                  <w:vAlign w:val="center"/>
                </w:tcPr>
                <w:p w14:paraId="3DBB20D8" w14:textId="77777777" w:rsidR="005E5B4F" w:rsidRPr="006B57EA" w:rsidRDefault="005E5B4F" w:rsidP="0055187F">
                  <w:pPr>
                    <w:spacing w:line="300" w:lineRule="atLeast"/>
                    <w:rPr>
                      <w:rFonts w:ascii="Arial" w:hAnsi="Arial" w:cs="Arial"/>
                      <w:sz w:val="22"/>
                      <w:szCs w:val="22"/>
                    </w:rPr>
                  </w:pPr>
                  <w:r w:rsidRPr="006B57EA">
                    <w:rPr>
                      <w:rFonts w:ascii="Arial" w:hAnsi="Arial" w:cs="Arial"/>
                      <w:sz w:val="22"/>
                      <w:szCs w:val="22"/>
                    </w:rPr>
                    <w:t>SP J</w:t>
                  </w:r>
                </w:p>
              </w:tc>
              <w:tc>
                <w:tcPr>
                  <w:tcW w:w="7540" w:type="dxa"/>
                  <w:vAlign w:val="center"/>
                </w:tcPr>
                <w:p w14:paraId="4EE7D6F5" w14:textId="77777777" w:rsidR="005E5B4F" w:rsidRPr="006B57EA" w:rsidRDefault="005E5B4F" w:rsidP="0055187F">
                  <w:pPr>
                    <w:spacing w:line="300" w:lineRule="atLeast"/>
                    <w:rPr>
                      <w:rFonts w:ascii="Arial" w:hAnsi="Arial" w:cs="Arial"/>
                      <w:sz w:val="22"/>
                      <w:szCs w:val="22"/>
                    </w:rPr>
                  </w:pPr>
                  <w:r w:rsidRPr="006B57EA">
                    <w:rPr>
                      <w:rFonts w:ascii="Arial" w:hAnsi="Arial" w:cs="Arial"/>
                      <w:sz w:val="22"/>
                      <w:szCs w:val="22"/>
                    </w:rPr>
                    <w:t>Community engagement (</w:t>
                  </w:r>
                  <w:r w:rsidRPr="006B57EA">
                    <w:rPr>
                      <w:rFonts w:ascii="Arial" w:hAnsi="Arial" w:cs="Arial"/>
                      <w:i/>
                      <w:iCs/>
                      <w:sz w:val="22"/>
                      <w:szCs w:val="22"/>
                    </w:rPr>
                    <w:t>Engagement</w:t>
                  </w:r>
                  <w:r w:rsidRPr="006B57EA">
                    <w:rPr>
                      <w:rFonts w:ascii="Arial" w:hAnsi="Arial" w:cs="Arial"/>
                      <w:sz w:val="22"/>
                      <w:szCs w:val="22"/>
                    </w:rPr>
                    <w:t>)</w:t>
                  </w:r>
                </w:p>
              </w:tc>
            </w:tr>
            <w:tr w:rsidR="005E5B4F" w:rsidRPr="006B57EA" w14:paraId="75B48B8D" w14:textId="77777777" w:rsidTr="00DF6D11">
              <w:trPr>
                <w:trHeight w:val="510"/>
                <w:jc w:val="center"/>
              </w:trPr>
              <w:tc>
                <w:tcPr>
                  <w:tcW w:w="1020" w:type="dxa"/>
                  <w:shd w:val="clear" w:color="auto" w:fill="F2F2F2" w:themeFill="background1" w:themeFillShade="F2"/>
                  <w:vAlign w:val="center"/>
                </w:tcPr>
                <w:p w14:paraId="218D43DF" w14:textId="77777777" w:rsidR="005E5B4F" w:rsidRPr="006B57EA" w:rsidRDefault="005E5B4F" w:rsidP="0055187F">
                  <w:pPr>
                    <w:spacing w:line="300" w:lineRule="atLeast"/>
                    <w:rPr>
                      <w:rFonts w:ascii="Arial" w:hAnsi="Arial" w:cs="Arial"/>
                      <w:sz w:val="22"/>
                      <w:szCs w:val="22"/>
                    </w:rPr>
                  </w:pPr>
                  <w:r w:rsidRPr="006B57EA">
                    <w:rPr>
                      <w:rFonts w:ascii="Arial" w:hAnsi="Arial" w:cs="Arial"/>
                      <w:sz w:val="22"/>
                      <w:szCs w:val="22"/>
                    </w:rPr>
                    <w:t>SP K</w:t>
                  </w:r>
                </w:p>
              </w:tc>
              <w:tc>
                <w:tcPr>
                  <w:tcW w:w="7540" w:type="dxa"/>
                  <w:shd w:val="clear" w:color="auto" w:fill="F2F2F2" w:themeFill="background1" w:themeFillShade="F2"/>
                  <w:vAlign w:val="center"/>
                </w:tcPr>
                <w:p w14:paraId="4371897E" w14:textId="77777777" w:rsidR="005E5B4F" w:rsidRPr="006B57EA" w:rsidRDefault="005E5B4F" w:rsidP="0055187F">
                  <w:pPr>
                    <w:spacing w:line="300" w:lineRule="atLeast"/>
                    <w:rPr>
                      <w:rFonts w:ascii="Arial" w:hAnsi="Arial" w:cs="Arial"/>
                      <w:sz w:val="22"/>
                      <w:szCs w:val="22"/>
                    </w:rPr>
                  </w:pPr>
                  <w:r w:rsidRPr="006B57EA">
                    <w:rPr>
                      <w:rFonts w:ascii="Arial" w:hAnsi="Arial" w:cs="Arial"/>
                      <w:sz w:val="22"/>
                      <w:szCs w:val="22"/>
                    </w:rPr>
                    <w:t xml:space="preserve">Knowledge, </w:t>
                  </w:r>
                  <w:proofErr w:type="gramStart"/>
                  <w:r w:rsidRPr="006B57EA">
                    <w:rPr>
                      <w:rFonts w:ascii="Arial" w:hAnsi="Arial" w:cs="Arial"/>
                      <w:sz w:val="22"/>
                      <w:szCs w:val="22"/>
                    </w:rPr>
                    <w:t>capacity</w:t>
                  </w:r>
                  <w:proofErr w:type="gramEnd"/>
                  <w:r w:rsidRPr="006B57EA">
                    <w:rPr>
                      <w:rFonts w:ascii="Arial" w:hAnsi="Arial" w:cs="Arial"/>
                      <w:sz w:val="22"/>
                      <w:szCs w:val="22"/>
                    </w:rPr>
                    <w:t xml:space="preserve"> and capability building (</w:t>
                  </w:r>
                  <w:r w:rsidRPr="006B57EA">
                    <w:rPr>
                      <w:rFonts w:ascii="Arial" w:hAnsi="Arial" w:cs="Arial"/>
                      <w:i/>
                      <w:iCs/>
                      <w:sz w:val="22"/>
                      <w:szCs w:val="22"/>
                    </w:rPr>
                    <w:t>Knowledge</w:t>
                  </w:r>
                  <w:r w:rsidRPr="006B57EA">
                    <w:rPr>
                      <w:rFonts w:ascii="Arial" w:hAnsi="Arial" w:cs="Arial"/>
                      <w:sz w:val="22"/>
                      <w:szCs w:val="22"/>
                    </w:rPr>
                    <w:t>)</w:t>
                  </w:r>
                </w:p>
              </w:tc>
            </w:tr>
            <w:bookmarkEnd w:id="0"/>
          </w:tbl>
          <w:p w14:paraId="2A5A85D4" w14:textId="77777777" w:rsidR="005E5B4F" w:rsidRPr="006B57EA" w:rsidRDefault="005E5B4F" w:rsidP="0055187F">
            <w:pPr>
              <w:keepNext/>
              <w:keepLines/>
              <w:spacing w:before="120" w:line="280" w:lineRule="atLeast"/>
              <w:jc w:val="both"/>
              <w:rPr>
                <w:rFonts w:ascii="Arial" w:hAnsi="Arial" w:cs="Arial"/>
                <w:sz w:val="22"/>
                <w:szCs w:val="22"/>
              </w:rPr>
            </w:pPr>
          </w:p>
        </w:tc>
      </w:tr>
      <w:tr w:rsidR="005E5B4F" w:rsidRPr="006B57EA" w14:paraId="3A4B4DE6" w14:textId="77777777" w:rsidTr="0055187F">
        <w:trPr>
          <w:cantSplit/>
        </w:trPr>
        <w:tc>
          <w:tcPr>
            <w:tcW w:w="5000" w:type="pct"/>
            <w:tcBorders>
              <w:top w:val="nil"/>
              <w:left w:val="nil"/>
              <w:bottom w:val="single" w:sz="6" w:space="0" w:color="78A22F"/>
              <w:right w:val="nil"/>
            </w:tcBorders>
            <w:shd w:val="clear" w:color="auto" w:fill="F2F2F2"/>
            <w:tcMar>
              <w:left w:w="170" w:type="dxa"/>
              <w:right w:w="170" w:type="dxa"/>
            </w:tcMar>
          </w:tcPr>
          <w:p w14:paraId="661B2445" w14:textId="77777777" w:rsidR="005E5B4F" w:rsidRPr="006B57EA" w:rsidRDefault="005E5B4F" w:rsidP="0055187F">
            <w:pPr>
              <w:keepNext/>
              <w:keepLines/>
              <w:spacing w:line="120" w:lineRule="exact"/>
              <w:jc w:val="both"/>
              <w:rPr>
                <w:rFonts w:ascii="Arial" w:hAnsi="Arial" w:cs="Arial"/>
                <w:sz w:val="22"/>
                <w:szCs w:val="22"/>
              </w:rPr>
            </w:pPr>
          </w:p>
        </w:tc>
      </w:tr>
      <w:tr w:rsidR="005E5B4F" w:rsidRPr="006B57EA" w14:paraId="4EE691E9" w14:textId="77777777" w:rsidTr="0055187F">
        <w:trPr>
          <w:cantSplit/>
        </w:trPr>
        <w:tc>
          <w:tcPr>
            <w:tcW w:w="5000" w:type="pct"/>
            <w:tcBorders>
              <w:top w:val="single" w:sz="6" w:space="0" w:color="78A22F"/>
              <w:left w:val="nil"/>
              <w:bottom w:val="nil"/>
              <w:right w:val="nil"/>
            </w:tcBorders>
            <w:tcMar>
              <w:left w:w="170" w:type="dxa"/>
              <w:right w:w="170" w:type="dxa"/>
            </w:tcMar>
          </w:tcPr>
          <w:p w14:paraId="75F83A6E" w14:textId="77777777" w:rsidR="005E5B4F" w:rsidRPr="006B57EA" w:rsidRDefault="005E5B4F" w:rsidP="0055187F">
            <w:pPr>
              <w:keepLines/>
              <w:spacing w:before="60" w:after="60" w:line="80" w:lineRule="exact"/>
              <w:jc w:val="both"/>
              <w:rPr>
                <w:rFonts w:ascii="Arial" w:hAnsi="Arial" w:cs="Arial"/>
                <w:sz w:val="22"/>
                <w:szCs w:val="22"/>
              </w:rPr>
            </w:pPr>
          </w:p>
        </w:tc>
      </w:tr>
    </w:tbl>
    <w:p w14:paraId="7E786C89" w14:textId="77777777" w:rsidR="005E5B4F" w:rsidRPr="000D3D00" w:rsidRDefault="005E5B4F" w:rsidP="005E5B4F">
      <w:pPr>
        <w:pStyle w:val="Copyrightheading"/>
        <w:spacing w:before="480"/>
        <w:rPr>
          <w:sz w:val="20"/>
          <w:szCs w:val="20"/>
        </w:rPr>
      </w:pPr>
      <w:r w:rsidRPr="008C305F">
        <w:fldChar w:fldCharType="begin"/>
      </w:r>
      <w:r w:rsidRPr="008C305F">
        <w:instrText>SYMBOL 227 \f "Symbol"</w:instrText>
      </w:r>
      <w:r w:rsidRPr="008C305F">
        <w:fldChar w:fldCharType="end"/>
      </w:r>
      <w:r w:rsidRPr="008C305F">
        <w:t xml:space="preserve"> </w:t>
      </w:r>
      <w:r w:rsidRPr="000D3D00">
        <w:rPr>
          <w:sz w:val="20"/>
          <w:szCs w:val="20"/>
        </w:rPr>
        <w:t>Commonwealth of Australia 2021</w:t>
      </w:r>
    </w:p>
    <w:p w14:paraId="6CE8BC40" w14:textId="77777777" w:rsidR="005E5B4F" w:rsidRPr="000D3D00" w:rsidRDefault="005E5B4F" w:rsidP="005E5B4F">
      <w:pPr>
        <w:pStyle w:val="BodyText"/>
        <w:spacing w:before="120" w:after="120" w:line="240" w:lineRule="auto"/>
        <w:rPr>
          <w:sz w:val="20"/>
        </w:rPr>
      </w:pPr>
      <w:bookmarkStart w:id="1" w:name="ISSN"/>
      <w:bookmarkEnd w:id="1"/>
      <w:r w:rsidRPr="000D3D00">
        <w:rPr>
          <w:noProof/>
          <w:sz w:val="20"/>
        </w:rPr>
        <w:drawing>
          <wp:inline distT="0" distB="0" distL="0" distR="0" wp14:anchorId="78185FB7" wp14:editId="5A1CF839">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378AE673" w14:textId="77777777" w:rsidR="005E5B4F" w:rsidRPr="000D3D00" w:rsidRDefault="005E5B4F" w:rsidP="005E5B4F">
      <w:pPr>
        <w:pStyle w:val="Copyrightbodytext"/>
        <w:spacing w:before="120" w:line="240" w:lineRule="auto"/>
        <w:rPr>
          <w:sz w:val="20"/>
        </w:rPr>
      </w:pPr>
      <w:r w:rsidRPr="000D3D00">
        <w:rPr>
          <w:sz w:val="20"/>
        </w:rPr>
        <w:t xml:space="preserve">Except for the Commonwealth Coat of Arms and content supplied by third parties, this copyright work is licensed under a Creative Commons Attribution 3.0 Australia licence. To view a copy of this licence, visit </w:t>
      </w:r>
      <w:hyperlink r:id="rId16" w:history="1">
        <w:hyperlink r:id="rId17" w:history="1">
          <w:r w:rsidRPr="000D3D00">
            <w:rPr>
              <w:sz w:val="20"/>
            </w:rPr>
            <w:t>http://creativecommons.org/licenses/by/3.0/au</w:t>
          </w:r>
        </w:hyperlink>
      </w:hyperlink>
      <w:r w:rsidRPr="000D3D00">
        <w:rPr>
          <w:sz w:val="20"/>
        </w:rPr>
        <w:t xml:space="preserve">. In essence, you are free to copy, communicate and adapt the work, </w:t>
      </w:r>
      <w:proofErr w:type="gramStart"/>
      <w:r w:rsidRPr="000D3D00">
        <w:rPr>
          <w:sz w:val="20"/>
        </w:rPr>
        <w:t>as long as</w:t>
      </w:r>
      <w:proofErr w:type="gramEnd"/>
      <w:r w:rsidRPr="000D3D00">
        <w:rPr>
          <w:sz w:val="20"/>
        </w:rPr>
        <w:t xml:space="preserve"> you attribute the work to the Productivity Commission (but not in any way that suggests the Commission endorses you or your use) and abide by the other licence terms.</w:t>
      </w:r>
    </w:p>
    <w:p w14:paraId="66B7A5B6" w14:textId="77777777" w:rsidR="005E5B4F" w:rsidRPr="000D3D00" w:rsidRDefault="005E5B4F" w:rsidP="005E5B4F">
      <w:pPr>
        <w:pStyle w:val="Copyrightsubtitle"/>
        <w:spacing w:line="240" w:lineRule="auto"/>
        <w:rPr>
          <w:sz w:val="20"/>
          <w:szCs w:val="20"/>
        </w:rPr>
      </w:pPr>
      <w:r w:rsidRPr="000D3D00">
        <w:rPr>
          <w:sz w:val="20"/>
          <w:szCs w:val="20"/>
        </w:rPr>
        <w:t>Use of the Commonwealth Coat of Arms</w:t>
      </w:r>
    </w:p>
    <w:p w14:paraId="2E5D3273" w14:textId="77777777" w:rsidR="005E5B4F" w:rsidRPr="00340FCB" w:rsidRDefault="005E5B4F" w:rsidP="005E5B4F">
      <w:pPr>
        <w:pStyle w:val="Copyrightbodytext"/>
        <w:spacing w:before="120" w:line="240" w:lineRule="auto"/>
        <w:rPr>
          <w:spacing w:val="-4"/>
          <w:sz w:val="20"/>
          <w:u w:val="single"/>
        </w:rPr>
      </w:pPr>
      <w:r w:rsidRPr="000D3D00">
        <w:rPr>
          <w:spacing w:val="-4"/>
          <w:sz w:val="20"/>
        </w:rPr>
        <w:t xml:space="preserve">Terms of use for the Coat of Arms are available from the Department of the Prime Minister and Cabinet’s website: </w:t>
      </w:r>
      <w:hyperlink r:id="rId18" w:history="1">
        <w:r w:rsidRPr="00340FCB">
          <w:rPr>
            <w:rStyle w:val="Hyperlink"/>
            <w:color w:val="auto"/>
            <w:spacing w:val="-4"/>
            <w:sz w:val="20"/>
          </w:rPr>
          <w:t>www.pmc.gov.au/government/commonwealth-coat-arms</w:t>
        </w:r>
      </w:hyperlink>
    </w:p>
    <w:p w14:paraId="48653EDE" w14:textId="77777777" w:rsidR="005E5B4F" w:rsidRPr="000D3D00" w:rsidRDefault="005E5B4F" w:rsidP="005E5B4F">
      <w:pPr>
        <w:pStyle w:val="Copyrightsubtitle"/>
        <w:spacing w:line="240" w:lineRule="auto"/>
        <w:rPr>
          <w:sz w:val="20"/>
          <w:szCs w:val="20"/>
        </w:rPr>
      </w:pPr>
      <w:r w:rsidRPr="000D3D00">
        <w:rPr>
          <w:sz w:val="20"/>
          <w:szCs w:val="20"/>
        </w:rPr>
        <w:t>Third party copyright</w:t>
      </w:r>
    </w:p>
    <w:p w14:paraId="6F29A35C" w14:textId="77777777" w:rsidR="005E5B4F" w:rsidRPr="00AF60DC" w:rsidRDefault="005E5B4F" w:rsidP="005E5B4F">
      <w:pPr>
        <w:pStyle w:val="Copyrightbodytext"/>
        <w:spacing w:before="120" w:line="240" w:lineRule="auto"/>
        <w:rPr>
          <w:sz w:val="20"/>
        </w:rPr>
      </w:pPr>
      <w:r w:rsidRPr="00AF60DC">
        <w:rPr>
          <w:sz w:val="20"/>
        </w:rPr>
        <w:t>Wherever a third party holds copyright in this material, the copyright remains with that party. Their permission may be required to use the material, please contact them directly.</w:t>
      </w:r>
    </w:p>
    <w:p w14:paraId="2B6D0306" w14:textId="77777777" w:rsidR="005E5B4F" w:rsidRPr="000D3D00" w:rsidRDefault="005E5B4F" w:rsidP="005E5B4F">
      <w:pPr>
        <w:pStyle w:val="Copyrightsubtitle"/>
        <w:spacing w:line="240" w:lineRule="auto"/>
        <w:rPr>
          <w:sz w:val="20"/>
          <w:szCs w:val="20"/>
        </w:rPr>
      </w:pPr>
      <w:r w:rsidRPr="000D3D00">
        <w:rPr>
          <w:sz w:val="20"/>
          <w:szCs w:val="20"/>
        </w:rPr>
        <w:t xml:space="preserve">An appropriate reference for this publication is: </w:t>
      </w:r>
    </w:p>
    <w:p w14:paraId="1019C7BD" w14:textId="6A00A42D" w:rsidR="005E5B4F" w:rsidRDefault="005E5B4F" w:rsidP="005E5B4F">
      <w:pPr>
        <w:pStyle w:val="Copyrightsubtitle"/>
        <w:spacing w:before="120" w:line="240" w:lineRule="auto"/>
        <w:rPr>
          <w:rFonts w:ascii="Times New Roman" w:hAnsi="Times New Roman"/>
          <w:b w:val="0"/>
          <w:sz w:val="20"/>
          <w:szCs w:val="20"/>
        </w:rPr>
      </w:pPr>
      <w:r w:rsidRPr="008E68D1">
        <w:rPr>
          <w:rFonts w:ascii="Times New Roman" w:hAnsi="Times New Roman"/>
          <w:b w:val="0"/>
          <w:sz w:val="20"/>
          <w:szCs w:val="20"/>
        </w:rPr>
        <w:t>Productivity Commission 20</w:t>
      </w:r>
      <w:r>
        <w:rPr>
          <w:rFonts w:ascii="Times New Roman" w:hAnsi="Times New Roman"/>
          <w:b w:val="0"/>
          <w:sz w:val="20"/>
          <w:szCs w:val="20"/>
        </w:rPr>
        <w:t>21</w:t>
      </w:r>
      <w:r w:rsidRPr="008E68D1">
        <w:rPr>
          <w:rFonts w:ascii="Times New Roman" w:hAnsi="Times New Roman"/>
          <w:b w:val="0"/>
          <w:sz w:val="20"/>
          <w:szCs w:val="20"/>
        </w:rPr>
        <w:t xml:space="preserve">, </w:t>
      </w:r>
      <w:r w:rsidR="00340FCB" w:rsidRPr="00340FCB">
        <w:rPr>
          <w:rFonts w:ascii="Times New Roman" w:hAnsi="Times New Roman"/>
          <w:b w:val="0"/>
          <w:i/>
          <w:iCs/>
          <w:sz w:val="20"/>
          <w:szCs w:val="20"/>
        </w:rPr>
        <w:t>Urban water services: regional and remote communities</w:t>
      </w:r>
      <w:r w:rsidRPr="00791866">
        <w:rPr>
          <w:rFonts w:ascii="Times New Roman" w:hAnsi="Times New Roman"/>
          <w:b w:val="0"/>
          <w:i/>
          <w:iCs/>
          <w:sz w:val="20"/>
          <w:szCs w:val="20"/>
        </w:rPr>
        <w:t xml:space="preserve">, Supporting Paper </w:t>
      </w:r>
      <w:r w:rsidR="00340FCB">
        <w:rPr>
          <w:rFonts w:ascii="Times New Roman" w:hAnsi="Times New Roman"/>
          <w:b w:val="0"/>
          <w:i/>
          <w:iCs/>
          <w:sz w:val="20"/>
          <w:szCs w:val="20"/>
        </w:rPr>
        <w:t>G</w:t>
      </w:r>
      <w:r>
        <w:rPr>
          <w:rFonts w:ascii="Times New Roman" w:hAnsi="Times New Roman"/>
          <w:b w:val="0"/>
          <w:sz w:val="20"/>
          <w:szCs w:val="20"/>
        </w:rPr>
        <w:t xml:space="preserve"> to </w:t>
      </w:r>
      <w:r w:rsidRPr="00791866">
        <w:rPr>
          <w:rFonts w:ascii="Times New Roman" w:hAnsi="Times New Roman"/>
          <w:b w:val="0"/>
          <w:sz w:val="20"/>
          <w:szCs w:val="20"/>
        </w:rPr>
        <w:t>National Water Reform 2020</w:t>
      </w:r>
      <w:r w:rsidRPr="008E68D1">
        <w:rPr>
          <w:rFonts w:ascii="Times New Roman" w:hAnsi="Times New Roman"/>
          <w:b w:val="0"/>
          <w:i/>
          <w:iCs/>
          <w:sz w:val="20"/>
          <w:szCs w:val="20"/>
        </w:rPr>
        <w:t>,</w:t>
      </w:r>
      <w:r w:rsidRPr="008E68D1">
        <w:rPr>
          <w:rFonts w:ascii="Times New Roman" w:hAnsi="Times New Roman"/>
          <w:b w:val="0"/>
          <w:sz w:val="20"/>
          <w:szCs w:val="20"/>
        </w:rPr>
        <w:t xml:space="preserve"> Draft Report, Canberra</w:t>
      </w:r>
      <w:r>
        <w:rPr>
          <w:rFonts w:ascii="Times New Roman" w:hAnsi="Times New Roman"/>
          <w:b w:val="0"/>
          <w:sz w:val="20"/>
          <w:szCs w:val="20"/>
        </w:rPr>
        <w:t>.</w:t>
      </w:r>
    </w:p>
    <w:p w14:paraId="481046DF" w14:textId="77777777" w:rsidR="005E5B4F" w:rsidRPr="000D3D00" w:rsidRDefault="005E5B4F" w:rsidP="005E5B4F">
      <w:pPr>
        <w:pStyle w:val="Copyrightsubtitle"/>
        <w:spacing w:line="240" w:lineRule="auto"/>
        <w:rPr>
          <w:sz w:val="20"/>
          <w:szCs w:val="20"/>
        </w:rPr>
      </w:pPr>
      <w:r w:rsidRPr="000D3D00">
        <w:rPr>
          <w:sz w:val="20"/>
          <w:szCs w:val="20"/>
        </w:rPr>
        <w:t>Publications enquiries:</w:t>
      </w:r>
    </w:p>
    <w:p w14:paraId="337BAF1B" w14:textId="77777777" w:rsidR="005E5B4F" w:rsidRPr="005E5B4F" w:rsidRDefault="005E5B4F" w:rsidP="005E5B4F">
      <w:pPr>
        <w:pStyle w:val="Copyrightsubtitle"/>
        <w:spacing w:before="120" w:line="240" w:lineRule="auto"/>
        <w:rPr>
          <w:rFonts w:ascii="Times New Roman" w:hAnsi="Times New Roman"/>
          <w:b w:val="0"/>
          <w:bCs/>
          <w:sz w:val="20"/>
          <w:szCs w:val="20"/>
        </w:rPr>
      </w:pPr>
      <w:r w:rsidRPr="005E5B4F">
        <w:rPr>
          <w:rFonts w:ascii="Times New Roman" w:hAnsi="Times New Roman"/>
          <w:b w:val="0"/>
          <w:bCs/>
          <w:sz w:val="20"/>
          <w:szCs w:val="20"/>
        </w:rPr>
        <w:t xml:space="preserve">Media, Publications and Web, phone: (03) 9653 2244 or email: </w:t>
      </w:r>
      <w:hyperlink r:id="rId19" w:history="1">
        <w:r w:rsidRPr="005E5B4F">
          <w:rPr>
            <w:rStyle w:val="Hyperlink"/>
            <w:rFonts w:ascii="Times New Roman" w:hAnsi="Times New Roman"/>
            <w:b w:val="0"/>
            <w:bCs/>
            <w:color w:val="auto"/>
            <w:sz w:val="20"/>
            <w:szCs w:val="20"/>
          </w:rPr>
          <w:t>mpw@pc.gov.au</w:t>
        </w:r>
      </w:hyperlink>
    </w:p>
    <w:p w14:paraId="6796CF18" w14:textId="5F82718D" w:rsidR="003D68B0" w:rsidRPr="005E5B4F" w:rsidRDefault="003D68B0" w:rsidP="00E05EF9">
      <w:pPr>
        <w:spacing w:before="240" w:line="300" w:lineRule="atLeast"/>
        <w:jc w:val="both"/>
        <w:rPr>
          <w:szCs w:val="20"/>
        </w:rPr>
        <w:sectPr w:rsidR="003D68B0" w:rsidRPr="005E5B4F" w:rsidSect="00DF05FF">
          <w:type w:val="oddPage"/>
          <w:pgSz w:w="11907" w:h="16840" w:code="9"/>
          <w:pgMar w:top="1985" w:right="1304" w:bottom="1247" w:left="1814" w:header="1701" w:footer="397" w:gutter="0"/>
          <w:pgNumType w:start="0" w:chapSep="period"/>
          <w:cols w:space="720"/>
          <w:docGrid w:linePitch="326"/>
        </w:sectPr>
      </w:pPr>
    </w:p>
    <w:p w14:paraId="1F93AC4E" w14:textId="77777777" w:rsidR="00E05EF9" w:rsidRPr="00E05EF9" w:rsidRDefault="00E05EF9" w:rsidP="00E05EF9">
      <w:pPr>
        <w:keepNext/>
        <w:spacing w:before="160" w:after="1360" w:line="600" w:lineRule="exact"/>
        <w:ind w:left="907" w:hanging="907"/>
        <w:outlineLvl w:val="0"/>
        <w:rPr>
          <w:kern w:val="28"/>
          <w:sz w:val="52"/>
          <w:szCs w:val="26"/>
          <w:lang w:eastAsia="en-US"/>
        </w:rPr>
      </w:pPr>
      <w:r w:rsidRPr="00E05EF9">
        <w:rPr>
          <w:kern w:val="28"/>
          <w:sz w:val="52"/>
          <w:szCs w:val="26"/>
          <w:lang w:eastAsia="en-US"/>
        </w:rPr>
        <w:lastRenderedPageBreak/>
        <w:t>Contents</w:t>
      </w:r>
    </w:p>
    <w:sdt>
      <w:sdtPr>
        <w:rPr>
          <w:rFonts w:ascii="Times New Roman" w:hAnsi="Times New Roman"/>
          <w:b w:val="0"/>
          <w:noProof/>
          <w:sz w:val="24"/>
          <w:szCs w:val="24"/>
          <w:lang w:eastAsia="en-AU"/>
        </w:rPr>
        <w:id w:val="998083907"/>
        <w:docPartObj>
          <w:docPartGallery w:val="Table of Contents"/>
          <w:docPartUnique/>
        </w:docPartObj>
      </w:sdtPr>
      <w:sdtEndPr/>
      <w:sdtContent>
        <w:p w14:paraId="5EE33D9E" w14:textId="67485FA8" w:rsidR="00F60834" w:rsidRDefault="00E05EF9">
          <w:pPr>
            <w:pStyle w:val="TOC1"/>
            <w:rPr>
              <w:rFonts w:asciiTheme="minorHAnsi" w:eastAsiaTheme="minorEastAsia" w:hAnsiTheme="minorHAnsi" w:cstheme="minorBidi"/>
              <w:b w:val="0"/>
              <w:noProof/>
              <w:sz w:val="22"/>
              <w:szCs w:val="22"/>
              <w:lang w:eastAsia="en-AU"/>
            </w:rPr>
          </w:pPr>
          <w:r w:rsidRPr="00E05EF9">
            <w:rPr>
              <w:noProof/>
            </w:rPr>
            <w:fldChar w:fldCharType="begin"/>
          </w:r>
          <w:r w:rsidRPr="00E05EF9">
            <w:rPr>
              <w:noProof/>
            </w:rPr>
            <w:instrText xml:space="preserve"> TOC \h \z \t "Heading 1,1,Heading 2,1,Heading 3,2,Caption,1,Heading 1 (no chapter no.),1,Heading 2 (no section no.),1" </w:instrText>
          </w:r>
          <w:r w:rsidRPr="00E05EF9">
            <w:rPr>
              <w:noProof/>
            </w:rPr>
            <w:fldChar w:fldCharType="separate"/>
          </w:r>
          <w:hyperlink w:anchor="_Toc62043643" w:history="1">
            <w:r w:rsidR="00F60834" w:rsidRPr="00E11219">
              <w:rPr>
                <w:rStyle w:val="Hyperlink"/>
                <w:noProof/>
              </w:rPr>
              <w:t>Key points</w:t>
            </w:r>
            <w:r w:rsidR="00F60834">
              <w:rPr>
                <w:noProof/>
                <w:webHidden/>
              </w:rPr>
              <w:tab/>
            </w:r>
            <w:r w:rsidR="00F60834">
              <w:rPr>
                <w:noProof/>
                <w:webHidden/>
              </w:rPr>
              <w:fldChar w:fldCharType="begin"/>
            </w:r>
            <w:r w:rsidR="00F60834">
              <w:rPr>
                <w:noProof/>
                <w:webHidden/>
              </w:rPr>
              <w:instrText xml:space="preserve"> PAGEREF _Toc62043643 \h </w:instrText>
            </w:r>
            <w:r w:rsidR="00F60834">
              <w:rPr>
                <w:noProof/>
                <w:webHidden/>
              </w:rPr>
            </w:r>
            <w:r w:rsidR="00F60834">
              <w:rPr>
                <w:noProof/>
                <w:webHidden/>
              </w:rPr>
              <w:fldChar w:fldCharType="separate"/>
            </w:r>
            <w:r w:rsidR="00AB38AC">
              <w:rPr>
                <w:noProof/>
                <w:webHidden/>
              </w:rPr>
              <w:t>5</w:t>
            </w:r>
            <w:r w:rsidR="00F60834">
              <w:rPr>
                <w:noProof/>
                <w:webHidden/>
              </w:rPr>
              <w:fldChar w:fldCharType="end"/>
            </w:r>
          </w:hyperlink>
        </w:p>
        <w:p w14:paraId="4EBFCD02" w14:textId="41F52C8D" w:rsidR="00F60834" w:rsidRDefault="00AB38AC">
          <w:pPr>
            <w:pStyle w:val="TOC1"/>
            <w:rPr>
              <w:rFonts w:asciiTheme="minorHAnsi" w:eastAsiaTheme="minorEastAsia" w:hAnsiTheme="minorHAnsi" w:cstheme="minorBidi"/>
              <w:b w:val="0"/>
              <w:noProof/>
              <w:sz w:val="22"/>
              <w:szCs w:val="22"/>
              <w:lang w:eastAsia="en-AU"/>
            </w:rPr>
          </w:pPr>
          <w:hyperlink w:anchor="_Toc62043644" w:history="1">
            <w:r w:rsidR="00F60834" w:rsidRPr="00E11219">
              <w:rPr>
                <w:rStyle w:val="Hyperlink"/>
                <w:noProof/>
              </w:rPr>
              <w:t>1</w:t>
            </w:r>
            <w:r w:rsidR="00F60834">
              <w:rPr>
                <w:rFonts w:asciiTheme="minorHAnsi" w:eastAsiaTheme="minorEastAsia" w:hAnsiTheme="minorHAnsi" w:cstheme="minorBidi"/>
                <w:b w:val="0"/>
                <w:noProof/>
                <w:sz w:val="22"/>
                <w:szCs w:val="22"/>
                <w:lang w:eastAsia="en-AU"/>
              </w:rPr>
              <w:tab/>
            </w:r>
            <w:r w:rsidR="00F60834" w:rsidRPr="00E11219">
              <w:rPr>
                <w:rStyle w:val="Hyperlink"/>
                <w:noProof/>
              </w:rPr>
              <w:t>Background</w:t>
            </w:r>
            <w:r w:rsidR="00F60834">
              <w:rPr>
                <w:noProof/>
                <w:webHidden/>
              </w:rPr>
              <w:tab/>
            </w:r>
            <w:r w:rsidR="00F60834">
              <w:rPr>
                <w:noProof/>
                <w:webHidden/>
              </w:rPr>
              <w:fldChar w:fldCharType="begin"/>
            </w:r>
            <w:r w:rsidR="00F60834">
              <w:rPr>
                <w:noProof/>
                <w:webHidden/>
              </w:rPr>
              <w:instrText xml:space="preserve"> PAGEREF _Toc62043644 \h </w:instrText>
            </w:r>
            <w:r w:rsidR="00F60834">
              <w:rPr>
                <w:noProof/>
                <w:webHidden/>
              </w:rPr>
            </w:r>
            <w:r w:rsidR="00F60834">
              <w:rPr>
                <w:noProof/>
                <w:webHidden/>
              </w:rPr>
              <w:fldChar w:fldCharType="separate"/>
            </w:r>
            <w:r>
              <w:rPr>
                <w:noProof/>
                <w:webHidden/>
              </w:rPr>
              <w:t>7</w:t>
            </w:r>
            <w:r w:rsidR="00F60834">
              <w:rPr>
                <w:noProof/>
                <w:webHidden/>
              </w:rPr>
              <w:fldChar w:fldCharType="end"/>
            </w:r>
          </w:hyperlink>
        </w:p>
        <w:p w14:paraId="2F28B42C" w14:textId="21B32654"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45" w:history="1">
            <w:r w:rsidR="00F60834" w:rsidRPr="00E11219">
              <w:rPr>
                <w:rStyle w:val="Hyperlink"/>
                <w:noProof/>
              </w:rPr>
              <w:t>1.1</w:t>
            </w:r>
            <w:r w:rsidR="00F60834">
              <w:rPr>
                <w:rFonts w:asciiTheme="minorHAnsi" w:eastAsiaTheme="minorEastAsia" w:hAnsiTheme="minorHAnsi" w:cstheme="minorBidi"/>
                <w:noProof/>
                <w:sz w:val="22"/>
                <w:szCs w:val="22"/>
                <w:lang w:eastAsia="en-AU"/>
              </w:rPr>
              <w:tab/>
            </w:r>
            <w:r w:rsidR="00F60834" w:rsidRPr="00E11219">
              <w:rPr>
                <w:rStyle w:val="Hyperlink"/>
                <w:noProof/>
              </w:rPr>
              <w:t>Why the Commission is looking at regional and remote water services separately from major metropolitan services</w:t>
            </w:r>
            <w:r w:rsidR="00F60834">
              <w:rPr>
                <w:noProof/>
                <w:webHidden/>
              </w:rPr>
              <w:tab/>
            </w:r>
            <w:r w:rsidR="00F60834">
              <w:rPr>
                <w:noProof/>
                <w:webHidden/>
              </w:rPr>
              <w:fldChar w:fldCharType="begin"/>
            </w:r>
            <w:r w:rsidR="00F60834">
              <w:rPr>
                <w:noProof/>
                <w:webHidden/>
              </w:rPr>
              <w:instrText xml:space="preserve"> PAGEREF _Toc62043645 \h </w:instrText>
            </w:r>
            <w:r w:rsidR="00F60834">
              <w:rPr>
                <w:noProof/>
                <w:webHidden/>
              </w:rPr>
            </w:r>
            <w:r w:rsidR="00F60834">
              <w:rPr>
                <w:noProof/>
                <w:webHidden/>
              </w:rPr>
              <w:fldChar w:fldCharType="separate"/>
            </w:r>
            <w:r>
              <w:rPr>
                <w:noProof/>
                <w:webHidden/>
              </w:rPr>
              <w:t>7</w:t>
            </w:r>
            <w:r w:rsidR="00F60834">
              <w:rPr>
                <w:noProof/>
                <w:webHidden/>
              </w:rPr>
              <w:fldChar w:fldCharType="end"/>
            </w:r>
          </w:hyperlink>
        </w:p>
        <w:p w14:paraId="4794CBC8" w14:textId="4C0E01F9"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46" w:history="1">
            <w:r w:rsidR="00F60834" w:rsidRPr="00E11219">
              <w:rPr>
                <w:rStyle w:val="Hyperlink"/>
                <w:noProof/>
              </w:rPr>
              <w:t>1.2</w:t>
            </w:r>
            <w:r w:rsidR="00F60834">
              <w:rPr>
                <w:rFonts w:asciiTheme="minorHAnsi" w:eastAsiaTheme="minorEastAsia" w:hAnsiTheme="minorHAnsi" w:cstheme="minorBidi"/>
                <w:noProof/>
                <w:sz w:val="22"/>
                <w:szCs w:val="22"/>
                <w:lang w:eastAsia="en-AU"/>
              </w:rPr>
              <w:tab/>
            </w:r>
            <w:r w:rsidR="00F60834" w:rsidRPr="00E11219">
              <w:rPr>
                <w:rStyle w:val="Hyperlink"/>
                <w:noProof/>
              </w:rPr>
              <w:t>Service delivery arrangements vary significantly between jurisdictions</w:t>
            </w:r>
            <w:r w:rsidR="00F60834">
              <w:rPr>
                <w:noProof/>
                <w:webHidden/>
              </w:rPr>
              <w:tab/>
            </w:r>
            <w:r w:rsidR="00F60834">
              <w:rPr>
                <w:noProof/>
                <w:webHidden/>
              </w:rPr>
              <w:fldChar w:fldCharType="begin"/>
            </w:r>
            <w:r w:rsidR="00F60834">
              <w:rPr>
                <w:noProof/>
                <w:webHidden/>
              </w:rPr>
              <w:instrText xml:space="preserve"> PAGEREF _Toc62043646 \h </w:instrText>
            </w:r>
            <w:r w:rsidR="00F60834">
              <w:rPr>
                <w:noProof/>
                <w:webHidden/>
              </w:rPr>
            </w:r>
            <w:r w:rsidR="00F60834">
              <w:rPr>
                <w:noProof/>
                <w:webHidden/>
              </w:rPr>
              <w:fldChar w:fldCharType="separate"/>
            </w:r>
            <w:r>
              <w:rPr>
                <w:noProof/>
                <w:webHidden/>
              </w:rPr>
              <w:t>8</w:t>
            </w:r>
            <w:r w:rsidR="00F60834">
              <w:rPr>
                <w:noProof/>
                <w:webHidden/>
              </w:rPr>
              <w:fldChar w:fldCharType="end"/>
            </w:r>
          </w:hyperlink>
        </w:p>
        <w:p w14:paraId="325AA2A8" w14:textId="3B54BFC4"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47" w:history="1">
            <w:r w:rsidR="00F60834" w:rsidRPr="00E11219">
              <w:rPr>
                <w:rStyle w:val="Hyperlink"/>
                <w:noProof/>
              </w:rPr>
              <w:t>1.3</w:t>
            </w:r>
            <w:r w:rsidR="00F60834">
              <w:rPr>
                <w:rFonts w:asciiTheme="minorHAnsi" w:eastAsiaTheme="minorEastAsia" w:hAnsiTheme="minorHAnsi" w:cstheme="minorBidi"/>
                <w:noProof/>
                <w:sz w:val="22"/>
                <w:szCs w:val="22"/>
                <w:lang w:eastAsia="en-AU"/>
              </w:rPr>
              <w:tab/>
            </w:r>
            <w:r w:rsidR="00F60834" w:rsidRPr="00E11219">
              <w:rPr>
                <w:rStyle w:val="Hyperlink"/>
                <w:noProof/>
              </w:rPr>
              <w:t>NWI coverage of regional and remote urban water services</w:t>
            </w:r>
            <w:r w:rsidR="00F60834">
              <w:rPr>
                <w:noProof/>
                <w:webHidden/>
              </w:rPr>
              <w:tab/>
            </w:r>
            <w:r w:rsidR="00F60834">
              <w:rPr>
                <w:noProof/>
                <w:webHidden/>
              </w:rPr>
              <w:fldChar w:fldCharType="begin"/>
            </w:r>
            <w:r w:rsidR="00F60834">
              <w:rPr>
                <w:noProof/>
                <w:webHidden/>
              </w:rPr>
              <w:instrText xml:space="preserve"> PAGEREF _Toc62043647 \h </w:instrText>
            </w:r>
            <w:r w:rsidR="00F60834">
              <w:rPr>
                <w:noProof/>
                <w:webHidden/>
              </w:rPr>
            </w:r>
            <w:r w:rsidR="00F60834">
              <w:rPr>
                <w:noProof/>
                <w:webHidden/>
              </w:rPr>
              <w:fldChar w:fldCharType="separate"/>
            </w:r>
            <w:r>
              <w:rPr>
                <w:noProof/>
                <w:webHidden/>
              </w:rPr>
              <w:t>10</w:t>
            </w:r>
            <w:r w:rsidR="00F60834">
              <w:rPr>
                <w:noProof/>
                <w:webHidden/>
              </w:rPr>
              <w:fldChar w:fldCharType="end"/>
            </w:r>
          </w:hyperlink>
        </w:p>
        <w:p w14:paraId="5A1EC931" w14:textId="62DE80E5" w:rsidR="00F60834" w:rsidRDefault="00AB38AC">
          <w:pPr>
            <w:pStyle w:val="TOC1"/>
            <w:rPr>
              <w:rFonts w:asciiTheme="minorHAnsi" w:eastAsiaTheme="minorEastAsia" w:hAnsiTheme="minorHAnsi" w:cstheme="minorBidi"/>
              <w:b w:val="0"/>
              <w:noProof/>
              <w:sz w:val="22"/>
              <w:szCs w:val="22"/>
              <w:lang w:eastAsia="en-AU"/>
            </w:rPr>
          </w:pPr>
          <w:hyperlink w:anchor="_Toc62043648" w:history="1">
            <w:r w:rsidR="00F60834" w:rsidRPr="00E11219">
              <w:rPr>
                <w:rStyle w:val="Hyperlink"/>
                <w:noProof/>
              </w:rPr>
              <w:t>2</w:t>
            </w:r>
            <w:r w:rsidR="00F60834">
              <w:rPr>
                <w:rFonts w:asciiTheme="minorHAnsi" w:eastAsiaTheme="minorEastAsia" w:hAnsiTheme="minorHAnsi" w:cstheme="minorBidi"/>
                <w:b w:val="0"/>
                <w:noProof/>
                <w:sz w:val="22"/>
                <w:szCs w:val="22"/>
                <w:lang w:eastAsia="en-AU"/>
              </w:rPr>
              <w:tab/>
            </w:r>
            <w:r w:rsidR="00F60834" w:rsidRPr="00E11219">
              <w:rPr>
                <w:rStyle w:val="Hyperlink"/>
                <w:noProof/>
              </w:rPr>
              <w:t>The challenge for regional and remote services</w:t>
            </w:r>
            <w:r w:rsidR="00F60834">
              <w:rPr>
                <w:noProof/>
                <w:webHidden/>
              </w:rPr>
              <w:tab/>
            </w:r>
            <w:r w:rsidR="00F60834">
              <w:rPr>
                <w:noProof/>
                <w:webHidden/>
              </w:rPr>
              <w:fldChar w:fldCharType="begin"/>
            </w:r>
            <w:r w:rsidR="00F60834">
              <w:rPr>
                <w:noProof/>
                <w:webHidden/>
              </w:rPr>
              <w:instrText xml:space="preserve"> PAGEREF _Toc62043648 \h </w:instrText>
            </w:r>
            <w:r w:rsidR="00F60834">
              <w:rPr>
                <w:noProof/>
                <w:webHidden/>
              </w:rPr>
            </w:r>
            <w:r w:rsidR="00F60834">
              <w:rPr>
                <w:noProof/>
                <w:webHidden/>
              </w:rPr>
              <w:fldChar w:fldCharType="separate"/>
            </w:r>
            <w:r>
              <w:rPr>
                <w:noProof/>
                <w:webHidden/>
              </w:rPr>
              <w:t>11</w:t>
            </w:r>
            <w:r w:rsidR="00F60834">
              <w:rPr>
                <w:noProof/>
                <w:webHidden/>
              </w:rPr>
              <w:fldChar w:fldCharType="end"/>
            </w:r>
          </w:hyperlink>
        </w:p>
        <w:p w14:paraId="6A19458C" w14:textId="624C11FD"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49" w:history="1">
            <w:r w:rsidR="00F60834" w:rsidRPr="00E11219">
              <w:rPr>
                <w:rStyle w:val="Hyperlink"/>
                <w:noProof/>
              </w:rPr>
              <w:t>2.1</w:t>
            </w:r>
            <w:r w:rsidR="00F60834">
              <w:rPr>
                <w:rFonts w:asciiTheme="minorHAnsi" w:eastAsiaTheme="minorEastAsia" w:hAnsiTheme="minorHAnsi" w:cstheme="minorBidi"/>
                <w:noProof/>
                <w:sz w:val="22"/>
                <w:szCs w:val="22"/>
                <w:lang w:eastAsia="en-AU"/>
              </w:rPr>
              <w:tab/>
            </w:r>
            <w:r w:rsidR="00F60834" w:rsidRPr="00E11219">
              <w:rPr>
                <w:rStyle w:val="Hyperlink"/>
                <w:noProof/>
              </w:rPr>
              <w:t>A series of recent crises …</w:t>
            </w:r>
            <w:r w:rsidR="00F60834">
              <w:rPr>
                <w:noProof/>
                <w:webHidden/>
              </w:rPr>
              <w:tab/>
            </w:r>
            <w:r w:rsidR="00F60834">
              <w:rPr>
                <w:noProof/>
                <w:webHidden/>
              </w:rPr>
              <w:fldChar w:fldCharType="begin"/>
            </w:r>
            <w:r w:rsidR="00F60834">
              <w:rPr>
                <w:noProof/>
                <w:webHidden/>
              </w:rPr>
              <w:instrText xml:space="preserve"> PAGEREF _Toc62043649 \h </w:instrText>
            </w:r>
            <w:r w:rsidR="00F60834">
              <w:rPr>
                <w:noProof/>
                <w:webHidden/>
              </w:rPr>
            </w:r>
            <w:r w:rsidR="00F60834">
              <w:rPr>
                <w:noProof/>
                <w:webHidden/>
              </w:rPr>
              <w:fldChar w:fldCharType="separate"/>
            </w:r>
            <w:r>
              <w:rPr>
                <w:noProof/>
                <w:webHidden/>
              </w:rPr>
              <w:t>11</w:t>
            </w:r>
            <w:r w:rsidR="00F60834">
              <w:rPr>
                <w:noProof/>
                <w:webHidden/>
              </w:rPr>
              <w:fldChar w:fldCharType="end"/>
            </w:r>
          </w:hyperlink>
        </w:p>
        <w:p w14:paraId="668E0983" w14:textId="0D006E56"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50" w:history="1">
            <w:r w:rsidR="00F60834" w:rsidRPr="00E11219">
              <w:rPr>
                <w:rStyle w:val="Hyperlink"/>
                <w:noProof/>
              </w:rPr>
              <w:t>2.2</w:t>
            </w:r>
            <w:r w:rsidR="00F60834">
              <w:rPr>
                <w:rFonts w:asciiTheme="minorHAnsi" w:eastAsiaTheme="minorEastAsia" w:hAnsiTheme="minorHAnsi" w:cstheme="minorBidi"/>
                <w:noProof/>
                <w:sz w:val="22"/>
                <w:szCs w:val="22"/>
                <w:lang w:eastAsia="en-AU"/>
              </w:rPr>
              <w:tab/>
            </w:r>
            <w:r w:rsidR="00F60834" w:rsidRPr="00E11219">
              <w:rPr>
                <w:rStyle w:val="Hyperlink"/>
                <w:noProof/>
              </w:rPr>
              <w:t>… has highlighted vulnerabilities in some regional water systems …</w:t>
            </w:r>
            <w:r w:rsidR="00F60834">
              <w:rPr>
                <w:noProof/>
                <w:webHidden/>
              </w:rPr>
              <w:tab/>
            </w:r>
            <w:r w:rsidR="00F60834">
              <w:rPr>
                <w:noProof/>
                <w:webHidden/>
              </w:rPr>
              <w:fldChar w:fldCharType="begin"/>
            </w:r>
            <w:r w:rsidR="00F60834">
              <w:rPr>
                <w:noProof/>
                <w:webHidden/>
              </w:rPr>
              <w:instrText xml:space="preserve"> PAGEREF _Toc62043650 \h </w:instrText>
            </w:r>
            <w:r w:rsidR="00F60834">
              <w:rPr>
                <w:noProof/>
                <w:webHidden/>
              </w:rPr>
            </w:r>
            <w:r w:rsidR="00F60834">
              <w:rPr>
                <w:noProof/>
                <w:webHidden/>
              </w:rPr>
              <w:fldChar w:fldCharType="separate"/>
            </w:r>
            <w:r>
              <w:rPr>
                <w:noProof/>
                <w:webHidden/>
              </w:rPr>
              <w:t>12</w:t>
            </w:r>
            <w:r w:rsidR="00F60834">
              <w:rPr>
                <w:noProof/>
                <w:webHidden/>
              </w:rPr>
              <w:fldChar w:fldCharType="end"/>
            </w:r>
          </w:hyperlink>
        </w:p>
        <w:p w14:paraId="720FD7E1" w14:textId="591EB6B0"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51" w:history="1">
            <w:r w:rsidR="00F60834" w:rsidRPr="00E11219">
              <w:rPr>
                <w:rStyle w:val="Hyperlink"/>
                <w:noProof/>
              </w:rPr>
              <w:t>2.3</w:t>
            </w:r>
            <w:r w:rsidR="00F60834">
              <w:rPr>
                <w:rFonts w:asciiTheme="minorHAnsi" w:eastAsiaTheme="minorEastAsia" w:hAnsiTheme="minorHAnsi" w:cstheme="minorBidi"/>
                <w:noProof/>
                <w:sz w:val="22"/>
                <w:szCs w:val="22"/>
                <w:lang w:eastAsia="en-AU"/>
              </w:rPr>
              <w:tab/>
            </w:r>
            <w:r w:rsidR="00F60834" w:rsidRPr="00E11219">
              <w:rPr>
                <w:rStyle w:val="Hyperlink"/>
                <w:noProof/>
              </w:rPr>
              <w:t>… and opaque arrangements in some jurisdiction-wide providers</w:t>
            </w:r>
            <w:r w:rsidR="00F60834">
              <w:rPr>
                <w:noProof/>
                <w:webHidden/>
              </w:rPr>
              <w:tab/>
            </w:r>
            <w:r w:rsidR="00F60834">
              <w:rPr>
                <w:noProof/>
                <w:webHidden/>
              </w:rPr>
              <w:fldChar w:fldCharType="begin"/>
            </w:r>
            <w:r w:rsidR="00F60834">
              <w:rPr>
                <w:noProof/>
                <w:webHidden/>
              </w:rPr>
              <w:instrText xml:space="preserve"> PAGEREF _Toc62043651 \h </w:instrText>
            </w:r>
            <w:r w:rsidR="00F60834">
              <w:rPr>
                <w:noProof/>
                <w:webHidden/>
              </w:rPr>
            </w:r>
            <w:r w:rsidR="00F60834">
              <w:rPr>
                <w:noProof/>
                <w:webHidden/>
              </w:rPr>
              <w:fldChar w:fldCharType="separate"/>
            </w:r>
            <w:r>
              <w:rPr>
                <w:noProof/>
                <w:webHidden/>
              </w:rPr>
              <w:t>14</w:t>
            </w:r>
            <w:r w:rsidR="00F60834">
              <w:rPr>
                <w:noProof/>
                <w:webHidden/>
              </w:rPr>
              <w:fldChar w:fldCharType="end"/>
            </w:r>
          </w:hyperlink>
        </w:p>
        <w:p w14:paraId="64D9C527" w14:textId="39588A9B"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52" w:history="1">
            <w:r w:rsidR="00F60834" w:rsidRPr="00E11219">
              <w:rPr>
                <w:rStyle w:val="Hyperlink"/>
                <w:noProof/>
              </w:rPr>
              <w:t>2.4</w:t>
            </w:r>
            <w:r w:rsidR="00F60834">
              <w:rPr>
                <w:rFonts w:asciiTheme="minorHAnsi" w:eastAsiaTheme="minorEastAsia" w:hAnsiTheme="minorHAnsi" w:cstheme="minorBidi"/>
                <w:noProof/>
                <w:sz w:val="22"/>
                <w:szCs w:val="22"/>
                <w:lang w:eastAsia="en-AU"/>
              </w:rPr>
              <w:tab/>
            </w:r>
            <w:r w:rsidR="00F60834" w:rsidRPr="00E11219">
              <w:rPr>
                <w:rStyle w:val="Hyperlink"/>
                <w:noProof/>
              </w:rPr>
              <w:t>Many of these pressures will remain in the future</w:t>
            </w:r>
            <w:r w:rsidR="00F60834">
              <w:rPr>
                <w:noProof/>
                <w:webHidden/>
              </w:rPr>
              <w:tab/>
            </w:r>
            <w:r w:rsidR="00F60834">
              <w:rPr>
                <w:noProof/>
                <w:webHidden/>
              </w:rPr>
              <w:fldChar w:fldCharType="begin"/>
            </w:r>
            <w:r w:rsidR="00F60834">
              <w:rPr>
                <w:noProof/>
                <w:webHidden/>
              </w:rPr>
              <w:instrText xml:space="preserve"> PAGEREF _Toc62043652 \h </w:instrText>
            </w:r>
            <w:r w:rsidR="00F60834">
              <w:rPr>
                <w:noProof/>
                <w:webHidden/>
              </w:rPr>
            </w:r>
            <w:r w:rsidR="00F60834">
              <w:rPr>
                <w:noProof/>
                <w:webHidden/>
              </w:rPr>
              <w:fldChar w:fldCharType="separate"/>
            </w:r>
            <w:r>
              <w:rPr>
                <w:noProof/>
                <w:webHidden/>
              </w:rPr>
              <w:t>14</w:t>
            </w:r>
            <w:r w:rsidR="00F60834">
              <w:rPr>
                <w:noProof/>
                <w:webHidden/>
              </w:rPr>
              <w:fldChar w:fldCharType="end"/>
            </w:r>
          </w:hyperlink>
        </w:p>
        <w:p w14:paraId="116D5119" w14:textId="2A92383D"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53" w:history="1">
            <w:r w:rsidR="00F60834" w:rsidRPr="00E11219">
              <w:rPr>
                <w:rStyle w:val="Hyperlink"/>
                <w:noProof/>
              </w:rPr>
              <w:t>2.5</w:t>
            </w:r>
            <w:r w:rsidR="00F60834">
              <w:rPr>
                <w:rFonts w:asciiTheme="minorHAnsi" w:eastAsiaTheme="minorEastAsia" w:hAnsiTheme="minorHAnsi" w:cstheme="minorBidi"/>
                <w:noProof/>
                <w:sz w:val="22"/>
                <w:szCs w:val="22"/>
                <w:lang w:eastAsia="en-AU"/>
              </w:rPr>
              <w:tab/>
            </w:r>
            <w:r w:rsidR="00F60834" w:rsidRPr="00E11219">
              <w:rPr>
                <w:rStyle w:val="Hyperlink"/>
                <w:noProof/>
              </w:rPr>
              <w:t>Compliance with the current NWI is similarly mixed</w:t>
            </w:r>
            <w:r w:rsidR="00F60834">
              <w:rPr>
                <w:noProof/>
                <w:webHidden/>
              </w:rPr>
              <w:tab/>
            </w:r>
            <w:r w:rsidR="00F60834">
              <w:rPr>
                <w:noProof/>
                <w:webHidden/>
              </w:rPr>
              <w:fldChar w:fldCharType="begin"/>
            </w:r>
            <w:r w:rsidR="00F60834">
              <w:rPr>
                <w:noProof/>
                <w:webHidden/>
              </w:rPr>
              <w:instrText xml:space="preserve"> PAGEREF _Toc62043653 \h </w:instrText>
            </w:r>
            <w:r w:rsidR="00F60834">
              <w:rPr>
                <w:noProof/>
                <w:webHidden/>
              </w:rPr>
            </w:r>
            <w:r w:rsidR="00F60834">
              <w:rPr>
                <w:noProof/>
                <w:webHidden/>
              </w:rPr>
              <w:fldChar w:fldCharType="separate"/>
            </w:r>
            <w:r>
              <w:rPr>
                <w:noProof/>
                <w:webHidden/>
              </w:rPr>
              <w:t>15</w:t>
            </w:r>
            <w:r w:rsidR="00F60834">
              <w:rPr>
                <w:noProof/>
                <w:webHidden/>
              </w:rPr>
              <w:fldChar w:fldCharType="end"/>
            </w:r>
          </w:hyperlink>
        </w:p>
        <w:p w14:paraId="29CCDD16" w14:textId="5D48D6A7"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54" w:history="1">
            <w:r w:rsidR="00F60834" w:rsidRPr="00E11219">
              <w:rPr>
                <w:rStyle w:val="Hyperlink"/>
                <w:noProof/>
              </w:rPr>
              <w:t>2.6</w:t>
            </w:r>
            <w:r w:rsidR="00F60834">
              <w:rPr>
                <w:rFonts w:asciiTheme="minorHAnsi" w:eastAsiaTheme="minorEastAsia" w:hAnsiTheme="minorHAnsi" w:cstheme="minorBidi"/>
                <w:noProof/>
                <w:sz w:val="22"/>
                <w:szCs w:val="22"/>
                <w:lang w:eastAsia="en-AU"/>
              </w:rPr>
              <w:tab/>
            </w:r>
            <w:r w:rsidR="00F60834" w:rsidRPr="00E11219">
              <w:rPr>
                <w:rStyle w:val="Hyperlink"/>
                <w:noProof/>
              </w:rPr>
              <w:t>How can a renewed NWI help?</w:t>
            </w:r>
            <w:r w:rsidR="00F60834">
              <w:rPr>
                <w:noProof/>
                <w:webHidden/>
              </w:rPr>
              <w:tab/>
            </w:r>
            <w:r w:rsidR="00F60834">
              <w:rPr>
                <w:noProof/>
                <w:webHidden/>
              </w:rPr>
              <w:fldChar w:fldCharType="begin"/>
            </w:r>
            <w:r w:rsidR="00F60834">
              <w:rPr>
                <w:noProof/>
                <w:webHidden/>
              </w:rPr>
              <w:instrText xml:space="preserve"> PAGEREF _Toc62043654 \h </w:instrText>
            </w:r>
            <w:r w:rsidR="00F60834">
              <w:rPr>
                <w:noProof/>
                <w:webHidden/>
              </w:rPr>
            </w:r>
            <w:r w:rsidR="00F60834">
              <w:rPr>
                <w:noProof/>
                <w:webHidden/>
              </w:rPr>
              <w:fldChar w:fldCharType="separate"/>
            </w:r>
            <w:r>
              <w:rPr>
                <w:noProof/>
                <w:webHidden/>
              </w:rPr>
              <w:t>16</w:t>
            </w:r>
            <w:r w:rsidR="00F60834">
              <w:rPr>
                <w:noProof/>
                <w:webHidden/>
              </w:rPr>
              <w:fldChar w:fldCharType="end"/>
            </w:r>
          </w:hyperlink>
        </w:p>
        <w:p w14:paraId="334A66E4" w14:textId="49D9FEA7" w:rsidR="00F60834" w:rsidRDefault="00AB38AC">
          <w:pPr>
            <w:pStyle w:val="TOC1"/>
            <w:rPr>
              <w:rFonts w:asciiTheme="minorHAnsi" w:eastAsiaTheme="minorEastAsia" w:hAnsiTheme="minorHAnsi" w:cstheme="minorBidi"/>
              <w:b w:val="0"/>
              <w:noProof/>
              <w:sz w:val="22"/>
              <w:szCs w:val="22"/>
              <w:lang w:eastAsia="en-AU"/>
            </w:rPr>
          </w:pPr>
          <w:hyperlink w:anchor="_Toc62043655" w:history="1">
            <w:r w:rsidR="00F60834" w:rsidRPr="00E11219">
              <w:rPr>
                <w:rStyle w:val="Hyperlink"/>
                <w:noProof/>
              </w:rPr>
              <w:t>3</w:t>
            </w:r>
            <w:r w:rsidR="00F60834">
              <w:rPr>
                <w:rFonts w:asciiTheme="minorHAnsi" w:eastAsiaTheme="minorEastAsia" w:hAnsiTheme="minorHAnsi" w:cstheme="minorBidi"/>
                <w:b w:val="0"/>
                <w:noProof/>
                <w:sz w:val="22"/>
                <w:szCs w:val="22"/>
                <w:lang w:eastAsia="en-AU"/>
              </w:rPr>
              <w:tab/>
            </w:r>
            <w:r w:rsidR="00F60834" w:rsidRPr="00E11219">
              <w:rPr>
                <w:rStyle w:val="Hyperlink"/>
                <w:noProof/>
              </w:rPr>
              <w:t>Urban water planning and service delivery to regional and remote communities</w:t>
            </w:r>
            <w:r w:rsidR="00F60834">
              <w:rPr>
                <w:noProof/>
                <w:webHidden/>
              </w:rPr>
              <w:tab/>
            </w:r>
            <w:r w:rsidR="00F60834">
              <w:rPr>
                <w:noProof/>
                <w:webHidden/>
              </w:rPr>
              <w:fldChar w:fldCharType="begin"/>
            </w:r>
            <w:r w:rsidR="00F60834">
              <w:rPr>
                <w:noProof/>
                <w:webHidden/>
              </w:rPr>
              <w:instrText xml:space="preserve"> PAGEREF _Toc62043655 \h </w:instrText>
            </w:r>
            <w:r w:rsidR="00F60834">
              <w:rPr>
                <w:noProof/>
                <w:webHidden/>
              </w:rPr>
            </w:r>
            <w:r w:rsidR="00F60834">
              <w:rPr>
                <w:noProof/>
                <w:webHidden/>
              </w:rPr>
              <w:fldChar w:fldCharType="separate"/>
            </w:r>
            <w:r>
              <w:rPr>
                <w:noProof/>
                <w:webHidden/>
              </w:rPr>
              <w:t>18</w:t>
            </w:r>
            <w:r w:rsidR="00F60834">
              <w:rPr>
                <w:noProof/>
                <w:webHidden/>
              </w:rPr>
              <w:fldChar w:fldCharType="end"/>
            </w:r>
          </w:hyperlink>
        </w:p>
        <w:p w14:paraId="485A00C2" w14:textId="03757610"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56" w:history="1">
            <w:r w:rsidR="00F60834" w:rsidRPr="00E11219">
              <w:rPr>
                <w:rStyle w:val="Hyperlink"/>
                <w:noProof/>
              </w:rPr>
              <w:t>3.1</w:t>
            </w:r>
            <w:r w:rsidR="00F60834">
              <w:rPr>
                <w:rFonts w:asciiTheme="minorHAnsi" w:eastAsiaTheme="minorEastAsia" w:hAnsiTheme="minorHAnsi" w:cstheme="minorBidi"/>
                <w:noProof/>
                <w:sz w:val="22"/>
                <w:szCs w:val="22"/>
                <w:lang w:eastAsia="en-AU"/>
              </w:rPr>
              <w:tab/>
            </w:r>
            <w:r w:rsidR="00F60834" w:rsidRPr="00E11219">
              <w:rPr>
                <w:rStyle w:val="Hyperlink"/>
                <w:noProof/>
              </w:rPr>
              <w:t>Planning for defined levels of service</w:t>
            </w:r>
            <w:r w:rsidR="00F60834">
              <w:rPr>
                <w:noProof/>
                <w:webHidden/>
              </w:rPr>
              <w:tab/>
            </w:r>
            <w:r w:rsidR="00F60834">
              <w:rPr>
                <w:noProof/>
                <w:webHidden/>
              </w:rPr>
              <w:fldChar w:fldCharType="begin"/>
            </w:r>
            <w:r w:rsidR="00F60834">
              <w:rPr>
                <w:noProof/>
                <w:webHidden/>
              </w:rPr>
              <w:instrText xml:space="preserve"> PAGEREF _Toc62043656 \h </w:instrText>
            </w:r>
            <w:r w:rsidR="00F60834">
              <w:rPr>
                <w:noProof/>
                <w:webHidden/>
              </w:rPr>
            </w:r>
            <w:r w:rsidR="00F60834">
              <w:rPr>
                <w:noProof/>
                <w:webHidden/>
              </w:rPr>
              <w:fldChar w:fldCharType="separate"/>
            </w:r>
            <w:r>
              <w:rPr>
                <w:noProof/>
                <w:webHidden/>
              </w:rPr>
              <w:t>19</w:t>
            </w:r>
            <w:r w:rsidR="00F60834">
              <w:rPr>
                <w:noProof/>
                <w:webHidden/>
              </w:rPr>
              <w:fldChar w:fldCharType="end"/>
            </w:r>
          </w:hyperlink>
        </w:p>
        <w:p w14:paraId="3FDBFAB4" w14:textId="2406C18F"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57" w:history="1">
            <w:r w:rsidR="00F60834" w:rsidRPr="00E11219">
              <w:rPr>
                <w:rStyle w:val="Hyperlink"/>
                <w:noProof/>
              </w:rPr>
              <w:t>3.2</w:t>
            </w:r>
            <w:r w:rsidR="00F60834">
              <w:rPr>
                <w:rFonts w:asciiTheme="minorHAnsi" w:eastAsiaTheme="minorEastAsia" w:hAnsiTheme="minorHAnsi" w:cstheme="minorBidi"/>
                <w:noProof/>
                <w:sz w:val="22"/>
                <w:szCs w:val="22"/>
                <w:lang w:eastAsia="en-AU"/>
              </w:rPr>
              <w:tab/>
            </w:r>
            <w:r w:rsidR="00F60834" w:rsidRPr="00E11219">
              <w:rPr>
                <w:rStyle w:val="Hyperlink"/>
                <w:noProof/>
              </w:rPr>
              <w:t>Improving small utility capability through regional collaboration</w:t>
            </w:r>
            <w:r w:rsidR="00F60834">
              <w:rPr>
                <w:noProof/>
                <w:webHidden/>
              </w:rPr>
              <w:tab/>
            </w:r>
            <w:r w:rsidR="00F60834">
              <w:rPr>
                <w:noProof/>
                <w:webHidden/>
              </w:rPr>
              <w:fldChar w:fldCharType="begin"/>
            </w:r>
            <w:r w:rsidR="00F60834">
              <w:rPr>
                <w:noProof/>
                <w:webHidden/>
              </w:rPr>
              <w:instrText xml:space="preserve"> PAGEREF _Toc62043657 \h </w:instrText>
            </w:r>
            <w:r w:rsidR="00F60834">
              <w:rPr>
                <w:noProof/>
                <w:webHidden/>
              </w:rPr>
            </w:r>
            <w:r w:rsidR="00F60834">
              <w:rPr>
                <w:noProof/>
                <w:webHidden/>
              </w:rPr>
              <w:fldChar w:fldCharType="separate"/>
            </w:r>
            <w:r>
              <w:rPr>
                <w:noProof/>
                <w:webHidden/>
              </w:rPr>
              <w:t>24</w:t>
            </w:r>
            <w:r w:rsidR="00F60834">
              <w:rPr>
                <w:noProof/>
                <w:webHidden/>
              </w:rPr>
              <w:fldChar w:fldCharType="end"/>
            </w:r>
          </w:hyperlink>
        </w:p>
        <w:p w14:paraId="752D9844" w14:textId="516F3101" w:rsidR="00F60834" w:rsidRDefault="00AB38AC">
          <w:pPr>
            <w:pStyle w:val="TOC1"/>
            <w:rPr>
              <w:rFonts w:asciiTheme="minorHAnsi" w:eastAsiaTheme="minorEastAsia" w:hAnsiTheme="minorHAnsi" w:cstheme="minorBidi"/>
              <w:b w:val="0"/>
              <w:noProof/>
              <w:sz w:val="22"/>
              <w:szCs w:val="22"/>
              <w:lang w:eastAsia="en-AU"/>
            </w:rPr>
          </w:pPr>
          <w:hyperlink w:anchor="_Toc62043658" w:history="1">
            <w:r w:rsidR="00F60834" w:rsidRPr="00E11219">
              <w:rPr>
                <w:rStyle w:val="Hyperlink"/>
                <w:noProof/>
              </w:rPr>
              <w:t>4</w:t>
            </w:r>
            <w:r w:rsidR="00F60834">
              <w:rPr>
                <w:rFonts w:asciiTheme="minorHAnsi" w:eastAsiaTheme="minorEastAsia" w:hAnsiTheme="minorHAnsi" w:cstheme="minorBidi"/>
                <w:b w:val="0"/>
                <w:noProof/>
                <w:sz w:val="22"/>
                <w:szCs w:val="22"/>
                <w:lang w:eastAsia="en-AU"/>
              </w:rPr>
              <w:tab/>
            </w:r>
            <w:r w:rsidR="00F60834" w:rsidRPr="00E11219">
              <w:rPr>
                <w:rStyle w:val="Hyperlink"/>
                <w:noProof/>
              </w:rPr>
              <w:t>Funding and governance for regional and remote services</w:t>
            </w:r>
            <w:r w:rsidR="00F60834">
              <w:rPr>
                <w:noProof/>
                <w:webHidden/>
              </w:rPr>
              <w:tab/>
            </w:r>
            <w:r w:rsidR="00F60834">
              <w:rPr>
                <w:noProof/>
                <w:webHidden/>
              </w:rPr>
              <w:fldChar w:fldCharType="begin"/>
            </w:r>
            <w:r w:rsidR="00F60834">
              <w:rPr>
                <w:noProof/>
                <w:webHidden/>
              </w:rPr>
              <w:instrText xml:space="preserve"> PAGEREF _Toc62043658 \h </w:instrText>
            </w:r>
            <w:r w:rsidR="00F60834">
              <w:rPr>
                <w:noProof/>
                <w:webHidden/>
              </w:rPr>
            </w:r>
            <w:r w:rsidR="00F60834">
              <w:rPr>
                <w:noProof/>
                <w:webHidden/>
              </w:rPr>
              <w:fldChar w:fldCharType="separate"/>
            </w:r>
            <w:r>
              <w:rPr>
                <w:noProof/>
                <w:webHidden/>
              </w:rPr>
              <w:t>26</w:t>
            </w:r>
            <w:r w:rsidR="00F60834">
              <w:rPr>
                <w:noProof/>
                <w:webHidden/>
              </w:rPr>
              <w:fldChar w:fldCharType="end"/>
            </w:r>
          </w:hyperlink>
        </w:p>
        <w:p w14:paraId="7137507A" w14:textId="72E09A37"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59" w:history="1">
            <w:r w:rsidR="00F60834" w:rsidRPr="00E11219">
              <w:rPr>
                <w:rStyle w:val="Hyperlink"/>
                <w:noProof/>
              </w:rPr>
              <w:t>4.1</w:t>
            </w:r>
            <w:r w:rsidR="00F60834">
              <w:rPr>
                <w:rFonts w:asciiTheme="minorHAnsi" w:eastAsiaTheme="minorEastAsia" w:hAnsiTheme="minorHAnsi" w:cstheme="minorBidi"/>
                <w:noProof/>
                <w:sz w:val="22"/>
                <w:szCs w:val="22"/>
                <w:lang w:eastAsia="en-AU"/>
              </w:rPr>
              <w:tab/>
            </w:r>
            <w:r w:rsidR="00F60834" w:rsidRPr="00E11219">
              <w:rPr>
                <w:rStyle w:val="Hyperlink"/>
                <w:noProof/>
              </w:rPr>
              <w:t>State and Territory government support for high-cost services</w:t>
            </w:r>
            <w:r w:rsidR="00F60834">
              <w:rPr>
                <w:noProof/>
                <w:webHidden/>
              </w:rPr>
              <w:tab/>
            </w:r>
            <w:r w:rsidR="00F60834">
              <w:rPr>
                <w:noProof/>
                <w:webHidden/>
              </w:rPr>
              <w:fldChar w:fldCharType="begin"/>
            </w:r>
            <w:r w:rsidR="00F60834">
              <w:rPr>
                <w:noProof/>
                <w:webHidden/>
              </w:rPr>
              <w:instrText xml:space="preserve"> PAGEREF _Toc62043659 \h </w:instrText>
            </w:r>
            <w:r w:rsidR="00F60834">
              <w:rPr>
                <w:noProof/>
                <w:webHidden/>
              </w:rPr>
            </w:r>
            <w:r w:rsidR="00F60834">
              <w:rPr>
                <w:noProof/>
                <w:webHidden/>
              </w:rPr>
              <w:fldChar w:fldCharType="separate"/>
            </w:r>
            <w:r>
              <w:rPr>
                <w:noProof/>
                <w:webHidden/>
              </w:rPr>
              <w:t>26</w:t>
            </w:r>
            <w:r w:rsidR="00F60834">
              <w:rPr>
                <w:noProof/>
                <w:webHidden/>
              </w:rPr>
              <w:fldChar w:fldCharType="end"/>
            </w:r>
          </w:hyperlink>
        </w:p>
        <w:p w14:paraId="7217482F" w14:textId="02359665"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60" w:history="1">
            <w:r w:rsidR="00F60834" w:rsidRPr="00E11219">
              <w:rPr>
                <w:rStyle w:val="Hyperlink"/>
                <w:noProof/>
              </w:rPr>
              <w:t>4.2</w:t>
            </w:r>
            <w:r w:rsidR="00F60834">
              <w:rPr>
                <w:rFonts w:asciiTheme="minorHAnsi" w:eastAsiaTheme="minorEastAsia" w:hAnsiTheme="minorHAnsi" w:cstheme="minorBidi"/>
                <w:noProof/>
                <w:sz w:val="22"/>
                <w:szCs w:val="22"/>
                <w:lang w:eastAsia="en-AU"/>
              </w:rPr>
              <w:tab/>
            </w:r>
            <w:r w:rsidR="00F60834" w:rsidRPr="00E11219">
              <w:rPr>
                <w:rStyle w:val="Hyperlink"/>
                <w:noProof/>
              </w:rPr>
              <w:t>Governance and economic oversight of regional and remote services</w:t>
            </w:r>
            <w:r w:rsidR="00F60834">
              <w:rPr>
                <w:noProof/>
                <w:webHidden/>
              </w:rPr>
              <w:tab/>
            </w:r>
            <w:r w:rsidR="00F60834">
              <w:rPr>
                <w:noProof/>
                <w:webHidden/>
              </w:rPr>
              <w:fldChar w:fldCharType="begin"/>
            </w:r>
            <w:r w:rsidR="00F60834">
              <w:rPr>
                <w:noProof/>
                <w:webHidden/>
              </w:rPr>
              <w:instrText xml:space="preserve"> PAGEREF _Toc62043660 \h </w:instrText>
            </w:r>
            <w:r w:rsidR="00F60834">
              <w:rPr>
                <w:noProof/>
                <w:webHidden/>
              </w:rPr>
            </w:r>
            <w:r w:rsidR="00F60834">
              <w:rPr>
                <w:noProof/>
                <w:webHidden/>
              </w:rPr>
              <w:fldChar w:fldCharType="separate"/>
            </w:r>
            <w:r>
              <w:rPr>
                <w:noProof/>
                <w:webHidden/>
              </w:rPr>
              <w:t>31</w:t>
            </w:r>
            <w:r w:rsidR="00F60834">
              <w:rPr>
                <w:noProof/>
                <w:webHidden/>
              </w:rPr>
              <w:fldChar w:fldCharType="end"/>
            </w:r>
          </w:hyperlink>
        </w:p>
        <w:p w14:paraId="02393AA0" w14:textId="4C741F68" w:rsidR="00F60834" w:rsidRDefault="00AB38AC" w:rsidP="00C13285">
          <w:pPr>
            <w:pStyle w:val="TOC1"/>
            <w:keepNext/>
            <w:rPr>
              <w:rFonts w:asciiTheme="minorHAnsi" w:eastAsiaTheme="minorEastAsia" w:hAnsiTheme="minorHAnsi" w:cstheme="minorBidi"/>
              <w:b w:val="0"/>
              <w:noProof/>
              <w:sz w:val="22"/>
              <w:szCs w:val="22"/>
              <w:lang w:eastAsia="en-AU"/>
            </w:rPr>
          </w:pPr>
          <w:hyperlink w:anchor="_Toc62043661" w:history="1">
            <w:r w:rsidR="00F60834" w:rsidRPr="00E11219">
              <w:rPr>
                <w:rStyle w:val="Hyperlink"/>
                <w:noProof/>
              </w:rPr>
              <w:t>5</w:t>
            </w:r>
            <w:r w:rsidR="00F60834">
              <w:rPr>
                <w:rFonts w:asciiTheme="minorHAnsi" w:eastAsiaTheme="minorEastAsia" w:hAnsiTheme="minorHAnsi" w:cstheme="minorBidi"/>
                <w:b w:val="0"/>
                <w:noProof/>
                <w:sz w:val="22"/>
                <w:szCs w:val="22"/>
                <w:lang w:eastAsia="en-AU"/>
              </w:rPr>
              <w:tab/>
            </w:r>
            <w:r w:rsidR="00F60834" w:rsidRPr="00E11219">
              <w:rPr>
                <w:rStyle w:val="Hyperlink"/>
                <w:noProof/>
              </w:rPr>
              <w:t>Water services in remote Aboriginal and Torres Strait Islander communities</w:t>
            </w:r>
            <w:r w:rsidR="00F60834">
              <w:rPr>
                <w:noProof/>
                <w:webHidden/>
              </w:rPr>
              <w:tab/>
            </w:r>
            <w:r w:rsidR="00F60834">
              <w:rPr>
                <w:noProof/>
                <w:webHidden/>
              </w:rPr>
              <w:fldChar w:fldCharType="begin"/>
            </w:r>
            <w:r w:rsidR="00F60834">
              <w:rPr>
                <w:noProof/>
                <w:webHidden/>
              </w:rPr>
              <w:instrText xml:space="preserve"> PAGEREF _Toc62043661 \h </w:instrText>
            </w:r>
            <w:r w:rsidR="00F60834">
              <w:rPr>
                <w:noProof/>
                <w:webHidden/>
              </w:rPr>
            </w:r>
            <w:r w:rsidR="00F60834">
              <w:rPr>
                <w:noProof/>
                <w:webHidden/>
              </w:rPr>
              <w:fldChar w:fldCharType="separate"/>
            </w:r>
            <w:r>
              <w:rPr>
                <w:noProof/>
                <w:webHidden/>
              </w:rPr>
              <w:t>35</w:t>
            </w:r>
            <w:r w:rsidR="00F60834">
              <w:rPr>
                <w:noProof/>
                <w:webHidden/>
              </w:rPr>
              <w:fldChar w:fldCharType="end"/>
            </w:r>
          </w:hyperlink>
        </w:p>
        <w:p w14:paraId="688AAFDD" w14:textId="10360D1C"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62" w:history="1">
            <w:r w:rsidR="00F60834" w:rsidRPr="00E11219">
              <w:rPr>
                <w:rStyle w:val="Hyperlink"/>
                <w:noProof/>
              </w:rPr>
              <w:t>5.1</w:t>
            </w:r>
            <w:r w:rsidR="00F60834">
              <w:rPr>
                <w:rFonts w:asciiTheme="minorHAnsi" w:eastAsiaTheme="minorEastAsia" w:hAnsiTheme="minorHAnsi" w:cstheme="minorBidi"/>
                <w:noProof/>
                <w:sz w:val="22"/>
                <w:szCs w:val="22"/>
                <w:lang w:eastAsia="en-AU"/>
              </w:rPr>
              <w:tab/>
            </w:r>
            <w:r w:rsidR="00F60834" w:rsidRPr="00E11219">
              <w:rPr>
                <w:rStyle w:val="Hyperlink"/>
                <w:noProof/>
              </w:rPr>
              <w:t>Water quality remains an issue for some remote Aboriginal and Torres Strait Islander communities</w:t>
            </w:r>
            <w:r w:rsidR="00F60834">
              <w:rPr>
                <w:noProof/>
                <w:webHidden/>
              </w:rPr>
              <w:tab/>
            </w:r>
            <w:r w:rsidR="00F60834">
              <w:rPr>
                <w:noProof/>
                <w:webHidden/>
              </w:rPr>
              <w:fldChar w:fldCharType="begin"/>
            </w:r>
            <w:r w:rsidR="00F60834">
              <w:rPr>
                <w:noProof/>
                <w:webHidden/>
              </w:rPr>
              <w:instrText xml:space="preserve"> PAGEREF _Toc62043662 \h </w:instrText>
            </w:r>
            <w:r w:rsidR="00F60834">
              <w:rPr>
                <w:noProof/>
                <w:webHidden/>
              </w:rPr>
            </w:r>
            <w:r w:rsidR="00F60834">
              <w:rPr>
                <w:noProof/>
                <w:webHidden/>
              </w:rPr>
              <w:fldChar w:fldCharType="separate"/>
            </w:r>
            <w:r>
              <w:rPr>
                <w:noProof/>
                <w:webHidden/>
              </w:rPr>
              <w:t>36</w:t>
            </w:r>
            <w:r w:rsidR="00F60834">
              <w:rPr>
                <w:noProof/>
                <w:webHidden/>
              </w:rPr>
              <w:fldChar w:fldCharType="end"/>
            </w:r>
          </w:hyperlink>
        </w:p>
        <w:p w14:paraId="2B89A3C8" w14:textId="47A0945B"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63" w:history="1">
            <w:r w:rsidR="00F60834" w:rsidRPr="00E11219">
              <w:rPr>
                <w:rStyle w:val="Hyperlink"/>
                <w:noProof/>
              </w:rPr>
              <w:t>5.2</w:t>
            </w:r>
            <w:r w:rsidR="00F60834">
              <w:rPr>
                <w:rFonts w:asciiTheme="minorHAnsi" w:eastAsiaTheme="minorEastAsia" w:hAnsiTheme="minorHAnsi" w:cstheme="minorBidi"/>
                <w:noProof/>
                <w:sz w:val="22"/>
                <w:szCs w:val="22"/>
                <w:lang w:eastAsia="en-AU"/>
              </w:rPr>
              <w:tab/>
            </w:r>
            <w:r w:rsidR="00F60834" w:rsidRPr="00E11219">
              <w:rPr>
                <w:rStyle w:val="Hyperlink"/>
                <w:noProof/>
              </w:rPr>
              <w:t>Water quality is especially important to health outcomes in remote communities</w:t>
            </w:r>
            <w:r w:rsidR="00F60834">
              <w:rPr>
                <w:noProof/>
                <w:webHidden/>
              </w:rPr>
              <w:tab/>
            </w:r>
            <w:r w:rsidR="00F60834">
              <w:rPr>
                <w:noProof/>
                <w:webHidden/>
              </w:rPr>
              <w:fldChar w:fldCharType="begin"/>
            </w:r>
            <w:r w:rsidR="00F60834">
              <w:rPr>
                <w:noProof/>
                <w:webHidden/>
              </w:rPr>
              <w:instrText xml:space="preserve"> PAGEREF _Toc62043663 \h </w:instrText>
            </w:r>
            <w:r w:rsidR="00F60834">
              <w:rPr>
                <w:noProof/>
                <w:webHidden/>
              </w:rPr>
            </w:r>
            <w:r w:rsidR="00F60834">
              <w:rPr>
                <w:noProof/>
                <w:webHidden/>
              </w:rPr>
              <w:fldChar w:fldCharType="separate"/>
            </w:r>
            <w:r>
              <w:rPr>
                <w:noProof/>
                <w:webHidden/>
              </w:rPr>
              <w:t>36</w:t>
            </w:r>
            <w:r w:rsidR="00F60834">
              <w:rPr>
                <w:noProof/>
                <w:webHidden/>
              </w:rPr>
              <w:fldChar w:fldCharType="end"/>
            </w:r>
          </w:hyperlink>
        </w:p>
        <w:p w14:paraId="5A5CE8C0" w14:textId="1871CA86"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64" w:history="1">
            <w:r w:rsidR="00F60834" w:rsidRPr="00E11219">
              <w:rPr>
                <w:rStyle w:val="Hyperlink"/>
                <w:noProof/>
              </w:rPr>
              <w:t>5.3</w:t>
            </w:r>
            <w:r w:rsidR="00F60834">
              <w:rPr>
                <w:rFonts w:asciiTheme="minorHAnsi" w:eastAsiaTheme="minorEastAsia" w:hAnsiTheme="minorHAnsi" w:cstheme="minorBidi"/>
                <w:noProof/>
                <w:sz w:val="22"/>
                <w:szCs w:val="22"/>
                <w:lang w:eastAsia="en-AU"/>
              </w:rPr>
              <w:tab/>
            </w:r>
            <w:r w:rsidR="00F60834" w:rsidRPr="00E11219">
              <w:rPr>
                <w:rStyle w:val="Hyperlink"/>
                <w:noProof/>
              </w:rPr>
              <w:t>Governments are responsible for providing safe water</w:t>
            </w:r>
            <w:r w:rsidR="00F60834">
              <w:rPr>
                <w:noProof/>
                <w:webHidden/>
              </w:rPr>
              <w:tab/>
            </w:r>
            <w:r w:rsidR="00F60834">
              <w:rPr>
                <w:noProof/>
                <w:webHidden/>
              </w:rPr>
              <w:fldChar w:fldCharType="begin"/>
            </w:r>
            <w:r w:rsidR="00F60834">
              <w:rPr>
                <w:noProof/>
                <w:webHidden/>
              </w:rPr>
              <w:instrText xml:space="preserve"> PAGEREF _Toc62043664 \h </w:instrText>
            </w:r>
            <w:r w:rsidR="00F60834">
              <w:rPr>
                <w:noProof/>
                <w:webHidden/>
              </w:rPr>
            </w:r>
            <w:r w:rsidR="00F60834">
              <w:rPr>
                <w:noProof/>
                <w:webHidden/>
              </w:rPr>
              <w:fldChar w:fldCharType="separate"/>
            </w:r>
            <w:r>
              <w:rPr>
                <w:noProof/>
                <w:webHidden/>
              </w:rPr>
              <w:t>37</w:t>
            </w:r>
            <w:r w:rsidR="00F60834">
              <w:rPr>
                <w:noProof/>
                <w:webHidden/>
              </w:rPr>
              <w:fldChar w:fldCharType="end"/>
            </w:r>
          </w:hyperlink>
        </w:p>
        <w:p w14:paraId="3959F753" w14:textId="3D810E11"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65" w:history="1">
            <w:r w:rsidR="00F60834" w:rsidRPr="00E11219">
              <w:rPr>
                <w:rStyle w:val="Hyperlink"/>
                <w:noProof/>
              </w:rPr>
              <w:t>5.4</w:t>
            </w:r>
            <w:r w:rsidR="00F60834">
              <w:rPr>
                <w:rFonts w:asciiTheme="minorHAnsi" w:eastAsiaTheme="minorEastAsia" w:hAnsiTheme="minorHAnsi" w:cstheme="minorBidi"/>
                <w:noProof/>
                <w:sz w:val="22"/>
                <w:szCs w:val="22"/>
                <w:lang w:eastAsia="en-AU"/>
              </w:rPr>
              <w:tab/>
            </w:r>
            <w:r w:rsidR="00F60834" w:rsidRPr="00E11219">
              <w:rPr>
                <w:rStyle w:val="Hyperlink"/>
                <w:noProof/>
              </w:rPr>
              <w:t>Water service systems in remote Aboriginal and Torres Strait Islander communities face significant challenges</w:t>
            </w:r>
            <w:r w:rsidR="00F60834">
              <w:rPr>
                <w:noProof/>
                <w:webHidden/>
              </w:rPr>
              <w:tab/>
            </w:r>
            <w:r w:rsidR="00F60834">
              <w:rPr>
                <w:noProof/>
                <w:webHidden/>
              </w:rPr>
              <w:fldChar w:fldCharType="begin"/>
            </w:r>
            <w:r w:rsidR="00F60834">
              <w:rPr>
                <w:noProof/>
                <w:webHidden/>
              </w:rPr>
              <w:instrText xml:space="preserve"> PAGEREF _Toc62043665 \h </w:instrText>
            </w:r>
            <w:r w:rsidR="00F60834">
              <w:rPr>
                <w:noProof/>
                <w:webHidden/>
              </w:rPr>
            </w:r>
            <w:r w:rsidR="00F60834">
              <w:rPr>
                <w:noProof/>
                <w:webHidden/>
              </w:rPr>
              <w:fldChar w:fldCharType="separate"/>
            </w:r>
            <w:r>
              <w:rPr>
                <w:noProof/>
                <w:webHidden/>
              </w:rPr>
              <w:t>39</w:t>
            </w:r>
            <w:r w:rsidR="00F60834">
              <w:rPr>
                <w:noProof/>
                <w:webHidden/>
              </w:rPr>
              <w:fldChar w:fldCharType="end"/>
            </w:r>
          </w:hyperlink>
        </w:p>
        <w:p w14:paraId="4B72025E" w14:textId="39DE54DF"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66" w:history="1">
            <w:r w:rsidR="00F60834" w:rsidRPr="00E11219">
              <w:rPr>
                <w:rStyle w:val="Hyperlink"/>
                <w:noProof/>
              </w:rPr>
              <w:t>5.5</w:t>
            </w:r>
            <w:r w:rsidR="00F60834">
              <w:rPr>
                <w:rFonts w:asciiTheme="minorHAnsi" w:eastAsiaTheme="minorEastAsia" w:hAnsiTheme="minorHAnsi" w:cstheme="minorBidi"/>
                <w:noProof/>
                <w:sz w:val="22"/>
                <w:szCs w:val="22"/>
                <w:lang w:eastAsia="en-AU"/>
              </w:rPr>
              <w:tab/>
            </w:r>
            <w:r w:rsidR="00F60834" w:rsidRPr="00E11219">
              <w:rPr>
                <w:rStyle w:val="Hyperlink"/>
                <w:noProof/>
              </w:rPr>
              <w:t>Greater attention in national water reform is needed</w:t>
            </w:r>
            <w:r w:rsidR="00F60834">
              <w:rPr>
                <w:noProof/>
                <w:webHidden/>
              </w:rPr>
              <w:tab/>
            </w:r>
            <w:r w:rsidR="00F60834">
              <w:rPr>
                <w:noProof/>
                <w:webHidden/>
              </w:rPr>
              <w:fldChar w:fldCharType="begin"/>
            </w:r>
            <w:r w:rsidR="00F60834">
              <w:rPr>
                <w:noProof/>
                <w:webHidden/>
              </w:rPr>
              <w:instrText xml:space="preserve"> PAGEREF _Toc62043666 \h </w:instrText>
            </w:r>
            <w:r w:rsidR="00F60834">
              <w:rPr>
                <w:noProof/>
                <w:webHidden/>
              </w:rPr>
            </w:r>
            <w:r w:rsidR="00F60834">
              <w:rPr>
                <w:noProof/>
                <w:webHidden/>
              </w:rPr>
              <w:fldChar w:fldCharType="separate"/>
            </w:r>
            <w:r>
              <w:rPr>
                <w:noProof/>
                <w:webHidden/>
              </w:rPr>
              <w:t>43</w:t>
            </w:r>
            <w:r w:rsidR="00F60834">
              <w:rPr>
                <w:noProof/>
                <w:webHidden/>
              </w:rPr>
              <w:fldChar w:fldCharType="end"/>
            </w:r>
          </w:hyperlink>
        </w:p>
        <w:p w14:paraId="6FD1BA78" w14:textId="16E7B90B" w:rsidR="00F60834" w:rsidRDefault="00AB38AC">
          <w:pPr>
            <w:pStyle w:val="TOC1"/>
            <w:rPr>
              <w:rFonts w:asciiTheme="minorHAnsi" w:eastAsiaTheme="minorEastAsia" w:hAnsiTheme="minorHAnsi" w:cstheme="minorBidi"/>
              <w:b w:val="0"/>
              <w:noProof/>
              <w:sz w:val="22"/>
              <w:szCs w:val="22"/>
              <w:lang w:eastAsia="en-AU"/>
            </w:rPr>
          </w:pPr>
          <w:hyperlink w:anchor="_Toc62043667" w:history="1">
            <w:r w:rsidR="00F60834" w:rsidRPr="00E11219">
              <w:rPr>
                <w:rStyle w:val="Hyperlink"/>
                <w:noProof/>
              </w:rPr>
              <w:t>6</w:t>
            </w:r>
            <w:r w:rsidR="00F60834">
              <w:rPr>
                <w:rFonts w:asciiTheme="minorHAnsi" w:eastAsiaTheme="minorEastAsia" w:hAnsiTheme="minorHAnsi" w:cstheme="minorBidi"/>
                <w:b w:val="0"/>
                <w:noProof/>
                <w:sz w:val="22"/>
                <w:szCs w:val="22"/>
                <w:lang w:eastAsia="en-AU"/>
              </w:rPr>
              <w:tab/>
            </w:r>
            <w:r w:rsidR="00F60834" w:rsidRPr="00E11219">
              <w:rPr>
                <w:rStyle w:val="Hyperlink"/>
                <w:noProof/>
              </w:rPr>
              <w:t>NWI renewal</w:t>
            </w:r>
            <w:r w:rsidR="00F60834">
              <w:rPr>
                <w:noProof/>
                <w:webHidden/>
              </w:rPr>
              <w:tab/>
            </w:r>
            <w:r w:rsidR="00F60834">
              <w:rPr>
                <w:noProof/>
                <w:webHidden/>
              </w:rPr>
              <w:fldChar w:fldCharType="begin"/>
            </w:r>
            <w:r w:rsidR="00F60834">
              <w:rPr>
                <w:noProof/>
                <w:webHidden/>
              </w:rPr>
              <w:instrText xml:space="preserve"> PAGEREF _Toc62043667 \h </w:instrText>
            </w:r>
            <w:r w:rsidR="00F60834">
              <w:rPr>
                <w:noProof/>
                <w:webHidden/>
              </w:rPr>
            </w:r>
            <w:r w:rsidR="00F60834">
              <w:rPr>
                <w:noProof/>
                <w:webHidden/>
              </w:rPr>
              <w:fldChar w:fldCharType="separate"/>
            </w:r>
            <w:r>
              <w:rPr>
                <w:noProof/>
                <w:webHidden/>
              </w:rPr>
              <w:t>44</w:t>
            </w:r>
            <w:r w:rsidR="00F60834">
              <w:rPr>
                <w:noProof/>
                <w:webHidden/>
              </w:rPr>
              <w:fldChar w:fldCharType="end"/>
            </w:r>
          </w:hyperlink>
        </w:p>
        <w:p w14:paraId="5BEB8421" w14:textId="2B5A983A"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68" w:history="1">
            <w:r w:rsidR="00F60834" w:rsidRPr="00E11219">
              <w:rPr>
                <w:rStyle w:val="Hyperlink"/>
                <w:noProof/>
              </w:rPr>
              <w:t>6.1</w:t>
            </w:r>
            <w:r w:rsidR="00F60834">
              <w:rPr>
                <w:rFonts w:asciiTheme="minorHAnsi" w:eastAsiaTheme="minorEastAsia" w:hAnsiTheme="minorHAnsi" w:cstheme="minorBidi"/>
                <w:noProof/>
                <w:sz w:val="22"/>
                <w:szCs w:val="22"/>
                <w:lang w:eastAsia="en-AU"/>
              </w:rPr>
              <w:tab/>
            </w:r>
            <w:r w:rsidR="00F60834" w:rsidRPr="00E11219">
              <w:rPr>
                <w:rStyle w:val="Hyperlink"/>
                <w:noProof/>
              </w:rPr>
              <w:t>Ensuring access to a basic level of service</w:t>
            </w:r>
            <w:r w:rsidR="00F60834">
              <w:rPr>
                <w:noProof/>
                <w:webHidden/>
              </w:rPr>
              <w:tab/>
            </w:r>
            <w:r w:rsidR="00F60834">
              <w:rPr>
                <w:noProof/>
                <w:webHidden/>
              </w:rPr>
              <w:fldChar w:fldCharType="begin"/>
            </w:r>
            <w:r w:rsidR="00F60834">
              <w:rPr>
                <w:noProof/>
                <w:webHidden/>
              </w:rPr>
              <w:instrText xml:space="preserve"> PAGEREF _Toc62043668 \h </w:instrText>
            </w:r>
            <w:r w:rsidR="00F60834">
              <w:rPr>
                <w:noProof/>
                <w:webHidden/>
              </w:rPr>
            </w:r>
            <w:r w:rsidR="00F60834">
              <w:rPr>
                <w:noProof/>
                <w:webHidden/>
              </w:rPr>
              <w:fldChar w:fldCharType="separate"/>
            </w:r>
            <w:r>
              <w:rPr>
                <w:noProof/>
                <w:webHidden/>
              </w:rPr>
              <w:t>45</w:t>
            </w:r>
            <w:r w:rsidR="00F60834">
              <w:rPr>
                <w:noProof/>
                <w:webHidden/>
              </w:rPr>
              <w:fldChar w:fldCharType="end"/>
            </w:r>
          </w:hyperlink>
        </w:p>
        <w:p w14:paraId="7538CD9C" w14:textId="7893396B"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69" w:history="1">
            <w:r w:rsidR="00F60834" w:rsidRPr="00E11219">
              <w:rPr>
                <w:rStyle w:val="Hyperlink"/>
                <w:noProof/>
              </w:rPr>
              <w:t>6.2</w:t>
            </w:r>
            <w:r w:rsidR="00F60834">
              <w:rPr>
                <w:rFonts w:asciiTheme="minorHAnsi" w:eastAsiaTheme="minorEastAsia" w:hAnsiTheme="minorHAnsi" w:cstheme="minorBidi"/>
                <w:noProof/>
                <w:sz w:val="22"/>
                <w:szCs w:val="22"/>
                <w:lang w:eastAsia="en-AU"/>
              </w:rPr>
              <w:tab/>
            </w:r>
            <w:r w:rsidR="00F60834" w:rsidRPr="00E11219">
              <w:rPr>
                <w:rStyle w:val="Hyperlink"/>
                <w:noProof/>
              </w:rPr>
              <w:t>Governance and economic oversight</w:t>
            </w:r>
            <w:r w:rsidR="00F60834">
              <w:rPr>
                <w:noProof/>
                <w:webHidden/>
              </w:rPr>
              <w:tab/>
            </w:r>
            <w:r w:rsidR="00F60834">
              <w:rPr>
                <w:noProof/>
                <w:webHidden/>
              </w:rPr>
              <w:fldChar w:fldCharType="begin"/>
            </w:r>
            <w:r w:rsidR="00F60834">
              <w:rPr>
                <w:noProof/>
                <w:webHidden/>
              </w:rPr>
              <w:instrText xml:space="preserve"> PAGEREF _Toc62043669 \h </w:instrText>
            </w:r>
            <w:r w:rsidR="00F60834">
              <w:rPr>
                <w:noProof/>
                <w:webHidden/>
              </w:rPr>
            </w:r>
            <w:r w:rsidR="00F60834">
              <w:rPr>
                <w:noProof/>
                <w:webHidden/>
              </w:rPr>
              <w:fldChar w:fldCharType="separate"/>
            </w:r>
            <w:r>
              <w:rPr>
                <w:noProof/>
                <w:webHidden/>
              </w:rPr>
              <w:t>46</w:t>
            </w:r>
            <w:r w:rsidR="00F60834">
              <w:rPr>
                <w:noProof/>
                <w:webHidden/>
              </w:rPr>
              <w:fldChar w:fldCharType="end"/>
            </w:r>
          </w:hyperlink>
        </w:p>
        <w:p w14:paraId="1F34E1E5" w14:textId="25208D5D" w:rsidR="00F60834" w:rsidRDefault="00AB38AC">
          <w:pPr>
            <w:pStyle w:val="TOC2"/>
            <w:tabs>
              <w:tab w:val="left" w:pos="1134"/>
            </w:tabs>
            <w:rPr>
              <w:rFonts w:asciiTheme="minorHAnsi" w:eastAsiaTheme="minorEastAsia" w:hAnsiTheme="minorHAnsi" w:cstheme="minorBidi"/>
              <w:noProof/>
              <w:sz w:val="22"/>
              <w:szCs w:val="22"/>
              <w:lang w:eastAsia="en-AU"/>
            </w:rPr>
          </w:pPr>
          <w:hyperlink w:anchor="_Toc62043670" w:history="1">
            <w:r w:rsidR="00F60834" w:rsidRPr="00E11219">
              <w:rPr>
                <w:rStyle w:val="Hyperlink"/>
                <w:noProof/>
              </w:rPr>
              <w:t>6.3</w:t>
            </w:r>
            <w:r w:rsidR="00F60834">
              <w:rPr>
                <w:rFonts w:asciiTheme="minorHAnsi" w:eastAsiaTheme="minorEastAsia" w:hAnsiTheme="minorHAnsi" w:cstheme="minorBidi"/>
                <w:noProof/>
                <w:sz w:val="22"/>
                <w:szCs w:val="22"/>
                <w:lang w:eastAsia="en-AU"/>
              </w:rPr>
              <w:tab/>
            </w:r>
            <w:r w:rsidR="00F60834" w:rsidRPr="00E11219">
              <w:rPr>
                <w:rStyle w:val="Hyperlink"/>
                <w:noProof/>
              </w:rPr>
              <w:t>Monitoring, reporting and benchmarking</w:t>
            </w:r>
            <w:r w:rsidR="00F60834">
              <w:rPr>
                <w:noProof/>
                <w:webHidden/>
              </w:rPr>
              <w:tab/>
            </w:r>
            <w:r w:rsidR="00F60834">
              <w:rPr>
                <w:noProof/>
                <w:webHidden/>
              </w:rPr>
              <w:fldChar w:fldCharType="begin"/>
            </w:r>
            <w:r w:rsidR="00F60834">
              <w:rPr>
                <w:noProof/>
                <w:webHidden/>
              </w:rPr>
              <w:instrText xml:space="preserve"> PAGEREF _Toc62043670 \h </w:instrText>
            </w:r>
            <w:r w:rsidR="00F60834">
              <w:rPr>
                <w:noProof/>
                <w:webHidden/>
              </w:rPr>
            </w:r>
            <w:r w:rsidR="00F60834">
              <w:rPr>
                <w:noProof/>
                <w:webHidden/>
              </w:rPr>
              <w:fldChar w:fldCharType="separate"/>
            </w:r>
            <w:r>
              <w:rPr>
                <w:noProof/>
                <w:webHidden/>
              </w:rPr>
              <w:t>47</w:t>
            </w:r>
            <w:r w:rsidR="00F60834">
              <w:rPr>
                <w:noProof/>
                <w:webHidden/>
              </w:rPr>
              <w:fldChar w:fldCharType="end"/>
            </w:r>
          </w:hyperlink>
        </w:p>
        <w:p w14:paraId="4ACACA5C" w14:textId="49B7A6D9" w:rsidR="00F60834" w:rsidRDefault="00AB38AC">
          <w:pPr>
            <w:pStyle w:val="TOC1"/>
            <w:rPr>
              <w:rFonts w:asciiTheme="minorHAnsi" w:eastAsiaTheme="minorEastAsia" w:hAnsiTheme="minorHAnsi" w:cstheme="minorBidi"/>
              <w:b w:val="0"/>
              <w:noProof/>
              <w:sz w:val="22"/>
              <w:szCs w:val="22"/>
              <w:lang w:eastAsia="en-AU"/>
            </w:rPr>
          </w:pPr>
          <w:hyperlink w:anchor="_Toc62043671" w:history="1">
            <w:r w:rsidR="00F60834" w:rsidRPr="00E11219">
              <w:rPr>
                <w:rStyle w:val="Hyperlink"/>
                <w:noProof/>
              </w:rPr>
              <w:t>References</w:t>
            </w:r>
            <w:r w:rsidR="00F60834">
              <w:rPr>
                <w:noProof/>
                <w:webHidden/>
              </w:rPr>
              <w:tab/>
            </w:r>
            <w:r w:rsidR="00F60834">
              <w:rPr>
                <w:noProof/>
                <w:webHidden/>
              </w:rPr>
              <w:fldChar w:fldCharType="begin"/>
            </w:r>
            <w:r w:rsidR="00F60834">
              <w:rPr>
                <w:noProof/>
                <w:webHidden/>
              </w:rPr>
              <w:instrText xml:space="preserve"> PAGEREF _Toc62043671 \h </w:instrText>
            </w:r>
            <w:r w:rsidR="00F60834">
              <w:rPr>
                <w:noProof/>
                <w:webHidden/>
              </w:rPr>
            </w:r>
            <w:r w:rsidR="00F60834">
              <w:rPr>
                <w:noProof/>
                <w:webHidden/>
              </w:rPr>
              <w:fldChar w:fldCharType="separate"/>
            </w:r>
            <w:r>
              <w:rPr>
                <w:noProof/>
                <w:webHidden/>
              </w:rPr>
              <w:t>49</w:t>
            </w:r>
            <w:r w:rsidR="00F60834">
              <w:rPr>
                <w:noProof/>
                <w:webHidden/>
              </w:rPr>
              <w:fldChar w:fldCharType="end"/>
            </w:r>
          </w:hyperlink>
        </w:p>
        <w:p w14:paraId="670B4B18" w14:textId="46145782" w:rsidR="00E05EF9" w:rsidRPr="00AD7D18" w:rsidRDefault="00E05EF9" w:rsidP="00AD7D18">
          <w:pPr>
            <w:tabs>
              <w:tab w:val="right" w:pos="8789"/>
            </w:tabs>
            <w:spacing w:before="120" w:line="320" w:lineRule="exact"/>
            <w:ind w:left="1701" w:right="851" w:hanging="624"/>
            <w:rPr>
              <w:rFonts w:ascii="Arial" w:hAnsi="Arial"/>
              <w:noProof/>
              <w:sz w:val="26"/>
              <w:szCs w:val="26"/>
              <w:lang w:eastAsia="en-US"/>
            </w:rPr>
          </w:pPr>
          <w:r w:rsidRPr="00E05EF9">
            <w:rPr>
              <w:rFonts w:ascii="Arial" w:hAnsi="Arial"/>
              <w:noProof/>
              <w:sz w:val="26"/>
              <w:szCs w:val="26"/>
              <w:lang w:eastAsia="en-US"/>
            </w:rPr>
            <w:fldChar w:fldCharType="end"/>
          </w:r>
        </w:p>
      </w:sdtContent>
    </w:sdt>
    <w:p w14:paraId="0DE07E21" w14:textId="77777777" w:rsidR="00F60834" w:rsidRDefault="00F60834">
      <w:pPr>
        <w:sectPr w:rsidR="00F60834" w:rsidSect="00CA32B0">
          <w:headerReference w:type="even" r:id="rId20"/>
          <w:headerReference w:type="default" r:id="rId21"/>
          <w:footerReference w:type="even" r:id="rId22"/>
          <w:footerReference w:type="default" r:id="rId23"/>
          <w:pgSz w:w="11907" w:h="16840" w:code="9"/>
          <w:pgMar w:top="1985" w:right="1304" w:bottom="1247" w:left="1814" w:header="1701" w:footer="397" w:gutter="0"/>
          <w:pgNumType w:chapSep="period"/>
          <w:cols w:space="720"/>
        </w:sectPr>
      </w:pPr>
      <w:bookmarkStart w:id="3" w:name="ChapterNumber"/>
      <w:bookmarkStart w:id="4" w:name="_Toc59447365"/>
      <w:bookmarkEnd w:id="3"/>
      <w:bookmarkEnd w:id="4"/>
    </w:p>
    <w:p w14:paraId="123DF2F5" w14:textId="05573351" w:rsidR="00AB31A8" w:rsidRPr="00407D4F" w:rsidRDefault="00AB31A8" w:rsidP="000407E3">
      <w:pPr>
        <w:pStyle w:val="BoxSpaceAbove"/>
        <w:spacing w:befor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AB31A8" w14:paraId="700D0DFB" w14:textId="77777777" w:rsidTr="00502FB7">
        <w:tc>
          <w:tcPr>
            <w:tcW w:w="5000" w:type="pct"/>
            <w:tcBorders>
              <w:top w:val="single" w:sz="6" w:space="0" w:color="78A22F" w:themeColor="accent1"/>
              <w:left w:val="nil"/>
              <w:bottom w:val="nil"/>
              <w:right w:val="nil"/>
            </w:tcBorders>
            <w:shd w:val="clear" w:color="auto" w:fill="F2F2F2"/>
          </w:tcPr>
          <w:p w14:paraId="6D9E6171" w14:textId="77777777" w:rsidR="00AB31A8" w:rsidRDefault="00AB31A8" w:rsidP="00E94382">
            <w:pPr>
              <w:pStyle w:val="Caption"/>
              <w:spacing w:before="120" w:after="0"/>
            </w:pPr>
            <w:bookmarkStart w:id="5" w:name="_Toc62043643"/>
            <w:r>
              <w:t>Key points</w:t>
            </w:r>
            <w:bookmarkEnd w:id="5"/>
          </w:p>
        </w:tc>
      </w:tr>
      <w:tr w:rsidR="00AB31A8" w14:paraId="3BD9917E" w14:textId="77777777" w:rsidTr="00746966">
        <w:tc>
          <w:tcPr>
            <w:tcW w:w="5000" w:type="pct"/>
            <w:tcBorders>
              <w:top w:val="nil"/>
              <w:left w:val="nil"/>
              <w:bottom w:val="nil"/>
              <w:right w:val="nil"/>
            </w:tcBorders>
            <w:shd w:val="clear" w:color="auto" w:fill="F2F2F2"/>
          </w:tcPr>
          <w:p w14:paraId="3FDE3F9C" w14:textId="3E613DC1" w:rsidR="00AB31A8" w:rsidRDefault="00AB31A8" w:rsidP="000A7A50">
            <w:pPr>
              <w:pStyle w:val="KeyPointsListBullet"/>
              <w:ind w:left="284" w:hanging="284"/>
            </w:pPr>
            <w:r>
              <w:t>S</w:t>
            </w:r>
            <w:r w:rsidRPr="003717AA">
              <w:t xml:space="preserve">afe and reliable </w:t>
            </w:r>
            <w:r>
              <w:t xml:space="preserve">drinking </w:t>
            </w:r>
            <w:r w:rsidRPr="003717AA">
              <w:t>water can be more challenging and costly to supply to regional and remote communities</w:t>
            </w:r>
            <w:r>
              <w:t xml:space="preserve"> than to major cities</w:t>
            </w:r>
            <w:r w:rsidRPr="003717AA">
              <w:t>. Drought, bushfires and COVID</w:t>
            </w:r>
            <w:r w:rsidRPr="003717AA">
              <w:noBreakHyphen/>
              <w:t>19 have brought service delivery issues into sharp relief across the country.</w:t>
            </w:r>
          </w:p>
          <w:p w14:paraId="4C3B0D07" w14:textId="77777777" w:rsidR="00AB31A8" w:rsidRPr="003717AA" w:rsidRDefault="00AB31A8" w:rsidP="00E93A2C">
            <w:pPr>
              <w:pStyle w:val="KeyPointsListBullet2"/>
            </w:pPr>
            <w:r w:rsidRPr="003717AA">
              <w:t xml:space="preserve">Parts of </w:t>
            </w:r>
            <w:r w:rsidRPr="00E93A2C">
              <w:t>regional</w:t>
            </w:r>
            <w:r w:rsidRPr="003717AA">
              <w:t xml:space="preserve"> New South Wales and Queensland have experienced water security challenges, with some towns subject to severe and extended water restrictions. At the extreme, State governments have carted water into some towns.</w:t>
            </w:r>
          </w:p>
          <w:p w14:paraId="106F98B7" w14:textId="77777777" w:rsidR="00AB31A8" w:rsidRPr="003717AA" w:rsidRDefault="00AB31A8" w:rsidP="00E93A2C">
            <w:pPr>
              <w:pStyle w:val="KeyPointsListBullet2"/>
            </w:pPr>
            <w:r w:rsidRPr="003717AA">
              <w:t xml:space="preserve">Examples of </w:t>
            </w:r>
            <w:r w:rsidRPr="00E93A2C">
              <w:t>poor</w:t>
            </w:r>
            <w:r w:rsidRPr="003717AA">
              <w:t xml:space="preserve"> drinking water quality have emerged. Some regional and remote towns have been forced onto poor</w:t>
            </w:r>
            <w:r w:rsidRPr="003717AA">
              <w:noBreakHyphen/>
              <w:t>quality alternative water sources, and water source quality issues persist in some remote Aboriginal and Torres Strait Islander communities.</w:t>
            </w:r>
          </w:p>
          <w:p w14:paraId="24426FC9" w14:textId="4245F2B0" w:rsidR="00AB31A8" w:rsidRPr="000A7A50" w:rsidRDefault="00960567" w:rsidP="000A7A50">
            <w:pPr>
              <w:pStyle w:val="KeyPointsListBullet"/>
              <w:ind w:left="284" w:hanging="284"/>
              <w:rPr>
                <w:spacing w:val="-2"/>
              </w:rPr>
            </w:pPr>
            <w:r w:rsidRPr="000A7A50">
              <w:rPr>
                <w:spacing w:val="-2"/>
              </w:rPr>
              <w:t xml:space="preserve">Some </w:t>
            </w:r>
            <w:r w:rsidR="00AB31A8" w:rsidRPr="000A7A50">
              <w:rPr>
                <w:spacing w:val="-2"/>
              </w:rPr>
              <w:t xml:space="preserve">providers have adapted to these shocks better than others, </w:t>
            </w:r>
            <w:r w:rsidR="008C7E61" w:rsidRPr="000A7A50">
              <w:rPr>
                <w:spacing w:val="-2"/>
              </w:rPr>
              <w:t xml:space="preserve">but at times </w:t>
            </w:r>
            <w:r w:rsidR="00AB31A8" w:rsidRPr="000A7A50">
              <w:rPr>
                <w:spacing w:val="-2"/>
              </w:rPr>
              <w:t xml:space="preserve">State government </w:t>
            </w:r>
            <w:r w:rsidR="008C7E61" w:rsidRPr="000A7A50">
              <w:rPr>
                <w:spacing w:val="-2"/>
              </w:rPr>
              <w:t xml:space="preserve">responses have </w:t>
            </w:r>
            <w:r w:rsidR="00AB31A8" w:rsidRPr="000A7A50">
              <w:rPr>
                <w:spacing w:val="-2"/>
              </w:rPr>
              <w:t xml:space="preserve">been ad hoc and reactive. </w:t>
            </w:r>
            <w:r w:rsidR="006779DA" w:rsidRPr="000A7A50">
              <w:rPr>
                <w:spacing w:val="-2"/>
              </w:rPr>
              <w:t>P</w:t>
            </w:r>
            <w:r w:rsidR="00AB31A8" w:rsidRPr="000A7A50">
              <w:rPr>
                <w:spacing w:val="-2"/>
              </w:rPr>
              <w:t xml:space="preserve">lanning </w:t>
            </w:r>
            <w:r w:rsidR="006779DA" w:rsidRPr="000A7A50">
              <w:rPr>
                <w:spacing w:val="-2"/>
              </w:rPr>
              <w:t xml:space="preserve">has been </w:t>
            </w:r>
            <w:r w:rsidR="00AB31A8" w:rsidRPr="000A7A50">
              <w:rPr>
                <w:spacing w:val="-2"/>
              </w:rPr>
              <w:t xml:space="preserve">insufficient, </w:t>
            </w:r>
            <w:r w:rsidR="006779DA" w:rsidRPr="000A7A50">
              <w:rPr>
                <w:spacing w:val="-2"/>
              </w:rPr>
              <w:t xml:space="preserve">which </w:t>
            </w:r>
            <w:r w:rsidR="00AB31A8" w:rsidRPr="000A7A50">
              <w:rPr>
                <w:spacing w:val="-2"/>
              </w:rPr>
              <w:t xml:space="preserve">suggests inadequate capability in some local utilities. State and Territory </w:t>
            </w:r>
            <w:r w:rsidR="00E431AD" w:rsidRPr="000A7A50">
              <w:rPr>
                <w:spacing w:val="-2"/>
              </w:rPr>
              <w:t>g</w:t>
            </w:r>
            <w:r w:rsidR="00AB31A8" w:rsidRPr="000A7A50">
              <w:rPr>
                <w:spacing w:val="-2"/>
              </w:rPr>
              <w:t>overnment assistance programs could be better designed. Governance in the sector remains an issue</w:t>
            </w:r>
            <w:r w:rsidR="004658B0" w:rsidRPr="000A7A50">
              <w:rPr>
                <w:spacing w:val="-2"/>
              </w:rPr>
              <w:t xml:space="preserve">, as does the interaction between utility </w:t>
            </w:r>
            <w:r w:rsidR="00E66C2F" w:rsidRPr="000A7A50">
              <w:rPr>
                <w:spacing w:val="-2"/>
              </w:rPr>
              <w:t>operations</w:t>
            </w:r>
            <w:r w:rsidR="004658B0" w:rsidRPr="000A7A50">
              <w:rPr>
                <w:spacing w:val="-2"/>
              </w:rPr>
              <w:t xml:space="preserve"> and water resource </w:t>
            </w:r>
            <w:r w:rsidR="00EF46F1" w:rsidRPr="000A7A50">
              <w:rPr>
                <w:spacing w:val="-2"/>
              </w:rPr>
              <w:t>management during extreme events</w:t>
            </w:r>
            <w:r w:rsidR="00AB31A8" w:rsidRPr="000A7A50">
              <w:rPr>
                <w:spacing w:val="-2"/>
              </w:rPr>
              <w:t>.</w:t>
            </w:r>
          </w:p>
          <w:p w14:paraId="23C73A8D" w14:textId="19C5915F" w:rsidR="00AB31A8" w:rsidRPr="000A7A50" w:rsidRDefault="00AB31A8" w:rsidP="000A7A50">
            <w:pPr>
              <w:pStyle w:val="KeyPointsListBullet"/>
              <w:ind w:left="284" w:hanging="284"/>
              <w:rPr>
                <w:spacing w:val="-2"/>
              </w:rPr>
            </w:pPr>
            <w:r w:rsidRPr="000A7A50">
              <w:rPr>
                <w:spacing w:val="-2"/>
              </w:rPr>
              <w:t xml:space="preserve">Water services across regional and remote Australia are likely </w:t>
            </w:r>
            <w:r w:rsidR="00EA4935" w:rsidRPr="000A7A50">
              <w:rPr>
                <w:spacing w:val="-2"/>
              </w:rPr>
              <w:t xml:space="preserve">to </w:t>
            </w:r>
            <w:r w:rsidRPr="000A7A50">
              <w:rPr>
                <w:spacing w:val="-2"/>
              </w:rPr>
              <w:t>face greater strain in the future.</w:t>
            </w:r>
          </w:p>
          <w:p w14:paraId="2D1E0678" w14:textId="77777777" w:rsidR="00AB31A8" w:rsidRDefault="00AB31A8" w:rsidP="00E93A2C">
            <w:pPr>
              <w:pStyle w:val="KeyPointsListBullet2"/>
            </w:pPr>
            <w:r w:rsidRPr="003717AA">
              <w:t xml:space="preserve">Climate </w:t>
            </w:r>
            <w:r w:rsidRPr="00E93A2C">
              <w:t>change</w:t>
            </w:r>
            <w:r w:rsidRPr="003717AA">
              <w:t xml:space="preserve"> projections point to drier and hotter conditions across much of inland Australia, affecting supply and demand for water, as well as the reliability of existing water sources in regional and remote areas.</w:t>
            </w:r>
          </w:p>
          <w:p w14:paraId="73EAFBDD" w14:textId="6D34C1C4" w:rsidR="00AB31A8" w:rsidRPr="003717AA" w:rsidRDefault="00AB31A8" w:rsidP="00E93A2C">
            <w:pPr>
              <w:pStyle w:val="KeyPointsListBullet2"/>
            </w:pPr>
            <w:r w:rsidRPr="003717AA">
              <w:t xml:space="preserve">Some </w:t>
            </w:r>
            <w:r w:rsidRPr="00E93A2C">
              <w:t>regional</w:t>
            </w:r>
            <w:r w:rsidRPr="003717AA">
              <w:t xml:space="preserve"> towns are planning for growth, but others are </w:t>
            </w:r>
            <w:r w:rsidR="002740BE">
              <w:t>contending</w:t>
            </w:r>
            <w:r w:rsidR="002740BE" w:rsidRPr="003717AA">
              <w:t xml:space="preserve"> </w:t>
            </w:r>
            <w:r w:rsidRPr="003717AA">
              <w:t xml:space="preserve">with declining user bases and </w:t>
            </w:r>
            <w:r w:rsidR="008C7E61">
              <w:t xml:space="preserve">high </w:t>
            </w:r>
            <w:r w:rsidRPr="003717AA">
              <w:t>asset renewal costs, posing financial sustainability challenges.</w:t>
            </w:r>
          </w:p>
          <w:p w14:paraId="18CD3810" w14:textId="107C2009" w:rsidR="00AB31A8" w:rsidRPr="003717AA" w:rsidRDefault="008C7E61" w:rsidP="000A7A50">
            <w:pPr>
              <w:pStyle w:val="KeyPointsListBullet"/>
              <w:ind w:left="284" w:hanging="284"/>
            </w:pPr>
            <w:r>
              <w:t xml:space="preserve">State and </w:t>
            </w:r>
            <w:r w:rsidRPr="00E93A2C">
              <w:t>Territory</w:t>
            </w:r>
            <w:r>
              <w:t xml:space="preserve"> </w:t>
            </w:r>
            <w:r w:rsidR="00E431AD">
              <w:t>G</w:t>
            </w:r>
            <w:r w:rsidR="00AB31A8">
              <w:t xml:space="preserve">overnments </w:t>
            </w:r>
            <w:r w:rsidR="008A537B">
              <w:t xml:space="preserve">should commit </w:t>
            </w:r>
            <w:r w:rsidR="00AB31A8">
              <w:t>to</w:t>
            </w:r>
            <w:r w:rsidR="00AB31A8" w:rsidRPr="003717AA">
              <w:t xml:space="preserve"> ensur</w:t>
            </w:r>
            <w:r w:rsidR="008A537B">
              <w:t>ing</w:t>
            </w:r>
            <w:r w:rsidR="00AB31A8" w:rsidRPr="003717AA">
              <w:t xml:space="preserve"> </w:t>
            </w:r>
            <w:r w:rsidR="006779DA">
              <w:t xml:space="preserve">access to a basic level of safe and </w:t>
            </w:r>
            <w:r w:rsidR="00AB31A8">
              <w:t xml:space="preserve">reliable </w:t>
            </w:r>
            <w:r w:rsidR="006779DA">
              <w:t xml:space="preserve">water </w:t>
            </w:r>
            <w:r w:rsidR="008A537B">
              <w:t>for</w:t>
            </w:r>
            <w:r w:rsidR="006779DA">
              <w:t xml:space="preserve"> regional and remote communities</w:t>
            </w:r>
            <w:r w:rsidR="00AB31A8">
              <w:t xml:space="preserve">. </w:t>
            </w:r>
            <w:r w:rsidR="00AB31A8" w:rsidRPr="003717AA">
              <w:t>A renewed National Water Initiative (NWI) should include principles for:</w:t>
            </w:r>
          </w:p>
          <w:p w14:paraId="64C331AB" w14:textId="3975EEB7" w:rsidR="008277A7" w:rsidRDefault="008277A7" w:rsidP="00E93A2C">
            <w:pPr>
              <w:pStyle w:val="KeyPointsListBullet2"/>
            </w:pPr>
            <w:r>
              <w:t>regional and remote urban water planning, including ensuring alignment between utility system planning</w:t>
            </w:r>
            <w:r w:rsidR="00EF46F1">
              <w:t>, contingency planning</w:t>
            </w:r>
            <w:r>
              <w:t xml:space="preserve"> and water resource </w:t>
            </w:r>
            <w:proofErr w:type="gramStart"/>
            <w:r>
              <w:t>planning</w:t>
            </w:r>
            <w:proofErr w:type="gramEnd"/>
          </w:p>
          <w:p w14:paraId="13EC6B26" w14:textId="631B6953" w:rsidR="00AB31A8" w:rsidRDefault="006779DA" w:rsidP="00E93A2C">
            <w:pPr>
              <w:pStyle w:val="KeyPointsListBullet2"/>
            </w:pPr>
            <w:r>
              <w:t xml:space="preserve">defining and ensuring access to a basic level of service, including guidelines for government subsidies for </w:t>
            </w:r>
            <w:r w:rsidR="00381332">
              <w:t>high</w:t>
            </w:r>
            <w:r w:rsidR="00381332">
              <w:noBreakHyphen/>
              <w:t xml:space="preserve">cost </w:t>
            </w:r>
            <w:r w:rsidR="008A537B">
              <w:t xml:space="preserve">regional and remote water </w:t>
            </w:r>
            <w:proofErr w:type="gramStart"/>
            <w:r>
              <w:t>services</w:t>
            </w:r>
            <w:proofErr w:type="gramEnd"/>
          </w:p>
          <w:p w14:paraId="3FF3E60A" w14:textId="014BAEE4" w:rsidR="008468FF" w:rsidRPr="00E93A2C" w:rsidRDefault="008468FF" w:rsidP="00E93A2C">
            <w:pPr>
              <w:pStyle w:val="KeyPointsListBullet2"/>
            </w:pPr>
            <w:r w:rsidRPr="003717AA">
              <w:t>governance</w:t>
            </w:r>
            <w:r>
              <w:t xml:space="preserve"> of regional and remote providers</w:t>
            </w:r>
            <w:r w:rsidRPr="003717AA">
              <w:t xml:space="preserve">, </w:t>
            </w:r>
            <w:r w:rsidR="008B14FB">
              <w:t>including financial</w:t>
            </w:r>
            <w:r w:rsidR="008B14FB" w:rsidRPr="003717AA">
              <w:t xml:space="preserve"> </w:t>
            </w:r>
            <w:r w:rsidR="008B14FB">
              <w:t xml:space="preserve">separation </w:t>
            </w:r>
            <w:r>
              <w:t>and</w:t>
            </w:r>
            <w:r w:rsidRPr="003717AA">
              <w:t xml:space="preserve"> </w:t>
            </w:r>
            <w:r>
              <w:t>a commitment to light</w:t>
            </w:r>
            <w:r>
              <w:noBreakHyphen/>
            </w:r>
            <w:r w:rsidRPr="00E93A2C">
              <w:t xml:space="preserve">touch economic oversight for all </w:t>
            </w:r>
            <w:proofErr w:type="gramStart"/>
            <w:r w:rsidRPr="00E93A2C">
              <w:t>providers</w:t>
            </w:r>
            <w:proofErr w:type="gramEnd"/>
          </w:p>
          <w:p w14:paraId="2FC536F1" w14:textId="1EC831D1" w:rsidR="00AB31A8" w:rsidRPr="003717AA" w:rsidRDefault="00AB31A8" w:rsidP="00E93A2C">
            <w:pPr>
              <w:pStyle w:val="KeyPointsListBullet2"/>
            </w:pPr>
            <w:r w:rsidRPr="00E93A2C">
              <w:t>monitoring</w:t>
            </w:r>
            <w:r w:rsidR="008468FF" w:rsidRPr="00E93A2C">
              <w:t>,</w:t>
            </w:r>
            <w:r w:rsidRPr="00E93A2C">
              <w:t xml:space="preserve"> </w:t>
            </w:r>
            <w:proofErr w:type="gramStart"/>
            <w:r w:rsidRPr="00E93A2C">
              <w:t>reporting</w:t>
            </w:r>
            <w:proofErr w:type="gramEnd"/>
            <w:r w:rsidRPr="00E93A2C">
              <w:t xml:space="preserve"> </w:t>
            </w:r>
            <w:r w:rsidR="008468FF" w:rsidRPr="00E93A2C">
              <w:t>and benchmarking</w:t>
            </w:r>
            <w:r w:rsidR="008468FF">
              <w:t xml:space="preserve"> of </w:t>
            </w:r>
            <w:r w:rsidRPr="003717AA">
              <w:t xml:space="preserve">regional and remote </w:t>
            </w:r>
            <w:r w:rsidR="008468FF">
              <w:t xml:space="preserve">water </w:t>
            </w:r>
            <w:r w:rsidRPr="003717AA">
              <w:t>service outcomes</w:t>
            </w:r>
            <w:r w:rsidR="008C7E61">
              <w:t xml:space="preserve">, especially in </w:t>
            </w:r>
            <w:r w:rsidR="008C7E61" w:rsidRPr="003717AA">
              <w:t>remote Aboriginal and Torres Strait Islander communities</w:t>
            </w:r>
            <w:r w:rsidR="008468FF">
              <w:t>.</w:t>
            </w:r>
          </w:p>
        </w:tc>
      </w:tr>
      <w:tr w:rsidR="00AB31A8" w14:paraId="7A442A12" w14:textId="77777777" w:rsidTr="00746966">
        <w:tc>
          <w:tcPr>
            <w:tcW w:w="5000" w:type="pct"/>
            <w:tcBorders>
              <w:top w:val="nil"/>
              <w:left w:val="nil"/>
              <w:bottom w:val="single" w:sz="4" w:space="0" w:color="78A22F" w:themeColor="accent1"/>
              <w:right w:val="nil"/>
            </w:tcBorders>
            <w:shd w:val="clear" w:color="auto" w:fill="F2F2F2"/>
          </w:tcPr>
          <w:p w14:paraId="24AF75BA" w14:textId="77777777" w:rsidR="00AB31A8" w:rsidRDefault="00AB31A8" w:rsidP="00746966">
            <w:pPr>
              <w:pStyle w:val="Box"/>
              <w:spacing w:before="0" w:line="120" w:lineRule="exact"/>
            </w:pPr>
          </w:p>
        </w:tc>
      </w:tr>
      <w:tr w:rsidR="00AB31A8" w14:paraId="6DE6C226" w14:textId="77777777" w:rsidTr="00746966">
        <w:tc>
          <w:tcPr>
            <w:tcW w:w="5000" w:type="pct"/>
            <w:tcBorders>
              <w:top w:val="single" w:sz="4" w:space="0" w:color="78A22F" w:themeColor="accent1"/>
              <w:left w:val="nil"/>
              <w:bottom w:val="nil"/>
              <w:right w:val="nil"/>
            </w:tcBorders>
          </w:tcPr>
          <w:p w14:paraId="240EFC03" w14:textId="77777777" w:rsidR="00AB31A8" w:rsidRDefault="00AB31A8" w:rsidP="00746966">
            <w:pPr>
              <w:pStyle w:val="Box"/>
              <w:keepNext w:val="0"/>
              <w:spacing w:before="60" w:after="60" w:line="80" w:lineRule="exact"/>
            </w:pPr>
          </w:p>
        </w:tc>
      </w:tr>
    </w:tbl>
    <w:p w14:paraId="44CDD2FE" w14:textId="25876651" w:rsidR="003B60C6" w:rsidRDefault="00C0470D" w:rsidP="00E93A2C">
      <w:pPr>
        <w:pStyle w:val="BodyText"/>
      </w:pPr>
      <w:r>
        <w:t xml:space="preserve">The </w:t>
      </w:r>
      <w:r w:rsidR="00DD0DE0">
        <w:t xml:space="preserve">inquiry </w:t>
      </w:r>
      <w:r>
        <w:t xml:space="preserve">terms of reference </w:t>
      </w:r>
      <w:r w:rsidR="009023B3">
        <w:t>request</w:t>
      </w:r>
      <w:r w:rsidR="00836581">
        <w:t xml:space="preserve"> </w:t>
      </w:r>
      <w:r>
        <w:t>the Commission to consider ‘</w:t>
      </w:r>
      <w:r w:rsidRPr="00C0470D">
        <w:t xml:space="preserve">the provision of </w:t>
      </w:r>
      <w:r w:rsidRPr="00CD4B26">
        <w:t>reliable</w:t>
      </w:r>
      <w:r w:rsidRPr="00C0470D">
        <w:t xml:space="preserve"> water services to regional, rural and remote </w:t>
      </w:r>
      <w:proofErr w:type="gramStart"/>
      <w:r w:rsidRPr="00C0470D">
        <w:t>communities</w:t>
      </w:r>
      <w:r>
        <w:t>’</w:t>
      </w:r>
      <w:proofErr w:type="gramEnd"/>
      <w:r w:rsidR="002707E0">
        <w:t>.</w:t>
      </w:r>
      <w:r>
        <w:t xml:space="preserve"> </w:t>
      </w:r>
      <w:r w:rsidR="00DA382C">
        <w:t>Provi</w:t>
      </w:r>
      <w:r w:rsidR="00852B1B">
        <w:t>sion of</w:t>
      </w:r>
      <w:r w:rsidR="00DA382C">
        <w:t xml:space="preserve"> reliable</w:t>
      </w:r>
      <w:r w:rsidR="00420F83">
        <w:t xml:space="preserve">, along with </w:t>
      </w:r>
      <w:r w:rsidR="00EA4935">
        <w:t xml:space="preserve">healthy </w:t>
      </w:r>
      <w:r w:rsidR="00420F83">
        <w:t>and safe,</w:t>
      </w:r>
      <w:r w:rsidR="00DA382C">
        <w:t xml:space="preserve"> water supplies is an agreed outcome of the NWI</w:t>
      </w:r>
      <w:r w:rsidR="00507CC9">
        <w:t>,</w:t>
      </w:r>
      <w:r w:rsidR="008C5B2C" w:rsidRPr="00C20339">
        <w:rPr>
          <w:rStyle w:val="FootnoteReference"/>
        </w:rPr>
        <w:footnoteReference w:id="2"/>
      </w:r>
      <w:r w:rsidR="00DA382C">
        <w:t xml:space="preserve"> </w:t>
      </w:r>
      <w:r w:rsidR="009023B3">
        <w:t>but</w:t>
      </w:r>
      <w:r w:rsidR="00A53E72" w:rsidRPr="00A53E72">
        <w:t xml:space="preserve"> </w:t>
      </w:r>
      <w:r w:rsidR="00A53E72" w:rsidRPr="007F1C4B">
        <w:t>the Commission’s assessment</w:t>
      </w:r>
      <w:r w:rsidR="00A53E72">
        <w:t xml:space="preserve"> (</w:t>
      </w:r>
      <w:r w:rsidR="000009DB" w:rsidRPr="000009DB">
        <w:rPr>
          <w:i/>
        </w:rPr>
        <w:t>A</w:t>
      </w:r>
      <w:r w:rsidR="00A53E72" w:rsidRPr="00DD0DE0">
        <w:rPr>
          <w:i/>
        </w:rPr>
        <w:t>ssessment</w:t>
      </w:r>
      <w:r w:rsidR="006E613C">
        <w:t>: section</w:t>
      </w:r>
      <w:r w:rsidR="007D4FA8">
        <w:t> </w:t>
      </w:r>
      <w:r w:rsidR="008B0F62">
        <w:t>6.1</w:t>
      </w:r>
      <w:r w:rsidR="00A53E72">
        <w:t xml:space="preserve">) </w:t>
      </w:r>
      <w:r w:rsidR="00A53E72" w:rsidRPr="00EA4935">
        <w:t>has</w:t>
      </w:r>
      <w:r w:rsidR="007F1C4B" w:rsidRPr="00EA4935">
        <w:t xml:space="preserve"> </w:t>
      </w:r>
      <w:r w:rsidR="00A53E72" w:rsidRPr="00EA4935">
        <w:t>highlighted</w:t>
      </w:r>
      <w:r w:rsidR="00B30BFF">
        <w:t xml:space="preserve"> that</w:t>
      </w:r>
      <w:r w:rsidR="00A53E72">
        <w:t xml:space="preserve"> regional</w:t>
      </w:r>
      <w:r w:rsidR="007F1C4B">
        <w:t xml:space="preserve">, </w:t>
      </w:r>
      <w:proofErr w:type="gramStart"/>
      <w:r w:rsidR="007F1C4B">
        <w:t>rural</w:t>
      </w:r>
      <w:proofErr w:type="gramEnd"/>
      <w:r w:rsidR="00A53E72">
        <w:t xml:space="preserve"> and remote communities </w:t>
      </w:r>
      <w:r w:rsidR="007F1C4B">
        <w:t xml:space="preserve">can </w:t>
      </w:r>
      <w:r w:rsidR="000D79C5">
        <w:t xml:space="preserve">face </w:t>
      </w:r>
      <w:r w:rsidR="0082491B">
        <w:t>lower service quality</w:t>
      </w:r>
      <w:r w:rsidR="00A53E72">
        <w:t xml:space="preserve"> (</w:t>
      </w:r>
      <w:r w:rsidR="0082491B">
        <w:t>that is, service</w:t>
      </w:r>
      <w:r w:rsidR="00420F83">
        <w:t xml:space="preserve"> reliability and </w:t>
      </w:r>
      <w:r w:rsidR="00A53E72">
        <w:t>water quality)</w:t>
      </w:r>
      <w:r w:rsidR="007F1C4B">
        <w:t xml:space="preserve"> than </w:t>
      </w:r>
      <w:r w:rsidR="00391905">
        <w:t xml:space="preserve">residents of </w:t>
      </w:r>
      <w:r w:rsidR="007F1C4B">
        <w:t>major cities</w:t>
      </w:r>
      <w:r w:rsidR="00A53E72">
        <w:t xml:space="preserve">. </w:t>
      </w:r>
      <w:r w:rsidR="003B60C6">
        <w:t xml:space="preserve">Although most jurisdictions are taking steps to improve regional </w:t>
      </w:r>
      <w:r w:rsidR="00354912">
        <w:t xml:space="preserve">and remote </w:t>
      </w:r>
      <w:r w:rsidR="003B60C6">
        <w:t xml:space="preserve">service quality, some poor outcomes have been </w:t>
      </w:r>
      <w:r w:rsidR="002A4B0E">
        <w:t>observed</w:t>
      </w:r>
      <w:r w:rsidR="003B60C6">
        <w:t xml:space="preserve">. </w:t>
      </w:r>
      <w:r w:rsidR="002A4B0E">
        <w:t xml:space="preserve">These reflect </w:t>
      </w:r>
      <w:r w:rsidR="002A4B0E">
        <w:lastRenderedPageBreak/>
        <w:t>a range of pressures — including drought, aging infrastructure, poorer water sources and the capability and financial sustainability of some smaller providers.</w:t>
      </w:r>
    </w:p>
    <w:p w14:paraId="7FA68BE7" w14:textId="66EADD07" w:rsidR="00852B1B" w:rsidRDefault="008A1204" w:rsidP="00E93A2C">
      <w:pPr>
        <w:pStyle w:val="BodyText"/>
      </w:pPr>
      <w:r>
        <w:t xml:space="preserve">Addressing </w:t>
      </w:r>
      <w:r w:rsidRPr="00E93A2C">
        <w:t>disparities</w:t>
      </w:r>
      <w:r>
        <w:t xml:space="preserve"> in access to essential services is a perpetual policy challenge, broader than water alone.</w:t>
      </w:r>
      <w:r w:rsidR="00B010EC">
        <w:t xml:space="preserve"> </w:t>
      </w:r>
      <w:r w:rsidR="00420F83">
        <w:t>In one</w:t>
      </w:r>
      <w:r w:rsidR="00391905">
        <w:t xml:space="preserve"> reflection of that</w:t>
      </w:r>
      <w:r w:rsidR="00420F83">
        <w:t xml:space="preserve"> challenge, </w:t>
      </w:r>
      <w:r w:rsidR="002317D3">
        <w:t>the</w:t>
      </w:r>
      <w:r w:rsidR="00B010EC">
        <w:t xml:space="preserve"> 2020 </w:t>
      </w:r>
      <w:r w:rsidR="00B010EC" w:rsidRPr="00AD7D18">
        <w:t>National Agreement on Closing the Gap</w:t>
      </w:r>
      <w:r w:rsidR="00B010EC" w:rsidRPr="006E613C">
        <w:t xml:space="preserve"> </w:t>
      </w:r>
      <w:r w:rsidR="00B010EC">
        <w:t>committed to develop a target towards parity of infrastructure, essential services</w:t>
      </w:r>
      <w:r w:rsidR="006E613C">
        <w:t xml:space="preserve"> (including water and sewerage services)</w:t>
      </w:r>
      <w:r w:rsidR="00CC4570">
        <w:t>,</w:t>
      </w:r>
      <w:r w:rsidR="00B010EC">
        <w:t xml:space="preserve"> and environmental health and conditions for Aboriginal and Torres Strait Islander communities </w:t>
      </w:r>
      <w:r w:rsidR="006E613C" w:rsidRPr="006E613C">
        <w:rPr>
          <w:szCs w:val="24"/>
        </w:rPr>
        <w:t>(Australian Governments and the Coalition of Peaks 2020, p. 36)</w:t>
      </w:r>
      <w:r w:rsidR="00B010EC">
        <w:t xml:space="preserve">. National water reform </w:t>
      </w:r>
      <w:r>
        <w:t xml:space="preserve">can play </w:t>
      </w:r>
      <w:r w:rsidR="009A25D2">
        <w:t xml:space="preserve">a </w:t>
      </w:r>
      <w:r>
        <w:t xml:space="preserve">role in supporting </w:t>
      </w:r>
      <w:r w:rsidR="00B010EC">
        <w:t>processes</w:t>
      </w:r>
      <w:r w:rsidR="00420F83">
        <w:t xml:space="preserve"> such as these</w:t>
      </w:r>
      <w:r w:rsidR="00B010EC">
        <w:t>.</w:t>
      </w:r>
    </w:p>
    <w:p w14:paraId="106BB622" w14:textId="2A3CB091" w:rsidR="00A72F06" w:rsidRDefault="00373539" w:rsidP="00E93A2C">
      <w:pPr>
        <w:pStyle w:val="BodyText"/>
      </w:pPr>
      <w:r>
        <w:t>Although the principles of best</w:t>
      </w:r>
      <w:r>
        <w:noBreakHyphen/>
        <w:t>practice urban water service provision (which encompass planning, pricing and institutional arrangements, regulation</w:t>
      </w:r>
      <w:r w:rsidR="000A152C">
        <w:t>,</w:t>
      </w:r>
      <w:r>
        <w:t xml:space="preserve"> and governance) apply in regional, </w:t>
      </w:r>
      <w:proofErr w:type="gramStart"/>
      <w:r>
        <w:t>rural</w:t>
      </w:r>
      <w:proofErr w:type="gramEnd"/>
      <w:r>
        <w:t xml:space="preserve"> and remote areas as well as major cities (SP</w:t>
      </w:r>
      <w:r w:rsidR="00731B11">
        <w:t> </w:t>
      </w:r>
      <w:r w:rsidR="00A37C49">
        <w:t>F</w:t>
      </w:r>
      <w:r>
        <w:t> </w:t>
      </w:r>
      <w:r w:rsidR="00A37C49">
        <w:t>U</w:t>
      </w:r>
      <w:r w:rsidRPr="00836581">
        <w:rPr>
          <w:i/>
        </w:rPr>
        <w:t>rban</w:t>
      </w:r>
      <w:r>
        <w:t>), giving effect to best practice outside major cities can be more challenging.</w:t>
      </w:r>
      <w:r w:rsidR="00391905">
        <w:t xml:space="preserve"> In recognition of that fact, t</w:t>
      </w:r>
      <w:r w:rsidR="003253BB">
        <w:t xml:space="preserve">his paper </w:t>
      </w:r>
      <w:r w:rsidR="00293B58">
        <w:t xml:space="preserve">tailors </w:t>
      </w:r>
      <w:r w:rsidR="003253BB">
        <w:t xml:space="preserve">the urban water </w:t>
      </w:r>
      <w:r w:rsidR="00DA382C" w:rsidRPr="009023B3">
        <w:t>principles</w:t>
      </w:r>
      <w:r w:rsidR="003253BB">
        <w:t xml:space="preserve"> outlined in </w:t>
      </w:r>
      <w:r w:rsidR="00B26572" w:rsidRPr="00453EB4">
        <w:t>SP</w:t>
      </w:r>
      <w:r w:rsidR="00731B11" w:rsidRPr="00453EB4">
        <w:t> </w:t>
      </w:r>
      <w:r w:rsidR="00A37C49" w:rsidRPr="00453EB4">
        <w:t>F</w:t>
      </w:r>
      <w:r w:rsidR="003253BB">
        <w:t> </w:t>
      </w:r>
      <w:r w:rsidR="009023B3">
        <w:rPr>
          <w:i/>
        </w:rPr>
        <w:t>U</w:t>
      </w:r>
      <w:r w:rsidR="00836581">
        <w:rPr>
          <w:i/>
        </w:rPr>
        <w:t>rban</w:t>
      </w:r>
      <w:r w:rsidR="00E037BC">
        <w:rPr>
          <w:i/>
        </w:rPr>
        <w:t xml:space="preserve"> </w:t>
      </w:r>
      <w:r w:rsidR="00507CC9">
        <w:t xml:space="preserve">to </w:t>
      </w:r>
      <w:r w:rsidR="00D0623D">
        <w:t xml:space="preserve">fit the </w:t>
      </w:r>
      <w:r w:rsidR="00B010EC">
        <w:t xml:space="preserve">context </w:t>
      </w:r>
      <w:r w:rsidR="00D0623D">
        <w:t xml:space="preserve">of </w:t>
      </w:r>
      <w:r w:rsidR="003253BB">
        <w:t xml:space="preserve">regional and remote </w:t>
      </w:r>
      <w:r w:rsidR="00507CC9">
        <w:t>communities</w:t>
      </w:r>
      <w:r w:rsidR="00666797">
        <w:t>,</w:t>
      </w:r>
      <w:r w:rsidR="00B010EC" w:rsidRPr="00C20339">
        <w:rPr>
          <w:rStyle w:val="FootnoteReference"/>
        </w:rPr>
        <w:footnoteReference w:id="3"/>
      </w:r>
      <w:r w:rsidR="0096457F">
        <w:t xml:space="preserve"> and</w:t>
      </w:r>
      <w:r w:rsidR="003253BB">
        <w:t xml:space="preserve"> </w:t>
      </w:r>
      <w:r w:rsidR="00EB2882">
        <w:t>proposes</w:t>
      </w:r>
      <w:r w:rsidR="00751A25">
        <w:t xml:space="preserve"> </w:t>
      </w:r>
      <w:r w:rsidR="008A1204">
        <w:t xml:space="preserve">additional </w:t>
      </w:r>
      <w:r w:rsidR="00751A25">
        <w:t>content</w:t>
      </w:r>
      <w:r w:rsidR="00F93F8D">
        <w:t xml:space="preserve"> for jurisdictions to consider </w:t>
      </w:r>
      <w:r w:rsidR="00EC21AD">
        <w:t>in</w:t>
      </w:r>
      <w:r w:rsidR="00176F3D">
        <w:t xml:space="preserve"> </w:t>
      </w:r>
      <w:r w:rsidR="00751A25">
        <w:t>renew</w:t>
      </w:r>
      <w:r w:rsidR="00EC21AD">
        <w:t>ing the</w:t>
      </w:r>
      <w:r w:rsidR="00751A25">
        <w:t xml:space="preserve"> </w:t>
      </w:r>
      <w:r w:rsidR="00F93F8D">
        <w:t>NWI</w:t>
      </w:r>
      <w:r w:rsidR="0096457F">
        <w:t>.</w:t>
      </w:r>
    </w:p>
    <w:p w14:paraId="38B41F31" w14:textId="3F1B2BCA" w:rsidR="00C0470D" w:rsidRDefault="000C7DCD" w:rsidP="00755702">
      <w:pPr>
        <w:pStyle w:val="BodyText"/>
        <w:keepNext/>
      </w:pPr>
      <w:r>
        <w:t>Th</w:t>
      </w:r>
      <w:r w:rsidR="00E60BE8">
        <w:t>e</w:t>
      </w:r>
      <w:r>
        <w:t xml:space="preserve"> </w:t>
      </w:r>
      <w:r w:rsidR="006F627E">
        <w:t>paper</w:t>
      </w:r>
      <w:r w:rsidR="00ED2D66">
        <w:t xml:space="preserve"> presents:</w:t>
      </w:r>
    </w:p>
    <w:p w14:paraId="37C1E00A" w14:textId="01728D11" w:rsidR="006F627E" w:rsidRDefault="00ED2D66" w:rsidP="00E93A2C">
      <w:pPr>
        <w:pStyle w:val="ListBullet"/>
      </w:pPr>
      <w:r>
        <w:t>b</w:t>
      </w:r>
      <w:r w:rsidR="006F627E">
        <w:t>ackground on regional and remote water service provision (section 1)</w:t>
      </w:r>
    </w:p>
    <w:p w14:paraId="5237FACA" w14:textId="1839861E" w:rsidR="00596BC9" w:rsidRDefault="00596BC9" w:rsidP="00E93A2C">
      <w:pPr>
        <w:pStyle w:val="ListBullet"/>
      </w:pPr>
      <w:r>
        <w:t xml:space="preserve">an overview of challenges </w:t>
      </w:r>
      <w:r w:rsidR="00666797">
        <w:t xml:space="preserve">in supplying </w:t>
      </w:r>
      <w:r w:rsidR="00641A03">
        <w:t xml:space="preserve">safe and reliable </w:t>
      </w:r>
      <w:r w:rsidR="00D0623D">
        <w:t>water service</w:t>
      </w:r>
      <w:r w:rsidR="00B37A2F">
        <w:t>s</w:t>
      </w:r>
      <w:r w:rsidR="00D0623D">
        <w:t xml:space="preserve"> </w:t>
      </w:r>
      <w:r w:rsidR="00666797">
        <w:t xml:space="preserve">to </w:t>
      </w:r>
      <w:r>
        <w:t xml:space="preserve">regional and remote </w:t>
      </w:r>
      <w:r w:rsidR="00D0623D">
        <w:t>communities</w:t>
      </w:r>
      <w:r w:rsidR="00641A03">
        <w:t xml:space="preserve"> </w:t>
      </w:r>
      <w:r w:rsidR="00176F3D">
        <w:t>(section </w:t>
      </w:r>
      <w:r w:rsidR="000009DB">
        <w:t>2</w:t>
      </w:r>
      <w:r w:rsidR="00176F3D">
        <w:t>)</w:t>
      </w:r>
    </w:p>
    <w:p w14:paraId="6792EE5E" w14:textId="79A163DA" w:rsidR="00E037BC" w:rsidRDefault="00E037BC" w:rsidP="00E93A2C">
      <w:pPr>
        <w:pStyle w:val="ListBullet"/>
      </w:pPr>
      <w:r>
        <w:t>principles for regional urban water planning and service delivery</w:t>
      </w:r>
      <w:r w:rsidR="00507CC9">
        <w:t xml:space="preserve"> (section 3)</w:t>
      </w:r>
    </w:p>
    <w:p w14:paraId="38DD5C48" w14:textId="7289E610" w:rsidR="0044540E" w:rsidRDefault="0044540E" w:rsidP="00E93A2C">
      <w:pPr>
        <w:pStyle w:val="ListBullet"/>
      </w:pPr>
      <w:r>
        <w:t>advice for governments in supporting regional and remote water services (section 4)</w:t>
      </w:r>
    </w:p>
    <w:p w14:paraId="11368FD8" w14:textId="436B19AE" w:rsidR="000C7DCD" w:rsidRDefault="002707E0" w:rsidP="00E93A2C">
      <w:pPr>
        <w:pStyle w:val="ListBullet"/>
      </w:pPr>
      <w:r w:rsidRPr="001765B3">
        <w:t>priorities</w:t>
      </w:r>
      <w:r>
        <w:t xml:space="preserve"> </w:t>
      </w:r>
      <w:r w:rsidR="00641A03">
        <w:t>to ensure</w:t>
      </w:r>
      <w:r>
        <w:t xml:space="preserve"> </w:t>
      </w:r>
      <w:r w:rsidR="001765B3">
        <w:t xml:space="preserve">safe and reliable </w:t>
      </w:r>
      <w:r w:rsidR="000C7DCD">
        <w:t xml:space="preserve">water </w:t>
      </w:r>
      <w:r w:rsidR="00CE1EFE">
        <w:t xml:space="preserve">services in </w:t>
      </w:r>
      <w:r w:rsidR="001765B3">
        <w:t>Aboriginal and Torres Strait Islander</w:t>
      </w:r>
      <w:r w:rsidR="003253BB">
        <w:t xml:space="preserve"> communities (section </w:t>
      </w:r>
      <w:r w:rsidR="0044540E">
        <w:t>5</w:t>
      </w:r>
      <w:r w:rsidR="003228F3">
        <w:t>)</w:t>
      </w:r>
    </w:p>
    <w:p w14:paraId="15E535F8" w14:textId="49BF1A21" w:rsidR="003228F3" w:rsidRDefault="00727BEE" w:rsidP="00E93A2C">
      <w:pPr>
        <w:pStyle w:val="ListBullet"/>
      </w:pPr>
      <w:r>
        <w:t>advice to ju</w:t>
      </w:r>
      <w:r w:rsidR="00420F83">
        <w:t>risdictions</w:t>
      </w:r>
      <w:r w:rsidR="003228F3" w:rsidRPr="003228F3">
        <w:t xml:space="preserve"> on </w:t>
      </w:r>
      <w:r w:rsidR="00420F83">
        <w:t>content relating to</w:t>
      </w:r>
      <w:r w:rsidR="00B02093">
        <w:t xml:space="preserve"> water services to</w:t>
      </w:r>
      <w:r w:rsidR="003228F3">
        <w:t xml:space="preserve"> regional and remote </w:t>
      </w:r>
      <w:r w:rsidR="00B02093">
        <w:t xml:space="preserve">communities </w:t>
      </w:r>
      <w:r w:rsidR="003228F3">
        <w:t xml:space="preserve">in </w:t>
      </w:r>
      <w:r w:rsidR="003228F3" w:rsidRPr="003228F3">
        <w:t>a renewed NWI</w:t>
      </w:r>
      <w:r w:rsidR="008277A7">
        <w:t xml:space="preserve"> (section</w:t>
      </w:r>
      <w:r w:rsidR="001765B3">
        <w:t> </w:t>
      </w:r>
      <w:r w:rsidR="0044540E">
        <w:t>6</w:t>
      </w:r>
      <w:r w:rsidR="001765B3">
        <w:t>).</w:t>
      </w:r>
    </w:p>
    <w:p w14:paraId="7507912E" w14:textId="182D2EE9" w:rsidR="005B4707" w:rsidRDefault="005B4707" w:rsidP="005B4707">
      <w:pPr>
        <w:pStyle w:val="Heading2"/>
      </w:pPr>
      <w:bookmarkStart w:id="6" w:name="_Toc59447366"/>
      <w:bookmarkStart w:id="7" w:name="_Toc62043644"/>
      <w:r>
        <w:lastRenderedPageBreak/>
        <w:t>1</w:t>
      </w:r>
      <w:r>
        <w:tab/>
        <w:t>Background</w:t>
      </w:r>
      <w:bookmarkEnd w:id="6"/>
      <w:bookmarkEnd w:id="7"/>
    </w:p>
    <w:p w14:paraId="5FEE495B" w14:textId="75CC9E4E" w:rsidR="00211D31" w:rsidRDefault="00E94382" w:rsidP="00E93A2C">
      <w:pPr>
        <w:pStyle w:val="Heading3"/>
        <w:spacing w:before="280"/>
      </w:pPr>
      <w:bookmarkStart w:id="8" w:name="_Toc62043645"/>
      <w:r>
        <w:t>1.1</w:t>
      </w:r>
      <w:r>
        <w:tab/>
      </w:r>
      <w:r w:rsidR="000C6D7D">
        <w:t xml:space="preserve">Why </w:t>
      </w:r>
      <w:r w:rsidR="00990641">
        <w:t>the Commissio</w:t>
      </w:r>
      <w:r w:rsidR="00A07FF1">
        <w:t xml:space="preserve">n </w:t>
      </w:r>
      <w:r w:rsidR="00641A03">
        <w:t xml:space="preserve">is </w:t>
      </w:r>
      <w:r w:rsidR="00A07FF1">
        <w:t>looking at</w:t>
      </w:r>
      <w:r w:rsidR="000C6D7D">
        <w:t xml:space="preserve"> regional and remote water services </w:t>
      </w:r>
      <w:r w:rsidR="000C6D7D" w:rsidRPr="00990641">
        <w:t>separately</w:t>
      </w:r>
      <w:r w:rsidR="00391905">
        <w:t xml:space="preserve"> from major metropolitan </w:t>
      </w:r>
      <w:proofErr w:type="gramStart"/>
      <w:r w:rsidR="00391905">
        <w:t>services</w:t>
      </w:r>
      <w:bookmarkEnd w:id="8"/>
      <w:proofErr w:type="gramEnd"/>
    </w:p>
    <w:p w14:paraId="53E53E7F" w14:textId="049CC981" w:rsidR="00641A03" w:rsidRDefault="00666797" w:rsidP="00E93A2C">
      <w:pPr>
        <w:pStyle w:val="BodyText"/>
      </w:pPr>
      <w:r>
        <w:t>Access to r</w:t>
      </w:r>
      <w:r w:rsidR="00A80971">
        <w:t xml:space="preserve">eliable </w:t>
      </w:r>
      <w:r w:rsidR="00507CC9">
        <w:t xml:space="preserve">water </w:t>
      </w:r>
      <w:r w:rsidR="00EA4935">
        <w:t>services</w:t>
      </w:r>
      <w:r w:rsidR="006A4527">
        <w:t xml:space="preserve">, at an appropriate quality, </w:t>
      </w:r>
      <w:r w:rsidR="00420F83">
        <w:t xml:space="preserve">is </w:t>
      </w:r>
      <w:r w:rsidR="00A80971">
        <w:t xml:space="preserve">essential </w:t>
      </w:r>
      <w:r w:rsidR="00420F83">
        <w:t xml:space="preserve">for </w:t>
      </w:r>
      <w:r w:rsidR="00A80971">
        <w:t xml:space="preserve">human </w:t>
      </w:r>
      <w:r w:rsidR="00507CC9">
        <w:t xml:space="preserve">health, </w:t>
      </w:r>
      <w:proofErr w:type="gramStart"/>
      <w:r w:rsidR="00A80971">
        <w:t>hygiene</w:t>
      </w:r>
      <w:proofErr w:type="gramEnd"/>
      <w:r w:rsidR="00A80971">
        <w:t xml:space="preserve"> and</w:t>
      </w:r>
      <w:r>
        <w:t xml:space="preserve"> wellbeing. </w:t>
      </w:r>
      <w:r w:rsidR="00C90840">
        <w:t xml:space="preserve">It </w:t>
      </w:r>
      <w:r w:rsidR="00C332E5">
        <w:t xml:space="preserve">primarily </w:t>
      </w:r>
      <w:r>
        <w:t>encompasses</w:t>
      </w:r>
      <w:r w:rsidR="005A05BE">
        <w:t xml:space="preserve"> household</w:t>
      </w:r>
      <w:r>
        <w:t xml:space="preserve"> </w:t>
      </w:r>
      <w:r w:rsidR="00A80971">
        <w:t xml:space="preserve">access </w:t>
      </w:r>
      <w:r w:rsidR="00507CC9">
        <w:t xml:space="preserve">to </w:t>
      </w:r>
      <w:r>
        <w:t xml:space="preserve">safe </w:t>
      </w:r>
      <w:r w:rsidR="00507CC9">
        <w:t>water</w:t>
      </w:r>
      <w:r>
        <w:t xml:space="preserve"> </w:t>
      </w:r>
      <w:r w:rsidR="00055D6D">
        <w:t xml:space="preserve">for </w:t>
      </w:r>
      <w:r>
        <w:t>drinking and washing</w:t>
      </w:r>
      <w:r w:rsidR="00EA4935">
        <w:t>,</w:t>
      </w:r>
      <w:r w:rsidR="00C332E5">
        <w:t xml:space="preserve"> </w:t>
      </w:r>
      <w:r w:rsidR="005A05BE">
        <w:t xml:space="preserve">as well as </w:t>
      </w:r>
      <w:r w:rsidR="00C332E5">
        <w:t>wastewater removal and treatment</w:t>
      </w:r>
      <w:r w:rsidR="005A05BE">
        <w:t xml:space="preserve"> —</w:t>
      </w:r>
      <w:r w:rsidR="00055D6D">
        <w:t xml:space="preserve"> but also</w:t>
      </w:r>
      <w:r w:rsidR="00C332E5">
        <w:t xml:space="preserve"> </w:t>
      </w:r>
      <w:r w:rsidR="00055D6D">
        <w:t xml:space="preserve">includes </w:t>
      </w:r>
      <w:r w:rsidR="00EA4935">
        <w:t xml:space="preserve">water for </w:t>
      </w:r>
      <w:r w:rsidR="00381332">
        <w:t xml:space="preserve">industrial </w:t>
      </w:r>
      <w:r w:rsidR="00EA4935">
        <w:t>uses</w:t>
      </w:r>
      <w:r w:rsidR="00C332E5">
        <w:t xml:space="preserve"> </w:t>
      </w:r>
      <w:r w:rsidR="00EA4935">
        <w:t xml:space="preserve">and the </w:t>
      </w:r>
      <w:r w:rsidR="00A80971">
        <w:t xml:space="preserve">maintenance of </w:t>
      </w:r>
      <w:r>
        <w:t xml:space="preserve">urban environments and </w:t>
      </w:r>
      <w:r w:rsidR="00507CC9">
        <w:t>green space</w:t>
      </w:r>
      <w:r w:rsidR="00725D5D">
        <w:t>.</w:t>
      </w:r>
    </w:p>
    <w:p w14:paraId="094420DF" w14:textId="68490F2F" w:rsidR="0087469D" w:rsidRPr="00AB25B6" w:rsidRDefault="00E2530C" w:rsidP="00E93A2C">
      <w:pPr>
        <w:pStyle w:val="BodyText"/>
      </w:pPr>
      <w:r>
        <w:t xml:space="preserve">Poor water quality </w:t>
      </w:r>
      <w:r w:rsidR="00666797">
        <w:t>can have</w:t>
      </w:r>
      <w:r w:rsidR="0087469D" w:rsidRPr="00E31EF7">
        <w:t xml:space="preserve"> </w:t>
      </w:r>
      <w:proofErr w:type="gramStart"/>
      <w:r w:rsidR="0087469D" w:rsidRPr="00E31EF7">
        <w:t>a number of</w:t>
      </w:r>
      <w:proofErr w:type="gramEnd"/>
      <w:r w:rsidR="0087469D" w:rsidRPr="00E31EF7">
        <w:t xml:space="preserve"> </w:t>
      </w:r>
      <w:r w:rsidR="00055D6D">
        <w:t>negative</w:t>
      </w:r>
      <w:r w:rsidR="00055D6D" w:rsidRPr="00E31EF7">
        <w:t xml:space="preserve"> </w:t>
      </w:r>
      <w:r w:rsidR="0087469D" w:rsidRPr="00E31EF7">
        <w:t>implications</w:t>
      </w:r>
      <w:r>
        <w:t xml:space="preserve">. </w:t>
      </w:r>
      <w:r w:rsidR="00055D6D">
        <w:t>It</w:t>
      </w:r>
      <w:r w:rsidR="00EA4935">
        <w:t xml:space="preserve"> </w:t>
      </w:r>
      <w:r>
        <w:t xml:space="preserve">contributes to </w:t>
      </w:r>
      <w:r w:rsidRPr="00FA2FB8">
        <w:t>the prevalence of infectious diseases, affect</w:t>
      </w:r>
      <w:r>
        <w:t>s</w:t>
      </w:r>
      <w:r w:rsidRPr="00FA2FB8">
        <w:t xml:space="preserve"> the incidence and treatment of chronic conditions (</w:t>
      </w:r>
      <w:r>
        <w:t xml:space="preserve">especially in remote areas, </w:t>
      </w:r>
      <w:r w:rsidRPr="00FA2FB8">
        <w:t>section </w:t>
      </w:r>
      <w:r w:rsidR="0044540E">
        <w:t>5</w:t>
      </w:r>
      <w:r w:rsidRPr="00FA2FB8">
        <w:t>)</w:t>
      </w:r>
      <w:r w:rsidR="005B7D8C">
        <w:t>, and can have economic impacts (NHMRC, sub. 93, p. 3)</w:t>
      </w:r>
      <w:r w:rsidRPr="00FA2FB8">
        <w:t>.</w:t>
      </w:r>
      <w:r>
        <w:t xml:space="preserve"> Unreliable or insecure </w:t>
      </w:r>
      <w:r w:rsidR="00507CC9">
        <w:t xml:space="preserve">water </w:t>
      </w:r>
      <w:r>
        <w:t xml:space="preserve">supplies, </w:t>
      </w:r>
      <w:r w:rsidR="00507CC9">
        <w:t xml:space="preserve">which can </w:t>
      </w:r>
      <w:r w:rsidR="000A152C">
        <w:t xml:space="preserve">lead to </w:t>
      </w:r>
      <w:r w:rsidR="00666797">
        <w:t xml:space="preserve">onerous </w:t>
      </w:r>
      <w:r w:rsidR="00507CC9">
        <w:t>water restrictions</w:t>
      </w:r>
      <w:r>
        <w:t>,</w:t>
      </w:r>
      <w:r w:rsidR="00666797">
        <w:t xml:space="preserve"> or </w:t>
      </w:r>
      <w:r w:rsidR="000A152C">
        <w:t xml:space="preserve">reliance on </w:t>
      </w:r>
      <w:r w:rsidR="00666797">
        <w:t>high</w:t>
      </w:r>
      <w:r w:rsidR="00666797">
        <w:noBreakHyphen/>
        <w:t xml:space="preserve">cost or </w:t>
      </w:r>
      <w:proofErr w:type="gramStart"/>
      <w:r w:rsidR="00666797">
        <w:t>poor quality</w:t>
      </w:r>
      <w:proofErr w:type="gramEnd"/>
      <w:r w:rsidR="00666797">
        <w:t xml:space="preserve"> alternative sources,</w:t>
      </w:r>
      <w:r>
        <w:t xml:space="preserve"> </w:t>
      </w:r>
      <w:r w:rsidR="00666797">
        <w:t xml:space="preserve">also </w:t>
      </w:r>
      <w:r w:rsidR="00227840">
        <w:t xml:space="preserve">impose a range of </w:t>
      </w:r>
      <w:r w:rsidR="00666797">
        <w:t xml:space="preserve">direct and indirect </w:t>
      </w:r>
      <w:r w:rsidR="00227840">
        <w:t>costs on users.</w:t>
      </w:r>
    </w:p>
    <w:p w14:paraId="6C245735" w14:textId="5916F225" w:rsidR="00FA2FB8" w:rsidRPr="00FA2FB8" w:rsidRDefault="00C60FD1" w:rsidP="00E05196">
      <w:pPr>
        <w:pStyle w:val="Heading4"/>
      </w:pPr>
      <w:r>
        <w:t xml:space="preserve">Water service provision can be more </w:t>
      </w:r>
      <w:r w:rsidR="00227840">
        <w:t xml:space="preserve">complex (and costly) </w:t>
      </w:r>
      <w:r>
        <w:t xml:space="preserve">outside major </w:t>
      </w:r>
      <w:proofErr w:type="gramStart"/>
      <w:r>
        <w:t>cities</w:t>
      </w:r>
      <w:proofErr w:type="gramEnd"/>
    </w:p>
    <w:p w14:paraId="43F1C522" w14:textId="3801743A" w:rsidR="00855899" w:rsidRPr="005E5B4F" w:rsidRDefault="00227840" w:rsidP="00E93A2C">
      <w:pPr>
        <w:pStyle w:val="BodyText"/>
        <w:rPr>
          <w:spacing w:val="-2"/>
        </w:rPr>
      </w:pPr>
      <w:r w:rsidRPr="005E5B4F">
        <w:rPr>
          <w:spacing w:val="-2"/>
        </w:rPr>
        <w:t>Although r</w:t>
      </w:r>
      <w:r w:rsidR="00142DDB" w:rsidRPr="005E5B4F">
        <w:rPr>
          <w:spacing w:val="-2"/>
        </w:rPr>
        <w:t>egional</w:t>
      </w:r>
      <w:r w:rsidR="002C68B1" w:rsidRPr="005E5B4F">
        <w:rPr>
          <w:spacing w:val="-2"/>
        </w:rPr>
        <w:t xml:space="preserve"> and remote</w:t>
      </w:r>
      <w:r w:rsidR="00142DDB" w:rsidRPr="005E5B4F">
        <w:rPr>
          <w:spacing w:val="-2"/>
        </w:rPr>
        <w:t xml:space="preserve"> water service</w:t>
      </w:r>
      <w:r w:rsidRPr="005E5B4F">
        <w:rPr>
          <w:spacing w:val="-2"/>
        </w:rPr>
        <w:t>s</w:t>
      </w:r>
      <w:r w:rsidR="001765B3" w:rsidRPr="005E5B4F">
        <w:rPr>
          <w:spacing w:val="-2"/>
        </w:rPr>
        <w:t xml:space="preserve"> </w:t>
      </w:r>
      <w:r w:rsidRPr="005E5B4F">
        <w:rPr>
          <w:spacing w:val="-2"/>
        </w:rPr>
        <w:t xml:space="preserve">are </w:t>
      </w:r>
      <w:r w:rsidR="00B02093" w:rsidRPr="005E5B4F">
        <w:rPr>
          <w:spacing w:val="-2"/>
        </w:rPr>
        <w:t xml:space="preserve">often </w:t>
      </w:r>
      <w:r w:rsidRPr="005E5B4F">
        <w:rPr>
          <w:spacing w:val="-2"/>
        </w:rPr>
        <w:t>subject to the same pressures</w:t>
      </w:r>
      <w:r w:rsidR="001765B3" w:rsidRPr="005E5B4F">
        <w:rPr>
          <w:spacing w:val="-2"/>
        </w:rPr>
        <w:t xml:space="preserve"> </w:t>
      </w:r>
      <w:r w:rsidRPr="005E5B4F">
        <w:rPr>
          <w:spacing w:val="-2"/>
        </w:rPr>
        <w:t xml:space="preserve">as </w:t>
      </w:r>
      <w:r w:rsidR="001765B3" w:rsidRPr="005E5B4F">
        <w:rPr>
          <w:spacing w:val="-2"/>
        </w:rPr>
        <w:t>metropolitan services</w:t>
      </w:r>
      <w:r w:rsidR="00B02093" w:rsidRPr="005E5B4F">
        <w:rPr>
          <w:spacing w:val="-2"/>
        </w:rPr>
        <w:t xml:space="preserve"> (</w:t>
      </w:r>
      <w:r w:rsidR="00666797" w:rsidRPr="005E5B4F">
        <w:rPr>
          <w:spacing w:val="-2"/>
        </w:rPr>
        <w:t xml:space="preserve">including </w:t>
      </w:r>
      <w:r w:rsidR="00B02093" w:rsidRPr="005E5B4F">
        <w:rPr>
          <w:spacing w:val="-2"/>
        </w:rPr>
        <w:t xml:space="preserve">a drying climate, population </w:t>
      </w:r>
      <w:r w:rsidR="005B7D8C" w:rsidRPr="005E5B4F">
        <w:rPr>
          <w:spacing w:val="-2"/>
        </w:rPr>
        <w:t>changes</w:t>
      </w:r>
      <w:r w:rsidR="00B02093" w:rsidRPr="005E5B4F">
        <w:rPr>
          <w:spacing w:val="-2"/>
        </w:rPr>
        <w:t xml:space="preserve"> and greater community expectations</w:t>
      </w:r>
      <w:r w:rsidR="005B7D8C" w:rsidRPr="005E5B4F">
        <w:rPr>
          <w:spacing w:val="-2"/>
        </w:rPr>
        <w:t xml:space="preserve"> (</w:t>
      </w:r>
      <w:r w:rsidR="00B26572" w:rsidRPr="005E5B4F">
        <w:rPr>
          <w:spacing w:val="-2"/>
        </w:rPr>
        <w:t>SP</w:t>
      </w:r>
      <w:r w:rsidR="00731B11" w:rsidRPr="005E5B4F">
        <w:rPr>
          <w:spacing w:val="-2"/>
        </w:rPr>
        <w:t> </w:t>
      </w:r>
      <w:r w:rsidR="005112C3" w:rsidRPr="005E5B4F">
        <w:rPr>
          <w:spacing w:val="-2"/>
        </w:rPr>
        <w:t>F</w:t>
      </w:r>
      <w:r w:rsidR="005B7D8C" w:rsidRPr="005E5B4F">
        <w:rPr>
          <w:spacing w:val="-2"/>
        </w:rPr>
        <w:t> </w:t>
      </w:r>
      <w:r w:rsidR="008D1F27" w:rsidRPr="005E5B4F">
        <w:rPr>
          <w:i/>
          <w:spacing w:val="-2"/>
        </w:rPr>
        <w:t>Urban</w:t>
      </w:r>
      <w:r w:rsidR="005B7D8C" w:rsidRPr="005E5B4F">
        <w:rPr>
          <w:spacing w:val="-2"/>
        </w:rPr>
        <w:t>)</w:t>
      </w:r>
      <w:r w:rsidR="00B02093" w:rsidRPr="005E5B4F">
        <w:rPr>
          <w:spacing w:val="-2"/>
        </w:rPr>
        <w:t>)</w:t>
      </w:r>
      <w:r w:rsidRPr="005E5B4F">
        <w:rPr>
          <w:spacing w:val="-2"/>
        </w:rPr>
        <w:t xml:space="preserve">, they </w:t>
      </w:r>
      <w:r w:rsidR="00952C65" w:rsidRPr="005E5B4F">
        <w:rPr>
          <w:spacing w:val="-2"/>
        </w:rPr>
        <w:t>face additional</w:t>
      </w:r>
      <w:r w:rsidRPr="005E5B4F">
        <w:rPr>
          <w:spacing w:val="-2"/>
        </w:rPr>
        <w:t xml:space="preserve"> challenges</w:t>
      </w:r>
      <w:r w:rsidR="001765B3" w:rsidRPr="005E5B4F">
        <w:rPr>
          <w:spacing w:val="-2"/>
        </w:rPr>
        <w:t xml:space="preserve">. </w:t>
      </w:r>
      <w:r w:rsidR="00855899" w:rsidRPr="005E5B4F">
        <w:rPr>
          <w:spacing w:val="-2"/>
        </w:rPr>
        <w:t>R</w:t>
      </w:r>
      <w:r w:rsidR="003D52B4" w:rsidRPr="005E5B4F">
        <w:rPr>
          <w:spacing w:val="-2"/>
        </w:rPr>
        <w:t>egional towns are smaller</w:t>
      </w:r>
      <w:r w:rsidR="003253BB" w:rsidRPr="005E5B4F">
        <w:rPr>
          <w:spacing w:val="-2"/>
        </w:rPr>
        <w:t>,</w:t>
      </w:r>
      <w:r w:rsidR="003D52B4" w:rsidRPr="005E5B4F">
        <w:rPr>
          <w:spacing w:val="-2"/>
        </w:rPr>
        <w:t xml:space="preserve"> with </w:t>
      </w:r>
      <w:r w:rsidR="00453A0A" w:rsidRPr="005E5B4F">
        <w:rPr>
          <w:spacing w:val="-2"/>
        </w:rPr>
        <w:t xml:space="preserve">connections </w:t>
      </w:r>
      <w:r w:rsidR="005E43FF" w:rsidRPr="005E5B4F">
        <w:rPr>
          <w:spacing w:val="-2"/>
        </w:rPr>
        <w:t xml:space="preserve">typically </w:t>
      </w:r>
      <w:r w:rsidR="00453A0A" w:rsidRPr="005E5B4F">
        <w:rPr>
          <w:spacing w:val="-2"/>
        </w:rPr>
        <w:t>spread over a large</w:t>
      </w:r>
      <w:r w:rsidR="00855899" w:rsidRPr="005E5B4F">
        <w:rPr>
          <w:spacing w:val="-2"/>
        </w:rPr>
        <w:t xml:space="preserve"> area, such that</w:t>
      </w:r>
      <w:r w:rsidR="003D52B4" w:rsidRPr="005E5B4F">
        <w:rPr>
          <w:spacing w:val="-2"/>
        </w:rPr>
        <w:t xml:space="preserve"> </w:t>
      </w:r>
      <w:r w:rsidR="00855899" w:rsidRPr="005E5B4F">
        <w:rPr>
          <w:spacing w:val="-2"/>
        </w:rPr>
        <w:t>f</w:t>
      </w:r>
      <w:r w:rsidR="003D52B4" w:rsidRPr="005E5B4F">
        <w:rPr>
          <w:spacing w:val="-2"/>
        </w:rPr>
        <w:t xml:space="preserve">ewer </w:t>
      </w:r>
      <w:r w:rsidR="00855899" w:rsidRPr="005E5B4F">
        <w:rPr>
          <w:spacing w:val="-2"/>
        </w:rPr>
        <w:t>users</w:t>
      </w:r>
      <w:r w:rsidR="003D52B4" w:rsidRPr="005E5B4F">
        <w:rPr>
          <w:spacing w:val="-2"/>
        </w:rPr>
        <w:t xml:space="preserve"> are serviced by </w:t>
      </w:r>
      <w:r w:rsidR="005B7D8C" w:rsidRPr="005E5B4F">
        <w:rPr>
          <w:spacing w:val="-2"/>
        </w:rPr>
        <w:t>(</w:t>
      </w:r>
      <w:r w:rsidR="00453A0A" w:rsidRPr="005E5B4F">
        <w:rPr>
          <w:spacing w:val="-2"/>
        </w:rPr>
        <w:t>and pay for</w:t>
      </w:r>
      <w:r w:rsidR="005B7D8C" w:rsidRPr="005E5B4F">
        <w:rPr>
          <w:spacing w:val="-2"/>
        </w:rPr>
        <w:t>)</w:t>
      </w:r>
      <w:r w:rsidR="00453A0A" w:rsidRPr="005E5B4F">
        <w:rPr>
          <w:spacing w:val="-2"/>
        </w:rPr>
        <w:t xml:space="preserve"> </w:t>
      </w:r>
      <w:r w:rsidR="00264FF2" w:rsidRPr="005E5B4F">
        <w:rPr>
          <w:spacing w:val="-2"/>
        </w:rPr>
        <w:t xml:space="preserve">fixed </w:t>
      </w:r>
      <w:r w:rsidR="003D52B4" w:rsidRPr="005E5B4F">
        <w:rPr>
          <w:spacing w:val="-2"/>
        </w:rPr>
        <w:t>infrastructure</w:t>
      </w:r>
      <w:r w:rsidRPr="005E5B4F">
        <w:rPr>
          <w:spacing w:val="-2"/>
        </w:rPr>
        <w:t>,</w:t>
      </w:r>
      <w:r w:rsidR="00264FF2" w:rsidRPr="005E5B4F">
        <w:rPr>
          <w:spacing w:val="-2"/>
        </w:rPr>
        <w:t xml:space="preserve"> </w:t>
      </w:r>
      <w:r w:rsidR="00855899" w:rsidRPr="005E5B4F">
        <w:rPr>
          <w:spacing w:val="-2"/>
        </w:rPr>
        <w:t xml:space="preserve">such as </w:t>
      </w:r>
      <w:r w:rsidR="005B7D8C" w:rsidRPr="005E5B4F">
        <w:rPr>
          <w:spacing w:val="-2"/>
        </w:rPr>
        <w:t xml:space="preserve">water </w:t>
      </w:r>
      <w:r w:rsidR="00855899" w:rsidRPr="005E5B4F">
        <w:rPr>
          <w:spacing w:val="-2"/>
        </w:rPr>
        <w:t>treatment plant</w:t>
      </w:r>
      <w:r w:rsidRPr="005E5B4F">
        <w:rPr>
          <w:spacing w:val="-2"/>
        </w:rPr>
        <w:t>s</w:t>
      </w:r>
      <w:r w:rsidR="00855899" w:rsidRPr="005E5B4F">
        <w:rPr>
          <w:spacing w:val="-2"/>
        </w:rPr>
        <w:t xml:space="preserve">. </w:t>
      </w:r>
      <w:r w:rsidR="00A80971" w:rsidRPr="005E5B4F">
        <w:rPr>
          <w:spacing w:val="-2"/>
        </w:rPr>
        <w:t xml:space="preserve">This </w:t>
      </w:r>
      <w:r w:rsidRPr="005E5B4F">
        <w:rPr>
          <w:spacing w:val="-2"/>
        </w:rPr>
        <w:t>leads to higher costs</w:t>
      </w:r>
      <w:r w:rsidR="005E43FF" w:rsidRPr="005E5B4F">
        <w:rPr>
          <w:spacing w:val="-2"/>
        </w:rPr>
        <w:t xml:space="preserve"> per connection </w:t>
      </w:r>
      <w:r w:rsidRPr="005E5B4F">
        <w:rPr>
          <w:spacing w:val="-2"/>
        </w:rPr>
        <w:t xml:space="preserve">and </w:t>
      </w:r>
      <w:r w:rsidR="00E2530C" w:rsidRPr="005E5B4F">
        <w:rPr>
          <w:spacing w:val="-2"/>
        </w:rPr>
        <w:t xml:space="preserve">can mean a particular </w:t>
      </w:r>
      <w:r w:rsidR="00A80971" w:rsidRPr="005E5B4F">
        <w:rPr>
          <w:spacing w:val="-2"/>
        </w:rPr>
        <w:t xml:space="preserve">level of service </w:t>
      </w:r>
      <w:r w:rsidR="00E2530C" w:rsidRPr="005E5B4F">
        <w:rPr>
          <w:spacing w:val="-2"/>
        </w:rPr>
        <w:t xml:space="preserve">is more expensive to </w:t>
      </w:r>
      <w:r w:rsidR="00A80971" w:rsidRPr="005E5B4F">
        <w:rPr>
          <w:spacing w:val="-2"/>
        </w:rPr>
        <w:t xml:space="preserve">provide </w:t>
      </w:r>
      <w:r w:rsidR="00E2530C" w:rsidRPr="005E5B4F">
        <w:rPr>
          <w:spacing w:val="-2"/>
        </w:rPr>
        <w:t xml:space="preserve">in </w:t>
      </w:r>
      <w:r w:rsidR="008F37DA" w:rsidRPr="005E5B4F">
        <w:rPr>
          <w:spacing w:val="-2"/>
        </w:rPr>
        <w:t xml:space="preserve">some </w:t>
      </w:r>
      <w:r w:rsidR="005B7D8C" w:rsidRPr="005E5B4F">
        <w:rPr>
          <w:spacing w:val="-2"/>
        </w:rPr>
        <w:t>area</w:t>
      </w:r>
      <w:r w:rsidR="00A80971" w:rsidRPr="005E5B4F">
        <w:rPr>
          <w:spacing w:val="-2"/>
        </w:rPr>
        <w:t xml:space="preserve">s </w:t>
      </w:r>
      <w:r w:rsidR="008F37DA" w:rsidRPr="005E5B4F">
        <w:rPr>
          <w:spacing w:val="-2"/>
        </w:rPr>
        <w:t xml:space="preserve">compared with others </w:t>
      </w:r>
      <w:r w:rsidR="00A80971" w:rsidRPr="005E5B4F">
        <w:rPr>
          <w:spacing w:val="-2"/>
        </w:rPr>
        <w:t xml:space="preserve">(Engineers Australia, sub. 63, p. 17). </w:t>
      </w:r>
      <w:r w:rsidR="005E43FF" w:rsidRPr="005E5B4F">
        <w:rPr>
          <w:spacing w:val="-2"/>
        </w:rPr>
        <w:t xml:space="preserve">Moreover, </w:t>
      </w:r>
      <w:r w:rsidR="005B7D8C" w:rsidRPr="005E5B4F">
        <w:rPr>
          <w:spacing w:val="-2"/>
        </w:rPr>
        <w:t xml:space="preserve">population </w:t>
      </w:r>
      <w:r w:rsidR="005E43FF" w:rsidRPr="005E5B4F">
        <w:rPr>
          <w:spacing w:val="-2"/>
        </w:rPr>
        <w:t>d</w:t>
      </w:r>
      <w:r w:rsidR="005B7D8C" w:rsidRPr="005E5B4F">
        <w:rPr>
          <w:spacing w:val="-2"/>
        </w:rPr>
        <w:t>ecline</w:t>
      </w:r>
      <w:r w:rsidR="00855899" w:rsidRPr="005E5B4F">
        <w:rPr>
          <w:spacing w:val="-2"/>
        </w:rPr>
        <w:t xml:space="preserve"> can </w:t>
      </w:r>
      <w:r w:rsidR="005B7D8C" w:rsidRPr="005E5B4F">
        <w:rPr>
          <w:spacing w:val="-2"/>
        </w:rPr>
        <w:t>result in</w:t>
      </w:r>
      <w:r w:rsidR="00855899" w:rsidRPr="005E5B4F">
        <w:rPr>
          <w:spacing w:val="-2"/>
        </w:rPr>
        <w:t xml:space="preserve"> fewer users </w:t>
      </w:r>
      <w:r w:rsidR="00453A0A" w:rsidRPr="005E5B4F">
        <w:rPr>
          <w:spacing w:val="-2"/>
        </w:rPr>
        <w:t>over the s</w:t>
      </w:r>
      <w:r w:rsidR="006A4527" w:rsidRPr="005E5B4F">
        <w:rPr>
          <w:spacing w:val="-2"/>
        </w:rPr>
        <w:t xml:space="preserve">ame network, while aging assets in some areas </w:t>
      </w:r>
      <w:r w:rsidR="0011492F" w:rsidRPr="005E5B4F">
        <w:rPr>
          <w:spacing w:val="-2"/>
        </w:rPr>
        <w:t xml:space="preserve">will </w:t>
      </w:r>
      <w:r w:rsidR="006A4527" w:rsidRPr="005E5B4F">
        <w:rPr>
          <w:spacing w:val="-2"/>
        </w:rPr>
        <w:t xml:space="preserve">necessitate </w:t>
      </w:r>
      <w:r w:rsidR="0011492F" w:rsidRPr="005E5B4F">
        <w:rPr>
          <w:spacing w:val="-2"/>
        </w:rPr>
        <w:t xml:space="preserve">substantial </w:t>
      </w:r>
      <w:r w:rsidR="006A4527" w:rsidRPr="005E5B4F">
        <w:rPr>
          <w:spacing w:val="-2"/>
        </w:rPr>
        <w:t>infrastructure renewals</w:t>
      </w:r>
      <w:r w:rsidR="004D4A82" w:rsidRPr="005E5B4F">
        <w:rPr>
          <w:spacing w:val="-2"/>
        </w:rPr>
        <w:t xml:space="preserve"> (relative to the number of users)</w:t>
      </w:r>
      <w:r w:rsidR="006A4527" w:rsidRPr="005E5B4F">
        <w:rPr>
          <w:spacing w:val="-2"/>
        </w:rPr>
        <w:t>.</w:t>
      </w:r>
    </w:p>
    <w:p w14:paraId="5BA35F6D" w14:textId="7F7A7C53" w:rsidR="002C68B1" w:rsidRDefault="00855899" w:rsidP="00E93A2C">
      <w:pPr>
        <w:pStyle w:val="BodyText"/>
      </w:pPr>
      <w:r>
        <w:t>Climate conditions vary significantly across regional and remote Australia, but rainfall ca</w:t>
      </w:r>
      <w:r w:rsidR="00227840">
        <w:t xml:space="preserve">n be less frequent or reliable, </w:t>
      </w:r>
      <w:r>
        <w:t>particularly in inland areas</w:t>
      </w:r>
      <w:r w:rsidR="00227840">
        <w:t>,</w:t>
      </w:r>
      <w:r>
        <w:t xml:space="preserve"> and there may be fewer alternative supply options (such as seawater desalination or potable groundwater). </w:t>
      </w:r>
      <w:r w:rsidR="008C5B2C">
        <w:t xml:space="preserve">Some remote communities are entirely reliant on </w:t>
      </w:r>
      <w:r w:rsidR="005B7D8C">
        <w:t xml:space="preserve">a single </w:t>
      </w:r>
      <w:r w:rsidR="008C5B2C">
        <w:t>groundwater</w:t>
      </w:r>
      <w:r w:rsidR="005B7D8C">
        <w:t xml:space="preserve"> source</w:t>
      </w:r>
      <w:r w:rsidR="008C5B2C">
        <w:t xml:space="preserve">, </w:t>
      </w:r>
      <w:r w:rsidR="00227840">
        <w:t>without opportunity t</w:t>
      </w:r>
      <w:r w:rsidR="00B463D0">
        <w:t xml:space="preserve">o </w:t>
      </w:r>
      <w:r w:rsidR="003D52B4">
        <w:t xml:space="preserve">access </w:t>
      </w:r>
      <w:r w:rsidR="008C5B2C">
        <w:t xml:space="preserve">surface water resources </w:t>
      </w:r>
      <w:r w:rsidR="003D52B4">
        <w:t xml:space="preserve">or </w:t>
      </w:r>
      <w:r w:rsidR="00227840">
        <w:t xml:space="preserve">to </w:t>
      </w:r>
      <w:r w:rsidR="003D52B4">
        <w:t>share bulk infrastructure (</w:t>
      </w:r>
      <w:r w:rsidR="00CE1EFE">
        <w:t>such as</w:t>
      </w:r>
      <w:r w:rsidR="003D52B4">
        <w:t xml:space="preserve"> dams)</w:t>
      </w:r>
      <w:r w:rsidR="00264FF2">
        <w:t>.</w:t>
      </w:r>
      <w:r w:rsidR="008C5B2C">
        <w:t xml:space="preserve"> </w:t>
      </w:r>
      <w:r w:rsidR="0011492F">
        <w:t xml:space="preserve">And water quality issues can arise from many causes, including bushfires, algal </w:t>
      </w:r>
      <w:proofErr w:type="gramStart"/>
      <w:r w:rsidR="0011492F">
        <w:t>blooms</w:t>
      </w:r>
      <w:proofErr w:type="gramEnd"/>
      <w:r w:rsidR="0011492F">
        <w:t xml:space="preserve"> </w:t>
      </w:r>
      <w:r w:rsidR="00225456">
        <w:t xml:space="preserve">and </w:t>
      </w:r>
      <w:r w:rsidR="0011492F">
        <w:t>other contamina</w:t>
      </w:r>
      <w:r w:rsidR="00225456">
        <w:t>nts</w:t>
      </w:r>
      <w:r w:rsidR="003546E9">
        <w:t xml:space="preserve"> (NHMR</w:t>
      </w:r>
      <w:r w:rsidR="005B7D8C">
        <w:t>C, sub. 93, p. 4).</w:t>
      </w:r>
      <w:r w:rsidR="0011492F">
        <w:t xml:space="preserve"> </w:t>
      </w:r>
      <w:r w:rsidR="005B7D8C">
        <w:t>A</w:t>
      </w:r>
      <w:r w:rsidR="008C5B2C">
        <w:t xml:space="preserve"> lack of alternative water sources can make a water supply system vulnerable in the </w:t>
      </w:r>
      <w:r w:rsidR="0011492F">
        <w:t xml:space="preserve">face </w:t>
      </w:r>
      <w:r w:rsidR="008C5B2C">
        <w:t xml:space="preserve">of </w:t>
      </w:r>
      <w:r w:rsidR="00C332E5">
        <w:t xml:space="preserve">a water quality </w:t>
      </w:r>
      <w:r w:rsidR="0011492F">
        <w:t>issue</w:t>
      </w:r>
      <w:r w:rsidR="008C5B2C">
        <w:t>.</w:t>
      </w:r>
    </w:p>
    <w:p w14:paraId="5198AE61" w14:textId="1A3BBCF5" w:rsidR="00A72F06" w:rsidRDefault="00A47699" w:rsidP="00E93A2C">
      <w:pPr>
        <w:pStyle w:val="BodyText"/>
      </w:pPr>
      <w:r>
        <w:t xml:space="preserve">Access to </w:t>
      </w:r>
      <w:r w:rsidR="00362FA5">
        <w:t xml:space="preserve">safe </w:t>
      </w:r>
      <w:r>
        <w:t xml:space="preserve">and reliable water services </w:t>
      </w:r>
      <w:r w:rsidR="005B7D8C">
        <w:t xml:space="preserve">is also </w:t>
      </w:r>
      <w:r w:rsidR="00C332E5">
        <w:t xml:space="preserve">an issue </w:t>
      </w:r>
      <w:r w:rsidR="005B7D8C">
        <w:t xml:space="preserve">in </w:t>
      </w:r>
      <w:r>
        <w:t>some r</w:t>
      </w:r>
      <w:r w:rsidR="00EF1332" w:rsidRPr="00641A03">
        <w:t>emote Aboriginal and Torres Strait Island</w:t>
      </w:r>
      <w:r w:rsidR="00227840">
        <w:t>er</w:t>
      </w:r>
      <w:r w:rsidR="00EF1332" w:rsidRPr="00641A03">
        <w:t xml:space="preserve"> communities</w:t>
      </w:r>
      <w:r w:rsidR="003B60C6">
        <w:t>, with limited access to adequate quality drinking water in some places</w:t>
      </w:r>
      <w:r w:rsidR="00225456">
        <w:t xml:space="preserve"> (</w:t>
      </w:r>
      <w:r w:rsidR="00225456" w:rsidRPr="009A25D2">
        <w:rPr>
          <w:i/>
        </w:rPr>
        <w:t>Assessment</w:t>
      </w:r>
      <w:r w:rsidR="006E613C">
        <w:t>:</w:t>
      </w:r>
      <w:r w:rsidR="00C332E5">
        <w:t xml:space="preserve"> </w:t>
      </w:r>
      <w:r w:rsidR="003B60C6">
        <w:t>section</w:t>
      </w:r>
      <w:r w:rsidR="00C332E5">
        <w:t> 6</w:t>
      </w:r>
      <w:r w:rsidR="004658B0">
        <w:t>.1</w:t>
      </w:r>
      <w:r w:rsidR="00225456">
        <w:t>)</w:t>
      </w:r>
      <w:r w:rsidR="005B7D8C">
        <w:t>.</w:t>
      </w:r>
      <w:r w:rsidR="003B60C6">
        <w:t xml:space="preserve"> </w:t>
      </w:r>
      <w:r w:rsidR="005B7D8C">
        <w:t xml:space="preserve">This can be </w:t>
      </w:r>
      <w:r w:rsidR="002D549F" w:rsidRPr="00641A03">
        <w:t xml:space="preserve">due to </w:t>
      </w:r>
      <w:r w:rsidR="00A32224" w:rsidRPr="00641A03">
        <w:t>poor</w:t>
      </w:r>
      <w:r w:rsidR="002D549F" w:rsidRPr="00641A03">
        <w:t xml:space="preserve"> </w:t>
      </w:r>
      <w:r w:rsidR="003B25CA" w:rsidRPr="00641A03">
        <w:t xml:space="preserve">quality </w:t>
      </w:r>
      <w:r w:rsidR="002D549F" w:rsidRPr="00641A03">
        <w:t>water</w:t>
      </w:r>
      <w:r w:rsidR="005562FA" w:rsidRPr="00641A03">
        <w:t xml:space="preserve"> sources, </w:t>
      </w:r>
      <w:r w:rsidR="00641A03" w:rsidRPr="00641A03">
        <w:t xml:space="preserve">inadequate </w:t>
      </w:r>
      <w:r w:rsidR="00FA2FB8">
        <w:t>water distribution</w:t>
      </w:r>
      <w:r w:rsidR="005562FA" w:rsidRPr="00641A03">
        <w:t xml:space="preserve"> and treatment</w:t>
      </w:r>
      <w:r w:rsidR="002D549F" w:rsidRPr="00641A03">
        <w:t xml:space="preserve"> infrastructure</w:t>
      </w:r>
      <w:r w:rsidR="00641A03" w:rsidRPr="00641A03">
        <w:t>,</w:t>
      </w:r>
      <w:r w:rsidR="002D549F" w:rsidRPr="00641A03">
        <w:t xml:space="preserve"> </w:t>
      </w:r>
      <w:r w:rsidR="003913DD" w:rsidRPr="00641A03">
        <w:t xml:space="preserve">and </w:t>
      </w:r>
      <w:r w:rsidR="00641A03" w:rsidRPr="00641A03">
        <w:t>fragmented arrangements for service delivery</w:t>
      </w:r>
      <w:r w:rsidR="002D549F" w:rsidRPr="00641A03">
        <w:t>.</w:t>
      </w:r>
    </w:p>
    <w:p w14:paraId="095337C9" w14:textId="1162CB6A" w:rsidR="00725D5D" w:rsidRDefault="008C5B2C" w:rsidP="00E93A2C">
      <w:pPr>
        <w:pStyle w:val="BodyText"/>
      </w:pPr>
      <w:r>
        <w:lastRenderedPageBreak/>
        <w:t>Overall,</w:t>
      </w:r>
      <w:r w:rsidR="00855899">
        <w:t xml:space="preserve"> </w:t>
      </w:r>
      <w:r>
        <w:t>it can be more costly</w:t>
      </w:r>
      <w:r w:rsidR="00C332E5">
        <w:t>, per consumer,</w:t>
      </w:r>
      <w:r>
        <w:t xml:space="preserve"> to provide safe and reliable water supplies</w:t>
      </w:r>
      <w:r w:rsidR="00215AB6">
        <w:t xml:space="preserve"> in</w:t>
      </w:r>
      <w:r w:rsidR="00960567">
        <w:t xml:space="preserve"> some</w:t>
      </w:r>
      <w:r w:rsidR="00215AB6">
        <w:t xml:space="preserve"> regional and remote communities</w:t>
      </w:r>
      <w:r w:rsidR="00855899">
        <w:t xml:space="preserve">, </w:t>
      </w:r>
      <w:r>
        <w:t>and there are fragilities in some supply systems</w:t>
      </w:r>
      <w:r w:rsidR="00855899">
        <w:t>.</w:t>
      </w:r>
      <w:r>
        <w:t xml:space="preserve"> Many of these factors, however, vary </w:t>
      </w:r>
      <w:r w:rsidR="005A05BE">
        <w:t xml:space="preserve">between </w:t>
      </w:r>
      <w:r w:rsidR="00215AB6">
        <w:t>communities</w:t>
      </w:r>
      <w:r>
        <w:t>, and local circumstan</w:t>
      </w:r>
      <w:r w:rsidR="00453A0A">
        <w:t xml:space="preserve">ces </w:t>
      </w:r>
      <w:r w:rsidR="006A4527">
        <w:t>(such as water source availability) affect</w:t>
      </w:r>
      <w:r w:rsidR="00FA2FB8">
        <w:t xml:space="preserve"> </w:t>
      </w:r>
      <w:r w:rsidR="006A4527">
        <w:t xml:space="preserve">the </w:t>
      </w:r>
      <w:r w:rsidR="00453A0A">
        <w:t>deliver</w:t>
      </w:r>
      <w:r w:rsidR="006A4527">
        <w:t>y of</w:t>
      </w:r>
      <w:r w:rsidR="00453A0A">
        <w:t xml:space="preserve"> </w:t>
      </w:r>
      <w:r w:rsidR="00FA2FB8">
        <w:t xml:space="preserve">affordable and reliable </w:t>
      </w:r>
      <w:r>
        <w:t>water services.</w:t>
      </w:r>
    </w:p>
    <w:p w14:paraId="3CAEC903" w14:textId="20CDAAF2" w:rsidR="00FC2B1F" w:rsidRDefault="00E94382" w:rsidP="00F63966">
      <w:pPr>
        <w:pStyle w:val="Heading3"/>
      </w:pPr>
      <w:bookmarkStart w:id="9" w:name="_Toc62043646"/>
      <w:r>
        <w:t>1.2</w:t>
      </w:r>
      <w:r>
        <w:tab/>
      </w:r>
      <w:r w:rsidR="00855899" w:rsidRPr="00855899">
        <w:t xml:space="preserve">Service delivery </w:t>
      </w:r>
      <w:r w:rsidR="00FC2B1F" w:rsidRPr="00855899">
        <w:t>arrangements</w:t>
      </w:r>
      <w:r w:rsidR="00CE1EFE" w:rsidRPr="00855899">
        <w:t xml:space="preserve"> vary significantly between </w:t>
      </w:r>
      <w:proofErr w:type="gramStart"/>
      <w:r w:rsidR="00CE1EFE" w:rsidRPr="00855899">
        <w:t>jurisdictions</w:t>
      </w:r>
      <w:bookmarkEnd w:id="9"/>
      <w:proofErr w:type="gramEnd"/>
    </w:p>
    <w:p w14:paraId="0155D595" w14:textId="1B21B0F1" w:rsidR="00E034FF" w:rsidRPr="00CF3B07" w:rsidRDefault="00264FF2" w:rsidP="00755702">
      <w:pPr>
        <w:pStyle w:val="BodyText"/>
        <w:keepNext/>
      </w:pPr>
      <w:r>
        <w:t>In the past, r</w:t>
      </w:r>
      <w:r w:rsidR="007E0D92">
        <w:t xml:space="preserve">egional </w:t>
      </w:r>
      <w:r w:rsidR="00D5046C">
        <w:t xml:space="preserve">urban </w:t>
      </w:r>
      <w:r w:rsidR="007E0D92">
        <w:t>water services</w:t>
      </w:r>
      <w:r w:rsidR="008C5B2C">
        <w:t xml:space="preserve"> </w:t>
      </w:r>
      <w:r w:rsidR="00641A03">
        <w:t>were</w:t>
      </w:r>
      <w:r w:rsidR="008C5B2C">
        <w:t xml:space="preserve"> </w:t>
      </w:r>
      <w:r w:rsidR="00FA2FB8">
        <w:t>often</w:t>
      </w:r>
      <w:r w:rsidR="008C5B2C">
        <w:t xml:space="preserve"> </w:t>
      </w:r>
      <w:r w:rsidR="00227840">
        <w:t xml:space="preserve">provided by </w:t>
      </w:r>
      <w:r w:rsidR="00CF3B07">
        <w:t>local government</w:t>
      </w:r>
      <w:r w:rsidR="00D5046C">
        <w:t>s</w:t>
      </w:r>
      <w:r w:rsidR="007E0D92">
        <w:t>. Over tim</w:t>
      </w:r>
      <w:r w:rsidR="00CF3B07">
        <w:t xml:space="preserve">e, </w:t>
      </w:r>
      <w:r w:rsidR="008C5B2C">
        <w:t xml:space="preserve">higher </w:t>
      </w:r>
      <w:r w:rsidR="00641A03">
        <w:t xml:space="preserve">service </w:t>
      </w:r>
      <w:r w:rsidR="008C5B2C">
        <w:t>standards</w:t>
      </w:r>
      <w:r w:rsidR="00641A03">
        <w:t>,</w:t>
      </w:r>
      <w:r w:rsidR="008C5B2C">
        <w:t xml:space="preserve"> </w:t>
      </w:r>
      <w:r w:rsidR="00FA2FB8">
        <w:t xml:space="preserve">including those </w:t>
      </w:r>
      <w:r w:rsidR="00227840">
        <w:t xml:space="preserve">imposed </w:t>
      </w:r>
      <w:r w:rsidR="00641A03">
        <w:t xml:space="preserve">by </w:t>
      </w:r>
      <w:r w:rsidR="008C5B2C">
        <w:t>health and environmental regulation</w:t>
      </w:r>
      <w:r w:rsidR="007E0D92">
        <w:t xml:space="preserve">, </w:t>
      </w:r>
      <w:r w:rsidR="00FA2FB8">
        <w:t>have</w:t>
      </w:r>
      <w:r w:rsidR="008C5B2C">
        <w:t xml:space="preserve"> increased the </w:t>
      </w:r>
      <w:r w:rsidR="00227840">
        <w:t xml:space="preserve">cost and </w:t>
      </w:r>
      <w:r w:rsidR="00641A03">
        <w:t>complexity of</w:t>
      </w:r>
      <w:r w:rsidR="008C5B2C">
        <w:t xml:space="preserve"> </w:t>
      </w:r>
      <w:r w:rsidR="003913DD">
        <w:t>deliver</w:t>
      </w:r>
      <w:r w:rsidR="00641A03">
        <w:t>ing</w:t>
      </w:r>
      <w:r w:rsidR="003913DD">
        <w:t xml:space="preserve"> </w:t>
      </w:r>
      <w:r w:rsidR="00DA2718">
        <w:t xml:space="preserve">water </w:t>
      </w:r>
      <w:r w:rsidR="008C5B2C">
        <w:t xml:space="preserve">services. </w:t>
      </w:r>
      <w:r w:rsidR="00641A03">
        <w:t>As a result, s</w:t>
      </w:r>
      <w:r w:rsidR="008C5B2C">
        <w:t>ome State governments consolidate</w:t>
      </w:r>
      <w:r w:rsidR="00DA2718">
        <w:t>d</w:t>
      </w:r>
      <w:r w:rsidR="008C5B2C">
        <w:t xml:space="preserve"> </w:t>
      </w:r>
      <w:r w:rsidR="00E034FF" w:rsidRPr="00CF3B07">
        <w:t xml:space="preserve">their regional </w:t>
      </w:r>
      <w:r w:rsidR="00E51FE3">
        <w:t>providers</w:t>
      </w:r>
      <w:r w:rsidR="008C5B2C">
        <w:t xml:space="preserve"> </w:t>
      </w:r>
      <w:r w:rsidR="00641A03">
        <w:t>into</w:t>
      </w:r>
      <w:r w:rsidR="00E034FF" w:rsidRPr="00CF3B07">
        <w:t xml:space="preserve"> </w:t>
      </w:r>
      <w:r w:rsidR="00CF3B07">
        <w:t xml:space="preserve">fewer, larger </w:t>
      </w:r>
      <w:r w:rsidR="00786568">
        <w:t>utilities</w:t>
      </w:r>
      <w:r w:rsidR="00343F07">
        <w:t xml:space="preserve"> with specialist expertise</w:t>
      </w:r>
      <w:r w:rsidR="00CF3B07">
        <w:t>.</w:t>
      </w:r>
    </w:p>
    <w:p w14:paraId="4CE5C2DB" w14:textId="40373425" w:rsidR="00E034FF" w:rsidRDefault="00E034FF" w:rsidP="008C5B2C">
      <w:pPr>
        <w:pStyle w:val="ListBullet"/>
      </w:pPr>
      <w:r w:rsidRPr="00E034FF">
        <w:t>In Victoria between 1982 and 2005, more than 400</w:t>
      </w:r>
      <w:r w:rsidR="00CF3B07">
        <w:t> </w:t>
      </w:r>
      <w:r w:rsidRPr="00E034FF">
        <w:t xml:space="preserve">local water utilities </w:t>
      </w:r>
      <w:r w:rsidR="003913DD" w:rsidRPr="00E034FF">
        <w:t xml:space="preserve">were </w:t>
      </w:r>
      <w:r w:rsidR="00786568">
        <w:t xml:space="preserve">divested from local governments and </w:t>
      </w:r>
      <w:r w:rsidRPr="00E034FF">
        <w:t>amalgamated into the current 13</w:t>
      </w:r>
      <w:r w:rsidR="00641A03">
        <w:t> </w:t>
      </w:r>
      <w:r w:rsidRPr="00E034FF">
        <w:t>State</w:t>
      </w:r>
      <w:r w:rsidRPr="00E034FF">
        <w:noBreakHyphen/>
        <w:t>owned regional utiliti</w:t>
      </w:r>
      <w:r w:rsidR="008D1A27">
        <w:t>es</w:t>
      </w:r>
      <w:r w:rsidR="003717AA">
        <w:t xml:space="preserve"> </w:t>
      </w:r>
      <w:r w:rsidR="00C1136F" w:rsidRPr="00C1136F">
        <w:rPr>
          <w:szCs w:val="24"/>
        </w:rPr>
        <w:t>(PC 2017b, p. 231)</w:t>
      </w:r>
      <w:r w:rsidR="00953513">
        <w:t>.</w:t>
      </w:r>
      <w:r w:rsidR="00DA2718">
        <w:t xml:space="preserve"> The</w:t>
      </w:r>
      <w:r w:rsidR="007F7CCA">
        <w:t>se</w:t>
      </w:r>
      <w:r w:rsidR="00DA2718">
        <w:t xml:space="preserve"> are </w:t>
      </w:r>
      <w:r w:rsidR="008D1A27">
        <w:t xml:space="preserve">all </w:t>
      </w:r>
      <w:r w:rsidR="00DA2718">
        <w:t xml:space="preserve">subject to economic regulation by the </w:t>
      </w:r>
      <w:r w:rsidR="00641A03">
        <w:t xml:space="preserve">Victorian Essential Services Commission </w:t>
      </w:r>
      <w:r w:rsidR="005F46AA" w:rsidRPr="005F46AA">
        <w:rPr>
          <w:szCs w:val="24"/>
        </w:rPr>
        <w:t>(ESC 2019)</w:t>
      </w:r>
      <w:r w:rsidR="00DA2718">
        <w:t>.</w:t>
      </w:r>
    </w:p>
    <w:p w14:paraId="6B35E4ED" w14:textId="501A4582" w:rsidR="00E034FF" w:rsidRDefault="00641A03" w:rsidP="008C5B2C">
      <w:pPr>
        <w:pStyle w:val="ListBullet"/>
      </w:pPr>
      <w:r>
        <w:t>Between 200</w:t>
      </w:r>
      <w:r w:rsidR="008D1A27">
        <w:t>8</w:t>
      </w:r>
      <w:r>
        <w:t xml:space="preserve"> and 201</w:t>
      </w:r>
      <w:r w:rsidR="008D1A27">
        <w:t>3</w:t>
      </w:r>
      <w:r>
        <w:t xml:space="preserve">, </w:t>
      </w:r>
      <w:r w:rsidR="008D1A27">
        <w:t xml:space="preserve">the </w:t>
      </w:r>
      <w:r w:rsidR="00E034FF" w:rsidRPr="00E034FF">
        <w:t>Tasmania</w:t>
      </w:r>
      <w:r w:rsidR="008D1A27">
        <w:t>n Government</w:t>
      </w:r>
      <w:r w:rsidR="00E034FF" w:rsidRPr="00E034FF">
        <w:t xml:space="preserve"> </w:t>
      </w:r>
      <w:r w:rsidR="00E034FF" w:rsidRPr="00641A03">
        <w:t xml:space="preserve">amalgamated </w:t>
      </w:r>
      <w:r w:rsidRPr="000766E2">
        <w:t>29</w:t>
      </w:r>
      <w:r w:rsidR="00227840">
        <w:t> </w:t>
      </w:r>
      <w:r w:rsidRPr="000766E2">
        <w:t>local government</w:t>
      </w:r>
      <w:r w:rsidRPr="000766E2">
        <w:noBreakHyphen/>
        <w:t xml:space="preserve">run </w:t>
      </w:r>
      <w:r w:rsidR="00E034FF" w:rsidRPr="000766E2">
        <w:t>utilities</w:t>
      </w:r>
      <w:r w:rsidR="00E034FF" w:rsidRPr="00E034FF">
        <w:t xml:space="preserve"> into a </w:t>
      </w:r>
      <w:r w:rsidR="000766E2">
        <w:t xml:space="preserve">single </w:t>
      </w:r>
      <w:r w:rsidR="00E034FF" w:rsidRPr="00E034FF">
        <w:t>state</w:t>
      </w:r>
      <w:r w:rsidR="003666DE">
        <w:noBreakHyphen/>
      </w:r>
      <w:r w:rsidR="00E034FF" w:rsidRPr="00E034FF">
        <w:t>wide pr</w:t>
      </w:r>
      <w:r w:rsidR="008D1A27">
        <w:t>ovider (</w:t>
      </w:r>
      <w:proofErr w:type="spellStart"/>
      <w:r w:rsidR="00EA4935">
        <w:t>TasW</w:t>
      </w:r>
      <w:r w:rsidR="00EA4935" w:rsidRPr="00E034FF">
        <w:t>ater</w:t>
      </w:r>
      <w:proofErr w:type="spellEnd"/>
      <w:r w:rsidR="00E034FF" w:rsidRPr="00E034FF">
        <w:t>)</w:t>
      </w:r>
      <w:r w:rsidR="008D1A27">
        <w:t xml:space="preserve">. </w:t>
      </w:r>
      <w:proofErr w:type="spellStart"/>
      <w:r w:rsidR="008D1A27">
        <w:t>TasWater</w:t>
      </w:r>
      <w:proofErr w:type="spellEnd"/>
      <w:r w:rsidR="008D1A27">
        <w:t xml:space="preserve"> is </w:t>
      </w:r>
      <w:r w:rsidR="00227840">
        <w:t xml:space="preserve">now </w:t>
      </w:r>
      <w:r w:rsidR="00E034FF" w:rsidRPr="00E034FF">
        <w:t>co</w:t>
      </w:r>
      <w:r w:rsidR="00E034FF" w:rsidRPr="00E034FF">
        <w:noBreakHyphen/>
        <w:t>owned by</w:t>
      </w:r>
      <w:r w:rsidR="008D1A27">
        <w:t xml:space="preserve"> th</w:t>
      </w:r>
      <w:r w:rsidR="000A152C">
        <w:t>os</w:t>
      </w:r>
      <w:r w:rsidR="008D1A27">
        <w:t>e</w:t>
      </w:r>
      <w:r w:rsidR="00E034FF" w:rsidRPr="00E034FF">
        <w:t xml:space="preserve"> local governments and the Tasmanian </w:t>
      </w:r>
      <w:r w:rsidR="003913DD" w:rsidRPr="00E034FF">
        <w:t>government</w:t>
      </w:r>
      <w:r w:rsidR="003913DD">
        <w:t xml:space="preserve"> </w:t>
      </w:r>
      <w:r w:rsidR="005F46AA" w:rsidRPr="005F46AA">
        <w:rPr>
          <w:szCs w:val="24"/>
        </w:rPr>
        <w:t>(</w:t>
      </w:r>
      <w:proofErr w:type="spellStart"/>
      <w:r w:rsidR="005F46AA" w:rsidRPr="005F46AA">
        <w:rPr>
          <w:szCs w:val="24"/>
        </w:rPr>
        <w:t>TasWater</w:t>
      </w:r>
      <w:proofErr w:type="spellEnd"/>
      <w:r w:rsidR="005F46AA" w:rsidRPr="005F46AA">
        <w:rPr>
          <w:szCs w:val="24"/>
        </w:rPr>
        <w:t> 2018)</w:t>
      </w:r>
      <w:r w:rsidR="00BB2091">
        <w:t>.</w:t>
      </w:r>
    </w:p>
    <w:p w14:paraId="45C16C58" w14:textId="5A597AFF" w:rsidR="00E51FE3" w:rsidRDefault="008C5B2C" w:rsidP="00C45C4D">
      <w:pPr>
        <w:pStyle w:val="BodyText"/>
        <w:keepNext/>
      </w:pPr>
      <w:r w:rsidRPr="009E7088">
        <w:t xml:space="preserve">In </w:t>
      </w:r>
      <w:r w:rsidR="00F06BEA" w:rsidRPr="009E7088">
        <w:t>South Australia</w:t>
      </w:r>
      <w:r w:rsidR="00F06BEA">
        <w:t xml:space="preserve">, </w:t>
      </w:r>
      <w:r w:rsidR="00E51FE3" w:rsidRPr="009E7088">
        <w:t xml:space="preserve">Western Australia, </w:t>
      </w:r>
      <w:r w:rsidR="00F6362F">
        <w:t xml:space="preserve">Tasmania, </w:t>
      </w:r>
      <w:r w:rsidR="00E51FE3">
        <w:t>the Northern Territory and the ACT</w:t>
      </w:r>
      <w:r>
        <w:t>,</w:t>
      </w:r>
      <w:r w:rsidR="00E51FE3">
        <w:t xml:space="preserve"> </w:t>
      </w:r>
      <w:r w:rsidR="00BB2091">
        <w:t xml:space="preserve">a single </w:t>
      </w:r>
      <w:r w:rsidR="00E51FE3">
        <w:t>jurisdiction</w:t>
      </w:r>
      <w:r w:rsidR="00E51FE3">
        <w:noBreakHyphen/>
        <w:t xml:space="preserve">wide </w:t>
      </w:r>
      <w:r w:rsidR="00BB2091">
        <w:t xml:space="preserve">utility (owned by the State or Territory </w:t>
      </w:r>
      <w:r w:rsidR="00F06BEA">
        <w:t>G</w:t>
      </w:r>
      <w:r w:rsidR="00BB2091">
        <w:t xml:space="preserve">overnment) is </w:t>
      </w:r>
      <w:r w:rsidR="00353688">
        <w:t>primarily</w:t>
      </w:r>
      <w:r>
        <w:t xml:space="preserve"> responsible</w:t>
      </w:r>
      <w:r w:rsidR="00E51FE3">
        <w:t xml:space="preserve"> for regional and remote </w:t>
      </w:r>
      <w:r w:rsidR="00C45C4D">
        <w:t>water services</w:t>
      </w:r>
      <w:r w:rsidR="005323D9">
        <w:t>.</w:t>
      </w:r>
    </w:p>
    <w:p w14:paraId="1E1E6FFB" w14:textId="710F2249" w:rsidR="00725D5D" w:rsidRDefault="006A4527" w:rsidP="00E93A2C">
      <w:pPr>
        <w:pStyle w:val="ListBullet"/>
      </w:pPr>
      <w:r>
        <w:t xml:space="preserve">The South Australian Government can direct SA Water </w:t>
      </w:r>
      <w:r w:rsidR="005323D9">
        <w:t xml:space="preserve">to </w:t>
      </w:r>
      <w:r w:rsidR="008E7ADC">
        <w:t xml:space="preserve">undertake </w:t>
      </w:r>
      <w:r w:rsidR="005323D9">
        <w:t>non</w:t>
      </w:r>
      <w:r w:rsidR="005323D9">
        <w:noBreakHyphen/>
        <w:t xml:space="preserve">commercial operations, including in Aboriginal communities, with government funding </w:t>
      </w:r>
      <w:r w:rsidR="001E3409" w:rsidRPr="001E3409">
        <w:rPr>
          <w:szCs w:val="24"/>
        </w:rPr>
        <w:t>(SA Water</w:t>
      </w:r>
      <w:r w:rsidR="001E3409" w:rsidRPr="00FD72F1">
        <w:rPr>
          <w:szCs w:val="24"/>
        </w:rPr>
        <w:t> 2019b)</w:t>
      </w:r>
      <w:r w:rsidR="005323D9">
        <w:t xml:space="preserve">. There are also </w:t>
      </w:r>
      <w:r w:rsidR="00B540B2">
        <w:t>6</w:t>
      </w:r>
      <w:r w:rsidR="005323D9">
        <w:t>6</w:t>
      </w:r>
      <w:r w:rsidR="00B45FA1">
        <w:t> </w:t>
      </w:r>
      <w:r w:rsidR="005323D9">
        <w:t xml:space="preserve">small or intermediate water service and/or wastewater providers </w:t>
      </w:r>
      <w:r w:rsidR="000A152C">
        <w:t xml:space="preserve">(including local government providers) </w:t>
      </w:r>
      <w:r w:rsidR="005323D9">
        <w:t>in parts of regional South Australia</w:t>
      </w:r>
      <w:r w:rsidR="00227840">
        <w:t xml:space="preserve">, </w:t>
      </w:r>
      <w:r w:rsidR="005F46AA" w:rsidRPr="005F46AA">
        <w:rPr>
          <w:szCs w:val="24"/>
        </w:rPr>
        <w:t>(ESCOSA 2019)</w:t>
      </w:r>
      <w:r w:rsidR="005323D9">
        <w:t>.</w:t>
      </w:r>
    </w:p>
    <w:p w14:paraId="2CBFA352" w14:textId="33F4D847" w:rsidR="00725D5D" w:rsidRDefault="00F6362F" w:rsidP="00E93A2C">
      <w:pPr>
        <w:pStyle w:val="ListBullet"/>
      </w:pPr>
      <w:r>
        <w:t xml:space="preserve">In Western Australia, </w:t>
      </w:r>
      <w:r w:rsidR="006A4527">
        <w:t>the Water Corporation</w:t>
      </w:r>
      <w:r>
        <w:t xml:space="preserve"> provides </w:t>
      </w:r>
      <w:r w:rsidR="006A4527">
        <w:t xml:space="preserve">water </w:t>
      </w:r>
      <w:r>
        <w:t xml:space="preserve">services to most of the state, although there are </w:t>
      </w:r>
      <w:r w:rsidR="00764E1F">
        <w:t>three</w:t>
      </w:r>
      <w:r>
        <w:t xml:space="preserve"> regional water corporations that supply Bunbury</w:t>
      </w:r>
      <w:r w:rsidR="00764E1F">
        <w:t>,</w:t>
      </w:r>
      <w:r>
        <w:t xml:space="preserve"> </w:t>
      </w:r>
      <w:proofErr w:type="gramStart"/>
      <w:r>
        <w:t>Busselton</w:t>
      </w:r>
      <w:proofErr w:type="gramEnd"/>
      <w:r>
        <w:t xml:space="preserve"> and </w:t>
      </w:r>
      <w:r w:rsidR="00764E1F">
        <w:t>Kalgoorlie</w:t>
      </w:r>
      <w:r w:rsidR="00764E1F">
        <w:noBreakHyphen/>
        <w:t>Boulder</w:t>
      </w:r>
      <w:r w:rsidR="008E7ADC">
        <w:t xml:space="preserve"> </w:t>
      </w:r>
      <w:r w:rsidR="00F66CB5" w:rsidRPr="00F66CB5">
        <w:rPr>
          <w:szCs w:val="24"/>
        </w:rPr>
        <w:t>(BOM 2020b, p. 126)</w:t>
      </w:r>
      <w:r w:rsidR="00764E1F">
        <w:t xml:space="preserve">. There are also </w:t>
      </w:r>
      <w:proofErr w:type="gramStart"/>
      <w:r w:rsidR="00764E1F">
        <w:t>a number of</w:t>
      </w:r>
      <w:proofErr w:type="gramEnd"/>
      <w:r w:rsidR="00764E1F">
        <w:t xml:space="preserve"> small </w:t>
      </w:r>
      <w:r w:rsidR="00BB2091">
        <w:t xml:space="preserve">providers licenced to provide water </w:t>
      </w:r>
      <w:r w:rsidR="006E613C">
        <w:t xml:space="preserve">and sewerage </w:t>
      </w:r>
      <w:r w:rsidR="00BB2091">
        <w:t>services</w:t>
      </w:r>
      <w:r w:rsidR="00764E1F">
        <w:t>.</w:t>
      </w:r>
    </w:p>
    <w:p w14:paraId="50436B2D" w14:textId="2E0352CD" w:rsidR="000A152C" w:rsidRDefault="000A152C" w:rsidP="000A152C">
      <w:pPr>
        <w:pStyle w:val="ListBullet"/>
      </w:pPr>
      <w:r>
        <w:t xml:space="preserve">In the Northern Territory, Indigenous Essential Services (IES) (a subsidiary of Power and Water Corporation) delivers water and energy services to 72 remote communities </w:t>
      </w:r>
      <w:r w:rsidRPr="003477B8">
        <w:rPr>
          <w:szCs w:val="24"/>
        </w:rPr>
        <w:t>(</w:t>
      </w:r>
      <w:proofErr w:type="spellStart"/>
      <w:r w:rsidRPr="003477B8">
        <w:rPr>
          <w:szCs w:val="24"/>
        </w:rPr>
        <w:t>PowerWater</w:t>
      </w:r>
      <w:proofErr w:type="spellEnd"/>
      <w:r w:rsidRPr="003477B8">
        <w:rPr>
          <w:szCs w:val="24"/>
        </w:rPr>
        <w:t> 2019b)</w:t>
      </w:r>
      <w:r>
        <w:t>.</w:t>
      </w:r>
    </w:p>
    <w:p w14:paraId="01403351" w14:textId="354E2F62" w:rsidR="005323D9" w:rsidRDefault="00227840" w:rsidP="00E93A2C">
      <w:pPr>
        <w:pStyle w:val="ListBullet"/>
      </w:pPr>
      <w:r>
        <w:t xml:space="preserve">In the ACT, Icon Water services Canberra, although </w:t>
      </w:r>
      <w:r w:rsidR="00BB2091">
        <w:t xml:space="preserve">it </w:t>
      </w:r>
      <w:r w:rsidR="005324FD">
        <w:t xml:space="preserve">does not provide potable water to </w:t>
      </w:r>
      <w:r w:rsidR="005C7192">
        <w:t xml:space="preserve">some rural </w:t>
      </w:r>
      <w:r>
        <w:t>village</w:t>
      </w:r>
      <w:r w:rsidR="005C7192">
        <w:t xml:space="preserve">s </w:t>
      </w:r>
      <w:r w:rsidR="00F66CB5" w:rsidRPr="00F66CB5">
        <w:rPr>
          <w:szCs w:val="24"/>
        </w:rPr>
        <w:t>(BOM 2020b, pp. 111–112; SCETCS (ACT) 2020, p. 3)</w:t>
      </w:r>
      <w:r w:rsidR="005324FD">
        <w:t>.</w:t>
      </w:r>
    </w:p>
    <w:p w14:paraId="7240105A" w14:textId="7E1D16CB" w:rsidR="00A16546" w:rsidRDefault="009E7088" w:rsidP="00F6362F">
      <w:pPr>
        <w:pStyle w:val="BodyText"/>
        <w:keepNext/>
      </w:pPr>
      <w:r>
        <w:lastRenderedPageBreak/>
        <w:t xml:space="preserve">In New South Wales and Queensland, a </w:t>
      </w:r>
      <w:r w:rsidR="005324FD">
        <w:t>larger</w:t>
      </w:r>
      <w:r w:rsidR="00A16546">
        <w:t xml:space="preserve"> number of </w:t>
      </w:r>
      <w:r w:rsidR="00A16546" w:rsidRPr="007E0D92">
        <w:t xml:space="preserve">small </w:t>
      </w:r>
      <w:r w:rsidR="00A16546">
        <w:t xml:space="preserve">water service providers </w:t>
      </w:r>
      <w:r>
        <w:t xml:space="preserve">deliver </w:t>
      </w:r>
      <w:r w:rsidR="008E7ADC">
        <w:t xml:space="preserve">regional and remote </w:t>
      </w:r>
      <w:r>
        <w:t xml:space="preserve">water services. </w:t>
      </w:r>
      <w:r w:rsidR="00C45C4D">
        <w:t>Most</w:t>
      </w:r>
      <w:r>
        <w:t xml:space="preserve"> </w:t>
      </w:r>
      <w:r w:rsidR="00227840">
        <w:t>are owned and/or operated by</w:t>
      </w:r>
      <w:r>
        <w:t xml:space="preserve"> </w:t>
      </w:r>
      <w:r w:rsidR="00A16546">
        <w:t>local government</w:t>
      </w:r>
      <w:r>
        <w:t xml:space="preserve">s, although </w:t>
      </w:r>
      <w:r w:rsidR="00EA4935">
        <w:t xml:space="preserve">there </w:t>
      </w:r>
      <w:r>
        <w:t xml:space="preserve">are </w:t>
      </w:r>
      <w:r w:rsidR="00F6362F">
        <w:t xml:space="preserve">different </w:t>
      </w:r>
      <w:r>
        <w:t>models in each state</w:t>
      </w:r>
      <w:r w:rsidR="00DA2718">
        <w:t>.</w:t>
      </w:r>
    </w:p>
    <w:p w14:paraId="6EF6772D" w14:textId="24FCC90C" w:rsidR="00DA2718" w:rsidRPr="002F5149" w:rsidRDefault="00DA2718" w:rsidP="00E93A2C">
      <w:pPr>
        <w:pStyle w:val="ListBullet"/>
      </w:pPr>
      <w:r w:rsidRPr="002F5149">
        <w:t xml:space="preserve">In </w:t>
      </w:r>
      <w:r w:rsidR="003B5D90">
        <w:t>New South Wales</w:t>
      </w:r>
      <w:r w:rsidRPr="002F5149">
        <w:t xml:space="preserve">, </w:t>
      </w:r>
      <w:r w:rsidR="00F6362F" w:rsidRPr="002F5149">
        <w:t>90</w:t>
      </w:r>
      <w:r w:rsidR="005324FD" w:rsidRPr="002F5149">
        <w:t> </w:t>
      </w:r>
      <w:r w:rsidR="00F6362F" w:rsidRPr="002F5149">
        <w:t>local government</w:t>
      </w:r>
      <w:r w:rsidR="00F6362F" w:rsidRPr="002F5149">
        <w:noBreakHyphen/>
      </w:r>
      <w:r w:rsidR="000766E2" w:rsidRPr="002F5149">
        <w:t xml:space="preserve">owned water utilities provide services </w:t>
      </w:r>
      <w:r w:rsidR="00F6362F" w:rsidRPr="002F5149">
        <w:t xml:space="preserve">to communities </w:t>
      </w:r>
      <w:r w:rsidR="000766E2" w:rsidRPr="002F5149">
        <w:t xml:space="preserve">outside of Sydney and the Hunter Valley </w:t>
      </w:r>
      <w:r w:rsidRPr="002F5149">
        <w:t>(</w:t>
      </w:r>
      <w:r w:rsidR="000766E2" w:rsidRPr="000766E2">
        <w:t xml:space="preserve">NSW Water Directorate, </w:t>
      </w:r>
      <w:r w:rsidRPr="000766E2">
        <w:t>sub</w:t>
      </w:r>
      <w:r w:rsidR="000766E2" w:rsidRPr="000766E2">
        <w:t>. 37</w:t>
      </w:r>
      <w:r w:rsidR="00F6362F">
        <w:t>, p. 1</w:t>
      </w:r>
      <w:r w:rsidRPr="002F5149">
        <w:t xml:space="preserve">). Some county councils </w:t>
      </w:r>
      <w:r w:rsidR="008E7ADC" w:rsidRPr="002F5149">
        <w:t>supply</w:t>
      </w:r>
      <w:r w:rsidRPr="002F5149">
        <w:t xml:space="preserve"> bulk</w:t>
      </w:r>
      <w:r w:rsidR="00F6362F" w:rsidRPr="002F5149">
        <w:t xml:space="preserve"> water</w:t>
      </w:r>
      <w:r w:rsidRPr="002F5149">
        <w:t xml:space="preserve"> </w:t>
      </w:r>
      <w:r w:rsidR="00F6362F" w:rsidRPr="002F5149">
        <w:t>to multiple local government owners</w:t>
      </w:r>
      <w:r w:rsidRPr="002F5149">
        <w:t xml:space="preserve">, </w:t>
      </w:r>
      <w:r w:rsidR="008E7ADC" w:rsidRPr="002F5149">
        <w:t xml:space="preserve">while </w:t>
      </w:r>
      <w:r w:rsidRPr="002F5149">
        <w:t xml:space="preserve">many inland councils </w:t>
      </w:r>
      <w:r w:rsidR="000766E2" w:rsidRPr="002F5149">
        <w:t xml:space="preserve">source bulk water from </w:t>
      </w:r>
      <w:proofErr w:type="spellStart"/>
      <w:r w:rsidRPr="002F5149">
        <w:t>WaterNSW</w:t>
      </w:r>
      <w:proofErr w:type="spellEnd"/>
      <w:r w:rsidRPr="002F5149">
        <w:t>.</w:t>
      </w:r>
    </w:p>
    <w:p w14:paraId="10052BB6" w14:textId="1D72DF17" w:rsidR="00DA2718" w:rsidRPr="002F5149" w:rsidRDefault="00DA2718" w:rsidP="00E93A2C">
      <w:pPr>
        <w:pStyle w:val="ListBullet"/>
      </w:pPr>
      <w:r w:rsidRPr="00DA2718">
        <w:t xml:space="preserve">In Queensland, </w:t>
      </w:r>
      <w:r w:rsidR="000766E2">
        <w:t>7</w:t>
      </w:r>
      <w:r w:rsidR="00F6362F">
        <w:t>3</w:t>
      </w:r>
      <w:r w:rsidR="005324FD">
        <w:t> </w:t>
      </w:r>
      <w:r>
        <w:t xml:space="preserve">providers, including </w:t>
      </w:r>
      <w:r w:rsidR="000766E2">
        <w:t>15</w:t>
      </w:r>
      <w:r w:rsidR="00D36D0C">
        <w:t> </w:t>
      </w:r>
      <w:r>
        <w:t xml:space="preserve">Aboriginal councils and </w:t>
      </w:r>
      <w:r w:rsidR="000766E2">
        <w:t xml:space="preserve">two </w:t>
      </w:r>
      <w:r>
        <w:t xml:space="preserve">Torres Strait Islander </w:t>
      </w:r>
      <w:r w:rsidR="000766E2">
        <w:t xml:space="preserve">councils, provide </w:t>
      </w:r>
      <w:r w:rsidR="008E7ADC">
        <w:t xml:space="preserve">water </w:t>
      </w:r>
      <w:r w:rsidR="000766E2">
        <w:t xml:space="preserve">services </w:t>
      </w:r>
      <w:r>
        <w:t>(</w:t>
      </w:r>
      <w:proofErr w:type="spellStart"/>
      <w:r w:rsidRPr="000766E2">
        <w:t>qldwater</w:t>
      </w:r>
      <w:proofErr w:type="spellEnd"/>
      <w:r w:rsidR="000766E2">
        <w:t>, sub. 47</w:t>
      </w:r>
      <w:r w:rsidR="00F6362F">
        <w:t>, p</w:t>
      </w:r>
      <w:r w:rsidR="0084654C">
        <w:t>.</w:t>
      </w:r>
      <w:r w:rsidR="00F6362F">
        <w:t> 2</w:t>
      </w:r>
      <w:r>
        <w:t>).</w:t>
      </w:r>
      <w:r w:rsidR="008E7ADC">
        <w:t xml:space="preserve"> Most are owned</w:t>
      </w:r>
      <w:r w:rsidR="005324FD">
        <w:t xml:space="preserve"> and </w:t>
      </w:r>
      <w:r w:rsidR="008E7ADC">
        <w:t>operated by local governments.</w:t>
      </w:r>
    </w:p>
    <w:p w14:paraId="47053BC2" w14:textId="342C225C" w:rsidR="000766E2" w:rsidRDefault="00CF3B07" w:rsidP="00E93A2C">
      <w:pPr>
        <w:pStyle w:val="BodyText"/>
      </w:pPr>
      <w:r>
        <w:t xml:space="preserve">A summary of regional water </w:t>
      </w:r>
      <w:r w:rsidR="00F6362F">
        <w:t>service provision</w:t>
      </w:r>
      <w:r w:rsidR="008E7ADC">
        <w:t xml:space="preserve"> arrangements across Australia</w:t>
      </w:r>
      <w:r w:rsidR="00F6362F">
        <w:t xml:space="preserve"> </w:t>
      </w:r>
      <w:r>
        <w:t xml:space="preserve">is in </w:t>
      </w:r>
      <w:r w:rsidRPr="006E613C">
        <w:t>table</w:t>
      </w:r>
      <w:r w:rsidRPr="00CF3B07">
        <w:rPr>
          <w:i/>
        </w:rPr>
        <w:t> </w:t>
      </w:r>
      <w:r w:rsidR="006E613C">
        <w:t>1</w:t>
      </w:r>
      <w:r w:rsidRPr="00E51FE3">
        <w:t>.</w:t>
      </w:r>
    </w:p>
    <w:p w14:paraId="762FB717" w14:textId="341D3387" w:rsidR="00F6362F" w:rsidRDefault="00F6362F" w:rsidP="00F6362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6362F" w14:paraId="169CD434" w14:textId="77777777" w:rsidTr="00F01718">
        <w:trPr>
          <w:tblHeader/>
        </w:trPr>
        <w:tc>
          <w:tcPr>
            <w:tcW w:w="5000" w:type="pct"/>
            <w:tcBorders>
              <w:top w:val="single" w:sz="6" w:space="0" w:color="78A22F"/>
              <w:left w:val="nil"/>
              <w:bottom w:val="nil"/>
              <w:right w:val="nil"/>
            </w:tcBorders>
            <w:shd w:val="clear" w:color="auto" w:fill="auto"/>
          </w:tcPr>
          <w:p w14:paraId="1F8FDDAD" w14:textId="07533B8C" w:rsidR="00F6362F" w:rsidRDefault="00F6362F" w:rsidP="00F01718">
            <w:pPr>
              <w:pStyle w:val="TableTitle"/>
            </w:pPr>
            <w:r>
              <w:rPr>
                <w:b w:val="0"/>
              </w:rPr>
              <w:t xml:space="preserve">Table </w:t>
            </w:r>
            <w:r w:rsidR="006E613C">
              <w:rPr>
                <w:b w:val="0"/>
              </w:rPr>
              <w:t>1</w:t>
            </w:r>
            <w:r>
              <w:tab/>
              <w:t xml:space="preserve">Regional </w:t>
            </w:r>
            <w:r w:rsidR="00F01718">
              <w:t xml:space="preserve">potable </w:t>
            </w:r>
            <w:r>
              <w:t>water</w:t>
            </w:r>
            <w:r w:rsidR="00F01718">
              <w:t xml:space="preserve"> and wastewater</w:t>
            </w:r>
            <w:r>
              <w:t xml:space="preserve"> providers</w:t>
            </w:r>
          </w:p>
          <w:p w14:paraId="6D37F41C" w14:textId="77777777" w:rsidR="00F6362F" w:rsidRPr="00784A05" w:rsidRDefault="00F6362F" w:rsidP="00F01718">
            <w:pPr>
              <w:pStyle w:val="Subtitle"/>
              <w:tabs>
                <w:tab w:val="left" w:pos="6360"/>
              </w:tabs>
            </w:pPr>
            <w:r>
              <w:t>Excludes bulk water providers and self</w:t>
            </w:r>
            <w:r>
              <w:noBreakHyphen/>
              <w:t>supply schemes</w:t>
            </w:r>
          </w:p>
        </w:tc>
      </w:tr>
      <w:tr w:rsidR="00F6362F" w14:paraId="1E7569A2" w14:textId="77777777" w:rsidTr="00F01718">
        <w:tc>
          <w:tcPr>
            <w:tcW w:w="5000" w:type="pct"/>
            <w:tcBorders>
              <w:top w:val="nil"/>
              <w:left w:val="nil"/>
              <w:bottom w:val="nil"/>
              <w:right w:val="nil"/>
            </w:tcBorders>
            <w:shd w:val="clear" w:color="auto" w:fill="auto"/>
          </w:tcPr>
          <w:tbl>
            <w:tblPr>
              <w:tblW w:w="8632" w:type="dxa"/>
              <w:tblCellMar>
                <w:top w:w="28" w:type="dxa"/>
                <w:left w:w="0" w:type="dxa"/>
                <w:right w:w="0" w:type="dxa"/>
              </w:tblCellMar>
              <w:tblLook w:val="0000" w:firstRow="0" w:lastRow="0" w:firstColumn="0" w:lastColumn="0" w:noHBand="0" w:noVBand="0"/>
            </w:tblPr>
            <w:tblGrid>
              <w:gridCol w:w="1020"/>
              <w:gridCol w:w="1106"/>
              <w:gridCol w:w="708"/>
              <w:gridCol w:w="710"/>
              <w:gridCol w:w="568"/>
              <w:gridCol w:w="2550"/>
              <w:gridCol w:w="1970"/>
            </w:tblGrid>
            <w:tr w:rsidR="005324FD" w14:paraId="7CC0295F" w14:textId="57BE37A2" w:rsidTr="00B82E24">
              <w:trPr>
                <w:trHeight w:val="366"/>
                <w:tblHeader/>
              </w:trPr>
              <w:tc>
                <w:tcPr>
                  <w:tcW w:w="591" w:type="pct"/>
                  <w:tcBorders>
                    <w:top w:val="single" w:sz="6" w:space="0" w:color="BFBFBF"/>
                  </w:tcBorders>
                  <w:shd w:val="clear" w:color="auto" w:fill="auto"/>
                  <w:tcMar>
                    <w:top w:w="28" w:type="dxa"/>
                  </w:tcMar>
                </w:tcPr>
                <w:p w14:paraId="19859673" w14:textId="720C3B7C" w:rsidR="005324FD" w:rsidRPr="008C6160" w:rsidRDefault="005324FD" w:rsidP="008C6160">
                  <w:pPr>
                    <w:pStyle w:val="TableColumnHeading"/>
                    <w:jc w:val="center"/>
                  </w:pPr>
                  <w:r w:rsidRPr="008C6160">
                    <w:t>Jurisdiction</w:t>
                  </w:r>
                </w:p>
              </w:tc>
              <w:tc>
                <w:tcPr>
                  <w:tcW w:w="641" w:type="pct"/>
                  <w:tcBorders>
                    <w:top w:val="single" w:sz="6" w:space="0" w:color="BFBFBF"/>
                  </w:tcBorders>
                  <w:shd w:val="clear" w:color="auto" w:fill="auto"/>
                </w:tcPr>
                <w:p w14:paraId="5678E846" w14:textId="37768AE5" w:rsidR="005324FD" w:rsidRPr="008C6160" w:rsidRDefault="005324FD" w:rsidP="005B2B5E">
                  <w:pPr>
                    <w:pStyle w:val="TableColumnHeading"/>
                  </w:pPr>
                  <w:r w:rsidRPr="008C6160">
                    <w:t>Number of utilities</w:t>
                  </w:r>
                </w:p>
              </w:tc>
              <w:tc>
                <w:tcPr>
                  <w:tcW w:w="1150" w:type="pct"/>
                  <w:gridSpan w:val="3"/>
                  <w:tcBorders>
                    <w:top w:val="single" w:sz="6" w:space="0" w:color="BFBFBF"/>
                  </w:tcBorders>
                  <w:shd w:val="clear" w:color="auto" w:fill="auto"/>
                </w:tcPr>
                <w:p w14:paraId="34E97F29" w14:textId="4F7B30C9" w:rsidR="005324FD" w:rsidRPr="008C6160" w:rsidRDefault="002A7FF4" w:rsidP="008C6160">
                  <w:pPr>
                    <w:pStyle w:val="TableColumnHeading"/>
                    <w:jc w:val="center"/>
                  </w:pPr>
                  <w:r w:rsidRPr="008C6160">
                    <w:t>Providers</w:t>
                  </w:r>
                  <w:r w:rsidR="00CB298E" w:rsidRPr="008C6160">
                    <w:t xml:space="preserve"> by number of connections</w:t>
                  </w:r>
                </w:p>
              </w:tc>
              <w:tc>
                <w:tcPr>
                  <w:tcW w:w="1477" w:type="pct"/>
                  <w:tcBorders>
                    <w:top w:val="single" w:sz="6" w:space="0" w:color="BFBFBF"/>
                  </w:tcBorders>
                  <w:shd w:val="clear" w:color="auto" w:fill="auto"/>
                </w:tcPr>
                <w:p w14:paraId="161C9118" w14:textId="2A95DFBC" w:rsidR="005324FD" w:rsidRPr="008C6160" w:rsidRDefault="005324FD" w:rsidP="002A3B2B">
                  <w:pPr>
                    <w:pStyle w:val="TableColumnHeading"/>
                    <w:ind w:left="0"/>
                    <w:jc w:val="left"/>
                  </w:pPr>
                  <w:r w:rsidRPr="008C6160">
                    <w:t>Role of economic regulator in regional areas</w:t>
                  </w:r>
                </w:p>
              </w:tc>
              <w:tc>
                <w:tcPr>
                  <w:tcW w:w="1141" w:type="pct"/>
                  <w:tcBorders>
                    <w:top w:val="single" w:sz="6" w:space="0" w:color="BFBFBF"/>
                  </w:tcBorders>
                  <w:shd w:val="clear" w:color="auto" w:fill="auto"/>
                </w:tcPr>
                <w:p w14:paraId="3769352B" w14:textId="584B0CAF" w:rsidR="005324FD" w:rsidRPr="008C6160" w:rsidRDefault="005324FD" w:rsidP="000A7A50">
                  <w:pPr>
                    <w:pStyle w:val="TableColumnHeading"/>
                    <w:jc w:val="left"/>
                  </w:pPr>
                  <w:r w:rsidRPr="008C6160">
                    <w:t>Ownership in regional areas</w:t>
                  </w:r>
                </w:p>
              </w:tc>
            </w:tr>
            <w:tr w:rsidR="005324FD" w14:paraId="48FBB35A" w14:textId="091A9300" w:rsidTr="00B82E24">
              <w:trPr>
                <w:trHeight w:val="313"/>
                <w:tblHeader/>
              </w:trPr>
              <w:tc>
                <w:tcPr>
                  <w:tcW w:w="591" w:type="pct"/>
                  <w:tcBorders>
                    <w:bottom w:val="single" w:sz="6" w:space="0" w:color="BFBFBF"/>
                  </w:tcBorders>
                  <w:shd w:val="clear" w:color="auto" w:fill="auto"/>
                  <w:tcMar>
                    <w:top w:w="28" w:type="dxa"/>
                  </w:tcMar>
                </w:tcPr>
                <w:p w14:paraId="73002DC6" w14:textId="77777777" w:rsidR="005324FD" w:rsidRPr="008C6160" w:rsidRDefault="005324FD" w:rsidP="005324FD">
                  <w:pPr>
                    <w:pStyle w:val="TableColumnHeading"/>
                    <w:jc w:val="left"/>
                  </w:pPr>
                </w:p>
              </w:tc>
              <w:tc>
                <w:tcPr>
                  <w:tcW w:w="641" w:type="pct"/>
                  <w:tcBorders>
                    <w:bottom w:val="single" w:sz="6" w:space="0" w:color="BFBFBF"/>
                  </w:tcBorders>
                  <w:shd w:val="clear" w:color="auto" w:fill="auto"/>
                </w:tcPr>
                <w:p w14:paraId="2DCDFC68" w14:textId="7FAD2F16" w:rsidR="005324FD" w:rsidRPr="008C6160" w:rsidRDefault="00D36D0C" w:rsidP="00B82E24">
                  <w:pPr>
                    <w:pStyle w:val="TableUnitsRow"/>
                    <w:rPr>
                      <w:i/>
                    </w:rPr>
                  </w:pPr>
                  <w:r w:rsidRPr="008C6160">
                    <w:rPr>
                      <w:i/>
                    </w:rPr>
                    <w:t>Total</w:t>
                  </w:r>
                </w:p>
              </w:tc>
              <w:tc>
                <w:tcPr>
                  <w:tcW w:w="410" w:type="pct"/>
                  <w:tcBorders>
                    <w:bottom w:val="single" w:sz="6" w:space="0" w:color="BFBFBF"/>
                  </w:tcBorders>
                  <w:shd w:val="clear" w:color="auto" w:fill="auto"/>
                </w:tcPr>
                <w:p w14:paraId="68E90654" w14:textId="5FF2A74C" w:rsidR="005324FD" w:rsidRPr="008C6160" w:rsidRDefault="005324FD" w:rsidP="00B82E24">
                  <w:pPr>
                    <w:pStyle w:val="TableUnitsRow"/>
                    <w:rPr>
                      <w:i/>
                    </w:rPr>
                  </w:pPr>
                  <w:r w:rsidRPr="008C6160">
                    <w:rPr>
                      <w:i/>
                    </w:rPr>
                    <w:t>&gt; 100k</w:t>
                  </w:r>
                </w:p>
              </w:tc>
              <w:tc>
                <w:tcPr>
                  <w:tcW w:w="411" w:type="pct"/>
                  <w:tcBorders>
                    <w:bottom w:val="single" w:sz="6" w:space="0" w:color="BFBFBF"/>
                  </w:tcBorders>
                  <w:shd w:val="clear" w:color="auto" w:fill="auto"/>
                </w:tcPr>
                <w:p w14:paraId="4EA4B907" w14:textId="6466581A" w:rsidR="005324FD" w:rsidRPr="008C6160" w:rsidRDefault="005324FD" w:rsidP="00B82E24">
                  <w:pPr>
                    <w:pStyle w:val="TableUnitsRow"/>
                    <w:rPr>
                      <w:i/>
                    </w:rPr>
                  </w:pPr>
                  <w:r w:rsidRPr="008C6160">
                    <w:rPr>
                      <w:i/>
                    </w:rPr>
                    <w:t>10k -100k</w:t>
                  </w:r>
                </w:p>
              </w:tc>
              <w:tc>
                <w:tcPr>
                  <w:tcW w:w="329" w:type="pct"/>
                  <w:tcBorders>
                    <w:bottom w:val="single" w:sz="6" w:space="0" w:color="BFBFBF"/>
                  </w:tcBorders>
                  <w:shd w:val="clear" w:color="auto" w:fill="auto"/>
                  <w:tcMar>
                    <w:top w:w="28" w:type="dxa"/>
                  </w:tcMar>
                </w:tcPr>
                <w:p w14:paraId="5A3BF390" w14:textId="7B08F688" w:rsidR="005324FD" w:rsidRPr="008C6160" w:rsidRDefault="005324FD" w:rsidP="00B82E24">
                  <w:pPr>
                    <w:pStyle w:val="TableUnitsRow"/>
                    <w:rPr>
                      <w:i/>
                    </w:rPr>
                  </w:pPr>
                  <w:r w:rsidRPr="008C6160">
                    <w:rPr>
                      <w:i/>
                    </w:rPr>
                    <w:t>&lt; 10k</w:t>
                  </w:r>
                </w:p>
              </w:tc>
              <w:tc>
                <w:tcPr>
                  <w:tcW w:w="1477" w:type="pct"/>
                  <w:tcBorders>
                    <w:bottom w:val="single" w:sz="6" w:space="0" w:color="BFBFBF"/>
                  </w:tcBorders>
                  <w:shd w:val="clear" w:color="auto" w:fill="auto"/>
                </w:tcPr>
                <w:p w14:paraId="0185B984" w14:textId="77777777" w:rsidR="005324FD" w:rsidRPr="008C6160" w:rsidRDefault="005324FD" w:rsidP="002A3B2B">
                  <w:pPr>
                    <w:pStyle w:val="TableUnitsRow"/>
                    <w:ind w:left="0"/>
                    <w:jc w:val="left"/>
                    <w:rPr>
                      <w:i/>
                    </w:rPr>
                  </w:pPr>
                </w:p>
              </w:tc>
              <w:tc>
                <w:tcPr>
                  <w:tcW w:w="1141" w:type="pct"/>
                  <w:tcBorders>
                    <w:bottom w:val="single" w:sz="6" w:space="0" w:color="BFBFBF"/>
                  </w:tcBorders>
                  <w:shd w:val="clear" w:color="auto" w:fill="auto"/>
                </w:tcPr>
                <w:p w14:paraId="5B862AA9" w14:textId="77777777" w:rsidR="005324FD" w:rsidRDefault="005324FD" w:rsidP="005324FD">
                  <w:pPr>
                    <w:pStyle w:val="TableUnitsRow"/>
                  </w:pPr>
                </w:p>
              </w:tc>
            </w:tr>
            <w:tr w:rsidR="005324FD" w14:paraId="5325B3F8" w14:textId="376CBBC8" w:rsidTr="00B82E24">
              <w:trPr>
                <w:trHeight w:val="105"/>
              </w:trPr>
              <w:tc>
                <w:tcPr>
                  <w:tcW w:w="591" w:type="pct"/>
                  <w:tcBorders>
                    <w:top w:val="single" w:sz="6" w:space="0" w:color="BFBFBF"/>
                  </w:tcBorders>
                  <w:shd w:val="clear" w:color="auto" w:fill="E5F1D0" w:themeFill="accent1" w:themeFillTint="33"/>
                </w:tcPr>
                <w:p w14:paraId="7B1C6DF1" w14:textId="77777777" w:rsidR="005324FD" w:rsidRDefault="005324FD" w:rsidP="00B82E24">
                  <w:pPr>
                    <w:pStyle w:val="TableBodyText"/>
                  </w:pPr>
                  <w:r>
                    <w:t>NSW</w:t>
                  </w:r>
                </w:p>
              </w:tc>
              <w:tc>
                <w:tcPr>
                  <w:tcW w:w="641" w:type="pct"/>
                  <w:tcBorders>
                    <w:top w:val="single" w:sz="6" w:space="0" w:color="BFBFBF"/>
                  </w:tcBorders>
                  <w:shd w:val="clear" w:color="auto" w:fill="E5F1D0" w:themeFill="accent1" w:themeFillTint="33"/>
                </w:tcPr>
                <w:p w14:paraId="38D6EA29" w14:textId="2A9F1191" w:rsidR="005324FD" w:rsidRPr="00F6362F" w:rsidRDefault="00CB298E" w:rsidP="00B82E24">
                  <w:pPr>
                    <w:pStyle w:val="TableBodyText"/>
                    <w:rPr>
                      <w:highlight w:val="yellow"/>
                    </w:rPr>
                  </w:pPr>
                  <w:r>
                    <w:t>9</w:t>
                  </w:r>
                  <w:r w:rsidR="005324FD" w:rsidRPr="00F01718">
                    <w:t>2</w:t>
                  </w:r>
                </w:p>
              </w:tc>
              <w:tc>
                <w:tcPr>
                  <w:tcW w:w="410" w:type="pct"/>
                  <w:tcBorders>
                    <w:top w:val="single" w:sz="6" w:space="0" w:color="BFBFBF"/>
                  </w:tcBorders>
                  <w:shd w:val="clear" w:color="auto" w:fill="E5F1D0" w:themeFill="accent1" w:themeFillTint="33"/>
                </w:tcPr>
                <w:p w14:paraId="0CB2A61F" w14:textId="39DE47B9" w:rsidR="005324FD" w:rsidRDefault="00EA2B85" w:rsidP="00B82E24">
                  <w:pPr>
                    <w:pStyle w:val="TableBodyText"/>
                  </w:pPr>
                  <w:r>
                    <w:t>1</w:t>
                  </w:r>
                </w:p>
              </w:tc>
              <w:tc>
                <w:tcPr>
                  <w:tcW w:w="411" w:type="pct"/>
                  <w:tcBorders>
                    <w:top w:val="single" w:sz="6" w:space="0" w:color="BFBFBF"/>
                  </w:tcBorders>
                  <w:shd w:val="clear" w:color="auto" w:fill="E5F1D0" w:themeFill="accent1" w:themeFillTint="33"/>
                </w:tcPr>
                <w:p w14:paraId="3C9BB892" w14:textId="4E7A18E1" w:rsidR="005324FD" w:rsidRDefault="005324FD" w:rsidP="00EA2B85">
                  <w:pPr>
                    <w:pStyle w:val="TableBodyText"/>
                  </w:pPr>
                  <w:r>
                    <w:t>2</w:t>
                  </w:r>
                  <w:r w:rsidR="00EA2B85">
                    <w:t>7</w:t>
                  </w:r>
                </w:p>
              </w:tc>
              <w:tc>
                <w:tcPr>
                  <w:tcW w:w="329" w:type="pct"/>
                  <w:tcBorders>
                    <w:top w:val="single" w:sz="6" w:space="0" w:color="BFBFBF"/>
                  </w:tcBorders>
                  <w:shd w:val="clear" w:color="auto" w:fill="E5F1D0" w:themeFill="accent1" w:themeFillTint="33"/>
                </w:tcPr>
                <w:p w14:paraId="7A34B58C" w14:textId="5BCEC366" w:rsidR="005324FD" w:rsidRDefault="005324FD" w:rsidP="005B2B5E">
                  <w:pPr>
                    <w:pStyle w:val="TableBodyText"/>
                    <w:ind w:right="170"/>
                  </w:pPr>
                  <w:r>
                    <w:t>6</w:t>
                  </w:r>
                  <w:r w:rsidR="00EA2B85">
                    <w:t>4</w:t>
                  </w:r>
                </w:p>
              </w:tc>
              <w:tc>
                <w:tcPr>
                  <w:tcW w:w="1477" w:type="pct"/>
                  <w:tcBorders>
                    <w:top w:val="single" w:sz="6" w:space="0" w:color="BFBFBF"/>
                  </w:tcBorders>
                  <w:shd w:val="clear" w:color="auto" w:fill="E5F1D0" w:themeFill="accent1" w:themeFillTint="33"/>
                </w:tcPr>
                <w:p w14:paraId="3AC21D81" w14:textId="763821B8" w:rsidR="005324FD" w:rsidRDefault="005324FD" w:rsidP="002A3B2B">
                  <w:pPr>
                    <w:pStyle w:val="TableBodyText"/>
                    <w:ind w:left="0"/>
                    <w:jc w:val="left"/>
                  </w:pPr>
                  <w:r>
                    <w:t xml:space="preserve">Large providers </w:t>
                  </w:r>
                  <w:proofErr w:type="gramStart"/>
                  <w:r w:rsidRPr="005B2B5E">
                    <w:t>licen</w:t>
                  </w:r>
                  <w:r w:rsidR="00F06BEA" w:rsidRPr="005B2B5E">
                    <w:t>s</w:t>
                  </w:r>
                  <w:r w:rsidRPr="005B2B5E">
                    <w:t>ed</w:t>
                  </w:r>
                  <w:r>
                    <w:t>,</w:t>
                  </w:r>
                  <w:proofErr w:type="gramEnd"/>
                  <w:r>
                    <w:t xml:space="preserve"> others unregulated</w:t>
                  </w:r>
                </w:p>
              </w:tc>
              <w:tc>
                <w:tcPr>
                  <w:tcW w:w="1141" w:type="pct"/>
                  <w:tcBorders>
                    <w:top w:val="single" w:sz="6" w:space="0" w:color="BFBFBF"/>
                  </w:tcBorders>
                  <w:shd w:val="clear" w:color="auto" w:fill="E5F1D0" w:themeFill="accent1" w:themeFillTint="33"/>
                </w:tcPr>
                <w:p w14:paraId="616CBA00" w14:textId="63B41859" w:rsidR="005324FD" w:rsidRDefault="00D36D0C" w:rsidP="008C6160">
                  <w:pPr>
                    <w:pStyle w:val="TableBodyText"/>
                    <w:jc w:val="left"/>
                  </w:pPr>
                  <w:r>
                    <w:t xml:space="preserve">Varies between State and </w:t>
                  </w:r>
                  <w:r w:rsidR="006E613C">
                    <w:t>l</w:t>
                  </w:r>
                  <w:r>
                    <w:t>ocal government</w:t>
                  </w:r>
                  <w:r w:rsidR="005B2B5E">
                    <w:t>s</w:t>
                  </w:r>
                </w:p>
              </w:tc>
            </w:tr>
            <w:tr w:rsidR="005324FD" w14:paraId="398C3720" w14:textId="5A55E6CD" w:rsidTr="00B82E24">
              <w:trPr>
                <w:trHeight w:val="247"/>
              </w:trPr>
              <w:tc>
                <w:tcPr>
                  <w:tcW w:w="591" w:type="pct"/>
                  <w:shd w:val="clear" w:color="auto" w:fill="auto"/>
                </w:tcPr>
                <w:p w14:paraId="68761186" w14:textId="77777777" w:rsidR="005324FD" w:rsidRDefault="005324FD" w:rsidP="00B82E24">
                  <w:pPr>
                    <w:pStyle w:val="TableBodyText"/>
                  </w:pPr>
                  <w:r>
                    <w:t>Vic</w:t>
                  </w:r>
                </w:p>
              </w:tc>
              <w:tc>
                <w:tcPr>
                  <w:tcW w:w="641" w:type="pct"/>
                  <w:shd w:val="clear" w:color="auto" w:fill="auto"/>
                </w:tcPr>
                <w:p w14:paraId="2476BBA5" w14:textId="74A815D1" w:rsidR="005324FD" w:rsidRPr="00F6362F" w:rsidRDefault="005324FD" w:rsidP="00B82E24">
                  <w:pPr>
                    <w:pStyle w:val="TableBodyText"/>
                    <w:rPr>
                      <w:highlight w:val="yellow"/>
                    </w:rPr>
                  </w:pPr>
                  <w:r w:rsidRPr="00F01718">
                    <w:t>1</w:t>
                  </w:r>
                  <w:r w:rsidR="006E613C">
                    <w:t>3</w:t>
                  </w:r>
                </w:p>
              </w:tc>
              <w:tc>
                <w:tcPr>
                  <w:tcW w:w="410" w:type="pct"/>
                  <w:shd w:val="clear" w:color="auto" w:fill="auto"/>
                </w:tcPr>
                <w:p w14:paraId="148B391E" w14:textId="6F59DEAC" w:rsidR="005324FD" w:rsidRDefault="006E613C" w:rsidP="00B82E24">
                  <w:pPr>
                    <w:pStyle w:val="TableBodyText"/>
                  </w:pPr>
                  <w:r>
                    <w:t>1</w:t>
                  </w:r>
                </w:p>
              </w:tc>
              <w:tc>
                <w:tcPr>
                  <w:tcW w:w="411" w:type="pct"/>
                  <w:shd w:val="clear" w:color="auto" w:fill="auto"/>
                </w:tcPr>
                <w:p w14:paraId="3C1AFBE8" w14:textId="4C004F05" w:rsidR="005324FD" w:rsidRDefault="005324FD" w:rsidP="00B82E24">
                  <w:pPr>
                    <w:pStyle w:val="TableBodyText"/>
                  </w:pPr>
                  <w:r>
                    <w:t>12</w:t>
                  </w:r>
                </w:p>
              </w:tc>
              <w:tc>
                <w:tcPr>
                  <w:tcW w:w="329" w:type="pct"/>
                  <w:shd w:val="clear" w:color="auto" w:fill="auto"/>
                </w:tcPr>
                <w:p w14:paraId="4344981C" w14:textId="77777777" w:rsidR="005324FD" w:rsidRDefault="005324FD" w:rsidP="005B2B5E">
                  <w:pPr>
                    <w:pStyle w:val="TableBodyText"/>
                    <w:ind w:right="170"/>
                  </w:pPr>
                </w:p>
              </w:tc>
              <w:tc>
                <w:tcPr>
                  <w:tcW w:w="1477" w:type="pct"/>
                  <w:shd w:val="clear" w:color="auto" w:fill="auto"/>
                </w:tcPr>
                <w:p w14:paraId="52881322" w14:textId="724BD916" w:rsidR="005324FD" w:rsidRDefault="005324FD" w:rsidP="002A3B2B">
                  <w:pPr>
                    <w:pStyle w:val="TableBodyText"/>
                    <w:ind w:left="0"/>
                    <w:jc w:val="left"/>
                  </w:pPr>
                  <w:r>
                    <w:t>Price setting</w:t>
                  </w:r>
                </w:p>
              </w:tc>
              <w:tc>
                <w:tcPr>
                  <w:tcW w:w="1141" w:type="pct"/>
                  <w:shd w:val="clear" w:color="auto" w:fill="auto"/>
                </w:tcPr>
                <w:p w14:paraId="2C843F7C" w14:textId="63664B2B" w:rsidR="005324FD" w:rsidRDefault="005324FD" w:rsidP="008C6160">
                  <w:pPr>
                    <w:pStyle w:val="TableBodyText"/>
                    <w:jc w:val="left"/>
                  </w:pPr>
                  <w:r>
                    <w:t xml:space="preserve">State </w:t>
                  </w:r>
                  <w:r w:rsidR="005B2B5E">
                    <w:t>G</w:t>
                  </w:r>
                  <w:r>
                    <w:t>overnment</w:t>
                  </w:r>
                </w:p>
              </w:tc>
            </w:tr>
            <w:tr w:rsidR="005324FD" w14:paraId="69667FF3" w14:textId="2BF2B184" w:rsidTr="00B82E24">
              <w:trPr>
                <w:trHeight w:val="234"/>
              </w:trPr>
              <w:tc>
                <w:tcPr>
                  <w:tcW w:w="591" w:type="pct"/>
                  <w:shd w:val="clear" w:color="auto" w:fill="E5F1D0" w:themeFill="accent1" w:themeFillTint="33"/>
                </w:tcPr>
                <w:p w14:paraId="532B8F01" w14:textId="77777777" w:rsidR="005324FD" w:rsidRDefault="005324FD" w:rsidP="00B82E24">
                  <w:pPr>
                    <w:pStyle w:val="TableBodyText"/>
                  </w:pPr>
                  <w:r>
                    <w:t>Qld</w:t>
                  </w:r>
                </w:p>
              </w:tc>
              <w:tc>
                <w:tcPr>
                  <w:tcW w:w="641" w:type="pct"/>
                  <w:shd w:val="clear" w:color="auto" w:fill="E5F1D0" w:themeFill="accent1" w:themeFillTint="33"/>
                </w:tcPr>
                <w:p w14:paraId="547BC2EC" w14:textId="454881AD" w:rsidR="005324FD" w:rsidRPr="00F6362F" w:rsidRDefault="005324FD" w:rsidP="00B82E24">
                  <w:pPr>
                    <w:pStyle w:val="TableBodyText"/>
                    <w:rPr>
                      <w:highlight w:val="yellow"/>
                    </w:rPr>
                  </w:pPr>
                  <w:r w:rsidRPr="00F01718">
                    <w:t>71</w:t>
                  </w:r>
                </w:p>
              </w:tc>
              <w:tc>
                <w:tcPr>
                  <w:tcW w:w="410" w:type="pct"/>
                  <w:shd w:val="clear" w:color="auto" w:fill="E5F1D0" w:themeFill="accent1" w:themeFillTint="33"/>
                </w:tcPr>
                <w:p w14:paraId="491A0509" w14:textId="2953E83D" w:rsidR="005324FD" w:rsidRDefault="008C6C57" w:rsidP="00B82E24">
                  <w:pPr>
                    <w:pStyle w:val="TableBodyText"/>
                  </w:pPr>
                  <w:r>
                    <w:t>2</w:t>
                  </w:r>
                </w:p>
              </w:tc>
              <w:tc>
                <w:tcPr>
                  <w:tcW w:w="411" w:type="pct"/>
                  <w:shd w:val="clear" w:color="auto" w:fill="E5F1D0" w:themeFill="accent1" w:themeFillTint="33"/>
                </w:tcPr>
                <w:p w14:paraId="064004C9" w14:textId="1DAE20FC" w:rsidR="005324FD" w:rsidRDefault="005324FD" w:rsidP="00B82E24">
                  <w:pPr>
                    <w:pStyle w:val="TableBodyText"/>
                  </w:pPr>
                  <w:r>
                    <w:t>17</w:t>
                  </w:r>
                </w:p>
              </w:tc>
              <w:tc>
                <w:tcPr>
                  <w:tcW w:w="329" w:type="pct"/>
                  <w:shd w:val="clear" w:color="auto" w:fill="E5F1D0" w:themeFill="accent1" w:themeFillTint="33"/>
                </w:tcPr>
                <w:p w14:paraId="496601F9" w14:textId="3932F180" w:rsidR="005324FD" w:rsidRDefault="005324FD" w:rsidP="005B2B5E">
                  <w:pPr>
                    <w:pStyle w:val="TableBodyText"/>
                    <w:ind w:right="170"/>
                  </w:pPr>
                  <w:r>
                    <w:t>5</w:t>
                  </w:r>
                  <w:r w:rsidR="008C6C57">
                    <w:t>2</w:t>
                  </w:r>
                </w:p>
              </w:tc>
              <w:tc>
                <w:tcPr>
                  <w:tcW w:w="1477" w:type="pct"/>
                  <w:shd w:val="clear" w:color="auto" w:fill="E5F1D0" w:themeFill="accent1" w:themeFillTint="33"/>
                </w:tcPr>
                <w:p w14:paraId="0C90A563" w14:textId="2C3EE7B8" w:rsidR="005324FD" w:rsidRDefault="00D533C2" w:rsidP="002A3B2B">
                  <w:pPr>
                    <w:pStyle w:val="TableBodyText"/>
                    <w:ind w:left="0"/>
                    <w:jc w:val="left"/>
                  </w:pPr>
                  <w:r>
                    <w:t>Large</w:t>
                  </w:r>
                  <w:r w:rsidR="005324FD">
                    <w:t xml:space="preserve"> providers subject to monitoring</w:t>
                  </w:r>
                  <w:r>
                    <w:t>, others unregulated</w:t>
                  </w:r>
                </w:p>
              </w:tc>
              <w:tc>
                <w:tcPr>
                  <w:tcW w:w="1141" w:type="pct"/>
                  <w:shd w:val="clear" w:color="auto" w:fill="E5F1D0" w:themeFill="accent1" w:themeFillTint="33"/>
                </w:tcPr>
                <w:p w14:paraId="1890D984" w14:textId="58B5772B" w:rsidR="005324FD" w:rsidRDefault="006E613C" w:rsidP="008C6160">
                  <w:pPr>
                    <w:pStyle w:val="TableBodyText"/>
                    <w:jc w:val="left"/>
                  </w:pPr>
                  <w:r>
                    <w:t>Varies between State and l</w:t>
                  </w:r>
                  <w:r w:rsidR="005324FD">
                    <w:t>ocal government</w:t>
                  </w:r>
                  <w:r w:rsidR="005B2B5E">
                    <w:t>s</w:t>
                  </w:r>
                </w:p>
              </w:tc>
            </w:tr>
            <w:tr w:rsidR="00852ADC" w14:paraId="3FB22895" w14:textId="383883FB" w:rsidTr="00B82E24">
              <w:trPr>
                <w:trHeight w:val="247"/>
              </w:trPr>
              <w:tc>
                <w:tcPr>
                  <w:tcW w:w="591" w:type="pct"/>
                  <w:shd w:val="clear" w:color="auto" w:fill="auto"/>
                </w:tcPr>
                <w:p w14:paraId="1C478CF5" w14:textId="28FDCAA3" w:rsidR="00852ADC" w:rsidRDefault="00852ADC" w:rsidP="00B82E24">
                  <w:pPr>
                    <w:pStyle w:val="TableBodyText"/>
                  </w:pPr>
                  <w:r>
                    <w:t>SA</w:t>
                  </w:r>
                </w:p>
              </w:tc>
              <w:tc>
                <w:tcPr>
                  <w:tcW w:w="641" w:type="pct"/>
                  <w:shd w:val="clear" w:color="auto" w:fill="auto"/>
                </w:tcPr>
                <w:p w14:paraId="151F271D" w14:textId="2B539CC4" w:rsidR="00852ADC" w:rsidRPr="00F6362F" w:rsidRDefault="00852ADC" w:rsidP="00B82E24">
                  <w:pPr>
                    <w:pStyle w:val="TableBodyText"/>
                    <w:rPr>
                      <w:highlight w:val="yellow"/>
                    </w:rPr>
                  </w:pPr>
                  <w:r w:rsidRPr="00F01718">
                    <w:t>67</w:t>
                  </w:r>
                </w:p>
              </w:tc>
              <w:tc>
                <w:tcPr>
                  <w:tcW w:w="410" w:type="pct"/>
                  <w:shd w:val="clear" w:color="auto" w:fill="auto"/>
                </w:tcPr>
                <w:p w14:paraId="7FF75A42" w14:textId="41B1E4F8" w:rsidR="00852ADC" w:rsidRDefault="00852ADC" w:rsidP="00B82E24">
                  <w:pPr>
                    <w:pStyle w:val="TableBodyText"/>
                  </w:pPr>
                  <w:r>
                    <w:t>1</w:t>
                  </w:r>
                </w:p>
              </w:tc>
              <w:tc>
                <w:tcPr>
                  <w:tcW w:w="411" w:type="pct"/>
                  <w:shd w:val="clear" w:color="auto" w:fill="auto"/>
                </w:tcPr>
                <w:p w14:paraId="4F4E8C36" w14:textId="2996955A" w:rsidR="00852ADC" w:rsidRDefault="00852ADC" w:rsidP="00B82E24">
                  <w:pPr>
                    <w:pStyle w:val="TableBodyText"/>
                  </w:pPr>
                </w:p>
              </w:tc>
              <w:tc>
                <w:tcPr>
                  <w:tcW w:w="329" w:type="pct"/>
                  <w:shd w:val="clear" w:color="auto" w:fill="auto"/>
                </w:tcPr>
                <w:p w14:paraId="5DDB434F" w14:textId="60A9C8CC" w:rsidR="00852ADC" w:rsidRDefault="00852ADC" w:rsidP="005B2B5E">
                  <w:pPr>
                    <w:pStyle w:val="TableBodyText"/>
                    <w:ind w:right="170"/>
                  </w:pPr>
                  <w:r>
                    <w:t>66</w:t>
                  </w:r>
                </w:p>
              </w:tc>
              <w:tc>
                <w:tcPr>
                  <w:tcW w:w="1477" w:type="pct"/>
                  <w:shd w:val="clear" w:color="auto" w:fill="auto"/>
                </w:tcPr>
                <w:p w14:paraId="4DB188E5" w14:textId="5F4F7A35" w:rsidR="00852ADC" w:rsidRDefault="00852ADC" w:rsidP="002A3B2B">
                  <w:pPr>
                    <w:pStyle w:val="TableBodyText"/>
                    <w:ind w:left="0"/>
                    <w:jc w:val="left"/>
                  </w:pPr>
                  <w:r w:rsidRPr="005B2B5E">
                    <w:t>Licen</w:t>
                  </w:r>
                  <w:r w:rsidR="00F06BEA" w:rsidRPr="005B2B5E">
                    <w:t>s</w:t>
                  </w:r>
                  <w:r w:rsidRPr="005B2B5E">
                    <w:t>ing</w:t>
                  </w:r>
                  <w:r>
                    <w:t>,</w:t>
                  </w:r>
                  <w:r w:rsidRPr="00764E1F">
                    <w:t xml:space="preserve"> </w:t>
                  </w:r>
                  <w:proofErr w:type="gramStart"/>
                  <w:r>
                    <w:t>benchmarking</w:t>
                  </w:r>
                  <w:proofErr w:type="gramEnd"/>
                  <w:r>
                    <w:t xml:space="preserve"> and price determinations</w:t>
                  </w:r>
                </w:p>
              </w:tc>
              <w:tc>
                <w:tcPr>
                  <w:tcW w:w="1141" w:type="pct"/>
                  <w:shd w:val="clear" w:color="auto" w:fill="auto"/>
                </w:tcPr>
                <w:p w14:paraId="6B2C02A2" w14:textId="44A98F60" w:rsidR="00852ADC" w:rsidRDefault="00852ADC" w:rsidP="008C6160">
                  <w:pPr>
                    <w:pStyle w:val="TableBodyText"/>
                    <w:jc w:val="left"/>
                  </w:pPr>
                  <w:r>
                    <w:t xml:space="preserve">Varies </w:t>
                  </w:r>
                  <w:r w:rsidRPr="005324FD">
                    <w:t xml:space="preserve">between State and </w:t>
                  </w:r>
                  <w:r>
                    <w:t>l</w:t>
                  </w:r>
                  <w:r w:rsidRPr="005324FD">
                    <w:t>ocal government</w:t>
                  </w:r>
                  <w:r w:rsidR="005B2B5E">
                    <w:t>s</w:t>
                  </w:r>
                </w:p>
              </w:tc>
            </w:tr>
            <w:tr w:rsidR="00852ADC" w14:paraId="30DF44F7" w14:textId="3AA652A4" w:rsidTr="00B82E24">
              <w:trPr>
                <w:trHeight w:val="247"/>
              </w:trPr>
              <w:tc>
                <w:tcPr>
                  <w:tcW w:w="591" w:type="pct"/>
                  <w:shd w:val="clear" w:color="auto" w:fill="E5F1D0" w:themeFill="accent1" w:themeFillTint="33"/>
                </w:tcPr>
                <w:p w14:paraId="30CBB1C6" w14:textId="70181E6C" w:rsidR="00852ADC" w:rsidRDefault="00852ADC" w:rsidP="00B82E24">
                  <w:pPr>
                    <w:pStyle w:val="TableBodyText"/>
                  </w:pPr>
                  <w:r>
                    <w:t>WA</w:t>
                  </w:r>
                </w:p>
              </w:tc>
              <w:tc>
                <w:tcPr>
                  <w:tcW w:w="641" w:type="pct"/>
                  <w:shd w:val="clear" w:color="auto" w:fill="E5F1D0" w:themeFill="accent1" w:themeFillTint="33"/>
                </w:tcPr>
                <w:p w14:paraId="256709DA" w14:textId="68540746" w:rsidR="00852ADC" w:rsidRPr="00F6362F" w:rsidRDefault="00852ADC" w:rsidP="00B82E24">
                  <w:pPr>
                    <w:pStyle w:val="TableBodyText"/>
                    <w:rPr>
                      <w:highlight w:val="yellow"/>
                    </w:rPr>
                  </w:pPr>
                  <w:r>
                    <w:t>36</w:t>
                  </w:r>
                </w:p>
              </w:tc>
              <w:tc>
                <w:tcPr>
                  <w:tcW w:w="410" w:type="pct"/>
                  <w:shd w:val="clear" w:color="auto" w:fill="E5F1D0" w:themeFill="accent1" w:themeFillTint="33"/>
                </w:tcPr>
                <w:p w14:paraId="116FC403" w14:textId="7AA7F3F3" w:rsidR="00852ADC" w:rsidRDefault="00852ADC" w:rsidP="00B82E24">
                  <w:pPr>
                    <w:pStyle w:val="TableBodyText"/>
                  </w:pPr>
                  <w:r>
                    <w:t>1</w:t>
                  </w:r>
                </w:p>
              </w:tc>
              <w:tc>
                <w:tcPr>
                  <w:tcW w:w="411" w:type="pct"/>
                  <w:shd w:val="clear" w:color="auto" w:fill="E5F1D0" w:themeFill="accent1" w:themeFillTint="33"/>
                </w:tcPr>
                <w:p w14:paraId="07BF5AB8" w14:textId="1846A438" w:rsidR="00852ADC" w:rsidRDefault="00852ADC" w:rsidP="00B82E24">
                  <w:pPr>
                    <w:pStyle w:val="TableBodyText"/>
                  </w:pPr>
                  <w:r>
                    <w:t>3</w:t>
                  </w:r>
                </w:p>
              </w:tc>
              <w:tc>
                <w:tcPr>
                  <w:tcW w:w="329" w:type="pct"/>
                  <w:shd w:val="clear" w:color="auto" w:fill="E5F1D0" w:themeFill="accent1" w:themeFillTint="33"/>
                </w:tcPr>
                <w:p w14:paraId="73C6E8D6" w14:textId="6916C465" w:rsidR="00852ADC" w:rsidRPr="00A86F65" w:rsidRDefault="00852ADC" w:rsidP="005B2B5E">
                  <w:pPr>
                    <w:pStyle w:val="TableBodyText"/>
                    <w:ind w:right="57"/>
                  </w:pPr>
                  <w:r>
                    <w:t>32</w:t>
                  </w:r>
                  <w:r>
                    <w:rPr>
                      <w:rStyle w:val="NoteLabel"/>
                    </w:rPr>
                    <w:t>b</w:t>
                  </w:r>
                </w:p>
              </w:tc>
              <w:tc>
                <w:tcPr>
                  <w:tcW w:w="1477" w:type="pct"/>
                  <w:shd w:val="clear" w:color="auto" w:fill="E5F1D0" w:themeFill="accent1" w:themeFillTint="33"/>
                </w:tcPr>
                <w:p w14:paraId="045BB739" w14:textId="07102C02" w:rsidR="00852ADC" w:rsidRPr="00764E1F" w:rsidRDefault="00852ADC" w:rsidP="002A3B2B">
                  <w:pPr>
                    <w:pStyle w:val="TableBodyText"/>
                    <w:ind w:left="0"/>
                    <w:jc w:val="left"/>
                  </w:pPr>
                  <w:r w:rsidRPr="005B2B5E">
                    <w:t>Licen</w:t>
                  </w:r>
                  <w:r w:rsidR="00F06BEA" w:rsidRPr="005B2B5E">
                    <w:t>s</w:t>
                  </w:r>
                  <w:r w:rsidRPr="005B2B5E">
                    <w:t xml:space="preserve">ing </w:t>
                  </w:r>
                  <w:r>
                    <w:t>and benchmarking, some local governments exempt. Water Corporation subject to price monitoring</w:t>
                  </w:r>
                </w:p>
              </w:tc>
              <w:tc>
                <w:tcPr>
                  <w:tcW w:w="1141" w:type="pct"/>
                  <w:shd w:val="clear" w:color="auto" w:fill="E5F1D0" w:themeFill="accent1" w:themeFillTint="33"/>
                </w:tcPr>
                <w:p w14:paraId="19BD1F4B" w14:textId="37EE3F26" w:rsidR="00852ADC" w:rsidRPr="005324FD" w:rsidRDefault="00852ADC" w:rsidP="008C6160">
                  <w:pPr>
                    <w:pStyle w:val="TableBodyText"/>
                    <w:jc w:val="left"/>
                  </w:pPr>
                  <w:r>
                    <w:t>Varies between State and local government</w:t>
                  </w:r>
                  <w:r w:rsidR="005B2B5E">
                    <w:t>s</w:t>
                  </w:r>
                </w:p>
              </w:tc>
            </w:tr>
            <w:tr w:rsidR="005324FD" w14:paraId="5F3000DF" w14:textId="355F0766" w:rsidTr="00B82E24">
              <w:trPr>
                <w:trHeight w:val="234"/>
              </w:trPr>
              <w:tc>
                <w:tcPr>
                  <w:tcW w:w="591" w:type="pct"/>
                  <w:shd w:val="clear" w:color="auto" w:fill="auto"/>
                </w:tcPr>
                <w:p w14:paraId="00658EE0" w14:textId="77777777" w:rsidR="005324FD" w:rsidRDefault="005324FD" w:rsidP="00B82E24">
                  <w:pPr>
                    <w:pStyle w:val="TableBodyText"/>
                  </w:pPr>
                  <w:r>
                    <w:t>Tas</w:t>
                  </w:r>
                </w:p>
              </w:tc>
              <w:tc>
                <w:tcPr>
                  <w:tcW w:w="641" w:type="pct"/>
                  <w:shd w:val="clear" w:color="auto" w:fill="auto"/>
                </w:tcPr>
                <w:p w14:paraId="5F3D36D7" w14:textId="7944BFEF" w:rsidR="005324FD" w:rsidRPr="00F6362F" w:rsidRDefault="005324FD" w:rsidP="00B82E24">
                  <w:pPr>
                    <w:pStyle w:val="TableBodyText"/>
                    <w:rPr>
                      <w:highlight w:val="yellow"/>
                    </w:rPr>
                  </w:pPr>
                  <w:r w:rsidRPr="00F01718">
                    <w:t>1</w:t>
                  </w:r>
                </w:p>
              </w:tc>
              <w:tc>
                <w:tcPr>
                  <w:tcW w:w="410" w:type="pct"/>
                  <w:shd w:val="clear" w:color="auto" w:fill="auto"/>
                </w:tcPr>
                <w:p w14:paraId="5326E45E" w14:textId="7CF1B1C1" w:rsidR="005324FD" w:rsidRDefault="005324FD" w:rsidP="00B82E24">
                  <w:pPr>
                    <w:pStyle w:val="TableBodyText"/>
                  </w:pPr>
                  <w:r>
                    <w:t>1</w:t>
                  </w:r>
                </w:p>
              </w:tc>
              <w:tc>
                <w:tcPr>
                  <w:tcW w:w="411" w:type="pct"/>
                  <w:shd w:val="clear" w:color="auto" w:fill="auto"/>
                </w:tcPr>
                <w:p w14:paraId="1613BE72" w14:textId="57C20FFF" w:rsidR="005324FD" w:rsidRDefault="005324FD" w:rsidP="00B82E24">
                  <w:pPr>
                    <w:pStyle w:val="TableBodyText"/>
                  </w:pPr>
                </w:p>
              </w:tc>
              <w:tc>
                <w:tcPr>
                  <w:tcW w:w="329" w:type="pct"/>
                  <w:shd w:val="clear" w:color="auto" w:fill="auto"/>
                </w:tcPr>
                <w:p w14:paraId="5BF4F38B" w14:textId="77777777" w:rsidR="005324FD" w:rsidRDefault="005324FD" w:rsidP="00B82E24">
                  <w:pPr>
                    <w:pStyle w:val="TableBodyText"/>
                  </w:pPr>
                </w:p>
              </w:tc>
              <w:tc>
                <w:tcPr>
                  <w:tcW w:w="1477" w:type="pct"/>
                  <w:shd w:val="clear" w:color="auto" w:fill="auto"/>
                </w:tcPr>
                <w:p w14:paraId="42232882" w14:textId="7D8B6FD4" w:rsidR="005324FD" w:rsidRDefault="006922C4" w:rsidP="002A3B2B">
                  <w:pPr>
                    <w:pStyle w:val="TableBodyText"/>
                    <w:ind w:left="0"/>
                    <w:jc w:val="left"/>
                  </w:pPr>
                  <w:r>
                    <w:t xml:space="preserve">Revenue </w:t>
                  </w:r>
                  <w:r w:rsidR="005324FD">
                    <w:t>setting</w:t>
                  </w:r>
                </w:p>
              </w:tc>
              <w:tc>
                <w:tcPr>
                  <w:tcW w:w="1141" w:type="pct"/>
                  <w:shd w:val="clear" w:color="auto" w:fill="auto"/>
                </w:tcPr>
                <w:p w14:paraId="19ABB564" w14:textId="40C492E2" w:rsidR="005324FD" w:rsidRDefault="005324FD" w:rsidP="008C6160">
                  <w:pPr>
                    <w:pStyle w:val="TableBodyText"/>
                    <w:jc w:val="left"/>
                  </w:pPr>
                  <w:r>
                    <w:t>Co</w:t>
                  </w:r>
                  <w:r w:rsidR="00985904">
                    <w:noBreakHyphen/>
                  </w:r>
                  <w:r>
                    <w:t xml:space="preserve">owned by </w:t>
                  </w:r>
                  <w:r w:rsidR="005B2B5E">
                    <w:t xml:space="preserve">the </w:t>
                  </w:r>
                  <w:r w:rsidR="000A152C">
                    <w:t xml:space="preserve">State and </w:t>
                  </w:r>
                  <w:r w:rsidR="006E613C">
                    <w:t>l</w:t>
                  </w:r>
                  <w:r>
                    <w:t>ocal governments</w:t>
                  </w:r>
                </w:p>
              </w:tc>
            </w:tr>
            <w:tr w:rsidR="005324FD" w14:paraId="0E02DD9F" w14:textId="4FF0DD6C" w:rsidTr="00B82E24">
              <w:trPr>
                <w:trHeight w:val="247"/>
              </w:trPr>
              <w:tc>
                <w:tcPr>
                  <w:tcW w:w="591" w:type="pct"/>
                  <w:shd w:val="clear" w:color="auto" w:fill="E5F1D0" w:themeFill="accent1" w:themeFillTint="33"/>
                </w:tcPr>
                <w:p w14:paraId="4F9E61FF" w14:textId="24E97C65" w:rsidR="005324FD" w:rsidRDefault="005324FD" w:rsidP="00B82E24">
                  <w:pPr>
                    <w:pStyle w:val="TableBodyText"/>
                  </w:pPr>
                  <w:r>
                    <w:t>NT</w:t>
                  </w:r>
                  <w:r w:rsidRPr="008E77FE">
                    <w:rPr>
                      <w:rStyle w:val="NoteLabel"/>
                    </w:rPr>
                    <w:t>a</w:t>
                  </w:r>
                </w:p>
              </w:tc>
              <w:tc>
                <w:tcPr>
                  <w:tcW w:w="641" w:type="pct"/>
                  <w:shd w:val="clear" w:color="auto" w:fill="E5F1D0" w:themeFill="accent1" w:themeFillTint="33"/>
                </w:tcPr>
                <w:p w14:paraId="719873D1" w14:textId="2725A047" w:rsidR="005324FD" w:rsidRPr="00F6362F" w:rsidRDefault="005324FD" w:rsidP="00B82E24">
                  <w:pPr>
                    <w:pStyle w:val="TableBodyText"/>
                    <w:rPr>
                      <w:highlight w:val="yellow"/>
                    </w:rPr>
                  </w:pPr>
                  <w:r w:rsidRPr="00F01718">
                    <w:t>1</w:t>
                  </w:r>
                </w:p>
              </w:tc>
              <w:tc>
                <w:tcPr>
                  <w:tcW w:w="410" w:type="pct"/>
                  <w:shd w:val="clear" w:color="auto" w:fill="E5F1D0" w:themeFill="accent1" w:themeFillTint="33"/>
                </w:tcPr>
                <w:p w14:paraId="0A225E90" w14:textId="1AE2CC93" w:rsidR="005324FD" w:rsidRDefault="005324FD" w:rsidP="00B82E24">
                  <w:pPr>
                    <w:pStyle w:val="TableBodyText"/>
                  </w:pPr>
                </w:p>
              </w:tc>
              <w:tc>
                <w:tcPr>
                  <w:tcW w:w="411" w:type="pct"/>
                  <w:shd w:val="clear" w:color="auto" w:fill="E5F1D0" w:themeFill="accent1" w:themeFillTint="33"/>
                </w:tcPr>
                <w:p w14:paraId="63927581" w14:textId="77777777" w:rsidR="005324FD" w:rsidRDefault="005324FD" w:rsidP="00B82E24">
                  <w:pPr>
                    <w:pStyle w:val="TableBodyText"/>
                  </w:pPr>
                  <w:r>
                    <w:t>1</w:t>
                  </w:r>
                </w:p>
              </w:tc>
              <w:tc>
                <w:tcPr>
                  <w:tcW w:w="329" w:type="pct"/>
                  <w:shd w:val="clear" w:color="auto" w:fill="E5F1D0" w:themeFill="accent1" w:themeFillTint="33"/>
                </w:tcPr>
                <w:p w14:paraId="7701756D" w14:textId="77777777" w:rsidR="005324FD" w:rsidRDefault="005324FD" w:rsidP="00B82E24">
                  <w:pPr>
                    <w:pStyle w:val="TableBodyText"/>
                  </w:pPr>
                </w:p>
              </w:tc>
              <w:tc>
                <w:tcPr>
                  <w:tcW w:w="1477" w:type="pct"/>
                  <w:shd w:val="clear" w:color="auto" w:fill="E5F1D0" w:themeFill="accent1" w:themeFillTint="33"/>
                </w:tcPr>
                <w:p w14:paraId="7BF36DD4" w14:textId="1274F9A8" w:rsidR="005324FD" w:rsidRDefault="005324FD" w:rsidP="002A3B2B">
                  <w:pPr>
                    <w:pStyle w:val="TableBodyText"/>
                    <w:ind w:left="0"/>
                    <w:jc w:val="left"/>
                  </w:pPr>
                  <w:r w:rsidRPr="005B2B5E">
                    <w:t>Licen</w:t>
                  </w:r>
                  <w:r w:rsidR="00F06BEA" w:rsidRPr="005B2B5E">
                    <w:t>s</w:t>
                  </w:r>
                  <w:r w:rsidRPr="005B2B5E">
                    <w:t>ing</w:t>
                  </w:r>
                </w:p>
              </w:tc>
              <w:tc>
                <w:tcPr>
                  <w:tcW w:w="1141" w:type="pct"/>
                  <w:shd w:val="clear" w:color="auto" w:fill="E5F1D0" w:themeFill="accent1" w:themeFillTint="33"/>
                </w:tcPr>
                <w:p w14:paraId="666B6A6C" w14:textId="4FEA6973" w:rsidR="005324FD" w:rsidRDefault="005324FD" w:rsidP="008C6160">
                  <w:pPr>
                    <w:pStyle w:val="TableBodyText"/>
                    <w:jc w:val="left"/>
                  </w:pPr>
                  <w:r>
                    <w:t xml:space="preserve">Territory </w:t>
                  </w:r>
                  <w:r w:rsidR="005B2B5E">
                    <w:t>G</w:t>
                  </w:r>
                  <w:r>
                    <w:t>overnment</w:t>
                  </w:r>
                </w:p>
              </w:tc>
            </w:tr>
            <w:tr w:rsidR="00674BE7" w14:paraId="40B10789" w14:textId="67EF7FDE" w:rsidTr="00B82E24">
              <w:trPr>
                <w:trHeight w:val="247"/>
              </w:trPr>
              <w:tc>
                <w:tcPr>
                  <w:tcW w:w="591" w:type="pct"/>
                  <w:tcBorders>
                    <w:bottom w:val="single" w:sz="6" w:space="0" w:color="BFBFBF"/>
                  </w:tcBorders>
                  <w:shd w:val="clear" w:color="auto" w:fill="auto"/>
                </w:tcPr>
                <w:p w14:paraId="1EFCDC87" w14:textId="77777777" w:rsidR="00674BE7" w:rsidRDefault="00674BE7" w:rsidP="00B82E24">
                  <w:pPr>
                    <w:pStyle w:val="TableBodyText"/>
                  </w:pPr>
                  <w:r>
                    <w:t>ACT</w:t>
                  </w:r>
                </w:p>
              </w:tc>
              <w:tc>
                <w:tcPr>
                  <w:tcW w:w="641" w:type="pct"/>
                  <w:tcBorders>
                    <w:bottom w:val="single" w:sz="6" w:space="0" w:color="BFBFBF"/>
                  </w:tcBorders>
                  <w:shd w:val="clear" w:color="auto" w:fill="auto"/>
                </w:tcPr>
                <w:p w14:paraId="19DC8E22" w14:textId="72326E90" w:rsidR="00674BE7" w:rsidRPr="00F6362F" w:rsidRDefault="00674BE7" w:rsidP="00B82E24">
                  <w:pPr>
                    <w:pStyle w:val="TableBodyText"/>
                    <w:rPr>
                      <w:highlight w:val="yellow"/>
                    </w:rPr>
                  </w:pPr>
                  <w:r w:rsidRPr="00F01718">
                    <w:t>1</w:t>
                  </w:r>
                </w:p>
              </w:tc>
              <w:tc>
                <w:tcPr>
                  <w:tcW w:w="410" w:type="pct"/>
                  <w:tcBorders>
                    <w:bottom w:val="single" w:sz="6" w:space="0" w:color="BFBFBF"/>
                  </w:tcBorders>
                  <w:shd w:val="clear" w:color="auto" w:fill="auto"/>
                </w:tcPr>
                <w:p w14:paraId="65A4F09F" w14:textId="00A01F47" w:rsidR="00674BE7" w:rsidRDefault="00674BE7" w:rsidP="00B82E24">
                  <w:pPr>
                    <w:pStyle w:val="TableBodyText"/>
                  </w:pPr>
                  <w:r>
                    <w:t>1</w:t>
                  </w:r>
                </w:p>
              </w:tc>
              <w:tc>
                <w:tcPr>
                  <w:tcW w:w="411" w:type="pct"/>
                  <w:tcBorders>
                    <w:bottom w:val="single" w:sz="6" w:space="0" w:color="BFBFBF"/>
                  </w:tcBorders>
                  <w:shd w:val="clear" w:color="auto" w:fill="auto"/>
                </w:tcPr>
                <w:p w14:paraId="03AFEBD7" w14:textId="13C8862C" w:rsidR="00674BE7" w:rsidRDefault="00674BE7" w:rsidP="00B82E24">
                  <w:pPr>
                    <w:pStyle w:val="TableBodyText"/>
                  </w:pPr>
                </w:p>
              </w:tc>
              <w:tc>
                <w:tcPr>
                  <w:tcW w:w="329" w:type="pct"/>
                  <w:tcBorders>
                    <w:bottom w:val="single" w:sz="6" w:space="0" w:color="BFBFBF"/>
                  </w:tcBorders>
                  <w:shd w:val="clear" w:color="auto" w:fill="auto"/>
                </w:tcPr>
                <w:p w14:paraId="1E4E6623" w14:textId="77777777" w:rsidR="00674BE7" w:rsidRDefault="00674BE7" w:rsidP="00B82E24">
                  <w:pPr>
                    <w:pStyle w:val="TableBodyText"/>
                  </w:pPr>
                </w:p>
              </w:tc>
              <w:tc>
                <w:tcPr>
                  <w:tcW w:w="1477" w:type="pct"/>
                  <w:tcBorders>
                    <w:bottom w:val="single" w:sz="6" w:space="0" w:color="BFBFBF"/>
                  </w:tcBorders>
                  <w:shd w:val="clear" w:color="auto" w:fill="auto"/>
                </w:tcPr>
                <w:p w14:paraId="7AF9EA0E" w14:textId="0850A76C" w:rsidR="00674BE7" w:rsidRDefault="00674BE7" w:rsidP="002A3B2B">
                  <w:pPr>
                    <w:pStyle w:val="TableBodyText"/>
                    <w:ind w:left="0"/>
                    <w:jc w:val="left"/>
                  </w:pPr>
                  <w:r>
                    <w:t>Price setting</w:t>
                  </w:r>
                </w:p>
              </w:tc>
              <w:tc>
                <w:tcPr>
                  <w:tcW w:w="1141" w:type="pct"/>
                  <w:tcBorders>
                    <w:bottom w:val="single" w:sz="6" w:space="0" w:color="BFBFBF"/>
                  </w:tcBorders>
                  <w:shd w:val="clear" w:color="auto" w:fill="auto"/>
                </w:tcPr>
                <w:p w14:paraId="6A096022" w14:textId="13487F7C" w:rsidR="00674BE7" w:rsidRDefault="00674BE7" w:rsidP="008C6160">
                  <w:pPr>
                    <w:pStyle w:val="TableBodyText"/>
                    <w:jc w:val="left"/>
                  </w:pPr>
                  <w:r>
                    <w:t xml:space="preserve">Territory </w:t>
                  </w:r>
                  <w:r w:rsidR="005B2B5E">
                    <w:t>G</w:t>
                  </w:r>
                  <w:r>
                    <w:t xml:space="preserve">overnment </w:t>
                  </w:r>
                </w:p>
              </w:tc>
            </w:tr>
          </w:tbl>
          <w:p w14:paraId="627ADCCC" w14:textId="77777777" w:rsidR="00F6362F" w:rsidRDefault="00F6362F" w:rsidP="00F01718">
            <w:pPr>
              <w:pStyle w:val="Box"/>
            </w:pPr>
          </w:p>
        </w:tc>
      </w:tr>
      <w:tr w:rsidR="00F6362F" w:rsidRPr="002A7FF4" w14:paraId="681B9FDC" w14:textId="77777777" w:rsidTr="00F01718">
        <w:tc>
          <w:tcPr>
            <w:tcW w:w="5000" w:type="pct"/>
            <w:tcBorders>
              <w:top w:val="nil"/>
              <w:left w:val="nil"/>
              <w:bottom w:val="nil"/>
              <w:right w:val="nil"/>
            </w:tcBorders>
            <w:shd w:val="clear" w:color="auto" w:fill="auto"/>
          </w:tcPr>
          <w:p w14:paraId="1962386E" w14:textId="62A6E2FC" w:rsidR="00F6362F" w:rsidRDefault="00F6362F" w:rsidP="006922C4">
            <w:pPr>
              <w:pStyle w:val="Note"/>
              <w:rPr>
                <w:i/>
              </w:rPr>
            </w:pPr>
            <w:proofErr w:type="spellStart"/>
            <w:r w:rsidRPr="008E77FE">
              <w:rPr>
                <w:rStyle w:val="NoteLabel"/>
              </w:rPr>
              <w:t>a</w:t>
            </w:r>
            <w:proofErr w:type="spellEnd"/>
            <w:r w:rsidR="007F3980">
              <w:rPr>
                <w:rStyle w:val="NoteLabel"/>
              </w:rPr>
              <w:t> </w:t>
            </w:r>
            <w:r w:rsidR="008C6160">
              <w:t>I</w:t>
            </w:r>
            <w:r w:rsidR="00F01718">
              <w:t>ncludes</w:t>
            </w:r>
            <w:r w:rsidR="006922C4">
              <w:t xml:space="preserve"> Indigenous Essential Services</w:t>
            </w:r>
            <w:r w:rsidR="00F01718">
              <w:t>, a subsidiary of the</w:t>
            </w:r>
            <w:r w:rsidR="007F3980">
              <w:t xml:space="preserve"> Power and Water Corporation.</w:t>
            </w:r>
            <w:r w:rsidR="00C45C4D">
              <w:t xml:space="preserve"> </w:t>
            </w:r>
            <w:r w:rsidR="004D4A82">
              <w:rPr>
                <w:rStyle w:val="NoteLabel"/>
              </w:rPr>
              <w:t>b</w:t>
            </w:r>
            <w:r w:rsidR="00C45C4D">
              <w:rPr>
                <w:rStyle w:val="NoteLabel"/>
              </w:rPr>
              <w:t> </w:t>
            </w:r>
            <w:r w:rsidR="002A7FF4">
              <w:t xml:space="preserve">Includes </w:t>
            </w:r>
            <w:r w:rsidR="008658F4">
              <w:t>16</w:t>
            </w:r>
            <w:r w:rsidR="006E613C">
              <w:t> </w:t>
            </w:r>
            <w:r w:rsidR="002A7FF4">
              <w:t>licen</w:t>
            </w:r>
            <w:r w:rsidR="003D68B0">
              <w:t>s</w:t>
            </w:r>
            <w:r w:rsidR="002A7FF4">
              <w:t>ed potable water and/or wastewater providers and 16</w:t>
            </w:r>
            <w:r w:rsidR="006E613C">
              <w:t> </w:t>
            </w:r>
            <w:r w:rsidR="002A7FF4">
              <w:t xml:space="preserve">local governments exempt from </w:t>
            </w:r>
            <w:r w:rsidR="002A7FF4" w:rsidRPr="002A7FF4">
              <w:t>licen</w:t>
            </w:r>
            <w:r w:rsidR="003D68B0">
              <w:t>s</w:t>
            </w:r>
            <w:r w:rsidR="002A7FF4" w:rsidRPr="002A7FF4">
              <w:t>ing.</w:t>
            </w:r>
          </w:p>
        </w:tc>
      </w:tr>
      <w:tr w:rsidR="00F6362F" w14:paraId="10AA6C2C" w14:textId="77777777" w:rsidTr="004658B0">
        <w:trPr>
          <w:trHeight w:val="274"/>
        </w:trPr>
        <w:tc>
          <w:tcPr>
            <w:tcW w:w="5000" w:type="pct"/>
            <w:tcBorders>
              <w:top w:val="nil"/>
              <w:left w:val="nil"/>
              <w:bottom w:val="nil"/>
              <w:right w:val="nil"/>
            </w:tcBorders>
            <w:shd w:val="clear" w:color="auto" w:fill="auto"/>
          </w:tcPr>
          <w:p w14:paraId="06D0BB34" w14:textId="1B815554" w:rsidR="00F6362F" w:rsidRPr="008658F4" w:rsidRDefault="00F6362F" w:rsidP="00674BE7">
            <w:pPr>
              <w:pStyle w:val="Source"/>
            </w:pPr>
            <w:r w:rsidRPr="00D93E62">
              <w:rPr>
                <w:i/>
              </w:rPr>
              <w:t>Sources</w:t>
            </w:r>
            <w:r w:rsidRPr="00D93E62">
              <w:t xml:space="preserve">: </w:t>
            </w:r>
            <w:r w:rsidR="006E613C">
              <w:t xml:space="preserve">BOM </w:t>
            </w:r>
            <w:r w:rsidR="00F66CB5" w:rsidRPr="00F66CB5">
              <w:rPr>
                <w:rFonts w:cs="Arial"/>
              </w:rPr>
              <w:t>(2020b)</w:t>
            </w:r>
            <w:r w:rsidR="006E613C">
              <w:t xml:space="preserve">; </w:t>
            </w:r>
            <w:r w:rsidR="00674BE7">
              <w:t>DPIE (NSW)</w:t>
            </w:r>
            <w:r w:rsidR="006E613C">
              <w:t xml:space="preserve"> </w:t>
            </w:r>
            <w:r w:rsidR="006E613C" w:rsidRPr="006E613C">
              <w:rPr>
                <w:rFonts w:cs="Arial"/>
              </w:rPr>
              <w:t>(2020c)</w:t>
            </w:r>
            <w:r w:rsidR="00674BE7">
              <w:t xml:space="preserve">; </w:t>
            </w:r>
            <w:r w:rsidR="00D93E62">
              <w:t xml:space="preserve">ERA (WA) </w:t>
            </w:r>
            <w:r w:rsidR="00D93E62" w:rsidRPr="00D93E62">
              <w:rPr>
                <w:rFonts w:cs="Arial"/>
              </w:rPr>
              <w:t>(2020)</w:t>
            </w:r>
            <w:r w:rsidR="00674BE7">
              <w:t>;</w:t>
            </w:r>
            <w:r w:rsidR="00D93E62">
              <w:t xml:space="preserve"> </w:t>
            </w:r>
            <w:r w:rsidR="00674BE7">
              <w:t xml:space="preserve">ESC </w:t>
            </w:r>
            <w:r w:rsidR="00674BE7" w:rsidRPr="00674BE7">
              <w:rPr>
                <w:rFonts w:cs="Arial"/>
              </w:rPr>
              <w:t>(2018)</w:t>
            </w:r>
            <w:r w:rsidR="008658F4" w:rsidRPr="00D93E62">
              <w:t xml:space="preserve">; </w:t>
            </w:r>
            <w:r w:rsidR="00674BE7" w:rsidRPr="00D93E62">
              <w:t>ESCOSA</w:t>
            </w:r>
            <w:r w:rsidR="00674BE7">
              <w:t xml:space="preserve"> </w:t>
            </w:r>
            <w:r w:rsidR="00674BE7" w:rsidRPr="006922C4">
              <w:rPr>
                <w:rFonts w:cs="Arial"/>
              </w:rPr>
              <w:t>(2019, 2020)</w:t>
            </w:r>
            <w:r w:rsidR="00674BE7" w:rsidRPr="00D93E62">
              <w:t>;</w:t>
            </w:r>
            <w:r w:rsidR="00674BE7">
              <w:t xml:space="preserve"> </w:t>
            </w:r>
            <w:r w:rsidR="00674BE7" w:rsidRPr="00D93E62">
              <w:t>I</w:t>
            </w:r>
            <w:r w:rsidR="00674BE7">
              <w:t xml:space="preserve">CRC </w:t>
            </w:r>
            <w:r w:rsidR="00674BE7" w:rsidRPr="00674BE7">
              <w:rPr>
                <w:rFonts w:cs="Arial"/>
              </w:rPr>
              <w:t>(2019)</w:t>
            </w:r>
            <w:r w:rsidR="00674BE7" w:rsidRPr="00D93E62">
              <w:t>;</w:t>
            </w:r>
            <w:r w:rsidR="00674BE7">
              <w:t xml:space="preserve"> </w:t>
            </w:r>
            <w:r w:rsidR="006922C4">
              <w:t xml:space="preserve">OTTER </w:t>
            </w:r>
            <w:r w:rsidR="006922C4" w:rsidRPr="006922C4">
              <w:rPr>
                <w:rFonts w:cs="Arial"/>
              </w:rPr>
              <w:t>(2020)</w:t>
            </w:r>
            <w:r w:rsidR="008658F4" w:rsidRPr="00D93E62">
              <w:t xml:space="preserve">; </w:t>
            </w:r>
            <w:r w:rsidR="00674BE7">
              <w:t xml:space="preserve">Power and Water Corporation </w:t>
            </w:r>
            <w:r w:rsidR="003477B8" w:rsidRPr="003477B8">
              <w:rPr>
                <w:rFonts w:cs="Arial"/>
              </w:rPr>
              <w:t>(2019a)</w:t>
            </w:r>
            <w:r w:rsidR="00674BE7" w:rsidRPr="00D93E62">
              <w:t>;</w:t>
            </w:r>
            <w:r w:rsidR="00674BE7">
              <w:t xml:space="preserve"> </w:t>
            </w:r>
            <w:proofErr w:type="spellStart"/>
            <w:r w:rsidR="00674BE7" w:rsidRPr="00D93E62">
              <w:t>qldwater</w:t>
            </w:r>
            <w:proofErr w:type="spellEnd"/>
            <w:r w:rsidR="00674BE7">
              <w:t xml:space="preserve"> </w:t>
            </w:r>
            <w:r w:rsidR="00674BE7" w:rsidRPr="006922C4">
              <w:rPr>
                <w:rFonts w:cs="Arial"/>
              </w:rPr>
              <w:t>(2019)</w:t>
            </w:r>
            <w:r w:rsidR="00674BE7">
              <w:t xml:space="preserve">. </w:t>
            </w:r>
          </w:p>
        </w:tc>
      </w:tr>
      <w:tr w:rsidR="00F6362F" w14:paraId="491E336D" w14:textId="77777777" w:rsidTr="00F01718">
        <w:tc>
          <w:tcPr>
            <w:tcW w:w="5000" w:type="pct"/>
            <w:tcBorders>
              <w:top w:val="nil"/>
              <w:left w:val="nil"/>
              <w:bottom w:val="single" w:sz="6" w:space="0" w:color="78A22F"/>
              <w:right w:val="nil"/>
            </w:tcBorders>
            <w:shd w:val="clear" w:color="auto" w:fill="auto"/>
          </w:tcPr>
          <w:p w14:paraId="750482E3" w14:textId="77777777" w:rsidR="00F6362F" w:rsidRDefault="00F6362F" w:rsidP="00F01718">
            <w:pPr>
              <w:pStyle w:val="Box"/>
              <w:spacing w:before="0" w:line="120" w:lineRule="exact"/>
            </w:pPr>
          </w:p>
        </w:tc>
      </w:tr>
      <w:tr w:rsidR="00F6362F" w:rsidRPr="000863A5" w14:paraId="0E2DD469" w14:textId="77777777" w:rsidTr="00F01718">
        <w:tc>
          <w:tcPr>
            <w:tcW w:w="5000" w:type="pct"/>
            <w:tcBorders>
              <w:top w:val="single" w:sz="6" w:space="0" w:color="78A22F"/>
              <w:left w:val="nil"/>
              <w:bottom w:val="nil"/>
              <w:right w:val="nil"/>
            </w:tcBorders>
          </w:tcPr>
          <w:p w14:paraId="26A7CB45" w14:textId="5F4E901E" w:rsidR="00F6362F" w:rsidRPr="00626D32" w:rsidRDefault="00F6362F" w:rsidP="00F01718">
            <w:pPr>
              <w:pStyle w:val="BoxSpaceBelow"/>
            </w:pPr>
          </w:p>
        </w:tc>
      </w:tr>
    </w:tbl>
    <w:p w14:paraId="2C245350" w14:textId="26C3CFA9" w:rsidR="00C45C4D" w:rsidRDefault="00C45C4D" w:rsidP="00E93A2C">
      <w:pPr>
        <w:pStyle w:val="BodyText"/>
      </w:pPr>
      <w:r>
        <w:t>Many rural properties self</w:t>
      </w:r>
      <w:r>
        <w:noBreakHyphen/>
        <w:t xml:space="preserve">supply their domestic needs through groundwater bores or rainwater tanks, as do some Aboriginal communities in Western Australia </w:t>
      </w:r>
      <w:r w:rsidR="006E613C" w:rsidRPr="006E613C">
        <w:rPr>
          <w:szCs w:val="24"/>
        </w:rPr>
        <w:t>(Government of Western Australia 2016, p. 8)</w:t>
      </w:r>
      <w:r>
        <w:t xml:space="preserve">. In some cases, this occurs with limited involvement or oversight from State and Territory </w:t>
      </w:r>
      <w:r w:rsidR="00E431AD">
        <w:t>G</w:t>
      </w:r>
      <w:r>
        <w:t>overnments or water service providers.</w:t>
      </w:r>
    </w:p>
    <w:p w14:paraId="2806865B" w14:textId="43EF5AB2" w:rsidR="000766E2" w:rsidRPr="00251930" w:rsidRDefault="00375EEF" w:rsidP="00E93A2C">
      <w:pPr>
        <w:pStyle w:val="BodyText"/>
      </w:pPr>
      <w:r>
        <w:lastRenderedPageBreak/>
        <w:t xml:space="preserve">The </w:t>
      </w:r>
      <w:r w:rsidR="00DA2718" w:rsidRPr="00375EEF">
        <w:t xml:space="preserve">diversity of service models means </w:t>
      </w:r>
      <w:r w:rsidR="005324FD">
        <w:t>that</w:t>
      </w:r>
      <w:r w:rsidR="008E7ADC">
        <w:t xml:space="preserve"> few </w:t>
      </w:r>
      <w:r w:rsidRPr="00375EEF">
        <w:t xml:space="preserve">general conclusions </w:t>
      </w:r>
      <w:r w:rsidR="005324FD">
        <w:t xml:space="preserve">can be drawn </w:t>
      </w:r>
      <w:r w:rsidRPr="00375EEF">
        <w:t xml:space="preserve">about </w:t>
      </w:r>
      <w:r w:rsidRPr="00251930">
        <w:t xml:space="preserve">the effectiveness of </w:t>
      </w:r>
      <w:r w:rsidR="00F01718">
        <w:t xml:space="preserve">regional water </w:t>
      </w:r>
      <w:r w:rsidR="008E7ADC">
        <w:t>service deliver</w:t>
      </w:r>
      <w:r w:rsidR="005324FD">
        <w:t>y</w:t>
      </w:r>
      <w:r w:rsidR="008E7ADC">
        <w:t>, n</w:t>
      </w:r>
      <w:r w:rsidRPr="00251930">
        <w:t>o</w:t>
      </w:r>
      <w:r w:rsidR="000766E2" w:rsidRPr="00251930">
        <w:t>r</w:t>
      </w:r>
      <w:r w:rsidRPr="00251930">
        <w:t xml:space="preserve"> is there </w:t>
      </w:r>
      <w:r w:rsidR="00DA2718" w:rsidRPr="00251930">
        <w:t>merit in being prescriptive</w:t>
      </w:r>
      <w:r w:rsidRPr="00251930">
        <w:t xml:space="preserve"> on </w:t>
      </w:r>
      <w:r w:rsidR="00F01718">
        <w:t xml:space="preserve">the specifics of </w:t>
      </w:r>
      <w:r w:rsidR="008E7ADC">
        <w:t>service provision</w:t>
      </w:r>
      <w:r w:rsidRPr="00251930">
        <w:t>.</w:t>
      </w:r>
      <w:r w:rsidR="008E7ADC">
        <w:t xml:space="preserve"> </w:t>
      </w:r>
      <w:r w:rsidR="000766E2" w:rsidRPr="00251930">
        <w:t>It does, however, allow for comparison of the benefits</w:t>
      </w:r>
      <w:r w:rsidR="00F01718">
        <w:t xml:space="preserve"> and costs of different models, and identification of better practice </w:t>
      </w:r>
      <w:r w:rsidR="005324FD">
        <w:t>in delivering improved outcomes for</w:t>
      </w:r>
      <w:r w:rsidR="00F01718">
        <w:t xml:space="preserve"> regional and remote communities.</w:t>
      </w:r>
    </w:p>
    <w:p w14:paraId="0BC7394D" w14:textId="68EC70DB" w:rsidR="007E0D92" w:rsidRDefault="00E94382" w:rsidP="00F63966">
      <w:pPr>
        <w:pStyle w:val="Heading3"/>
      </w:pPr>
      <w:bookmarkStart w:id="10" w:name="_Toc62043647"/>
      <w:r>
        <w:t>1.3</w:t>
      </w:r>
      <w:r>
        <w:tab/>
      </w:r>
      <w:r w:rsidR="00B35453">
        <w:t>NWI</w:t>
      </w:r>
      <w:r w:rsidR="00A16546">
        <w:t xml:space="preserve"> </w:t>
      </w:r>
      <w:r w:rsidR="009402CF">
        <w:t xml:space="preserve">coverage of </w:t>
      </w:r>
      <w:r w:rsidR="00A16546">
        <w:t xml:space="preserve">regional </w:t>
      </w:r>
      <w:r w:rsidR="009402CF">
        <w:t xml:space="preserve">and remote </w:t>
      </w:r>
      <w:r w:rsidR="00C96F7D">
        <w:t xml:space="preserve">urban </w:t>
      </w:r>
      <w:r w:rsidR="00A16546">
        <w:t>water services</w:t>
      </w:r>
      <w:bookmarkEnd w:id="10"/>
    </w:p>
    <w:p w14:paraId="1FD32AFE" w14:textId="21561EB7" w:rsidR="007F2B58" w:rsidRPr="00752272" w:rsidRDefault="007E0D92" w:rsidP="00E93A2C">
      <w:pPr>
        <w:pStyle w:val="BodyText"/>
        <w:rPr>
          <w:spacing w:val="-2"/>
        </w:rPr>
      </w:pPr>
      <w:r w:rsidRPr="00752272">
        <w:rPr>
          <w:spacing w:val="-2"/>
        </w:rPr>
        <w:t>Regional and remote water services are</w:t>
      </w:r>
      <w:r w:rsidR="00456659" w:rsidRPr="00752272">
        <w:rPr>
          <w:spacing w:val="-2"/>
        </w:rPr>
        <w:t xml:space="preserve"> largely</w:t>
      </w:r>
      <w:r w:rsidRPr="00752272">
        <w:rPr>
          <w:spacing w:val="-2"/>
        </w:rPr>
        <w:t xml:space="preserve"> subject </w:t>
      </w:r>
      <w:r w:rsidR="00B35453" w:rsidRPr="00752272">
        <w:rPr>
          <w:spacing w:val="-2"/>
        </w:rPr>
        <w:t xml:space="preserve">to the </w:t>
      </w:r>
      <w:r w:rsidR="00FC2B1F" w:rsidRPr="00752272">
        <w:rPr>
          <w:spacing w:val="-2"/>
        </w:rPr>
        <w:t xml:space="preserve">same </w:t>
      </w:r>
      <w:r w:rsidR="00456659" w:rsidRPr="00752272">
        <w:rPr>
          <w:spacing w:val="-2"/>
        </w:rPr>
        <w:t xml:space="preserve">NWI </w:t>
      </w:r>
      <w:r w:rsidR="00E51FE3" w:rsidRPr="00752272">
        <w:rPr>
          <w:spacing w:val="-2"/>
        </w:rPr>
        <w:t>outcomes and actions</w:t>
      </w:r>
      <w:r w:rsidR="00B35453" w:rsidRPr="00752272">
        <w:rPr>
          <w:spacing w:val="-2"/>
        </w:rPr>
        <w:t xml:space="preserve"> as </w:t>
      </w:r>
      <w:r w:rsidR="00DA2718" w:rsidRPr="00752272">
        <w:rPr>
          <w:spacing w:val="-2"/>
        </w:rPr>
        <w:t>metropolitan</w:t>
      </w:r>
      <w:r w:rsidR="00456659" w:rsidRPr="00752272">
        <w:rPr>
          <w:spacing w:val="-2"/>
        </w:rPr>
        <w:t xml:space="preserve"> urban</w:t>
      </w:r>
      <w:r w:rsidR="00B35453" w:rsidRPr="00752272">
        <w:rPr>
          <w:spacing w:val="-2"/>
        </w:rPr>
        <w:t xml:space="preserve"> water service</w:t>
      </w:r>
      <w:r w:rsidR="00456659" w:rsidRPr="00752272">
        <w:rPr>
          <w:spacing w:val="-2"/>
        </w:rPr>
        <w:t>s</w:t>
      </w:r>
      <w:r w:rsidR="00DA2718" w:rsidRPr="00752272">
        <w:rPr>
          <w:spacing w:val="-2"/>
        </w:rPr>
        <w:t xml:space="preserve"> — which, as discussed in </w:t>
      </w:r>
      <w:r w:rsidR="00B26572" w:rsidRPr="00752272">
        <w:rPr>
          <w:spacing w:val="-2"/>
        </w:rPr>
        <w:t>SP</w:t>
      </w:r>
      <w:r w:rsidR="00731B11" w:rsidRPr="00752272">
        <w:rPr>
          <w:spacing w:val="-2"/>
        </w:rPr>
        <w:t> </w:t>
      </w:r>
      <w:r w:rsidR="00A37C49" w:rsidRPr="00752272">
        <w:rPr>
          <w:spacing w:val="-2"/>
        </w:rPr>
        <w:t>F</w:t>
      </w:r>
      <w:r w:rsidR="00FC2B1F" w:rsidRPr="00752272">
        <w:rPr>
          <w:i/>
          <w:spacing w:val="-2"/>
        </w:rPr>
        <w:t> </w:t>
      </w:r>
      <w:r w:rsidR="005324FD" w:rsidRPr="00752272">
        <w:rPr>
          <w:i/>
          <w:spacing w:val="-2"/>
        </w:rPr>
        <w:t>Urban</w:t>
      </w:r>
      <w:r w:rsidR="00DA2718" w:rsidRPr="00752272">
        <w:rPr>
          <w:spacing w:val="-2"/>
        </w:rPr>
        <w:t xml:space="preserve">, </w:t>
      </w:r>
      <w:r w:rsidR="00251930" w:rsidRPr="00752272">
        <w:rPr>
          <w:spacing w:val="-2"/>
        </w:rPr>
        <w:t xml:space="preserve">focus on best practice </w:t>
      </w:r>
      <w:r w:rsidR="00A320B6" w:rsidRPr="00752272">
        <w:rPr>
          <w:spacing w:val="-2"/>
        </w:rPr>
        <w:t>pricing and institutional arrangements</w:t>
      </w:r>
      <w:r w:rsidR="00251930" w:rsidRPr="00752272">
        <w:rPr>
          <w:spacing w:val="-2"/>
        </w:rPr>
        <w:t xml:space="preserve">, with relatively </w:t>
      </w:r>
      <w:r w:rsidR="007F2B58" w:rsidRPr="00752272">
        <w:rPr>
          <w:spacing w:val="-2"/>
        </w:rPr>
        <w:t xml:space="preserve">little </w:t>
      </w:r>
      <w:r w:rsidR="00251930" w:rsidRPr="00752272">
        <w:rPr>
          <w:spacing w:val="-2"/>
        </w:rPr>
        <w:t xml:space="preserve">treatment of </w:t>
      </w:r>
      <w:r w:rsidR="007F2B58" w:rsidRPr="00752272">
        <w:rPr>
          <w:spacing w:val="-2"/>
        </w:rPr>
        <w:t xml:space="preserve">urban water </w:t>
      </w:r>
      <w:r w:rsidR="00251930" w:rsidRPr="00752272">
        <w:rPr>
          <w:spacing w:val="-2"/>
        </w:rPr>
        <w:t xml:space="preserve">service </w:t>
      </w:r>
      <w:r w:rsidR="007F2B58" w:rsidRPr="00752272">
        <w:rPr>
          <w:spacing w:val="-2"/>
        </w:rPr>
        <w:t>delivery</w:t>
      </w:r>
      <w:r w:rsidR="00C96F7D" w:rsidRPr="00752272">
        <w:rPr>
          <w:spacing w:val="-2"/>
        </w:rPr>
        <w:t xml:space="preserve"> (beyond a commitment to ‘healthy, </w:t>
      </w:r>
      <w:proofErr w:type="gramStart"/>
      <w:r w:rsidR="00C96F7D" w:rsidRPr="00752272">
        <w:rPr>
          <w:spacing w:val="-2"/>
        </w:rPr>
        <w:t>safe</w:t>
      </w:r>
      <w:proofErr w:type="gramEnd"/>
      <w:r w:rsidR="00C96F7D" w:rsidRPr="00752272">
        <w:rPr>
          <w:spacing w:val="-2"/>
        </w:rPr>
        <w:t xml:space="preserve"> and reliable water supplies’)</w:t>
      </w:r>
      <w:r w:rsidR="005324FD" w:rsidRPr="00752272">
        <w:rPr>
          <w:spacing w:val="-2"/>
        </w:rPr>
        <w:t>.</w:t>
      </w:r>
    </w:p>
    <w:p w14:paraId="4768B755" w14:textId="44A2B2BD" w:rsidR="00DA2718" w:rsidRDefault="00A320B6" w:rsidP="00E93A2C">
      <w:pPr>
        <w:pStyle w:val="BodyText"/>
      </w:pPr>
      <w:r>
        <w:t xml:space="preserve">The pricing commitments were designed </w:t>
      </w:r>
      <w:r w:rsidR="00C45C4D">
        <w:t>so that</w:t>
      </w:r>
      <w:r w:rsidR="00251930">
        <w:t xml:space="preserve"> </w:t>
      </w:r>
      <w:r w:rsidR="00C45C4D">
        <w:t xml:space="preserve">water </w:t>
      </w:r>
      <w:r>
        <w:t xml:space="preserve">users </w:t>
      </w:r>
      <w:r w:rsidR="00C45C4D">
        <w:t>would generally pay</w:t>
      </w:r>
      <w:r>
        <w:t xml:space="preserve"> the </w:t>
      </w:r>
      <w:r w:rsidR="00251930">
        <w:t>long</w:t>
      </w:r>
      <w:r w:rsidR="00251930">
        <w:noBreakHyphen/>
        <w:t xml:space="preserve">run </w:t>
      </w:r>
      <w:r>
        <w:t>efficient cost</w:t>
      </w:r>
      <w:r w:rsidR="009A25D2">
        <w:t>s</w:t>
      </w:r>
      <w:r>
        <w:t xml:space="preserve"> of service</w:t>
      </w:r>
      <w:r w:rsidR="00C45C4D">
        <w:t xml:space="preserve"> delivery</w:t>
      </w:r>
      <w:r>
        <w:t xml:space="preserve"> and</w:t>
      </w:r>
      <w:r w:rsidR="00251930">
        <w:t xml:space="preserve"> </w:t>
      </w:r>
      <w:r w:rsidR="00225456">
        <w:t xml:space="preserve">so </w:t>
      </w:r>
      <w:r w:rsidR="00251930">
        <w:t>that</w:t>
      </w:r>
      <w:r>
        <w:t xml:space="preserve"> utilities had adequate financial</w:t>
      </w:r>
      <w:r w:rsidR="005324FD">
        <w:t xml:space="preserve"> resources to deliver services without</w:t>
      </w:r>
      <w:r w:rsidR="00251930">
        <w:t xml:space="preserve"> </w:t>
      </w:r>
      <w:r w:rsidR="005324FD">
        <w:t xml:space="preserve">earning </w:t>
      </w:r>
      <w:r>
        <w:t xml:space="preserve">monopoly rents. </w:t>
      </w:r>
      <w:r w:rsidR="00284BE7">
        <w:t xml:space="preserve">Independent pricing </w:t>
      </w:r>
      <w:r w:rsidR="00C96F7D">
        <w:t>regulators</w:t>
      </w:r>
      <w:r w:rsidR="00284BE7">
        <w:t xml:space="preserve"> were to be given powers to set or review prices on a case</w:t>
      </w:r>
      <w:r w:rsidR="000A152C">
        <w:noBreakHyphen/>
      </w:r>
      <w:r w:rsidR="00284BE7">
        <w:t>by</w:t>
      </w:r>
      <w:r w:rsidR="00F06BEA">
        <w:noBreakHyphen/>
      </w:r>
      <w:r w:rsidR="00284BE7">
        <w:t>case basis</w:t>
      </w:r>
      <w:r w:rsidR="00C96F7D">
        <w:t>, as well as report on pricing outcomes. The NWI also included requirements for institutional separation, and public reporting and benchmarking</w:t>
      </w:r>
      <w:r w:rsidR="00215AB6">
        <w:t>.</w:t>
      </w:r>
      <w:r w:rsidR="00C96F7D">
        <w:t xml:space="preserve"> </w:t>
      </w:r>
      <w:r w:rsidR="00453A0A">
        <w:t>(</w:t>
      </w:r>
      <w:r w:rsidR="005112C3" w:rsidRPr="005112C3">
        <w:rPr>
          <w:i/>
          <w:iCs/>
        </w:rPr>
        <w:t>A</w:t>
      </w:r>
      <w:r w:rsidR="00453A0A" w:rsidRPr="00453A0A">
        <w:rPr>
          <w:i/>
        </w:rPr>
        <w:t>ssessment</w:t>
      </w:r>
      <w:r w:rsidR="00453EB4">
        <w:t>:</w:t>
      </w:r>
      <w:r w:rsidR="00C96F7D">
        <w:t xml:space="preserve"> section 3.1</w:t>
      </w:r>
      <w:r w:rsidR="00453EB4">
        <w:t xml:space="preserve"> o</w:t>
      </w:r>
      <w:r w:rsidR="007F2B58">
        <w:t>utlines</w:t>
      </w:r>
      <w:r w:rsidR="00453A0A">
        <w:t xml:space="preserve"> the NWI pricing </w:t>
      </w:r>
      <w:r w:rsidR="00C96F7D">
        <w:t xml:space="preserve">and institutional </w:t>
      </w:r>
      <w:r w:rsidR="007F2B58">
        <w:t>commitments</w:t>
      </w:r>
      <w:r w:rsidR="00C96F7D">
        <w:t xml:space="preserve"> for urban water</w:t>
      </w:r>
      <w:r w:rsidR="007F2B58">
        <w:t xml:space="preserve"> </w:t>
      </w:r>
      <w:r w:rsidR="00453A0A">
        <w:t>in more detail</w:t>
      </w:r>
      <w:r w:rsidR="00F95A79">
        <w:t>.</w:t>
      </w:r>
      <w:r w:rsidR="00453A0A">
        <w:t>)</w:t>
      </w:r>
    </w:p>
    <w:p w14:paraId="00E0374F" w14:textId="684552EC" w:rsidR="00A320B6" w:rsidRPr="00752272" w:rsidRDefault="00DA2718" w:rsidP="00E93A2C">
      <w:pPr>
        <w:pStyle w:val="BodyText"/>
        <w:rPr>
          <w:spacing w:val="-2"/>
        </w:rPr>
      </w:pPr>
      <w:r w:rsidRPr="00752272">
        <w:rPr>
          <w:spacing w:val="-2"/>
        </w:rPr>
        <w:t xml:space="preserve">The key distinction made for regional </w:t>
      </w:r>
      <w:r w:rsidR="007F2B58" w:rsidRPr="00752272">
        <w:rPr>
          <w:spacing w:val="-2"/>
        </w:rPr>
        <w:t xml:space="preserve">urban </w:t>
      </w:r>
      <w:r w:rsidRPr="00752272">
        <w:rPr>
          <w:spacing w:val="-2"/>
        </w:rPr>
        <w:t>water was</w:t>
      </w:r>
      <w:r w:rsidR="00251930" w:rsidRPr="00752272">
        <w:rPr>
          <w:spacing w:val="-2"/>
        </w:rPr>
        <w:t xml:space="preserve"> </w:t>
      </w:r>
      <w:r w:rsidR="007F2B58" w:rsidRPr="00752272">
        <w:rPr>
          <w:spacing w:val="-2"/>
        </w:rPr>
        <w:t xml:space="preserve">a lesser commitment to </w:t>
      </w:r>
      <w:r w:rsidR="00C96F7D" w:rsidRPr="00752272">
        <w:rPr>
          <w:spacing w:val="-2"/>
        </w:rPr>
        <w:t xml:space="preserve">cost </w:t>
      </w:r>
      <w:r w:rsidR="008E7ADC" w:rsidRPr="00752272">
        <w:rPr>
          <w:spacing w:val="-2"/>
        </w:rPr>
        <w:t>recover</w:t>
      </w:r>
      <w:r w:rsidR="00C96F7D" w:rsidRPr="00752272">
        <w:rPr>
          <w:spacing w:val="-2"/>
        </w:rPr>
        <w:t>y</w:t>
      </w:r>
      <w:r w:rsidR="00C45C4D" w:rsidRPr="00752272">
        <w:rPr>
          <w:spacing w:val="-2"/>
        </w:rPr>
        <w:t>, recognising that ‘there will be some small community services that will never be economically viable but need to be maintained to meet social and public health obligations’.</w:t>
      </w:r>
      <w:r w:rsidR="00C45C4D" w:rsidRPr="00752272">
        <w:rPr>
          <w:rStyle w:val="FootnoteReference"/>
          <w:spacing w:val="-2"/>
        </w:rPr>
        <w:footnoteReference w:id="4"/>
      </w:r>
      <w:r w:rsidRPr="00752272">
        <w:rPr>
          <w:spacing w:val="-2"/>
        </w:rPr>
        <w:t xml:space="preserve"> </w:t>
      </w:r>
      <w:r w:rsidR="00A320B6" w:rsidRPr="00752272">
        <w:rPr>
          <w:spacing w:val="-2"/>
        </w:rPr>
        <w:t>‘</w:t>
      </w:r>
      <w:r w:rsidR="00C96F7D" w:rsidRPr="00752272">
        <w:rPr>
          <w:spacing w:val="-2"/>
        </w:rPr>
        <w:t>R</w:t>
      </w:r>
      <w:r w:rsidR="00A320B6" w:rsidRPr="00752272">
        <w:rPr>
          <w:spacing w:val="-2"/>
        </w:rPr>
        <w:t>ural and regional’</w:t>
      </w:r>
      <w:r w:rsidR="00A320B6" w:rsidRPr="00752272">
        <w:rPr>
          <w:rStyle w:val="FootnoteReference"/>
          <w:spacing w:val="-2"/>
        </w:rPr>
        <w:footnoteReference w:id="5"/>
      </w:r>
      <w:r w:rsidR="00A320B6" w:rsidRPr="00752272">
        <w:rPr>
          <w:spacing w:val="-2"/>
        </w:rPr>
        <w:t xml:space="preserve"> water service providers were to</w:t>
      </w:r>
      <w:r w:rsidR="00C45C4D" w:rsidRPr="00752272">
        <w:rPr>
          <w:spacing w:val="-2"/>
        </w:rPr>
        <w:t xml:space="preserve"> set</w:t>
      </w:r>
      <w:r w:rsidR="00A320B6" w:rsidRPr="00752272">
        <w:rPr>
          <w:spacing w:val="-2"/>
        </w:rPr>
        <w:t xml:space="preserve"> price</w:t>
      </w:r>
      <w:r w:rsidR="00C45C4D" w:rsidRPr="00752272">
        <w:rPr>
          <w:spacing w:val="-2"/>
        </w:rPr>
        <w:t>s</w:t>
      </w:r>
      <w:r w:rsidR="00A320B6" w:rsidRPr="00752272">
        <w:rPr>
          <w:spacing w:val="-2"/>
        </w:rPr>
        <w:t xml:space="preserve"> at lower bound levels (</w:t>
      </w:r>
      <w:r w:rsidR="00C96F7D" w:rsidRPr="00752272">
        <w:rPr>
          <w:spacing w:val="-2"/>
        </w:rPr>
        <w:t>recovering all operational and asse</w:t>
      </w:r>
      <w:r w:rsidR="000A152C" w:rsidRPr="00752272">
        <w:rPr>
          <w:spacing w:val="-2"/>
        </w:rPr>
        <w:t>t</w:t>
      </w:r>
      <w:r w:rsidR="00C96F7D" w:rsidRPr="00752272">
        <w:rPr>
          <w:spacing w:val="-2"/>
        </w:rPr>
        <w:t xml:space="preserve"> replacement costs, but without a </w:t>
      </w:r>
      <w:r w:rsidR="00A320B6" w:rsidRPr="00752272">
        <w:rPr>
          <w:spacing w:val="-2"/>
        </w:rPr>
        <w:t>return on capital), with continued movement towards</w:t>
      </w:r>
      <w:r w:rsidR="000715A7" w:rsidRPr="00752272">
        <w:rPr>
          <w:spacing w:val="-2"/>
        </w:rPr>
        <w:t xml:space="preserve"> </w:t>
      </w:r>
      <w:r w:rsidR="00C45C4D" w:rsidRPr="00752272">
        <w:rPr>
          <w:spacing w:val="-2"/>
        </w:rPr>
        <w:t xml:space="preserve">the </w:t>
      </w:r>
      <w:r w:rsidR="000715A7" w:rsidRPr="00752272">
        <w:rPr>
          <w:spacing w:val="-2"/>
        </w:rPr>
        <w:t>upper bound</w:t>
      </w:r>
      <w:r w:rsidR="00C96F7D" w:rsidRPr="00752272">
        <w:rPr>
          <w:spacing w:val="-2"/>
        </w:rPr>
        <w:t xml:space="preserve"> (including a return on capital)</w:t>
      </w:r>
      <w:r w:rsidR="000715A7" w:rsidRPr="00752272">
        <w:rPr>
          <w:spacing w:val="-2"/>
        </w:rPr>
        <w:t xml:space="preserve"> ‘where practica</w:t>
      </w:r>
      <w:r w:rsidR="00C45C4D" w:rsidRPr="00752272">
        <w:rPr>
          <w:spacing w:val="-2"/>
        </w:rPr>
        <w:t>b</w:t>
      </w:r>
      <w:r w:rsidR="000715A7" w:rsidRPr="00752272">
        <w:rPr>
          <w:spacing w:val="-2"/>
        </w:rPr>
        <w:t>l</w:t>
      </w:r>
      <w:r w:rsidR="00C45C4D" w:rsidRPr="00752272">
        <w:rPr>
          <w:spacing w:val="-2"/>
        </w:rPr>
        <w:t>e</w:t>
      </w:r>
      <w:r w:rsidR="000715A7" w:rsidRPr="00752272">
        <w:rPr>
          <w:spacing w:val="-2"/>
        </w:rPr>
        <w:t>’</w:t>
      </w:r>
      <w:r w:rsidR="00C45C4D" w:rsidRPr="00752272">
        <w:rPr>
          <w:spacing w:val="-2"/>
        </w:rPr>
        <w:t>.</w:t>
      </w:r>
      <w:r w:rsidR="00F66CB5" w:rsidRPr="00752272">
        <w:rPr>
          <w:rStyle w:val="FootnoteReference"/>
          <w:spacing w:val="-2"/>
        </w:rPr>
        <w:footnoteReference w:id="6"/>
      </w:r>
    </w:p>
    <w:p w14:paraId="3B66C525" w14:textId="3275EED7" w:rsidR="007F3980" w:rsidRDefault="00C45C4D" w:rsidP="00E93A2C">
      <w:pPr>
        <w:pStyle w:val="BodyText"/>
      </w:pPr>
      <w:r>
        <w:t>Where small community services are to be subsidised, t</w:t>
      </w:r>
      <w:r w:rsidR="00A320B6">
        <w:t xml:space="preserve">he NWI </w:t>
      </w:r>
      <w:r w:rsidR="00F51F8B">
        <w:t xml:space="preserve">requires </w:t>
      </w:r>
      <w:r w:rsidR="00A320B6">
        <w:t>that</w:t>
      </w:r>
      <w:r w:rsidR="000715A7">
        <w:t xml:space="preserve"> State and Territory </w:t>
      </w:r>
      <w:r w:rsidR="00E431AD">
        <w:t>G</w:t>
      </w:r>
      <w:r w:rsidR="000715A7">
        <w:t>overnment</w:t>
      </w:r>
      <w:r w:rsidR="008E7ADC">
        <w:t>s</w:t>
      </w:r>
      <w:r w:rsidR="000715A7">
        <w:t xml:space="preserve"> </w:t>
      </w:r>
      <w:r>
        <w:t xml:space="preserve">do so through </w:t>
      </w:r>
      <w:r w:rsidR="000715A7">
        <w:t xml:space="preserve">a </w:t>
      </w:r>
      <w:r w:rsidR="00F51F8B">
        <w:t xml:space="preserve">publicly reported </w:t>
      </w:r>
      <w:r w:rsidR="00F95A79">
        <w:t>community service obligation (</w:t>
      </w:r>
      <w:r w:rsidR="005324FD">
        <w:t>CSO</w:t>
      </w:r>
      <w:r w:rsidR="00F95A79">
        <w:t>)</w:t>
      </w:r>
      <w:r w:rsidR="005324FD">
        <w:t xml:space="preserve"> payment</w:t>
      </w:r>
      <w:r w:rsidR="00A320B6">
        <w:t xml:space="preserve"> </w:t>
      </w:r>
      <w:r w:rsidR="005324FD">
        <w:t>and</w:t>
      </w:r>
      <w:r w:rsidR="008E7ADC">
        <w:t xml:space="preserve"> </w:t>
      </w:r>
      <w:r w:rsidR="00F51F8B">
        <w:t>consider alternative management arrangements to remove the need for an ongoing CSO</w:t>
      </w:r>
      <w:r w:rsidR="00A320B6">
        <w:t>.</w:t>
      </w:r>
      <w:r w:rsidR="00A320B6" w:rsidRPr="00C20339">
        <w:rPr>
          <w:rStyle w:val="FootnoteReference"/>
        </w:rPr>
        <w:footnoteReference w:id="7"/>
      </w:r>
      <w:r w:rsidR="00F95A79">
        <w:t xml:space="preserve"> </w:t>
      </w:r>
      <w:r w:rsidR="00904586">
        <w:t>In other words</w:t>
      </w:r>
      <w:r w:rsidR="00A320B6">
        <w:t>, jurisdictions agreed that</w:t>
      </w:r>
      <w:r w:rsidR="00904586">
        <w:t xml:space="preserve"> </w:t>
      </w:r>
      <w:r w:rsidR="00A320B6">
        <w:t xml:space="preserve">regional providers that </w:t>
      </w:r>
      <w:r w:rsidR="00904586">
        <w:t xml:space="preserve">can </w:t>
      </w:r>
      <w:r w:rsidR="00C96F7D">
        <w:t xml:space="preserve">sustainably </w:t>
      </w:r>
      <w:r w:rsidR="00A320B6">
        <w:t xml:space="preserve">achieve </w:t>
      </w:r>
      <w:r w:rsidR="00DF2055">
        <w:t xml:space="preserve">full </w:t>
      </w:r>
      <w:r w:rsidR="00A320B6">
        <w:t xml:space="preserve">cost recovery should endeavour to do so, </w:t>
      </w:r>
      <w:r w:rsidR="00904586">
        <w:t xml:space="preserve">with </w:t>
      </w:r>
      <w:r w:rsidR="00A320B6">
        <w:t>CSOs provided as a last resort.</w:t>
      </w:r>
      <w:r w:rsidR="00F51F8B">
        <w:t xml:space="preserve"> </w:t>
      </w:r>
      <w:r w:rsidR="00A320B6">
        <w:t xml:space="preserve">State and Territory Governments were ultimately responsible for </w:t>
      </w:r>
      <w:r w:rsidR="00904586">
        <w:t xml:space="preserve">making a judgment on when a service is </w:t>
      </w:r>
      <w:r w:rsidR="00F51F8B">
        <w:t>essential but unviable,</w:t>
      </w:r>
      <w:r w:rsidR="00A320B6">
        <w:t xml:space="preserve"> </w:t>
      </w:r>
      <w:r w:rsidR="00F51F8B">
        <w:t xml:space="preserve">and for determining the </w:t>
      </w:r>
      <w:r w:rsidR="00C96F7D">
        <w:t xml:space="preserve">calculation </w:t>
      </w:r>
      <w:r w:rsidR="00F51F8B">
        <w:t>of CSO payments</w:t>
      </w:r>
      <w:r w:rsidR="00F34635">
        <w:t xml:space="preserve"> to those services</w:t>
      </w:r>
      <w:r w:rsidR="00904586">
        <w:t>.</w:t>
      </w:r>
    </w:p>
    <w:p w14:paraId="1D82890E" w14:textId="457CC64B" w:rsidR="003960F4" w:rsidRDefault="00596BC9" w:rsidP="00596BC9">
      <w:pPr>
        <w:pStyle w:val="Heading2"/>
      </w:pPr>
      <w:bookmarkStart w:id="11" w:name="_Toc59447367"/>
      <w:bookmarkStart w:id="12" w:name="_Toc62043648"/>
      <w:r>
        <w:lastRenderedPageBreak/>
        <w:t>2</w:t>
      </w:r>
      <w:r>
        <w:tab/>
      </w:r>
      <w:r w:rsidR="00C77C0C">
        <w:t>The</w:t>
      </w:r>
      <w:r w:rsidR="0099106F">
        <w:t xml:space="preserve"> </w:t>
      </w:r>
      <w:r w:rsidR="00C77C0C">
        <w:t>challenge</w:t>
      </w:r>
      <w:r>
        <w:t xml:space="preserve"> for regional and remote services</w:t>
      </w:r>
      <w:bookmarkEnd w:id="11"/>
      <w:bookmarkEnd w:id="12"/>
    </w:p>
    <w:p w14:paraId="32C95DCF" w14:textId="60006660" w:rsidR="0001177E" w:rsidRPr="0085787F" w:rsidRDefault="008B4A39" w:rsidP="00E93A2C">
      <w:pPr>
        <w:pStyle w:val="BodyText"/>
      </w:pPr>
      <w:r>
        <w:t xml:space="preserve">The </w:t>
      </w:r>
      <w:r w:rsidR="000715A7">
        <w:t>difficulty</w:t>
      </w:r>
      <w:r w:rsidR="007F2B58">
        <w:t xml:space="preserve"> </w:t>
      </w:r>
      <w:r w:rsidR="00B731C1">
        <w:t xml:space="preserve">(and cost) </w:t>
      </w:r>
      <w:r w:rsidR="007F2B58">
        <w:t>of</w:t>
      </w:r>
      <w:r>
        <w:t xml:space="preserve"> </w:t>
      </w:r>
      <w:r w:rsidR="000715A7">
        <w:t xml:space="preserve">maintaining </w:t>
      </w:r>
      <w:r w:rsidR="0085692F">
        <w:t xml:space="preserve">safe and reliable water services to regional and </w:t>
      </w:r>
      <w:r w:rsidR="007F2B58">
        <w:t xml:space="preserve">remote </w:t>
      </w:r>
      <w:r w:rsidR="000715A7">
        <w:t xml:space="preserve">communities </w:t>
      </w:r>
      <w:r w:rsidR="007F2B58">
        <w:t xml:space="preserve">is </w:t>
      </w:r>
      <w:r>
        <w:t>well understood. Yet s</w:t>
      </w:r>
      <w:r w:rsidR="0001177E" w:rsidRPr="0085787F">
        <w:t xml:space="preserve">ince the Commission’s 2017 inquiry, </w:t>
      </w:r>
      <w:r w:rsidR="0085787F" w:rsidRPr="0085787F">
        <w:t xml:space="preserve">water </w:t>
      </w:r>
      <w:r w:rsidR="000715A7">
        <w:t xml:space="preserve">quality and water </w:t>
      </w:r>
      <w:r w:rsidR="0085787F" w:rsidRPr="0085787F">
        <w:t xml:space="preserve">security </w:t>
      </w:r>
      <w:r w:rsidR="000715A7">
        <w:t xml:space="preserve">issues </w:t>
      </w:r>
      <w:r w:rsidR="00904586">
        <w:t xml:space="preserve">in </w:t>
      </w:r>
      <w:proofErr w:type="gramStart"/>
      <w:r w:rsidR="00904586">
        <w:t>a number of</w:t>
      </w:r>
      <w:proofErr w:type="gramEnd"/>
      <w:r w:rsidR="00904586">
        <w:t xml:space="preserve"> </w:t>
      </w:r>
      <w:r w:rsidR="0085787F" w:rsidRPr="0085787F">
        <w:t xml:space="preserve">regional and remote </w:t>
      </w:r>
      <w:r w:rsidR="00904586">
        <w:t xml:space="preserve">communities </w:t>
      </w:r>
      <w:r w:rsidR="0085787F" w:rsidRPr="0085787F">
        <w:t>ha</w:t>
      </w:r>
      <w:r w:rsidR="002B31E4">
        <w:t>ve</w:t>
      </w:r>
      <w:r w:rsidR="0085787F" w:rsidRPr="0085787F">
        <w:t xml:space="preserve"> </w:t>
      </w:r>
      <w:r w:rsidR="000715A7">
        <w:t xml:space="preserve">highlighted a range of </w:t>
      </w:r>
      <w:r>
        <w:t xml:space="preserve">shortcomings </w:t>
      </w:r>
      <w:r w:rsidR="000715A7">
        <w:t>in the current arrangements.</w:t>
      </w:r>
    </w:p>
    <w:p w14:paraId="7C2BC273" w14:textId="7D6116DF" w:rsidR="00097F2D" w:rsidRDefault="00E94382" w:rsidP="00F63966">
      <w:pPr>
        <w:pStyle w:val="Heading3"/>
      </w:pPr>
      <w:bookmarkStart w:id="13" w:name="_Toc62043649"/>
      <w:r>
        <w:t>2.1</w:t>
      </w:r>
      <w:r>
        <w:tab/>
      </w:r>
      <w:r w:rsidR="00A07FF1">
        <w:t>A series of</w:t>
      </w:r>
      <w:r w:rsidR="000F683E">
        <w:t xml:space="preserve"> recent</w:t>
      </w:r>
      <w:r w:rsidR="00A07FF1">
        <w:t xml:space="preserve"> </w:t>
      </w:r>
      <w:r w:rsidR="0082316F">
        <w:t>crises …</w:t>
      </w:r>
      <w:bookmarkEnd w:id="13"/>
    </w:p>
    <w:p w14:paraId="1F1D39C5" w14:textId="7DE8B95D" w:rsidR="0099106F" w:rsidRDefault="004F119C" w:rsidP="00755702">
      <w:pPr>
        <w:pStyle w:val="BodyText"/>
        <w:keepNext/>
      </w:pPr>
      <w:r w:rsidRPr="004F119C">
        <w:t>S</w:t>
      </w:r>
      <w:r w:rsidR="0099106F">
        <w:t>ince 2017</w:t>
      </w:r>
      <w:r w:rsidR="000277A1">
        <w:t xml:space="preserve">, persistent </w:t>
      </w:r>
      <w:r w:rsidR="006349E0">
        <w:t xml:space="preserve">drought and </w:t>
      </w:r>
      <w:r w:rsidR="00010D39">
        <w:t xml:space="preserve">severe </w:t>
      </w:r>
      <w:r w:rsidR="006349E0">
        <w:t xml:space="preserve">bushfires across </w:t>
      </w:r>
      <w:r w:rsidR="00432588">
        <w:t>e</w:t>
      </w:r>
      <w:r w:rsidR="006349E0">
        <w:t xml:space="preserve">astern Australia have stretched </w:t>
      </w:r>
      <w:r w:rsidR="000277A1">
        <w:t xml:space="preserve">local </w:t>
      </w:r>
      <w:r w:rsidR="006349E0">
        <w:t>water supp</w:t>
      </w:r>
      <w:r w:rsidR="000E5E0C">
        <w:t>lies</w:t>
      </w:r>
      <w:r w:rsidR="00B731C1">
        <w:t xml:space="preserve"> (</w:t>
      </w:r>
      <w:r w:rsidR="00453EB4" w:rsidRPr="00453EB4">
        <w:rPr>
          <w:i/>
        </w:rPr>
        <w:t>Report</w:t>
      </w:r>
      <w:r w:rsidR="00453EB4">
        <w:t xml:space="preserve">: </w:t>
      </w:r>
      <w:r w:rsidR="00EF46F1" w:rsidRPr="00453EB4">
        <w:t>c</w:t>
      </w:r>
      <w:r w:rsidR="00863318" w:rsidRPr="00453EB4">
        <w:t>hapter</w:t>
      </w:r>
      <w:r w:rsidR="00863318" w:rsidRPr="00EF46F1">
        <w:t> </w:t>
      </w:r>
      <w:r w:rsidR="00F66CB5">
        <w:t>2</w:t>
      </w:r>
      <w:r w:rsidR="00B731C1">
        <w:t>)</w:t>
      </w:r>
      <w:r w:rsidR="006349E0">
        <w:t>.</w:t>
      </w:r>
      <w:r w:rsidR="00D41493" w:rsidRPr="00C20339">
        <w:rPr>
          <w:rStyle w:val="FootnoteReference"/>
        </w:rPr>
        <w:footnoteReference w:id="8"/>
      </w:r>
      <w:r w:rsidR="00EF3D20">
        <w:t xml:space="preserve"> In the Murray–</w:t>
      </w:r>
      <w:r w:rsidR="006349E0">
        <w:t>Dar</w:t>
      </w:r>
      <w:r w:rsidR="00797689">
        <w:t>l</w:t>
      </w:r>
      <w:r w:rsidR="006349E0">
        <w:t xml:space="preserve">ing Basin, </w:t>
      </w:r>
      <w:r w:rsidR="006349E0" w:rsidRPr="00FF2A8E">
        <w:t xml:space="preserve">the Sefton Review </w:t>
      </w:r>
      <w:r w:rsidR="005F46AA" w:rsidRPr="005F46AA">
        <w:rPr>
          <w:szCs w:val="24"/>
        </w:rPr>
        <w:t>(2020, p. 63)</w:t>
      </w:r>
      <w:r w:rsidR="007D3F4F">
        <w:t xml:space="preserve"> </w:t>
      </w:r>
      <w:r w:rsidR="006349E0">
        <w:t xml:space="preserve">found that some communities now faced: </w:t>
      </w:r>
    </w:p>
    <w:p w14:paraId="49E4B42A" w14:textId="2880F3D5" w:rsidR="003260E2" w:rsidRPr="006349E0" w:rsidRDefault="006349E0" w:rsidP="007D3F4F">
      <w:pPr>
        <w:pStyle w:val="Quote"/>
        <w:rPr>
          <w:szCs w:val="22"/>
        </w:rPr>
      </w:pPr>
      <w:r w:rsidRPr="006349E0">
        <w:rPr>
          <w:szCs w:val="22"/>
        </w:rPr>
        <w:t xml:space="preserve">… </w:t>
      </w:r>
      <w:r w:rsidR="007D3F4F" w:rsidRPr="007D3F4F">
        <w:rPr>
          <w:szCs w:val="22"/>
        </w:rPr>
        <w:t>critical urban water supply</w:t>
      </w:r>
      <w:r w:rsidR="007D3F4F">
        <w:rPr>
          <w:szCs w:val="22"/>
        </w:rPr>
        <w:t xml:space="preserve"> </w:t>
      </w:r>
      <w:r w:rsidR="007D3F4F" w:rsidRPr="007D3F4F">
        <w:rPr>
          <w:szCs w:val="22"/>
        </w:rPr>
        <w:t>and quality issues, as well</w:t>
      </w:r>
      <w:r w:rsidR="007D3F4F">
        <w:rPr>
          <w:szCs w:val="22"/>
        </w:rPr>
        <w:t xml:space="preserve"> </w:t>
      </w:r>
      <w:r w:rsidR="007D3F4F" w:rsidRPr="007D3F4F">
        <w:rPr>
          <w:szCs w:val="22"/>
        </w:rPr>
        <w:t>as restrictions on water use.</w:t>
      </w:r>
      <w:r w:rsidR="007D3F4F">
        <w:rPr>
          <w:szCs w:val="22"/>
        </w:rPr>
        <w:t xml:space="preserve"> </w:t>
      </w:r>
      <w:r w:rsidR="007D3F4F" w:rsidRPr="007D3F4F">
        <w:rPr>
          <w:szCs w:val="22"/>
        </w:rPr>
        <w:t>This situation has significant</w:t>
      </w:r>
      <w:r w:rsidR="007D3F4F">
        <w:rPr>
          <w:szCs w:val="22"/>
        </w:rPr>
        <w:t xml:space="preserve"> </w:t>
      </w:r>
      <w:r w:rsidR="007D3F4F" w:rsidRPr="007D3F4F">
        <w:rPr>
          <w:szCs w:val="22"/>
        </w:rPr>
        <w:t>social and economic impacts,</w:t>
      </w:r>
      <w:r w:rsidR="007D3F4F">
        <w:rPr>
          <w:szCs w:val="22"/>
        </w:rPr>
        <w:t xml:space="preserve"> </w:t>
      </w:r>
      <w:r w:rsidR="007D3F4F" w:rsidRPr="007D3F4F">
        <w:rPr>
          <w:szCs w:val="22"/>
        </w:rPr>
        <w:t>including costs from having</w:t>
      </w:r>
      <w:r w:rsidR="007D3F4F">
        <w:rPr>
          <w:szCs w:val="22"/>
        </w:rPr>
        <w:t xml:space="preserve"> </w:t>
      </w:r>
      <w:r w:rsidR="007D3F4F" w:rsidRPr="007D3F4F">
        <w:rPr>
          <w:szCs w:val="22"/>
        </w:rPr>
        <w:t>water restrictions and accessing</w:t>
      </w:r>
      <w:r w:rsidR="007D3F4F">
        <w:rPr>
          <w:szCs w:val="22"/>
        </w:rPr>
        <w:t xml:space="preserve"> </w:t>
      </w:r>
      <w:r w:rsidR="007D3F4F" w:rsidRPr="007D3F4F">
        <w:rPr>
          <w:szCs w:val="22"/>
        </w:rPr>
        <w:t>alternative supplies, reduced</w:t>
      </w:r>
      <w:r w:rsidR="007D3F4F">
        <w:rPr>
          <w:szCs w:val="22"/>
        </w:rPr>
        <w:t xml:space="preserve"> </w:t>
      </w:r>
      <w:r w:rsidR="007D3F4F" w:rsidRPr="007D3F4F">
        <w:rPr>
          <w:szCs w:val="22"/>
        </w:rPr>
        <w:t>amenity and green open space,</w:t>
      </w:r>
      <w:r w:rsidR="007D3F4F">
        <w:rPr>
          <w:szCs w:val="22"/>
        </w:rPr>
        <w:t xml:space="preserve"> </w:t>
      </w:r>
      <w:r w:rsidR="007D3F4F" w:rsidRPr="007D3F4F">
        <w:rPr>
          <w:szCs w:val="22"/>
        </w:rPr>
        <w:t>and poorer health and wellbeing</w:t>
      </w:r>
      <w:r w:rsidR="007D3F4F">
        <w:rPr>
          <w:szCs w:val="22"/>
        </w:rPr>
        <w:t xml:space="preserve"> </w:t>
      </w:r>
      <w:r w:rsidR="00A80971">
        <w:rPr>
          <w:szCs w:val="22"/>
        </w:rPr>
        <w:t>outcomes from quality issues.</w:t>
      </w:r>
    </w:p>
    <w:p w14:paraId="437C713C" w14:textId="61A0D968" w:rsidR="00555309" w:rsidRDefault="00904586" w:rsidP="00E93A2C">
      <w:pPr>
        <w:pStyle w:val="BodyText"/>
      </w:pPr>
      <w:r>
        <w:t xml:space="preserve">In New South Wales, more than 50 town water systems were </w:t>
      </w:r>
      <w:r w:rsidR="00B731C1">
        <w:t xml:space="preserve">identified as being </w:t>
      </w:r>
      <w:r>
        <w:t>at risk of failure</w:t>
      </w:r>
      <w:r w:rsidR="00D41493">
        <w:t xml:space="preserve"> </w:t>
      </w:r>
      <w:r w:rsidR="00F66CB5">
        <w:t>in early 20</w:t>
      </w:r>
      <w:r w:rsidR="00D41493">
        <w:t>20</w:t>
      </w:r>
      <w:r>
        <w:t xml:space="preserve"> (</w:t>
      </w:r>
      <w:r w:rsidR="000E5E0C" w:rsidRPr="000E5E0C">
        <w:t>NSW</w:t>
      </w:r>
      <w:r w:rsidR="000E5E0C">
        <w:t xml:space="preserve"> Water Directorate, sub. 37, p. 13)</w:t>
      </w:r>
      <w:r w:rsidR="00542B5B">
        <w:t xml:space="preserve">. </w:t>
      </w:r>
      <w:r w:rsidR="000E5E0C">
        <w:t>Emergency w</w:t>
      </w:r>
      <w:r w:rsidR="00542B5B">
        <w:t xml:space="preserve">ater carting was needed in </w:t>
      </w:r>
      <w:r>
        <w:t>New South Wales,</w:t>
      </w:r>
      <w:r w:rsidR="00542B5B">
        <w:t xml:space="preserve"> </w:t>
      </w:r>
      <w:proofErr w:type="gramStart"/>
      <w:r w:rsidR="00542B5B">
        <w:t>Queensland</w:t>
      </w:r>
      <w:proofErr w:type="gramEnd"/>
      <w:r>
        <w:t xml:space="preserve"> </w:t>
      </w:r>
      <w:r w:rsidR="00542B5B">
        <w:t>and Western Australia (</w:t>
      </w:r>
      <w:r w:rsidR="00F66CB5" w:rsidRPr="00F66CB5">
        <w:t>NSW Water Directorate, sub. 37, p. 13</w:t>
      </w:r>
      <w:r w:rsidR="00F66CB5">
        <w:t>;</w:t>
      </w:r>
      <w:r w:rsidR="00542B5B">
        <w:t xml:space="preserve"> </w:t>
      </w:r>
      <w:r w:rsidR="000E5E0C">
        <w:t>AFA</w:t>
      </w:r>
      <w:r w:rsidR="007D3F4F">
        <w:t>,</w:t>
      </w:r>
      <w:r w:rsidR="000E5E0C">
        <w:t xml:space="preserve"> sub. 45, </w:t>
      </w:r>
      <w:r w:rsidR="00F66CB5">
        <w:t xml:space="preserve">p. 9; </w:t>
      </w:r>
      <w:r w:rsidR="00F97946">
        <w:t xml:space="preserve">Western Australian </w:t>
      </w:r>
      <w:r w:rsidR="000E5E0C">
        <w:t>Government, sub. 62</w:t>
      </w:r>
      <w:r w:rsidR="00F66CB5">
        <w:t>, p. 3</w:t>
      </w:r>
      <w:r w:rsidR="000E5E0C">
        <w:t>), while</w:t>
      </w:r>
      <w:r w:rsidR="00D03441" w:rsidRPr="00555309">
        <w:t xml:space="preserve"> </w:t>
      </w:r>
      <w:r w:rsidR="00B731C1">
        <w:t xml:space="preserve">a number of </w:t>
      </w:r>
      <w:r w:rsidR="000E5E0C">
        <w:t>e</w:t>
      </w:r>
      <w:r w:rsidR="00D03441" w:rsidRPr="00555309">
        <w:t xml:space="preserve">mergency water infrastructure </w:t>
      </w:r>
      <w:r w:rsidR="00555309" w:rsidRPr="00555309">
        <w:t xml:space="preserve">works </w:t>
      </w:r>
      <w:r w:rsidR="007D3F4F">
        <w:t>have</w:t>
      </w:r>
      <w:r w:rsidR="00B731C1">
        <w:t xml:space="preserve"> </w:t>
      </w:r>
      <w:r w:rsidR="00555309" w:rsidRPr="00555309">
        <w:t xml:space="preserve">been </w:t>
      </w:r>
      <w:r w:rsidR="007D3F4F">
        <w:t xml:space="preserve">undertaken </w:t>
      </w:r>
      <w:r w:rsidR="00555309" w:rsidRPr="00555309">
        <w:t xml:space="preserve">in </w:t>
      </w:r>
      <w:r w:rsidR="003B5D90">
        <w:t>New South Wales</w:t>
      </w:r>
      <w:r w:rsidR="00D03441" w:rsidRPr="00555309">
        <w:t xml:space="preserve"> </w:t>
      </w:r>
      <w:r w:rsidR="00555309" w:rsidRPr="00555309">
        <w:t xml:space="preserve">to </w:t>
      </w:r>
      <w:r w:rsidR="007D3F4F">
        <w:t xml:space="preserve">secure </w:t>
      </w:r>
      <w:r w:rsidR="00555309" w:rsidRPr="00555309">
        <w:t>water supplies (</w:t>
      </w:r>
      <w:r w:rsidR="00555309" w:rsidRPr="00A93FB0">
        <w:t>figure </w:t>
      </w:r>
      <w:r w:rsidR="00F66CB5" w:rsidRPr="00F66CB5">
        <w:t>1</w:t>
      </w:r>
      <w:r w:rsidR="00704B2C">
        <w:t>).</w:t>
      </w:r>
    </w:p>
    <w:p w14:paraId="771C8A1C" w14:textId="77777777" w:rsidR="00453EB4" w:rsidRDefault="00453EB4" w:rsidP="00755702">
      <w:pPr>
        <w:pStyle w:val="BodyText"/>
        <w:keepNext/>
      </w:pPr>
      <w:r>
        <w:t>As noted above, some Aboriginal and Torres Strait Islander communities continue to lack access to safe and reliable water supplies. The NHMRC (sub. 93, p. 9) submitted that:</w:t>
      </w:r>
    </w:p>
    <w:p w14:paraId="34FD5E6F" w14:textId="065D8535" w:rsidR="00453EB4" w:rsidRDefault="00453EB4" w:rsidP="00453EB4">
      <w:pPr>
        <w:pStyle w:val="Quote"/>
      </w:pPr>
      <w:r w:rsidRPr="00332E69">
        <w:t>A high proportion of regional and remote Indigenous communities are experiencing intermittent and reoccurring water quality issues that lead to poor water safety and aesthetic outcomes. For example, the community of Walgett (NSW) has recently encountered elevated sodium concentrations in drinking water. In addition, elevated concentrations of uranium in drinking water have been a persistent problem in the re</w:t>
      </w:r>
      <w:r>
        <w:t xml:space="preserve">mote community of </w:t>
      </w:r>
      <w:proofErr w:type="spellStart"/>
      <w:r>
        <w:t>Laramba</w:t>
      </w:r>
      <w:proofErr w:type="spellEnd"/>
      <w:r>
        <w:t xml:space="preserve"> (NT).</w:t>
      </w:r>
    </w:p>
    <w:p w14:paraId="362C746B" w14:textId="77777777" w:rsidR="00453EB4" w:rsidRDefault="00453EB4" w:rsidP="00755702">
      <w:pPr>
        <w:pStyle w:val="BodyText"/>
        <w:keepNext/>
      </w:pPr>
      <w:r>
        <w:t>In many cases, poor water quality outcomes may persist because there are few alternatives to poor quality water sources. Zero Mass Water Australia (sub. 6, p. 5) highlighted that:</w:t>
      </w:r>
    </w:p>
    <w:p w14:paraId="3D16FE74" w14:textId="24390BBD" w:rsidR="00453EB4" w:rsidRPr="00453EB4" w:rsidRDefault="00453EB4" w:rsidP="00453EB4">
      <w:pPr>
        <w:pStyle w:val="Quote"/>
      </w:pPr>
      <w:r>
        <w:t xml:space="preserve">… all 72 remote communities in the Northern Territory that are supplied with drinking water rely </w:t>
      </w:r>
      <w:r w:rsidRPr="004D4A82">
        <w:t>on groundwater as the water source, even though there are known contaminants such as arsenic (Katherine region), barium (Bulla), chromium (Wallace Rockhole), fluoride (</w:t>
      </w:r>
      <w:proofErr w:type="spellStart"/>
      <w:r w:rsidRPr="004D4A82">
        <w:t>Alpurrurulam</w:t>
      </w:r>
      <w:proofErr w:type="spellEnd"/>
      <w:r w:rsidRPr="004D4A82">
        <w:t xml:space="preserve"> and </w:t>
      </w:r>
      <w:proofErr w:type="spellStart"/>
      <w:r w:rsidRPr="004D4A82">
        <w:t>Nyirripi</w:t>
      </w:r>
      <w:proofErr w:type="spellEnd"/>
      <w:r w:rsidRPr="004D4A82">
        <w:t>), nitrates (</w:t>
      </w:r>
      <w:proofErr w:type="spellStart"/>
      <w:r w:rsidRPr="004D4A82">
        <w:t>Pmara</w:t>
      </w:r>
      <w:proofErr w:type="spellEnd"/>
      <w:r w:rsidRPr="004D4A82">
        <w:t xml:space="preserve"> </w:t>
      </w:r>
      <w:proofErr w:type="spellStart"/>
      <w:r w:rsidRPr="004D4A82">
        <w:t>Jutunta</w:t>
      </w:r>
      <w:proofErr w:type="spellEnd"/>
      <w:r w:rsidRPr="004D4A82">
        <w:t xml:space="preserve">, </w:t>
      </w:r>
      <w:proofErr w:type="spellStart"/>
      <w:r w:rsidRPr="004D4A82">
        <w:t>Yuelamu</w:t>
      </w:r>
      <w:proofErr w:type="spellEnd"/>
      <w:r w:rsidRPr="004D4A82">
        <w:t>) and uranium (</w:t>
      </w:r>
      <w:proofErr w:type="spellStart"/>
      <w:r w:rsidRPr="004D4A82">
        <w:t>Willowra</w:t>
      </w:r>
      <w:proofErr w:type="spellEnd"/>
      <w:r w:rsidRPr="004D4A82">
        <w:t xml:space="preserve">, </w:t>
      </w:r>
      <w:proofErr w:type="spellStart"/>
      <w:r w:rsidRPr="004D4A82">
        <w:t>Wilora</w:t>
      </w:r>
      <w:proofErr w:type="spellEnd"/>
      <w:r w:rsidRPr="004D4A82">
        <w:t xml:space="preserve"> and </w:t>
      </w:r>
      <w:proofErr w:type="spellStart"/>
      <w:r w:rsidRPr="004D4A82">
        <w:t>Laramba</w:t>
      </w:r>
      <w:proofErr w:type="spellEnd"/>
      <w:r w:rsidRPr="004D4A82">
        <w:t>)</w:t>
      </w:r>
      <w:r>
        <w:t>.</w:t>
      </w:r>
    </w:p>
    <w:p w14:paraId="4AA51305" w14:textId="63FBB313" w:rsidR="00555309" w:rsidRDefault="00555309" w:rsidP="00DF0EA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55309" w14:paraId="2755805C" w14:textId="77777777" w:rsidTr="00DF0EAB">
        <w:trPr>
          <w:tblHeader/>
        </w:trPr>
        <w:tc>
          <w:tcPr>
            <w:tcW w:w="5000" w:type="pct"/>
            <w:tcBorders>
              <w:top w:val="single" w:sz="6" w:space="0" w:color="78A22F"/>
              <w:left w:val="nil"/>
              <w:bottom w:val="nil"/>
              <w:right w:val="nil"/>
            </w:tcBorders>
            <w:shd w:val="clear" w:color="auto" w:fill="auto"/>
          </w:tcPr>
          <w:p w14:paraId="1ADCE54D" w14:textId="02999FE1" w:rsidR="00555309" w:rsidRPr="00176D3F" w:rsidRDefault="00555309" w:rsidP="003B5D90">
            <w:pPr>
              <w:pStyle w:val="FigureTitle"/>
            </w:pPr>
            <w:r w:rsidRPr="00784A05">
              <w:rPr>
                <w:b w:val="0"/>
              </w:rPr>
              <w:t>Figure</w:t>
            </w:r>
            <w:r>
              <w:rPr>
                <w:b w:val="0"/>
              </w:rPr>
              <w:t xml:space="preserve"> </w:t>
            </w:r>
            <w:r w:rsidR="00F66CB5">
              <w:rPr>
                <w:b w:val="0"/>
              </w:rPr>
              <w:t>1</w:t>
            </w:r>
            <w:r>
              <w:tab/>
              <w:t xml:space="preserve">Map of </w:t>
            </w:r>
            <w:r w:rsidR="003B5D90">
              <w:t>New South Wales</w:t>
            </w:r>
            <w:r>
              <w:t xml:space="preserve"> emergency water supply responses</w:t>
            </w:r>
          </w:p>
        </w:tc>
      </w:tr>
      <w:tr w:rsidR="00555309" w14:paraId="1C8CD0C7" w14:textId="77777777" w:rsidTr="00DF0EAB">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555309" w:rsidRPr="00B1465D" w14:paraId="64FD0809" w14:textId="77777777" w:rsidTr="00DF0EAB">
              <w:trPr>
                <w:tblHeader/>
                <w:jc w:val="center"/>
              </w:trPr>
              <w:tc>
                <w:tcPr>
                  <w:tcW w:w="5000" w:type="pct"/>
                  <w:tcBorders>
                    <w:top w:val="nil"/>
                    <w:bottom w:val="nil"/>
                  </w:tcBorders>
                </w:tcPr>
                <w:p w14:paraId="162A048B" w14:textId="2CE74310" w:rsidR="00555309" w:rsidRPr="00B1465D" w:rsidRDefault="003966CA" w:rsidP="00555309">
                  <w:pPr>
                    <w:pStyle w:val="Figure"/>
                    <w:spacing w:before="60" w:after="60"/>
                    <w:rPr>
                      <w:rFonts w:ascii="Arial" w:hAnsi="Arial" w:cs="Arial"/>
                      <w:sz w:val="18"/>
                      <w:szCs w:val="18"/>
                    </w:rPr>
                  </w:pPr>
                  <w:r w:rsidRPr="003966CA">
                    <w:rPr>
                      <w:rFonts w:ascii="Arial" w:hAnsi="Arial" w:cs="Arial"/>
                      <w:noProof/>
                      <w:sz w:val="18"/>
                      <w:szCs w:val="18"/>
                    </w:rPr>
                    <w:drawing>
                      <wp:inline distT="0" distB="0" distL="0" distR="0" wp14:anchorId="15C1DA3D" wp14:editId="7844F283">
                        <wp:extent cx="5401945" cy="3615055"/>
                        <wp:effectExtent l="0" t="0" r="8255" b="4445"/>
                        <wp:docPr id="1" name="Picture 1" descr="This figure shows a map of New South Wales, with small inverted red triangles marking regional towns that received water carting, and small blue circles marking towns that received other ass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figure shows a map of New South Wales, with small inverted red triangles marking regional towns that received water carting, and small blue circles marking towns that received other assista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1945" cy="3615055"/>
                                </a:xfrm>
                                <a:prstGeom prst="rect">
                                  <a:avLst/>
                                </a:prstGeom>
                                <a:noFill/>
                                <a:ln>
                                  <a:noFill/>
                                </a:ln>
                              </pic:spPr>
                            </pic:pic>
                          </a:graphicData>
                        </a:graphic>
                      </wp:inline>
                    </w:drawing>
                  </w:r>
                </w:p>
              </w:tc>
            </w:tr>
          </w:tbl>
          <w:p w14:paraId="5A2A1C4E" w14:textId="77777777" w:rsidR="00555309" w:rsidRDefault="00555309" w:rsidP="00DF0EAB">
            <w:pPr>
              <w:pStyle w:val="Figure"/>
            </w:pPr>
          </w:p>
        </w:tc>
      </w:tr>
      <w:tr w:rsidR="00555309" w:rsidRPr="00176D3F" w14:paraId="51ABCC6E" w14:textId="77777777" w:rsidTr="00DF0EAB">
        <w:tc>
          <w:tcPr>
            <w:tcW w:w="5000" w:type="pct"/>
            <w:tcBorders>
              <w:top w:val="nil"/>
              <w:left w:val="nil"/>
              <w:bottom w:val="nil"/>
              <w:right w:val="nil"/>
            </w:tcBorders>
            <w:shd w:val="clear" w:color="auto" w:fill="auto"/>
          </w:tcPr>
          <w:p w14:paraId="292A2A76" w14:textId="459FD624" w:rsidR="00555309" w:rsidRPr="00176D3F" w:rsidRDefault="00555309" w:rsidP="000009DB">
            <w:pPr>
              <w:pStyle w:val="Source"/>
            </w:pPr>
            <w:r>
              <w:rPr>
                <w:i/>
              </w:rPr>
              <w:t>S</w:t>
            </w:r>
            <w:r w:rsidRPr="00784A05">
              <w:rPr>
                <w:i/>
              </w:rPr>
              <w:t>ource</w:t>
            </w:r>
            <w:r w:rsidRPr="00176D3F">
              <w:t>:</w:t>
            </w:r>
            <w:r w:rsidR="000009DB">
              <w:t xml:space="preserve"> DPIE (NSW) </w:t>
            </w:r>
            <w:r w:rsidR="000009DB" w:rsidRPr="000009DB">
              <w:rPr>
                <w:rFonts w:cs="Arial"/>
              </w:rPr>
              <w:t>(2020b)</w:t>
            </w:r>
            <w:r w:rsidR="003666DE" w:rsidRPr="000009DB">
              <w:t>.</w:t>
            </w:r>
          </w:p>
        </w:tc>
      </w:tr>
      <w:tr w:rsidR="00555309" w14:paraId="78BCD978" w14:textId="77777777" w:rsidTr="00DF0EAB">
        <w:tc>
          <w:tcPr>
            <w:tcW w:w="5000" w:type="pct"/>
            <w:tcBorders>
              <w:top w:val="nil"/>
              <w:left w:val="nil"/>
              <w:bottom w:val="single" w:sz="6" w:space="0" w:color="78A22F"/>
              <w:right w:val="nil"/>
            </w:tcBorders>
            <w:shd w:val="clear" w:color="auto" w:fill="auto"/>
          </w:tcPr>
          <w:p w14:paraId="46CE7073" w14:textId="77777777" w:rsidR="00555309" w:rsidRDefault="00555309" w:rsidP="00DF0EAB">
            <w:pPr>
              <w:pStyle w:val="Figurespace"/>
            </w:pPr>
          </w:p>
        </w:tc>
      </w:tr>
      <w:tr w:rsidR="00555309" w:rsidRPr="000863A5" w14:paraId="2DB6F908" w14:textId="77777777" w:rsidTr="00DF0EAB">
        <w:tc>
          <w:tcPr>
            <w:tcW w:w="5000" w:type="pct"/>
            <w:tcBorders>
              <w:top w:val="single" w:sz="6" w:space="0" w:color="78A22F"/>
              <w:left w:val="nil"/>
              <w:bottom w:val="nil"/>
              <w:right w:val="nil"/>
            </w:tcBorders>
          </w:tcPr>
          <w:p w14:paraId="7FEFCDCC" w14:textId="4A11DA7C" w:rsidR="00555309" w:rsidRPr="00626D32" w:rsidRDefault="00555309" w:rsidP="00DF0EAB">
            <w:pPr>
              <w:pStyle w:val="BoxSpaceBelow"/>
            </w:pPr>
          </w:p>
        </w:tc>
      </w:tr>
    </w:tbl>
    <w:p w14:paraId="02BA7925" w14:textId="103D371D" w:rsidR="007D0CE5" w:rsidRPr="00752272" w:rsidRDefault="00E94382" w:rsidP="00F63966">
      <w:pPr>
        <w:pStyle w:val="Heading3"/>
        <w:rPr>
          <w:spacing w:val="-6"/>
        </w:rPr>
      </w:pPr>
      <w:bookmarkStart w:id="14" w:name="_Toc62043650"/>
      <w:r w:rsidRPr="00F63966">
        <w:t>2.2</w:t>
      </w:r>
      <w:r w:rsidRPr="00F63966">
        <w:tab/>
      </w:r>
      <w:r w:rsidR="0082316F" w:rsidRPr="00752272">
        <w:rPr>
          <w:spacing w:val="-6"/>
        </w:rPr>
        <w:t xml:space="preserve">… has </w:t>
      </w:r>
      <w:r w:rsidR="00945395" w:rsidRPr="00752272">
        <w:rPr>
          <w:spacing w:val="-6"/>
        </w:rPr>
        <w:t>highlighted</w:t>
      </w:r>
      <w:r w:rsidR="0082316F" w:rsidRPr="00752272">
        <w:rPr>
          <w:spacing w:val="-6"/>
        </w:rPr>
        <w:t xml:space="preserve"> </w:t>
      </w:r>
      <w:r w:rsidR="00553D9C" w:rsidRPr="00752272">
        <w:rPr>
          <w:spacing w:val="-6"/>
        </w:rPr>
        <w:t xml:space="preserve">vulnerabilities </w:t>
      </w:r>
      <w:r w:rsidR="004F119C" w:rsidRPr="00752272">
        <w:rPr>
          <w:spacing w:val="-6"/>
        </w:rPr>
        <w:t>in</w:t>
      </w:r>
      <w:r w:rsidR="00704B2C" w:rsidRPr="00752272">
        <w:rPr>
          <w:spacing w:val="-6"/>
        </w:rPr>
        <w:t xml:space="preserve"> </w:t>
      </w:r>
      <w:r w:rsidR="00497121" w:rsidRPr="00752272">
        <w:rPr>
          <w:spacing w:val="-6"/>
        </w:rPr>
        <w:t xml:space="preserve">some </w:t>
      </w:r>
      <w:r w:rsidR="002C634A" w:rsidRPr="00752272">
        <w:rPr>
          <w:spacing w:val="-6"/>
        </w:rPr>
        <w:t>regional water</w:t>
      </w:r>
      <w:r w:rsidR="00704B2C" w:rsidRPr="00752272">
        <w:rPr>
          <w:spacing w:val="-6"/>
        </w:rPr>
        <w:t xml:space="preserve"> </w:t>
      </w:r>
      <w:r w:rsidR="007C4D73" w:rsidRPr="00752272">
        <w:rPr>
          <w:spacing w:val="-6"/>
        </w:rPr>
        <w:t>systems</w:t>
      </w:r>
      <w:r w:rsidR="00871E1B" w:rsidRPr="00752272">
        <w:rPr>
          <w:spacing w:val="-6"/>
        </w:rPr>
        <w:t xml:space="preserve"> </w:t>
      </w:r>
      <w:r w:rsidR="004F119C" w:rsidRPr="00752272">
        <w:rPr>
          <w:spacing w:val="-6"/>
        </w:rPr>
        <w:t>…</w:t>
      </w:r>
      <w:bookmarkEnd w:id="14"/>
    </w:p>
    <w:p w14:paraId="372537FE" w14:textId="2C2C1914" w:rsidR="00DF2055" w:rsidRPr="00752272" w:rsidRDefault="00B731C1" w:rsidP="00A93FB0">
      <w:pPr>
        <w:pStyle w:val="BodyText"/>
        <w:keepNext/>
        <w:rPr>
          <w:spacing w:val="-2"/>
        </w:rPr>
      </w:pPr>
      <w:r w:rsidRPr="00752272">
        <w:rPr>
          <w:spacing w:val="-2"/>
        </w:rPr>
        <w:t>Recent</w:t>
      </w:r>
      <w:r w:rsidR="00DF2055" w:rsidRPr="00752272">
        <w:rPr>
          <w:spacing w:val="-2"/>
        </w:rPr>
        <w:t xml:space="preserve"> drought</w:t>
      </w:r>
      <w:r w:rsidRPr="00752272">
        <w:rPr>
          <w:spacing w:val="-2"/>
        </w:rPr>
        <w:t xml:space="preserve"> conditions in </w:t>
      </w:r>
      <w:r w:rsidR="00B324D9" w:rsidRPr="00752272">
        <w:rPr>
          <w:spacing w:val="-2"/>
        </w:rPr>
        <w:t xml:space="preserve">New South Wales, Queensland and </w:t>
      </w:r>
      <w:r w:rsidR="007C4D73" w:rsidRPr="00752272">
        <w:rPr>
          <w:spacing w:val="-2"/>
        </w:rPr>
        <w:t>Western Australia</w:t>
      </w:r>
      <w:r w:rsidR="007C4D73" w:rsidRPr="00752272" w:rsidDel="00B324D9">
        <w:rPr>
          <w:spacing w:val="-2"/>
        </w:rPr>
        <w:t xml:space="preserve"> </w:t>
      </w:r>
      <w:r w:rsidR="00DF2055" w:rsidRPr="00752272">
        <w:rPr>
          <w:spacing w:val="-2"/>
        </w:rPr>
        <w:t>were</w:t>
      </w:r>
      <w:r w:rsidRPr="00752272">
        <w:rPr>
          <w:spacing w:val="-2"/>
        </w:rPr>
        <w:t xml:space="preserve">, in some ways, </w:t>
      </w:r>
      <w:r w:rsidR="00DF2055" w:rsidRPr="00752272">
        <w:rPr>
          <w:spacing w:val="-2"/>
        </w:rPr>
        <w:t>unparalleled</w:t>
      </w:r>
      <w:r w:rsidR="007C4D73" w:rsidRPr="00752272">
        <w:rPr>
          <w:spacing w:val="-2"/>
        </w:rPr>
        <w:t xml:space="preserve">. </w:t>
      </w:r>
      <w:r w:rsidR="00DF2055" w:rsidRPr="00752272">
        <w:rPr>
          <w:spacing w:val="-2"/>
        </w:rPr>
        <w:t xml:space="preserve">The </w:t>
      </w:r>
      <w:r w:rsidR="00385453" w:rsidRPr="00752272">
        <w:rPr>
          <w:spacing w:val="-2"/>
        </w:rPr>
        <w:t>Bureau of Meteorology</w:t>
      </w:r>
      <w:r w:rsidR="00DF2055" w:rsidRPr="00752272">
        <w:rPr>
          <w:spacing w:val="-2"/>
        </w:rPr>
        <w:t xml:space="preserve"> </w:t>
      </w:r>
      <w:r w:rsidR="00F66CB5" w:rsidRPr="00752272">
        <w:rPr>
          <w:spacing w:val="-2"/>
        </w:rPr>
        <w:t>(2020a</w:t>
      </w:r>
      <w:r w:rsidR="008E6379" w:rsidRPr="00752272">
        <w:rPr>
          <w:spacing w:val="-2"/>
        </w:rPr>
        <w:t>, p 1</w:t>
      </w:r>
      <w:r w:rsidR="00F66CB5" w:rsidRPr="00752272">
        <w:rPr>
          <w:spacing w:val="-2"/>
        </w:rPr>
        <w:t xml:space="preserve">) </w:t>
      </w:r>
      <w:r w:rsidR="00DF2055" w:rsidRPr="00752272">
        <w:rPr>
          <w:spacing w:val="-2"/>
        </w:rPr>
        <w:t>reported that the recent drought:</w:t>
      </w:r>
    </w:p>
    <w:p w14:paraId="4D3BDB01" w14:textId="72EBE56A" w:rsidR="00DF2055" w:rsidRDefault="00465C18" w:rsidP="0043783E">
      <w:pPr>
        <w:pStyle w:val="Quote"/>
        <w:keepNext/>
      </w:pPr>
      <w:r>
        <w:t>…. </w:t>
      </w:r>
      <w:r w:rsidR="00DF2055">
        <w:t xml:space="preserve">was </w:t>
      </w:r>
      <w:r w:rsidR="00DF2055" w:rsidRPr="006A7BB8">
        <w:t>a situation with no clear historical precedent</w:t>
      </w:r>
      <w:r w:rsidR="000F54E3">
        <w:t xml:space="preserve"> </w:t>
      </w:r>
      <w:r w:rsidR="00DF2055">
        <w:t>…</w:t>
      </w:r>
      <w:r w:rsidR="00DF2055" w:rsidRPr="006A7BB8">
        <w:t xml:space="preserve"> </w:t>
      </w:r>
      <w:r w:rsidR="00DF2055">
        <w:t>T</w:t>
      </w:r>
      <w:r w:rsidR="00DF2055" w:rsidRPr="00A436A8">
        <w:t>he three years from January 2017 to December 2019 were the driest on record for any 36-month period starting in January, when averaged over the Murray–Darling Basin and New South Wales</w:t>
      </w:r>
      <w:r w:rsidR="000F54E3">
        <w:t xml:space="preserve"> </w:t>
      </w:r>
      <w:r w:rsidR="00DF2055">
        <w:t>… Other areas affected by longer</w:t>
      </w:r>
      <w:r w:rsidR="00985904">
        <w:noBreakHyphen/>
      </w:r>
      <w:r w:rsidR="00DF2055">
        <w:t>term rainfall deficiencies included:</w:t>
      </w:r>
    </w:p>
    <w:p w14:paraId="0C4D9666" w14:textId="77777777" w:rsidR="00DF2055" w:rsidRDefault="00DF2055" w:rsidP="00DF2055">
      <w:pPr>
        <w:pStyle w:val="QuoteBullet"/>
      </w:pPr>
      <w:r>
        <w:t>eastern Victoria</w:t>
      </w:r>
    </w:p>
    <w:p w14:paraId="178F8326" w14:textId="77777777" w:rsidR="00DF2055" w:rsidRDefault="00DF2055" w:rsidP="00DF2055">
      <w:pPr>
        <w:pStyle w:val="QuoteBullet"/>
      </w:pPr>
      <w:r>
        <w:t>eastern and northern Tasmania</w:t>
      </w:r>
    </w:p>
    <w:p w14:paraId="77A71634" w14:textId="77777777" w:rsidR="00DF2055" w:rsidRDefault="00DF2055" w:rsidP="00DF2055">
      <w:pPr>
        <w:pStyle w:val="QuoteBullet"/>
      </w:pPr>
      <w:r>
        <w:t>eastern South Australia except for the southeast and some parts of the southwest</w:t>
      </w:r>
    </w:p>
    <w:p w14:paraId="600BBB14" w14:textId="403415FB" w:rsidR="00DF2055" w:rsidRDefault="00DF2055" w:rsidP="00DF2055">
      <w:pPr>
        <w:pStyle w:val="QuoteBullet"/>
      </w:pPr>
      <w:r>
        <w:t>Western Australia</w:t>
      </w:r>
      <w:r w:rsidR="00465C18">
        <w:t>.</w:t>
      </w:r>
    </w:p>
    <w:p w14:paraId="22DF9D7A" w14:textId="72CC28D5" w:rsidR="008457F6" w:rsidRDefault="007C4D73" w:rsidP="00A93FB0">
      <w:pPr>
        <w:pStyle w:val="BodyText"/>
        <w:keepNext/>
      </w:pPr>
      <w:r>
        <w:lastRenderedPageBreak/>
        <w:t xml:space="preserve">Yet some responses to </w:t>
      </w:r>
      <w:r w:rsidR="00DF2055">
        <w:t xml:space="preserve">the </w:t>
      </w:r>
      <w:r>
        <w:t xml:space="preserve">dry conditions </w:t>
      </w:r>
      <w:r w:rsidR="00D21E82">
        <w:t>indicate</w:t>
      </w:r>
      <w:r w:rsidR="00DF2055">
        <w:t>d</w:t>
      </w:r>
      <w:r w:rsidR="00D21E82">
        <w:t xml:space="preserve"> </w:t>
      </w:r>
      <w:r>
        <w:t xml:space="preserve">a lack of planning and </w:t>
      </w:r>
      <w:r w:rsidR="00A80971">
        <w:t xml:space="preserve">preparation, </w:t>
      </w:r>
      <w:r w:rsidR="00A93FB0">
        <w:t>or inadequacies in</w:t>
      </w:r>
      <w:r w:rsidR="00A80971">
        <w:t xml:space="preserve"> </w:t>
      </w:r>
      <w:r w:rsidR="00A93FB0">
        <w:t xml:space="preserve">the </w:t>
      </w:r>
      <w:r w:rsidR="00A80971">
        <w:t xml:space="preserve">emergency response plans in place prior to </w:t>
      </w:r>
      <w:r w:rsidR="00B04F0B">
        <w:t xml:space="preserve">the </w:t>
      </w:r>
      <w:r w:rsidR="00A80971">
        <w:t xml:space="preserve">drought. </w:t>
      </w:r>
      <w:r w:rsidR="00385453">
        <w:t xml:space="preserve">Local Government NSW </w:t>
      </w:r>
      <w:r w:rsidR="008457F6">
        <w:t>(s</w:t>
      </w:r>
      <w:r w:rsidR="00AD7D18">
        <w:t>ub</w:t>
      </w:r>
      <w:r w:rsidR="0084654C">
        <w:t>.</w:t>
      </w:r>
      <w:r w:rsidR="00AD7D18">
        <w:t> </w:t>
      </w:r>
      <w:r w:rsidR="00B731C1">
        <w:t>75, p. 4) highlighted that:</w:t>
      </w:r>
    </w:p>
    <w:p w14:paraId="77A911D5" w14:textId="77777777" w:rsidR="008457F6" w:rsidRDefault="008457F6" w:rsidP="008457F6">
      <w:pPr>
        <w:pStyle w:val="Quote"/>
      </w:pPr>
      <w:r>
        <w:t xml:space="preserve">… </w:t>
      </w:r>
      <w:r w:rsidRPr="005B6FCC">
        <w:t xml:space="preserve">the extensive and devastating drought </w:t>
      </w:r>
      <w:r>
        <w:t>…</w:t>
      </w:r>
      <w:r w:rsidRPr="005B6FCC">
        <w:t xml:space="preserve"> has exposed serious shortcomings in drought preparedness, response and resilience that has posed a serious threat to communities including those who have never experienced drought conditions before</w:t>
      </w:r>
      <w:r>
        <w:t>.</w:t>
      </w:r>
    </w:p>
    <w:p w14:paraId="11532760" w14:textId="002DFDF5" w:rsidR="00725D5D" w:rsidRPr="00752272" w:rsidRDefault="00385453" w:rsidP="00E93A2C">
      <w:pPr>
        <w:pStyle w:val="BodyText"/>
        <w:rPr>
          <w:spacing w:val="-2"/>
        </w:rPr>
      </w:pPr>
      <w:r w:rsidRPr="00752272">
        <w:rPr>
          <w:spacing w:val="-2"/>
        </w:rPr>
        <w:t xml:space="preserve">The Central NSW Joint Organisation </w:t>
      </w:r>
      <w:r w:rsidR="00950C8B" w:rsidRPr="00752272">
        <w:rPr>
          <w:spacing w:val="-2"/>
        </w:rPr>
        <w:t>(sub. 55, p.</w:t>
      </w:r>
      <w:r w:rsidR="009D28A0" w:rsidRPr="00752272">
        <w:rPr>
          <w:spacing w:val="-2"/>
        </w:rPr>
        <w:t> </w:t>
      </w:r>
      <w:r w:rsidR="00950C8B" w:rsidRPr="00752272">
        <w:rPr>
          <w:spacing w:val="-2"/>
        </w:rPr>
        <w:t xml:space="preserve">22) </w:t>
      </w:r>
      <w:r w:rsidR="007B6905" w:rsidRPr="00752272">
        <w:rPr>
          <w:spacing w:val="-2"/>
        </w:rPr>
        <w:t xml:space="preserve">viewed </w:t>
      </w:r>
      <w:r w:rsidR="00950C8B" w:rsidRPr="00752272">
        <w:rPr>
          <w:spacing w:val="-2"/>
        </w:rPr>
        <w:t xml:space="preserve">that the New South Wales Government’s passing of the </w:t>
      </w:r>
      <w:r w:rsidR="00950C8B" w:rsidRPr="00752272">
        <w:rPr>
          <w:i/>
          <w:spacing w:val="-2"/>
        </w:rPr>
        <w:t xml:space="preserve">Water Supply </w:t>
      </w:r>
      <w:r w:rsidR="00F7506B" w:rsidRPr="00752272">
        <w:rPr>
          <w:i/>
          <w:spacing w:val="-2"/>
        </w:rPr>
        <w:t>(Critical Needs) Act 2019,</w:t>
      </w:r>
      <w:r w:rsidR="00950C8B" w:rsidRPr="00752272">
        <w:rPr>
          <w:spacing w:val="-2"/>
        </w:rPr>
        <w:t xml:space="preserve"> which aimed to expedite certain ma</w:t>
      </w:r>
      <w:r w:rsidR="00F7506B" w:rsidRPr="00752272">
        <w:rPr>
          <w:spacing w:val="-2"/>
        </w:rPr>
        <w:t>jor water security investments,</w:t>
      </w:r>
      <w:r w:rsidR="00950C8B" w:rsidRPr="00752272">
        <w:rPr>
          <w:spacing w:val="-2"/>
        </w:rPr>
        <w:t xml:space="preserve"> demonstrates ‘the failure of the existing system’.</w:t>
      </w:r>
    </w:p>
    <w:p w14:paraId="011A5F60" w14:textId="6C2194FA" w:rsidR="00725D5D" w:rsidRDefault="008457F6" w:rsidP="00B731C1">
      <w:pPr>
        <w:pStyle w:val="BodyText"/>
        <w:keepNext/>
      </w:pPr>
      <w:r w:rsidRPr="004F7075">
        <w:t>During 2020, the COVID</w:t>
      </w:r>
      <w:r w:rsidRPr="004F7075">
        <w:noBreakHyphen/>
        <w:t xml:space="preserve">19 pandemic created </w:t>
      </w:r>
      <w:r>
        <w:t xml:space="preserve">further </w:t>
      </w:r>
      <w:r w:rsidRPr="004F7075">
        <w:t xml:space="preserve">challenges for </w:t>
      </w:r>
      <w:r w:rsidR="00B731C1">
        <w:t>some</w:t>
      </w:r>
      <w:r>
        <w:t xml:space="preserve"> </w:t>
      </w:r>
      <w:r w:rsidRPr="004F7075">
        <w:t xml:space="preserve">regional and remote water </w:t>
      </w:r>
      <w:r w:rsidR="00B731C1">
        <w:t>supplies</w:t>
      </w:r>
      <w:r w:rsidRPr="004F7075">
        <w:t xml:space="preserve">. </w:t>
      </w:r>
      <w:r w:rsidR="00B731C1">
        <w:t>S</w:t>
      </w:r>
      <w:r w:rsidR="00CA5BAF" w:rsidRPr="00553D9C">
        <w:t xml:space="preserve">maller providers </w:t>
      </w:r>
      <w:r w:rsidR="00B731C1">
        <w:t xml:space="preserve">were found to have </w:t>
      </w:r>
      <w:r w:rsidR="00CA5BAF" w:rsidRPr="00553D9C">
        <w:t xml:space="preserve">little or no redundancy </w:t>
      </w:r>
      <w:r w:rsidR="00CA5BAF">
        <w:t xml:space="preserve">in essential </w:t>
      </w:r>
      <w:r w:rsidR="00CA5BAF" w:rsidRPr="00553D9C">
        <w:t>skills</w:t>
      </w:r>
      <w:r w:rsidR="00CA5BAF">
        <w:t xml:space="preserve">, </w:t>
      </w:r>
      <w:r w:rsidR="00B731C1">
        <w:t>meaning</w:t>
      </w:r>
      <w:r w:rsidR="00CA5BAF">
        <w:t xml:space="preserve"> water supply system</w:t>
      </w:r>
      <w:r w:rsidR="002A6F08">
        <w:t>s</w:t>
      </w:r>
      <w:r w:rsidR="00CA5BAF">
        <w:t xml:space="preserve"> </w:t>
      </w:r>
      <w:r w:rsidR="002A6F08">
        <w:t xml:space="preserve">were </w:t>
      </w:r>
      <w:r w:rsidR="00CA5BAF">
        <w:t>vulnerable in the event of a shock (such as a local COVID</w:t>
      </w:r>
      <w:r w:rsidR="00CA5BAF">
        <w:noBreakHyphen/>
        <w:t>19 outbreak)</w:t>
      </w:r>
      <w:r>
        <w:t>.</w:t>
      </w:r>
      <w:r w:rsidR="00CA5BAF" w:rsidRPr="00553D9C">
        <w:t xml:space="preserve"> </w:t>
      </w:r>
      <w:proofErr w:type="spellStart"/>
      <w:r w:rsidR="00CA5BAF" w:rsidRPr="00553D9C">
        <w:t>Qldwater</w:t>
      </w:r>
      <w:proofErr w:type="spellEnd"/>
      <w:r>
        <w:t xml:space="preserve"> (sub. 47, p. 9</w:t>
      </w:r>
      <w:r w:rsidR="00CA5BAF" w:rsidRPr="00553D9C">
        <w:t>)</w:t>
      </w:r>
      <w:r>
        <w:t xml:space="preserve"> </w:t>
      </w:r>
      <w:r w:rsidR="00165FF1">
        <w:t>noted</w:t>
      </w:r>
      <w:r>
        <w:t>:</w:t>
      </w:r>
    </w:p>
    <w:p w14:paraId="7E0FF728" w14:textId="1131EC50" w:rsidR="008457F6" w:rsidRDefault="008457F6" w:rsidP="008457F6">
      <w:pPr>
        <w:pStyle w:val="Quote"/>
      </w:pPr>
      <w:r>
        <w:t>…</w:t>
      </w:r>
      <w:r w:rsidR="00641710">
        <w:t xml:space="preserve"> </w:t>
      </w:r>
      <w:r w:rsidRPr="00287A0F">
        <w:t xml:space="preserve">several risks </w:t>
      </w:r>
      <w:r w:rsidR="00B731C1">
        <w:t xml:space="preserve">… </w:t>
      </w:r>
      <w:r w:rsidRPr="00287A0F">
        <w:t xml:space="preserve">including many “highly vulnerable” councils where there was little or no redundancy in essential </w:t>
      </w:r>
      <w:proofErr w:type="gramStart"/>
      <w:r w:rsidRPr="00287A0F">
        <w:t>skills</w:t>
      </w:r>
      <w:r>
        <w:t>;</w:t>
      </w:r>
      <w:proofErr w:type="gramEnd"/>
      <w:r>
        <w:t xml:space="preserve"> e.g. drinking water operators. </w:t>
      </w:r>
      <w:r w:rsidRPr="00287A0F">
        <w:t>These risks existed before COVID</w:t>
      </w:r>
      <w:r>
        <w:t xml:space="preserve"> (and are symptoms of the broader institutional and investment issues described elsewhere in this submission).</w:t>
      </w:r>
    </w:p>
    <w:p w14:paraId="1AB4EF59" w14:textId="2E4E74DD" w:rsidR="008457F6" w:rsidRPr="004F7075" w:rsidRDefault="008457F6" w:rsidP="009D28A0">
      <w:pPr>
        <w:pStyle w:val="BodyText"/>
        <w:keepNext/>
      </w:pPr>
      <w:r>
        <w:t xml:space="preserve">And </w:t>
      </w:r>
      <w:r w:rsidRPr="004F7075">
        <w:t xml:space="preserve">the </w:t>
      </w:r>
      <w:r w:rsidR="00385453">
        <w:t>Local Government Association of Queensland</w:t>
      </w:r>
      <w:r w:rsidRPr="004F7075">
        <w:t xml:space="preserve"> (sub. 32, p. 4)</w:t>
      </w:r>
      <w:r w:rsidR="00950C8B">
        <w:t xml:space="preserve"> observed that</w:t>
      </w:r>
      <w:r w:rsidRPr="004F7075">
        <w:t>:</w:t>
      </w:r>
    </w:p>
    <w:p w14:paraId="2A4EE07B" w14:textId="24E180EF" w:rsidR="008457F6" w:rsidRPr="004F7075" w:rsidRDefault="008457F6" w:rsidP="008457F6">
      <w:pPr>
        <w:pStyle w:val="Quote"/>
      </w:pPr>
      <w:r w:rsidRPr="004F7075">
        <w:t>COVID</w:t>
      </w:r>
      <w:r w:rsidR="00985904">
        <w:noBreakHyphen/>
      </w:r>
      <w:r w:rsidRPr="004F7075">
        <w:t>19 has brought to light issues in planning for future pandemics. Contingency planning for supplies (such as chemicals for treatment plants), critical spares (pipes, valves etc) and resources (technical and financial support) is imperative to ensure communities are supported throughout a public health crisis with safe and reliable water supply</w:t>
      </w:r>
      <w:r>
        <w:t>.</w:t>
      </w:r>
    </w:p>
    <w:p w14:paraId="41E51714" w14:textId="1145DFE2" w:rsidR="006E0F39" w:rsidRDefault="008457F6" w:rsidP="00E93A2C">
      <w:pPr>
        <w:pStyle w:val="BodyText"/>
      </w:pPr>
      <w:r>
        <w:t xml:space="preserve">As noted by </w:t>
      </w:r>
      <w:proofErr w:type="spellStart"/>
      <w:r>
        <w:t>qldwater</w:t>
      </w:r>
      <w:proofErr w:type="spellEnd"/>
      <w:r w:rsidR="00A93FB0">
        <w:t xml:space="preserve"> (sub. 47)</w:t>
      </w:r>
      <w:r>
        <w:t>,</w:t>
      </w:r>
      <w:r w:rsidR="00A80971">
        <w:t xml:space="preserve"> th</w:t>
      </w:r>
      <w:r w:rsidR="000F54E3">
        <w:t xml:space="preserve">e lack of preparedness </w:t>
      </w:r>
      <w:r>
        <w:t>reflect</w:t>
      </w:r>
      <w:r w:rsidR="00B731C1">
        <w:t>s</w:t>
      </w:r>
      <w:r w:rsidR="007C4D73">
        <w:t xml:space="preserve"> </w:t>
      </w:r>
      <w:r w:rsidR="00B731C1">
        <w:t xml:space="preserve">broader </w:t>
      </w:r>
      <w:r w:rsidR="0082316F">
        <w:t>issues</w:t>
      </w:r>
      <w:r w:rsidR="007C4D73">
        <w:t xml:space="preserve"> </w:t>
      </w:r>
      <w:r w:rsidR="00A80971">
        <w:t>in</w:t>
      </w:r>
      <w:r w:rsidR="007C4D73">
        <w:t xml:space="preserve"> </w:t>
      </w:r>
      <w:r w:rsidR="00CA5BAF">
        <w:t xml:space="preserve">the </w:t>
      </w:r>
      <w:r w:rsidR="00A80971">
        <w:t>capability</w:t>
      </w:r>
      <w:r w:rsidR="00CA5BAF">
        <w:t xml:space="preserve"> </w:t>
      </w:r>
      <w:r w:rsidR="00A80971">
        <w:t xml:space="preserve">of </w:t>
      </w:r>
      <w:r w:rsidR="00165FF1">
        <w:t xml:space="preserve">some </w:t>
      </w:r>
      <w:r w:rsidR="00CA5BAF">
        <w:t xml:space="preserve">regional </w:t>
      </w:r>
      <w:r w:rsidR="007C4D73">
        <w:t>water supplie</w:t>
      </w:r>
      <w:r w:rsidR="00B0485C">
        <w:t>r</w:t>
      </w:r>
      <w:r w:rsidR="00A80971">
        <w:t>s:</w:t>
      </w:r>
      <w:r w:rsidR="007C4D73">
        <w:t xml:space="preserve"> </w:t>
      </w:r>
      <w:r w:rsidR="00CA5BAF">
        <w:t xml:space="preserve">many </w:t>
      </w:r>
      <w:r w:rsidR="00B731C1">
        <w:t>are small, have limited financial resources</w:t>
      </w:r>
      <w:r w:rsidR="00D05142">
        <w:t>,</w:t>
      </w:r>
      <w:r w:rsidR="0082316F">
        <w:t xml:space="preserve"> and </w:t>
      </w:r>
      <w:r w:rsidR="00B731C1">
        <w:t xml:space="preserve">do not have the skills or </w:t>
      </w:r>
      <w:r w:rsidR="00D05142">
        <w:t xml:space="preserve">organisational </w:t>
      </w:r>
      <w:r w:rsidR="0082316F">
        <w:t xml:space="preserve">capability </w:t>
      </w:r>
      <w:r w:rsidR="00CA5BAF">
        <w:t xml:space="preserve">to undertake complex planning </w:t>
      </w:r>
      <w:r w:rsidR="00CA5BAF" w:rsidRPr="006039E1">
        <w:t>activities.</w:t>
      </w:r>
      <w:r w:rsidRPr="006039E1">
        <w:t xml:space="preserve"> </w:t>
      </w:r>
      <w:r w:rsidR="00A93FB0">
        <w:t>Ongoing</w:t>
      </w:r>
      <w:r w:rsidR="006E0F39">
        <w:t xml:space="preserve"> under</w:t>
      </w:r>
      <w:r w:rsidR="00165FF1">
        <w:noBreakHyphen/>
      </w:r>
      <w:r w:rsidR="006E0F39">
        <w:t xml:space="preserve">pricing of </w:t>
      </w:r>
      <w:r w:rsidR="007B6905">
        <w:t xml:space="preserve">some </w:t>
      </w:r>
      <w:r w:rsidR="006E0F39">
        <w:t>water services</w:t>
      </w:r>
      <w:r w:rsidR="00465C18">
        <w:t xml:space="preserve">, alongside continued grant funding, </w:t>
      </w:r>
      <w:r w:rsidR="006E0F39">
        <w:t>indicates that some providers are not financially sustainable</w:t>
      </w:r>
      <w:r w:rsidR="007B6905">
        <w:t xml:space="preserve"> (</w:t>
      </w:r>
      <w:r w:rsidR="005112C3" w:rsidRPr="005112C3">
        <w:rPr>
          <w:i/>
          <w:iCs/>
        </w:rPr>
        <w:t>A</w:t>
      </w:r>
      <w:r w:rsidR="007B6905" w:rsidRPr="006E0F39">
        <w:rPr>
          <w:i/>
        </w:rPr>
        <w:t>ssessment</w:t>
      </w:r>
      <w:r w:rsidR="007B6905">
        <w:t>)</w:t>
      </w:r>
      <w:r w:rsidR="006E0F39">
        <w:t xml:space="preserve">. </w:t>
      </w:r>
      <w:r w:rsidR="00A93FB0">
        <w:t xml:space="preserve">Where utilities </w:t>
      </w:r>
      <w:r w:rsidR="006E0F39">
        <w:t xml:space="preserve">do not </w:t>
      </w:r>
      <w:r w:rsidR="00A93FB0">
        <w:t xml:space="preserve">earn enough revenue to </w:t>
      </w:r>
      <w:r w:rsidR="006E0F39">
        <w:t xml:space="preserve">cover ongoing operational and maintenance costs, they are </w:t>
      </w:r>
      <w:r w:rsidR="006E0F39" w:rsidRPr="008B4A39">
        <w:t xml:space="preserve">unlikely to be able to fund </w:t>
      </w:r>
      <w:r w:rsidR="006E0F39">
        <w:t xml:space="preserve">the </w:t>
      </w:r>
      <w:r w:rsidR="006E0F39" w:rsidRPr="008B4A39">
        <w:t>infrastructure renewals necessary to maintain service</w:t>
      </w:r>
      <w:r w:rsidR="006E0F39">
        <w:t xml:space="preserve"> standards over time, including </w:t>
      </w:r>
      <w:r w:rsidR="00465C18">
        <w:t xml:space="preserve">maintaining water supplies during </w:t>
      </w:r>
      <w:r w:rsidR="006E0F39">
        <w:t>extreme events.</w:t>
      </w:r>
    </w:p>
    <w:p w14:paraId="21518C2B" w14:textId="148935F1" w:rsidR="008457F6" w:rsidRPr="00752272" w:rsidRDefault="00CA5BAF" w:rsidP="0011193D">
      <w:pPr>
        <w:pStyle w:val="BodyText"/>
        <w:keepNext/>
        <w:rPr>
          <w:spacing w:val="-2"/>
        </w:rPr>
      </w:pPr>
      <w:r w:rsidRPr="00752272">
        <w:rPr>
          <w:spacing w:val="-2"/>
        </w:rPr>
        <w:t>Yet t</w:t>
      </w:r>
      <w:r w:rsidR="003D6B5D" w:rsidRPr="00752272">
        <w:rPr>
          <w:spacing w:val="-2"/>
        </w:rPr>
        <w:t xml:space="preserve">he recent drought in </w:t>
      </w:r>
      <w:r w:rsidR="008457F6" w:rsidRPr="00752272">
        <w:rPr>
          <w:spacing w:val="-2"/>
        </w:rPr>
        <w:t>e</w:t>
      </w:r>
      <w:r w:rsidR="003D6B5D" w:rsidRPr="00752272">
        <w:rPr>
          <w:spacing w:val="-2"/>
        </w:rPr>
        <w:t>astern Australia has been severe enough to test even larger and more well</w:t>
      </w:r>
      <w:r w:rsidR="003D6B5D" w:rsidRPr="00752272">
        <w:rPr>
          <w:spacing w:val="-2"/>
        </w:rPr>
        <w:noBreakHyphen/>
        <w:t xml:space="preserve">resourced </w:t>
      </w:r>
      <w:r w:rsidR="00704B2C" w:rsidRPr="00752272">
        <w:rPr>
          <w:spacing w:val="-2"/>
        </w:rPr>
        <w:t xml:space="preserve">regional </w:t>
      </w:r>
      <w:r w:rsidR="00432588" w:rsidRPr="00752272">
        <w:rPr>
          <w:spacing w:val="-2"/>
        </w:rPr>
        <w:t>utilities</w:t>
      </w:r>
      <w:r w:rsidR="008457F6" w:rsidRPr="00752272">
        <w:rPr>
          <w:spacing w:val="-2"/>
        </w:rPr>
        <w:t>.</w:t>
      </w:r>
      <w:r w:rsidR="003D6B5D" w:rsidRPr="00752272">
        <w:rPr>
          <w:spacing w:val="-2"/>
        </w:rPr>
        <w:t xml:space="preserve"> </w:t>
      </w:r>
      <w:r w:rsidR="00420DF2" w:rsidRPr="00752272">
        <w:rPr>
          <w:spacing w:val="-2"/>
        </w:rPr>
        <w:t>T</w:t>
      </w:r>
      <w:r w:rsidR="008457F6" w:rsidRPr="00752272">
        <w:rPr>
          <w:spacing w:val="-2"/>
        </w:rPr>
        <w:t>he NSW Water Directorate (sub. 37, p. 7) highlighted the case of Tamworth</w:t>
      </w:r>
      <w:r w:rsidR="006039E1" w:rsidRPr="00752272">
        <w:rPr>
          <w:spacing w:val="-2"/>
        </w:rPr>
        <w:t xml:space="preserve"> (a regional city with a population of 4</w:t>
      </w:r>
      <w:r w:rsidR="009F14B5" w:rsidRPr="00752272">
        <w:rPr>
          <w:spacing w:val="-2"/>
        </w:rPr>
        <w:t>3</w:t>
      </w:r>
      <w:r w:rsidR="006039E1" w:rsidRPr="00752272">
        <w:rPr>
          <w:spacing w:val="-2"/>
        </w:rPr>
        <w:t> </w:t>
      </w:r>
      <w:r w:rsidR="009F14B5" w:rsidRPr="00752272">
        <w:rPr>
          <w:spacing w:val="-2"/>
        </w:rPr>
        <w:t>2</w:t>
      </w:r>
      <w:r w:rsidR="006039E1" w:rsidRPr="00752272">
        <w:rPr>
          <w:spacing w:val="-2"/>
        </w:rPr>
        <w:t>00 people</w:t>
      </w:r>
      <w:r w:rsidR="009F14B5" w:rsidRPr="00752272">
        <w:rPr>
          <w:spacing w:val="-2"/>
        </w:rPr>
        <w:t xml:space="preserve"> </w:t>
      </w:r>
      <w:r w:rsidR="009F14B5" w:rsidRPr="00752272">
        <w:rPr>
          <w:spacing w:val="-2"/>
          <w:szCs w:val="24"/>
        </w:rPr>
        <w:t>(ABS 2019)</w:t>
      </w:r>
      <w:r w:rsidR="006039E1" w:rsidRPr="00752272">
        <w:rPr>
          <w:spacing w:val="-2"/>
        </w:rPr>
        <w:t>)</w:t>
      </w:r>
      <w:r w:rsidR="00420DF2" w:rsidRPr="00752272">
        <w:rPr>
          <w:spacing w:val="-2"/>
        </w:rPr>
        <w:t xml:space="preserve">, reflecting both </w:t>
      </w:r>
      <w:r w:rsidR="00216828" w:rsidRPr="00752272">
        <w:rPr>
          <w:spacing w:val="-2"/>
        </w:rPr>
        <w:t xml:space="preserve">on </w:t>
      </w:r>
      <w:r w:rsidR="00420DF2" w:rsidRPr="00752272">
        <w:rPr>
          <w:spacing w:val="-2"/>
        </w:rPr>
        <w:t xml:space="preserve">local planning decisions and the catchment water </w:t>
      </w:r>
      <w:r w:rsidR="00216828" w:rsidRPr="00752272">
        <w:rPr>
          <w:spacing w:val="-2"/>
        </w:rPr>
        <w:t xml:space="preserve">sharing </w:t>
      </w:r>
      <w:r w:rsidR="00031F6C" w:rsidRPr="00752272">
        <w:rPr>
          <w:spacing w:val="-2"/>
        </w:rPr>
        <w:t>plan.</w:t>
      </w:r>
    </w:p>
    <w:p w14:paraId="3C94F0CD" w14:textId="4E3A1321" w:rsidR="00725D5D" w:rsidRDefault="008457F6" w:rsidP="008457F6">
      <w:pPr>
        <w:pStyle w:val="Quote"/>
      </w:pPr>
      <w:r w:rsidRPr="00A20CD1">
        <w:t>The current experience is that water sharing plans in some parts of regional NSW are not as effective as they could be for protecting town water supplies, notwithstanding some significant investment in water security infrastructure.</w:t>
      </w:r>
      <w:r>
        <w:t xml:space="preserve"> For example, Tamworth in the Namoi</w:t>
      </w:r>
      <w:r w:rsidR="00985904">
        <w:noBreakHyphen/>
      </w:r>
      <w:r>
        <w:t>Peel valley has been on Level 5 restrictions for 11 months since 23</w:t>
      </w:r>
      <w:r w:rsidR="00985904">
        <w:t> </w:t>
      </w:r>
      <w:r>
        <w:t xml:space="preserve">September 2019. Tamworth’s Level 5 restrictions require residents to limit their water usage to less than 150 litres per person per day </w:t>
      </w:r>
      <w:r>
        <w:lastRenderedPageBreak/>
        <w:t xml:space="preserve">and asks businesses to reduce their consumption by at least 25%. </w:t>
      </w:r>
      <w:r w:rsidRPr="00A20CD1">
        <w:t>We do not think it is sustainable for cities the size of Tamworth to be on Level 5 restrictions for such a long length of time</w:t>
      </w:r>
      <w:r>
        <w:t>.</w:t>
      </w:r>
    </w:p>
    <w:p w14:paraId="3594C69D" w14:textId="73093B19" w:rsidR="00031F6C" w:rsidRPr="00031F6C" w:rsidRDefault="003E44FB" w:rsidP="00E93A2C">
      <w:pPr>
        <w:pStyle w:val="BodyText"/>
      </w:pPr>
      <w:r>
        <w:t>In some catchments, t</w:t>
      </w:r>
      <w:r w:rsidR="00031F6C">
        <w:t xml:space="preserve">he interplay </w:t>
      </w:r>
      <w:r>
        <w:t>between</w:t>
      </w:r>
      <w:r w:rsidR="00031F6C">
        <w:t xml:space="preserve"> </w:t>
      </w:r>
      <w:r w:rsidR="00031F6C" w:rsidRPr="00B83E96">
        <w:t>water sharing plan</w:t>
      </w:r>
      <w:r w:rsidR="00031F6C">
        <w:t>s and water allocation</w:t>
      </w:r>
      <w:r>
        <w:t xml:space="preserve"> decisions </w:t>
      </w:r>
      <w:r w:rsidR="00031F6C">
        <w:t xml:space="preserve">in some catchments </w:t>
      </w:r>
      <w:r w:rsidR="00947468">
        <w:t>are likely to</w:t>
      </w:r>
      <w:r w:rsidR="00031F6C">
        <w:t xml:space="preserve"> require review in the face of climate change. In the case of Tamworth, the city holds high security </w:t>
      </w:r>
      <w:r w:rsidR="00947468">
        <w:t xml:space="preserve">water </w:t>
      </w:r>
      <w:r w:rsidR="00031F6C">
        <w:t xml:space="preserve">entitlements </w:t>
      </w:r>
      <w:r w:rsidR="007D4FA8">
        <w:t xml:space="preserve">well </w:t>
      </w:r>
      <w:proofErr w:type="gramStart"/>
      <w:r w:rsidR="007D4FA8">
        <w:t>in excess of</w:t>
      </w:r>
      <w:proofErr w:type="gramEnd"/>
      <w:r w:rsidR="00031F6C">
        <w:t xml:space="preserve"> average annual use, with priority provided under the plan to meeting urban water needs before making allocations to general security access licenses. Yet in the year leading up to Tamworth’s level</w:t>
      </w:r>
      <w:r w:rsidR="00AD7D18">
        <w:t> </w:t>
      </w:r>
      <w:r w:rsidR="00031F6C">
        <w:t xml:space="preserve">5 restrictions, more water was distributed to general security licence holders than for urban water use </w:t>
      </w:r>
      <w:r w:rsidR="00F838A0" w:rsidRPr="00F838A0">
        <w:rPr>
          <w:szCs w:val="24"/>
        </w:rPr>
        <w:t>(</w:t>
      </w:r>
      <w:proofErr w:type="spellStart"/>
      <w:r w:rsidR="00F838A0" w:rsidRPr="00F838A0">
        <w:rPr>
          <w:szCs w:val="24"/>
        </w:rPr>
        <w:t>WaterNSW</w:t>
      </w:r>
      <w:proofErr w:type="spellEnd"/>
      <w:r w:rsidR="00F838A0" w:rsidRPr="00F838A0">
        <w:rPr>
          <w:szCs w:val="24"/>
        </w:rPr>
        <w:t> 2019)</w:t>
      </w:r>
      <w:r w:rsidR="00031F6C">
        <w:t>.</w:t>
      </w:r>
    </w:p>
    <w:p w14:paraId="28A8350B" w14:textId="53EE4B24" w:rsidR="004F119C" w:rsidRDefault="00E94382" w:rsidP="00F63966">
      <w:pPr>
        <w:pStyle w:val="Heading3"/>
      </w:pPr>
      <w:bookmarkStart w:id="15" w:name="_Toc62043651"/>
      <w:r>
        <w:t>2.3</w:t>
      </w:r>
      <w:r>
        <w:tab/>
      </w:r>
      <w:r w:rsidR="004F119C" w:rsidRPr="004F119C">
        <w:t>… and opaque arrangements</w:t>
      </w:r>
      <w:r w:rsidR="00945395">
        <w:t xml:space="preserve"> in </w:t>
      </w:r>
      <w:r w:rsidR="00DB0A24">
        <w:t>some jurisdiction</w:t>
      </w:r>
      <w:r w:rsidR="00945395">
        <w:t>-wide providers</w:t>
      </w:r>
      <w:bookmarkEnd w:id="15"/>
    </w:p>
    <w:p w14:paraId="2A469763" w14:textId="47635DB6" w:rsidR="00725D5D" w:rsidRDefault="009C416E" w:rsidP="00A00951">
      <w:pPr>
        <w:pStyle w:val="BodyText"/>
        <w:keepNext/>
      </w:pPr>
      <w:r>
        <w:t>I</w:t>
      </w:r>
      <w:r w:rsidR="006039E1">
        <w:t xml:space="preserve">nquiry </w:t>
      </w:r>
      <w:r>
        <w:t xml:space="preserve">participants </w:t>
      </w:r>
      <w:r w:rsidR="006039E1">
        <w:t>have also highlighted concerns w</w:t>
      </w:r>
      <w:r w:rsidR="00420DF2">
        <w:t xml:space="preserve">ith </w:t>
      </w:r>
      <w:r w:rsidR="009D28A0">
        <w:t xml:space="preserve">the transparency of </w:t>
      </w:r>
      <w:r w:rsidR="00420DF2">
        <w:t xml:space="preserve">regional and remote services provided </w:t>
      </w:r>
      <w:r w:rsidR="006039E1">
        <w:t xml:space="preserve">by larger </w:t>
      </w:r>
      <w:r w:rsidR="009D28A0">
        <w:t>State</w:t>
      </w:r>
      <w:r w:rsidR="009F14B5">
        <w:t xml:space="preserve"> and Territory </w:t>
      </w:r>
      <w:r w:rsidR="00E431AD">
        <w:t>G</w:t>
      </w:r>
      <w:r w:rsidR="009F14B5">
        <w:t>overnment</w:t>
      </w:r>
      <w:r w:rsidR="009D28A0">
        <w:noBreakHyphen/>
        <w:t xml:space="preserve">owned </w:t>
      </w:r>
      <w:r w:rsidR="006039E1">
        <w:t>utilities</w:t>
      </w:r>
      <w:r w:rsidR="00420DF2">
        <w:t>.</w:t>
      </w:r>
    </w:p>
    <w:p w14:paraId="261EA7BC" w14:textId="201C194D" w:rsidR="00BE0AE3" w:rsidRDefault="00F90632" w:rsidP="00E93A2C">
      <w:pPr>
        <w:pStyle w:val="ListBullet"/>
      </w:pPr>
      <w:r w:rsidRPr="00BE0AE3">
        <w:t>While the Northern Territory’s Power and Water Corporation services major towns, a not</w:t>
      </w:r>
      <w:r w:rsidR="00641710">
        <w:noBreakHyphen/>
      </w:r>
      <w:r w:rsidRPr="00BE0AE3">
        <w:t>for</w:t>
      </w:r>
      <w:r w:rsidR="00641710">
        <w:noBreakHyphen/>
      </w:r>
      <w:r w:rsidRPr="00BE0AE3">
        <w:t>profit subsidiary</w:t>
      </w:r>
      <w:r w:rsidR="00B324D9">
        <w:t xml:space="preserve">, </w:t>
      </w:r>
      <w:r w:rsidRPr="00BE0AE3">
        <w:t>IES</w:t>
      </w:r>
      <w:r w:rsidR="00B324D9">
        <w:t>,</w:t>
      </w:r>
      <w:r w:rsidRPr="00BE0AE3">
        <w:t xml:space="preserve"> provides water and power to remote Aboriginal communities. According to the Central Land Council</w:t>
      </w:r>
      <w:r w:rsidR="00BE0AE3" w:rsidRPr="00BE0AE3">
        <w:t xml:space="preserve"> (sub. 35, p. 16)</w:t>
      </w:r>
      <w:r w:rsidRPr="00BE0AE3">
        <w:t xml:space="preserve"> IES</w:t>
      </w:r>
      <w:r w:rsidR="00BE0AE3" w:rsidRPr="00BE0AE3">
        <w:t xml:space="preserve">’s ‘operational structure and legal obligations are opaque, with no legislation mandating licensing or particular levels of service or </w:t>
      </w:r>
      <w:proofErr w:type="gramStart"/>
      <w:r w:rsidR="00BE0AE3" w:rsidRPr="00BE0AE3">
        <w:t>standards’</w:t>
      </w:r>
      <w:proofErr w:type="gramEnd"/>
      <w:r w:rsidR="00BE0AE3">
        <w:t>.</w:t>
      </w:r>
    </w:p>
    <w:p w14:paraId="47FE3E22" w14:textId="6619AE07" w:rsidR="00BE0AE3" w:rsidRPr="00BE0AE3" w:rsidRDefault="00385453" w:rsidP="00E93A2C">
      <w:pPr>
        <w:pStyle w:val="ListBullet"/>
      </w:pPr>
      <w:r w:rsidRPr="0099769D">
        <w:t xml:space="preserve">South Australian Council of Social Service </w:t>
      </w:r>
      <w:r w:rsidR="00460EB8">
        <w:t xml:space="preserve">(sub. 74, attachment B) </w:t>
      </w:r>
      <w:r w:rsidR="009D28A0">
        <w:t xml:space="preserve">provided a detailed examination of </w:t>
      </w:r>
      <w:r w:rsidR="00A93FB0">
        <w:t xml:space="preserve">regional </w:t>
      </w:r>
      <w:r w:rsidR="009D28A0">
        <w:t xml:space="preserve">water services in South Australian Aboriginal communities and </w:t>
      </w:r>
      <w:r w:rsidR="00460EB8">
        <w:t xml:space="preserve">highlighted a range of concerns, including </w:t>
      </w:r>
      <w:r w:rsidR="009D28A0">
        <w:t xml:space="preserve">the </w:t>
      </w:r>
      <w:r w:rsidR="00460EB8">
        <w:t>unclear r</w:t>
      </w:r>
      <w:r w:rsidR="00460EB8" w:rsidRPr="00460EB8">
        <w:t>esponsibilities</w:t>
      </w:r>
      <w:r w:rsidR="00460EB8">
        <w:t xml:space="preserve"> for water provision to </w:t>
      </w:r>
      <w:r w:rsidR="009D28A0">
        <w:t xml:space="preserve">those </w:t>
      </w:r>
      <w:r w:rsidR="00460EB8" w:rsidRPr="00460EB8">
        <w:t>communities</w:t>
      </w:r>
      <w:r w:rsidR="00460EB8">
        <w:t>.</w:t>
      </w:r>
    </w:p>
    <w:p w14:paraId="097A5442" w14:textId="1DDC0FA3" w:rsidR="006039E1" w:rsidRDefault="00BE0AE3" w:rsidP="00E93A2C">
      <w:pPr>
        <w:pStyle w:val="ListBullet"/>
      </w:pPr>
      <w:r>
        <w:t>T</w:t>
      </w:r>
      <w:r w:rsidR="006039E1">
        <w:t xml:space="preserve">he </w:t>
      </w:r>
      <w:r w:rsidR="006039E1" w:rsidRPr="00A80971">
        <w:t xml:space="preserve">Aboriginal Health Council of Western Australia </w:t>
      </w:r>
      <w:r w:rsidR="006039E1">
        <w:t xml:space="preserve">(sub. 97, p. 8) criticised the ‘lack of transparency around water, particularly in relation to the dissemination of testing data’ in Western </w:t>
      </w:r>
      <w:r w:rsidR="006039E1" w:rsidRPr="006039E1">
        <w:t>Australia.</w:t>
      </w:r>
    </w:p>
    <w:p w14:paraId="27C0978F" w14:textId="21AE6A51" w:rsidR="00725D5D" w:rsidRDefault="007B6FB0" w:rsidP="00E93A2C">
      <w:pPr>
        <w:pStyle w:val="BodyText"/>
      </w:pPr>
      <w:r>
        <w:t xml:space="preserve">There are further </w:t>
      </w:r>
      <w:r w:rsidR="00FF1D03">
        <w:t>complications</w:t>
      </w:r>
      <w:r>
        <w:t xml:space="preserve"> in </w:t>
      </w:r>
      <w:r w:rsidR="00FF1D03">
        <w:t xml:space="preserve">some </w:t>
      </w:r>
      <w:r>
        <w:t xml:space="preserve">remote </w:t>
      </w:r>
      <w:r w:rsidR="00FF1D03">
        <w:t xml:space="preserve">Aboriginal and Torres Strait Islander </w:t>
      </w:r>
      <w:r>
        <w:t xml:space="preserve">communities where there are </w:t>
      </w:r>
      <w:r w:rsidR="00FF1D03">
        <w:t xml:space="preserve">multiple service delivery agencies. Funding for essential services can come from a range of </w:t>
      </w:r>
      <w:r w:rsidR="00A93FB0">
        <w:t xml:space="preserve">Australian, </w:t>
      </w:r>
      <w:r w:rsidR="00FF1D03">
        <w:t>State</w:t>
      </w:r>
      <w:r w:rsidR="00A93FB0">
        <w:t xml:space="preserve"> and</w:t>
      </w:r>
      <w:r w:rsidR="00FF1D03">
        <w:t xml:space="preserve"> Territory </w:t>
      </w:r>
      <w:r w:rsidR="00A93FB0">
        <w:t>g</w:t>
      </w:r>
      <w:r w:rsidR="00FF1D03">
        <w:t xml:space="preserve">overnment sources, including </w:t>
      </w:r>
      <w:r w:rsidRPr="00FF1D03">
        <w:t>remote funding arrangements for housing</w:t>
      </w:r>
      <w:r w:rsidR="00FF1D03" w:rsidRPr="00FF1D03">
        <w:t>, guided by</w:t>
      </w:r>
      <w:r w:rsidRPr="00FF1D03">
        <w:t xml:space="preserve"> intergovernmental agreements such as the </w:t>
      </w:r>
      <w:r w:rsidR="00A93FB0" w:rsidRPr="00A93FB0">
        <w:rPr>
          <w:i/>
        </w:rPr>
        <w:t>National Partnership on</w:t>
      </w:r>
      <w:r w:rsidR="00A93FB0">
        <w:t xml:space="preserve"> </w:t>
      </w:r>
      <w:r w:rsidRPr="00A93FB0">
        <w:rPr>
          <w:i/>
        </w:rPr>
        <w:t>Northern Territory Remote Aboriginal Investment</w:t>
      </w:r>
      <w:r w:rsidRPr="00FF1D03">
        <w:t xml:space="preserve"> </w:t>
      </w:r>
      <w:r w:rsidR="00A93FB0" w:rsidRPr="00FF1D03">
        <w:t xml:space="preserve">between the </w:t>
      </w:r>
      <w:r w:rsidR="00A93FB0">
        <w:t>Australian</w:t>
      </w:r>
      <w:r w:rsidR="00A93FB0" w:rsidRPr="00FF1D03">
        <w:t xml:space="preserve"> </w:t>
      </w:r>
      <w:r w:rsidR="00A93FB0">
        <w:t xml:space="preserve">and </w:t>
      </w:r>
      <w:r w:rsidR="00A93FB0" w:rsidRPr="00FF1D03">
        <w:t xml:space="preserve">Northern Territory Governments </w:t>
      </w:r>
      <w:r w:rsidR="00AC1B26" w:rsidRPr="00AC1B26">
        <w:rPr>
          <w:szCs w:val="24"/>
        </w:rPr>
        <w:t>(DOH 2017)</w:t>
      </w:r>
      <w:r w:rsidRPr="00FF1D03">
        <w:t>.</w:t>
      </w:r>
    </w:p>
    <w:p w14:paraId="37F66185" w14:textId="2A59DF6C" w:rsidR="0099106F" w:rsidRDefault="00E94382" w:rsidP="00F63966">
      <w:pPr>
        <w:pStyle w:val="Heading3"/>
      </w:pPr>
      <w:bookmarkStart w:id="16" w:name="_Toc62043652"/>
      <w:r>
        <w:t>2.4</w:t>
      </w:r>
      <w:r>
        <w:tab/>
      </w:r>
      <w:r w:rsidR="00A0598B">
        <w:t xml:space="preserve">Many of these pressures will remain in the </w:t>
      </w:r>
      <w:proofErr w:type="gramStart"/>
      <w:r w:rsidR="00A0598B">
        <w:t>future</w:t>
      </w:r>
      <w:bookmarkEnd w:id="16"/>
      <w:proofErr w:type="gramEnd"/>
    </w:p>
    <w:p w14:paraId="5F3B178D" w14:textId="51DF0263" w:rsidR="00A40503" w:rsidRDefault="00964739" w:rsidP="00E93A2C">
      <w:pPr>
        <w:pStyle w:val="BodyText"/>
      </w:pPr>
      <w:r>
        <w:t>Looking ahead, a</w:t>
      </w:r>
      <w:r w:rsidR="00782013">
        <w:t xml:space="preserve"> changing climate </w:t>
      </w:r>
      <w:r w:rsidR="005C1775">
        <w:t>(</w:t>
      </w:r>
      <w:r w:rsidR="002643FF" w:rsidRPr="00AD6445">
        <w:t>increased average temperatures</w:t>
      </w:r>
      <w:r w:rsidR="002643FF">
        <w:t>,</w:t>
      </w:r>
      <w:r w:rsidR="002643FF" w:rsidRPr="00AD6445">
        <w:t xml:space="preserve"> </w:t>
      </w:r>
      <w:r w:rsidR="002643FF">
        <w:t>higher</w:t>
      </w:r>
      <w:r w:rsidR="002643FF">
        <w:noBreakHyphen/>
        <w:t>intensity</w:t>
      </w:r>
      <w:r w:rsidR="002643FF" w:rsidRPr="00AD6445">
        <w:t xml:space="preserve"> rainfall and other extreme weather events</w:t>
      </w:r>
      <w:r w:rsidR="005C1775">
        <w:t>)</w:t>
      </w:r>
      <w:r w:rsidR="00782013">
        <w:t xml:space="preserve"> </w:t>
      </w:r>
      <w:r w:rsidR="00950C8B">
        <w:t xml:space="preserve">is likely to </w:t>
      </w:r>
      <w:r w:rsidR="002643FF">
        <w:t>lead to declines in water availability across Australia</w:t>
      </w:r>
      <w:r w:rsidR="004822EE">
        <w:t xml:space="preserve"> </w:t>
      </w:r>
      <w:r w:rsidR="0043783E">
        <w:t>(</w:t>
      </w:r>
      <w:r w:rsidR="00453EB4" w:rsidRPr="00453EB4">
        <w:rPr>
          <w:i/>
        </w:rPr>
        <w:t>Report</w:t>
      </w:r>
      <w:r w:rsidR="00453EB4">
        <w:t xml:space="preserve">: </w:t>
      </w:r>
      <w:r w:rsidR="00453EB4" w:rsidRPr="00453EB4">
        <w:t>chapter</w:t>
      </w:r>
      <w:r w:rsidR="0043783E" w:rsidRPr="00EF46F1">
        <w:t> </w:t>
      </w:r>
      <w:r w:rsidR="009F14B5">
        <w:t>2</w:t>
      </w:r>
      <w:r w:rsidR="0043783E">
        <w:t>)</w:t>
      </w:r>
      <w:r w:rsidR="00950C8B">
        <w:t>. This</w:t>
      </w:r>
      <w:r w:rsidR="00636C46">
        <w:t xml:space="preserve"> could threaten</w:t>
      </w:r>
      <w:r w:rsidR="00782013">
        <w:t xml:space="preserve"> </w:t>
      </w:r>
      <w:r w:rsidR="00636C46">
        <w:t>long</w:t>
      </w:r>
      <w:r w:rsidR="00636C46">
        <w:noBreakHyphen/>
        <w:t xml:space="preserve">term </w:t>
      </w:r>
      <w:r w:rsidR="00FF2A8E">
        <w:t>water security</w:t>
      </w:r>
      <w:r w:rsidR="00782013">
        <w:t xml:space="preserve"> </w:t>
      </w:r>
      <w:r w:rsidR="00950C8B">
        <w:t xml:space="preserve">in regional and remote </w:t>
      </w:r>
      <w:r w:rsidR="00636C46">
        <w:t>Australia</w:t>
      </w:r>
      <w:r w:rsidR="00950C8B">
        <w:t>, just as in major cities</w:t>
      </w:r>
      <w:r w:rsidR="00B26572">
        <w:t xml:space="preserve"> (S</w:t>
      </w:r>
      <w:r w:rsidR="009D28A0">
        <w:t>P</w:t>
      </w:r>
      <w:r w:rsidR="00731B11">
        <w:t> </w:t>
      </w:r>
      <w:r w:rsidR="005112C3">
        <w:t>F</w:t>
      </w:r>
      <w:r w:rsidR="009D28A0">
        <w:t> </w:t>
      </w:r>
      <w:r w:rsidR="009D28A0">
        <w:rPr>
          <w:i/>
        </w:rPr>
        <w:t>Urban</w:t>
      </w:r>
      <w:r w:rsidR="009D28A0">
        <w:t>)</w:t>
      </w:r>
      <w:r w:rsidR="00950C8B">
        <w:t>.</w:t>
      </w:r>
    </w:p>
    <w:p w14:paraId="36C13CF1" w14:textId="6B463EEE" w:rsidR="00950C8B" w:rsidRDefault="005C1775" w:rsidP="00E93A2C">
      <w:pPr>
        <w:pStyle w:val="BodyText"/>
      </w:pPr>
      <w:r>
        <w:lastRenderedPageBreak/>
        <w:t>E</w:t>
      </w:r>
      <w:r w:rsidR="00460EB8">
        <w:t xml:space="preserve">xtreme events (including </w:t>
      </w:r>
      <w:r w:rsidR="00A40503">
        <w:t>floods and bushfires</w:t>
      </w:r>
      <w:r w:rsidR="00460EB8">
        <w:t>)</w:t>
      </w:r>
      <w:r w:rsidR="00A40503">
        <w:t xml:space="preserve"> are </w:t>
      </w:r>
      <w:r>
        <w:t xml:space="preserve">also </w:t>
      </w:r>
      <w:r w:rsidR="00A40503">
        <w:t>likely to</w:t>
      </w:r>
      <w:r w:rsidR="00D21E82">
        <w:t xml:space="preserve"> occur more frequently</w:t>
      </w:r>
      <w:r w:rsidR="00A40503">
        <w:t xml:space="preserve">. </w:t>
      </w:r>
      <w:r w:rsidR="00460EB8">
        <w:t>U</w:t>
      </w:r>
      <w:r w:rsidR="00A40503">
        <w:t xml:space="preserve">nanticipated water supply shocks </w:t>
      </w:r>
      <w:r w:rsidR="00636C46">
        <w:t xml:space="preserve">will challenge the ability of regional providers </w:t>
      </w:r>
      <w:r w:rsidR="009D28A0">
        <w:t xml:space="preserve">— especially smaller ones — </w:t>
      </w:r>
      <w:r w:rsidR="00636C46">
        <w:t>to</w:t>
      </w:r>
      <w:r w:rsidR="00A93FB0">
        <w:t xml:space="preserve"> maintain water quality and</w:t>
      </w:r>
      <w:r w:rsidR="00636C46">
        <w:t xml:space="preserve"> </w:t>
      </w:r>
      <w:r w:rsidR="00A93FB0">
        <w:t>sustain</w:t>
      </w:r>
      <w:r w:rsidR="00636C46">
        <w:t xml:space="preserve"> reliable water services</w:t>
      </w:r>
      <w:r w:rsidR="00A40503">
        <w:t>.</w:t>
      </w:r>
    </w:p>
    <w:p w14:paraId="5F7DBC89" w14:textId="5ABF3A81" w:rsidR="00597F4B" w:rsidRDefault="00636C46" w:rsidP="00636C46">
      <w:pPr>
        <w:pStyle w:val="BodyText"/>
        <w:keepNext/>
      </w:pPr>
      <w:r>
        <w:t>P</w:t>
      </w:r>
      <w:r w:rsidR="00782013" w:rsidRPr="00497121">
        <w:t xml:space="preserve">opulation change will </w:t>
      </w:r>
      <w:r w:rsidR="00A40503">
        <w:t xml:space="preserve">also </w:t>
      </w:r>
      <w:r w:rsidR="00782013" w:rsidRPr="00497121">
        <w:t xml:space="preserve">require some regional centres to </w:t>
      </w:r>
      <w:r w:rsidR="00A40503">
        <w:t>plan for and manage</w:t>
      </w:r>
      <w:r w:rsidR="000A6807">
        <w:t xml:space="preserve"> demand</w:t>
      </w:r>
      <w:r w:rsidR="00A40503">
        <w:t xml:space="preserve"> </w:t>
      </w:r>
      <w:r w:rsidR="00782013" w:rsidRPr="00497121">
        <w:t>growth, but</w:t>
      </w:r>
      <w:r w:rsidR="00782013" w:rsidRPr="00497121">
        <w:rPr>
          <w:vertAlign w:val="subscript"/>
        </w:rPr>
        <w:t xml:space="preserve"> </w:t>
      </w:r>
      <w:r w:rsidR="00782013" w:rsidRPr="00497121">
        <w:t xml:space="preserve">declining populations in </w:t>
      </w:r>
      <w:r w:rsidR="000A6807">
        <w:t xml:space="preserve">others will result in </w:t>
      </w:r>
      <w:r w:rsidR="00302C04">
        <w:t xml:space="preserve">fewer </w:t>
      </w:r>
      <w:r w:rsidR="00782013" w:rsidRPr="00497121">
        <w:t>users</w:t>
      </w:r>
      <w:r>
        <w:t xml:space="preserve"> over a fixed network</w:t>
      </w:r>
      <w:r w:rsidR="00782013" w:rsidRPr="00497121">
        <w:t xml:space="preserve">, affecting the viability of </w:t>
      </w:r>
      <w:r w:rsidR="000A6807">
        <w:t>service</w:t>
      </w:r>
      <w:r w:rsidR="00302C04">
        <w:t>s</w:t>
      </w:r>
      <w:r w:rsidR="00782013" w:rsidRPr="00497121">
        <w:t>.</w:t>
      </w:r>
      <w:r w:rsidR="00782013">
        <w:t xml:space="preserve"> In some areas, particularly with aging infrastructure, significant investments may be needed to deli</w:t>
      </w:r>
      <w:r w:rsidR="00597F4B">
        <w:t>ver the same levels of service</w:t>
      </w:r>
      <w:r>
        <w:t xml:space="preserve"> and minimise the risk of water supply or quality issues</w:t>
      </w:r>
      <w:r w:rsidR="00782013">
        <w:t xml:space="preserve">. </w:t>
      </w:r>
      <w:r w:rsidR="00597F4B">
        <w:t>As the LGAQ (sub. 32, p</w:t>
      </w:r>
      <w:r w:rsidR="009F14B5">
        <w:t>.</w:t>
      </w:r>
      <w:r w:rsidR="00597F4B">
        <w:t> 6) submitted:</w:t>
      </w:r>
    </w:p>
    <w:p w14:paraId="7EC5C81B" w14:textId="5F090C58" w:rsidR="00725D5D" w:rsidRDefault="00597F4B" w:rsidP="00597F4B">
      <w:pPr>
        <w:pStyle w:val="Quote"/>
      </w:pPr>
      <w:r>
        <w:t>The capital requirement to maintain service capacity into the medium</w:t>
      </w:r>
      <w:r w:rsidR="00641710">
        <w:noBreakHyphen/>
      </w:r>
      <w:r>
        <w:t>term is beyond the fiscal capacity of local governments operating small regional and remote schemes. Service disruptions and water quality incidents will inevitably increase without substantial State and Federal capital assistance.</w:t>
      </w:r>
    </w:p>
    <w:p w14:paraId="52DCDAFD" w14:textId="1A886CE2" w:rsidR="00597F4B" w:rsidRDefault="00597F4B" w:rsidP="00597F4B">
      <w:pPr>
        <w:pStyle w:val="Quote"/>
      </w:pPr>
      <w:r>
        <w:t>In terms of investment decisions, a key issue is the “infrastructure cliff” and the inability of many regional and remote local governments to fund capital costs of refurbishing aging water and sewerage infrastructure. A concomitant issue is emerging public health and environmental risks to communities.</w:t>
      </w:r>
    </w:p>
    <w:p w14:paraId="7DC0BBBF" w14:textId="468B0698" w:rsidR="00960567" w:rsidRDefault="00960567" w:rsidP="00960567">
      <w:pPr>
        <w:pStyle w:val="BodyText"/>
      </w:pPr>
      <w:r>
        <w:t>There is ultimately a trade</w:t>
      </w:r>
      <w:r>
        <w:noBreakHyphen/>
        <w:t xml:space="preserve">off between service quality (including drinking water quality, the reliability of water supply and the expected frequency of water restrictions) </w:t>
      </w:r>
      <w:r w:rsidR="00060ABC">
        <w:t xml:space="preserve">and </w:t>
      </w:r>
      <w:r>
        <w:t>the affordability of the service for each community. Maintaining levels of service in those communities will require some combination of external funding, a sharp increase in operational efficiency, and/or higher user charges.</w:t>
      </w:r>
    </w:p>
    <w:p w14:paraId="001D1F7D" w14:textId="7B4538FF" w:rsidR="00852B1B" w:rsidRDefault="00F7506B" w:rsidP="00782013">
      <w:pPr>
        <w:pStyle w:val="BodyText"/>
      </w:pPr>
      <w:r>
        <w:t>And while these</w:t>
      </w:r>
      <w:r w:rsidR="00636C46">
        <w:t xml:space="preserve"> challenge</w:t>
      </w:r>
      <w:r>
        <w:t>s</w:t>
      </w:r>
      <w:r w:rsidR="00A40503">
        <w:t xml:space="preserve"> </w:t>
      </w:r>
      <w:r>
        <w:t>parallel</w:t>
      </w:r>
      <w:r w:rsidR="00A40503" w:rsidRPr="00497121">
        <w:t xml:space="preserve"> </w:t>
      </w:r>
      <w:r w:rsidR="00636C46">
        <w:t>th</w:t>
      </w:r>
      <w:r w:rsidR="00964739">
        <w:t>ose</w:t>
      </w:r>
      <w:r w:rsidR="00636C46">
        <w:t xml:space="preserve"> </w:t>
      </w:r>
      <w:r w:rsidR="00A40503">
        <w:t xml:space="preserve">facing the </w:t>
      </w:r>
      <w:r w:rsidR="00A40503" w:rsidRPr="00497121">
        <w:t>major cities</w:t>
      </w:r>
      <w:r w:rsidR="00636C46">
        <w:t>,</w:t>
      </w:r>
      <w:r w:rsidR="00A40503">
        <w:t xml:space="preserve"> the </w:t>
      </w:r>
      <w:r w:rsidR="00636C46">
        <w:t xml:space="preserve">context </w:t>
      </w:r>
      <w:r w:rsidR="00A40503">
        <w:t xml:space="preserve">of </w:t>
      </w:r>
      <w:r>
        <w:t xml:space="preserve">some </w:t>
      </w:r>
      <w:r w:rsidR="00A40503">
        <w:t xml:space="preserve">regional and remote </w:t>
      </w:r>
      <w:r w:rsidR="00636C46">
        <w:t>water suppl</w:t>
      </w:r>
      <w:r>
        <w:t>ies</w:t>
      </w:r>
      <w:r w:rsidR="00636C46">
        <w:t xml:space="preserve"> </w:t>
      </w:r>
      <w:r w:rsidR="00A40503">
        <w:t>—</w:t>
      </w:r>
      <w:r w:rsidR="00BD04B4">
        <w:t xml:space="preserve"> </w:t>
      </w:r>
      <w:r w:rsidR="00A40503">
        <w:t>small</w:t>
      </w:r>
      <w:r w:rsidR="00BD04B4">
        <w:t>er</w:t>
      </w:r>
      <w:r w:rsidR="000A6807">
        <w:t xml:space="preserve"> </w:t>
      </w:r>
      <w:r w:rsidR="00A40503">
        <w:t>service providers, high</w:t>
      </w:r>
      <w:r w:rsidR="00BD04B4">
        <w:t>er</w:t>
      </w:r>
      <w:r w:rsidR="00A40503">
        <w:t xml:space="preserve"> average costs and </w:t>
      </w:r>
      <w:r w:rsidR="000A6807">
        <w:t xml:space="preserve">a </w:t>
      </w:r>
      <w:r w:rsidR="00A40503">
        <w:t xml:space="preserve">lack of </w:t>
      </w:r>
      <w:r>
        <w:t xml:space="preserve">alternative </w:t>
      </w:r>
      <w:r w:rsidR="000A6807">
        <w:t>suppl</w:t>
      </w:r>
      <w:r>
        <w:t xml:space="preserve">ies </w:t>
      </w:r>
      <w:r w:rsidR="00A40503">
        <w:t xml:space="preserve">— </w:t>
      </w:r>
      <w:r w:rsidR="00862AB1">
        <w:t xml:space="preserve">can </w:t>
      </w:r>
      <w:r>
        <w:t>impair long</w:t>
      </w:r>
      <w:r>
        <w:noBreakHyphen/>
      </w:r>
      <w:r w:rsidR="00862AB1">
        <w:t xml:space="preserve">term water security planning </w:t>
      </w:r>
      <w:r>
        <w:t>and financial sustainability, limiting their ability to ensure reliable water supplies without imposing sudden cost increases on their customers</w:t>
      </w:r>
      <w:r w:rsidR="00BD04B4">
        <w:t>.</w:t>
      </w:r>
    </w:p>
    <w:p w14:paraId="23759ADB" w14:textId="1D6C1194" w:rsidR="00960567" w:rsidRPr="002C0514" w:rsidRDefault="00E94382" w:rsidP="00F63966">
      <w:pPr>
        <w:pStyle w:val="Heading3"/>
      </w:pPr>
      <w:bookmarkStart w:id="17" w:name="_Toc62043653"/>
      <w:r>
        <w:t>2.5</w:t>
      </w:r>
      <w:r>
        <w:tab/>
      </w:r>
      <w:r w:rsidR="001B1F43">
        <w:t>C</w:t>
      </w:r>
      <w:r w:rsidR="00960567">
        <w:t xml:space="preserve">ompliance with the current NWI is </w:t>
      </w:r>
      <w:r w:rsidR="001B1F43">
        <w:t xml:space="preserve">similarly </w:t>
      </w:r>
      <w:proofErr w:type="gramStart"/>
      <w:r w:rsidR="00960567">
        <w:t>mixed</w:t>
      </w:r>
      <w:bookmarkEnd w:id="17"/>
      <w:proofErr w:type="gramEnd"/>
    </w:p>
    <w:p w14:paraId="202BA03C" w14:textId="4B6AD2C9" w:rsidR="00101673" w:rsidRPr="00660604" w:rsidRDefault="00101673" w:rsidP="00F7506B">
      <w:pPr>
        <w:pStyle w:val="BodyText"/>
        <w:keepNext/>
      </w:pPr>
      <w:r>
        <w:t>Based on the Commission’s assessment of progress against the NWI (</w:t>
      </w:r>
      <w:r w:rsidR="005112C3">
        <w:rPr>
          <w:i/>
        </w:rPr>
        <w:t>A</w:t>
      </w:r>
      <w:r w:rsidRPr="00FC2B1F">
        <w:rPr>
          <w:i/>
        </w:rPr>
        <w:t>ssessment</w:t>
      </w:r>
      <w:r w:rsidR="009F14B5">
        <w:t>:</w:t>
      </w:r>
      <w:r w:rsidR="002C0514" w:rsidRPr="002C0514">
        <w:t xml:space="preserve"> sect</w:t>
      </w:r>
      <w:r w:rsidR="002C0514">
        <w:t>ions 3 and 6</w:t>
      </w:r>
      <w:r>
        <w:t xml:space="preserve">) pricing and service delivery outcomes in regional </w:t>
      </w:r>
      <w:r w:rsidRPr="00660604">
        <w:t xml:space="preserve">and remote communities are </w:t>
      </w:r>
      <w:r w:rsidR="002C0514" w:rsidRPr="00660604">
        <w:t>generally good, but with clear need for improvement in some areas</w:t>
      </w:r>
      <w:r w:rsidR="00660604">
        <w:t>.</w:t>
      </w:r>
    </w:p>
    <w:p w14:paraId="44AEDDB6" w14:textId="5F25ED7B" w:rsidR="00101673" w:rsidRDefault="00101673" w:rsidP="00101673">
      <w:pPr>
        <w:pStyle w:val="ListBullet"/>
      </w:pPr>
      <w:proofErr w:type="gramStart"/>
      <w:r>
        <w:t>A number of</w:t>
      </w:r>
      <w:proofErr w:type="gramEnd"/>
      <w:r>
        <w:t xml:space="preserve"> </w:t>
      </w:r>
      <w:r w:rsidR="007B6905">
        <w:t xml:space="preserve">regional </w:t>
      </w:r>
      <w:r>
        <w:t xml:space="preserve">utilities </w:t>
      </w:r>
      <w:r w:rsidR="007B6905">
        <w:t xml:space="preserve">are unlikely to be </w:t>
      </w:r>
      <w:r>
        <w:t xml:space="preserve">charging </w:t>
      </w:r>
      <w:r w:rsidR="002C0514">
        <w:t>at full</w:t>
      </w:r>
      <w:r w:rsidR="007B6905">
        <w:t xml:space="preserve"> </w:t>
      </w:r>
      <w:r>
        <w:t>cost</w:t>
      </w:r>
      <w:r w:rsidR="007B6905">
        <w:t xml:space="preserve"> </w:t>
      </w:r>
      <w:r>
        <w:t>recovery levels</w:t>
      </w:r>
      <w:r w:rsidR="00660604">
        <w:t>.</w:t>
      </w:r>
      <w:r>
        <w:t xml:space="preserve"> </w:t>
      </w:r>
      <w:r w:rsidR="00F7506B" w:rsidRPr="00F7506B">
        <w:t>C</w:t>
      </w:r>
      <w:r>
        <w:t>ross</w:t>
      </w:r>
      <w:r>
        <w:noBreakHyphen/>
        <w:t>subsidies from other local government operations, or State government programs</w:t>
      </w:r>
      <w:r w:rsidR="005C1775">
        <w:t>,</w:t>
      </w:r>
      <w:r>
        <w:t xml:space="preserve"> are not always transparent. </w:t>
      </w:r>
      <w:r w:rsidR="002C0514">
        <w:t>And many regional service providers are not subject to independent economic regulation or oversight.</w:t>
      </w:r>
    </w:p>
    <w:p w14:paraId="3141A59E" w14:textId="3D1D82F3" w:rsidR="002C0514" w:rsidRDefault="005C1775" w:rsidP="005C1775">
      <w:pPr>
        <w:pStyle w:val="ListBullet"/>
      </w:pPr>
      <w:r>
        <w:t xml:space="preserve">Some improvements have been made in the targeting of State government </w:t>
      </w:r>
      <w:r w:rsidR="0085692F">
        <w:t xml:space="preserve">grants </w:t>
      </w:r>
      <w:r>
        <w:t>to small providers in New South Wales</w:t>
      </w:r>
      <w:r w:rsidR="007B6905">
        <w:t xml:space="preserve"> by </w:t>
      </w:r>
      <w:r w:rsidR="002C0514">
        <w:t xml:space="preserve">widening </w:t>
      </w:r>
      <w:r w:rsidR="007B6905">
        <w:t xml:space="preserve">the </w:t>
      </w:r>
      <w:r w:rsidR="004822EE">
        <w:t xml:space="preserve">scope of the </w:t>
      </w:r>
      <w:r w:rsidR="007B6905">
        <w:rPr>
          <w:i/>
        </w:rPr>
        <w:t xml:space="preserve">Safe and Secure Water Program </w:t>
      </w:r>
      <w:r w:rsidR="007B6905">
        <w:t xml:space="preserve">to </w:t>
      </w:r>
      <w:r w:rsidR="004822EE">
        <w:t xml:space="preserve">also </w:t>
      </w:r>
      <w:r w:rsidR="007B6905">
        <w:t>include non</w:t>
      </w:r>
      <w:r w:rsidR="007B6905">
        <w:noBreakHyphen/>
        <w:t>capital projects</w:t>
      </w:r>
      <w:r w:rsidR="003D2B82">
        <w:t xml:space="preserve">, and by allocating funding based on a risk </w:t>
      </w:r>
      <w:r w:rsidR="003D2B82">
        <w:lastRenderedPageBreak/>
        <w:t>assessment (rather than grant applications)</w:t>
      </w:r>
      <w:r w:rsidR="007B6905">
        <w:t xml:space="preserve">. However, </w:t>
      </w:r>
      <w:r w:rsidR="002C0514">
        <w:t xml:space="preserve">most </w:t>
      </w:r>
      <w:r>
        <w:t>funding in New South Wales and Queensland still does not meet the</w:t>
      </w:r>
      <w:r w:rsidR="003D2B82">
        <w:t xml:space="preserve"> NWI’s</w:t>
      </w:r>
      <w:r>
        <w:t xml:space="preserve"> criteri</w:t>
      </w:r>
      <w:r w:rsidR="00660604">
        <w:t>a of a transparent CSO payment.</w:t>
      </w:r>
    </w:p>
    <w:p w14:paraId="7376C016" w14:textId="390B0271" w:rsidR="002C0514" w:rsidRDefault="002C0514" w:rsidP="002C0514">
      <w:pPr>
        <w:pStyle w:val="ListBullet2"/>
      </w:pPr>
      <w:r>
        <w:t>The Queensland Government has also committed funding to stage 2 of the Haughton Pipeline</w:t>
      </w:r>
      <w:r w:rsidR="00EF46F1">
        <w:t xml:space="preserve"> to secure Townsville’s water supply. The business case suggests that the project</w:t>
      </w:r>
      <w:r>
        <w:t xml:space="preserve"> does not meet the NWI criteria for economic </w:t>
      </w:r>
      <w:r w:rsidR="0079268F">
        <w:t>viability</w:t>
      </w:r>
      <w:r>
        <w:t>.</w:t>
      </w:r>
    </w:p>
    <w:p w14:paraId="1E1177FF" w14:textId="69736673" w:rsidR="005C1775" w:rsidRDefault="002C0514" w:rsidP="005C1775">
      <w:pPr>
        <w:pStyle w:val="ListBullet"/>
      </w:pPr>
      <w:r>
        <w:t>T</w:t>
      </w:r>
      <w:r w:rsidR="005C1775" w:rsidRPr="007F2B58">
        <w:t xml:space="preserve">he design and implementation of the Northern Territory’s grants to </w:t>
      </w:r>
      <w:r w:rsidR="005C1775">
        <w:t xml:space="preserve">both the Power and Water Corporation and to </w:t>
      </w:r>
      <w:r w:rsidR="009F14B5">
        <w:t>IES</w:t>
      </w:r>
      <w:r w:rsidR="005C1775">
        <w:t xml:space="preserve"> </w:t>
      </w:r>
      <w:r w:rsidR="005C1775" w:rsidRPr="007F2B58">
        <w:t xml:space="preserve">are </w:t>
      </w:r>
      <w:r w:rsidR="005C1775">
        <w:t>not transparent</w:t>
      </w:r>
      <w:r w:rsidR="007B6905">
        <w:t>, and Western Australia’s CSOs</w:t>
      </w:r>
      <w:r>
        <w:t xml:space="preserve"> to the Water Corporation</w:t>
      </w:r>
      <w:r w:rsidR="007B6905">
        <w:t xml:space="preserve"> for regional services are not separated from subsidies for irrigated agriculture</w:t>
      </w:r>
      <w:r w:rsidR="005C1775" w:rsidRPr="007F2B58">
        <w:t>.</w:t>
      </w:r>
    </w:p>
    <w:p w14:paraId="1C04C505" w14:textId="39A53771" w:rsidR="001B1F43" w:rsidRDefault="00101673" w:rsidP="00101673">
      <w:pPr>
        <w:pStyle w:val="ListBullet"/>
      </w:pPr>
      <w:r>
        <w:t xml:space="preserve">Household water quality generally meets the standards set by the Australian Drinking Water Guidelines (ADWG), and outcomes in some jurisdictions (particularly Tasmania) have improved since </w:t>
      </w:r>
      <w:r w:rsidR="0079268F">
        <w:t>2017</w:t>
      </w:r>
      <w:r>
        <w:t xml:space="preserve">. </w:t>
      </w:r>
    </w:p>
    <w:p w14:paraId="6DC0E87A" w14:textId="00BEC5AA" w:rsidR="001B1F43" w:rsidRDefault="001B1F43" w:rsidP="001B1F43">
      <w:pPr>
        <w:pStyle w:val="ListBullet2"/>
      </w:pPr>
      <w:r>
        <w:t>Tasmania has</w:t>
      </w:r>
      <w:r w:rsidR="00EF46F1">
        <w:t xml:space="preserve"> now</w:t>
      </w:r>
      <w:r>
        <w:t xml:space="preserve"> removed all permanent boil water alerts for regional and remote communities, compared with 13</w:t>
      </w:r>
      <w:r w:rsidR="00EF46F1">
        <w:t xml:space="preserve"> that were in place</w:t>
      </w:r>
      <w:r>
        <w:t xml:space="preserve"> in 2017. </w:t>
      </w:r>
    </w:p>
    <w:p w14:paraId="294403A1" w14:textId="75B3B082" w:rsidR="00101673" w:rsidRPr="002F5149" w:rsidRDefault="00101673" w:rsidP="00031F6C">
      <w:pPr>
        <w:pStyle w:val="ListBullet"/>
      </w:pPr>
      <w:r>
        <w:t xml:space="preserve">However, </w:t>
      </w:r>
      <w:r w:rsidR="00660604">
        <w:t xml:space="preserve">as noted above, </w:t>
      </w:r>
      <w:r w:rsidR="009C416E">
        <w:t xml:space="preserve">participants </w:t>
      </w:r>
      <w:r>
        <w:t xml:space="preserve">have raised concerns about </w:t>
      </w:r>
      <w:r w:rsidR="00564532">
        <w:t xml:space="preserve">drinking </w:t>
      </w:r>
      <w:r>
        <w:t xml:space="preserve">water quality in remote Aboriginal and Torres Strait Islander communities. Monitoring and reporting on those service outcomes is still patchy. </w:t>
      </w:r>
    </w:p>
    <w:p w14:paraId="314BFA1A" w14:textId="2A560213" w:rsidR="00101673" w:rsidRDefault="00101673" w:rsidP="00101673">
      <w:pPr>
        <w:pStyle w:val="BodyText"/>
      </w:pPr>
      <w:r>
        <w:t xml:space="preserve">Many of these issues were also noted by the Commission’s 2017 inquiry into </w:t>
      </w:r>
      <w:r w:rsidRPr="0099106F">
        <w:rPr>
          <w:i/>
        </w:rPr>
        <w:t xml:space="preserve">National Water Reform </w:t>
      </w:r>
      <w:r>
        <w:t>(</w:t>
      </w:r>
      <w:r w:rsidRPr="000715A7">
        <w:t>box</w:t>
      </w:r>
      <w:r>
        <w:rPr>
          <w:i/>
        </w:rPr>
        <w:t> </w:t>
      </w:r>
      <w:r w:rsidR="009F14B5" w:rsidRPr="009F14B5">
        <w:t>1</w:t>
      </w:r>
      <w:r>
        <w:t xml:space="preserve">). The provision of capital grants (instead of transparent and recurrent CSO payments) was a key area of NWI inconsistency, as were issues with </w:t>
      </w:r>
      <w:r w:rsidR="005C1775">
        <w:t xml:space="preserve">the quality of </w:t>
      </w:r>
      <w:r>
        <w:t xml:space="preserve">monitoring, </w:t>
      </w:r>
      <w:proofErr w:type="gramStart"/>
      <w:r>
        <w:t>reporting</w:t>
      </w:r>
      <w:proofErr w:type="gramEnd"/>
      <w:r>
        <w:t xml:space="preserve"> and benchmarking of pricing and service outcomes.</w:t>
      </w:r>
    </w:p>
    <w:p w14:paraId="21B8C675" w14:textId="77777777" w:rsidR="00A54643" w:rsidRDefault="00A54643" w:rsidP="00A54643">
      <w:pPr>
        <w:pStyle w:val="BodyText"/>
      </w:pPr>
      <w:r>
        <w:t>Some progress has been made against the Commission’s 2017 recommendations. Queensland now publishes more detailed information for providers with fewer than 10 000 connections, while funding processes in New South Wales are no longer as closely tied to capital expenditure as they were in 2017.</w:t>
      </w:r>
    </w:p>
    <w:p w14:paraId="48A23093" w14:textId="77777777" w:rsidR="00A54643" w:rsidRDefault="00A54643" w:rsidP="00A54643">
      <w:pPr>
        <w:pStyle w:val="BodyText"/>
      </w:pPr>
      <w:r>
        <w:t xml:space="preserve">However, the past three years have shown that many of the key shortcomings remain — particularly </w:t>
      </w:r>
      <w:proofErr w:type="gramStart"/>
      <w:r>
        <w:t>with regard to</w:t>
      </w:r>
      <w:proofErr w:type="gramEnd"/>
      <w:r>
        <w:t xml:space="preserve"> the funding and capability of small utilities, which affects their capacity to manage the complex challenges they face.</w:t>
      </w:r>
    </w:p>
    <w:p w14:paraId="4A332E4E" w14:textId="77777777" w:rsidR="00043491" w:rsidRPr="00A54643" w:rsidRDefault="00043491" w:rsidP="00043491">
      <w:pPr>
        <w:pStyle w:val="Heading3"/>
      </w:pPr>
      <w:bookmarkStart w:id="18" w:name="_Toc62043654"/>
      <w:r w:rsidRPr="00A54643">
        <w:t>2.6</w:t>
      </w:r>
      <w:r w:rsidRPr="00A54643">
        <w:tab/>
        <w:t>How can a renewed NWI help?</w:t>
      </w:r>
      <w:bookmarkEnd w:id="18"/>
    </w:p>
    <w:p w14:paraId="288453E2" w14:textId="77777777" w:rsidR="00043491" w:rsidRDefault="00043491" w:rsidP="00043491">
      <w:pPr>
        <w:pStyle w:val="BodyText"/>
      </w:pPr>
      <w:r>
        <w:t>Many of the challenges in providing safe and reliable water to regional and remote communities are not new. But solutions are complex; they vary across regional and remote Australia and require an understanding of local circumstances and priorities, balanced with expertise and resourcing from higher levels of government. Moreover, climate and population changes necessitate a long</w:t>
      </w:r>
      <w:r>
        <w:noBreakHyphen/>
        <w:t>term, forward</w:t>
      </w:r>
      <w:r>
        <w:noBreakHyphen/>
        <w:t>looking approach.</w:t>
      </w:r>
    </w:p>
    <w:p w14:paraId="4AC67D47" w14:textId="29F7A72E" w:rsidR="00101673" w:rsidRDefault="00101673" w:rsidP="0010167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01673" w14:paraId="0EDC184C" w14:textId="77777777" w:rsidTr="00770A04">
        <w:trPr>
          <w:tblHeader/>
        </w:trPr>
        <w:tc>
          <w:tcPr>
            <w:tcW w:w="5000" w:type="pct"/>
            <w:tcBorders>
              <w:top w:val="single" w:sz="6" w:space="0" w:color="78A22F"/>
              <w:left w:val="nil"/>
              <w:bottom w:val="nil"/>
              <w:right w:val="nil"/>
            </w:tcBorders>
            <w:shd w:val="clear" w:color="auto" w:fill="F2F2F2"/>
          </w:tcPr>
          <w:p w14:paraId="3BC0F1B9" w14:textId="53582F0C" w:rsidR="00101673" w:rsidRPr="00804120" w:rsidRDefault="00101673" w:rsidP="00770A04">
            <w:pPr>
              <w:pStyle w:val="BoxTitle"/>
              <w:rPr>
                <w:spacing w:val="-6"/>
              </w:rPr>
            </w:pPr>
            <w:r>
              <w:rPr>
                <w:b w:val="0"/>
              </w:rPr>
              <w:t>Box </w:t>
            </w:r>
            <w:r w:rsidR="009F14B5">
              <w:rPr>
                <w:b w:val="0"/>
              </w:rPr>
              <w:t>1</w:t>
            </w:r>
            <w:r>
              <w:tab/>
            </w:r>
            <w:r w:rsidRPr="00804120">
              <w:rPr>
                <w:spacing w:val="-6"/>
              </w:rPr>
              <w:t>PC 2017 rec</w:t>
            </w:r>
            <w:r w:rsidR="003B2FB7" w:rsidRPr="00804120">
              <w:rPr>
                <w:spacing w:val="-6"/>
              </w:rPr>
              <w:t>ommendation</w:t>
            </w:r>
            <w:r w:rsidRPr="00804120">
              <w:rPr>
                <w:spacing w:val="-6"/>
              </w:rPr>
              <w:t>s and findings: regional water services</w:t>
            </w:r>
          </w:p>
          <w:p w14:paraId="74061361" w14:textId="77777777" w:rsidR="00101673" w:rsidRDefault="00101673" w:rsidP="00770A04">
            <w:pPr>
              <w:pStyle w:val="Box"/>
            </w:pPr>
            <w:r>
              <w:t xml:space="preserve">In its 2017 </w:t>
            </w:r>
            <w:r>
              <w:rPr>
                <w:i/>
              </w:rPr>
              <w:t>National Water Reform</w:t>
            </w:r>
            <w:r>
              <w:t xml:space="preserve"> inquiry, the Commission identified two key areas for reform of regional and remote water services — largely focused on the regulation of local water utilities in New South Wales and Queensland.</w:t>
            </w:r>
          </w:p>
          <w:p w14:paraId="282273E4" w14:textId="34218AED" w:rsidR="00101673" w:rsidRDefault="00101673" w:rsidP="00770A04">
            <w:pPr>
              <w:pStyle w:val="BoxListNumber"/>
            </w:pPr>
            <w:r>
              <w:rPr>
                <w:b/>
              </w:rPr>
              <w:t>Better t</w:t>
            </w:r>
            <w:r w:rsidRPr="00F45131">
              <w:rPr>
                <w:b/>
              </w:rPr>
              <w:t>argeting</w:t>
            </w:r>
            <w:r>
              <w:rPr>
                <w:b/>
              </w:rPr>
              <w:t xml:space="preserve"> of State</w:t>
            </w:r>
            <w:r w:rsidRPr="00F45131">
              <w:rPr>
                <w:b/>
              </w:rPr>
              <w:t xml:space="preserve"> government assistance</w:t>
            </w:r>
            <w:r>
              <w:t xml:space="preserve"> to provide high</w:t>
            </w:r>
            <w:r>
              <w:noBreakHyphen/>
              <w:t>cost utilities with additional resources so they can maintain adequate quality services.</w:t>
            </w:r>
          </w:p>
          <w:p w14:paraId="4CC4AAD9" w14:textId="6263DA4B" w:rsidR="00101673" w:rsidRDefault="00101673" w:rsidP="00770A04">
            <w:pPr>
              <w:pStyle w:val="Box"/>
            </w:pPr>
            <w:r>
              <w:t>The Commission recommended replacing capital grants with community service obligation payments. Those payments should not be tied to capital expenditure, and should target unviable or high</w:t>
            </w:r>
            <w:r>
              <w:noBreakHyphen/>
              <w:t xml:space="preserve">cost regional and remote water </w:t>
            </w:r>
            <w:proofErr w:type="gramStart"/>
            <w:r>
              <w:t>services(</w:t>
            </w:r>
            <w:proofErr w:type="gramEnd"/>
            <w:r w:rsidR="00985904">
              <w:t>r</w:t>
            </w:r>
            <w:r>
              <w:t>ecommendation 6.6)</w:t>
            </w:r>
            <w:r w:rsidR="00985904">
              <w:t>.</w:t>
            </w:r>
          </w:p>
          <w:p w14:paraId="2FDB2970" w14:textId="77777777" w:rsidR="00101673" w:rsidRDefault="00101673" w:rsidP="00770A04">
            <w:pPr>
              <w:pStyle w:val="BoxListNumber"/>
            </w:pPr>
            <w:r w:rsidRPr="00F45131">
              <w:rPr>
                <w:b/>
              </w:rPr>
              <w:t>Achieving econo</w:t>
            </w:r>
            <w:r w:rsidRPr="00123AD7">
              <w:rPr>
                <w:b/>
              </w:rPr>
              <w:t>mies of scale</w:t>
            </w:r>
            <w:r>
              <w:t xml:space="preserve"> to improve service delivery through either amalgamation or collaboration.</w:t>
            </w:r>
          </w:p>
          <w:p w14:paraId="05D18907" w14:textId="32DF4C02" w:rsidR="00101673" w:rsidRPr="000F683E" w:rsidRDefault="00101673" w:rsidP="00770A04">
            <w:pPr>
              <w:pStyle w:val="Box"/>
            </w:pPr>
            <w:r>
              <w:t>The Commission recommended that local water utilities and the New South Wales and Queensland Governments should strategically examine opportunities to improve service delivery through collaboration, including by using contingent community service obligation payments to promote collaboration (</w:t>
            </w:r>
            <w:r w:rsidR="00985904">
              <w:t>r</w:t>
            </w:r>
            <w:r>
              <w:t>ecommendation 6.7)</w:t>
            </w:r>
            <w:r w:rsidR="00985904">
              <w:t>.</w:t>
            </w:r>
          </w:p>
          <w:p w14:paraId="52829521" w14:textId="1BFB06FE" w:rsidR="00101673" w:rsidRDefault="00101673" w:rsidP="00770A04">
            <w:pPr>
              <w:pStyle w:val="Box"/>
            </w:pPr>
            <w:r>
              <w:t xml:space="preserve">The Commission </w:t>
            </w:r>
            <w:r w:rsidR="005C1775">
              <w:t xml:space="preserve">also </w:t>
            </w:r>
            <w:r>
              <w:t>recommended improvements to</w:t>
            </w:r>
            <w:r w:rsidR="00E14E9F">
              <w:t xml:space="preserve"> the public reporting of</w:t>
            </w:r>
            <w:r>
              <w:t xml:space="preserve"> performance monitoring data (recommendation 6.5), with priorities being for:</w:t>
            </w:r>
          </w:p>
          <w:p w14:paraId="769FE6AE" w14:textId="77777777" w:rsidR="00101673" w:rsidRDefault="00101673" w:rsidP="00770A04">
            <w:pPr>
              <w:pStyle w:val="BoxListBullet"/>
            </w:pPr>
            <w:r>
              <w:t>the Queensland Government to extend the public reporting of financial information to service providers with fewer than 10 000 </w:t>
            </w:r>
            <w:proofErr w:type="gramStart"/>
            <w:r>
              <w:t>connections</w:t>
            </w:r>
            <w:proofErr w:type="gramEnd"/>
          </w:p>
          <w:p w14:paraId="6F619D4A" w14:textId="43AD40E9" w:rsidR="00101673" w:rsidRDefault="00101673" w:rsidP="00770A04">
            <w:pPr>
              <w:pStyle w:val="BoxListBullet"/>
            </w:pPr>
            <w:r>
              <w:t>the New South Wales and Queensland Governments to require appropriately qualified independent bodies to review financial performance frameworks to ensure that the pricing practices of regional service providers are monitored for consistency with National Water Initiative pricing principles.</w:t>
            </w:r>
          </w:p>
        </w:tc>
      </w:tr>
      <w:tr w:rsidR="00101673" w14:paraId="162BD764" w14:textId="77777777" w:rsidTr="00770A04">
        <w:tc>
          <w:tcPr>
            <w:tcW w:w="5000" w:type="pct"/>
            <w:tcBorders>
              <w:top w:val="nil"/>
              <w:left w:val="nil"/>
              <w:bottom w:val="nil"/>
              <w:right w:val="nil"/>
            </w:tcBorders>
            <w:shd w:val="clear" w:color="auto" w:fill="F2F2F2"/>
          </w:tcPr>
          <w:p w14:paraId="2C9CCB31" w14:textId="18C28C7C" w:rsidR="00101673" w:rsidRDefault="00101673" w:rsidP="00770A04">
            <w:pPr>
              <w:pStyle w:val="BoxSource"/>
            </w:pPr>
            <w:r>
              <w:rPr>
                <w:i/>
              </w:rPr>
              <w:t>Source</w:t>
            </w:r>
            <w:r w:rsidRPr="00C412F4">
              <w:t>:</w:t>
            </w:r>
            <w:r w:rsidRPr="00167F06">
              <w:t xml:space="preserve"> </w:t>
            </w:r>
            <w:r>
              <w:t xml:space="preserve">PC </w:t>
            </w:r>
            <w:r w:rsidR="009F14B5" w:rsidRPr="009F14B5">
              <w:rPr>
                <w:rFonts w:cs="Arial"/>
                <w:szCs w:val="24"/>
              </w:rPr>
              <w:t>(2017b, pp. 217–235)</w:t>
            </w:r>
            <w:r w:rsidRPr="006477C3">
              <w:t>.</w:t>
            </w:r>
          </w:p>
        </w:tc>
      </w:tr>
      <w:tr w:rsidR="00101673" w14:paraId="42A82C7C" w14:textId="77777777" w:rsidTr="00770A04">
        <w:tc>
          <w:tcPr>
            <w:tcW w:w="5000" w:type="pct"/>
            <w:tcBorders>
              <w:top w:val="nil"/>
              <w:left w:val="nil"/>
              <w:bottom w:val="single" w:sz="6" w:space="0" w:color="78A22F"/>
              <w:right w:val="nil"/>
            </w:tcBorders>
            <w:shd w:val="clear" w:color="auto" w:fill="F2F2F2"/>
          </w:tcPr>
          <w:p w14:paraId="2AF2E0D6" w14:textId="77777777" w:rsidR="00101673" w:rsidRDefault="00101673" w:rsidP="00770A04">
            <w:pPr>
              <w:pStyle w:val="Box"/>
              <w:spacing w:before="0" w:line="120" w:lineRule="exact"/>
            </w:pPr>
          </w:p>
        </w:tc>
      </w:tr>
      <w:tr w:rsidR="00101673" w:rsidRPr="000863A5" w14:paraId="74CA3D3C" w14:textId="77777777" w:rsidTr="00770A04">
        <w:tc>
          <w:tcPr>
            <w:tcW w:w="5000" w:type="pct"/>
            <w:tcBorders>
              <w:top w:val="single" w:sz="6" w:space="0" w:color="78A22F"/>
              <w:left w:val="nil"/>
              <w:bottom w:val="nil"/>
              <w:right w:val="nil"/>
            </w:tcBorders>
          </w:tcPr>
          <w:p w14:paraId="48BF7A79" w14:textId="1CD56B47" w:rsidR="00101673" w:rsidRPr="00626D32" w:rsidRDefault="00101673" w:rsidP="00770A04">
            <w:pPr>
              <w:pStyle w:val="BoxSpaceBelow"/>
            </w:pPr>
          </w:p>
        </w:tc>
      </w:tr>
    </w:tbl>
    <w:p w14:paraId="2D653005" w14:textId="167398D1" w:rsidR="00910C12" w:rsidRDefault="006039E1" w:rsidP="00862AB1">
      <w:pPr>
        <w:pStyle w:val="BodyText"/>
      </w:pPr>
      <w:r>
        <w:t>T</w:t>
      </w:r>
      <w:r w:rsidR="00862AB1">
        <w:t>he NWI</w:t>
      </w:r>
      <w:r w:rsidR="008D43C3">
        <w:t>,</w:t>
      </w:r>
      <w:r w:rsidR="00862AB1">
        <w:t xml:space="preserve"> </w:t>
      </w:r>
      <w:r w:rsidR="008D43C3">
        <w:t xml:space="preserve">which focuses largely on the pricing of urban water services, </w:t>
      </w:r>
      <w:r w:rsidR="00862AB1">
        <w:t xml:space="preserve">provides </w:t>
      </w:r>
      <w:r>
        <w:t xml:space="preserve">only cursory treatment of </w:t>
      </w:r>
      <w:r w:rsidR="00C91AF0">
        <w:t xml:space="preserve">water </w:t>
      </w:r>
      <w:r w:rsidR="008D43C3">
        <w:t>service quality</w:t>
      </w:r>
      <w:r w:rsidR="00C91AF0">
        <w:t xml:space="preserve"> (water quality and service reliability)</w:t>
      </w:r>
      <w:r w:rsidR="008D43C3">
        <w:t>.</w:t>
      </w:r>
      <w:r>
        <w:t xml:space="preserve"> Jurisdictions committed to provid</w:t>
      </w:r>
      <w:r w:rsidR="000C2A43">
        <w:t>ing</w:t>
      </w:r>
      <w:r>
        <w:t xml:space="preserve"> ‘healthy, safe and reliable water supplies’</w:t>
      </w:r>
      <w:r w:rsidR="00162FBD">
        <w:t>,</w:t>
      </w:r>
      <w:r>
        <w:t xml:space="preserve"> but the</w:t>
      </w:r>
      <w:r w:rsidR="00CF31A3">
        <w:t xml:space="preserve"> NWI contains</w:t>
      </w:r>
      <w:r>
        <w:t xml:space="preserve"> </w:t>
      </w:r>
      <w:r w:rsidR="00862AB1">
        <w:t xml:space="preserve">no guidance </w:t>
      </w:r>
      <w:r w:rsidR="005C1775">
        <w:t>nor specific action</w:t>
      </w:r>
      <w:r w:rsidR="00162FBD">
        <w:t>s</w:t>
      </w:r>
      <w:r w:rsidR="005C1775">
        <w:t xml:space="preserve"> to define what that means</w:t>
      </w:r>
      <w:r w:rsidR="00162FBD">
        <w:t xml:space="preserve"> </w:t>
      </w:r>
      <w:r w:rsidR="005C1775">
        <w:t>or</w:t>
      </w:r>
      <w:r w:rsidR="00CF31A3">
        <w:t xml:space="preserve"> </w:t>
      </w:r>
      <w:r w:rsidR="00862AB1" w:rsidRPr="00814287">
        <w:rPr>
          <w:i/>
        </w:rPr>
        <w:t>how</w:t>
      </w:r>
      <w:r w:rsidR="00862AB1">
        <w:t xml:space="preserve"> </w:t>
      </w:r>
      <w:r w:rsidR="005C1775">
        <w:t>jurisdictions</w:t>
      </w:r>
      <w:r w:rsidR="00910C12">
        <w:t xml:space="preserve"> can achieve that outcome</w:t>
      </w:r>
      <w:r w:rsidR="005C1775">
        <w:t xml:space="preserve"> — particularly </w:t>
      </w:r>
      <w:r w:rsidR="00862AB1">
        <w:t xml:space="preserve">during </w:t>
      </w:r>
      <w:r w:rsidR="005C1775">
        <w:t>extreme events</w:t>
      </w:r>
      <w:r w:rsidR="00910C12">
        <w:t xml:space="preserve"> </w:t>
      </w:r>
      <w:r w:rsidR="00C91AF0">
        <w:t xml:space="preserve">or </w:t>
      </w:r>
      <w:r w:rsidR="00910C12">
        <w:t xml:space="preserve">in response to </w:t>
      </w:r>
      <w:r w:rsidR="00862AB1">
        <w:t>climate and population change</w:t>
      </w:r>
      <w:r w:rsidR="00910C12">
        <w:t>.</w:t>
      </w:r>
    </w:p>
    <w:p w14:paraId="75A634F2" w14:textId="7EDDE6A7" w:rsidR="004A36AA" w:rsidRDefault="0011193D" w:rsidP="00862AB1">
      <w:pPr>
        <w:pStyle w:val="BodyText"/>
      </w:pPr>
      <w:r>
        <w:t>Beyond the commitment to institutional separation</w:t>
      </w:r>
      <w:r w:rsidR="00003D9E">
        <w:t>,</w:t>
      </w:r>
      <w:r w:rsidR="00910C12">
        <w:t xml:space="preserve"> and </w:t>
      </w:r>
      <w:r w:rsidR="00003D9E">
        <w:t xml:space="preserve">the requirement to fund unviable services through </w:t>
      </w:r>
      <w:r w:rsidR="00910C12">
        <w:t>CSO payments</w:t>
      </w:r>
      <w:r>
        <w:t>, p</w:t>
      </w:r>
      <w:r w:rsidR="006039E1">
        <w:t xml:space="preserve">rinciples for governance of </w:t>
      </w:r>
      <w:r w:rsidR="006F6979">
        <w:t xml:space="preserve">regional and remote water services </w:t>
      </w:r>
      <w:r w:rsidR="006039E1">
        <w:t xml:space="preserve">— including the roles of State and Territory </w:t>
      </w:r>
      <w:r w:rsidR="00E431AD">
        <w:t>G</w:t>
      </w:r>
      <w:r w:rsidR="006039E1">
        <w:t>overnments in regulating, overseeing and (in some case</w:t>
      </w:r>
      <w:r w:rsidR="00321DED">
        <w:t>s</w:t>
      </w:r>
      <w:r w:rsidR="006039E1">
        <w:t xml:space="preserve">) </w:t>
      </w:r>
      <w:r w:rsidR="00910C12">
        <w:t xml:space="preserve">subsidising </w:t>
      </w:r>
      <w:r w:rsidR="00C91AF0">
        <w:t xml:space="preserve">regional </w:t>
      </w:r>
      <w:r w:rsidR="00321DED">
        <w:t xml:space="preserve">services </w:t>
      </w:r>
      <w:r>
        <w:t xml:space="preserve">— are </w:t>
      </w:r>
      <w:r w:rsidR="006F6979">
        <w:t>underdeveloped</w:t>
      </w:r>
      <w:r w:rsidR="006039E1">
        <w:t>.</w:t>
      </w:r>
    </w:p>
    <w:p w14:paraId="7EF0AE37" w14:textId="115DE020" w:rsidR="00A0598B" w:rsidRDefault="00A0598B" w:rsidP="00A0598B">
      <w:pPr>
        <w:pStyle w:val="BodyText"/>
      </w:pPr>
      <w:r>
        <w:t>Further, the commitment of all governments under the</w:t>
      </w:r>
      <w:r w:rsidR="009F14B5">
        <w:t xml:space="preserve"> National Agreement on</w:t>
      </w:r>
      <w:r>
        <w:t xml:space="preserve"> </w:t>
      </w:r>
      <w:r w:rsidRPr="00AD7D18">
        <w:t>Closing the Gap</w:t>
      </w:r>
      <w:r>
        <w:rPr>
          <w:i/>
        </w:rPr>
        <w:t xml:space="preserve"> </w:t>
      </w:r>
      <w:r>
        <w:t xml:space="preserve">demonstrates an aspiration to remove disparities in access to essential services (including water and wastewater) for Aboriginal and Torres Strait Islander communities </w:t>
      </w:r>
      <w:r w:rsidR="009F14B5" w:rsidRPr="009F14B5">
        <w:rPr>
          <w:szCs w:val="24"/>
        </w:rPr>
        <w:t>(Australian Governments and the Coalition of Peaks 2020, p. 36)</w:t>
      </w:r>
      <w:r>
        <w:t xml:space="preserve">. National water policy should look to </w:t>
      </w:r>
      <w:r w:rsidR="006B74C8">
        <w:t xml:space="preserve">enable </w:t>
      </w:r>
      <w:r>
        <w:t xml:space="preserve">this </w:t>
      </w:r>
      <w:r w:rsidR="002907DA">
        <w:t>aspiration</w:t>
      </w:r>
      <w:r w:rsidR="00910C12">
        <w:t>.</w:t>
      </w:r>
    </w:p>
    <w:p w14:paraId="1A96BBFF" w14:textId="740F844E" w:rsidR="00945395" w:rsidRDefault="00AB26D7" w:rsidP="00A0598B">
      <w:pPr>
        <w:pStyle w:val="BodyText"/>
        <w:keepNext/>
      </w:pPr>
      <w:r>
        <w:lastRenderedPageBreak/>
        <w:t xml:space="preserve">The remainder of this paper focuses on </w:t>
      </w:r>
      <w:r w:rsidR="005E28E8">
        <w:t>areas</w:t>
      </w:r>
      <w:r w:rsidR="00782013">
        <w:t xml:space="preserve"> </w:t>
      </w:r>
      <w:r w:rsidR="00A0598B">
        <w:t>where the NWI could support</w:t>
      </w:r>
      <w:r w:rsidR="00321DED">
        <w:t xml:space="preserve"> </w:t>
      </w:r>
      <w:r w:rsidR="00910C12">
        <w:t>improved</w:t>
      </w:r>
      <w:r w:rsidR="00862AB1">
        <w:t xml:space="preserve"> </w:t>
      </w:r>
      <w:r w:rsidR="00A0598B">
        <w:t xml:space="preserve">water service outcomes for </w:t>
      </w:r>
      <w:r w:rsidR="00321DED">
        <w:t xml:space="preserve">regional and remote </w:t>
      </w:r>
      <w:r w:rsidR="00A0598B">
        <w:t>communities</w:t>
      </w:r>
      <w:r w:rsidR="00862AB1">
        <w:t xml:space="preserve">. </w:t>
      </w:r>
      <w:r w:rsidR="00910C12">
        <w:t>Broadly, t</w:t>
      </w:r>
      <w:r w:rsidR="00862AB1">
        <w:t>hese are</w:t>
      </w:r>
      <w:r w:rsidR="00782013">
        <w:t>:</w:t>
      </w:r>
    </w:p>
    <w:p w14:paraId="1061E1C8" w14:textId="418E02EF" w:rsidR="00945395" w:rsidRDefault="00D367CA" w:rsidP="00945395">
      <w:pPr>
        <w:pStyle w:val="ListBullet"/>
      </w:pPr>
      <w:r>
        <w:t xml:space="preserve">better </w:t>
      </w:r>
      <w:r w:rsidR="006039E1">
        <w:t xml:space="preserve">planning and </w:t>
      </w:r>
      <w:r w:rsidR="00EC1E11">
        <w:t>service delivery arrangements</w:t>
      </w:r>
      <w:r w:rsidR="006F6979">
        <w:t xml:space="preserve"> for regional and remote urban water services</w:t>
      </w:r>
      <w:r w:rsidR="0085692F">
        <w:t xml:space="preserve"> (waste supply, </w:t>
      </w:r>
      <w:proofErr w:type="gramStart"/>
      <w:r w:rsidR="0085692F">
        <w:t>wastewater</w:t>
      </w:r>
      <w:proofErr w:type="gramEnd"/>
      <w:r w:rsidR="0085692F">
        <w:t xml:space="preserve"> and stormwater)</w:t>
      </w:r>
      <w:r>
        <w:t xml:space="preserve"> </w:t>
      </w:r>
      <w:r w:rsidR="00C91AF0">
        <w:t xml:space="preserve">which </w:t>
      </w:r>
      <w:r w:rsidR="005765FF">
        <w:t xml:space="preserve">would </w:t>
      </w:r>
      <w:r w:rsidR="00C91AF0">
        <w:t>include</w:t>
      </w:r>
      <w:r>
        <w:t>:</w:t>
      </w:r>
    </w:p>
    <w:p w14:paraId="2613ADB2" w14:textId="3219A0AF" w:rsidR="00D367CA" w:rsidRDefault="00D367CA" w:rsidP="00035842">
      <w:pPr>
        <w:pStyle w:val="ListBullet2"/>
      </w:pPr>
      <w:r>
        <w:t xml:space="preserve">defining and planning for </w:t>
      </w:r>
      <w:r w:rsidR="006F6979">
        <w:t>local</w:t>
      </w:r>
      <w:r>
        <w:t xml:space="preserve"> levels of service</w:t>
      </w:r>
      <w:r w:rsidR="00910C12">
        <w:t xml:space="preserve"> (for safe and reliable </w:t>
      </w:r>
      <w:r w:rsidR="0085692F">
        <w:t>water</w:t>
      </w:r>
      <w:r w:rsidR="00343E6F">
        <w:t>, as well as wastewater and stormwater</w:t>
      </w:r>
      <w:r w:rsidR="00910C12">
        <w:t>)</w:t>
      </w:r>
      <w:r w:rsidR="006B74C8">
        <w:t xml:space="preserve">, including </w:t>
      </w:r>
      <w:r w:rsidR="006F6979">
        <w:t>during</w:t>
      </w:r>
      <w:r w:rsidR="006B74C8">
        <w:t xml:space="preserve"> extreme </w:t>
      </w:r>
      <w:r w:rsidR="0079268F">
        <w:t>events</w:t>
      </w:r>
      <w:r w:rsidR="00E41EB9">
        <w:t xml:space="preserve"> and</w:t>
      </w:r>
      <w:r w:rsidR="00564532">
        <w:t xml:space="preserve"> in alignment with regional water resource planning</w:t>
      </w:r>
    </w:p>
    <w:p w14:paraId="5BFB54DD" w14:textId="4512C9D9" w:rsidR="00D367CA" w:rsidRDefault="00B76785" w:rsidP="00035842">
      <w:pPr>
        <w:pStyle w:val="ListBullet2"/>
      </w:pPr>
      <w:r>
        <w:t xml:space="preserve">improving </w:t>
      </w:r>
      <w:r w:rsidR="00D367CA">
        <w:t xml:space="preserve">the capability of smaller providers through </w:t>
      </w:r>
      <w:r w:rsidR="006F6979">
        <w:t xml:space="preserve">regional </w:t>
      </w:r>
      <w:r w:rsidR="00D367CA">
        <w:t>collaboration</w:t>
      </w:r>
    </w:p>
    <w:p w14:paraId="3307859B" w14:textId="5525EB8A" w:rsidR="00B76785" w:rsidRDefault="00B76785" w:rsidP="00B76785">
      <w:pPr>
        <w:pStyle w:val="ListBullet"/>
      </w:pPr>
      <w:r>
        <w:t>more efficient State and Territory government funding and oversight of regional and remote providers</w:t>
      </w:r>
    </w:p>
    <w:p w14:paraId="28C5625D" w14:textId="04AC664A" w:rsidR="000B155E" w:rsidRPr="002F5149" w:rsidRDefault="006B74C8" w:rsidP="00945395">
      <w:pPr>
        <w:pStyle w:val="ListBullet"/>
      </w:pPr>
      <w:r>
        <w:t xml:space="preserve">guidance on providing </w:t>
      </w:r>
      <w:r w:rsidR="00362FA5">
        <w:t xml:space="preserve">safe </w:t>
      </w:r>
      <w:r w:rsidR="00D367CA">
        <w:t xml:space="preserve">and reliable </w:t>
      </w:r>
      <w:r w:rsidR="00910C12">
        <w:t xml:space="preserve">household </w:t>
      </w:r>
      <w:r w:rsidR="00945395">
        <w:t>water</w:t>
      </w:r>
      <w:r w:rsidR="006039E1">
        <w:t xml:space="preserve"> </w:t>
      </w:r>
      <w:r>
        <w:t xml:space="preserve">to </w:t>
      </w:r>
      <w:r w:rsidR="006039E1">
        <w:t xml:space="preserve">remote </w:t>
      </w:r>
      <w:r w:rsidR="00945395" w:rsidRPr="00945395">
        <w:t>Aboriginal and Torres Strait Islander</w:t>
      </w:r>
      <w:r w:rsidR="00AB26D7">
        <w:t xml:space="preserve"> communities</w:t>
      </w:r>
      <w:r w:rsidR="000B155E">
        <w:t>.</w:t>
      </w:r>
    </w:p>
    <w:p w14:paraId="1C70B07B" w14:textId="01BA0F1C" w:rsidR="00725D5D" w:rsidRDefault="00596BC9" w:rsidP="003D6B5D">
      <w:pPr>
        <w:pStyle w:val="Heading2"/>
      </w:pPr>
      <w:bookmarkStart w:id="19" w:name="_Toc59447368"/>
      <w:bookmarkStart w:id="20" w:name="_Toc62043655"/>
      <w:r>
        <w:t>3</w:t>
      </w:r>
      <w:r w:rsidR="00515F12">
        <w:tab/>
      </w:r>
      <w:r w:rsidR="00FA7A0E">
        <w:t>U</w:t>
      </w:r>
      <w:r w:rsidR="00F72B12">
        <w:t xml:space="preserve">rban </w:t>
      </w:r>
      <w:r w:rsidR="007B5E21">
        <w:t xml:space="preserve">water </w:t>
      </w:r>
      <w:r w:rsidR="00F72B12">
        <w:t>planning and service delivery</w:t>
      </w:r>
      <w:r w:rsidR="00FA7A0E">
        <w:t xml:space="preserve"> to regional and remote communities</w:t>
      </w:r>
      <w:bookmarkEnd w:id="19"/>
      <w:bookmarkEnd w:id="20"/>
    </w:p>
    <w:p w14:paraId="0A57CA05" w14:textId="454EEAC4" w:rsidR="00020CF4" w:rsidRDefault="00020CF4" w:rsidP="00020CF4">
      <w:pPr>
        <w:pStyle w:val="BodyText"/>
      </w:pPr>
      <w:r>
        <w:t xml:space="preserve">In most jurisdictions, </w:t>
      </w:r>
      <w:r w:rsidR="00497121">
        <w:t xml:space="preserve">at least </w:t>
      </w:r>
      <w:r w:rsidR="00DE28E7">
        <w:t xml:space="preserve">some </w:t>
      </w:r>
      <w:r w:rsidR="00BC2371">
        <w:t xml:space="preserve">responsibility for </w:t>
      </w:r>
      <w:r>
        <w:t xml:space="preserve">regional and remote water services </w:t>
      </w:r>
      <w:r w:rsidR="00BC2371">
        <w:t xml:space="preserve">is devolved to </w:t>
      </w:r>
      <w:r>
        <w:t xml:space="preserve">local </w:t>
      </w:r>
      <w:r w:rsidR="00FD3883">
        <w:t xml:space="preserve">or regional </w:t>
      </w:r>
      <w:r>
        <w:t xml:space="preserve">water service providers, </w:t>
      </w:r>
      <w:r w:rsidR="009A374A">
        <w:t>which</w:t>
      </w:r>
      <w:r>
        <w:t xml:space="preserve"> </w:t>
      </w:r>
      <w:r w:rsidR="009A374A">
        <w:t xml:space="preserve">can </w:t>
      </w:r>
      <w:r w:rsidR="00F266F3">
        <w:t xml:space="preserve">either </w:t>
      </w:r>
      <w:r w:rsidR="00CA79E5">
        <w:t xml:space="preserve">be </w:t>
      </w:r>
      <w:r w:rsidR="00BC2371">
        <w:t xml:space="preserve">owned and/or operated by </w:t>
      </w:r>
      <w:r>
        <w:t xml:space="preserve">local </w:t>
      </w:r>
      <w:proofErr w:type="gramStart"/>
      <w:r w:rsidR="00BC2371">
        <w:t>governments</w:t>
      </w:r>
      <w:r w:rsidR="00F266F3">
        <w:t>,</w:t>
      </w:r>
      <w:r w:rsidR="009A374A">
        <w:t xml:space="preserve"> or</w:t>
      </w:r>
      <w:proofErr w:type="gramEnd"/>
      <w:r w:rsidR="009A374A">
        <w:t xml:space="preserve"> </w:t>
      </w:r>
      <w:r w:rsidR="00D367CA">
        <w:t xml:space="preserve">owned </w:t>
      </w:r>
      <w:r w:rsidR="009A374A">
        <w:t>by the State or Territory government</w:t>
      </w:r>
      <w:r w:rsidR="00D367CA">
        <w:t xml:space="preserve"> and operated at an arm’s length</w:t>
      </w:r>
      <w:r w:rsidR="00BC2371">
        <w:t>.</w:t>
      </w:r>
      <w:r w:rsidR="00DD1A5F">
        <w:t xml:space="preserve"> </w:t>
      </w:r>
      <w:r w:rsidR="009A374A">
        <w:t xml:space="preserve">These providers come in many sizes </w:t>
      </w:r>
      <w:r w:rsidR="00083F8C">
        <w:t>(table </w:t>
      </w:r>
      <w:r w:rsidR="009F14B5" w:rsidRPr="009F14B5">
        <w:t>1</w:t>
      </w:r>
      <w:r w:rsidR="009A374A">
        <w:t xml:space="preserve">), </w:t>
      </w:r>
      <w:r w:rsidR="00FD3883">
        <w:t>and</w:t>
      </w:r>
      <w:r w:rsidR="009A374A">
        <w:t xml:space="preserve"> their </w:t>
      </w:r>
      <w:r w:rsidR="00DD1A5F">
        <w:t>performance</w:t>
      </w:r>
      <w:r w:rsidR="00ED6B98">
        <w:t>,</w:t>
      </w:r>
      <w:r w:rsidR="00DD1A5F">
        <w:t xml:space="preserve"> in terms of service delivery outcomes and financial sustainability</w:t>
      </w:r>
      <w:r w:rsidR="00ED6B98">
        <w:t xml:space="preserve">, </w:t>
      </w:r>
      <w:r w:rsidR="00DD1A5F">
        <w:t xml:space="preserve">is </w:t>
      </w:r>
      <w:r w:rsidR="00D367CA">
        <w:t xml:space="preserve">also </w:t>
      </w:r>
      <w:r w:rsidR="00DD1A5F">
        <w:t>variable</w:t>
      </w:r>
      <w:r w:rsidR="00176D97">
        <w:t xml:space="preserve"> </w:t>
      </w:r>
      <w:r w:rsidR="00DD1A5F">
        <w:t>(</w:t>
      </w:r>
      <w:r w:rsidR="001023AD" w:rsidRPr="001023AD">
        <w:rPr>
          <w:i/>
          <w:iCs/>
        </w:rPr>
        <w:t>A</w:t>
      </w:r>
      <w:r w:rsidR="00DD1A5F" w:rsidRPr="00DD1A5F">
        <w:rPr>
          <w:i/>
        </w:rPr>
        <w:t>ssessment</w:t>
      </w:r>
      <w:r w:rsidR="009A374A">
        <w:t>).</w:t>
      </w:r>
    </w:p>
    <w:p w14:paraId="77D85E47" w14:textId="3C6537DE" w:rsidR="006262F4" w:rsidRDefault="006262F4" w:rsidP="00E93A2C">
      <w:pPr>
        <w:pStyle w:val="BodyText"/>
      </w:pPr>
      <w:r>
        <w:t>Provider performance does (somewhat) correlate with scale: smaller utilities tend to have higher costs per customer (</w:t>
      </w:r>
      <w:r w:rsidRPr="00ED6B98">
        <w:t>figure </w:t>
      </w:r>
      <w:r w:rsidR="009F14B5" w:rsidRPr="009F14B5">
        <w:t>2</w:t>
      </w:r>
      <w:r>
        <w:t>) and are less likely to earn enough revenue to cover operational and asset renewal costs (</w:t>
      </w:r>
      <w:r w:rsidR="001023AD" w:rsidRPr="001023AD">
        <w:rPr>
          <w:i/>
          <w:iCs/>
        </w:rPr>
        <w:t>A</w:t>
      </w:r>
      <w:r w:rsidRPr="00ED6B98">
        <w:rPr>
          <w:i/>
        </w:rPr>
        <w:t>ssessment</w:t>
      </w:r>
      <w:r>
        <w:t xml:space="preserve">). By contrast, larger regional </w:t>
      </w:r>
      <w:proofErr w:type="gramStart"/>
      <w:r>
        <w:t>utilities</w:t>
      </w:r>
      <w:proofErr w:type="gramEnd"/>
      <w:r>
        <w:t xml:space="preserve"> and jurisdiction</w:t>
      </w:r>
      <w:r>
        <w:noBreakHyphen/>
        <w:t>wide providers are usually more financially resilient</w:t>
      </w:r>
      <w:r w:rsidR="00B76785">
        <w:t xml:space="preserve"> and better equipped to manage risk</w:t>
      </w:r>
      <w:r>
        <w:t>.</w:t>
      </w:r>
    </w:p>
    <w:p w14:paraId="3A944543" w14:textId="0F44C4EA" w:rsidR="00043491" w:rsidRDefault="00043491" w:rsidP="00E93A2C">
      <w:pPr>
        <w:pStyle w:val="BodyText"/>
      </w:pPr>
      <w:r>
        <w:t xml:space="preserve">Regardless of size, </w:t>
      </w:r>
      <w:r w:rsidRPr="00CA79E5">
        <w:t xml:space="preserve">water service providers have a responsibility to deliver </w:t>
      </w:r>
      <w:r>
        <w:t xml:space="preserve">safe </w:t>
      </w:r>
      <w:r w:rsidRPr="00CA79E5">
        <w:t>and reliable services to their communities. To</w:t>
      </w:r>
      <w:r>
        <w:t xml:space="preserve"> achieve this outcome, they need to be</w:t>
      </w:r>
      <w:r w:rsidRPr="00CA79E5">
        <w:t xml:space="preserve"> </w:t>
      </w:r>
      <w:r>
        <w:t>adequately resourced, with enough capability to deliver those services efficiently. Although the NWI cannot be prescriptive, nationally</w:t>
      </w:r>
      <w:r>
        <w:noBreakHyphen/>
        <w:t>agreed principles could provide guidance for governments and service providers in addressing challenges in regional and remote service provision across Australia.</w:t>
      </w:r>
    </w:p>
    <w:p w14:paraId="1702531F" w14:textId="428134EC" w:rsidR="008B707A" w:rsidRDefault="008B707A" w:rsidP="00ED402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B707A" w14:paraId="48654B22" w14:textId="77777777" w:rsidTr="00ED402B">
        <w:trPr>
          <w:tblHeader/>
        </w:trPr>
        <w:tc>
          <w:tcPr>
            <w:tcW w:w="5000" w:type="pct"/>
            <w:tcBorders>
              <w:top w:val="single" w:sz="6" w:space="0" w:color="78A22F"/>
              <w:left w:val="nil"/>
              <w:bottom w:val="nil"/>
              <w:right w:val="nil"/>
            </w:tcBorders>
            <w:shd w:val="clear" w:color="auto" w:fill="auto"/>
          </w:tcPr>
          <w:p w14:paraId="39DF58FA" w14:textId="4F987C9C" w:rsidR="008B707A" w:rsidRPr="00B76785" w:rsidRDefault="008B707A" w:rsidP="003B5D90">
            <w:pPr>
              <w:pStyle w:val="FigureTitle"/>
              <w:rPr>
                <w:rStyle w:val="DraftingNote"/>
                <w:b/>
                <w:color w:val="auto"/>
                <w:u w:val="none"/>
              </w:rPr>
            </w:pPr>
            <w:r w:rsidRPr="00784A05">
              <w:rPr>
                <w:b w:val="0"/>
              </w:rPr>
              <w:t>Figure</w:t>
            </w:r>
            <w:r>
              <w:rPr>
                <w:b w:val="0"/>
              </w:rPr>
              <w:t> </w:t>
            </w:r>
            <w:r w:rsidR="009F14B5">
              <w:rPr>
                <w:b w:val="0"/>
              </w:rPr>
              <w:t>2</w:t>
            </w:r>
            <w:r>
              <w:tab/>
              <w:t>Average operati</w:t>
            </w:r>
            <w:r w:rsidR="00B76785">
              <w:t>ng</w:t>
            </w:r>
            <w:r>
              <w:t xml:space="preserve"> costs are higher for smaller utilities in </w:t>
            </w:r>
            <w:r w:rsidR="003B5D90">
              <w:t>New South Wales</w:t>
            </w:r>
            <w:r w:rsidR="00B76785" w:rsidRPr="00B76785">
              <w:rPr>
                <w:rStyle w:val="NoteLabel"/>
                <w:b/>
              </w:rPr>
              <w:t>a</w:t>
            </w:r>
          </w:p>
        </w:tc>
      </w:tr>
      <w:tr w:rsidR="008B707A" w14:paraId="17A22297" w14:textId="77777777" w:rsidTr="00ED402B">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8B707A" w:rsidRPr="00B1465D" w14:paraId="2E2A04F5" w14:textId="77777777" w:rsidTr="00ED402B">
              <w:trPr>
                <w:tblHeader/>
                <w:jc w:val="center"/>
              </w:trPr>
              <w:tc>
                <w:tcPr>
                  <w:tcW w:w="5000" w:type="pct"/>
                  <w:tcBorders>
                    <w:top w:val="nil"/>
                    <w:bottom w:val="nil"/>
                  </w:tcBorders>
                </w:tcPr>
                <w:p w14:paraId="710028CC" w14:textId="6E4B0CA2" w:rsidR="008B707A" w:rsidRPr="00B1465D" w:rsidRDefault="005B7869" w:rsidP="00ED402B">
                  <w:pPr>
                    <w:pStyle w:val="Figure"/>
                    <w:spacing w:before="60" w:after="60"/>
                    <w:rPr>
                      <w:rFonts w:ascii="Arial" w:hAnsi="Arial" w:cs="Arial"/>
                      <w:sz w:val="18"/>
                      <w:szCs w:val="18"/>
                    </w:rPr>
                  </w:pPr>
                  <w:r w:rsidRPr="005B7869">
                    <w:rPr>
                      <w:rFonts w:ascii="Arial" w:hAnsi="Arial" w:cs="Arial"/>
                      <w:noProof/>
                      <w:sz w:val="18"/>
                      <w:szCs w:val="18"/>
                    </w:rPr>
                    <w:drawing>
                      <wp:inline distT="0" distB="0" distL="0" distR="0" wp14:anchorId="144D3C35" wp14:editId="024CB455">
                        <wp:extent cx="5384800" cy="2857500"/>
                        <wp:effectExtent l="0" t="0" r="6350" b="0"/>
                        <wp:docPr id="4" name="Picture 4" descr="This figure shows a plot of average annual operating costs for regional urban water providers in New South Wales, against the size of the provider by number of connections. It shows that average operating costs are generally lower for larger 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figure shows a plot of average annual operating costs for regional urban water providers in New South Wales, against the size of the provider by number of connections. It shows that average operating costs are generally lower for larger provider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84800" cy="2857500"/>
                                </a:xfrm>
                                <a:prstGeom prst="rect">
                                  <a:avLst/>
                                </a:prstGeom>
                                <a:noFill/>
                                <a:ln>
                                  <a:noFill/>
                                </a:ln>
                              </pic:spPr>
                            </pic:pic>
                          </a:graphicData>
                        </a:graphic>
                      </wp:inline>
                    </w:drawing>
                  </w:r>
                </w:p>
              </w:tc>
            </w:tr>
          </w:tbl>
          <w:p w14:paraId="1D0D05BF" w14:textId="77777777" w:rsidR="008B707A" w:rsidRDefault="008B707A" w:rsidP="00ED402B">
            <w:pPr>
              <w:pStyle w:val="Figure"/>
            </w:pPr>
          </w:p>
        </w:tc>
      </w:tr>
      <w:tr w:rsidR="008B707A" w:rsidRPr="00176D3F" w14:paraId="58D2D640" w14:textId="77777777" w:rsidTr="00ED402B">
        <w:tc>
          <w:tcPr>
            <w:tcW w:w="5000" w:type="pct"/>
            <w:tcBorders>
              <w:top w:val="nil"/>
              <w:left w:val="nil"/>
              <w:bottom w:val="nil"/>
              <w:right w:val="nil"/>
            </w:tcBorders>
            <w:shd w:val="clear" w:color="auto" w:fill="auto"/>
          </w:tcPr>
          <w:p w14:paraId="4215C928" w14:textId="482D97B3" w:rsidR="008B707A" w:rsidRPr="00176D3F" w:rsidRDefault="008B707A" w:rsidP="00B76785">
            <w:pPr>
              <w:pStyle w:val="Note"/>
            </w:pPr>
            <w:r>
              <w:rPr>
                <w:rStyle w:val="NoteLabel"/>
              </w:rPr>
              <w:t>a</w:t>
            </w:r>
            <w:r w:rsidR="005B1192">
              <w:t> </w:t>
            </w:r>
            <w:r w:rsidR="000E06B5">
              <w:t>2018</w:t>
            </w:r>
            <w:r w:rsidR="000E06B5">
              <w:noBreakHyphen/>
              <w:t xml:space="preserve">19 data. </w:t>
            </w:r>
            <w:r w:rsidR="00B76785">
              <w:t>Connections displayed on a l</w:t>
            </w:r>
            <w:r>
              <w:t xml:space="preserve">og </w:t>
            </w:r>
            <w:r w:rsidR="00B76785">
              <w:t>scale, with</w:t>
            </w:r>
            <w:r>
              <w:t xml:space="preserve"> t</w:t>
            </w:r>
            <w:r w:rsidR="000E06B5">
              <w:t>rend line added. Central Coast C</w:t>
            </w:r>
            <w:r>
              <w:t xml:space="preserve">ouncil excluded due to </w:t>
            </w:r>
            <w:r w:rsidR="00060ABC">
              <w:t>large number of connections</w:t>
            </w:r>
            <w:r>
              <w:t xml:space="preserve">. </w:t>
            </w:r>
          </w:p>
        </w:tc>
      </w:tr>
      <w:tr w:rsidR="008B707A" w:rsidRPr="00176D3F" w14:paraId="599333D9" w14:textId="77777777" w:rsidTr="00ED402B">
        <w:tc>
          <w:tcPr>
            <w:tcW w:w="5000" w:type="pct"/>
            <w:tcBorders>
              <w:top w:val="nil"/>
              <w:left w:val="nil"/>
              <w:bottom w:val="nil"/>
              <w:right w:val="nil"/>
            </w:tcBorders>
            <w:shd w:val="clear" w:color="auto" w:fill="auto"/>
          </w:tcPr>
          <w:p w14:paraId="2B724379" w14:textId="04082758" w:rsidR="008B707A" w:rsidRPr="00176D3F" w:rsidRDefault="005B1192" w:rsidP="00B76785">
            <w:pPr>
              <w:pStyle w:val="Source"/>
            </w:pPr>
            <w:r>
              <w:rPr>
                <w:i/>
              </w:rPr>
              <w:t>S</w:t>
            </w:r>
            <w:r w:rsidR="008B707A" w:rsidRPr="00784A05">
              <w:rPr>
                <w:i/>
              </w:rPr>
              <w:t>ource</w:t>
            </w:r>
            <w:r w:rsidR="008B707A" w:rsidRPr="00176D3F">
              <w:t>:</w:t>
            </w:r>
            <w:r w:rsidR="00B76785">
              <w:t xml:space="preserve"> DPIE (NSW) </w:t>
            </w:r>
            <w:r w:rsidR="000009DB" w:rsidRPr="000009DB">
              <w:rPr>
                <w:rFonts w:cs="Arial"/>
              </w:rPr>
              <w:t>(2020c)</w:t>
            </w:r>
            <w:r w:rsidR="00B76785">
              <w:t>; data accessed 12 October 2020</w:t>
            </w:r>
            <w:r w:rsidR="00FC6831">
              <w:t>.</w:t>
            </w:r>
          </w:p>
        </w:tc>
      </w:tr>
      <w:tr w:rsidR="008B707A" w14:paraId="493C5634" w14:textId="77777777" w:rsidTr="00ED402B">
        <w:tc>
          <w:tcPr>
            <w:tcW w:w="5000" w:type="pct"/>
            <w:tcBorders>
              <w:top w:val="nil"/>
              <w:left w:val="nil"/>
              <w:bottom w:val="single" w:sz="6" w:space="0" w:color="78A22F"/>
              <w:right w:val="nil"/>
            </w:tcBorders>
            <w:shd w:val="clear" w:color="auto" w:fill="auto"/>
          </w:tcPr>
          <w:p w14:paraId="7F390330" w14:textId="77777777" w:rsidR="008B707A" w:rsidRDefault="008B707A" w:rsidP="00ED402B">
            <w:pPr>
              <w:pStyle w:val="Figurespace"/>
            </w:pPr>
          </w:p>
        </w:tc>
      </w:tr>
      <w:tr w:rsidR="008B707A" w:rsidRPr="000863A5" w14:paraId="35EF87DA" w14:textId="77777777" w:rsidTr="00ED402B">
        <w:tc>
          <w:tcPr>
            <w:tcW w:w="5000" w:type="pct"/>
            <w:tcBorders>
              <w:top w:val="single" w:sz="6" w:space="0" w:color="78A22F"/>
              <w:left w:val="nil"/>
              <w:bottom w:val="nil"/>
              <w:right w:val="nil"/>
            </w:tcBorders>
          </w:tcPr>
          <w:p w14:paraId="2AC3D5D8" w14:textId="71D80910" w:rsidR="008B707A" w:rsidRPr="00626D32" w:rsidRDefault="008B707A" w:rsidP="00ED402B">
            <w:pPr>
              <w:pStyle w:val="BoxSpaceBelow"/>
            </w:pPr>
          </w:p>
        </w:tc>
      </w:tr>
    </w:tbl>
    <w:p w14:paraId="12C0F09D" w14:textId="3BEDDE54" w:rsidR="004711CA" w:rsidRDefault="00E94382" w:rsidP="00F63966">
      <w:pPr>
        <w:pStyle w:val="Heading3"/>
      </w:pPr>
      <w:bookmarkStart w:id="21" w:name="_Toc62043656"/>
      <w:r>
        <w:t>3.1</w:t>
      </w:r>
      <w:r>
        <w:tab/>
      </w:r>
      <w:r w:rsidR="009014FD">
        <w:t>P</w:t>
      </w:r>
      <w:r w:rsidR="00FD3883">
        <w:t>lanning for</w:t>
      </w:r>
      <w:r w:rsidR="0001048E">
        <w:t xml:space="preserve"> </w:t>
      </w:r>
      <w:r w:rsidR="009014FD">
        <w:t xml:space="preserve">defined </w:t>
      </w:r>
      <w:r w:rsidR="009D7BB6">
        <w:t>level</w:t>
      </w:r>
      <w:r w:rsidR="00853D06">
        <w:t>s</w:t>
      </w:r>
      <w:r w:rsidR="00FD3883">
        <w:t xml:space="preserve"> of service</w:t>
      </w:r>
      <w:bookmarkEnd w:id="21"/>
    </w:p>
    <w:p w14:paraId="32B63369" w14:textId="4C9E7D6C" w:rsidR="0079268F" w:rsidRDefault="0079268F" w:rsidP="0079268F">
      <w:pPr>
        <w:pStyle w:val="BodyText"/>
      </w:pPr>
      <w:r>
        <w:t>Long</w:t>
      </w:r>
      <w:r>
        <w:noBreakHyphen/>
        <w:t xml:space="preserve">term, strategic planning is necessary for utilities to </w:t>
      </w:r>
      <w:proofErr w:type="gramStart"/>
      <w:r>
        <w:t>affordably and sustainably deliver the objectives of a water system</w:t>
      </w:r>
      <w:proofErr w:type="gramEnd"/>
      <w:r>
        <w:t xml:space="preserve"> — including levels of service, as well as </w:t>
      </w:r>
      <w:r w:rsidR="00E41EB9">
        <w:t xml:space="preserve">the </w:t>
      </w:r>
      <w:r>
        <w:t>health, safety and environmental standards set by governments — without imposing unnecessary costs on customers. Done well, planning ensures that investment in water infrastructure is efficient and community outcomes from those investments are maximised.</w:t>
      </w:r>
    </w:p>
    <w:p w14:paraId="12DF0E3A" w14:textId="77C03768" w:rsidR="0079268F" w:rsidRDefault="0079268F" w:rsidP="0079268F">
      <w:pPr>
        <w:pStyle w:val="BodyText"/>
      </w:pPr>
      <w:r w:rsidRPr="006477C3">
        <w:t xml:space="preserve">The principles of </w:t>
      </w:r>
      <w:r>
        <w:t>best</w:t>
      </w:r>
      <w:r>
        <w:noBreakHyphen/>
        <w:t xml:space="preserve">practice </w:t>
      </w:r>
      <w:r w:rsidRPr="006477C3">
        <w:t xml:space="preserve">urban water </w:t>
      </w:r>
      <w:r>
        <w:t xml:space="preserve">system </w:t>
      </w:r>
      <w:r w:rsidRPr="006477C3">
        <w:t xml:space="preserve">planning </w:t>
      </w:r>
      <w:r>
        <w:t xml:space="preserve">considered in </w:t>
      </w:r>
      <w:r w:rsidRPr="00453EB4">
        <w:t>SP</w:t>
      </w:r>
      <w:r w:rsidR="00731B11" w:rsidRPr="00453EB4">
        <w:t> </w:t>
      </w:r>
      <w:r w:rsidR="00A37C49" w:rsidRPr="00453EB4">
        <w:t>F</w:t>
      </w:r>
      <w:r w:rsidRPr="006477C3">
        <w:rPr>
          <w:i/>
        </w:rPr>
        <w:t> U</w:t>
      </w:r>
      <w:r>
        <w:rPr>
          <w:i/>
        </w:rPr>
        <w:t>rban</w:t>
      </w:r>
      <w:r>
        <w:t xml:space="preserve"> apply to utilities of all sizes and </w:t>
      </w:r>
      <w:r w:rsidR="009F3EC2">
        <w:t xml:space="preserve">in all </w:t>
      </w:r>
      <w:r>
        <w:t>locations. But embedding those principles in a renewed NWI provides an opportunity to account for the different circumstances between major cities and regional and remote communities, reflecting different circumstances and stages of maturity.</w:t>
      </w:r>
    </w:p>
    <w:p w14:paraId="3D9F03F5" w14:textId="52AC1FE8" w:rsidR="00343E6F" w:rsidRDefault="00343E6F" w:rsidP="00E05196">
      <w:pPr>
        <w:pStyle w:val="Heading4"/>
      </w:pPr>
      <w:r>
        <w:t xml:space="preserve">Regional water utilities </w:t>
      </w:r>
      <w:r w:rsidR="00E10F3D">
        <w:t xml:space="preserve">can </w:t>
      </w:r>
      <w:r w:rsidR="00BD6635">
        <w:t xml:space="preserve">have </w:t>
      </w:r>
      <w:r>
        <w:t xml:space="preserve">different planning </w:t>
      </w:r>
      <w:proofErr w:type="gramStart"/>
      <w:r w:rsidR="00BD6635">
        <w:t>priorities</w:t>
      </w:r>
      <w:proofErr w:type="gramEnd"/>
    </w:p>
    <w:p w14:paraId="467985CA" w14:textId="238A723A" w:rsidR="00031C45" w:rsidRPr="009B0220" w:rsidRDefault="00586C4E" w:rsidP="00166555">
      <w:pPr>
        <w:pStyle w:val="BodyText"/>
        <w:rPr>
          <w:spacing w:val="-4"/>
        </w:rPr>
      </w:pPr>
      <w:r w:rsidRPr="009B0220">
        <w:rPr>
          <w:spacing w:val="-4"/>
        </w:rPr>
        <w:t>For system planning in major cities</w:t>
      </w:r>
      <w:r w:rsidR="00E2305F" w:rsidRPr="009B0220">
        <w:rPr>
          <w:spacing w:val="-4"/>
        </w:rPr>
        <w:t xml:space="preserve">, the Commission’s </w:t>
      </w:r>
      <w:r w:rsidR="00240BED" w:rsidRPr="009B0220">
        <w:rPr>
          <w:spacing w:val="-4"/>
        </w:rPr>
        <w:t xml:space="preserve">NWI </w:t>
      </w:r>
      <w:r w:rsidR="00E2305F" w:rsidRPr="009B0220">
        <w:rPr>
          <w:spacing w:val="-4"/>
        </w:rPr>
        <w:t xml:space="preserve">renewal advice </w:t>
      </w:r>
      <w:r w:rsidR="009014FD" w:rsidRPr="009B0220">
        <w:rPr>
          <w:spacing w:val="-4"/>
        </w:rPr>
        <w:t>has</w:t>
      </w:r>
      <w:r w:rsidR="006262F4" w:rsidRPr="009B0220">
        <w:rPr>
          <w:spacing w:val="-4"/>
        </w:rPr>
        <w:t xml:space="preserve"> </w:t>
      </w:r>
      <w:r w:rsidR="00E2305F" w:rsidRPr="009B0220">
        <w:rPr>
          <w:spacing w:val="-4"/>
        </w:rPr>
        <w:t>focused on</w:t>
      </w:r>
      <w:r w:rsidR="006D1236" w:rsidRPr="009B0220">
        <w:rPr>
          <w:spacing w:val="-4"/>
        </w:rPr>
        <w:t xml:space="preserve"> </w:t>
      </w:r>
      <w:r w:rsidRPr="009B0220">
        <w:rPr>
          <w:spacing w:val="-4"/>
        </w:rPr>
        <w:t>overcoming barriers to</w:t>
      </w:r>
      <w:r w:rsidR="00E2305F" w:rsidRPr="009B0220">
        <w:rPr>
          <w:spacing w:val="-4"/>
        </w:rPr>
        <w:t xml:space="preserve"> </w:t>
      </w:r>
      <w:r w:rsidR="006D1236" w:rsidRPr="009B0220">
        <w:rPr>
          <w:spacing w:val="-4"/>
        </w:rPr>
        <w:t xml:space="preserve">integrated planning, incorporating all available water supply options, and </w:t>
      </w:r>
      <w:r w:rsidR="00166555" w:rsidRPr="009B0220">
        <w:rPr>
          <w:spacing w:val="-4"/>
        </w:rPr>
        <w:t xml:space="preserve">establishing </w:t>
      </w:r>
      <w:r w:rsidR="006D1236" w:rsidRPr="009B0220">
        <w:rPr>
          <w:spacing w:val="-4"/>
        </w:rPr>
        <w:t xml:space="preserve">clear roles and responsibilities for </w:t>
      </w:r>
      <w:r w:rsidR="00166555" w:rsidRPr="009B0220">
        <w:rPr>
          <w:spacing w:val="-4"/>
        </w:rPr>
        <w:t xml:space="preserve">utilities, </w:t>
      </w:r>
      <w:proofErr w:type="gramStart"/>
      <w:r w:rsidR="006D1236" w:rsidRPr="009B0220">
        <w:rPr>
          <w:spacing w:val="-4"/>
        </w:rPr>
        <w:t>governments</w:t>
      </w:r>
      <w:proofErr w:type="gramEnd"/>
      <w:r w:rsidR="00166555" w:rsidRPr="009B0220">
        <w:rPr>
          <w:spacing w:val="-4"/>
        </w:rPr>
        <w:t xml:space="preserve"> and other planning entities</w:t>
      </w:r>
      <w:r w:rsidR="00711133" w:rsidRPr="009B0220">
        <w:rPr>
          <w:spacing w:val="-4"/>
        </w:rPr>
        <w:t xml:space="preserve"> —</w:t>
      </w:r>
      <w:r w:rsidRPr="009B0220">
        <w:rPr>
          <w:spacing w:val="-4"/>
        </w:rPr>
        <w:t xml:space="preserve"> </w:t>
      </w:r>
      <w:r w:rsidR="006262F4" w:rsidRPr="009B0220">
        <w:rPr>
          <w:spacing w:val="-4"/>
        </w:rPr>
        <w:t>with</w:t>
      </w:r>
      <w:r w:rsidR="00711133" w:rsidRPr="009B0220">
        <w:rPr>
          <w:spacing w:val="-4"/>
        </w:rPr>
        <w:t>in the context of</w:t>
      </w:r>
      <w:r w:rsidR="00A307D0" w:rsidRPr="009B0220">
        <w:rPr>
          <w:spacing w:val="-4"/>
        </w:rPr>
        <w:t xml:space="preserve"> system</w:t>
      </w:r>
      <w:r w:rsidR="00711133" w:rsidRPr="009B0220">
        <w:rPr>
          <w:spacing w:val="-4"/>
        </w:rPr>
        <w:t xml:space="preserve"> objectives</w:t>
      </w:r>
      <w:r w:rsidR="00A307D0" w:rsidRPr="009B0220">
        <w:rPr>
          <w:spacing w:val="-4"/>
        </w:rPr>
        <w:t xml:space="preserve"> guided by community</w:t>
      </w:r>
      <w:r w:rsidR="00A307D0" w:rsidRPr="009B0220">
        <w:rPr>
          <w:spacing w:val="-4"/>
        </w:rPr>
        <w:noBreakHyphen/>
        <w:t>agreed levels of service</w:t>
      </w:r>
      <w:r w:rsidR="004B65F2" w:rsidRPr="009B0220">
        <w:rPr>
          <w:spacing w:val="-4"/>
        </w:rPr>
        <w:t>.</w:t>
      </w:r>
    </w:p>
    <w:p w14:paraId="5A25C969" w14:textId="35A3BA13" w:rsidR="00AD238D" w:rsidRDefault="009014FD" w:rsidP="00ED6B98">
      <w:pPr>
        <w:pStyle w:val="BodyText"/>
        <w:keepNext/>
      </w:pPr>
      <w:r>
        <w:lastRenderedPageBreak/>
        <w:t xml:space="preserve">Although these are also worthy aspirations </w:t>
      </w:r>
      <w:r w:rsidR="00586C4E">
        <w:t>in regional and remote communities, the</w:t>
      </w:r>
      <w:r>
        <w:t>re can be more pressing planning challenges for small utilities</w:t>
      </w:r>
      <w:r w:rsidR="00B67B8A">
        <w:t xml:space="preserve">. </w:t>
      </w:r>
      <w:r w:rsidR="00825A04">
        <w:t xml:space="preserve">Investment is a case in point. </w:t>
      </w:r>
      <w:r w:rsidR="00166555">
        <w:t xml:space="preserve">Major utilities </w:t>
      </w:r>
      <w:r w:rsidR="00746966">
        <w:t>may</w:t>
      </w:r>
      <w:r w:rsidR="00166555">
        <w:t xml:space="preserve"> undertake millions of </w:t>
      </w:r>
      <w:proofErr w:type="gramStart"/>
      <w:r w:rsidR="00166555">
        <w:t>dollar</w:t>
      </w:r>
      <w:proofErr w:type="gramEnd"/>
      <w:r w:rsidR="00166555">
        <w:t xml:space="preserve"> in capital works a year, but a</w:t>
      </w:r>
      <w:r w:rsidR="00B67B8A">
        <w:t xml:space="preserve">s </w:t>
      </w:r>
      <w:proofErr w:type="spellStart"/>
      <w:r w:rsidR="00B67B8A">
        <w:t>qldwater</w:t>
      </w:r>
      <w:proofErr w:type="spellEnd"/>
      <w:r w:rsidR="00B67B8A">
        <w:t xml:space="preserve"> (sub. 47, p. 16) put it:</w:t>
      </w:r>
    </w:p>
    <w:p w14:paraId="2E16B433" w14:textId="6AF89A2B" w:rsidR="00B67B8A" w:rsidRPr="00B67B8A" w:rsidRDefault="00B67B8A" w:rsidP="00B67B8A">
      <w:pPr>
        <w:pStyle w:val="Quote"/>
      </w:pPr>
      <w:r w:rsidRPr="00B67B8A">
        <w:t>A new or upgraded water or sewage treatment plant will be one of the largest investment decisions a regional utility makes and is a rare occurrence not only in terms of political cycles but in the entire history of a council</w:t>
      </w:r>
      <w:r>
        <w:t xml:space="preserve"> … </w:t>
      </w:r>
      <w:r w:rsidRPr="00B67B8A">
        <w:t xml:space="preserve">The ratio of the size of the initial and ongoing investment to the wealth and income of a small provider </w:t>
      </w:r>
      <w:r>
        <w:t>intensifies barriers to planning</w:t>
      </w:r>
      <w:r w:rsidR="00166555">
        <w:t>.</w:t>
      </w:r>
    </w:p>
    <w:p w14:paraId="697A9AF7" w14:textId="3A984809" w:rsidR="00E41EB9" w:rsidRDefault="00E41EB9" w:rsidP="00E41EB9">
      <w:pPr>
        <w:pStyle w:val="BodyText"/>
      </w:pPr>
      <w:r>
        <w:t>As outlined in section 2, the consequences of inadequate investment planning can be significant: poorer water security, impaired water quality and unnecessarily high ongoing costs imposed on a community.</w:t>
      </w:r>
    </w:p>
    <w:p w14:paraId="0A1517AF" w14:textId="57702905" w:rsidR="00031F6C" w:rsidRDefault="00031F6C" w:rsidP="00E93A2C">
      <w:pPr>
        <w:pStyle w:val="BodyText"/>
      </w:pPr>
      <w:r>
        <w:t xml:space="preserve">Small utilities may lack the capacity to ensure these investment decisions are as efficient as possible and, under local government ownership, there may be political pressure to defer major investments </w:t>
      </w:r>
      <w:proofErr w:type="gramStart"/>
      <w:r>
        <w:t>in light of</w:t>
      </w:r>
      <w:proofErr w:type="gramEnd"/>
      <w:r>
        <w:t xml:space="preserve"> short</w:t>
      </w:r>
      <w:r>
        <w:noBreakHyphen/>
        <w:t>term priorities. Some urban water systems are reliant on bulk water infrastructure that services multiple towns and/or irrigation</w:t>
      </w:r>
      <w:r w:rsidR="00F838A0">
        <w:t>;</w:t>
      </w:r>
      <w:r>
        <w:t xml:space="preserve"> in these circumstances, local investment decisions cannot be wholly divorced from the water resource</w:t>
      </w:r>
      <w:r w:rsidR="00F838A0">
        <w:t xml:space="preserve"> management context.</w:t>
      </w:r>
    </w:p>
    <w:p w14:paraId="303192F6" w14:textId="6307DB1F" w:rsidR="00077E32" w:rsidRDefault="0085692F" w:rsidP="00E93A2C">
      <w:pPr>
        <w:pStyle w:val="BodyText"/>
      </w:pPr>
      <w:r>
        <w:t>By contrast, other e</w:t>
      </w:r>
      <w:r w:rsidRPr="00272ADB">
        <w:t xml:space="preserve">lements of </w:t>
      </w:r>
      <w:r>
        <w:t>best</w:t>
      </w:r>
      <w:r>
        <w:noBreakHyphen/>
        <w:t xml:space="preserve">practice planning, such as </w:t>
      </w:r>
      <w:r w:rsidRPr="007D1ED6">
        <w:t>integrated water management</w:t>
      </w:r>
      <w:r>
        <w:t xml:space="preserve">, </w:t>
      </w:r>
      <w:r w:rsidR="002F6299">
        <w:t>may be</w:t>
      </w:r>
      <w:r w:rsidR="002F6299" w:rsidRPr="00272ADB">
        <w:t xml:space="preserve"> </w:t>
      </w:r>
      <w:r w:rsidR="009014FD">
        <w:t>more straightforward</w:t>
      </w:r>
      <w:r w:rsidR="009014FD" w:rsidRPr="00272ADB">
        <w:t xml:space="preserve"> </w:t>
      </w:r>
      <w:r w:rsidRPr="00272ADB">
        <w:t xml:space="preserve">where utilities are owned by local governments </w:t>
      </w:r>
      <w:r>
        <w:t>that</w:t>
      </w:r>
      <w:r w:rsidRPr="00272ADB">
        <w:t xml:space="preserve"> are also responsible for stormwater management</w:t>
      </w:r>
      <w:r>
        <w:t xml:space="preserve">. </w:t>
      </w:r>
      <w:r w:rsidR="00077E32">
        <w:t xml:space="preserve">For example, the Orange City Council has undertaken stormwater harvesting to shore up its water supplies (CNSWJO, sub. 55, p. 15). And the smaller scale of some regional and remote water systems has allowed for innovative and decentralised </w:t>
      </w:r>
      <w:r w:rsidR="00077E32" w:rsidRPr="00C11D02">
        <w:t xml:space="preserve">supply options </w:t>
      </w:r>
      <w:r w:rsidR="00077E32">
        <w:t>to</w:t>
      </w:r>
      <w:r w:rsidR="00077E32" w:rsidRPr="00C11D02">
        <w:t xml:space="preserve"> </w:t>
      </w:r>
      <w:r w:rsidR="00077E32">
        <w:t xml:space="preserve">be </w:t>
      </w:r>
      <w:r w:rsidR="00077E32" w:rsidRPr="00C11D02">
        <w:t xml:space="preserve">trialled </w:t>
      </w:r>
      <w:r w:rsidR="009F14B5">
        <w:t xml:space="preserve">— for example, in Borroloola </w:t>
      </w:r>
      <w:r w:rsidR="00077E32" w:rsidRPr="00C11D02">
        <w:t>(Zero Mass Water</w:t>
      </w:r>
      <w:r w:rsidR="00AD7D18">
        <w:t xml:space="preserve"> Australia</w:t>
      </w:r>
      <w:r w:rsidR="00077E32" w:rsidRPr="00C11D02">
        <w:t>, sub. 6</w:t>
      </w:r>
      <w:r w:rsidR="009F14B5">
        <w:t>, pp. 8–9</w:t>
      </w:r>
      <w:r w:rsidR="00077E32" w:rsidRPr="00C11D02">
        <w:t>).</w:t>
      </w:r>
    </w:p>
    <w:p w14:paraId="2B94FAE9" w14:textId="4F94B921" w:rsidR="0079268F" w:rsidRPr="009B0220" w:rsidRDefault="0079268F" w:rsidP="00755702">
      <w:pPr>
        <w:pStyle w:val="BodyText"/>
        <w:keepNext/>
        <w:rPr>
          <w:spacing w:val="-2"/>
        </w:rPr>
      </w:pPr>
      <w:r w:rsidRPr="009B0220">
        <w:rPr>
          <w:spacing w:val="-2"/>
        </w:rPr>
        <w:t>Simply put, the priorities for system planning can be different in regional and remote communities. This section considers those fundamentals of urban water planning that should be in place for regional and remote water services, including how they could be embedded as part of renewing the NWI. These fundamentals, which should represent a lower</w:t>
      </w:r>
      <w:r w:rsidRPr="009B0220">
        <w:rPr>
          <w:spacing w:val="-2"/>
        </w:rPr>
        <w:noBreakHyphen/>
        <w:t>cost approach of implementing planning approaches consistent with the metropolitan utilities, include:</w:t>
      </w:r>
    </w:p>
    <w:p w14:paraId="0D6A8F25" w14:textId="06ED4C78" w:rsidR="0079268F" w:rsidRDefault="0079268F" w:rsidP="0079268F">
      <w:pPr>
        <w:pStyle w:val="ListBullet"/>
      </w:pPr>
      <w:r>
        <w:t>defining levels of service for regional and remote communities, in consultation with residents</w:t>
      </w:r>
    </w:p>
    <w:p w14:paraId="4C023164" w14:textId="77777777" w:rsidR="0079268F" w:rsidRDefault="0079268F" w:rsidP="0079268F">
      <w:pPr>
        <w:pStyle w:val="ListBullet"/>
      </w:pPr>
      <w:r>
        <w:t>long</w:t>
      </w:r>
      <w:r>
        <w:noBreakHyphen/>
        <w:t xml:space="preserve">term system planning at a regional </w:t>
      </w:r>
      <w:proofErr w:type="gramStart"/>
      <w:r>
        <w:t>level</w:t>
      </w:r>
      <w:proofErr w:type="gramEnd"/>
    </w:p>
    <w:p w14:paraId="0B2DB6F4" w14:textId="77777777" w:rsidR="0079268F" w:rsidRDefault="0079268F" w:rsidP="0079268F">
      <w:pPr>
        <w:pStyle w:val="ListBullet"/>
      </w:pPr>
      <w:r>
        <w:t>short</w:t>
      </w:r>
      <w:r>
        <w:noBreakHyphen/>
        <w:t>term contingency planning to maintain water supply and quality during extreme events (integrated with long</w:t>
      </w:r>
      <w:r>
        <w:noBreakHyphen/>
        <w:t>term plans at the local and catchment scale).</w:t>
      </w:r>
    </w:p>
    <w:p w14:paraId="1AA42CDD" w14:textId="39225D61" w:rsidR="00B67B8A" w:rsidRPr="009E55EB" w:rsidRDefault="002769EB" w:rsidP="00E93A2C">
      <w:pPr>
        <w:pStyle w:val="Heading4"/>
      </w:pPr>
      <w:r w:rsidRPr="009E55EB">
        <w:t>L</w:t>
      </w:r>
      <w:r w:rsidR="00B67B8A" w:rsidRPr="009E55EB">
        <w:t>evels of service</w:t>
      </w:r>
      <w:r w:rsidRPr="009E55EB">
        <w:t xml:space="preserve"> should be clearly defined for regional and remote </w:t>
      </w:r>
      <w:proofErr w:type="gramStart"/>
      <w:r w:rsidRPr="009E55EB">
        <w:t>communities</w:t>
      </w:r>
      <w:proofErr w:type="gramEnd"/>
    </w:p>
    <w:p w14:paraId="43409F4C" w14:textId="08EDBFC3" w:rsidR="00B67B8A" w:rsidRPr="009E55EB" w:rsidRDefault="00586C4E" w:rsidP="00E93A2C">
      <w:pPr>
        <w:pStyle w:val="BodyText"/>
      </w:pPr>
      <w:r w:rsidRPr="009E55EB">
        <w:t>L</w:t>
      </w:r>
      <w:r w:rsidR="000804B3" w:rsidRPr="009E55EB">
        <w:t xml:space="preserve">evels </w:t>
      </w:r>
      <w:r w:rsidR="00B67B8A" w:rsidRPr="009E55EB">
        <w:t xml:space="preserve">of service </w:t>
      </w:r>
      <w:r w:rsidR="0079429A" w:rsidRPr="009E55EB">
        <w:t xml:space="preserve">form part of </w:t>
      </w:r>
      <w:r w:rsidR="00B67B8A" w:rsidRPr="009E55EB">
        <w:t>the long</w:t>
      </w:r>
      <w:r w:rsidR="00B67B8A" w:rsidRPr="009E55EB">
        <w:noBreakHyphen/>
        <w:t xml:space="preserve">term </w:t>
      </w:r>
      <w:r w:rsidR="00966FD0" w:rsidRPr="009E55EB">
        <w:t>objective</w:t>
      </w:r>
      <w:r w:rsidR="00B67B8A" w:rsidRPr="009E55EB">
        <w:t xml:space="preserve"> of </w:t>
      </w:r>
      <w:r w:rsidR="00966FD0" w:rsidRPr="009E55EB">
        <w:t>a</w:t>
      </w:r>
      <w:r w:rsidR="00B67B8A" w:rsidRPr="009E55EB">
        <w:t xml:space="preserve"> water supply system</w:t>
      </w:r>
      <w:r w:rsidR="00931AFE" w:rsidRPr="009E55EB">
        <w:t xml:space="preserve">, along with standards established by government (such as health, </w:t>
      </w:r>
      <w:proofErr w:type="gramStart"/>
      <w:r w:rsidR="00931AFE" w:rsidRPr="009E55EB">
        <w:t>safety</w:t>
      </w:r>
      <w:proofErr w:type="gramEnd"/>
      <w:r w:rsidR="00931AFE" w:rsidRPr="009E55EB">
        <w:t xml:space="preserve"> and environmental regulations)</w:t>
      </w:r>
      <w:r w:rsidR="00966FD0" w:rsidRPr="009E55EB">
        <w:t xml:space="preserve">. </w:t>
      </w:r>
      <w:r w:rsidR="002F6299" w:rsidRPr="009E55EB">
        <w:t>A</w:t>
      </w:r>
      <w:r w:rsidR="00391905" w:rsidRPr="009E55EB">
        <w:t>greed</w:t>
      </w:r>
      <w:r w:rsidR="0082491B" w:rsidRPr="009E55EB">
        <w:t xml:space="preserve"> levels </w:t>
      </w:r>
      <w:r w:rsidR="002F6299" w:rsidRPr="009E55EB">
        <w:t xml:space="preserve">of service </w:t>
      </w:r>
      <w:r w:rsidR="00966FD0" w:rsidRPr="009E55EB">
        <w:t>represent</w:t>
      </w:r>
      <w:r w:rsidR="00B67B8A" w:rsidRPr="009E55EB">
        <w:t xml:space="preserve"> </w:t>
      </w:r>
      <w:r w:rsidR="00966FD0" w:rsidRPr="009E55EB">
        <w:t>a trade</w:t>
      </w:r>
      <w:r w:rsidR="00966FD0" w:rsidRPr="009E55EB">
        <w:noBreakHyphen/>
        <w:t xml:space="preserve">off </w:t>
      </w:r>
      <w:r w:rsidR="0085692F" w:rsidRPr="009E55EB">
        <w:t xml:space="preserve">between </w:t>
      </w:r>
      <w:r w:rsidR="00966FD0" w:rsidRPr="009E55EB">
        <w:t>service quality (</w:t>
      </w:r>
      <w:r w:rsidR="004D10B8" w:rsidRPr="009E55EB">
        <w:t>particularly</w:t>
      </w:r>
      <w:r w:rsidR="0079429A" w:rsidRPr="009E55EB">
        <w:t xml:space="preserve"> </w:t>
      </w:r>
      <w:r w:rsidR="00B67B8A" w:rsidRPr="009E55EB">
        <w:t xml:space="preserve">water </w:t>
      </w:r>
      <w:r w:rsidR="0042066A" w:rsidRPr="009E55EB">
        <w:lastRenderedPageBreak/>
        <w:t>supply reliability</w:t>
      </w:r>
      <w:r w:rsidR="004D10B8" w:rsidRPr="009E55EB">
        <w:t xml:space="preserve">, service standards and </w:t>
      </w:r>
      <w:r w:rsidR="006A0634" w:rsidRPr="009E55EB">
        <w:t>certain</w:t>
      </w:r>
      <w:r w:rsidR="004D10B8" w:rsidRPr="009E55EB">
        <w:t xml:space="preserve"> aspects of water quality</w:t>
      </w:r>
      <w:r w:rsidR="0052382E" w:rsidRPr="009E55EB">
        <w:t xml:space="preserve">, such as </w:t>
      </w:r>
      <w:r w:rsidR="006A0634" w:rsidRPr="009E55EB">
        <w:t>palatability</w:t>
      </w:r>
      <w:r w:rsidR="0052382E" w:rsidRPr="009E55EB">
        <w:t>)</w:t>
      </w:r>
      <w:r w:rsidR="001E5B8F" w:rsidRPr="009E55EB">
        <w:t>,</w:t>
      </w:r>
      <w:r w:rsidR="00966FD0" w:rsidRPr="009E55EB">
        <w:t xml:space="preserve"> and </w:t>
      </w:r>
      <w:r w:rsidR="00FC6831" w:rsidRPr="009E55EB">
        <w:t xml:space="preserve">the prices that </w:t>
      </w:r>
      <w:r w:rsidR="00B67B8A" w:rsidRPr="009E55EB">
        <w:t>customer</w:t>
      </w:r>
      <w:r w:rsidR="00FC6831" w:rsidRPr="009E55EB">
        <w:t>s</w:t>
      </w:r>
      <w:r w:rsidR="00B67B8A" w:rsidRPr="009E55EB">
        <w:t xml:space="preserve"> </w:t>
      </w:r>
      <w:r w:rsidR="00FC6831" w:rsidRPr="009E55EB">
        <w:t>pay</w:t>
      </w:r>
      <w:r w:rsidR="00966FD0" w:rsidRPr="009E55EB">
        <w:t>.</w:t>
      </w:r>
      <w:r w:rsidR="002F6299" w:rsidRPr="009E55EB">
        <w:t xml:space="preserve"> The process for determining </w:t>
      </w:r>
      <w:r w:rsidR="00FA2074" w:rsidRPr="009E55EB">
        <w:t>levels of service</w:t>
      </w:r>
      <w:r w:rsidR="002F6299" w:rsidRPr="009E55EB">
        <w:t xml:space="preserve"> needs to consider the benefits and costs of additional water supply in the context of a particular system</w:t>
      </w:r>
      <w:r w:rsidR="0079268F" w:rsidRPr="009E55EB">
        <w:t xml:space="preserve"> and water plan</w:t>
      </w:r>
      <w:r w:rsidR="002F6299" w:rsidRPr="009E55EB">
        <w:t>.</w:t>
      </w:r>
    </w:p>
    <w:p w14:paraId="27A2B355" w14:textId="28C0562A" w:rsidR="00F851D9" w:rsidRDefault="006A0634" w:rsidP="00F851D9">
      <w:pPr>
        <w:pStyle w:val="BodyText"/>
        <w:keepNext/>
      </w:pPr>
      <w:r>
        <w:t xml:space="preserve">Many </w:t>
      </w:r>
      <w:r w:rsidR="00F851D9">
        <w:t xml:space="preserve">major utilities have </w:t>
      </w:r>
      <w:r>
        <w:t xml:space="preserve">clearly </w:t>
      </w:r>
      <w:r w:rsidR="00F851D9">
        <w:t>defined levels of service objectives (SP</w:t>
      </w:r>
      <w:r w:rsidR="00731B11">
        <w:t> </w:t>
      </w:r>
      <w:r w:rsidR="00E758F5">
        <w:t>F</w:t>
      </w:r>
      <w:r w:rsidR="00F851D9">
        <w:t> </w:t>
      </w:r>
      <w:r w:rsidR="00F851D9">
        <w:rPr>
          <w:i/>
        </w:rPr>
        <w:t>Urban</w:t>
      </w:r>
      <w:r w:rsidR="00F851D9">
        <w:t xml:space="preserve">). </w:t>
      </w:r>
      <w:r>
        <w:t xml:space="preserve">Although regional and remote providers </w:t>
      </w:r>
      <w:r w:rsidR="00485BE3">
        <w:t>face</w:t>
      </w:r>
      <w:r>
        <w:t xml:space="preserve"> similar requirements </w:t>
      </w:r>
      <w:r w:rsidR="00485BE3">
        <w:t xml:space="preserve">to major utilities in terms of </w:t>
      </w:r>
      <w:r>
        <w:t xml:space="preserve">government health, safety and environmental standards, </w:t>
      </w:r>
      <w:r w:rsidR="00F851D9">
        <w:t xml:space="preserve">explicit levels of service are less frequently defined </w:t>
      </w:r>
      <w:r w:rsidR="00931AFE">
        <w:t xml:space="preserve">for </w:t>
      </w:r>
      <w:r>
        <w:t xml:space="preserve">those </w:t>
      </w:r>
      <w:r w:rsidR="00931AFE">
        <w:t>communities</w:t>
      </w:r>
      <w:r w:rsidR="00F851D9">
        <w:t>.</w:t>
      </w:r>
    </w:p>
    <w:p w14:paraId="27C69195" w14:textId="075FCAC7" w:rsidR="00F851D9" w:rsidRDefault="00F851D9" w:rsidP="00F851D9">
      <w:pPr>
        <w:pStyle w:val="ListBullet"/>
      </w:pPr>
      <w:r>
        <w:t xml:space="preserve">In Queensland, level of service objectives </w:t>
      </w:r>
      <w:proofErr w:type="gramStart"/>
      <w:r>
        <w:t>are</w:t>
      </w:r>
      <w:proofErr w:type="gramEnd"/>
      <w:r>
        <w:t xml:space="preserve"> legislated for south</w:t>
      </w:r>
      <w:r>
        <w:noBreakHyphen/>
        <w:t xml:space="preserve">east Queensland, while the government has published guidelines to assist regional service providers in developing their own objectives (which are not mandated) </w:t>
      </w:r>
      <w:r w:rsidRPr="005F46AA">
        <w:rPr>
          <w:szCs w:val="24"/>
        </w:rPr>
        <w:t>(DNRME (Qld) 2018b)</w:t>
      </w:r>
      <w:r>
        <w:t>.</w:t>
      </w:r>
    </w:p>
    <w:p w14:paraId="4B98E334" w14:textId="580252E7" w:rsidR="00AC133C" w:rsidRPr="00F851D9" w:rsidRDefault="00F851D9" w:rsidP="00AC133C">
      <w:pPr>
        <w:pStyle w:val="ListBullet"/>
      </w:pPr>
      <w:r w:rsidRPr="00B41BFF">
        <w:t xml:space="preserve">In New South Wales, </w:t>
      </w:r>
      <w:r>
        <w:t xml:space="preserve">levels of service are not clearly defined — although </w:t>
      </w:r>
      <w:r w:rsidRPr="00B41BFF">
        <w:t xml:space="preserve">the revised </w:t>
      </w:r>
      <w:r w:rsidRPr="006A0634">
        <w:rPr>
          <w:i/>
        </w:rPr>
        <w:t xml:space="preserve">Safe and Secure Water </w:t>
      </w:r>
      <w:r w:rsidR="006A0634" w:rsidRPr="006A0634">
        <w:rPr>
          <w:i/>
        </w:rPr>
        <w:t>P</w:t>
      </w:r>
      <w:r w:rsidRPr="006A0634">
        <w:rPr>
          <w:i/>
        </w:rPr>
        <w:t>rogram</w:t>
      </w:r>
      <w:r w:rsidRPr="00B41BFF">
        <w:t xml:space="preserve"> aims to ‘ensure a minimum level of service in smaller towns where the cost of critical infrastructure outweighs the economic benefits provided’ </w:t>
      </w:r>
      <w:r w:rsidR="00B76785" w:rsidRPr="00B76785">
        <w:rPr>
          <w:szCs w:val="24"/>
        </w:rPr>
        <w:t>(DPIE (NSW) 2020a)</w:t>
      </w:r>
      <w:r>
        <w:t xml:space="preserve">. </w:t>
      </w:r>
    </w:p>
    <w:p w14:paraId="7E4262BB" w14:textId="7181268C" w:rsidR="00725D5D" w:rsidRDefault="009C416E" w:rsidP="00AC133C">
      <w:pPr>
        <w:pStyle w:val="BodyText"/>
      </w:pPr>
      <w:r>
        <w:t xml:space="preserve">Inquiry participants </w:t>
      </w:r>
      <w:r w:rsidR="00977FE6">
        <w:t xml:space="preserve">highlighted the importance of </w:t>
      </w:r>
      <w:r w:rsidR="00ED6B98">
        <w:t>clearly</w:t>
      </w:r>
      <w:r w:rsidR="00ED6B98">
        <w:noBreakHyphen/>
        <w:t>defined</w:t>
      </w:r>
      <w:r w:rsidR="00966FD0">
        <w:t xml:space="preserve"> </w:t>
      </w:r>
      <w:r w:rsidR="00977FE6">
        <w:t>levels of service</w:t>
      </w:r>
      <w:r w:rsidR="00711133">
        <w:t xml:space="preserve"> </w:t>
      </w:r>
      <w:r w:rsidR="005277DD">
        <w:t>to guide</w:t>
      </w:r>
      <w:r w:rsidR="0093522F">
        <w:t xml:space="preserve"> service delivery </w:t>
      </w:r>
      <w:r w:rsidR="00711133">
        <w:t>in regional and remote areas</w:t>
      </w:r>
      <w:r w:rsidR="00977FE6">
        <w:t xml:space="preserve">. </w:t>
      </w:r>
      <w:r w:rsidR="00385453">
        <w:t xml:space="preserve">The Water Services Association of Australia </w:t>
      </w:r>
      <w:r w:rsidR="00977FE6">
        <w:t>(sub. 88, p. 45) recommended that a new NWI ‘includes a commitment to achieve affordable levels of services for water and wastewater in regional and remote communities’, including sustainable funding arrangements and regional</w:t>
      </w:r>
      <w:r w:rsidR="00977FE6">
        <w:noBreakHyphen/>
        <w:t xml:space="preserve">scale planning. </w:t>
      </w:r>
      <w:proofErr w:type="spellStart"/>
      <w:r w:rsidR="00B41BFF">
        <w:t>Qldwater</w:t>
      </w:r>
      <w:proofErr w:type="spellEnd"/>
      <w:r w:rsidR="00B41BFF">
        <w:t xml:space="preserve"> (sub. </w:t>
      </w:r>
      <w:r w:rsidR="00272ADB">
        <w:t>47, p. </w:t>
      </w:r>
      <w:r w:rsidR="009F14B5">
        <w:t>7</w:t>
      </w:r>
      <w:r w:rsidR="00272ADB">
        <w:t xml:space="preserve">) </w:t>
      </w:r>
      <w:r w:rsidR="0042066A">
        <w:t xml:space="preserve">also </w:t>
      </w:r>
      <w:r w:rsidR="00272ADB">
        <w:t>recommended establishing ‘</w:t>
      </w:r>
      <w:r w:rsidR="00AC133C" w:rsidRPr="00272ADB">
        <w:t xml:space="preserve">typical </w:t>
      </w:r>
      <w:r w:rsidR="00272ADB" w:rsidRPr="00272ADB">
        <w:t xml:space="preserve">levels of service and minimum standards for different communities and mechanisms for improving customer understanding of costs and pricing structures for urban </w:t>
      </w:r>
      <w:proofErr w:type="gramStart"/>
      <w:r w:rsidR="00272ADB" w:rsidRPr="00272ADB">
        <w:t>services’</w:t>
      </w:r>
      <w:proofErr w:type="gramEnd"/>
      <w:r w:rsidR="00272ADB">
        <w:t>.</w:t>
      </w:r>
    </w:p>
    <w:p w14:paraId="5D2247C7" w14:textId="7391C1E0" w:rsidR="00A40822" w:rsidRDefault="00A40822" w:rsidP="00A40822">
      <w:pPr>
        <w:pStyle w:val="BodyText"/>
      </w:pPr>
      <w:r>
        <w:t>The process of establishing</w:t>
      </w:r>
      <w:r w:rsidR="00343E6F">
        <w:t xml:space="preserve"> local</w:t>
      </w:r>
      <w:r>
        <w:t xml:space="preserve"> levels of service can be difficult in regional and remote communities, especially for smaller providers, or for water systems where the long</w:t>
      </w:r>
      <w:r>
        <w:noBreakHyphen/>
        <w:t>term trade</w:t>
      </w:r>
      <w:r>
        <w:noBreakHyphen/>
        <w:t xml:space="preserve">offs between cost and service quality </w:t>
      </w:r>
      <w:r w:rsidR="00AA12CA">
        <w:t>are</w:t>
      </w:r>
      <w:r>
        <w:t xml:space="preserve"> not well understood.</w:t>
      </w:r>
      <w:r w:rsidR="00AA12CA">
        <w:t xml:space="preserve"> Information on options and capacity to undertake detailed consultation can be lacking.</w:t>
      </w:r>
    </w:p>
    <w:p w14:paraId="7ADD871D" w14:textId="775400BC" w:rsidR="00A40822" w:rsidRDefault="00A40822" w:rsidP="00A40822">
      <w:pPr>
        <w:pStyle w:val="BodyText"/>
      </w:pPr>
      <w:r>
        <w:t xml:space="preserve">Further, establishing levels of service may bring affordability into question. As noted by </w:t>
      </w:r>
      <w:proofErr w:type="spellStart"/>
      <w:r>
        <w:t>Goldenfields</w:t>
      </w:r>
      <w:proofErr w:type="spellEnd"/>
      <w:r>
        <w:t xml:space="preserve"> Water </w:t>
      </w:r>
      <w:r w:rsidR="009F14B5">
        <w:t xml:space="preserve">County Council </w:t>
      </w:r>
      <w:r>
        <w:t xml:space="preserve">(sub. 25, pp. 7–8), higher service standards may need to be matched with greater funding </w:t>
      </w:r>
      <w:proofErr w:type="gramStart"/>
      <w:r>
        <w:t>in order for</w:t>
      </w:r>
      <w:proofErr w:type="gramEnd"/>
      <w:r>
        <w:t xml:space="preserve"> smaller utilities to meet them.</w:t>
      </w:r>
    </w:p>
    <w:p w14:paraId="07288632" w14:textId="3E208EB1" w:rsidR="00A40822" w:rsidRDefault="00A40822" w:rsidP="00A40822">
      <w:pPr>
        <w:pStyle w:val="BodyText"/>
      </w:pPr>
      <w:r>
        <w:t>But regardless of how levels of service are established, the process requires a high degree of c</w:t>
      </w:r>
      <w:r w:rsidRPr="00977FE6">
        <w:t xml:space="preserve">ommunity engagement </w:t>
      </w:r>
      <w:r>
        <w:t>so that</w:t>
      </w:r>
      <w:r w:rsidRPr="00C50F8D">
        <w:t xml:space="preserve"> </w:t>
      </w:r>
      <w:r>
        <w:t xml:space="preserve">local preferences </w:t>
      </w:r>
      <w:r w:rsidR="003259A5">
        <w:t>concerning</w:t>
      </w:r>
      <w:r>
        <w:t xml:space="preserve"> </w:t>
      </w:r>
      <w:r w:rsidRPr="00C50F8D">
        <w:t>the trade</w:t>
      </w:r>
      <w:r w:rsidRPr="00C50F8D">
        <w:noBreakHyphen/>
        <w:t xml:space="preserve">offs between </w:t>
      </w:r>
      <w:r>
        <w:t>service quality and prices are understood</w:t>
      </w:r>
      <w:r w:rsidRPr="00C50F8D">
        <w:t>.</w:t>
      </w:r>
      <w:r>
        <w:t xml:space="preserve"> Residents would have to be consulted, for example, on decisions concerning different water sources (which vary in terms of cost, </w:t>
      </w:r>
      <w:proofErr w:type="gramStart"/>
      <w:r>
        <w:t>palatability</w:t>
      </w:r>
      <w:proofErr w:type="gramEnd"/>
      <w:r>
        <w:t xml:space="preserve"> and reliability), anticipated frequency of water restrictions and the overall cost of the system.</w:t>
      </w:r>
    </w:p>
    <w:p w14:paraId="3AC89644" w14:textId="5E9BD94B" w:rsidR="0093522F" w:rsidRDefault="00CD088D" w:rsidP="00E05196">
      <w:pPr>
        <w:pStyle w:val="Heading5"/>
      </w:pPr>
      <w:r>
        <w:lastRenderedPageBreak/>
        <w:t xml:space="preserve">State and Territory </w:t>
      </w:r>
      <w:r w:rsidR="00E431AD">
        <w:t>G</w:t>
      </w:r>
      <w:r>
        <w:t>overnments could define a</w:t>
      </w:r>
      <w:r w:rsidR="0093522F">
        <w:t xml:space="preserve"> </w:t>
      </w:r>
      <w:r w:rsidR="009F637D">
        <w:t>‘</w:t>
      </w:r>
      <w:r w:rsidR="0093522F">
        <w:t xml:space="preserve">basic level of </w:t>
      </w:r>
      <w:proofErr w:type="gramStart"/>
      <w:r w:rsidR="0093522F">
        <w:t>service</w:t>
      </w:r>
      <w:r w:rsidR="009F637D">
        <w:t>’</w:t>
      </w:r>
      <w:proofErr w:type="gramEnd"/>
      <w:r w:rsidR="009F637D">
        <w:t xml:space="preserve"> </w:t>
      </w:r>
    </w:p>
    <w:p w14:paraId="577733AB" w14:textId="62D3C86F" w:rsidR="00502CFE" w:rsidRDefault="00502CFE" w:rsidP="00502CFE">
      <w:pPr>
        <w:pStyle w:val="BodyText"/>
      </w:pPr>
      <w:r w:rsidRPr="00502CFE">
        <w:t xml:space="preserve">To circumvent complex </w:t>
      </w:r>
      <w:r w:rsidR="006A0634">
        <w:t xml:space="preserve">determinations of service levels in </w:t>
      </w:r>
      <w:r w:rsidRPr="00502CFE">
        <w:t xml:space="preserve">small and remote communities, governments </w:t>
      </w:r>
      <w:r w:rsidR="00AA21C2">
        <w:t xml:space="preserve">could instead </w:t>
      </w:r>
      <w:r w:rsidRPr="00502CFE">
        <w:t xml:space="preserve">define a basic level of service. This </w:t>
      </w:r>
      <w:r w:rsidR="00AA21C2">
        <w:t>would</w:t>
      </w:r>
      <w:r w:rsidRPr="00502CFE">
        <w:t xml:space="preserve"> </w:t>
      </w:r>
      <w:r>
        <w:t>specify</w:t>
      </w:r>
      <w:r w:rsidRPr="00502CFE">
        <w:t xml:space="preserve"> the minimum </w:t>
      </w:r>
      <w:r w:rsidR="0079268F" w:rsidRPr="00502CFE">
        <w:t xml:space="preserve">standard </w:t>
      </w:r>
      <w:r>
        <w:t>of</w:t>
      </w:r>
      <w:r w:rsidRPr="00502CFE">
        <w:t xml:space="preserve"> safe </w:t>
      </w:r>
      <w:r>
        <w:t xml:space="preserve">drinking </w:t>
      </w:r>
      <w:r w:rsidRPr="00502CFE">
        <w:t xml:space="preserve">water that a State or Territory government </w:t>
      </w:r>
      <w:r w:rsidR="00AA21C2">
        <w:t xml:space="preserve">would commit to </w:t>
      </w:r>
      <w:r w:rsidR="0074253E">
        <w:t>making available</w:t>
      </w:r>
      <w:r w:rsidR="001334FB">
        <w:t xml:space="preserve"> to all households</w:t>
      </w:r>
      <w:r w:rsidRPr="00502CFE">
        <w:t>.</w:t>
      </w:r>
    </w:p>
    <w:p w14:paraId="01C0A2E1" w14:textId="71BD24AF" w:rsidR="00031F6C" w:rsidRPr="00502CFE" w:rsidRDefault="00031F6C" w:rsidP="00031F6C">
      <w:pPr>
        <w:pStyle w:val="BodyText"/>
      </w:pPr>
      <w:r>
        <w:t xml:space="preserve">Communities could, of course, agree to a higher standard of service, but this should </w:t>
      </w:r>
      <w:r w:rsidR="00F838A0">
        <w:t xml:space="preserve">similarly </w:t>
      </w:r>
      <w:r>
        <w:t xml:space="preserve">be funded through user charges. </w:t>
      </w:r>
    </w:p>
    <w:p w14:paraId="072A5C74" w14:textId="07744CCD" w:rsidR="00AA21C2" w:rsidRDefault="0079268F" w:rsidP="001334FB">
      <w:pPr>
        <w:pStyle w:val="BodyText"/>
        <w:keepNext/>
      </w:pPr>
      <w:r>
        <w:t xml:space="preserve">The Commission considered similar </w:t>
      </w:r>
      <w:r w:rsidR="00AA21C2">
        <w:t xml:space="preserve">issues in </w:t>
      </w:r>
      <w:r w:rsidR="00BB1971">
        <w:t xml:space="preserve">its </w:t>
      </w:r>
      <w:r w:rsidR="00090F30" w:rsidRPr="00090F30">
        <w:rPr>
          <w:i/>
        </w:rPr>
        <w:t>Telecommunications Universal Service Obligation</w:t>
      </w:r>
      <w:r w:rsidR="00090F30">
        <w:t xml:space="preserve"> inquiry</w:t>
      </w:r>
      <w:r w:rsidR="001334FB">
        <w:t xml:space="preserve"> </w:t>
      </w:r>
      <w:r w:rsidR="00C1136F" w:rsidRPr="00C1136F">
        <w:rPr>
          <w:szCs w:val="24"/>
        </w:rPr>
        <w:t>(PC 2017c)</w:t>
      </w:r>
      <w:r w:rsidR="009F637D">
        <w:t xml:space="preserve">. </w:t>
      </w:r>
      <w:r w:rsidR="001334FB">
        <w:t>In that inquiry, t</w:t>
      </w:r>
      <w:r w:rsidR="009F637D">
        <w:t>he Commission</w:t>
      </w:r>
      <w:r w:rsidR="00AA21C2">
        <w:t xml:space="preserve"> </w:t>
      </w:r>
      <w:r w:rsidR="001334FB">
        <w:t>considered how to establish</w:t>
      </w:r>
      <w:r w:rsidR="00AA21C2">
        <w:t xml:space="preserve"> a ‘baseline’ level of service quality for broadband and voice services</w:t>
      </w:r>
      <w:r w:rsidR="001334FB">
        <w:t xml:space="preserve"> in non</w:t>
      </w:r>
      <w:r w:rsidR="001334FB">
        <w:noBreakHyphen/>
        <w:t>commercial areas</w:t>
      </w:r>
      <w:r w:rsidR="00AA21C2">
        <w:t>. In keeping with principles established by the Commission</w:t>
      </w:r>
      <w:r w:rsidR="00090F30">
        <w:t xml:space="preserve"> in that inquiry</w:t>
      </w:r>
      <w:r w:rsidR="00AA21C2">
        <w:t xml:space="preserve"> </w:t>
      </w:r>
      <w:r w:rsidR="00C1136F" w:rsidRPr="00C1136F">
        <w:rPr>
          <w:szCs w:val="24"/>
        </w:rPr>
        <w:t>(PC 2017c, p. 169)</w:t>
      </w:r>
      <w:r w:rsidR="00AA21C2">
        <w:t>, a basic level of water service provision should be:</w:t>
      </w:r>
    </w:p>
    <w:p w14:paraId="7F297E04" w14:textId="24668D11" w:rsidR="00AA21C2" w:rsidRDefault="00AA21C2" w:rsidP="00AA21C2">
      <w:pPr>
        <w:pStyle w:val="ListBullet"/>
      </w:pPr>
      <w:r>
        <w:t>founded on a clearly</w:t>
      </w:r>
      <w:r w:rsidR="00985904">
        <w:noBreakHyphen/>
      </w:r>
      <w:r>
        <w:t xml:space="preserve">specified </w:t>
      </w:r>
      <w:proofErr w:type="gramStart"/>
      <w:r>
        <w:t>rationale</w:t>
      </w:r>
      <w:proofErr w:type="gramEnd"/>
    </w:p>
    <w:p w14:paraId="75D46246" w14:textId="4A589D8D" w:rsidR="00AA21C2" w:rsidRDefault="00AA21C2" w:rsidP="00AA21C2">
      <w:pPr>
        <w:pStyle w:val="ListBullet"/>
      </w:pPr>
      <w:r>
        <w:t>based on</w:t>
      </w:r>
      <w:r w:rsidR="00144B27">
        <w:t xml:space="preserve"> </w:t>
      </w:r>
      <w:r>
        <w:t xml:space="preserve">clear definitions </w:t>
      </w:r>
      <w:r w:rsidR="00144B27">
        <w:t xml:space="preserve">of a basic </w:t>
      </w:r>
      <w:r>
        <w:t>service</w:t>
      </w:r>
    </w:p>
    <w:p w14:paraId="6FCB1D53" w14:textId="42656BBF" w:rsidR="00AA21C2" w:rsidRDefault="00AA21C2" w:rsidP="00AA21C2">
      <w:pPr>
        <w:pStyle w:val="ListBullet"/>
      </w:pPr>
      <w:r>
        <w:t xml:space="preserve">specified in the form of measurable user </w:t>
      </w:r>
      <w:proofErr w:type="gramStart"/>
      <w:r>
        <w:t>outcomes</w:t>
      </w:r>
      <w:proofErr w:type="gramEnd"/>
    </w:p>
    <w:p w14:paraId="5E30E9C5" w14:textId="4CABDC1D" w:rsidR="00AA21C2" w:rsidRDefault="00AA21C2" w:rsidP="00AA21C2">
      <w:pPr>
        <w:pStyle w:val="ListBullet"/>
      </w:pPr>
      <w:r>
        <w:t>subject to review.</w:t>
      </w:r>
    </w:p>
    <w:p w14:paraId="751C3097" w14:textId="79AF2376" w:rsidR="006A3988" w:rsidRDefault="006A3988" w:rsidP="00E93A2C">
      <w:pPr>
        <w:pStyle w:val="BodyText"/>
      </w:pPr>
      <w:r>
        <w:t xml:space="preserve">Clearly defining this basic level of </w:t>
      </w:r>
      <w:r w:rsidR="005E1A1E">
        <w:t>service</w:t>
      </w:r>
      <w:r>
        <w:t xml:space="preserve"> would be a decision for State and Territory </w:t>
      </w:r>
      <w:r w:rsidR="00E431AD">
        <w:t>G</w:t>
      </w:r>
      <w:r>
        <w:t>overnments, based on their own circumstances (although a definition of ‘safe’ water should be in line with existing health guidelines under the ADWG). Service reliability could encompass judgments</w:t>
      </w:r>
      <w:r w:rsidR="005E1A1E">
        <w:t xml:space="preserve"> at the local scale </w:t>
      </w:r>
      <w:r>
        <w:t>over the quantity of water available, the frequency of water restrictions, and/or clear arrangements to maintain services during extreme events.</w:t>
      </w:r>
    </w:p>
    <w:p w14:paraId="10A506E3" w14:textId="61571C8C" w:rsidR="00586C4E" w:rsidRPr="0074253E" w:rsidRDefault="009F637D" w:rsidP="00E93A2C">
      <w:pPr>
        <w:pStyle w:val="BodyText"/>
      </w:pPr>
      <w:r>
        <w:t>This</w:t>
      </w:r>
      <w:r w:rsidR="00AA21C2">
        <w:t xml:space="preserve"> </w:t>
      </w:r>
      <w:r w:rsidR="00502CFE">
        <w:t xml:space="preserve">basic level of service could then underpin the allocation of State and Territory government </w:t>
      </w:r>
      <w:r w:rsidR="00AC5F75">
        <w:t xml:space="preserve">support </w:t>
      </w:r>
      <w:r w:rsidR="00502CFE">
        <w:t>for regional and remote</w:t>
      </w:r>
      <w:r w:rsidR="00AC5F75">
        <w:t xml:space="preserve"> urban</w:t>
      </w:r>
      <w:r w:rsidR="00502CFE">
        <w:t xml:space="preserve"> water</w:t>
      </w:r>
      <w:r w:rsidR="00AC5F75">
        <w:t xml:space="preserve"> systems</w:t>
      </w:r>
      <w:r w:rsidR="00AA21C2">
        <w:t>, consistent with the rationale for a CSO</w:t>
      </w:r>
      <w:r w:rsidR="001334FB">
        <w:t xml:space="preserve"> </w:t>
      </w:r>
      <w:r w:rsidR="0074253E">
        <w:t>more</w:t>
      </w:r>
      <w:r w:rsidR="001334FB">
        <w:t xml:space="preserve"> generally</w:t>
      </w:r>
      <w:r w:rsidR="00502CFE">
        <w:t xml:space="preserve">. </w:t>
      </w:r>
      <w:r w:rsidR="001334FB">
        <w:t>G</w:t>
      </w:r>
      <w:r>
        <w:t xml:space="preserve">overnment funding of that CSO </w:t>
      </w:r>
      <w:r w:rsidR="00502CFE">
        <w:t xml:space="preserve">should be limited to those </w:t>
      </w:r>
      <w:r w:rsidR="00586C4E">
        <w:t xml:space="preserve">areas where </w:t>
      </w:r>
      <w:r w:rsidR="0093522F">
        <w:t xml:space="preserve">providing </w:t>
      </w:r>
      <w:r w:rsidR="00586C4E">
        <w:t xml:space="preserve">a </w:t>
      </w:r>
      <w:r w:rsidR="007B14FF" w:rsidRPr="005D4A65">
        <w:t xml:space="preserve">basic level </w:t>
      </w:r>
      <w:r w:rsidR="00586C4E" w:rsidRPr="0074253E">
        <w:t xml:space="preserve">of service </w:t>
      </w:r>
      <w:r w:rsidRPr="0074253E">
        <w:t>would not be commercially viable</w:t>
      </w:r>
      <w:r w:rsidR="00AC5F75">
        <w:t>, and where other options (</w:t>
      </w:r>
      <w:r w:rsidR="006A2462">
        <w:t>such as</w:t>
      </w:r>
      <w:r w:rsidR="00AC5F75">
        <w:t xml:space="preserve"> self</w:t>
      </w:r>
      <w:r w:rsidR="00AC5F75">
        <w:noBreakHyphen/>
        <w:t>supply) are not feasible</w:t>
      </w:r>
      <w:r w:rsidR="00502CFE" w:rsidRPr="00925BBA">
        <w:t>.</w:t>
      </w:r>
      <w:r w:rsidR="00586C4E" w:rsidRPr="00925BBA">
        <w:t xml:space="preserve"> </w:t>
      </w:r>
      <w:r w:rsidR="006A2462">
        <w:t>Government funding</w:t>
      </w:r>
      <w:r w:rsidR="00AC5F75">
        <w:t xml:space="preserve"> should not be provided to water systems that can be operated commercially (that is, </w:t>
      </w:r>
      <w:r w:rsidR="00381332">
        <w:t xml:space="preserve">sustainably </w:t>
      </w:r>
      <w:r w:rsidR="00AC5F75">
        <w:t>funded through use</w:t>
      </w:r>
      <w:r w:rsidR="006A2462">
        <w:t>r</w:t>
      </w:r>
      <w:r w:rsidR="00AC5F75">
        <w:t xml:space="preserve"> charges). </w:t>
      </w:r>
      <w:r w:rsidR="00586C4E" w:rsidRPr="00925BBA">
        <w:t>(</w:t>
      </w:r>
      <w:r w:rsidR="001334FB" w:rsidRPr="00925BBA">
        <w:t>CSO f</w:t>
      </w:r>
      <w:r w:rsidR="00AA21C2" w:rsidRPr="00C1136F">
        <w:t xml:space="preserve">unding </w:t>
      </w:r>
      <w:r w:rsidR="0093522F" w:rsidRPr="00C1136F">
        <w:t xml:space="preserve">is </w:t>
      </w:r>
      <w:r w:rsidR="00586C4E" w:rsidRPr="00C1136F">
        <w:t xml:space="preserve">discussed </w:t>
      </w:r>
      <w:r w:rsidR="0074253E" w:rsidRPr="00C1136F">
        <w:t>i</w:t>
      </w:r>
      <w:r w:rsidR="0074253E">
        <w:t>n</w:t>
      </w:r>
      <w:r w:rsidR="0093522F" w:rsidRPr="0074253E">
        <w:t xml:space="preserve"> more detail </w:t>
      </w:r>
      <w:r w:rsidR="0079268F" w:rsidRPr="0074253E">
        <w:t>below</w:t>
      </w:r>
      <w:r w:rsidR="0093522F" w:rsidRPr="0074253E">
        <w:t>.</w:t>
      </w:r>
      <w:r w:rsidR="00586C4E" w:rsidRPr="0074253E">
        <w:t>)</w:t>
      </w:r>
    </w:p>
    <w:p w14:paraId="45699586" w14:textId="77777777" w:rsidR="00966CC1" w:rsidRDefault="00966CC1" w:rsidP="00E05196">
      <w:pPr>
        <w:pStyle w:val="Heading4"/>
      </w:pPr>
      <w:r w:rsidRPr="008039F0">
        <w:t xml:space="preserve">Long-term system plans should be in place to guide </w:t>
      </w:r>
      <w:proofErr w:type="gramStart"/>
      <w:r w:rsidRPr="008039F0">
        <w:t>investment</w:t>
      </w:r>
      <w:proofErr w:type="gramEnd"/>
    </w:p>
    <w:p w14:paraId="3CA695D3" w14:textId="5115A4E8" w:rsidR="00E77706" w:rsidRDefault="00BF03D6" w:rsidP="00E93A2C">
      <w:pPr>
        <w:pStyle w:val="BodyText"/>
      </w:pPr>
      <w:r>
        <w:t xml:space="preserve">Once </w:t>
      </w:r>
      <w:r w:rsidR="00C50F8D">
        <w:t xml:space="preserve">the </w:t>
      </w:r>
      <w:r w:rsidR="00224757">
        <w:t xml:space="preserve">system </w:t>
      </w:r>
      <w:r w:rsidR="007B14FF">
        <w:t xml:space="preserve">objective </w:t>
      </w:r>
      <w:r>
        <w:t>is defined</w:t>
      </w:r>
      <w:r w:rsidR="008039F0">
        <w:t xml:space="preserve"> (incorporating both levels of service and government</w:t>
      </w:r>
      <w:r w:rsidR="008039F0">
        <w:noBreakHyphen/>
        <w:t>imposed standards)</w:t>
      </w:r>
      <w:r>
        <w:t>,</w:t>
      </w:r>
      <w:r w:rsidR="000A2648">
        <w:t xml:space="preserve"> </w:t>
      </w:r>
      <w:r w:rsidR="00C50F8D">
        <w:t>a long</w:t>
      </w:r>
      <w:r w:rsidR="00C50F8D">
        <w:noBreakHyphen/>
        <w:t xml:space="preserve">term </w:t>
      </w:r>
      <w:r w:rsidR="000A2648">
        <w:t xml:space="preserve">plan is </w:t>
      </w:r>
      <w:r w:rsidR="00C50F8D">
        <w:t xml:space="preserve">needed </w:t>
      </w:r>
      <w:r w:rsidR="000A2648">
        <w:t xml:space="preserve">to </w:t>
      </w:r>
      <w:r w:rsidR="00C50F8D">
        <w:t xml:space="preserve">pursue </w:t>
      </w:r>
      <w:r w:rsidR="00224757">
        <w:t>that objective</w:t>
      </w:r>
      <w:r w:rsidR="000A2648">
        <w:t xml:space="preserve"> in </w:t>
      </w:r>
      <w:r w:rsidR="00224757">
        <w:t xml:space="preserve">the most efficient </w:t>
      </w:r>
      <w:r>
        <w:t>manner</w:t>
      </w:r>
      <w:r w:rsidR="00224757">
        <w:t xml:space="preserve"> possible</w:t>
      </w:r>
      <w:r w:rsidR="00AD238D">
        <w:t xml:space="preserve">. </w:t>
      </w:r>
      <w:r w:rsidR="00224757">
        <w:t xml:space="preserve">Planning </w:t>
      </w:r>
      <w:r>
        <w:t>guides infrastructure decision</w:t>
      </w:r>
      <w:r w:rsidR="00E431AD">
        <w:t xml:space="preserve"> </w:t>
      </w:r>
      <w:r>
        <w:t>making</w:t>
      </w:r>
      <w:r w:rsidR="00224757">
        <w:t>,</w:t>
      </w:r>
      <w:r>
        <w:t xml:space="preserve"> including the </w:t>
      </w:r>
      <w:proofErr w:type="gramStart"/>
      <w:r>
        <w:t>type</w:t>
      </w:r>
      <w:proofErr w:type="gramEnd"/>
      <w:r>
        <w:t xml:space="preserve"> and timing of investments.</w:t>
      </w:r>
    </w:p>
    <w:p w14:paraId="5937425C" w14:textId="19999196" w:rsidR="00725D5D" w:rsidRDefault="00E77706" w:rsidP="00E93A2C">
      <w:pPr>
        <w:pStyle w:val="BodyText"/>
      </w:pPr>
      <w:r>
        <w:t>Long</w:t>
      </w:r>
      <w:r>
        <w:noBreakHyphen/>
        <w:t>term planning would provide</w:t>
      </w:r>
      <w:r w:rsidRPr="00C11D02">
        <w:t xml:space="preserve"> a framework for managing expected population growth or decline, and</w:t>
      </w:r>
      <w:r>
        <w:t xml:space="preserve"> the</w:t>
      </w:r>
      <w:r w:rsidRPr="00C11D02">
        <w:t xml:space="preserve"> impacts of climate change</w:t>
      </w:r>
      <w:r>
        <w:t xml:space="preserve"> on water supplies. It would also </w:t>
      </w:r>
      <w:r w:rsidRPr="00C11D02">
        <w:t xml:space="preserve">help guide </w:t>
      </w:r>
      <w:r>
        <w:t xml:space="preserve">local infrastructure investment, including </w:t>
      </w:r>
      <w:r w:rsidRPr="00C11D02">
        <w:t xml:space="preserve">any </w:t>
      </w:r>
      <w:r>
        <w:t>S</w:t>
      </w:r>
      <w:r w:rsidRPr="00C11D02">
        <w:t>tate</w:t>
      </w:r>
      <w:r>
        <w:t xml:space="preserve">, Territory or Australian </w:t>
      </w:r>
      <w:r w:rsidR="00E431AD">
        <w:t>g</w:t>
      </w:r>
      <w:r>
        <w:t>overnment</w:t>
      </w:r>
      <w:r w:rsidRPr="00C11D02">
        <w:t xml:space="preserve"> </w:t>
      </w:r>
      <w:r w:rsidRPr="00C11D02">
        <w:lastRenderedPageBreak/>
        <w:t>investments if</w:t>
      </w:r>
      <w:r>
        <w:t xml:space="preserve"> </w:t>
      </w:r>
      <w:r w:rsidRPr="00C11D02">
        <w:t>they occur</w:t>
      </w:r>
      <w:r>
        <w:t xml:space="preserve">. Where State and Territory </w:t>
      </w:r>
      <w:r w:rsidR="00E431AD">
        <w:t>G</w:t>
      </w:r>
      <w:r>
        <w:t xml:space="preserve">overnments provide CSO funding, they should be involved in the </w:t>
      </w:r>
      <w:r w:rsidR="005277DD">
        <w:t xml:space="preserve">upfront </w:t>
      </w:r>
      <w:r>
        <w:t xml:space="preserve">planning process to ensure adequate oversight of investment decisions and scrutiny </w:t>
      </w:r>
      <w:r w:rsidR="00C03B99">
        <w:t>of</w:t>
      </w:r>
      <w:r>
        <w:t xml:space="preserve"> costs</w:t>
      </w:r>
      <w:r w:rsidR="006A2462">
        <w:t xml:space="preserve"> — as well as to ensure all water supply options (including self</w:t>
      </w:r>
      <w:r w:rsidR="006A2462">
        <w:noBreakHyphen/>
        <w:t>supply</w:t>
      </w:r>
      <w:r w:rsidR="008039F0">
        <w:t>, entitlement purchase</w:t>
      </w:r>
      <w:r w:rsidR="006A2462">
        <w:t xml:space="preserve"> and emerging technologies such as small</w:t>
      </w:r>
      <w:r w:rsidR="006A2462">
        <w:noBreakHyphen/>
        <w:t>scale desalination) are considered</w:t>
      </w:r>
      <w:r>
        <w:t xml:space="preserve">. </w:t>
      </w:r>
    </w:p>
    <w:p w14:paraId="1DADC1D4" w14:textId="6B768CFF" w:rsidR="00CD088D" w:rsidRDefault="00CD088D" w:rsidP="00E93A2C">
      <w:pPr>
        <w:pStyle w:val="BodyText"/>
      </w:pPr>
      <w:r>
        <w:t>The coverage and quality of long</w:t>
      </w:r>
      <w:r>
        <w:noBreakHyphen/>
        <w:t>term system plans can vary between regional providers. In New South Wales, for example, utilities are required to prepare an integrated water cycle management (IWCM) strategy which ‘</w:t>
      </w:r>
      <w:r w:rsidRPr="008C08C1">
        <w:t>sets out town water priorities, including infrastructure and non</w:t>
      </w:r>
      <w:r>
        <w:noBreakHyphen/>
      </w:r>
      <w:r w:rsidRPr="008C08C1">
        <w:t>infrastructure investments, water conservation and drought measures</w:t>
      </w:r>
      <w:r>
        <w:t xml:space="preserve">’ and is approved by the New South Wales </w:t>
      </w:r>
      <w:r w:rsidR="000C1CCC">
        <w:t>G</w:t>
      </w:r>
      <w:r>
        <w:t xml:space="preserve">overnment </w:t>
      </w:r>
      <w:r w:rsidR="009F14B5" w:rsidRPr="009F14B5">
        <w:rPr>
          <w:szCs w:val="24"/>
        </w:rPr>
        <w:t>(Audit Office of New South Wales 2020, p. 1)</w:t>
      </w:r>
      <w:r>
        <w:t xml:space="preserve">. Although this requirement has been in place since 2004, the Audit Office of New South Wales </w:t>
      </w:r>
      <w:r w:rsidRPr="00F851D9">
        <w:rPr>
          <w:szCs w:val="24"/>
        </w:rPr>
        <w:t>(2020, p. 18)</w:t>
      </w:r>
      <w:r>
        <w:t xml:space="preserve"> confirmed that, of the </w:t>
      </w:r>
      <w:r w:rsidRPr="00D95369">
        <w:t>92</w:t>
      </w:r>
      <w:r>
        <w:t xml:space="preserve"> utilities subject to the guidelines, just half had submitted a strategy to the State Government for review, and only eight had an approved strategy in </w:t>
      </w:r>
      <w:r w:rsidRPr="0074253E">
        <w:t>place</w:t>
      </w:r>
      <w:r>
        <w:t>.</w:t>
      </w:r>
    </w:p>
    <w:p w14:paraId="109902B3" w14:textId="2B56CB52" w:rsidR="00CD088D" w:rsidRDefault="008039F0" w:rsidP="00E93A2C">
      <w:pPr>
        <w:pStyle w:val="BodyText"/>
      </w:pPr>
      <w:r>
        <w:t>Many</w:t>
      </w:r>
      <w:r w:rsidR="00CD088D">
        <w:t xml:space="preserve"> fundamentals of system planning, including assessing </w:t>
      </w:r>
      <w:r w:rsidR="001C3B2A">
        <w:t>long</w:t>
      </w:r>
      <w:r w:rsidR="001C3B2A">
        <w:noBreakHyphen/>
        <w:t xml:space="preserve">term </w:t>
      </w:r>
      <w:r w:rsidR="00CD088D">
        <w:t xml:space="preserve">demand, are the responsibility of the service provider. </w:t>
      </w:r>
      <w:r w:rsidR="00966CC1">
        <w:t xml:space="preserve">It is important that any plan takes account of local </w:t>
      </w:r>
      <w:proofErr w:type="gramStart"/>
      <w:r w:rsidR="00966CC1">
        <w:t>circumstances, and</w:t>
      </w:r>
      <w:proofErr w:type="gramEnd"/>
      <w:r w:rsidR="001C3B2A">
        <w:t xml:space="preserve"> </w:t>
      </w:r>
      <w:r w:rsidR="00966CC1">
        <w:t xml:space="preserve">occurs at the right scale. </w:t>
      </w:r>
      <w:r w:rsidR="006A2462">
        <w:t xml:space="preserve">In many parts of Australia, </w:t>
      </w:r>
      <w:r w:rsidR="00CD088D">
        <w:t xml:space="preserve">this </w:t>
      </w:r>
      <w:r w:rsidR="006A2462">
        <w:t xml:space="preserve">local planning would be sufficient. </w:t>
      </w:r>
    </w:p>
    <w:p w14:paraId="52AE4ED3" w14:textId="089A0059" w:rsidR="003504C1" w:rsidRDefault="003504C1" w:rsidP="00E93A2C">
      <w:pPr>
        <w:pStyle w:val="BodyText"/>
      </w:pPr>
      <w:r>
        <w:t>In some systems, planning should take place at a regional scale — f</w:t>
      </w:r>
      <w:r w:rsidDel="00CD088D">
        <w:t>or example, at a catchment level in connected systems with multiple urban water supply systems</w:t>
      </w:r>
      <w:r>
        <w:t xml:space="preserve"> and/or irrigated agriculture systems. This would allow the most cost</w:t>
      </w:r>
      <w:r>
        <w:noBreakHyphen/>
        <w:t>effective water supply options (both infrastructure and non</w:t>
      </w:r>
      <w:r>
        <w:noBreakHyphen/>
        <w:t xml:space="preserve">infrastructure) to be </w:t>
      </w:r>
      <w:proofErr w:type="gramStart"/>
      <w:r>
        <w:t>considered, and</w:t>
      </w:r>
      <w:proofErr w:type="gramEnd"/>
      <w:r>
        <w:t xml:space="preserve"> ensure s</w:t>
      </w:r>
      <w:r w:rsidDel="00CD088D">
        <w:t xml:space="preserve">ystem planning </w:t>
      </w:r>
      <w:r>
        <w:t xml:space="preserve">is </w:t>
      </w:r>
      <w:r w:rsidDel="00CD088D">
        <w:t xml:space="preserve">consistent with </w:t>
      </w:r>
      <w:r>
        <w:t>broader</w:t>
      </w:r>
      <w:r>
        <w:noBreakHyphen/>
      </w:r>
      <w:r w:rsidDel="00CD088D">
        <w:t xml:space="preserve">scale </w:t>
      </w:r>
      <w:r>
        <w:t xml:space="preserve">water resource </w:t>
      </w:r>
      <w:r w:rsidDel="00CD088D">
        <w:t>planning.</w:t>
      </w:r>
      <w:r>
        <w:t xml:space="preserve"> Some systems may present opportunities for inter</w:t>
      </w:r>
      <w:r>
        <w:noBreakHyphen/>
        <w:t>catchment transfers, so the planning process should take place at a higher scale for those options to be assessed alongside smaller</w:t>
      </w:r>
      <w:r>
        <w:noBreakHyphen/>
        <w:t xml:space="preserve">scale local options. </w:t>
      </w:r>
    </w:p>
    <w:p w14:paraId="7C3DAC8A" w14:textId="53937BC9" w:rsidR="008039F0" w:rsidRDefault="008039F0" w:rsidP="00E93A2C">
      <w:pPr>
        <w:pStyle w:val="BodyText"/>
      </w:pPr>
      <w:r>
        <w:t xml:space="preserve">For example, Victoria’s </w:t>
      </w:r>
      <w:r>
        <w:rPr>
          <w:i/>
        </w:rPr>
        <w:t xml:space="preserve">Sustainable Water Strategies </w:t>
      </w:r>
      <w:r>
        <w:t>take a long</w:t>
      </w:r>
      <w:r>
        <w:noBreakHyphen/>
        <w:t xml:space="preserve">term view of water resources and ‘guide the development, integration and implementation of management plans prepared by [urban and rural] water corporations and catchment management authorities operating within each region’ </w:t>
      </w:r>
      <w:proofErr w:type="gramStart"/>
      <w:r>
        <w:t>in order to</w:t>
      </w:r>
      <w:proofErr w:type="gramEnd"/>
      <w:r w:rsidR="009F14B5">
        <w:t>, among other things,</w:t>
      </w:r>
      <w:r>
        <w:t xml:space="preserve"> ensure secure water supplies for towns </w:t>
      </w:r>
      <w:r w:rsidRPr="00925BBA">
        <w:rPr>
          <w:szCs w:val="24"/>
        </w:rPr>
        <w:t>(DSE (Vic) 2012, p. 19)</w:t>
      </w:r>
      <w:r>
        <w:t xml:space="preserve">. </w:t>
      </w:r>
      <w:r w:rsidR="003504C1">
        <w:t>This ensures planning is integrated across scales, and between urban and rural water systems.</w:t>
      </w:r>
    </w:p>
    <w:p w14:paraId="3A9F529A" w14:textId="66432CE2" w:rsidR="001B1C6F" w:rsidRPr="00AB25B6" w:rsidRDefault="003504C1" w:rsidP="00E93A2C">
      <w:pPr>
        <w:pStyle w:val="BodyText"/>
      </w:pPr>
      <w:r>
        <w:t>Planning at a higher</w:t>
      </w:r>
      <w:r>
        <w:noBreakHyphen/>
        <w:t xml:space="preserve">level regional scale would allow for collaboration between providers, which can also assist </w:t>
      </w:r>
      <w:r w:rsidRPr="00272ADB">
        <w:t>small</w:t>
      </w:r>
      <w:r>
        <w:t>er</w:t>
      </w:r>
      <w:r w:rsidRPr="00272ADB">
        <w:t xml:space="preserve"> </w:t>
      </w:r>
      <w:r>
        <w:t>providers that may not</w:t>
      </w:r>
      <w:r w:rsidRPr="00272ADB">
        <w:t xml:space="preserve"> be able to finance the specialist skills required</w:t>
      </w:r>
      <w:r>
        <w:t xml:space="preserve">. And there may be a role for the State or Territory </w:t>
      </w:r>
      <w:r w:rsidR="000C1CCC">
        <w:t>G</w:t>
      </w:r>
      <w:r>
        <w:t>overnment to enable regional</w:t>
      </w:r>
      <w:r>
        <w:noBreakHyphen/>
        <w:t>scale supply augmentation options, as well as to support capacity</w:t>
      </w:r>
      <w:r>
        <w:noBreakHyphen/>
        <w:t xml:space="preserve">building and encourage collaboration between providers to share expertise (discussed below). However, this should not extend to detailed planning requirements — some have observed that the </w:t>
      </w:r>
      <w:r w:rsidR="003B5D90">
        <w:t>New South Wales</w:t>
      </w:r>
      <w:r>
        <w:t xml:space="preserve"> IWCM strategies are an onerous and overly</w:t>
      </w:r>
      <w:r>
        <w:noBreakHyphen/>
        <w:t>prescriptive process (</w:t>
      </w:r>
      <w:proofErr w:type="spellStart"/>
      <w:r w:rsidRPr="00DB2AB3">
        <w:t>Goldenfields</w:t>
      </w:r>
      <w:proofErr w:type="spellEnd"/>
      <w:r>
        <w:t xml:space="preserve"> Water</w:t>
      </w:r>
      <w:r w:rsidRPr="00DB2AB3">
        <w:t xml:space="preserve"> County Council, sub. 25</w:t>
      </w:r>
      <w:r>
        <w:t>, p. 5).</w:t>
      </w:r>
      <w:r w:rsidR="00EC1407" w:rsidRPr="003504C1">
        <w:t xml:space="preserve"> </w:t>
      </w:r>
    </w:p>
    <w:p w14:paraId="13050A4F" w14:textId="0FE95894" w:rsidR="00725D5D" w:rsidRDefault="00AD238D" w:rsidP="00E93A2C">
      <w:pPr>
        <w:pStyle w:val="BodyText"/>
      </w:pPr>
      <w:r>
        <w:lastRenderedPageBreak/>
        <w:t xml:space="preserve">Irrespective of capability, local utilities </w:t>
      </w:r>
      <w:r w:rsidR="00C11D02">
        <w:t>do not</w:t>
      </w:r>
      <w:r>
        <w:t xml:space="preserve"> </w:t>
      </w:r>
      <w:r w:rsidR="00C11D02">
        <w:t xml:space="preserve">always </w:t>
      </w:r>
      <w:r>
        <w:t xml:space="preserve">have an incentive to undertake </w:t>
      </w:r>
      <w:r w:rsidR="00C11D02">
        <w:t>detailed</w:t>
      </w:r>
      <w:r>
        <w:t xml:space="preserve"> long</w:t>
      </w:r>
      <w:r>
        <w:noBreakHyphen/>
        <w:t>term supply planning — particularly</w:t>
      </w:r>
      <w:r w:rsidR="00C11D02">
        <w:t>,</w:t>
      </w:r>
      <w:r>
        <w:t xml:space="preserve"> where investments might impact on </w:t>
      </w:r>
      <w:r w:rsidR="005327BF">
        <w:t>short</w:t>
      </w:r>
      <w:r w:rsidR="005327BF">
        <w:noBreakHyphen/>
        <w:t xml:space="preserve">term </w:t>
      </w:r>
      <w:r w:rsidR="001B322F">
        <w:t xml:space="preserve">customer </w:t>
      </w:r>
      <w:r w:rsidR="00C11D02">
        <w:t>affordability</w:t>
      </w:r>
      <w:r w:rsidR="001B322F">
        <w:t>,</w:t>
      </w:r>
      <w:r w:rsidR="00C11D02">
        <w:t xml:space="preserve"> </w:t>
      </w:r>
      <w:r w:rsidR="001B322F">
        <w:t xml:space="preserve">or </w:t>
      </w:r>
      <w:r w:rsidR="00C11D02">
        <w:t>if the State or Territory government is likely to</w:t>
      </w:r>
      <w:r w:rsidR="00493B60">
        <w:t xml:space="preserve"> step in and</w:t>
      </w:r>
      <w:r w:rsidR="00C11D02">
        <w:t xml:space="preserve"> </w:t>
      </w:r>
      <w:r w:rsidR="00493B60">
        <w:t xml:space="preserve">guarantee </w:t>
      </w:r>
      <w:r w:rsidR="00C1797C">
        <w:t xml:space="preserve">water supplies </w:t>
      </w:r>
      <w:r w:rsidR="00C11D02">
        <w:t>during an emergency</w:t>
      </w:r>
      <w:r w:rsidR="00EC1407">
        <w:t xml:space="preserve"> (a ‘provider of last resort’)</w:t>
      </w:r>
      <w:r w:rsidR="00C11D02">
        <w:t xml:space="preserve">. </w:t>
      </w:r>
      <w:r w:rsidR="00A846E4">
        <w:t xml:space="preserve">This reflects </w:t>
      </w:r>
      <w:r w:rsidR="00493B60">
        <w:t>a broader question</w:t>
      </w:r>
      <w:r w:rsidR="00A846E4">
        <w:t xml:space="preserve"> </w:t>
      </w:r>
      <w:r w:rsidR="003259A5">
        <w:t>concerning</w:t>
      </w:r>
      <w:r w:rsidR="00493B60">
        <w:t xml:space="preserve"> </w:t>
      </w:r>
      <w:r w:rsidR="00A846E4">
        <w:t>governance</w:t>
      </w:r>
      <w:r w:rsidR="00923961">
        <w:t xml:space="preserve"> where regional utilities are owned by local governments — this </w:t>
      </w:r>
      <w:r w:rsidR="00493B60">
        <w:t>is</w:t>
      </w:r>
      <w:r w:rsidR="00A846E4">
        <w:t xml:space="preserve"> considered below.</w:t>
      </w:r>
    </w:p>
    <w:p w14:paraId="37AFB873" w14:textId="77777777" w:rsidR="007B14FF" w:rsidRDefault="007B14FF" w:rsidP="00E05196">
      <w:pPr>
        <w:pStyle w:val="Heading4"/>
      </w:pPr>
      <w:r>
        <w:t xml:space="preserve">Contingency planning for extreme events should be consistent across </w:t>
      </w:r>
      <w:proofErr w:type="gramStart"/>
      <w:r>
        <w:t>scales</w:t>
      </w:r>
      <w:proofErr w:type="gramEnd"/>
    </w:p>
    <w:p w14:paraId="4FAF7632" w14:textId="020152F8" w:rsidR="00852C88" w:rsidRDefault="00C53E26" w:rsidP="00E93A2C">
      <w:pPr>
        <w:pStyle w:val="BodyText"/>
      </w:pPr>
      <w:r>
        <w:t>As noted above, t</w:t>
      </w:r>
      <w:r w:rsidR="008C08C1">
        <w:t>he recent drought</w:t>
      </w:r>
      <w:r w:rsidR="0050188E">
        <w:t xml:space="preserve"> highlighted inadequacies in </w:t>
      </w:r>
      <w:r w:rsidR="008C08C1">
        <w:t xml:space="preserve">the </w:t>
      </w:r>
      <w:r w:rsidR="009D6BFA">
        <w:t xml:space="preserve">contingency </w:t>
      </w:r>
      <w:r w:rsidR="008C08C1">
        <w:t xml:space="preserve">planning </w:t>
      </w:r>
      <w:r w:rsidR="0050188E">
        <w:t xml:space="preserve">of some utilities </w:t>
      </w:r>
      <w:r w:rsidR="001B322F">
        <w:t>(section </w:t>
      </w:r>
      <w:r w:rsidR="001B3406">
        <w:t>2</w:t>
      </w:r>
      <w:r w:rsidR="001B322F">
        <w:t>)</w:t>
      </w:r>
      <w:r w:rsidR="008C08C1">
        <w:t>.</w:t>
      </w:r>
    </w:p>
    <w:p w14:paraId="0779E149" w14:textId="77777777" w:rsidR="00966CC1" w:rsidRDefault="00966CC1" w:rsidP="00966CC1">
      <w:pPr>
        <w:pStyle w:val="BodyText"/>
        <w:keepNext/>
      </w:pPr>
      <w:r>
        <w:t xml:space="preserve">In </w:t>
      </w:r>
      <w:r w:rsidRPr="00083F8C">
        <w:t>some cases</w:t>
      </w:r>
      <w:r>
        <w:t>,</w:t>
      </w:r>
      <w:r w:rsidRPr="00083F8C">
        <w:t xml:space="preserve"> multiple utilities shar</w:t>
      </w:r>
      <w:r>
        <w:t xml:space="preserve">e bulk water infrastructure and, while </w:t>
      </w:r>
      <w:r w:rsidRPr="00083F8C">
        <w:t xml:space="preserve">collaboration occurs in some places, there is not always a formal mechanism to ensure local utility </w:t>
      </w:r>
      <w:r>
        <w:t>extreme event plans align</w:t>
      </w:r>
      <w:r w:rsidRPr="00083F8C">
        <w:t xml:space="preserve"> </w:t>
      </w:r>
      <w:r>
        <w:t>with the extreme event provisions in the broader catchment plans</w:t>
      </w:r>
      <w:r w:rsidRPr="00083F8C">
        <w:t>.</w:t>
      </w:r>
      <w:r>
        <w:t xml:space="preserve"> This can lead to uncoordinated responses during extreme events. </w:t>
      </w:r>
      <w:r w:rsidRPr="00C22BA5">
        <w:t xml:space="preserve">According to the Inland </w:t>
      </w:r>
      <w:r>
        <w:t>R</w:t>
      </w:r>
      <w:r w:rsidRPr="00C22BA5">
        <w:t>ivers Network (sub.</w:t>
      </w:r>
      <w:r>
        <w:t> </w:t>
      </w:r>
      <w:r w:rsidRPr="00C22BA5">
        <w:t>86, p. 14):</w:t>
      </w:r>
    </w:p>
    <w:p w14:paraId="69C462B7" w14:textId="77777777" w:rsidR="00966CC1" w:rsidRPr="00C22BA5" w:rsidRDefault="00966CC1" w:rsidP="00966CC1">
      <w:pPr>
        <w:pStyle w:val="Quote"/>
      </w:pPr>
      <w:r w:rsidRPr="00C22BA5">
        <w:t xml:space="preserve">Poor water quality and extreme events are mostly out of the control of regional and remote water service providers who are dependent on State level plans and policies. </w:t>
      </w:r>
      <w:proofErr w:type="gramStart"/>
      <w:r w:rsidRPr="00C22BA5">
        <w:t>Thus</w:t>
      </w:r>
      <w:proofErr w:type="gramEnd"/>
      <w:r w:rsidRPr="00C22BA5">
        <w:t xml:space="preserve"> any benchmarking of service levels required by small service providers should have reciprocal arrangements that ensure smaller providers have access to a certain standard of water quality and quantity</w:t>
      </w:r>
      <w:r>
        <w:t>.</w:t>
      </w:r>
    </w:p>
    <w:p w14:paraId="2798C641" w14:textId="1FA795EA" w:rsidR="00D6509C" w:rsidRPr="00D6509C" w:rsidRDefault="00C22BA5" w:rsidP="00E93A2C">
      <w:pPr>
        <w:pStyle w:val="BodyText"/>
      </w:pPr>
      <w:r w:rsidRPr="00C22BA5">
        <w:t xml:space="preserve">There is a need to align centralised expertise and information with local knowledge to ensure that </w:t>
      </w:r>
      <w:r w:rsidR="002769EB">
        <w:t>town</w:t>
      </w:r>
      <w:r w:rsidRPr="00C22BA5">
        <w:t xml:space="preserve"> water </w:t>
      </w:r>
      <w:r w:rsidR="002769EB">
        <w:t xml:space="preserve">supplies do </w:t>
      </w:r>
      <w:r w:rsidRPr="00C22BA5">
        <w:t>not fall through the cracks during a drought</w:t>
      </w:r>
      <w:r w:rsidR="00852C88">
        <w:t xml:space="preserve">. </w:t>
      </w:r>
      <w:r w:rsidR="00D6509C">
        <w:t xml:space="preserve">Some jurisdictions have </w:t>
      </w:r>
      <w:r w:rsidR="00852C88">
        <w:t>recently taken steps to address this</w:t>
      </w:r>
      <w:r w:rsidR="00D6509C">
        <w:t>: for example,</w:t>
      </w:r>
      <w:r w:rsidR="00D6509C" w:rsidRPr="00D6509C">
        <w:t xml:space="preserve"> </w:t>
      </w:r>
      <w:r w:rsidR="00D6509C">
        <w:t xml:space="preserve">Queensland’s </w:t>
      </w:r>
      <w:r w:rsidR="00D6509C" w:rsidRPr="00B33B16">
        <w:rPr>
          <w:i/>
        </w:rPr>
        <w:t>Regional Water Supply Security Assessments</w:t>
      </w:r>
      <w:r w:rsidR="00D6509C">
        <w:t xml:space="preserve"> aim to develop </w:t>
      </w:r>
      <w:r w:rsidR="00D6509C" w:rsidRPr="001B322F">
        <w:t>a shared understanding of the potential water supply security risks for prioritised communities</w:t>
      </w:r>
      <w:r w:rsidR="00D6509C">
        <w:t xml:space="preserve"> — although water service providers are responsible for implementing actions to ensure water security </w:t>
      </w:r>
      <w:r w:rsidR="00D6509C" w:rsidRPr="005F46AA">
        <w:rPr>
          <w:szCs w:val="24"/>
        </w:rPr>
        <w:t>(DNRME (Qld) 2018a)</w:t>
      </w:r>
      <w:r w:rsidR="00D6509C">
        <w:t>.</w:t>
      </w:r>
    </w:p>
    <w:p w14:paraId="460C3B96" w14:textId="2100E6AA" w:rsidR="003504C1" w:rsidRPr="000D0720" w:rsidRDefault="003504C1" w:rsidP="003504C1">
      <w:pPr>
        <w:pStyle w:val="BodyText"/>
      </w:pPr>
      <w:r w:rsidRPr="009D6BFA">
        <w:t xml:space="preserve">Contingency plans should lay out </w:t>
      </w:r>
      <w:r>
        <w:t xml:space="preserve">clear </w:t>
      </w:r>
      <w:r w:rsidRPr="009D6BFA">
        <w:t>triggers for imposing water restrictions and engaging emergency supplies, with reference to the extreme event provisions in the broader water plan (where relevant)</w:t>
      </w:r>
      <w:r>
        <w:t xml:space="preserve"> as well as aligning to planned augmentations or access to alternative water holdings under the long</w:t>
      </w:r>
      <w:r>
        <w:noBreakHyphen/>
        <w:t>term system plan in a timely way (that is, ensuring there is enough time to undertake a planned augmentation or water entitlement purchase before a critical water shortage occurs)</w:t>
      </w:r>
      <w:r w:rsidRPr="009D6BFA">
        <w:t xml:space="preserve">. Contingency plans should also clarify if, when and how State and Territory </w:t>
      </w:r>
      <w:r w:rsidR="00E431AD">
        <w:t>G</w:t>
      </w:r>
      <w:r w:rsidRPr="009D6BFA">
        <w:t xml:space="preserve">overnments </w:t>
      </w:r>
      <w:r w:rsidR="000C1CCC">
        <w:t xml:space="preserve">should </w:t>
      </w:r>
      <w:r w:rsidRPr="009D6BFA">
        <w:t>intervene to alleviate critical supply shortages</w:t>
      </w:r>
      <w:r>
        <w:t xml:space="preserve"> as a provider of last resort</w:t>
      </w:r>
      <w:r w:rsidRPr="009D6BFA">
        <w:t xml:space="preserve">. </w:t>
      </w:r>
      <w:r>
        <w:t xml:space="preserve">This aspect </w:t>
      </w:r>
      <w:proofErr w:type="gramStart"/>
      <w:r>
        <w:t xml:space="preserve">in particular </w:t>
      </w:r>
      <w:r w:rsidRPr="009D6BFA">
        <w:t>should</w:t>
      </w:r>
      <w:proofErr w:type="gramEnd"/>
      <w:r w:rsidRPr="009D6BFA">
        <w:t xml:space="preserve"> be developed </w:t>
      </w:r>
      <w:r>
        <w:t>in concert</w:t>
      </w:r>
      <w:r w:rsidRPr="009D6BFA">
        <w:t xml:space="preserve"> </w:t>
      </w:r>
      <w:r>
        <w:t xml:space="preserve">with </w:t>
      </w:r>
      <w:r w:rsidRPr="009D6BFA">
        <w:t xml:space="preserve">the relevant State or Territory government, with input from the community </w:t>
      </w:r>
      <w:r>
        <w:t xml:space="preserve">— </w:t>
      </w:r>
      <w:r w:rsidRPr="000D0720">
        <w:t>particularly to ensure they understand the need for contingency measures (such as water carting) in an emergency</w:t>
      </w:r>
      <w:r>
        <w:t>.</w:t>
      </w:r>
    </w:p>
    <w:p w14:paraId="6ED421E7" w14:textId="2240359C" w:rsidR="00F72B12" w:rsidRDefault="00E94382" w:rsidP="00E93A2C">
      <w:pPr>
        <w:pStyle w:val="Heading3"/>
      </w:pPr>
      <w:bookmarkStart w:id="22" w:name="_Toc62043657"/>
      <w:r>
        <w:t>3.2</w:t>
      </w:r>
      <w:r>
        <w:tab/>
      </w:r>
      <w:r w:rsidR="00FB5772">
        <w:t>Improving</w:t>
      </w:r>
      <w:r w:rsidR="00F72B12">
        <w:t xml:space="preserve"> </w:t>
      </w:r>
      <w:r w:rsidR="00FC6831" w:rsidRPr="00E93A2C">
        <w:t>small</w:t>
      </w:r>
      <w:r w:rsidR="00FC6831">
        <w:t xml:space="preserve"> </w:t>
      </w:r>
      <w:r w:rsidR="00F72B12">
        <w:t xml:space="preserve">utility capability </w:t>
      </w:r>
      <w:r w:rsidR="001A4D95">
        <w:t xml:space="preserve">through </w:t>
      </w:r>
      <w:r w:rsidR="00AA64F9">
        <w:t xml:space="preserve">regional </w:t>
      </w:r>
      <w:proofErr w:type="gramStart"/>
      <w:r w:rsidR="001A4D95">
        <w:t>collaboration</w:t>
      </w:r>
      <w:bookmarkEnd w:id="22"/>
      <w:proofErr w:type="gramEnd"/>
    </w:p>
    <w:p w14:paraId="4E207DA1" w14:textId="0EDD7925" w:rsidR="00725D5D" w:rsidRDefault="00646322" w:rsidP="00E93A2C">
      <w:pPr>
        <w:pStyle w:val="BodyText"/>
      </w:pPr>
      <w:r>
        <w:t>R</w:t>
      </w:r>
      <w:r w:rsidR="00497121" w:rsidRPr="00F72B12">
        <w:t xml:space="preserve">egional service providers </w:t>
      </w:r>
      <w:r w:rsidR="00DA23D4">
        <w:t>need</w:t>
      </w:r>
      <w:r w:rsidR="0050188E">
        <w:t xml:space="preserve"> capability </w:t>
      </w:r>
      <w:r w:rsidR="00497121" w:rsidRPr="00F72B12">
        <w:t>to</w:t>
      </w:r>
      <w:r w:rsidR="00083F8C">
        <w:t xml:space="preserve"> </w:t>
      </w:r>
      <w:proofErr w:type="gramStart"/>
      <w:r w:rsidR="00497121" w:rsidRPr="00F72B12">
        <w:t xml:space="preserve">efficiently </w:t>
      </w:r>
      <w:r w:rsidR="00C02DF0">
        <w:t xml:space="preserve">and sustainably </w:t>
      </w:r>
      <w:r w:rsidR="00497121" w:rsidRPr="00F72B12">
        <w:t>deliver water services</w:t>
      </w:r>
      <w:proofErr w:type="gramEnd"/>
      <w:r w:rsidR="00497121" w:rsidRPr="00F72B12">
        <w:t xml:space="preserve"> </w:t>
      </w:r>
      <w:r>
        <w:t>to</w:t>
      </w:r>
      <w:r w:rsidR="00C02DF0">
        <w:t xml:space="preserve"> </w:t>
      </w:r>
      <w:r w:rsidR="00497121" w:rsidRPr="00F72B12">
        <w:t xml:space="preserve">agreed </w:t>
      </w:r>
      <w:r>
        <w:t>levels of service</w:t>
      </w:r>
      <w:r w:rsidR="00497121" w:rsidRPr="00F72B12">
        <w:t xml:space="preserve">. </w:t>
      </w:r>
      <w:r w:rsidR="00292D98">
        <w:t>A</w:t>
      </w:r>
      <w:r w:rsidR="007364C2">
        <w:t>s</w:t>
      </w:r>
      <w:r w:rsidR="007364C2" w:rsidRPr="00771815">
        <w:t xml:space="preserve"> highlighted in </w:t>
      </w:r>
      <w:r w:rsidR="007364C2">
        <w:t>section </w:t>
      </w:r>
      <w:r w:rsidR="007364C2" w:rsidRPr="00771815">
        <w:t xml:space="preserve">2, </w:t>
      </w:r>
      <w:r w:rsidR="007364C2">
        <w:t xml:space="preserve">there are concerns </w:t>
      </w:r>
      <w:r w:rsidR="003259A5">
        <w:t>with</w:t>
      </w:r>
      <w:r w:rsidR="007364C2">
        <w:t xml:space="preserve"> the </w:t>
      </w:r>
      <w:r w:rsidR="007364C2">
        <w:lastRenderedPageBreak/>
        <w:t>capability</w:t>
      </w:r>
      <w:r w:rsidR="000D0720">
        <w:t xml:space="preserve"> and resourcing available to</w:t>
      </w:r>
      <w:r w:rsidR="007364C2">
        <w:t xml:space="preserve"> smaller providers to effectively </w:t>
      </w:r>
      <w:r w:rsidR="00F11D37">
        <w:t>achieve these outcomes</w:t>
      </w:r>
      <w:r w:rsidR="007364C2">
        <w:t xml:space="preserve"> — in part</w:t>
      </w:r>
      <w:r w:rsidR="000D0720">
        <w:t>,</w:t>
      </w:r>
      <w:r w:rsidR="007364C2">
        <w:t xml:space="preserve"> because </w:t>
      </w:r>
      <w:r w:rsidR="000D0720">
        <w:t>they</w:t>
      </w:r>
      <w:r w:rsidR="007364C2">
        <w:t xml:space="preserve"> </w:t>
      </w:r>
      <w:proofErr w:type="gramStart"/>
      <w:r>
        <w:t>lack of</w:t>
      </w:r>
      <w:proofErr w:type="gramEnd"/>
      <w:r>
        <w:t xml:space="preserve"> economies of</w:t>
      </w:r>
      <w:r w:rsidR="007364C2">
        <w:t xml:space="preserve"> scale, as well as </w:t>
      </w:r>
      <w:r>
        <w:t>ongoing</w:t>
      </w:r>
      <w:r w:rsidR="007364C2">
        <w:t xml:space="preserve"> under</w:t>
      </w:r>
      <w:r w:rsidR="00292D98">
        <w:noBreakHyphen/>
      </w:r>
      <w:r w:rsidR="007364C2">
        <w:t xml:space="preserve">pricing and </w:t>
      </w:r>
      <w:r w:rsidR="00F11D37">
        <w:t xml:space="preserve">a </w:t>
      </w:r>
      <w:r w:rsidR="007364C2">
        <w:t>concomitant lack of financial resources</w:t>
      </w:r>
      <w:r w:rsidR="000D0720">
        <w:t xml:space="preserve"> in some cases</w:t>
      </w:r>
      <w:r w:rsidR="00497121" w:rsidRPr="00F72B12">
        <w:t>.</w:t>
      </w:r>
    </w:p>
    <w:p w14:paraId="406B757C" w14:textId="3343939B" w:rsidR="00B33B16" w:rsidRPr="00646322" w:rsidRDefault="00366543" w:rsidP="00606493">
      <w:pPr>
        <w:pStyle w:val="BodyText"/>
      </w:pPr>
      <w:r>
        <w:t>Th</w:t>
      </w:r>
      <w:r w:rsidR="00856854">
        <w:t>e Commission</w:t>
      </w:r>
      <w:r w:rsidR="00606493">
        <w:t xml:space="preserve">’s </w:t>
      </w:r>
      <w:r w:rsidR="00856854">
        <w:t xml:space="preserve">previous </w:t>
      </w:r>
      <w:r w:rsidR="00606493">
        <w:t xml:space="preserve">work has found that </w:t>
      </w:r>
      <w:r>
        <w:t xml:space="preserve">economies of scale </w:t>
      </w:r>
      <w:r w:rsidR="00606493">
        <w:t xml:space="preserve">are often present </w:t>
      </w:r>
      <w:r>
        <w:t>in water service</w:t>
      </w:r>
      <w:r w:rsidR="000D0720">
        <w:t xml:space="preserve"> delivery</w:t>
      </w:r>
      <w:r w:rsidR="00292D98">
        <w:t>;</w:t>
      </w:r>
      <w:r w:rsidR="001A4D95">
        <w:t xml:space="preserve"> </w:t>
      </w:r>
      <w:r w:rsidR="00606493">
        <w:t xml:space="preserve">that is, </w:t>
      </w:r>
      <w:r w:rsidR="001A4D95">
        <w:t xml:space="preserve">the </w:t>
      </w:r>
      <w:r w:rsidR="00606493">
        <w:t xml:space="preserve">cost of </w:t>
      </w:r>
      <w:r w:rsidR="001A4D95">
        <w:t>supply</w:t>
      </w:r>
      <w:r w:rsidR="00606493">
        <w:t>ing each litre of water</w:t>
      </w:r>
      <w:r w:rsidR="001A4D95">
        <w:t xml:space="preserve"> </w:t>
      </w:r>
      <w:r w:rsidR="00606493">
        <w:t>tends to decrease</w:t>
      </w:r>
      <w:r w:rsidR="001A4D95">
        <w:t xml:space="preserve"> as a </w:t>
      </w:r>
      <w:r w:rsidR="00606493">
        <w:t xml:space="preserve">given provider </w:t>
      </w:r>
      <w:r w:rsidR="001A4D95">
        <w:t xml:space="preserve">supplies more water </w:t>
      </w:r>
      <w:r w:rsidR="005F46AA" w:rsidRPr="005F46AA">
        <w:rPr>
          <w:szCs w:val="24"/>
        </w:rPr>
        <w:t>(PC 2011, pp. 118–126)</w:t>
      </w:r>
      <w:r w:rsidR="001A4D95">
        <w:t xml:space="preserve">. </w:t>
      </w:r>
      <w:r w:rsidR="00606493">
        <w:t>In this case a</w:t>
      </w:r>
      <w:r w:rsidR="00771815">
        <w:t xml:space="preserve"> larger </w:t>
      </w:r>
      <w:r w:rsidR="00606493">
        <w:t xml:space="preserve">provider </w:t>
      </w:r>
      <w:r w:rsidR="00771815">
        <w:t xml:space="preserve">can </w:t>
      </w:r>
      <w:r w:rsidR="000D0720">
        <w:t>(</w:t>
      </w:r>
      <w:r w:rsidR="00771815">
        <w:t>all else being equal</w:t>
      </w:r>
      <w:r w:rsidR="000D0720">
        <w:t>)</w:t>
      </w:r>
      <w:r w:rsidR="00771815">
        <w:t xml:space="preserve"> deliver the same service </w:t>
      </w:r>
      <w:r w:rsidR="00B66369">
        <w:t xml:space="preserve">as a smaller one </w:t>
      </w:r>
      <w:r w:rsidR="00771815">
        <w:t>a</w:t>
      </w:r>
      <w:r w:rsidR="00B66369">
        <w:t>t a</w:t>
      </w:r>
      <w:r w:rsidR="00771815">
        <w:t xml:space="preserve"> lower cost to consumers.</w:t>
      </w:r>
      <w:r w:rsidR="00B66369">
        <w:t xml:space="preserve"> </w:t>
      </w:r>
      <w:r w:rsidR="001A4D95">
        <w:t>Further,</w:t>
      </w:r>
      <w:r>
        <w:t xml:space="preserve"> larger organisations are (generally) better able to </w:t>
      </w:r>
      <w:r w:rsidR="00606493">
        <w:t xml:space="preserve">plan for and </w:t>
      </w:r>
      <w:r>
        <w:t>manage risks and shocks</w:t>
      </w:r>
      <w:r w:rsidR="00606493">
        <w:t xml:space="preserve">. It </w:t>
      </w:r>
      <w:r w:rsidR="00292D98">
        <w:t xml:space="preserve">can </w:t>
      </w:r>
      <w:r w:rsidR="00606493">
        <w:t>be unreasonably costly for</w:t>
      </w:r>
      <w:r w:rsidR="00606493" w:rsidRPr="00606493">
        <w:t xml:space="preserve"> every small provider to </w:t>
      </w:r>
      <w:r w:rsidR="00606493">
        <w:t>employ</w:t>
      </w:r>
      <w:r w:rsidR="00606493" w:rsidRPr="00606493">
        <w:t xml:space="preserve"> certain specialist </w:t>
      </w:r>
      <w:r w:rsidR="00606493">
        <w:t>or technical occupations</w:t>
      </w:r>
      <w:r w:rsidR="00606493" w:rsidRPr="00606493">
        <w:t xml:space="preserve">, or </w:t>
      </w:r>
      <w:r w:rsidR="00606493">
        <w:t xml:space="preserve">to maintain enough redundancy in staffing to ensure </w:t>
      </w:r>
      <w:r w:rsidR="0098258F">
        <w:t xml:space="preserve">service continuity during </w:t>
      </w:r>
      <w:r w:rsidR="00E23FC8">
        <w:t>extreme events</w:t>
      </w:r>
      <w:r w:rsidR="00292D98">
        <w:t>.</w:t>
      </w:r>
    </w:p>
    <w:p w14:paraId="2CA754D7" w14:textId="1E06524A" w:rsidR="00725D5D" w:rsidRDefault="00606493" w:rsidP="00E93A2C">
      <w:pPr>
        <w:pStyle w:val="BodyText"/>
      </w:pPr>
      <w:r>
        <w:t xml:space="preserve">The benefits of economies of scale, however, </w:t>
      </w:r>
      <w:r w:rsidR="00C371EC">
        <w:t>must</w:t>
      </w:r>
      <w:r>
        <w:t xml:space="preserve"> be balanced against the </w:t>
      </w:r>
      <w:r w:rsidR="00C371EC">
        <w:t xml:space="preserve">need to account for </w:t>
      </w:r>
      <w:r w:rsidR="00366543">
        <w:t xml:space="preserve">local </w:t>
      </w:r>
      <w:r w:rsidR="00C371EC">
        <w:t>circumstances</w:t>
      </w:r>
      <w:r w:rsidR="00366543">
        <w:t>,</w:t>
      </w:r>
      <w:r w:rsidR="00C02DF0">
        <w:t xml:space="preserve"> especially in </w:t>
      </w:r>
      <w:r w:rsidR="001A4D95">
        <w:t xml:space="preserve">areas of lower population density where </w:t>
      </w:r>
      <w:r w:rsidR="0098258F">
        <w:t xml:space="preserve">average </w:t>
      </w:r>
      <w:r w:rsidR="001A4D95">
        <w:t xml:space="preserve">costs are higher and supply options fewer. </w:t>
      </w:r>
      <w:r w:rsidR="006276EE">
        <w:t>Fit</w:t>
      </w:r>
      <w:r w:rsidR="006276EE">
        <w:noBreakHyphen/>
        <w:t>for</w:t>
      </w:r>
      <w:r w:rsidR="006276EE">
        <w:noBreakHyphen/>
        <w:t xml:space="preserve">purpose water supply options </w:t>
      </w:r>
      <w:r w:rsidR="0098258F">
        <w:t xml:space="preserve">may be </w:t>
      </w:r>
      <w:r>
        <w:t>needed</w:t>
      </w:r>
      <w:r w:rsidR="006276EE">
        <w:t xml:space="preserve">, </w:t>
      </w:r>
      <w:r w:rsidR="00292D98">
        <w:t xml:space="preserve">and </w:t>
      </w:r>
      <w:r>
        <w:t xml:space="preserve">water service provision must </w:t>
      </w:r>
      <w:r w:rsidR="002769EB">
        <w:t xml:space="preserve">still </w:t>
      </w:r>
      <w:r>
        <w:t xml:space="preserve">be </w:t>
      </w:r>
      <w:r w:rsidR="001A4D95">
        <w:t>accountable to the community.</w:t>
      </w:r>
    </w:p>
    <w:p w14:paraId="718A0FCE" w14:textId="06F9CEDA" w:rsidR="000D0720" w:rsidRDefault="000D0720" w:rsidP="00E05196">
      <w:pPr>
        <w:pStyle w:val="Heading4"/>
      </w:pPr>
      <w:r>
        <w:t xml:space="preserve">Utilising collaboration to realise economies of </w:t>
      </w:r>
      <w:proofErr w:type="gramStart"/>
      <w:r>
        <w:t>scale</w:t>
      </w:r>
      <w:proofErr w:type="gramEnd"/>
    </w:p>
    <w:p w14:paraId="70A22AA8" w14:textId="210242F7" w:rsidR="007B14FF" w:rsidRDefault="00771815" w:rsidP="00E93A2C">
      <w:pPr>
        <w:pStyle w:val="BodyText"/>
      </w:pPr>
      <w:r w:rsidRPr="00771815">
        <w:t>In</w:t>
      </w:r>
      <w:r w:rsidR="00083F8C" w:rsidRPr="00771815">
        <w:t xml:space="preserve"> its 2017 inquiry, the Commission</w:t>
      </w:r>
      <w:r w:rsidRPr="00771815">
        <w:t xml:space="preserve"> </w:t>
      </w:r>
      <w:r w:rsidR="00606493">
        <w:t xml:space="preserve">considered that some benefits of economies of scale could be realised </w:t>
      </w:r>
      <w:r w:rsidR="002769EB">
        <w:t>by small utilities</w:t>
      </w:r>
      <w:r w:rsidR="00606493">
        <w:t xml:space="preserve"> </w:t>
      </w:r>
      <w:r w:rsidR="002769EB">
        <w:t xml:space="preserve">collaborating on service delivery </w:t>
      </w:r>
      <w:r w:rsidR="00C1136F" w:rsidRPr="00C1136F">
        <w:rPr>
          <w:szCs w:val="24"/>
        </w:rPr>
        <w:t>(PC 2017b)</w:t>
      </w:r>
      <w:r w:rsidR="00C371EC">
        <w:t>.</w:t>
      </w:r>
      <w:r w:rsidR="00083F8C">
        <w:t xml:space="preserve"> </w:t>
      </w:r>
      <w:r w:rsidRPr="00771815">
        <w:t xml:space="preserve">This view was endorsed by number of </w:t>
      </w:r>
      <w:r w:rsidR="009C416E">
        <w:t>inquiry participants</w:t>
      </w:r>
      <w:r w:rsidR="007B14FF">
        <w:t>.</w:t>
      </w:r>
      <w:r w:rsidR="007B14FF" w:rsidRPr="00C20339">
        <w:rPr>
          <w:rStyle w:val="FootnoteReference"/>
        </w:rPr>
        <w:footnoteReference w:id="9"/>
      </w:r>
    </w:p>
    <w:p w14:paraId="7B318BBE" w14:textId="4EFFBF66" w:rsidR="00966CC1" w:rsidRDefault="00966CC1" w:rsidP="00E93A2C">
      <w:pPr>
        <w:pStyle w:val="BodyText"/>
      </w:pPr>
      <w:r w:rsidRPr="0098258F">
        <w:t xml:space="preserve">Collaboration </w:t>
      </w:r>
      <w:r>
        <w:t xml:space="preserve">can </w:t>
      </w:r>
      <w:r w:rsidRPr="0098258F">
        <w:t>take</w:t>
      </w:r>
      <w:r>
        <w:t xml:space="preserve"> </w:t>
      </w:r>
      <w:proofErr w:type="gramStart"/>
      <w:r w:rsidRPr="0098258F">
        <w:t>a number of</w:t>
      </w:r>
      <w:proofErr w:type="gramEnd"/>
      <w:r w:rsidRPr="0098258F">
        <w:t xml:space="preserve"> forms, from informal information sharing, to contractual agreements to share staff</w:t>
      </w:r>
      <w:r>
        <w:t>, or commitments to construct and share</w:t>
      </w:r>
      <w:r w:rsidRPr="0098258F">
        <w:t xml:space="preserve"> infrastructure</w:t>
      </w:r>
      <w:r w:rsidR="004B78AA">
        <w:t xml:space="preserve"> in accordance with regional</w:t>
      </w:r>
      <w:r w:rsidR="004B78AA">
        <w:noBreakHyphen/>
        <w:t>scale system planning (where warranted; discussed above)</w:t>
      </w:r>
      <w:r w:rsidRPr="0098258F">
        <w:t xml:space="preserve">. </w:t>
      </w:r>
      <w:r>
        <w:t xml:space="preserve">In some cases, smaller utilities </w:t>
      </w:r>
      <w:r w:rsidRPr="0098258F">
        <w:t xml:space="preserve">have </w:t>
      </w:r>
      <w:r>
        <w:t>fully merged parts of their operations</w:t>
      </w:r>
      <w:r w:rsidRPr="0098258F">
        <w:t>, such as u</w:t>
      </w:r>
      <w:r>
        <w:t xml:space="preserve">nder </w:t>
      </w:r>
      <w:r w:rsidR="003B5D90">
        <w:t>New South Wales’</w:t>
      </w:r>
      <w:r>
        <w:t xml:space="preserve"> county council model, which retains local government ownership of a joint bulk water entity (</w:t>
      </w:r>
      <w:r w:rsidRPr="002769EB">
        <w:t>such as</w:t>
      </w:r>
      <w:r>
        <w:t xml:space="preserve"> </w:t>
      </w:r>
      <w:proofErr w:type="spellStart"/>
      <w:r>
        <w:t>Goldenfields</w:t>
      </w:r>
      <w:proofErr w:type="spellEnd"/>
      <w:r>
        <w:t xml:space="preserve"> Water </w:t>
      </w:r>
      <w:r w:rsidR="009F14B5">
        <w:t xml:space="preserve">County Council </w:t>
      </w:r>
      <w:r>
        <w:t>(sub. 25)).</w:t>
      </w:r>
    </w:p>
    <w:p w14:paraId="514530FC" w14:textId="466443BA" w:rsidR="000D0720" w:rsidRDefault="000D0720" w:rsidP="00E93A2C">
      <w:pPr>
        <w:pStyle w:val="BodyText"/>
      </w:pPr>
      <w:r w:rsidRPr="00B33B16">
        <w:t>Collaboration between service providers has also helped address business continuity during extreme events (such as COVID</w:t>
      </w:r>
      <w:r w:rsidR="00CC4570">
        <w:noBreakHyphen/>
      </w:r>
      <w:r w:rsidRPr="00B33B16">
        <w:t>19).</w:t>
      </w:r>
      <w:r w:rsidRPr="004E068C">
        <w:t xml:space="preserve"> For example, </w:t>
      </w:r>
      <w:proofErr w:type="spellStart"/>
      <w:r w:rsidRPr="004E068C">
        <w:t>qldwater</w:t>
      </w:r>
      <w:proofErr w:type="spellEnd"/>
      <w:r w:rsidRPr="004E068C">
        <w:t xml:space="preserve"> (sub. 47, p. 9) noted that, in response to the risks created by the pandemic, ‘the </w:t>
      </w:r>
      <w:proofErr w:type="spellStart"/>
      <w:r w:rsidRPr="004E068C">
        <w:t>qldwater</w:t>
      </w:r>
      <w:proofErr w:type="spellEnd"/>
      <w:r w:rsidRPr="004E068C">
        <w:t xml:space="preserve"> membership responded extremely well, sharing business continuity planning experience and ideas to support continued services in the event of an </w:t>
      </w:r>
      <w:r w:rsidR="00966CC1" w:rsidRPr="004E068C">
        <w:t>outbreak’</w:t>
      </w:r>
      <w:r w:rsidRPr="004E068C">
        <w:t>.</w:t>
      </w:r>
    </w:p>
    <w:p w14:paraId="26DD3893" w14:textId="2500741A" w:rsidR="00A72F06" w:rsidRPr="009B0220" w:rsidRDefault="000D0720" w:rsidP="00E93A2C">
      <w:pPr>
        <w:pStyle w:val="BodyText"/>
        <w:rPr>
          <w:spacing w:val="-2"/>
        </w:rPr>
      </w:pPr>
      <w:r w:rsidRPr="009B0220">
        <w:rPr>
          <w:spacing w:val="-2"/>
        </w:rPr>
        <w:t xml:space="preserve">Collaboration, however, is not a silver bullet. Some submissions have argued that collaboration should not </w:t>
      </w:r>
      <w:proofErr w:type="gramStart"/>
      <w:r w:rsidRPr="009B0220">
        <w:rPr>
          <w:spacing w:val="-2"/>
        </w:rPr>
        <w:t>be seen as</w:t>
      </w:r>
      <w:proofErr w:type="gramEnd"/>
      <w:r w:rsidRPr="009B0220">
        <w:rPr>
          <w:spacing w:val="-2"/>
        </w:rPr>
        <w:t xml:space="preserve"> a replacement for institutional reform </w:t>
      </w:r>
      <w:r w:rsidR="005277DD" w:rsidRPr="009B0220">
        <w:rPr>
          <w:spacing w:val="-2"/>
        </w:rPr>
        <w:t xml:space="preserve">(such as amalgamation of water utilities) </w:t>
      </w:r>
      <w:r w:rsidRPr="009B0220">
        <w:rPr>
          <w:spacing w:val="-2"/>
        </w:rPr>
        <w:t>where that is likely to improve outcomes (AWA, sub</w:t>
      </w:r>
      <w:r w:rsidR="0084654C" w:rsidRPr="009B0220">
        <w:rPr>
          <w:spacing w:val="-2"/>
        </w:rPr>
        <w:t>.</w:t>
      </w:r>
      <w:r w:rsidRPr="009B0220">
        <w:rPr>
          <w:spacing w:val="-2"/>
        </w:rPr>
        <w:t xml:space="preserve"> 89, p. 10). Indeed, there may be limited economies of scale in sparsely populated regions and remote communities, and collaboration may do little to overcome the high costs of a </w:t>
      </w:r>
      <w:proofErr w:type="gramStart"/>
      <w:r w:rsidRPr="009B0220">
        <w:rPr>
          <w:spacing w:val="-2"/>
        </w:rPr>
        <w:t>spread out</w:t>
      </w:r>
      <w:proofErr w:type="gramEnd"/>
      <w:r w:rsidRPr="009B0220">
        <w:rPr>
          <w:spacing w:val="-2"/>
        </w:rPr>
        <w:t xml:space="preserve"> network.</w:t>
      </w:r>
    </w:p>
    <w:p w14:paraId="4C0D4585" w14:textId="0591A942" w:rsidR="00FA6832" w:rsidRDefault="00FA6832" w:rsidP="00E05196">
      <w:pPr>
        <w:pStyle w:val="Heading4"/>
      </w:pPr>
      <w:r>
        <w:lastRenderedPageBreak/>
        <w:t xml:space="preserve">State and </w:t>
      </w:r>
      <w:r w:rsidR="00606493">
        <w:t>T</w:t>
      </w:r>
      <w:r>
        <w:t xml:space="preserve">erritory </w:t>
      </w:r>
      <w:r w:rsidR="00E431AD">
        <w:t>G</w:t>
      </w:r>
      <w:r w:rsidR="00606493">
        <w:t xml:space="preserve">overnments can </w:t>
      </w:r>
      <w:r>
        <w:t xml:space="preserve">support </w:t>
      </w:r>
      <w:proofErr w:type="gramStart"/>
      <w:r>
        <w:t>collaboration</w:t>
      </w:r>
      <w:proofErr w:type="gramEnd"/>
    </w:p>
    <w:p w14:paraId="3A1A01E6" w14:textId="401703CC" w:rsidR="006276EE" w:rsidRDefault="001A4D95" w:rsidP="00E93A2C">
      <w:pPr>
        <w:pStyle w:val="BodyText"/>
      </w:pPr>
      <w:r>
        <w:t>State</w:t>
      </w:r>
      <w:r w:rsidR="0098258F">
        <w:t xml:space="preserve"> and </w:t>
      </w:r>
      <w:r>
        <w:t xml:space="preserve">Territory </w:t>
      </w:r>
      <w:r w:rsidR="00E431AD">
        <w:t>G</w:t>
      </w:r>
      <w:r>
        <w:t xml:space="preserve">overnments </w:t>
      </w:r>
      <w:r w:rsidR="00DB3E39">
        <w:t xml:space="preserve">should look to </w:t>
      </w:r>
      <w:r>
        <w:t xml:space="preserve">facilitate </w:t>
      </w:r>
      <w:r w:rsidR="004E068C">
        <w:t>collaboration</w:t>
      </w:r>
      <w:r>
        <w:t xml:space="preserve"> </w:t>
      </w:r>
      <w:r w:rsidR="0098258F">
        <w:t xml:space="preserve">where </w:t>
      </w:r>
      <w:r w:rsidR="000D0720">
        <w:t xml:space="preserve">it </w:t>
      </w:r>
      <w:r w:rsidR="0098258F">
        <w:t>is likely to improve service delivery efficiency. Some are doing so already</w:t>
      </w:r>
      <w:r w:rsidR="00096151">
        <w:t xml:space="preserve">, such as through </w:t>
      </w:r>
      <w:r w:rsidR="00B33B16">
        <w:t xml:space="preserve">the </w:t>
      </w:r>
      <w:r w:rsidR="00B33B16" w:rsidRPr="00B33B16">
        <w:rPr>
          <w:i/>
        </w:rPr>
        <w:t>Queensland</w:t>
      </w:r>
      <w:r w:rsidR="00096151" w:rsidRPr="00B33B16">
        <w:rPr>
          <w:i/>
        </w:rPr>
        <w:t xml:space="preserve"> Water Regional Alliance Program</w:t>
      </w:r>
      <w:r w:rsidR="00096151">
        <w:t xml:space="preserve"> (QWRAP) </w:t>
      </w:r>
      <w:r w:rsidR="00304319">
        <w:t>(</w:t>
      </w:r>
      <w:proofErr w:type="spellStart"/>
      <w:r w:rsidR="00304319">
        <w:t>qldwater</w:t>
      </w:r>
      <w:proofErr w:type="spellEnd"/>
      <w:r w:rsidR="00304319">
        <w:t>, sub. 47, p. 13)</w:t>
      </w:r>
      <w:r w:rsidR="006D2EE3">
        <w:t>.</w:t>
      </w:r>
    </w:p>
    <w:p w14:paraId="42897E21" w14:textId="4E317831" w:rsidR="00852B1B" w:rsidRDefault="0098258F" w:rsidP="00E93A2C">
      <w:pPr>
        <w:pStyle w:val="BodyText"/>
      </w:pPr>
      <w:r w:rsidRPr="00304319">
        <w:t xml:space="preserve">One option available to governments </w:t>
      </w:r>
      <w:r w:rsidR="00AF714A" w:rsidRPr="00304319">
        <w:t>(</w:t>
      </w:r>
      <w:r w:rsidRPr="00304319">
        <w:t>as recommended by the Commission in 2017</w:t>
      </w:r>
      <w:r w:rsidR="00AF714A" w:rsidRPr="00304319">
        <w:t>)</w:t>
      </w:r>
      <w:r w:rsidRPr="00304319">
        <w:t xml:space="preserve"> is to make </w:t>
      </w:r>
      <w:r w:rsidR="00C20EB7">
        <w:t xml:space="preserve">any </w:t>
      </w:r>
      <w:r w:rsidR="00AF714A" w:rsidRPr="00304319">
        <w:t xml:space="preserve">State </w:t>
      </w:r>
      <w:r w:rsidR="00C20EB7">
        <w:t xml:space="preserve">or Territory </w:t>
      </w:r>
      <w:r w:rsidR="00B95C8F">
        <w:t>support for high</w:t>
      </w:r>
      <w:r w:rsidR="00B95C8F">
        <w:noBreakHyphen/>
        <w:t>cost</w:t>
      </w:r>
      <w:r w:rsidR="00C20EB7">
        <w:t xml:space="preserve"> </w:t>
      </w:r>
      <w:r w:rsidR="00B95C8F">
        <w:t xml:space="preserve">water services </w:t>
      </w:r>
      <w:r w:rsidR="00C20EB7">
        <w:t xml:space="preserve">(considered below) </w:t>
      </w:r>
      <w:r w:rsidRPr="00304319">
        <w:t>contingent on a certain degree of collaboration.</w:t>
      </w:r>
    </w:p>
    <w:p w14:paraId="0FFAFD93" w14:textId="66240322" w:rsidR="00A72F06" w:rsidRDefault="000D0720" w:rsidP="00E93A2C">
      <w:pPr>
        <w:pStyle w:val="BodyText"/>
      </w:pPr>
      <w:r>
        <w:t xml:space="preserve">Peak bodies can also be a mechanism for collaboration. For example, arrangements are in place to support local government associations in Queensland and South Australia in undertaking functions on road access, with a national regulator assisting local governments in improving access decisions </w:t>
      </w:r>
      <w:r w:rsidR="00517CA1" w:rsidRPr="00517CA1">
        <w:rPr>
          <w:szCs w:val="24"/>
        </w:rPr>
        <w:t>(PC 2020a, pp. 315–323)</w:t>
      </w:r>
      <w:r>
        <w:t xml:space="preserve">. Similar arrangements could be considered for water infrastructure decisions. There may also be merit in larger providers supporting smaller ones, </w:t>
      </w:r>
      <w:r w:rsidR="00E14E9F">
        <w:t xml:space="preserve">although this should not unduly burden those </w:t>
      </w:r>
      <w:r w:rsidR="00850B14">
        <w:t xml:space="preserve">larger </w:t>
      </w:r>
      <w:r w:rsidR="00E14E9F">
        <w:t xml:space="preserve">providers </w:t>
      </w:r>
      <w:r>
        <w:t>(LGNSW, sub. 75, p. 10).</w:t>
      </w:r>
    </w:p>
    <w:p w14:paraId="0DA9949A" w14:textId="2C455B39" w:rsidR="00A4605C" w:rsidRDefault="00A4605C" w:rsidP="00774BD5">
      <w:pPr>
        <w:pStyle w:val="Heading3"/>
      </w:pPr>
      <w:bookmarkStart w:id="23" w:name="_Toc59447369"/>
      <w:bookmarkStart w:id="24" w:name="_Toc62043658"/>
      <w:r>
        <w:t>4</w:t>
      </w:r>
      <w:r>
        <w:tab/>
        <w:t>Funding and governance for regional and remote services</w:t>
      </w:r>
      <w:bookmarkEnd w:id="23"/>
      <w:bookmarkEnd w:id="24"/>
    </w:p>
    <w:p w14:paraId="51C5BBB1" w14:textId="2A821846" w:rsidR="00535E41" w:rsidRDefault="00A4605C" w:rsidP="00E93A2C">
      <w:pPr>
        <w:pStyle w:val="BodyText"/>
      </w:pPr>
      <w:r>
        <w:t xml:space="preserve">In some cases, State and Territory </w:t>
      </w:r>
      <w:r w:rsidR="00E431AD">
        <w:t>G</w:t>
      </w:r>
      <w:r>
        <w:t>overnments play a more active role in ensuring access to safe and reliable water services for regional and remote communities. This can encompass direct funding of some utilities, as well as ensuring appropriate governance arrangements are in place (including economic oversight, and monitoring and reporting).</w:t>
      </w:r>
    </w:p>
    <w:p w14:paraId="2F6136BC" w14:textId="45D5D934" w:rsidR="00A4605C" w:rsidRPr="00A4605C" w:rsidRDefault="00A4605C" w:rsidP="00E93A2C">
      <w:pPr>
        <w:pStyle w:val="BodyText"/>
      </w:pPr>
      <w:r>
        <w:t xml:space="preserve">NWI renewal provides an opportunity </w:t>
      </w:r>
      <w:r w:rsidR="00535E41">
        <w:t xml:space="preserve">for jurisdictions to identify and </w:t>
      </w:r>
      <w:r>
        <w:t xml:space="preserve">endorse </w:t>
      </w:r>
      <w:r w:rsidR="00535E41">
        <w:t>leading</w:t>
      </w:r>
      <w:r w:rsidR="00535E41">
        <w:noBreakHyphen/>
        <w:t>practice approaches to government support (and oversight) of regional and remote water services.</w:t>
      </w:r>
    </w:p>
    <w:p w14:paraId="576E5734" w14:textId="1827F04A" w:rsidR="006477C3" w:rsidRPr="006477C3" w:rsidRDefault="00E94382" w:rsidP="00F63966">
      <w:pPr>
        <w:pStyle w:val="Heading3"/>
      </w:pPr>
      <w:bookmarkStart w:id="25" w:name="_Toc62043659"/>
      <w:r>
        <w:t>4.1</w:t>
      </w:r>
      <w:r>
        <w:tab/>
      </w:r>
      <w:r w:rsidR="009C44A7">
        <w:t>S</w:t>
      </w:r>
      <w:r w:rsidR="004711CA">
        <w:t xml:space="preserve">tate </w:t>
      </w:r>
      <w:r w:rsidR="009C44A7">
        <w:t xml:space="preserve">and Territory </w:t>
      </w:r>
      <w:r w:rsidR="00BA56BC">
        <w:t>government</w:t>
      </w:r>
      <w:r w:rsidR="004711CA">
        <w:t xml:space="preserve"> support </w:t>
      </w:r>
      <w:r w:rsidR="00BA56BC">
        <w:t xml:space="preserve">for </w:t>
      </w:r>
      <w:r w:rsidR="004711CA">
        <w:t>high</w:t>
      </w:r>
      <w:r w:rsidR="00086D18">
        <w:t>-</w:t>
      </w:r>
      <w:r w:rsidR="004711CA">
        <w:t xml:space="preserve">cost </w:t>
      </w:r>
      <w:r w:rsidR="00103A1C">
        <w:t>service</w:t>
      </w:r>
      <w:r w:rsidR="00086D18">
        <w:t>s</w:t>
      </w:r>
      <w:bookmarkEnd w:id="25"/>
    </w:p>
    <w:p w14:paraId="7516B3FC" w14:textId="2771260B" w:rsidR="00606493" w:rsidRPr="00FA49FF" w:rsidRDefault="00EE1DD1" w:rsidP="00E93A2C">
      <w:pPr>
        <w:pStyle w:val="Heading4"/>
        <w:spacing w:before="240"/>
      </w:pPr>
      <w:r w:rsidRPr="00FA49FF">
        <w:t>State</w:t>
      </w:r>
      <w:r w:rsidR="00AD490F" w:rsidRPr="00FA49FF">
        <w:t xml:space="preserve"> and Territory</w:t>
      </w:r>
      <w:r w:rsidRPr="00FA49FF">
        <w:t xml:space="preserve"> g</w:t>
      </w:r>
      <w:r w:rsidR="00606493" w:rsidRPr="00FA49FF">
        <w:t xml:space="preserve">overnment funding </w:t>
      </w:r>
      <w:r w:rsidRPr="00FA49FF">
        <w:t xml:space="preserve">for </w:t>
      </w:r>
      <w:r w:rsidR="00AD490F" w:rsidRPr="00FA49FF">
        <w:t xml:space="preserve">urban water can be </w:t>
      </w:r>
      <w:r w:rsidR="00606493" w:rsidRPr="00FA49FF">
        <w:t>warranted</w:t>
      </w:r>
      <w:r w:rsidR="00641710" w:rsidRPr="00FA49FF">
        <w:t xml:space="preserve"> </w:t>
      </w:r>
      <w:r w:rsidRPr="00FA49FF">
        <w:t>…</w:t>
      </w:r>
    </w:p>
    <w:p w14:paraId="390907B2" w14:textId="18FAF658" w:rsidR="00A7411D" w:rsidRDefault="00096151" w:rsidP="002A4F27">
      <w:pPr>
        <w:pStyle w:val="BodyText"/>
      </w:pPr>
      <w:r>
        <w:t>S</w:t>
      </w:r>
      <w:r w:rsidR="00A44A9B" w:rsidRPr="0025392B">
        <w:t xml:space="preserve">ome </w:t>
      </w:r>
      <w:r w:rsidR="00B95C8F">
        <w:t>high</w:t>
      </w:r>
      <w:r w:rsidR="00B95C8F">
        <w:noBreakHyphen/>
        <w:t xml:space="preserve">cost </w:t>
      </w:r>
      <w:r w:rsidR="00A44A9B" w:rsidRPr="0025392B">
        <w:t xml:space="preserve">regional and remote </w:t>
      </w:r>
      <w:r w:rsidR="00C20EB7">
        <w:t>urban water</w:t>
      </w:r>
      <w:r w:rsidR="00A44A9B" w:rsidRPr="0025392B">
        <w:t xml:space="preserve"> systems are </w:t>
      </w:r>
      <w:r w:rsidR="0025392B" w:rsidRPr="0025392B">
        <w:t xml:space="preserve">not </w:t>
      </w:r>
      <w:r w:rsidR="00A44A9B" w:rsidRPr="0025392B">
        <w:t>commercially viable</w:t>
      </w:r>
      <w:r w:rsidR="00C20EB7">
        <w:t>.</w:t>
      </w:r>
      <w:r w:rsidR="00C20EB7" w:rsidRPr="00C20339">
        <w:rPr>
          <w:rStyle w:val="FootnoteReference"/>
        </w:rPr>
        <w:footnoteReference w:id="10"/>
      </w:r>
      <w:r w:rsidR="002A4F27" w:rsidRPr="002A4F27">
        <w:t xml:space="preserve"> </w:t>
      </w:r>
      <w:r w:rsidR="00A7411D">
        <w:t xml:space="preserve">This can mean that a service is not provided, </w:t>
      </w:r>
      <w:proofErr w:type="gramStart"/>
      <w:r w:rsidR="00A7411D">
        <w:t>or,</w:t>
      </w:r>
      <w:proofErr w:type="gramEnd"/>
      <w:r w:rsidR="00A7411D">
        <w:t xml:space="preserve"> even where a service is available, high prices can mean </w:t>
      </w:r>
      <w:r w:rsidR="00A7411D" w:rsidRPr="00B23B60">
        <w:t>members of a community</w:t>
      </w:r>
      <w:r w:rsidR="00A7411D">
        <w:t xml:space="preserve"> </w:t>
      </w:r>
      <w:r w:rsidR="00A7411D" w:rsidRPr="00B23B60">
        <w:t xml:space="preserve">may be unable to </w:t>
      </w:r>
      <w:r w:rsidR="00A7411D">
        <w:t>afford</w:t>
      </w:r>
      <w:r w:rsidR="00A7411D" w:rsidRPr="00B23B60">
        <w:t xml:space="preserve"> their basic </w:t>
      </w:r>
      <w:r w:rsidR="00A7411D">
        <w:t xml:space="preserve">water needs — </w:t>
      </w:r>
      <w:r w:rsidR="00A7411D" w:rsidRPr="00B23B60">
        <w:t xml:space="preserve">payment </w:t>
      </w:r>
      <w:r w:rsidR="00A7411D" w:rsidRPr="00B23B60">
        <w:lastRenderedPageBreak/>
        <w:t xml:space="preserve">may represent </w:t>
      </w:r>
      <w:r w:rsidR="00A7411D">
        <w:t xml:space="preserve">an unacceptable </w:t>
      </w:r>
      <w:r w:rsidR="00A7411D" w:rsidRPr="00B23B60">
        <w:t xml:space="preserve">cost burden, or </w:t>
      </w:r>
      <w:r w:rsidR="00A7411D">
        <w:t>some households</w:t>
      </w:r>
      <w:r w:rsidR="00A7411D" w:rsidRPr="00B23B60">
        <w:t xml:space="preserve"> might underutilise what is an essential service, with health and welfare implications</w:t>
      </w:r>
      <w:r w:rsidR="00A7411D">
        <w:t xml:space="preserve">. </w:t>
      </w:r>
    </w:p>
    <w:p w14:paraId="151DC96B" w14:textId="5790B8D5" w:rsidR="00C83811" w:rsidRDefault="003504C1" w:rsidP="00E93A2C">
      <w:pPr>
        <w:pStyle w:val="BodyText"/>
      </w:pPr>
      <w:r>
        <w:t xml:space="preserve">To </w:t>
      </w:r>
      <w:r w:rsidR="00C20EB7">
        <w:t>ensure access to</w:t>
      </w:r>
      <w:r w:rsidR="00171BE6">
        <w:t xml:space="preserve"> a basic standard of</w:t>
      </w:r>
      <w:r w:rsidR="00C20EB7">
        <w:t xml:space="preserve"> </w:t>
      </w:r>
      <w:r w:rsidR="00362FA5">
        <w:t xml:space="preserve">safe </w:t>
      </w:r>
      <w:r w:rsidR="00C20EB7">
        <w:t xml:space="preserve">and reliable drinking water in those areas, there </w:t>
      </w:r>
      <w:r w:rsidR="00B95C8F">
        <w:t xml:space="preserve">is </w:t>
      </w:r>
      <w:r w:rsidR="00C20EB7">
        <w:t xml:space="preserve">a role for State and Territory </w:t>
      </w:r>
      <w:r w:rsidR="00E431AD">
        <w:t>G</w:t>
      </w:r>
      <w:r w:rsidR="00C20EB7">
        <w:t xml:space="preserve">overnments to </w:t>
      </w:r>
      <w:r w:rsidR="00B95C8F">
        <w:t xml:space="preserve">partially </w:t>
      </w:r>
      <w:r w:rsidR="00C20EB7">
        <w:t xml:space="preserve">subsidise </w:t>
      </w:r>
      <w:r w:rsidR="00067478">
        <w:t>some urban water systems</w:t>
      </w:r>
      <w:r w:rsidR="00A7411D" w:rsidRPr="00A7411D">
        <w:t xml:space="preserve"> </w:t>
      </w:r>
      <w:r w:rsidR="00A7411D">
        <w:t>to reduce prices and prevent onerous cost imposts on consumers</w:t>
      </w:r>
      <w:r w:rsidR="00C20EB7">
        <w:t xml:space="preserve">. </w:t>
      </w:r>
      <w:r w:rsidR="00067478">
        <w:t>T</w:t>
      </w:r>
      <w:r w:rsidR="00C20EB7">
        <w:t>he NWI</w:t>
      </w:r>
      <w:r w:rsidR="00067478">
        <w:t xml:space="preserve"> requires that</w:t>
      </w:r>
      <w:r w:rsidR="00C20EB7">
        <w:t xml:space="preserve"> this occur</w:t>
      </w:r>
      <w:r w:rsidR="00F11EC4">
        <w:t>s</w:t>
      </w:r>
      <w:r w:rsidR="00C20EB7">
        <w:t xml:space="preserve"> as a publicly reported CSO payment</w:t>
      </w:r>
      <w:r w:rsidR="00067478">
        <w:t xml:space="preserve"> </w:t>
      </w:r>
      <w:r w:rsidR="00171BE6">
        <w:t>(</w:t>
      </w:r>
      <w:r w:rsidR="00067478">
        <w:t xml:space="preserve">although </w:t>
      </w:r>
      <w:r w:rsidR="00171BE6">
        <w:t xml:space="preserve">the agreement </w:t>
      </w:r>
      <w:r w:rsidR="00067478">
        <w:t>provides no additional guidance</w:t>
      </w:r>
      <w:r w:rsidR="00171BE6">
        <w:t>)</w:t>
      </w:r>
      <w:r w:rsidR="00067478">
        <w:t>.</w:t>
      </w:r>
      <w:r w:rsidR="00610696">
        <w:t xml:space="preserve"> </w:t>
      </w:r>
      <w:r w:rsidR="007752B7">
        <w:t xml:space="preserve">Governments </w:t>
      </w:r>
      <w:r w:rsidR="00171BE6">
        <w:t xml:space="preserve">already </w:t>
      </w:r>
      <w:r w:rsidR="00AD490F">
        <w:t xml:space="preserve">provide </w:t>
      </w:r>
      <w:r w:rsidR="00C83811">
        <w:t>CSO</w:t>
      </w:r>
      <w:r w:rsidR="00067478">
        <w:t>s</w:t>
      </w:r>
      <w:r w:rsidR="00C83811">
        <w:t xml:space="preserve"> </w:t>
      </w:r>
      <w:r w:rsidR="00067478">
        <w:t xml:space="preserve">for </w:t>
      </w:r>
      <w:r w:rsidR="00C83811">
        <w:t>government</w:t>
      </w:r>
      <w:r w:rsidR="00C83811">
        <w:noBreakHyphen/>
        <w:t xml:space="preserve">owned service providers </w:t>
      </w:r>
      <w:r w:rsidR="007752B7">
        <w:t xml:space="preserve">to compensate them for </w:t>
      </w:r>
      <w:r w:rsidR="00C83811">
        <w:t xml:space="preserve">the costs of </w:t>
      </w:r>
      <w:r w:rsidR="007752B7">
        <w:t xml:space="preserve">delivering </w:t>
      </w:r>
      <w:r w:rsidR="00C83811">
        <w:t xml:space="preserve">an essential service to </w:t>
      </w:r>
      <w:r w:rsidR="007752B7">
        <w:t xml:space="preserve">a </w:t>
      </w:r>
      <w:r w:rsidR="00381332">
        <w:t>high</w:t>
      </w:r>
      <w:r w:rsidR="00381332">
        <w:noBreakHyphen/>
        <w:t>cost</w:t>
      </w:r>
      <w:r w:rsidR="00C83811">
        <w:t xml:space="preserve"> area, particularly where uniform pricing is </w:t>
      </w:r>
      <w:r w:rsidR="007752B7">
        <w:t>in place</w:t>
      </w:r>
      <w:r w:rsidR="00C83811">
        <w:t>.</w:t>
      </w:r>
      <w:r w:rsidR="00AD490F">
        <w:t xml:space="preserve"> </w:t>
      </w:r>
      <w:r w:rsidR="00C83811">
        <w:t xml:space="preserve">In the water sector, </w:t>
      </w:r>
      <w:r w:rsidR="00067478">
        <w:t xml:space="preserve">some </w:t>
      </w:r>
      <w:r w:rsidR="00C83811">
        <w:t xml:space="preserve">State and Territory </w:t>
      </w:r>
      <w:r w:rsidR="00E431AD">
        <w:t>G</w:t>
      </w:r>
      <w:r w:rsidR="00C83811">
        <w:t xml:space="preserve">overnments provide CSO payments to </w:t>
      </w:r>
      <w:r w:rsidR="00067478">
        <w:t>government</w:t>
      </w:r>
      <w:r w:rsidR="00067478">
        <w:noBreakHyphen/>
        <w:t xml:space="preserve">owned </w:t>
      </w:r>
      <w:r w:rsidR="00C83811">
        <w:t xml:space="preserve">utilities to cover the costs of </w:t>
      </w:r>
      <w:r w:rsidR="002769EB">
        <w:t xml:space="preserve">servicing </w:t>
      </w:r>
      <w:r w:rsidR="00C83811">
        <w:t>higher</w:t>
      </w:r>
      <w:r w:rsidR="00C83811">
        <w:noBreakHyphen/>
        <w:t xml:space="preserve">cost regional </w:t>
      </w:r>
      <w:r w:rsidR="002769EB">
        <w:t xml:space="preserve">communities, </w:t>
      </w:r>
      <w:r w:rsidR="00C83811">
        <w:t xml:space="preserve">as well as </w:t>
      </w:r>
      <w:r w:rsidR="00C1136F">
        <w:t xml:space="preserve">concessional </w:t>
      </w:r>
      <w:r w:rsidR="00C83811">
        <w:t xml:space="preserve">rebates </w:t>
      </w:r>
      <w:r w:rsidR="00C1136F">
        <w:t xml:space="preserve">for pensioners and other groups </w:t>
      </w:r>
      <w:r w:rsidR="00C83811">
        <w:t>(box </w:t>
      </w:r>
      <w:r w:rsidR="00610696">
        <w:t>2</w:t>
      </w:r>
      <w:r w:rsidR="00C83811">
        <w:t>).</w:t>
      </w:r>
    </w:p>
    <w:p w14:paraId="1CE0860A" w14:textId="07E0A805" w:rsidR="00C83811" w:rsidRDefault="00C8381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83811" w14:paraId="73DA82A7" w14:textId="77777777" w:rsidTr="001A1046">
        <w:trPr>
          <w:tblHeader/>
        </w:trPr>
        <w:tc>
          <w:tcPr>
            <w:tcW w:w="5000" w:type="pct"/>
            <w:tcBorders>
              <w:top w:val="single" w:sz="6" w:space="0" w:color="78A22F"/>
              <w:left w:val="nil"/>
              <w:bottom w:val="nil"/>
              <w:right w:val="nil"/>
            </w:tcBorders>
            <w:shd w:val="clear" w:color="auto" w:fill="F2F2F2"/>
          </w:tcPr>
          <w:p w14:paraId="6C82E00F" w14:textId="2AC213BA" w:rsidR="00C83811" w:rsidRDefault="00C83811" w:rsidP="00C83811">
            <w:pPr>
              <w:pStyle w:val="BoxTitle"/>
            </w:pPr>
            <w:r>
              <w:rPr>
                <w:b w:val="0"/>
              </w:rPr>
              <w:t>Box </w:t>
            </w:r>
            <w:r w:rsidR="00610696">
              <w:rPr>
                <w:b w:val="0"/>
              </w:rPr>
              <w:t>2</w:t>
            </w:r>
            <w:r>
              <w:tab/>
              <w:t xml:space="preserve">Community service obligations in the </w:t>
            </w:r>
            <w:r w:rsidR="00B95C8F">
              <w:t xml:space="preserve">urban </w:t>
            </w:r>
            <w:r>
              <w:t xml:space="preserve">water sector </w:t>
            </w:r>
          </w:p>
        </w:tc>
      </w:tr>
      <w:tr w:rsidR="00C83811" w:rsidRPr="002769EB" w14:paraId="60811E62" w14:textId="77777777" w:rsidTr="001A1046">
        <w:tc>
          <w:tcPr>
            <w:tcW w:w="5000" w:type="pct"/>
            <w:tcBorders>
              <w:top w:val="nil"/>
              <w:left w:val="nil"/>
              <w:bottom w:val="nil"/>
              <w:right w:val="nil"/>
            </w:tcBorders>
            <w:shd w:val="clear" w:color="auto" w:fill="F2F2F2"/>
          </w:tcPr>
          <w:p w14:paraId="1CE1A8C5" w14:textId="42B06EB2" w:rsidR="00C83811" w:rsidRPr="002769EB" w:rsidRDefault="00C83811" w:rsidP="00C83811">
            <w:pPr>
              <w:pStyle w:val="Box"/>
            </w:pPr>
            <w:r w:rsidRPr="002769EB">
              <w:t>In South Australia, SA Water’s charter establishes the basis of State government funding to cover agreed non</w:t>
            </w:r>
            <w:r w:rsidRPr="002769EB">
              <w:noBreakHyphen/>
              <w:t xml:space="preserve">commercial operations, including to some Aboriginal communities </w:t>
            </w:r>
            <w:r w:rsidR="001E3409" w:rsidRPr="004B78AA">
              <w:rPr>
                <w:rFonts w:cs="Arial"/>
                <w:szCs w:val="24"/>
              </w:rPr>
              <w:t>(SA Water 2019b, pp. 6–7)</w:t>
            </w:r>
            <w:r w:rsidRPr="002769EB">
              <w:t>.</w:t>
            </w:r>
          </w:p>
          <w:p w14:paraId="02C3659A" w14:textId="4A3ED828" w:rsidR="007752B7" w:rsidRDefault="00C83811" w:rsidP="00E533AE">
            <w:pPr>
              <w:pStyle w:val="Box"/>
            </w:pPr>
            <w:r w:rsidRPr="002769EB">
              <w:t xml:space="preserve">The Western Australian </w:t>
            </w:r>
            <w:r w:rsidR="00E431AD">
              <w:t>G</w:t>
            </w:r>
            <w:r w:rsidRPr="002769EB">
              <w:t>overnment provides operating subsi</w:t>
            </w:r>
            <w:r w:rsidR="00E533AE" w:rsidRPr="002769EB">
              <w:t xml:space="preserve">dies to the Water Corporation, and the </w:t>
            </w:r>
            <w:r w:rsidRPr="002769EB">
              <w:t>Bunbury and Busselton water corporations</w:t>
            </w:r>
            <w:r w:rsidR="00E533AE" w:rsidRPr="002769EB">
              <w:t>,</w:t>
            </w:r>
            <w:r w:rsidRPr="002769EB">
              <w:t xml:space="preserve"> </w:t>
            </w:r>
            <w:r w:rsidR="00C1136F">
              <w:t xml:space="preserve">to </w:t>
            </w:r>
            <w:r w:rsidR="00610696">
              <w:t xml:space="preserve">deliver </w:t>
            </w:r>
            <w:r w:rsidR="00E533AE" w:rsidRPr="002769EB">
              <w:t>services to high</w:t>
            </w:r>
            <w:r w:rsidR="00E533AE" w:rsidRPr="002769EB">
              <w:noBreakHyphen/>
              <w:t>cost country towns, pensioner and senior concessions, and charities (Western Australian Government, sub. 62, pp. 6</w:t>
            </w:r>
            <w:r w:rsidR="00641710" w:rsidRPr="002769EB">
              <w:t>–</w:t>
            </w:r>
            <w:r w:rsidR="00E533AE" w:rsidRPr="002769EB">
              <w:t>7)</w:t>
            </w:r>
            <w:r w:rsidRPr="002769EB">
              <w:t>.</w:t>
            </w:r>
          </w:p>
          <w:p w14:paraId="20D32D64" w14:textId="13A7BE28" w:rsidR="00D6496A" w:rsidRPr="00774BD5" w:rsidRDefault="00D6496A" w:rsidP="003477B8">
            <w:pPr>
              <w:pStyle w:val="Box"/>
              <w:rPr>
                <w:spacing w:val="-4"/>
              </w:rPr>
            </w:pPr>
            <w:r w:rsidRPr="00774BD5">
              <w:rPr>
                <w:spacing w:val="-4"/>
              </w:rPr>
              <w:t xml:space="preserve">The Northern Territory government provides community service obligation payments to the Power and Water Corporation for pensioner concessions, as well as capital and operational grants to Indigenous Essential Services for remote power and water services </w:t>
            </w:r>
            <w:r w:rsidR="003477B8" w:rsidRPr="00774BD5">
              <w:rPr>
                <w:rFonts w:cs="Arial"/>
                <w:spacing w:val="-4"/>
                <w:szCs w:val="24"/>
              </w:rPr>
              <w:t>(</w:t>
            </w:r>
            <w:proofErr w:type="spellStart"/>
            <w:r w:rsidR="003477B8" w:rsidRPr="00774BD5">
              <w:rPr>
                <w:rFonts w:cs="Arial"/>
                <w:spacing w:val="-4"/>
                <w:szCs w:val="24"/>
              </w:rPr>
              <w:t>PowerWater</w:t>
            </w:r>
            <w:proofErr w:type="spellEnd"/>
            <w:r w:rsidR="003477B8" w:rsidRPr="00774BD5">
              <w:rPr>
                <w:rFonts w:cs="Arial"/>
                <w:spacing w:val="-4"/>
                <w:szCs w:val="24"/>
              </w:rPr>
              <w:t> 2019a, pp. 80, 96)</w:t>
            </w:r>
            <w:r w:rsidRPr="00774BD5">
              <w:rPr>
                <w:spacing w:val="-4"/>
              </w:rPr>
              <w:t>.</w:t>
            </w:r>
          </w:p>
        </w:tc>
      </w:tr>
      <w:tr w:rsidR="00C83811" w14:paraId="19E9AB27" w14:textId="77777777" w:rsidTr="001A1046">
        <w:tc>
          <w:tcPr>
            <w:tcW w:w="5000" w:type="pct"/>
            <w:tcBorders>
              <w:top w:val="nil"/>
              <w:left w:val="nil"/>
              <w:bottom w:val="single" w:sz="6" w:space="0" w:color="78A22F"/>
              <w:right w:val="nil"/>
            </w:tcBorders>
            <w:shd w:val="clear" w:color="auto" w:fill="F2F2F2"/>
          </w:tcPr>
          <w:p w14:paraId="27379206" w14:textId="77777777" w:rsidR="00C83811" w:rsidRDefault="00C83811">
            <w:pPr>
              <w:pStyle w:val="Box"/>
              <w:spacing w:before="0" w:line="120" w:lineRule="exact"/>
            </w:pPr>
          </w:p>
        </w:tc>
      </w:tr>
      <w:tr w:rsidR="00C83811" w:rsidRPr="000863A5" w14:paraId="21F270D9" w14:textId="77777777" w:rsidTr="001A1046">
        <w:tc>
          <w:tcPr>
            <w:tcW w:w="5000" w:type="pct"/>
            <w:tcBorders>
              <w:top w:val="single" w:sz="6" w:space="0" w:color="78A22F"/>
              <w:left w:val="nil"/>
              <w:bottom w:val="nil"/>
              <w:right w:val="nil"/>
            </w:tcBorders>
          </w:tcPr>
          <w:p w14:paraId="3457A8C6" w14:textId="509A8F5F" w:rsidR="00C83811" w:rsidRPr="00626D32" w:rsidRDefault="00C83811" w:rsidP="001A1046">
            <w:pPr>
              <w:pStyle w:val="BoxSpaceBelow"/>
            </w:pPr>
          </w:p>
        </w:tc>
      </w:tr>
    </w:tbl>
    <w:p w14:paraId="0FAC14AE" w14:textId="6140F1DB" w:rsidR="00725D5D" w:rsidRDefault="00EE1DD1" w:rsidP="00E05196">
      <w:pPr>
        <w:pStyle w:val="Heading4"/>
      </w:pPr>
      <w:r>
        <w:t>… but f</w:t>
      </w:r>
      <w:r w:rsidR="007752B7">
        <w:t xml:space="preserve">unding </w:t>
      </w:r>
      <w:r w:rsidR="00A43EAA">
        <w:t xml:space="preserve">decisions are </w:t>
      </w:r>
      <w:r w:rsidR="007752B7">
        <w:t xml:space="preserve">more complicated under local government </w:t>
      </w:r>
      <w:proofErr w:type="gramStart"/>
      <w:r w:rsidR="007752B7">
        <w:t>ownership</w:t>
      </w:r>
      <w:proofErr w:type="gramEnd"/>
    </w:p>
    <w:p w14:paraId="0B9EDAE7" w14:textId="18219834" w:rsidR="00A43EAA" w:rsidRDefault="00A43EAA" w:rsidP="00E93A2C">
      <w:pPr>
        <w:pStyle w:val="BodyText"/>
      </w:pPr>
      <w:r>
        <w:t>In New South Wales and Queensland, where most regional and remote water services are delivered by local government</w:t>
      </w:r>
      <w:r>
        <w:noBreakHyphen/>
        <w:t>owned providers,</w:t>
      </w:r>
      <w:r w:rsidR="00067478">
        <w:t xml:space="preserve"> State </w:t>
      </w:r>
      <w:r w:rsidR="000C1CCC">
        <w:t>G</w:t>
      </w:r>
      <w:r w:rsidR="00067478">
        <w:t>overnments often provide</w:t>
      </w:r>
      <w:r>
        <w:t xml:space="preserve"> funding support </w:t>
      </w:r>
      <w:r w:rsidR="00CA04B6">
        <w:t xml:space="preserve">through </w:t>
      </w:r>
      <w:r w:rsidR="002A4F27">
        <w:t>non</w:t>
      </w:r>
      <w:r w:rsidR="002A4F27">
        <w:noBreakHyphen/>
        <w:t xml:space="preserve">recurrent </w:t>
      </w:r>
      <w:r>
        <w:t>grants rather than</w:t>
      </w:r>
      <w:r w:rsidR="00C1136F">
        <w:t xml:space="preserve"> untied</w:t>
      </w:r>
      <w:r>
        <w:t xml:space="preserve"> CSO payments</w:t>
      </w:r>
      <w:r w:rsidR="001E3A29">
        <w:t xml:space="preserve">. </w:t>
      </w:r>
    </w:p>
    <w:p w14:paraId="07A06EBD" w14:textId="201F09F1" w:rsidR="00725D5D" w:rsidRDefault="00023668" w:rsidP="00E93A2C">
      <w:pPr>
        <w:pStyle w:val="BodyText"/>
      </w:pPr>
      <w:r w:rsidRPr="00023668">
        <w:t xml:space="preserve">On face value there </w:t>
      </w:r>
      <w:r w:rsidR="001E3A29" w:rsidRPr="001E3A29">
        <w:t xml:space="preserve">are some </w:t>
      </w:r>
      <w:r w:rsidRPr="001E3A29">
        <w:t xml:space="preserve">reasons </w:t>
      </w:r>
      <w:r w:rsidR="00843D3E">
        <w:t>for this approach</w:t>
      </w:r>
      <w:r w:rsidR="00142CFA">
        <w:t>,</w:t>
      </w:r>
      <w:r w:rsidR="00776910">
        <w:t xml:space="preserve"> reflecting broader </w:t>
      </w:r>
      <w:r w:rsidR="00CA04B6">
        <w:t xml:space="preserve">issues with grant funding of regional and remote </w:t>
      </w:r>
      <w:r w:rsidR="00776910">
        <w:t>local governments</w:t>
      </w:r>
      <w:r w:rsidR="00142CFA">
        <w:t>. Those governments</w:t>
      </w:r>
      <w:r w:rsidR="00CA04B6">
        <w:t xml:space="preserve"> are less likely to be self</w:t>
      </w:r>
      <w:r w:rsidR="00CA04B6">
        <w:noBreakHyphen/>
        <w:t xml:space="preserve">funded compared </w:t>
      </w:r>
      <w:r w:rsidR="001B35B3">
        <w:t>with</w:t>
      </w:r>
      <w:r w:rsidR="00CA04B6">
        <w:t xml:space="preserve"> </w:t>
      </w:r>
      <w:r w:rsidR="00142CFA">
        <w:t>local governments</w:t>
      </w:r>
      <w:r w:rsidR="00CA04B6">
        <w:t xml:space="preserve"> in cities </w:t>
      </w:r>
      <w:r w:rsidR="00610696" w:rsidRPr="00610696">
        <w:rPr>
          <w:szCs w:val="24"/>
        </w:rPr>
        <w:t>(PC 2017a, p. 4)</w:t>
      </w:r>
      <w:r w:rsidRPr="001E3A29">
        <w:t xml:space="preserve">. </w:t>
      </w:r>
      <w:r w:rsidR="00776910">
        <w:t xml:space="preserve">In the case of water services, State </w:t>
      </w:r>
      <w:r w:rsidR="004957CD">
        <w:t>G</w:t>
      </w:r>
      <w:r w:rsidR="00776910">
        <w:t>overnments do not have a clear line of sight to service delivery costs in regional and remote communities, and local providers may have an incentive to misrepresent costs (or to underperform) in pursuit of a subsidy</w:t>
      </w:r>
      <w:r w:rsidR="00C23EA9">
        <w:t>, or under</w:t>
      </w:r>
      <w:r w:rsidR="00C23EA9">
        <w:noBreakHyphen/>
        <w:t>manage risks if the State government is likely to act as a provider of last resort</w:t>
      </w:r>
      <w:r w:rsidR="00776910">
        <w:t>. G</w:t>
      </w:r>
      <w:r w:rsidR="00843D3E">
        <w:t>rants</w:t>
      </w:r>
      <w:r w:rsidR="00C23EA9">
        <w:t xml:space="preserve"> therefore</w:t>
      </w:r>
      <w:r w:rsidR="00843D3E">
        <w:t xml:space="preserve"> </w:t>
      </w:r>
      <w:r>
        <w:t xml:space="preserve">provide </w:t>
      </w:r>
      <w:r w:rsidR="001E3A29">
        <w:t xml:space="preserve">a degree of </w:t>
      </w:r>
      <w:r>
        <w:t>scrutiny</w:t>
      </w:r>
      <w:r w:rsidR="006F5306">
        <w:t xml:space="preserve"> on </w:t>
      </w:r>
      <w:r w:rsidR="001E3A29">
        <w:t>infrastructure decision</w:t>
      </w:r>
      <w:r w:rsidR="00E431AD">
        <w:t xml:space="preserve"> </w:t>
      </w:r>
      <w:proofErr w:type="gramStart"/>
      <w:r w:rsidR="001E3A29">
        <w:t>making,</w:t>
      </w:r>
      <w:r w:rsidR="00B95C8F">
        <w:t xml:space="preserve"> and</w:t>
      </w:r>
      <w:proofErr w:type="gramEnd"/>
      <w:r w:rsidR="00B95C8F">
        <w:t xml:space="preserve"> are</w:t>
      </w:r>
      <w:r w:rsidR="001E3A29">
        <w:t xml:space="preserve"> </w:t>
      </w:r>
      <w:r w:rsidR="002A4F27">
        <w:t>seen by funders as a way of ‘</w:t>
      </w:r>
      <w:r w:rsidR="002A4F27" w:rsidRPr="002A4F27">
        <w:t>ensuring rigour around proposals</w:t>
      </w:r>
      <w:r w:rsidR="002A4F27">
        <w:t>’ (</w:t>
      </w:r>
      <w:proofErr w:type="spellStart"/>
      <w:r w:rsidR="002A4F27">
        <w:t>qldwater</w:t>
      </w:r>
      <w:proofErr w:type="spellEnd"/>
      <w:r w:rsidR="002A4F27">
        <w:t>, sub. 47, p. 17).</w:t>
      </w:r>
      <w:r w:rsidR="00A43EAA">
        <w:t xml:space="preserve"> </w:t>
      </w:r>
    </w:p>
    <w:p w14:paraId="6957EFE1" w14:textId="032E946F" w:rsidR="001E3A29" w:rsidRPr="00284524" w:rsidRDefault="00C83811" w:rsidP="00E93A2C">
      <w:pPr>
        <w:pStyle w:val="BodyText"/>
      </w:pPr>
      <w:r>
        <w:lastRenderedPageBreak/>
        <w:t>Capital g</w:t>
      </w:r>
      <w:r w:rsidR="001E3A29">
        <w:t>rant funding, however, is not consistent with the NWI</w:t>
      </w:r>
      <w:r w:rsidR="00EE1DD1">
        <w:t xml:space="preserve"> (</w:t>
      </w:r>
      <w:r w:rsidR="00E758F5" w:rsidRPr="00E758F5">
        <w:rPr>
          <w:i/>
          <w:iCs/>
        </w:rPr>
        <w:t>A</w:t>
      </w:r>
      <w:r w:rsidR="00EE1DD1">
        <w:rPr>
          <w:i/>
        </w:rPr>
        <w:t>ssessment</w:t>
      </w:r>
      <w:r w:rsidR="00EE1DD1">
        <w:t>)</w:t>
      </w:r>
      <w:r w:rsidR="00776910">
        <w:t>.</w:t>
      </w:r>
      <w:r w:rsidR="001E3A29">
        <w:t xml:space="preserve"> </w:t>
      </w:r>
      <w:r w:rsidR="00776910">
        <w:t xml:space="preserve">In its 2017 inquiry, </w:t>
      </w:r>
      <w:r w:rsidR="00EE1DD1">
        <w:t xml:space="preserve">the Commission noted </w:t>
      </w:r>
      <w:r w:rsidR="00776910">
        <w:t>that</w:t>
      </w:r>
      <w:r w:rsidR="00EE1DD1">
        <w:t xml:space="preserve"> </w:t>
      </w:r>
      <w:r w:rsidR="00776910">
        <w:t xml:space="preserve">grant </w:t>
      </w:r>
      <w:r w:rsidR="00EE1DD1">
        <w:t xml:space="preserve">funding </w:t>
      </w:r>
      <w:r w:rsidR="001E3A29">
        <w:t>c</w:t>
      </w:r>
      <w:r w:rsidR="00724874">
        <w:t xml:space="preserve">reates </w:t>
      </w:r>
      <w:proofErr w:type="gramStart"/>
      <w:r w:rsidR="00724874">
        <w:t>a number of</w:t>
      </w:r>
      <w:proofErr w:type="gramEnd"/>
      <w:r w:rsidR="00724874">
        <w:t xml:space="preserve"> distortions</w:t>
      </w:r>
      <w:r w:rsidR="00EE1DD1">
        <w:t xml:space="preserve"> </w:t>
      </w:r>
      <w:r w:rsidR="00C1136F" w:rsidRPr="00C1136F">
        <w:rPr>
          <w:szCs w:val="24"/>
        </w:rPr>
        <w:t>(PC 2017b, pp. 228–229)</w:t>
      </w:r>
      <w:r w:rsidR="00EE1DD1">
        <w:t xml:space="preserve">. </w:t>
      </w:r>
      <w:proofErr w:type="gramStart"/>
      <w:r w:rsidR="00843D3E">
        <w:t>In p</w:t>
      </w:r>
      <w:r w:rsidR="00EE1DD1">
        <w:t xml:space="preserve">articular, </w:t>
      </w:r>
      <w:r w:rsidR="00776910">
        <w:t>capital</w:t>
      </w:r>
      <w:proofErr w:type="gramEnd"/>
      <w:r w:rsidR="00776910">
        <w:t xml:space="preserve"> </w:t>
      </w:r>
      <w:r w:rsidR="00843D3E">
        <w:t xml:space="preserve">grants </w:t>
      </w:r>
      <w:r w:rsidR="00EE1DD1">
        <w:t>are</w:t>
      </w:r>
      <w:r w:rsidR="007E5C24">
        <w:t xml:space="preserve"> often</w:t>
      </w:r>
      <w:r w:rsidR="00EE1DD1">
        <w:t xml:space="preserve"> poorly targeted on</w:t>
      </w:r>
      <w:r w:rsidR="00641710">
        <w:t xml:space="preserve"> </w:t>
      </w:r>
      <w:r w:rsidR="00EE1DD1">
        <w:t>the basis of need</w:t>
      </w:r>
      <w:r w:rsidR="007E5C24">
        <w:t xml:space="preserve">, </w:t>
      </w:r>
      <w:r w:rsidR="00F11EC4">
        <w:t>are</w:t>
      </w:r>
      <w:r w:rsidR="007E5C24">
        <w:t xml:space="preserve"> at risk of political interference, </w:t>
      </w:r>
      <w:r w:rsidR="00C23EA9">
        <w:t>and</w:t>
      </w:r>
      <w:r w:rsidR="007E5C24">
        <w:t xml:space="preserve"> </w:t>
      </w:r>
      <w:r w:rsidR="00F11EC4">
        <w:t xml:space="preserve">the </w:t>
      </w:r>
      <w:r w:rsidR="00C23EA9">
        <w:t xml:space="preserve">tying </w:t>
      </w:r>
      <w:r w:rsidR="006D2EE3">
        <w:t xml:space="preserve">of </w:t>
      </w:r>
      <w:r w:rsidR="007E5C24">
        <w:t xml:space="preserve">funding to infrastructure projects </w:t>
      </w:r>
      <w:r w:rsidR="00EE1DD1">
        <w:t>introduce</w:t>
      </w:r>
      <w:r w:rsidR="007E5C24">
        <w:t>s</w:t>
      </w:r>
      <w:r w:rsidR="00EE1DD1">
        <w:t xml:space="preserve"> ‘capital bias’, in that infrastructure spending is preferred over other forms of operational expenditure, including </w:t>
      </w:r>
      <w:r w:rsidR="00B95C8F">
        <w:t>planning</w:t>
      </w:r>
      <w:r w:rsidR="00C23EA9">
        <w:t>, maintenance</w:t>
      </w:r>
      <w:r w:rsidR="00B95C8F">
        <w:t xml:space="preserve"> or staffing costs</w:t>
      </w:r>
      <w:r w:rsidR="00EE1DD1">
        <w:t xml:space="preserve">. </w:t>
      </w:r>
      <w:r w:rsidR="00AF6528">
        <w:t xml:space="preserve">Further, capital grant processes </w:t>
      </w:r>
      <w:r w:rsidR="006A646D">
        <w:t xml:space="preserve">often </w:t>
      </w:r>
      <w:proofErr w:type="gramStart"/>
      <w:r w:rsidR="00AF6528">
        <w:t xml:space="preserve">give </w:t>
      </w:r>
      <w:r w:rsidR="00284524">
        <w:t>inadequate consideration to</w:t>
      </w:r>
      <w:proofErr w:type="gramEnd"/>
      <w:r w:rsidR="00284524">
        <w:t xml:space="preserve"> ongoing </w:t>
      </w:r>
      <w:r w:rsidR="00EE1DD1">
        <w:t xml:space="preserve">maintenance </w:t>
      </w:r>
      <w:r w:rsidR="00284524">
        <w:t>costs, compare</w:t>
      </w:r>
      <w:r w:rsidR="00AF6528">
        <w:t xml:space="preserve">d </w:t>
      </w:r>
      <w:r w:rsidR="002E08C6">
        <w:t xml:space="preserve">with </w:t>
      </w:r>
      <w:r w:rsidR="00AF6528">
        <w:t>upfront construction costs</w:t>
      </w:r>
      <w:r w:rsidR="000A5DEB">
        <w:t xml:space="preserve">, leaving recipients </w:t>
      </w:r>
      <w:r w:rsidR="00B829E3">
        <w:t>with high life</w:t>
      </w:r>
      <w:r w:rsidR="00B829E3">
        <w:noBreakHyphen/>
        <w:t xml:space="preserve">cycle costs for </w:t>
      </w:r>
      <w:r w:rsidR="000A5DEB">
        <w:t xml:space="preserve">assets </w:t>
      </w:r>
      <w:r w:rsidR="00724874">
        <w:t>(</w:t>
      </w:r>
      <w:r w:rsidR="000A5DEB" w:rsidRPr="002C0369">
        <w:t>IWF, sub. 30, p</w:t>
      </w:r>
      <w:r w:rsidR="00B829E3">
        <w:t>p</w:t>
      </w:r>
      <w:r w:rsidR="000A5DEB" w:rsidRPr="002C0369">
        <w:t>. </w:t>
      </w:r>
      <w:r w:rsidR="00B829E3">
        <w:t>14</w:t>
      </w:r>
      <w:r w:rsidR="00641710">
        <w:t>–</w:t>
      </w:r>
      <w:r w:rsidR="00B829E3">
        <w:t>15</w:t>
      </w:r>
      <w:r w:rsidR="002C0369">
        <w:t xml:space="preserve">, </w:t>
      </w:r>
      <w:proofErr w:type="spellStart"/>
      <w:r w:rsidR="002C0369">
        <w:t>qldwater</w:t>
      </w:r>
      <w:proofErr w:type="spellEnd"/>
      <w:r w:rsidR="002C0369">
        <w:t>, sub. 47, p. </w:t>
      </w:r>
      <w:r w:rsidR="00B829E3">
        <w:t>16</w:t>
      </w:r>
      <w:r w:rsidR="00724874">
        <w:t>)</w:t>
      </w:r>
      <w:r w:rsidR="00AF6528">
        <w:t>. And n</w:t>
      </w:r>
      <w:r w:rsidR="00D413E7" w:rsidRPr="00284524">
        <w:t>on</w:t>
      </w:r>
      <w:r w:rsidR="00D413E7" w:rsidRPr="00284524">
        <w:noBreakHyphen/>
        <w:t xml:space="preserve">recurrent funding </w:t>
      </w:r>
      <w:r w:rsidR="00AF6528">
        <w:t xml:space="preserve">sources can </w:t>
      </w:r>
      <w:r w:rsidR="00023668" w:rsidRPr="00284524">
        <w:t>undermine</w:t>
      </w:r>
      <w:r w:rsidR="004711CA" w:rsidRPr="00284524">
        <w:t xml:space="preserve"> </w:t>
      </w:r>
      <w:r w:rsidR="00103A1C" w:rsidRPr="00284524">
        <w:t>longer</w:t>
      </w:r>
      <w:r w:rsidR="00103A1C" w:rsidRPr="00284524">
        <w:noBreakHyphen/>
        <w:t xml:space="preserve">term </w:t>
      </w:r>
      <w:r w:rsidR="00AB3ACE" w:rsidRPr="00284524">
        <w:t>strategic planning</w:t>
      </w:r>
      <w:r w:rsidR="00AF6528">
        <w:t xml:space="preserve"> by operators.</w:t>
      </w:r>
    </w:p>
    <w:p w14:paraId="32BE6E38" w14:textId="4836A587" w:rsidR="00EE1DD1" w:rsidRDefault="00EE1DD1" w:rsidP="006A646D">
      <w:pPr>
        <w:pStyle w:val="BodyText"/>
        <w:keepNext/>
      </w:pPr>
      <w:r>
        <w:t xml:space="preserve">To </w:t>
      </w:r>
      <w:r w:rsidR="00776910">
        <w:t>improve</w:t>
      </w:r>
      <w:r>
        <w:t xml:space="preserve"> compliance with the NWI, </w:t>
      </w:r>
      <w:r w:rsidR="002E08C6">
        <w:t>the Commission</w:t>
      </w:r>
      <w:r>
        <w:t xml:space="preserve"> </w:t>
      </w:r>
      <w:r w:rsidR="00C1136F" w:rsidRPr="00C1136F">
        <w:rPr>
          <w:szCs w:val="24"/>
        </w:rPr>
        <w:t>(2017b, p. 38)</w:t>
      </w:r>
      <w:r w:rsidR="002E08C6">
        <w:t xml:space="preserve"> recommended </w:t>
      </w:r>
      <w:r>
        <w:t>that the New South Wales and Queensland Governments:</w:t>
      </w:r>
    </w:p>
    <w:p w14:paraId="64894475" w14:textId="1D1E88E3" w:rsidR="00EE1DD1" w:rsidRPr="002F5149" w:rsidRDefault="00DA23D4" w:rsidP="00D26262">
      <w:pPr>
        <w:pStyle w:val="Quote"/>
      </w:pPr>
      <w:r>
        <w:t xml:space="preserve">… </w:t>
      </w:r>
      <w:r w:rsidR="00EE1DD1">
        <w:t>replace existing capital grants to regional water utilities with transparent Community Service Obligation payments that are not tied to capital expenditure, and that are targeted at unviable (high</w:t>
      </w:r>
      <w:r w:rsidR="00985904">
        <w:noBreakHyphen/>
      </w:r>
      <w:r w:rsidR="00EE1DD1">
        <w:t>cost) regional and remote services.</w:t>
      </w:r>
    </w:p>
    <w:p w14:paraId="2B63F6A8" w14:textId="588BBB4F" w:rsidR="00852B1B" w:rsidRDefault="003B1273" w:rsidP="00E05196">
      <w:pPr>
        <w:pStyle w:val="Heading4"/>
      </w:pPr>
      <w:r>
        <w:t xml:space="preserve">A renewed NWI </w:t>
      </w:r>
      <w:r w:rsidR="00A22E04">
        <w:t xml:space="preserve">could </w:t>
      </w:r>
      <w:r>
        <w:t xml:space="preserve">outline principles for </w:t>
      </w:r>
      <w:r w:rsidR="00A22E04">
        <w:t xml:space="preserve">urban water </w:t>
      </w:r>
      <w:proofErr w:type="gramStart"/>
      <w:r>
        <w:t>CSO</w:t>
      </w:r>
      <w:r w:rsidR="00A22E04">
        <w:t>s</w:t>
      </w:r>
      <w:proofErr w:type="gramEnd"/>
    </w:p>
    <w:p w14:paraId="140B1563" w14:textId="21A864C8" w:rsidR="00F503BF" w:rsidRDefault="00BA2B3C" w:rsidP="00F503BF">
      <w:pPr>
        <w:pStyle w:val="BodyText"/>
      </w:pPr>
      <w:r>
        <w:t>B</w:t>
      </w:r>
      <w:r w:rsidR="00F503BF">
        <w:t xml:space="preserve">eyond stating a preference for support in the form of CSO payments, the NWI </w:t>
      </w:r>
      <w:r w:rsidR="00A7411D">
        <w:t xml:space="preserve">does </w:t>
      </w:r>
      <w:r w:rsidR="00F503BF">
        <w:t xml:space="preserve">not specify how payments to unviable urban water systems are to be calculated, nor did it define scheme viability, leaving both as decisions for State and Territory </w:t>
      </w:r>
      <w:r w:rsidR="00E431AD">
        <w:t>G</w:t>
      </w:r>
      <w:r w:rsidR="00F503BF">
        <w:t>overnments.</w:t>
      </w:r>
    </w:p>
    <w:p w14:paraId="24869BBB" w14:textId="542F1ABB" w:rsidR="00A43EAA" w:rsidRDefault="00A43EAA" w:rsidP="00A43EAA">
      <w:pPr>
        <w:pStyle w:val="BodyText"/>
        <w:keepNext/>
      </w:pPr>
      <w:r>
        <w:t xml:space="preserve">The lack of prescription has allowed State and Territory </w:t>
      </w:r>
      <w:r w:rsidR="00E431AD">
        <w:t>G</w:t>
      </w:r>
      <w:r>
        <w:t xml:space="preserve">overnments to approach </w:t>
      </w:r>
      <w:r w:rsidR="00C23EA9">
        <w:t xml:space="preserve">their </w:t>
      </w:r>
      <w:r>
        <w:t>funding decisions in ways that reflect the diversity in</w:t>
      </w:r>
      <w:r w:rsidR="00A7411D">
        <w:t xml:space="preserve"> their</w:t>
      </w:r>
      <w:r>
        <w:t xml:space="preserve"> service delivery models. But it has also meant that there are no agreed principles </w:t>
      </w:r>
      <w:r w:rsidR="00776910">
        <w:t>on how to fund regional and remote community services</w:t>
      </w:r>
      <w:r>
        <w:t xml:space="preserve"> — which has arguably </w:t>
      </w:r>
      <w:r w:rsidR="00A7411D">
        <w:t xml:space="preserve">enabled </w:t>
      </w:r>
      <w:r w:rsidR="00B22B85">
        <w:t xml:space="preserve">inefficient funding processes </w:t>
      </w:r>
      <w:r>
        <w:t xml:space="preserve">in jurisdictions with many smaller regional </w:t>
      </w:r>
      <w:r w:rsidR="00776910">
        <w:t>p</w:t>
      </w:r>
      <w:r>
        <w:t xml:space="preserve">roviders. </w:t>
      </w:r>
      <w:proofErr w:type="spellStart"/>
      <w:r>
        <w:t>Qldwater</w:t>
      </w:r>
      <w:proofErr w:type="spellEnd"/>
      <w:r>
        <w:t xml:space="preserve"> (sub. 47, p. 13) submitted that:</w:t>
      </w:r>
    </w:p>
    <w:p w14:paraId="5B110B1B" w14:textId="77777777" w:rsidR="00A43EAA" w:rsidRDefault="00A43EAA" w:rsidP="00A43EAA">
      <w:pPr>
        <w:pStyle w:val="Quote"/>
      </w:pPr>
      <w:r w:rsidRPr="000A5DEB">
        <w:t xml:space="preserve">The Commission’s past recommendations around the replacement of capital grants with CSOs are welcomed, however </w:t>
      </w:r>
      <w:r w:rsidRPr="00D26262">
        <w:t>the lack of guidance on how to manage a transition seems likely to be used as an ongoing excuse for inaction</w:t>
      </w:r>
      <w:r>
        <w:t>.</w:t>
      </w:r>
    </w:p>
    <w:p w14:paraId="58A3669E" w14:textId="1A384352" w:rsidR="00E257F3" w:rsidRDefault="003B1273" w:rsidP="00E257F3">
      <w:pPr>
        <w:pStyle w:val="BodyText"/>
      </w:pPr>
      <w:r>
        <w:t xml:space="preserve">There is </w:t>
      </w:r>
      <w:r w:rsidR="00A43EAA">
        <w:t xml:space="preserve">therefore </w:t>
      </w:r>
      <w:r>
        <w:t xml:space="preserve">a case to include </w:t>
      </w:r>
      <w:r w:rsidR="00AD490F">
        <w:t xml:space="preserve">principles in </w:t>
      </w:r>
      <w:r>
        <w:t xml:space="preserve">a renewed </w:t>
      </w:r>
      <w:r w:rsidR="00AD490F">
        <w:t xml:space="preserve">NWI </w:t>
      </w:r>
      <w:r w:rsidR="00776910">
        <w:t>to</w:t>
      </w:r>
      <w:r>
        <w:t xml:space="preserve"> guide CSO payments to </w:t>
      </w:r>
      <w:r w:rsidR="00C23EA9">
        <w:t xml:space="preserve">unviable </w:t>
      </w:r>
      <w:r w:rsidR="00A566CB">
        <w:t>areas</w:t>
      </w:r>
      <w:r>
        <w:t>, with a focus on how governments can</w:t>
      </w:r>
      <w:r w:rsidR="00A566CB">
        <w:t xml:space="preserve"> </w:t>
      </w:r>
      <w:r>
        <w:t>sustainabl</w:t>
      </w:r>
      <w:r w:rsidR="00776910">
        <w:t>y</w:t>
      </w:r>
      <w:r>
        <w:t xml:space="preserve"> fund</w:t>
      </w:r>
      <w:r w:rsidR="00A566CB">
        <w:t xml:space="preserve"> </w:t>
      </w:r>
      <w:r w:rsidR="00B95C8F">
        <w:t xml:space="preserve">smaller providers </w:t>
      </w:r>
      <w:r w:rsidR="000A5DEB">
        <w:t xml:space="preserve">while </w:t>
      </w:r>
      <w:r w:rsidR="00901EDF">
        <w:t xml:space="preserve">maintaining </w:t>
      </w:r>
      <w:r>
        <w:t xml:space="preserve">incentives for </w:t>
      </w:r>
      <w:r w:rsidRPr="00901EDF">
        <w:t>efficient service delivery</w:t>
      </w:r>
      <w:r>
        <w:t>.</w:t>
      </w:r>
      <w:r w:rsidR="00760865">
        <w:t xml:space="preserve"> </w:t>
      </w:r>
      <w:r w:rsidR="00E257F3">
        <w:t xml:space="preserve">This requires a clear outline of the objective or rationale of the CSO (determined by governments), followed by consideration of how that CSO is funded </w:t>
      </w:r>
      <w:r w:rsidR="00610696" w:rsidRPr="00610696">
        <w:rPr>
          <w:szCs w:val="24"/>
        </w:rPr>
        <w:t>(NSW Treasury 2019; PC 2017c, p. 33)</w:t>
      </w:r>
      <w:r w:rsidR="00E257F3">
        <w:t xml:space="preserve">. </w:t>
      </w:r>
    </w:p>
    <w:p w14:paraId="358403EE" w14:textId="3C5C76F1" w:rsidR="00AD490F" w:rsidRDefault="00760865" w:rsidP="00AD490F">
      <w:pPr>
        <w:pStyle w:val="BodyText"/>
      </w:pPr>
      <w:r>
        <w:t>The Commission’s advice on principles follows.</w:t>
      </w:r>
    </w:p>
    <w:p w14:paraId="10257FCA" w14:textId="6EA14AF0" w:rsidR="00DD33DF" w:rsidRDefault="00A7411D" w:rsidP="00E93A2C">
      <w:pPr>
        <w:pStyle w:val="Heading5"/>
      </w:pPr>
      <w:r>
        <w:t xml:space="preserve">Design </w:t>
      </w:r>
      <w:r w:rsidR="00901EDF" w:rsidRPr="00E93A2C">
        <w:t>CSO</w:t>
      </w:r>
      <w:r w:rsidR="00E257F3">
        <w:t xml:space="preserve"> funding</w:t>
      </w:r>
      <w:r w:rsidR="00901EDF">
        <w:t xml:space="preserve"> </w:t>
      </w:r>
      <w:r>
        <w:t>to</w:t>
      </w:r>
      <w:r w:rsidR="00901EDF" w:rsidDel="00E46721">
        <w:t xml:space="preserve"> </w:t>
      </w:r>
      <w:r>
        <w:t>ensure access to</w:t>
      </w:r>
      <w:r w:rsidR="00E46721">
        <w:t xml:space="preserve"> </w:t>
      </w:r>
      <w:r w:rsidR="00901EDF">
        <w:t xml:space="preserve">a basic level of </w:t>
      </w:r>
      <w:proofErr w:type="gramStart"/>
      <w:r w:rsidR="00901EDF">
        <w:t>service</w:t>
      </w:r>
      <w:proofErr w:type="gramEnd"/>
      <w:r w:rsidR="00E257F3">
        <w:t xml:space="preserve"> </w:t>
      </w:r>
    </w:p>
    <w:p w14:paraId="3025DCF9" w14:textId="67B605D0" w:rsidR="00725D5D" w:rsidRDefault="009152BD" w:rsidP="00A566CB">
      <w:pPr>
        <w:pStyle w:val="BodyText"/>
        <w:keepNext/>
      </w:pPr>
      <w:r>
        <w:t xml:space="preserve">The justification for </w:t>
      </w:r>
      <w:r w:rsidR="00921C24">
        <w:t xml:space="preserve">State government funding </w:t>
      </w:r>
      <w:r>
        <w:t xml:space="preserve">hinges on </w:t>
      </w:r>
      <w:r w:rsidR="001952B4">
        <w:t xml:space="preserve">the </w:t>
      </w:r>
      <w:r w:rsidR="00901EDF">
        <w:t xml:space="preserve">costs </w:t>
      </w:r>
      <w:r w:rsidR="00921C24">
        <w:t xml:space="preserve">of </w:t>
      </w:r>
      <w:r w:rsidR="00901EDF">
        <w:t xml:space="preserve">supplying </w:t>
      </w:r>
      <w:r w:rsidR="00921C24">
        <w:t xml:space="preserve">water </w:t>
      </w:r>
      <w:r w:rsidR="00901EDF">
        <w:t xml:space="preserve">to a particular community, which informs </w:t>
      </w:r>
      <w:proofErr w:type="gramStart"/>
      <w:r w:rsidR="00901EDF">
        <w:t>whether or not</w:t>
      </w:r>
      <w:proofErr w:type="gramEnd"/>
      <w:r w:rsidR="00901EDF">
        <w:t xml:space="preserve"> a service is commercially viable </w:t>
      </w:r>
      <w:r w:rsidR="004D4313">
        <w:t xml:space="preserve">if </w:t>
      </w:r>
      <w:r w:rsidR="004D4313">
        <w:lastRenderedPageBreak/>
        <w:t xml:space="preserve">funded </w:t>
      </w:r>
      <w:r w:rsidR="00F233BA">
        <w:t xml:space="preserve">solely </w:t>
      </w:r>
      <w:r w:rsidR="004D4313">
        <w:t xml:space="preserve">by </w:t>
      </w:r>
      <w:r w:rsidR="00901EDF">
        <w:t>user</w:t>
      </w:r>
      <w:r w:rsidR="004D4313">
        <w:t>s</w:t>
      </w:r>
      <w:r w:rsidR="00901EDF">
        <w:t>.</w:t>
      </w:r>
      <w:r w:rsidR="00182706">
        <w:t xml:space="preserve"> </w:t>
      </w:r>
      <w:r w:rsidR="00901EDF">
        <w:t xml:space="preserve">Commercial viability is </w:t>
      </w:r>
      <w:r w:rsidR="003B645A">
        <w:t xml:space="preserve">determined through </w:t>
      </w:r>
      <w:r w:rsidR="0008710A">
        <w:t xml:space="preserve">a </w:t>
      </w:r>
      <w:r w:rsidR="00182706">
        <w:t>technical</w:t>
      </w:r>
      <w:r w:rsidR="0008710A">
        <w:t xml:space="preserve"> assessment</w:t>
      </w:r>
      <w:r w:rsidR="003B645A">
        <w:t xml:space="preserve"> of both</w:t>
      </w:r>
      <w:r w:rsidR="0008710A">
        <w:t xml:space="preserve"> </w:t>
      </w:r>
      <w:r w:rsidR="00921C24">
        <w:t>the efficient</w:t>
      </w:r>
      <w:r w:rsidR="0008710A">
        <w:t xml:space="preserve"> long</w:t>
      </w:r>
      <w:r w:rsidR="0008710A">
        <w:noBreakHyphen/>
        <w:t>run</w:t>
      </w:r>
      <w:r w:rsidR="00921C24">
        <w:t xml:space="preserve"> cost of service provision</w:t>
      </w:r>
      <w:r w:rsidR="00C23EA9">
        <w:t>,</w:t>
      </w:r>
      <w:r w:rsidR="004D4313">
        <w:t xml:space="preserve"> the standard of service provided</w:t>
      </w:r>
      <w:r w:rsidR="00921C24">
        <w:t xml:space="preserve"> and the </w:t>
      </w:r>
      <w:r w:rsidR="003504C1">
        <w:t xml:space="preserve">willingness </w:t>
      </w:r>
      <w:r w:rsidR="00921C24">
        <w:t xml:space="preserve">of </w:t>
      </w:r>
      <w:r w:rsidR="00A566CB">
        <w:t xml:space="preserve">customers </w:t>
      </w:r>
      <w:r w:rsidR="00921C24">
        <w:t xml:space="preserve">to pay. </w:t>
      </w:r>
      <w:r w:rsidR="004D4313">
        <w:t xml:space="preserve">Each </w:t>
      </w:r>
      <w:r w:rsidR="00921C24">
        <w:t xml:space="preserve">element </w:t>
      </w:r>
      <w:r w:rsidR="004D4313">
        <w:t xml:space="preserve">introduces </w:t>
      </w:r>
      <w:r w:rsidR="00F233BA">
        <w:t xml:space="preserve">estimation </w:t>
      </w:r>
      <w:r w:rsidR="004D4313">
        <w:t>challenges</w:t>
      </w:r>
      <w:r w:rsidR="00921C24">
        <w:t>.</w:t>
      </w:r>
    </w:p>
    <w:p w14:paraId="32084E0E" w14:textId="6D8287EA" w:rsidR="00921C24" w:rsidRDefault="00264F44" w:rsidP="00921C24">
      <w:pPr>
        <w:pStyle w:val="ListBullet"/>
      </w:pPr>
      <w:r w:rsidRPr="00264F44">
        <w:t>T</w:t>
      </w:r>
      <w:r w:rsidR="00921C24" w:rsidRPr="00264F44">
        <w:t xml:space="preserve">he </w:t>
      </w:r>
      <w:r w:rsidRPr="00264F44">
        <w:t>revealed</w:t>
      </w:r>
      <w:r w:rsidR="00921C24" w:rsidRPr="00264F44">
        <w:t xml:space="preserve"> cost of </w:t>
      </w:r>
      <w:r w:rsidR="004D4313">
        <w:t xml:space="preserve">delivering </w:t>
      </w:r>
      <w:r w:rsidR="00921C24" w:rsidRPr="00264F44">
        <w:t>service</w:t>
      </w:r>
      <w:r w:rsidR="004D4313">
        <w:t>s</w:t>
      </w:r>
      <w:r w:rsidR="00921C24" w:rsidRPr="00264F44">
        <w:t xml:space="preserve"> </w:t>
      </w:r>
      <w:r w:rsidR="004D4313">
        <w:t xml:space="preserve">to a particular standard </w:t>
      </w:r>
      <w:r w:rsidR="006A646D" w:rsidRPr="00264F44">
        <w:t xml:space="preserve">reflects </w:t>
      </w:r>
      <w:r w:rsidR="00921C24" w:rsidRPr="00264F44">
        <w:t>both</w:t>
      </w:r>
      <w:r w:rsidR="00D14065">
        <w:t xml:space="preserve"> underlying</w:t>
      </w:r>
      <w:r w:rsidRPr="00264F44">
        <w:t xml:space="preserve"> cost </w:t>
      </w:r>
      <w:r w:rsidR="00D14065">
        <w:t xml:space="preserve">drivers </w:t>
      </w:r>
      <w:r w:rsidRPr="00264F44">
        <w:t>(</w:t>
      </w:r>
      <w:r w:rsidR="00901EDF">
        <w:t xml:space="preserve">such as </w:t>
      </w:r>
      <w:r w:rsidRPr="00264F44">
        <w:t>population density</w:t>
      </w:r>
      <w:r w:rsidR="00901EDF">
        <w:t xml:space="preserve"> </w:t>
      </w:r>
      <w:r w:rsidR="00D14065">
        <w:t>and water source quality</w:t>
      </w:r>
      <w:r w:rsidRPr="00264F44">
        <w:t xml:space="preserve">) </w:t>
      </w:r>
      <w:r w:rsidR="00921C24" w:rsidRPr="00264F44">
        <w:t>and the operational performance of service providers</w:t>
      </w:r>
      <w:r>
        <w:t xml:space="preserve">. </w:t>
      </w:r>
      <w:r w:rsidR="00F233BA">
        <w:t>In the absence of economic regulation, d</w:t>
      </w:r>
      <w:r>
        <w:t xml:space="preserve">isentangling the two to arrive at an estimate of </w:t>
      </w:r>
      <w:r w:rsidR="00182706">
        <w:t xml:space="preserve">an </w:t>
      </w:r>
      <w:r>
        <w:t>‘efficient’ cost is complex</w:t>
      </w:r>
      <w:r w:rsidR="00D14065">
        <w:t>.</w:t>
      </w:r>
    </w:p>
    <w:p w14:paraId="53CD6E62" w14:textId="18E0FA3F" w:rsidR="00F233BA" w:rsidRDefault="00F233BA" w:rsidP="00F233BA">
      <w:pPr>
        <w:pStyle w:val="ListBullet"/>
      </w:pPr>
      <w:r>
        <w:t xml:space="preserve">The standard of service provided also affects delivery costs. More stringent health, </w:t>
      </w:r>
      <w:proofErr w:type="gramStart"/>
      <w:r>
        <w:t>safety</w:t>
      </w:r>
      <w:proofErr w:type="gramEnd"/>
      <w:r>
        <w:t xml:space="preserve"> and environmental standards, although worthwhile, can increase costs and affect viability of some small schemes. Similarly, the levels of service objective for a water system (for example, a target for how frequently water restrictions will be applied) also affects costs — higher reliability will generally cost more.</w:t>
      </w:r>
    </w:p>
    <w:p w14:paraId="0CBDADB5" w14:textId="7BD23A5B" w:rsidR="00CA0A84" w:rsidRDefault="0008710A" w:rsidP="007146F5">
      <w:pPr>
        <w:pStyle w:val="ListBullet"/>
      </w:pPr>
      <w:r>
        <w:t xml:space="preserve">Assessing the </w:t>
      </w:r>
      <w:r w:rsidR="003504C1">
        <w:t xml:space="preserve">willingness </w:t>
      </w:r>
      <w:r w:rsidR="00921C24">
        <w:t xml:space="preserve">of </w:t>
      </w:r>
      <w:r>
        <w:t>a community</w:t>
      </w:r>
      <w:r w:rsidR="00921C24">
        <w:t xml:space="preserve"> to pay </w:t>
      </w:r>
      <w:r>
        <w:t xml:space="preserve">for water </w:t>
      </w:r>
      <w:r w:rsidR="00921C24" w:rsidRPr="0008710A">
        <w:t xml:space="preserve">is </w:t>
      </w:r>
      <w:r w:rsidR="00D14065">
        <w:t>contentious</w:t>
      </w:r>
      <w:r w:rsidR="00921C24">
        <w:t xml:space="preserve">. In jurisdictions without postage stamp pricing, water prices can vary significantly and, in some cases, be below the </w:t>
      </w:r>
      <w:r w:rsidR="00A26431">
        <w:t>long</w:t>
      </w:r>
      <w:r w:rsidR="00A26431">
        <w:noBreakHyphen/>
        <w:t xml:space="preserve">run </w:t>
      </w:r>
      <w:r w:rsidR="00921C24">
        <w:t>cost of service provision. Yet, a</w:t>
      </w:r>
      <w:r w:rsidR="009152BD">
        <w:t xml:space="preserve">s put by </w:t>
      </w:r>
      <w:proofErr w:type="spellStart"/>
      <w:r w:rsidR="00921C24">
        <w:t>qldwater</w:t>
      </w:r>
      <w:proofErr w:type="spellEnd"/>
      <w:r w:rsidR="00921C24">
        <w:t xml:space="preserve"> </w:t>
      </w:r>
      <w:r w:rsidR="00921C24" w:rsidRPr="00CA0A84">
        <w:t>(</w:t>
      </w:r>
      <w:r w:rsidR="00921C24">
        <w:t>sub. </w:t>
      </w:r>
      <w:r w:rsidR="00921C24" w:rsidRPr="00CA0A84">
        <w:t>47, p. 15)</w:t>
      </w:r>
      <w:r w:rsidR="00CA0A84">
        <w:t xml:space="preserve">, there is </w:t>
      </w:r>
      <w:r w:rsidR="00D14065">
        <w:t>still</w:t>
      </w:r>
      <w:r w:rsidR="00921C24">
        <w:t xml:space="preserve"> </w:t>
      </w:r>
      <w:r w:rsidR="00CA0A84" w:rsidRPr="00CA0A84">
        <w:t xml:space="preserve">a </w:t>
      </w:r>
      <w:r w:rsidR="00CA0A84">
        <w:t>tendency</w:t>
      </w:r>
      <w:r w:rsidR="00CA0A84" w:rsidRPr="00CA0A84">
        <w:t xml:space="preserve"> for ‘most communities</w:t>
      </w:r>
      <w:r w:rsidR="00CA0A84">
        <w:t>’</w:t>
      </w:r>
      <w:r w:rsidR="00CA0A84" w:rsidRPr="00CA0A84">
        <w:t xml:space="preserve"> to consider </w:t>
      </w:r>
      <w:r w:rsidR="00921C24">
        <w:t xml:space="preserve">their </w:t>
      </w:r>
      <w:r w:rsidR="00CA0A84">
        <w:t xml:space="preserve">water and sewerage services </w:t>
      </w:r>
      <w:r w:rsidR="00921C24">
        <w:t xml:space="preserve">to be </w:t>
      </w:r>
      <w:r w:rsidR="00CA0A84">
        <w:t>overpriced</w:t>
      </w:r>
      <w:r w:rsidR="00CA0A84" w:rsidRPr="00CA0A84">
        <w:t>.</w:t>
      </w:r>
    </w:p>
    <w:p w14:paraId="5848AAA8" w14:textId="0158DDA6" w:rsidR="00F233BA" w:rsidRPr="00504927" w:rsidRDefault="00F233BA" w:rsidP="00CA0A84">
      <w:pPr>
        <w:pStyle w:val="BodyText"/>
      </w:pPr>
      <w:r>
        <w:t xml:space="preserve">In the absence of </w:t>
      </w:r>
      <w:r w:rsidR="00B55706">
        <w:t xml:space="preserve">both </w:t>
      </w:r>
      <w:r>
        <w:t xml:space="preserve">a </w:t>
      </w:r>
      <w:r w:rsidR="00B55706">
        <w:t xml:space="preserve">competitive </w:t>
      </w:r>
      <w:r>
        <w:t xml:space="preserve">market </w:t>
      </w:r>
      <w:r w:rsidR="00B55706">
        <w:t>and</w:t>
      </w:r>
      <w:r>
        <w:t xml:space="preserve"> economic regulation, establishing </w:t>
      </w:r>
      <w:r w:rsidR="00526EC6">
        <w:t>whether</w:t>
      </w:r>
      <w:r>
        <w:t xml:space="preserve"> a service is </w:t>
      </w:r>
      <w:r w:rsidR="006D7E31">
        <w:t xml:space="preserve">commercially </w:t>
      </w:r>
      <w:r>
        <w:t>unviable requires judgment</w:t>
      </w:r>
      <w:r w:rsidR="00526EC6">
        <w:t xml:space="preserve">. </w:t>
      </w:r>
      <w:r w:rsidR="002F41F5">
        <w:t>A v</w:t>
      </w:r>
      <w:r w:rsidR="00526EC6">
        <w:t>iew</w:t>
      </w:r>
      <w:r>
        <w:t xml:space="preserve"> on</w:t>
      </w:r>
      <w:r w:rsidR="00504927">
        <w:t xml:space="preserve"> the service standard that </w:t>
      </w:r>
      <w:r w:rsidR="00504927">
        <w:rPr>
          <w:i/>
        </w:rPr>
        <w:t xml:space="preserve">should </w:t>
      </w:r>
      <w:r w:rsidR="00504927">
        <w:t>be provided</w:t>
      </w:r>
      <w:r w:rsidR="00FA3296">
        <w:t xml:space="preserve"> (which forms the basis of the government objective)</w:t>
      </w:r>
      <w:r w:rsidR="00504927">
        <w:t xml:space="preserve"> and </w:t>
      </w:r>
      <w:r w:rsidR="00A64F21" w:rsidRPr="00665CE9">
        <w:t xml:space="preserve">the willingness of the community to meet the associated </w:t>
      </w:r>
      <w:r w:rsidR="00A64F21">
        <w:t>cost</w:t>
      </w:r>
      <w:r w:rsidR="002F41F5">
        <w:t xml:space="preserve"> (</w:t>
      </w:r>
      <w:r w:rsidR="00A64F21">
        <w:t>given both their ability to pay and level of access to alternative supplies</w:t>
      </w:r>
      <w:r w:rsidR="002F41F5">
        <w:t>) are relevant</w:t>
      </w:r>
      <w:r w:rsidR="00504927">
        <w:t xml:space="preserve">. </w:t>
      </w:r>
      <w:r w:rsidR="00E327F5">
        <w:t xml:space="preserve">These are difficult estimations, and </w:t>
      </w:r>
      <w:r w:rsidR="006D4A43">
        <w:t xml:space="preserve">there are </w:t>
      </w:r>
      <w:proofErr w:type="gramStart"/>
      <w:r w:rsidR="00E327F5">
        <w:t>a number of</w:t>
      </w:r>
      <w:proofErr w:type="gramEnd"/>
      <w:r w:rsidR="00E327F5">
        <w:t xml:space="preserve"> </w:t>
      </w:r>
      <w:r w:rsidR="006D4A43">
        <w:t>ways to determine the cost of providing a CSO</w:t>
      </w:r>
      <w:r w:rsidR="003504C1">
        <w:t xml:space="preserve"> </w:t>
      </w:r>
      <w:r w:rsidR="003504C1" w:rsidRPr="00E327F5">
        <w:rPr>
          <w:szCs w:val="24"/>
        </w:rPr>
        <w:t>(IC 1997)</w:t>
      </w:r>
      <w:r w:rsidR="003504C1">
        <w:t>.</w:t>
      </w:r>
    </w:p>
    <w:p w14:paraId="0F443D09" w14:textId="5317D2DE" w:rsidR="00A566CB" w:rsidRPr="00F233BA" w:rsidRDefault="00A566CB" w:rsidP="00CA0A84">
      <w:pPr>
        <w:pStyle w:val="BodyText"/>
      </w:pPr>
      <w:r>
        <w:t xml:space="preserve">Some submissions suggested </w:t>
      </w:r>
      <w:r w:rsidR="00DB3599">
        <w:t>ways to estimate the ability of regional communities</w:t>
      </w:r>
      <w:r w:rsidR="00E327F5">
        <w:t xml:space="preserve"> </w:t>
      </w:r>
      <w:r w:rsidR="00A64F21">
        <w:t xml:space="preserve">to pay, </w:t>
      </w:r>
      <w:r w:rsidR="00DB3599">
        <w:t>such as the ABS SEIFA indices (</w:t>
      </w:r>
      <w:proofErr w:type="spellStart"/>
      <w:r w:rsidR="00DB3599">
        <w:t>qldwater</w:t>
      </w:r>
      <w:proofErr w:type="spellEnd"/>
      <w:r w:rsidR="00DB3599">
        <w:t xml:space="preserve">, sub. 47, p. 15). However, these indices tend to only provide averages across regions, and do not reflect the diversity of socioeconomic outcomes within them. Disadvantaged members of a community — who may have genuine </w:t>
      </w:r>
      <w:r w:rsidR="006A646D">
        <w:t xml:space="preserve">affordability </w:t>
      </w:r>
      <w:r w:rsidR="00DB3599">
        <w:t>issues — can be better targeted through rebates (as already occurs; box </w:t>
      </w:r>
      <w:r w:rsidR="00610696">
        <w:t>2</w:t>
      </w:r>
      <w:r w:rsidR="00DB3599">
        <w:t>), rather than place</w:t>
      </w:r>
      <w:r w:rsidR="00DB3599">
        <w:noBreakHyphen/>
        <w:t>based measures of disadvantage.</w:t>
      </w:r>
    </w:p>
    <w:p w14:paraId="4BAB393B" w14:textId="6CBDFEEE" w:rsidR="00A64F21" w:rsidRDefault="003504C1" w:rsidP="003504C1">
      <w:pPr>
        <w:pStyle w:val="BodyText"/>
      </w:pPr>
      <w:r>
        <w:t xml:space="preserve">The Commission’s view is that CSO </w:t>
      </w:r>
      <w:r w:rsidR="00A64F21">
        <w:t xml:space="preserve">payments </w:t>
      </w:r>
      <w:r>
        <w:t xml:space="preserve">should be </w:t>
      </w:r>
      <w:r w:rsidR="00BA2B3C">
        <w:t xml:space="preserve">designed to </w:t>
      </w:r>
      <w:r w:rsidR="00A64F21">
        <w:t>ensure</w:t>
      </w:r>
      <w:r w:rsidR="00BA2B3C">
        <w:t xml:space="preserve"> access to </w:t>
      </w:r>
      <w:r>
        <w:t>a</w:t>
      </w:r>
      <w:bookmarkStart w:id="26" w:name="_Hlk59631078"/>
      <w:r w:rsidDel="00A64F21">
        <w:t xml:space="preserve"> </w:t>
      </w:r>
      <w:r>
        <w:t xml:space="preserve">basic level of service </w:t>
      </w:r>
      <w:bookmarkEnd w:id="26"/>
      <w:r>
        <w:t>(</w:t>
      </w:r>
      <w:r w:rsidR="00A64F21">
        <w:t xml:space="preserve">as defined by the relevant State of Territory government; </w:t>
      </w:r>
      <w:r>
        <w:t>discussed above)</w:t>
      </w:r>
      <w:r w:rsidR="00A64F21">
        <w:t xml:space="preserve"> in those communities where such service provision would otherwise be unviable.</w:t>
      </w:r>
    </w:p>
    <w:p w14:paraId="38D6B966" w14:textId="0E1B9CFB" w:rsidR="00A64F21" w:rsidRDefault="00A64F21" w:rsidP="00755702">
      <w:pPr>
        <w:pStyle w:val="BodyText"/>
        <w:keepNext/>
      </w:pPr>
      <w:bookmarkStart w:id="27" w:name="_Hlk59699222"/>
      <w:r>
        <w:t>For those communities, the amount of funding provided under the CSO should be adequate to ensure that a basic level of service is affordable. That is, CSO funding should provide operational subsidies that allow the utility to achieve and maintain lower</w:t>
      </w:r>
      <w:r>
        <w:noBreakHyphen/>
        <w:t>bound cost recovery, subject to:</w:t>
      </w:r>
    </w:p>
    <w:p w14:paraId="0222036A" w14:textId="01E9A716" w:rsidR="007D4FA8" w:rsidRPr="00E93A2C" w:rsidRDefault="007D4FA8" w:rsidP="00E93A2C">
      <w:pPr>
        <w:pStyle w:val="ListBullet"/>
      </w:pPr>
      <w:r w:rsidRPr="00E93A2C">
        <w:t xml:space="preserve">there being no other more </w:t>
      </w:r>
      <w:proofErr w:type="gramStart"/>
      <w:r w:rsidRPr="00E93A2C">
        <w:t>cost effective</w:t>
      </w:r>
      <w:proofErr w:type="gramEnd"/>
      <w:r w:rsidRPr="00E93A2C">
        <w:t xml:space="preserve"> means to supply a basic level of service (such as self</w:t>
      </w:r>
      <w:r w:rsidR="00AD7D18" w:rsidRPr="00E93A2C">
        <w:noBreakHyphen/>
      </w:r>
      <w:r w:rsidRPr="00E93A2C">
        <w:t>supply)</w:t>
      </w:r>
    </w:p>
    <w:p w14:paraId="1484C202" w14:textId="7D0A7EEF" w:rsidR="00A64F21" w:rsidRDefault="00A64F21" w:rsidP="00E93A2C">
      <w:pPr>
        <w:pStyle w:val="ListBullet"/>
      </w:pPr>
      <w:r w:rsidRPr="00E93A2C">
        <w:t>the utility</w:t>
      </w:r>
      <w:r>
        <w:t xml:space="preserve"> charging a price considered to be affordable.</w:t>
      </w:r>
    </w:p>
    <w:p w14:paraId="5199BB4E" w14:textId="16B49EBF" w:rsidR="00E46192" w:rsidRPr="00E93A2C" w:rsidRDefault="00E46192" w:rsidP="00E93A2C">
      <w:pPr>
        <w:pStyle w:val="BodyText"/>
      </w:pPr>
      <w:r>
        <w:lastRenderedPageBreak/>
        <w:t xml:space="preserve">This </w:t>
      </w:r>
      <w:r w:rsidRPr="00E93A2C">
        <w:t xml:space="preserve">determines what share of costs are borne by users (through user charges), and what share is </w:t>
      </w:r>
      <w:r w:rsidR="007D4FA8" w:rsidRPr="00E93A2C">
        <w:t xml:space="preserve">to </w:t>
      </w:r>
      <w:r w:rsidRPr="00E93A2C">
        <w:t>be subsidised by taxpayers.</w:t>
      </w:r>
    </w:p>
    <w:p w14:paraId="05362769" w14:textId="77777777" w:rsidR="00A64F21" w:rsidRPr="00E93A2C" w:rsidRDefault="00A64F21" w:rsidP="00E93A2C">
      <w:pPr>
        <w:pStyle w:val="BodyText"/>
      </w:pPr>
      <w:r w:rsidRPr="00E93A2C">
        <w:t>Ultimately, assessing affordability is a decision for government, depending on its budget priorities. Any specific affordability concerns for vulnerable community members should continue to be addressed through separate policy tools, such as the concessional rebates provided by governments for groups such as pensioners.</w:t>
      </w:r>
    </w:p>
    <w:bookmarkEnd w:id="27"/>
    <w:p w14:paraId="282BAA4E" w14:textId="77777777" w:rsidR="00A64F21" w:rsidRPr="00E93A2C" w:rsidRDefault="00F233BA" w:rsidP="00E93A2C">
      <w:pPr>
        <w:pStyle w:val="BodyText"/>
      </w:pPr>
      <w:r w:rsidRPr="00E93A2C">
        <w:t>C</w:t>
      </w:r>
      <w:r w:rsidR="00A64A96" w:rsidRPr="00E93A2C">
        <w:t xml:space="preserve">lear </w:t>
      </w:r>
      <w:r w:rsidR="00D413E7" w:rsidRPr="00E93A2C">
        <w:t xml:space="preserve">and </w:t>
      </w:r>
      <w:r w:rsidR="004B10E4" w:rsidRPr="00E93A2C">
        <w:t xml:space="preserve">credible </w:t>
      </w:r>
      <w:r w:rsidR="00921C24" w:rsidRPr="00E93A2C">
        <w:t>data</w:t>
      </w:r>
      <w:r w:rsidR="00264F44" w:rsidRPr="00E93A2C">
        <w:t xml:space="preserve"> are required</w:t>
      </w:r>
      <w:r w:rsidR="007B6FB0" w:rsidRPr="00E93A2C">
        <w:t xml:space="preserve"> </w:t>
      </w:r>
      <w:r w:rsidR="00E47C38" w:rsidRPr="00E93A2C">
        <w:t xml:space="preserve">to estimate </w:t>
      </w:r>
      <w:r w:rsidR="00F52DF4" w:rsidRPr="00E93A2C">
        <w:t xml:space="preserve">the </w:t>
      </w:r>
      <w:r w:rsidR="00E47C38" w:rsidRPr="00E93A2C">
        <w:t>costs</w:t>
      </w:r>
      <w:r w:rsidR="00F52DF4" w:rsidRPr="00E93A2C">
        <w:t xml:space="preserve"> of </w:t>
      </w:r>
      <w:r w:rsidR="00E327F5" w:rsidRPr="00E93A2C">
        <w:t>delivering a basic level of service in each system</w:t>
      </w:r>
      <w:r w:rsidR="00A64F21" w:rsidRPr="00E93A2C">
        <w:t>, and in making assessments of affordability</w:t>
      </w:r>
      <w:r w:rsidR="00921C24" w:rsidRPr="00E93A2C">
        <w:t xml:space="preserve">. </w:t>
      </w:r>
      <w:r w:rsidR="00A64F21" w:rsidRPr="00E93A2C">
        <w:t>A high</w:t>
      </w:r>
      <w:r w:rsidR="00A64F21" w:rsidRPr="00E93A2C">
        <w:noBreakHyphen/>
        <w:t>quality estimate is needed to ensure the estimate of commercial viability is credible, and that the subsidy is set at a prudent level and does not overly burden taxpayers.</w:t>
      </w:r>
    </w:p>
    <w:p w14:paraId="3D10EDD1" w14:textId="176C14DC" w:rsidR="00921C24" w:rsidRDefault="00CA0A84" w:rsidP="00E93A2C">
      <w:pPr>
        <w:pStyle w:val="BodyText"/>
      </w:pPr>
      <w:r w:rsidRPr="00E93A2C">
        <w:t xml:space="preserve">State and Territory </w:t>
      </w:r>
      <w:r w:rsidR="00E431AD">
        <w:t>G</w:t>
      </w:r>
      <w:r w:rsidRPr="00E93A2C">
        <w:t>overnments</w:t>
      </w:r>
      <w:r w:rsidR="00921C24" w:rsidRPr="00E93A2C">
        <w:t xml:space="preserve"> already collect a range of performance information on utility operations that could contribute to this decision — although there </w:t>
      </w:r>
      <w:r w:rsidR="001952B4" w:rsidRPr="00E93A2C">
        <w:t xml:space="preserve">is an argument for </w:t>
      </w:r>
      <w:r w:rsidR="00921C24" w:rsidRPr="00E93A2C">
        <w:t xml:space="preserve">data collection </w:t>
      </w:r>
      <w:r w:rsidR="001952B4" w:rsidRPr="00E93A2C">
        <w:t>to</w:t>
      </w:r>
      <w:r w:rsidR="001952B4">
        <w:t xml:space="preserve"> occur at an arm</w:t>
      </w:r>
      <w:r w:rsidR="00921C24">
        <w:t>’s</w:t>
      </w:r>
      <w:r w:rsidR="001952B4">
        <w:t xml:space="preserve"> length from </w:t>
      </w:r>
      <w:r w:rsidR="007B6FB0">
        <w:t>policy</w:t>
      </w:r>
      <w:r w:rsidR="001952B4">
        <w:noBreakHyphen/>
        <w:t xml:space="preserve">making to </w:t>
      </w:r>
      <w:r w:rsidR="00182706">
        <w:t xml:space="preserve">ensure data </w:t>
      </w:r>
      <w:r w:rsidR="00050198">
        <w:t>are</w:t>
      </w:r>
      <w:r w:rsidR="00182706">
        <w:t xml:space="preserve"> credible</w:t>
      </w:r>
      <w:r w:rsidR="00921C24">
        <w:t>.</w:t>
      </w:r>
      <w:r w:rsidR="001952B4">
        <w:t xml:space="preserve"> </w:t>
      </w:r>
      <w:r w:rsidR="00182706">
        <w:t xml:space="preserve">Independent economic regulators could have a role, as part of improving economic oversight of </w:t>
      </w:r>
      <w:r w:rsidR="00E47C38">
        <w:t>regional providers</w:t>
      </w:r>
      <w:r w:rsidR="00182706">
        <w:t xml:space="preserve"> (discussed below).</w:t>
      </w:r>
    </w:p>
    <w:p w14:paraId="0A5FF339" w14:textId="7BDC87D5" w:rsidR="00901EDF" w:rsidRDefault="00901EDF" w:rsidP="00E05196">
      <w:pPr>
        <w:pStyle w:val="Heading5"/>
      </w:pPr>
      <w:r>
        <w:t xml:space="preserve">CSOs should maintain local incentives </w:t>
      </w:r>
      <w:r w:rsidR="00213303">
        <w:t xml:space="preserve">to </w:t>
      </w:r>
      <w:r>
        <w:t>efficient</w:t>
      </w:r>
      <w:r w:rsidR="00213303">
        <w:t>ly deliver</w:t>
      </w:r>
      <w:r>
        <w:t xml:space="preserve"> </w:t>
      </w:r>
      <w:proofErr w:type="gramStart"/>
      <w:r w:rsidR="006A646D">
        <w:t>services</w:t>
      </w:r>
      <w:proofErr w:type="gramEnd"/>
    </w:p>
    <w:p w14:paraId="0128F54B" w14:textId="1603DD80" w:rsidR="00901EDF" w:rsidRDefault="00901EDF" w:rsidP="00E93A2C">
      <w:pPr>
        <w:pStyle w:val="BodyText"/>
      </w:pPr>
      <w:r>
        <w:t>S</w:t>
      </w:r>
      <w:r w:rsidRPr="00103A1C">
        <w:t>ubsidies</w:t>
      </w:r>
      <w:r>
        <w:t xml:space="preserve"> (including CSO payments)</w:t>
      </w:r>
      <w:r w:rsidRPr="00103A1C">
        <w:t xml:space="preserve"> carry </w:t>
      </w:r>
      <w:r>
        <w:t xml:space="preserve">both direct costs to governments, as well as </w:t>
      </w:r>
      <w:r w:rsidRPr="00103A1C">
        <w:t>economic costs</w:t>
      </w:r>
      <w:r>
        <w:t xml:space="preserve"> </w:t>
      </w:r>
      <w:r w:rsidR="007F0A06">
        <w:t xml:space="preserve">that arise from distortions to </w:t>
      </w:r>
      <w:r>
        <w:t>decision</w:t>
      </w:r>
      <w:r w:rsidR="00E431AD">
        <w:t xml:space="preserve"> </w:t>
      </w:r>
      <w:r>
        <w:t>making. In th</w:t>
      </w:r>
      <w:r w:rsidR="00E93A4C">
        <w:t>e</w:t>
      </w:r>
      <w:r>
        <w:t xml:space="preserve"> case</w:t>
      </w:r>
      <w:r w:rsidR="00E93A4C">
        <w:t xml:space="preserve"> of water utilities</w:t>
      </w:r>
      <w:r>
        <w:t>, there is a moral hazard</w:t>
      </w:r>
      <w:r w:rsidRPr="00103A1C">
        <w:t xml:space="preserve"> problem</w:t>
      </w:r>
      <w:r w:rsidR="00E93A4C">
        <w:t>.</w:t>
      </w:r>
      <w:r>
        <w:t xml:space="preserve"> </w:t>
      </w:r>
      <w:r w:rsidR="00E93A4C">
        <w:t>T</w:t>
      </w:r>
      <w:r>
        <w:t xml:space="preserve">he availability of a subsidy </w:t>
      </w:r>
      <w:r w:rsidRPr="00103A1C">
        <w:t>dull</w:t>
      </w:r>
      <w:r>
        <w:t>s</w:t>
      </w:r>
      <w:r w:rsidRPr="00103A1C">
        <w:t xml:space="preserve"> incentives </w:t>
      </w:r>
      <w:r>
        <w:t xml:space="preserve">for utilities </w:t>
      </w:r>
      <w:r w:rsidR="003334A0">
        <w:t xml:space="preserve">to </w:t>
      </w:r>
      <w:r w:rsidRPr="00103A1C">
        <w:t>improve efficiency</w:t>
      </w:r>
      <w:r>
        <w:t xml:space="preserve"> or to charge users cost</w:t>
      </w:r>
      <w:r>
        <w:noBreakHyphen/>
        <w:t>reflective prices</w:t>
      </w:r>
      <w:r w:rsidRPr="00103A1C">
        <w:t xml:space="preserve">. </w:t>
      </w:r>
      <w:r>
        <w:t xml:space="preserve">Maintaining </w:t>
      </w:r>
      <w:r w:rsidR="00DB3599">
        <w:t xml:space="preserve">user charges </w:t>
      </w:r>
      <w:r>
        <w:t>below cost</w:t>
      </w:r>
      <w:r>
        <w:noBreakHyphen/>
        <w:t>reflective levels can mean water use is higher than might be efficient</w:t>
      </w:r>
      <w:r w:rsidR="00E327F5">
        <w:t>, while imposing an ongoing cost on taxpayers across the state</w:t>
      </w:r>
      <w:r>
        <w:t>.</w:t>
      </w:r>
    </w:p>
    <w:p w14:paraId="03281CB8" w14:textId="34EBD17E" w:rsidR="00901EDF" w:rsidRDefault="00436898" w:rsidP="00E93A2C">
      <w:pPr>
        <w:pStyle w:val="BodyText"/>
      </w:pPr>
      <w:r>
        <w:t>Any subsidy</w:t>
      </w:r>
      <w:r w:rsidR="00901EDF">
        <w:t xml:space="preserve"> should be designed to </w:t>
      </w:r>
      <w:r w:rsidR="00901EDF" w:rsidRPr="00B50099">
        <w:t xml:space="preserve">ensure </w:t>
      </w:r>
      <w:r w:rsidR="00901EDF">
        <w:t>a</w:t>
      </w:r>
      <w:r w:rsidR="00901EDF" w:rsidRPr="00B50099">
        <w:t xml:space="preserve"> utilit</w:t>
      </w:r>
      <w:r w:rsidR="00901EDF">
        <w:t>y</w:t>
      </w:r>
      <w:r w:rsidR="00901EDF" w:rsidRPr="00B50099">
        <w:t xml:space="preserve"> </w:t>
      </w:r>
      <w:r w:rsidR="00901EDF">
        <w:t>has</w:t>
      </w:r>
      <w:r w:rsidR="00E327F5">
        <w:t xml:space="preserve"> clear</w:t>
      </w:r>
      <w:r w:rsidR="00901EDF" w:rsidRPr="00B50099">
        <w:t xml:space="preserve"> incentives </w:t>
      </w:r>
      <w:r w:rsidR="00E327F5">
        <w:t>(</w:t>
      </w:r>
      <w:r w:rsidR="00901EDF">
        <w:t>and adequate resources</w:t>
      </w:r>
      <w:r w:rsidR="00E327F5">
        <w:t>)</w:t>
      </w:r>
      <w:r w:rsidR="00901EDF">
        <w:t xml:space="preserve"> </w:t>
      </w:r>
      <w:r w:rsidR="00901EDF" w:rsidRPr="00B50099">
        <w:t xml:space="preserve">to </w:t>
      </w:r>
      <w:r w:rsidR="00901EDF">
        <w:t xml:space="preserve">provide effective and efficient water services to their communities, including by enabling </w:t>
      </w:r>
      <w:r w:rsidR="00901EDF" w:rsidRPr="00B50099">
        <w:t>ongoing improvement</w:t>
      </w:r>
      <w:r w:rsidR="00901EDF">
        <w:t xml:space="preserve"> at the local level. It should </w:t>
      </w:r>
      <w:r w:rsidR="00E46192">
        <w:t xml:space="preserve">support improved </w:t>
      </w:r>
      <w:r w:rsidR="00901EDF">
        <w:t>operational performance</w:t>
      </w:r>
      <w:r w:rsidR="00AA64F9">
        <w:t xml:space="preserve">, </w:t>
      </w:r>
      <w:r w:rsidR="00E46192">
        <w:t>and not</w:t>
      </w:r>
      <w:r w:rsidR="00AA64F9" w:rsidDel="00E46192">
        <w:t xml:space="preserve"> </w:t>
      </w:r>
      <w:r w:rsidR="00E46192">
        <w:t xml:space="preserve">allow </w:t>
      </w:r>
      <w:r w:rsidR="00AA64F9">
        <w:t>utilities to under</w:t>
      </w:r>
      <w:r w:rsidR="00AA64F9">
        <w:noBreakHyphen/>
        <w:t>price their services in pursuit of affordability</w:t>
      </w:r>
      <w:r w:rsidR="00E327F5">
        <w:t>, or under</w:t>
      </w:r>
      <w:r w:rsidR="00E327F5">
        <w:noBreakHyphen/>
        <w:t>treat risk in hope of the State government stepping in during a crisis</w:t>
      </w:r>
      <w:r w:rsidR="00AA64F9">
        <w:t>.</w:t>
      </w:r>
    </w:p>
    <w:p w14:paraId="554B82B7" w14:textId="65BC0E59" w:rsidR="00E46192" w:rsidRDefault="00E46192" w:rsidP="00E93A2C">
      <w:pPr>
        <w:pStyle w:val="BodyText"/>
      </w:pPr>
      <w:r>
        <w:t xml:space="preserve">To </w:t>
      </w:r>
      <w:r w:rsidRPr="00B23B60">
        <w:t>help provide certainty for long</w:t>
      </w:r>
      <w:r w:rsidR="00334FF6">
        <w:noBreakHyphen/>
      </w:r>
      <w:r w:rsidRPr="00B23B60">
        <w:t>term water system planning by regional and remote providers</w:t>
      </w:r>
      <w:r>
        <w:t xml:space="preserve">, </w:t>
      </w:r>
      <w:r w:rsidRPr="00B23B60">
        <w:t xml:space="preserve">CSO payments </w:t>
      </w:r>
      <w:r w:rsidRPr="000E6897">
        <w:rPr>
          <w:iCs/>
        </w:rPr>
        <w:t>should be</w:t>
      </w:r>
      <w:r w:rsidRPr="00B23B60">
        <w:rPr>
          <w:i/>
          <w:iCs/>
        </w:rPr>
        <w:t xml:space="preserve"> </w:t>
      </w:r>
      <w:r w:rsidRPr="00E46192">
        <w:t>calculated in a predictable fashion to provide a reliable source of funding.</w:t>
      </w:r>
      <w:r w:rsidRPr="00B23B60">
        <w:t xml:space="preserve"> </w:t>
      </w:r>
    </w:p>
    <w:p w14:paraId="4C27F3D9" w14:textId="55D0979A" w:rsidR="00264F44" w:rsidRPr="00264F44" w:rsidRDefault="00E46192" w:rsidP="00E93A2C">
      <w:pPr>
        <w:pStyle w:val="BodyText"/>
      </w:pPr>
      <w:r>
        <w:t>Additionally, g</w:t>
      </w:r>
      <w:r w:rsidR="00AA64F9">
        <w:t xml:space="preserve">overnments should make </w:t>
      </w:r>
      <w:r w:rsidR="006371A0">
        <w:t xml:space="preserve">funding provided to regional utilities </w:t>
      </w:r>
      <w:r w:rsidR="00264F44" w:rsidRPr="00264F44">
        <w:t>conditional</w:t>
      </w:r>
      <w:r w:rsidR="00AA64F9">
        <w:t xml:space="preserve"> on b</w:t>
      </w:r>
      <w:r w:rsidR="00264F44" w:rsidRPr="00264F44">
        <w:t>asic standards of corporate operations (</w:t>
      </w:r>
      <w:r w:rsidR="007B6FB0">
        <w:t xml:space="preserve">such as reporting, </w:t>
      </w:r>
      <w:r w:rsidR="00264F44" w:rsidRPr="00264F44">
        <w:t>planning</w:t>
      </w:r>
      <w:r w:rsidR="007B6FB0">
        <w:t xml:space="preserve"> and asset management</w:t>
      </w:r>
      <w:r w:rsidR="00264F44" w:rsidRPr="00264F44">
        <w:t>, along with</w:t>
      </w:r>
      <w:r w:rsidR="0023046A">
        <w:t xml:space="preserve"> commitments to</w:t>
      </w:r>
      <w:r w:rsidR="00264F44" w:rsidRPr="00264F44">
        <w:t xml:space="preserve"> </w:t>
      </w:r>
      <w:r w:rsidR="0023046A">
        <w:t>improve</w:t>
      </w:r>
      <w:r w:rsidR="0036304E">
        <w:t xml:space="preserve"> pricing practices</w:t>
      </w:r>
      <w:r w:rsidR="00AA64F9">
        <w:t xml:space="preserve"> where relevant</w:t>
      </w:r>
      <w:r w:rsidR="00DB3599">
        <w:t>), including any minimum system planning standards embedded in a renewed NWI (considered above)</w:t>
      </w:r>
      <w:r w:rsidR="00DA38E5" w:rsidRPr="00264F44">
        <w:t>.</w:t>
      </w:r>
      <w:r w:rsidR="008D206E" w:rsidRPr="00264F44">
        <w:t xml:space="preserve"> </w:t>
      </w:r>
      <w:r w:rsidR="006371A0">
        <w:t xml:space="preserve">Annual reporting against these performance indicators could form part of CSO determination. </w:t>
      </w:r>
      <w:r w:rsidR="007B6FB0">
        <w:t>And a</w:t>
      </w:r>
      <w:r w:rsidR="00264F44" w:rsidRPr="00264F44">
        <w:t xml:space="preserve">s </w:t>
      </w:r>
      <w:r w:rsidR="006A646D">
        <w:t xml:space="preserve">noted </w:t>
      </w:r>
      <w:r w:rsidR="00264F44" w:rsidRPr="00264F44">
        <w:t xml:space="preserve">above, </w:t>
      </w:r>
      <w:r w:rsidR="006371A0">
        <w:t>state government funding</w:t>
      </w:r>
      <w:r w:rsidR="00264F44" w:rsidRPr="00264F44">
        <w:t xml:space="preserve"> could also be made contingent </w:t>
      </w:r>
      <w:r w:rsidR="00264F44" w:rsidRPr="00264F44">
        <w:lastRenderedPageBreak/>
        <w:t xml:space="preserve">on utilities pursuing </w:t>
      </w:r>
      <w:r w:rsidR="00AA64F9">
        <w:t xml:space="preserve">regional </w:t>
      </w:r>
      <w:r w:rsidR="00264F44" w:rsidRPr="00264F44">
        <w:t xml:space="preserve">collaboration, </w:t>
      </w:r>
      <w:r w:rsidR="0023046A">
        <w:t>where this</w:t>
      </w:r>
      <w:r w:rsidR="00264F44" w:rsidRPr="00264F44">
        <w:t xml:space="preserve"> help</w:t>
      </w:r>
      <w:r w:rsidR="0023046A">
        <w:t>s</w:t>
      </w:r>
      <w:r w:rsidR="00264F44" w:rsidRPr="00264F44">
        <w:t xml:space="preserve"> reduce the costs of service delivery and improve</w:t>
      </w:r>
      <w:r w:rsidR="0023046A">
        <w:t>s</w:t>
      </w:r>
      <w:r w:rsidR="00264F44" w:rsidRPr="00264F44">
        <w:t xml:space="preserve"> operational performance.</w:t>
      </w:r>
    </w:p>
    <w:p w14:paraId="0CE6AE08" w14:textId="1DC502B2" w:rsidR="00E47C38" w:rsidRDefault="00E47C38" w:rsidP="00E05196">
      <w:pPr>
        <w:pStyle w:val="Heading5"/>
      </w:pPr>
      <w:r>
        <w:t>Summing up</w:t>
      </w:r>
    </w:p>
    <w:p w14:paraId="7C9D3CCA" w14:textId="650A53C5" w:rsidR="00E77866" w:rsidRDefault="00D21799" w:rsidP="00BF3190">
      <w:pPr>
        <w:pStyle w:val="BodyText"/>
        <w:keepNext/>
      </w:pPr>
      <w:r>
        <w:t xml:space="preserve">Government subsidies to </w:t>
      </w:r>
      <w:r w:rsidR="00E47C38">
        <w:t xml:space="preserve">regional and remote </w:t>
      </w:r>
      <w:r w:rsidR="00BF0ECB">
        <w:t xml:space="preserve">urban </w:t>
      </w:r>
      <w:r w:rsidR="00E47C38">
        <w:t xml:space="preserve">water </w:t>
      </w:r>
      <w:r>
        <w:t xml:space="preserve">services </w:t>
      </w:r>
      <w:r w:rsidR="00E77866">
        <w:t>should</w:t>
      </w:r>
      <w:r w:rsidR="00F95D32">
        <w:t xml:space="preserve"> be</w:t>
      </w:r>
      <w:r w:rsidR="00E77866">
        <w:t>:</w:t>
      </w:r>
    </w:p>
    <w:p w14:paraId="53234B2D" w14:textId="54016903" w:rsidR="00E46192" w:rsidRPr="00E93A2C" w:rsidRDefault="00E46192" w:rsidP="00E93A2C">
      <w:pPr>
        <w:pStyle w:val="ListBullet"/>
      </w:pPr>
      <w:r w:rsidRPr="00774DFD">
        <w:t xml:space="preserve">designed </w:t>
      </w:r>
      <w:r w:rsidRPr="00E93A2C">
        <w:t xml:space="preserve">to ensure access to a basic level of service in those communities where such service provision would otherwise be </w:t>
      </w:r>
      <w:proofErr w:type="gramStart"/>
      <w:r w:rsidRPr="00E93A2C">
        <w:t>unviable</w:t>
      </w:r>
      <w:proofErr w:type="gramEnd"/>
    </w:p>
    <w:p w14:paraId="0C07EC65" w14:textId="77777777" w:rsidR="00E46192" w:rsidRPr="00E93A2C" w:rsidRDefault="00E46192" w:rsidP="00E93A2C">
      <w:pPr>
        <w:pStyle w:val="ListBullet"/>
      </w:pPr>
      <w:r w:rsidRPr="00E93A2C">
        <w:t xml:space="preserve">adequate to ensure a basic level of service is considered </w:t>
      </w:r>
      <w:proofErr w:type="gramStart"/>
      <w:r w:rsidRPr="00E93A2C">
        <w:t>affordable</w:t>
      </w:r>
      <w:proofErr w:type="gramEnd"/>
    </w:p>
    <w:p w14:paraId="27049983" w14:textId="77777777" w:rsidR="00E46192" w:rsidRPr="00E93A2C" w:rsidRDefault="00E46192" w:rsidP="00E93A2C">
      <w:pPr>
        <w:pStyle w:val="ListBullet"/>
      </w:pPr>
      <w:r w:rsidRPr="00E93A2C">
        <w:t>based on credible data on efficient service costs, subject to a degree of independent oversight, following State or Territory government involvement in system planning</w:t>
      </w:r>
    </w:p>
    <w:p w14:paraId="7682009E" w14:textId="77777777" w:rsidR="00E46192" w:rsidRPr="00E93A2C" w:rsidRDefault="00E46192" w:rsidP="00E93A2C">
      <w:pPr>
        <w:pStyle w:val="ListBullet"/>
      </w:pPr>
      <w:r w:rsidRPr="00E93A2C">
        <w:t xml:space="preserve">calculated in a predictable fashion to provide a reliable source of </w:t>
      </w:r>
      <w:proofErr w:type="gramStart"/>
      <w:r w:rsidRPr="00E93A2C">
        <w:t>funding</w:t>
      </w:r>
      <w:proofErr w:type="gramEnd"/>
    </w:p>
    <w:p w14:paraId="780FEC43" w14:textId="15E7C5CC" w:rsidR="00E46192" w:rsidRPr="006F0B7F" w:rsidRDefault="00E46192" w:rsidP="00E93A2C">
      <w:pPr>
        <w:pStyle w:val="ListBullet"/>
      </w:pPr>
      <w:r w:rsidRPr="00E93A2C">
        <w:t>conditional on ongoing operational improvements, such as improvements to utility governance, better</w:t>
      </w:r>
      <w:r>
        <w:t xml:space="preserve"> service outcomes (based on performance benchmarking), </w:t>
      </w:r>
      <w:r w:rsidRPr="006F0B7F">
        <w:t>compliance with guidelines for system and contingency planning, or for pursuing collaboration.</w:t>
      </w:r>
    </w:p>
    <w:p w14:paraId="5C969A71" w14:textId="685E87BB" w:rsidR="00515F12" w:rsidRPr="00F43442" w:rsidRDefault="00E94382" w:rsidP="00F63966">
      <w:pPr>
        <w:pStyle w:val="Heading3"/>
      </w:pPr>
      <w:bookmarkStart w:id="28" w:name="_Toc62043660"/>
      <w:r>
        <w:t>4.2</w:t>
      </w:r>
      <w:r>
        <w:tab/>
      </w:r>
      <w:r w:rsidR="00B37722">
        <w:t xml:space="preserve">Governance and </w:t>
      </w:r>
      <w:r w:rsidR="00DB7928">
        <w:t>e</w:t>
      </w:r>
      <w:r w:rsidR="004C073B">
        <w:t xml:space="preserve">conomic </w:t>
      </w:r>
      <w:r w:rsidR="00DD1A5F" w:rsidRPr="00F43442">
        <w:t>oversight</w:t>
      </w:r>
      <w:r w:rsidR="00947FBB">
        <w:t xml:space="preserve"> </w:t>
      </w:r>
      <w:r w:rsidR="00023531">
        <w:t xml:space="preserve">of </w:t>
      </w:r>
      <w:r w:rsidR="00947FBB">
        <w:t>regional and remote services</w:t>
      </w:r>
      <w:bookmarkEnd w:id="28"/>
    </w:p>
    <w:p w14:paraId="551D859C" w14:textId="4D1DBB4E" w:rsidR="002B2505" w:rsidRDefault="002B2505" w:rsidP="00E93A2C">
      <w:pPr>
        <w:pStyle w:val="Heading4"/>
        <w:spacing w:before="240"/>
      </w:pPr>
      <w:r w:rsidRPr="002B2505">
        <w:t>Many concerns with regional service</w:t>
      </w:r>
      <w:r w:rsidR="0074675D">
        <w:t xml:space="preserve"> provision </w:t>
      </w:r>
      <w:r w:rsidR="00F02CA3">
        <w:t xml:space="preserve">stem from </w:t>
      </w:r>
      <w:r w:rsidR="0074675D">
        <w:t>governance</w:t>
      </w:r>
    </w:p>
    <w:p w14:paraId="60479FF3" w14:textId="39B37047" w:rsidR="007756ED" w:rsidRDefault="0023046A" w:rsidP="001947CB">
      <w:pPr>
        <w:pStyle w:val="BodyText"/>
        <w:keepNext/>
      </w:pPr>
      <w:r>
        <w:t xml:space="preserve">A longstanding principle </w:t>
      </w:r>
      <w:r w:rsidR="00716645">
        <w:t xml:space="preserve">in </w:t>
      </w:r>
      <w:r>
        <w:t xml:space="preserve">the </w:t>
      </w:r>
      <w:r w:rsidR="00716645">
        <w:t xml:space="preserve">urban </w:t>
      </w:r>
      <w:r>
        <w:t>water sector is</w:t>
      </w:r>
      <w:r w:rsidR="0047176A">
        <w:t xml:space="preserve"> that</w:t>
      </w:r>
      <w:r>
        <w:t xml:space="preserve"> </w:t>
      </w:r>
      <w:r w:rsidR="001A0072">
        <w:t>of institutional separation</w:t>
      </w:r>
      <w:r w:rsidR="006A3988">
        <w:t>:</w:t>
      </w:r>
      <w:r w:rsidR="001A0072">
        <w:t xml:space="preserve"> </w:t>
      </w:r>
      <w:r w:rsidR="00FF1D03">
        <w:t xml:space="preserve">service providers should focus on </w:t>
      </w:r>
      <w:r w:rsidR="00716645">
        <w:t>delivering water services at the lowest cost</w:t>
      </w:r>
      <w:r>
        <w:t>,</w:t>
      </w:r>
      <w:r w:rsidR="00FF1D03">
        <w:t xml:space="preserve"> </w:t>
      </w:r>
      <w:r>
        <w:t xml:space="preserve">according to </w:t>
      </w:r>
      <w:r w:rsidR="00FF1D03">
        <w:t>commercial objectives</w:t>
      </w:r>
      <w:r w:rsidR="006A3988">
        <w:t xml:space="preserve">, </w:t>
      </w:r>
      <w:r w:rsidR="00FA3296">
        <w:t>at an arm’s length from governments who set standards that providers must comply with</w:t>
      </w:r>
      <w:r w:rsidR="00FF1D03">
        <w:t xml:space="preserve">. </w:t>
      </w:r>
      <w:r w:rsidR="00716645">
        <w:t>However, t</w:t>
      </w:r>
      <w:r w:rsidR="0047176A">
        <w:t xml:space="preserve">his </w:t>
      </w:r>
      <w:r w:rsidR="00716645">
        <w:t xml:space="preserve">does </w:t>
      </w:r>
      <w:r w:rsidR="0047176A">
        <w:t xml:space="preserve">not always </w:t>
      </w:r>
      <w:r w:rsidR="00716645">
        <w:t>occur</w:t>
      </w:r>
      <w:r w:rsidR="0047176A">
        <w:t xml:space="preserve">; governments can impose implicit policy obligations on </w:t>
      </w:r>
      <w:proofErr w:type="gramStart"/>
      <w:r w:rsidR="0047176A">
        <w:t>utilities, or</w:t>
      </w:r>
      <w:proofErr w:type="gramEnd"/>
      <w:r w:rsidR="0047176A">
        <w:t xml:space="preserve"> direct them to undertake non</w:t>
      </w:r>
      <w:r w:rsidR="0047176A">
        <w:noBreakHyphen/>
        <w:t>commercial activities</w:t>
      </w:r>
      <w:r w:rsidR="00EF4637">
        <w:t xml:space="preserve"> without compensation</w:t>
      </w:r>
      <w:r w:rsidR="00FF1D03">
        <w:t>. Such g</w:t>
      </w:r>
      <w:r w:rsidR="007756ED">
        <w:t xml:space="preserve">overnance challenges </w:t>
      </w:r>
      <w:r w:rsidR="001A0072">
        <w:t>are</w:t>
      </w:r>
      <w:r w:rsidR="007756ED">
        <w:t xml:space="preserve"> acute in major cities</w:t>
      </w:r>
      <w:r w:rsidR="001A0072">
        <w:t xml:space="preserve"> but also in regional areas,</w:t>
      </w:r>
      <w:r w:rsidR="007756ED">
        <w:t xml:space="preserve"> particularly where:</w:t>
      </w:r>
    </w:p>
    <w:p w14:paraId="35895D42" w14:textId="2C7B8E35" w:rsidR="007756ED" w:rsidRDefault="007756ED" w:rsidP="007756ED">
      <w:pPr>
        <w:pStyle w:val="ListBullet"/>
      </w:pPr>
      <w:r>
        <w:t>utilities are owned and/or operated by local governments, but subject to State government standards (</w:t>
      </w:r>
      <w:r w:rsidR="007B6FB0">
        <w:t>such as environmental and</w:t>
      </w:r>
      <w:r>
        <w:t xml:space="preserve"> health</w:t>
      </w:r>
      <w:r w:rsidR="007B6FB0">
        <w:t xml:space="preserve"> standards</w:t>
      </w:r>
      <w:r>
        <w:t>)</w:t>
      </w:r>
      <w:r w:rsidR="00FF1D03">
        <w:t xml:space="preserve"> and without economic </w:t>
      </w:r>
      <w:proofErr w:type="gramStart"/>
      <w:r w:rsidR="00FF1D03">
        <w:t>oversight</w:t>
      </w:r>
      <w:proofErr w:type="gramEnd"/>
    </w:p>
    <w:p w14:paraId="00BB4CBD" w14:textId="222F5C46" w:rsidR="00B86F85" w:rsidRDefault="001A0072" w:rsidP="00B86F85">
      <w:pPr>
        <w:pStyle w:val="ListBullet2"/>
      </w:pPr>
      <w:r>
        <w:t>S</w:t>
      </w:r>
      <w:r w:rsidR="00B86F85">
        <w:t>tate government departments can be</w:t>
      </w:r>
      <w:r w:rsidR="00716645">
        <w:t xml:space="preserve"> conflicted in</w:t>
      </w:r>
      <w:r w:rsidR="00B86F85">
        <w:t xml:space="preserve"> simultaneously </w:t>
      </w:r>
      <w:r w:rsidR="00716645">
        <w:t xml:space="preserve">enforcing </w:t>
      </w:r>
      <w:r w:rsidR="00B86F85">
        <w:t>performance standards</w:t>
      </w:r>
      <w:r w:rsidR="00716645">
        <w:t xml:space="preserve"> on utilities</w:t>
      </w:r>
      <w:r w:rsidR="00B86F85">
        <w:t xml:space="preserve">, while </w:t>
      </w:r>
      <w:r w:rsidR="00716645">
        <w:t xml:space="preserve">also </w:t>
      </w:r>
      <w:r w:rsidR="00B86F85">
        <w:t>trying to build the capacity of small providers to meet those standards</w:t>
      </w:r>
      <w:r w:rsidR="00716645">
        <w:t>.</w:t>
      </w:r>
    </w:p>
    <w:p w14:paraId="0E14E79E" w14:textId="0BCB9BAC" w:rsidR="00716645" w:rsidRDefault="00716645" w:rsidP="00716645">
      <w:pPr>
        <w:pStyle w:val="ListBullet3"/>
      </w:pPr>
      <w:r>
        <w:t xml:space="preserve">The New South Wales Audit Office (2020, p. 17) observed, in the case of the </w:t>
      </w:r>
      <w:r w:rsidR="00D63DE9">
        <w:t>New South Wales</w:t>
      </w:r>
      <w:r>
        <w:t xml:space="preserve"> </w:t>
      </w:r>
      <w:r w:rsidR="00EC21AD">
        <w:t>government</w:t>
      </w:r>
      <w:r>
        <w:t xml:space="preserve">, </w:t>
      </w:r>
      <w:r w:rsidRPr="00716645">
        <w:t xml:space="preserve">‘a lack of accountability in why and consistency in how the department undertakes its dual responsibilities to oversee and support </w:t>
      </w:r>
      <w:r>
        <w:t>[local water utilities]</w:t>
      </w:r>
      <w:r w:rsidRPr="00716645">
        <w:t>’</w:t>
      </w:r>
      <w:r>
        <w:t>.</w:t>
      </w:r>
    </w:p>
    <w:p w14:paraId="46B2A3B5" w14:textId="59398F13" w:rsidR="00843408" w:rsidRDefault="00925401" w:rsidP="00BA1B39">
      <w:pPr>
        <w:pStyle w:val="ListBullet"/>
      </w:pPr>
      <w:r>
        <w:t>l</w:t>
      </w:r>
      <w:r w:rsidR="00843408">
        <w:t xml:space="preserve">ocal government and utility finances and operations are not always </w:t>
      </w:r>
      <w:proofErr w:type="gramStart"/>
      <w:r w:rsidR="00843408">
        <w:t>separated</w:t>
      </w:r>
      <w:proofErr w:type="gramEnd"/>
    </w:p>
    <w:p w14:paraId="46A4089F" w14:textId="2872AA99" w:rsidR="00843408" w:rsidRDefault="00843408" w:rsidP="00D533C2">
      <w:pPr>
        <w:pStyle w:val="ListBullet2"/>
      </w:pPr>
      <w:r>
        <w:lastRenderedPageBreak/>
        <w:t>In Queensland, ‘</w:t>
      </w:r>
      <w:r w:rsidRPr="00AE431B">
        <w:t>the financial performance of most service providers is intricately linked with their owner councils, making it difficult to assess the financial performance of the water supply operations specifically</w:t>
      </w:r>
      <w:r>
        <w:t xml:space="preserve">’ </w:t>
      </w:r>
      <w:r w:rsidR="00610696" w:rsidRPr="00610696">
        <w:rPr>
          <w:szCs w:val="24"/>
        </w:rPr>
        <w:t>(</w:t>
      </w:r>
      <w:proofErr w:type="spellStart"/>
      <w:r w:rsidR="00610696" w:rsidRPr="00610696">
        <w:rPr>
          <w:szCs w:val="24"/>
        </w:rPr>
        <w:t>qldwater</w:t>
      </w:r>
      <w:proofErr w:type="spellEnd"/>
      <w:r w:rsidR="00610696" w:rsidRPr="00610696">
        <w:rPr>
          <w:szCs w:val="24"/>
        </w:rPr>
        <w:t> 2019, p. 22)</w:t>
      </w:r>
      <w:r>
        <w:t>.</w:t>
      </w:r>
    </w:p>
    <w:p w14:paraId="71D0BC32" w14:textId="6D1C48AC" w:rsidR="00725D5D" w:rsidRDefault="001A0072" w:rsidP="00BA1B39">
      <w:pPr>
        <w:pStyle w:val="ListBullet"/>
      </w:pPr>
      <w:r>
        <w:t xml:space="preserve">State </w:t>
      </w:r>
      <w:r w:rsidR="00213303">
        <w:t xml:space="preserve">and Territory </w:t>
      </w:r>
      <w:r w:rsidR="00E431AD">
        <w:t>G</w:t>
      </w:r>
      <w:r>
        <w:t xml:space="preserve">overnments </w:t>
      </w:r>
      <w:r w:rsidR="00213303">
        <w:t xml:space="preserve">act as </w:t>
      </w:r>
      <w:r>
        <w:t>a provider of last resort</w:t>
      </w:r>
      <w:r w:rsidR="00213303">
        <w:t xml:space="preserve">, creating a moral hazard that </w:t>
      </w:r>
      <w:r>
        <w:t xml:space="preserve">can undermine incentives for </w:t>
      </w:r>
      <w:r w:rsidR="00213303">
        <w:t xml:space="preserve">extreme event </w:t>
      </w:r>
      <w:r>
        <w:t>planning, as well as enabling utilities to prioritise short</w:t>
      </w:r>
      <w:r>
        <w:noBreakHyphen/>
        <w:t xml:space="preserve">term </w:t>
      </w:r>
      <w:r w:rsidR="00213303">
        <w:t xml:space="preserve">affordability concerns </w:t>
      </w:r>
      <w:r>
        <w:t>over long</w:t>
      </w:r>
      <w:r>
        <w:noBreakHyphen/>
        <w:t xml:space="preserve">term </w:t>
      </w:r>
      <w:r w:rsidR="00213303">
        <w:t xml:space="preserve">investment </w:t>
      </w:r>
      <w:proofErr w:type="gramStart"/>
      <w:r w:rsidR="00213303">
        <w:t>priorities</w:t>
      </w:r>
      <w:proofErr w:type="gramEnd"/>
    </w:p>
    <w:p w14:paraId="0F67DD72" w14:textId="1C705CED" w:rsidR="00852B1B" w:rsidRDefault="00925401" w:rsidP="007756ED">
      <w:pPr>
        <w:pStyle w:val="ListBullet"/>
      </w:pPr>
      <w:r>
        <w:t xml:space="preserve">multiple </w:t>
      </w:r>
      <w:r w:rsidR="007756ED">
        <w:t>departments or service delivery agencies</w:t>
      </w:r>
      <w:r w:rsidR="007B6FB0">
        <w:t xml:space="preserve"> operate in remote communities, including municipal services, housing services, and </w:t>
      </w:r>
      <w:r w:rsidR="00E96224">
        <w:t xml:space="preserve">community </w:t>
      </w:r>
      <w:r w:rsidR="001A0072">
        <w:t xml:space="preserve">development services, leading to unclear responsibilities, </w:t>
      </w:r>
      <w:proofErr w:type="gramStart"/>
      <w:r w:rsidR="001A0072">
        <w:t>funding</w:t>
      </w:r>
      <w:proofErr w:type="gramEnd"/>
      <w:r w:rsidR="001A0072">
        <w:t xml:space="preserve"> and ownership of assets</w:t>
      </w:r>
      <w:r w:rsidR="00E96224">
        <w:t>.</w:t>
      </w:r>
      <w:r w:rsidR="000E67D6">
        <w:t xml:space="preserve"> (This is considered in section </w:t>
      </w:r>
      <w:r w:rsidR="0044540E">
        <w:t>5</w:t>
      </w:r>
      <w:r w:rsidR="008D6A72">
        <w:t>.</w:t>
      </w:r>
      <w:r w:rsidR="000E67D6">
        <w:t>)</w:t>
      </w:r>
    </w:p>
    <w:p w14:paraId="54ED6405" w14:textId="77777777" w:rsidR="00A72F06" w:rsidRDefault="007B6FB0" w:rsidP="00665F9B">
      <w:pPr>
        <w:pStyle w:val="BodyText"/>
      </w:pPr>
      <w:r w:rsidRPr="007B6FB0">
        <w:t>In each case, there needs to be clarity on the roles and responsibilities of different actors</w:t>
      </w:r>
      <w:r w:rsidR="0047176A">
        <w:t xml:space="preserve"> </w:t>
      </w:r>
      <w:r w:rsidR="00213303">
        <w:t>to ensure a clear point of accountability for delivering regional and remote water services.</w:t>
      </w:r>
    </w:p>
    <w:p w14:paraId="25621165" w14:textId="213839F1" w:rsidR="002B2505" w:rsidRDefault="00F838A0" w:rsidP="00665F9B">
      <w:pPr>
        <w:pStyle w:val="Heading4"/>
      </w:pPr>
      <w:r>
        <w:t xml:space="preserve">At a minimum, </w:t>
      </w:r>
      <w:r w:rsidRPr="00665F9B">
        <w:t>financial</w:t>
      </w:r>
      <w:r>
        <w:t xml:space="preserve"> </w:t>
      </w:r>
      <w:r w:rsidR="00EF4637">
        <w:t xml:space="preserve">separation should apply to </w:t>
      </w:r>
      <w:r w:rsidR="007756ED">
        <w:t>local government</w:t>
      </w:r>
      <w:r w:rsidR="00EF4637">
        <w:t xml:space="preserve"> </w:t>
      </w:r>
      <w:proofErr w:type="gramStart"/>
      <w:r w:rsidR="00EF4637">
        <w:t>utilities</w:t>
      </w:r>
      <w:proofErr w:type="gramEnd"/>
      <w:r w:rsidR="00EF4637">
        <w:t xml:space="preserve"> </w:t>
      </w:r>
    </w:p>
    <w:p w14:paraId="08ABFFA3" w14:textId="00B58ED5" w:rsidR="00EF4637" w:rsidRDefault="00843408" w:rsidP="00665F9B">
      <w:pPr>
        <w:pStyle w:val="BodyText"/>
      </w:pPr>
      <w:r w:rsidRPr="00E9545B">
        <w:t>More could be done to ensure a clear accountability between State and local governments</w:t>
      </w:r>
      <w:r w:rsidR="00EF4637">
        <w:t>, and between local governments and their water businesses</w:t>
      </w:r>
      <w:r w:rsidR="005B624F">
        <w:t>, where regional utilities are owned by local governments.</w:t>
      </w:r>
    </w:p>
    <w:p w14:paraId="1005C344" w14:textId="43A18912" w:rsidR="00EF4637" w:rsidRDefault="006371A0" w:rsidP="00665F9B">
      <w:pPr>
        <w:pStyle w:val="BodyText"/>
      </w:pPr>
      <w:r>
        <w:t>L</w:t>
      </w:r>
      <w:r w:rsidR="00AE431B">
        <w:t xml:space="preserve">ocal water utility operations should be </w:t>
      </w:r>
      <w:r w:rsidR="00843408">
        <w:t xml:space="preserve">made </w:t>
      </w:r>
      <w:r w:rsidR="00AE431B">
        <w:t>financially distinct from their local government owners</w:t>
      </w:r>
      <w:r w:rsidR="00843408">
        <w:t>, to ensure</w:t>
      </w:r>
      <w:r w:rsidR="00EF4637">
        <w:t xml:space="preserve"> scrutiny on</w:t>
      </w:r>
      <w:r w:rsidR="00843408">
        <w:t xml:space="preserve"> operation</w:t>
      </w:r>
      <w:r w:rsidR="00EF4637">
        <w:t>al performance</w:t>
      </w:r>
      <w:r w:rsidR="00843408">
        <w:t xml:space="preserve">, </w:t>
      </w:r>
      <w:r w:rsidR="00EF4637">
        <w:t xml:space="preserve">transparent </w:t>
      </w:r>
      <w:r w:rsidR="00843408">
        <w:t>cross</w:t>
      </w:r>
      <w:r w:rsidR="00843408">
        <w:noBreakHyphen/>
        <w:t xml:space="preserve">subsidies, and to allow for better assessment of the costs and financial sustainability of regional and remote water supply systems. </w:t>
      </w:r>
      <w:r w:rsidR="00EF4637">
        <w:t xml:space="preserve">Ideally, this should constitute </w:t>
      </w:r>
      <w:r w:rsidR="00843408">
        <w:t>operational separation</w:t>
      </w:r>
      <w:r w:rsidR="00EF4637">
        <w:t xml:space="preserve"> — although this may not be worthwhile for smaller providers </w:t>
      </w:r>
      <w:r w:rsidR="00217B8A">
        <w:t>where</w:t>
      </w:r>
      <w:r w:rsidR="00843408">
        <w:t xml:space="preserve"> economies of scope exist between water service provision and other local government operations.</w:t>
      </w:r>
      <w:r w:rsidR="00286A9B">
        <w:t xml:space="preserve"> </w:t>
      </w:r>
    </w:p>
    <w:p w14:paraId="77CD4A0E" w14:textId="271446E4" w:rsidR="00A72F06" w:rsidRDefault="00EF4637" w:rsidP="00665F9B">
      <w:pPr>
        <w:pStyle w:val="BodyText"/>
      </w:pPr>
      <w:r>
        <w:t>But a</w:t>
      </w:r>
      <w:r w:rsidR="006371A0">
        <w:t>t a minimum</w:t>
      </w:r>
      <w:r w:rsidR="009A31D9">
        <w:t>,</w:t>
      </w:r>
      <w:r w:rsidR="006371A0">
        <w:t xml:space="preserve"> this requires that </w:t>
      </w:r>
      <w:r w:rsidR="00286A9B">
        <w:t xml:space="preserve">water functions </w:t>
      </w:r>
      <w:proofErr w:type="gramStart"/>
      <w:r w:rsidR="006371A0">
        <w:t>are</w:t>
      </w:r>
      <w:proofErr w:type="gramEnd"/>
      <w:r w:rsidR="00286A9B">
        <w:t xml:space="preserve"> financially ring</w:t>
      </w:r>
      <w:r w:rsidR="00286A9B">
        <w:noBreakHyphen/>
        <w:t>fenced from other local government operations, and any cross</w:t>
      </w:r>
      <w:r w:rsidR="00286A9B">
        <w:noBreakHyphen/>
        <w:t xml:space="preserve">subsidies between water services and other local government operations </w:t>
      </w:r>
      <w:r w:rsidR="006371A0">
        <w:t>are</w:t>
      </w:r>
      <w:r w:rsidR="00286A9B">
        <w:t xml:space="preserve"> explicit.</w:t>
      </w:r>
      <w:r>
        <w:t xml:space="preserve"> </w:t>
      </w:r>
    </w:p>
    <w:p w14:paraId="5E5973D8" w14:textId="4FEFF0E7" w:rsidR="00852B1B" w:rsidRDefault="00843408" w:rsidP="00665F9B">
      <w:pPr>
        <w:pStyle w:val="BodyText"/>
      </w:pPr>
      <w:r>
        <w:t>Further, clearer arrangements</w:t>
      </w:r>
      <w:r w:rsidR="00EF4637">
        <w:t xml:space="preserve"> are needed </w:t>
      </w:r>
      <w:r w:rsidR="005B624F">
        <w:t xml:space="preserve">to specify the responsibilities of </w:t>
      </w:r>
      <w:r w:rsidR="00EF4637">
        <w:t xml:space="preserve">local and State governments. </w:t>
      </w:r>
      <w:r w:rsidR="005B624F">
        <w:t xml:space="preserve">This includes clarifying the role of the State Governments in setting and enforcing standards, building capacity, maintaining a basic level of service and (if applicable) operating as a provider of last resort </w:t>
      </w:r>
      <w:r>
        <w:t>during extreme events</w:t>
      </w:r>
      <w:r w:rsidR="00286A9B">
        <w:t xml:space="preserve"> </w:t>
      </w:r>
      <w:r w:rsidR="005B624F">
        <w:t xml:space="preserve">(which </w:t>
      </w:r>
      <w:r w:rsidR="00286A9B">
        <w:t xml:space="preserve">should be clearly laid out in </w:t>
      </w:r>
      <w:r w:rsidR="005B624F">
        <w:t xml:space="preserve">water system contingency plans as </w:t>
      </w:r>
      <w:r w:rsidR="00286A9B">
        <w:t xml:space="preserve">discussed above). </w:t>
      </w:r>
    </w:p>
    <w:p w14:paraId="512B3D1A" w14:textId="5158FFC8" w:rsidR="00B37722" w:rsidRDefault="002B2505" w:rsidP="00E05196">
      <w:pPr>
        <w:pStyle w:val="Heading4"/>
      </w:pPr>
      <w:r>
        <w:t>E</w:t>
      </w:r>
      <w:r w:rsidR="00B37722">
        <w:t>conomic oversight</w:t>
      </w:r>
      <w:r>
        <w:t xml:space="preserve"> could be </w:t>
      </w:r>
      <w:r w:rsidR="00AF6086">
        <w:t xml:space="preserve">more widely </w:t>
      </w:r>
      <w:proofErr w:type="gramStart"/>
      <w:r w:rsidR="00AF6086">
        <w:t>implemented</w:t>
      </w:r>
      <w:proofErr w:type="gramEnd"/>
    </w:p>
    <w:p w14:paraId="0A9C6E10" w14:textId="4763E181" w:rsidR="00CB68AE" w:rsidRPr="002B2505" w:rsidRDefault="004D66CF" w:rsidP="00665F9B">
      <w:pPr>
        <w:pStyle w:val="BodyText"/>
      </w:pPr>
      <w:r w:rsidRPr="00610696">
        <w:t>S</w:t>
      </w:r>
      <w:r w:rsidR="00103A1C" w:rsidRPr="00610696">
        <w:t>P</w:t>
      </w:r>
      <w:r w:rsidR="00731B11">
        <w:t> </w:t>
      </w:r>
      <w:r w:rsidR="00610696">
        <w:t>F</w:t>
      </w:r>
      <w:r w:rsidR="00103A1C" w:rsidRPr="00103A1C">
        <w:rPr>
          <w:i/>
        </w:rPr>
        <w:t> </w:t>
      </w:r>
      <w:r w:rsidR="00B461F3">
        <w:rPr>
          <w:i/>
        </w:rPr>
        <w:t>Urban</w:t>
      </w:r>
      <w:r w:rsidR="00103A1C">
        <w:t xml:space="preserve"> outlined the </w:t>
      </w:r>
      <w:r w:rsidR="00B461F3">
        <w:t xml:space="preserve">importance </w:t>
      </w:r>
      <w:r w:rsidR="00103A1C">
        <w:t xml:space="preserve">of </w:t>
      </w:r>
      <w:r w:rsidR="006A4585">
        <w:t xml:space="preserve">independent </w:t>
      </w:r>
      <w:r w:rsidR="00103A1C">
        <w:t xml:space="preserve">economic regulation </w:t>
      </w:r>
      <w:r w:rsidR="00B461F3">
        <w:t xml:space="preserve">in the </w:t>
      </w:r>
      <w:r w:rsidR="00103A1C">
        <w:t xml:space="preserve">water </w:t>
      </w:r>
      <w:r w:rsidR="00B461F3">
        <w:t>sector</w:t>
      </w:r>
      <w:r w:rsidR="00FA218B">
        <w:t xml:space="preserve">, </w:t>
      </w:r>
      <w:r w:rsidR="00BA1B39">
        <w:t>including principles of bes</w:t>
      </w:r>
      <w:r w:rsidR="00C4023F">
        <w:t>t</w:t>
      </w:r>
      <w:r w:rsidR="00C4023F">
        <w:noBreakHyphen/>
        <w:t>practice economic regulation.</w:t>
      </w:r>
    </w:p>
    <w:p w14:paraId="0072C798" w14:textId="2A3ACC0C" w:rsidR="00F26F4C" w:rsidRDefault="001947CB" w:rsidP="00665F9B">
      <w:pPr>
        <w:pStyle w:val="BodyText"/>
      </w:pPr>
      <w:r>
        <w:t>Economic oversight of</w:t>
      </w:r>
      <w:r w:rsidR="00CB68AE">
        <w:t xml:space="preserve"> large utilities</w:t>
      </w:r>
      <w:r>
        <w:t xml:space="preserve"> usually occurs </w:t>
      </w:r>
      <w:r w:rsidR="00FF1D03">
        <w:t xml:space="preserve">through processes that set, </w:t>
      </w:r>
      <w:proofErr w:type="gramStart"/>
      <w:r w:rsidR="00CB68AE">
        <w:t>recommend</w:t>
      </w:r>
      <w:proofErr w:type="gramEnd"/>
      <w:r w:rsidR="00CB68AE">
        <w:t xml:space="preserve"> </w:t>
      </w:r>
      <w:r w:rsidR="00FF1D03">
        <w:t xml:space="preserve">or monitor </w:t>
      </w:r>
      <w:r w:rsidR="00CB68AE">
        <w:t>prices</w:t>
      </w:r>
      <w:r w:rsidR="00952026">
        <w:t xml:space="preserve"> or revenues</w:t>
      </w:r>
      <w:r w:rsidR="00CB68AE">
        <w:t xml:space="preserve">, as well as </w:t>
      </w:r>
      <w:r w:rsidR="00FF1D03">
        <w:t xml:space="preserve">public </w:t>
      </w:r>
      <w:r w:rsidR="00CB68AE">
        <w:t>scrutiny of</w:t>
      </w:r>
      <w:r w:rsidR="00FF1D03">
        <w:t xml:space="preserve"> capital investment decisions </w:t>
      </w:r>
      <w:r w:rsidR="00FF1D03">
        <w:lastRenderedPageBreak/>
        <w:t>through pricing submissions.</w:t>
      </w:r>
      <w:r>
        <w:t xml:space="preserve"> This type of oversight is not generally applied to smaller providers</w:t>
      </w:r>
      <w:r w:rsidR="00023531">
        <w:t xml:space="preserve"> </w:t>
      </w:r>
      <w:r w:rsidR="00CB68AE">
        <w:t>becau</w:t>
      </w:r>
      <w:r w:rsidR="00AE431B">
        <w:t xml:space="preserve">se </w:t>
      </w:r>
      <w:r w:rsidR="00AE431B" w:rsidRPr="00B37722">
        <w:t xml:space="preserve">the </w:t>
      </w:r>
      <w:r w:rsidR="00AE431B">
        <w:t xml:space="preserve">high </w:t>
      </w:r>
      <w:r w:rsidR="00AE431B" w:rsidRPr="00B37722">
        <w:t xml:space="preserve">costs of implementing </w:t>
      </w:r>
      <w:r w:rsidR="001A0072">
        <w:t>such a</w:t>
      </w:r>
      <w:r w:rsidR="00AE431B" w:rsidRPr="00B37722">
        <w:t xml:space="preserve"> regime are likely to </w:t>
      </w:r>
      <w:r w:rsidR="00AE431B">
        <w:t xml:space="preserve">exceed </w:t>
      </w:r>
      <w:r w:rsidR="001A0072">
        <w:t xml:space="preserve">the </w:t>
      </w:r>
      <w:r w:rsidR="00AE431B" w:rsidRPr="00B37722">
        <w:t>benefits</w:t>
      </w:r>
      <w:r>
        <w:t xml:space="preserve"> —</w:t>
      </w:r>
      <w:r w:rsidR="00BA1B39">
        <w:t xml:space="preserve"> the </w:t>
      </w:r>
      <w:r w:rsidR="00843408">
        <w:t xml:space="preserve">overall </w:t>
      </w:r>
      <w:r w:rsidR="004D7D3A">
        <w:t xml:space="preserve">consequences </w:t>
      </w:r>
      <w:r w:rsidR="00BA1B39">
        <w:t>of a local utility expl</w:t>
      </w:r>
      <w:r w:rsidR="00843408">
        <w:t xml:space="preserve">oiting market power </w:t>
      </w:r>
      <w:r w:rsidR="004D7D3A">
        <w:t xml:space="preserve">can be </w:t>
      </w:r>
      <w:r w:rsidR="00843408">
        <w:t>relatively</w:t>
      </w:r>
      <w:r w:rsidR="00BA1B39">
        <w:t xml:space="preserve"> </w:t>
      </w:r>
      <w:r w:rsidR="004D7D3A">
        <w:t>minor</w:t>
      </w:r>
      <w:r w:rsidR="00AE431B" w:rsidRPr="00B37722">
        <w:t xml:space="preserve">. </w:t>
      </w:r>
      <w:r w:rsidR="00023531" w:rsidRPr="00B37722">
        <w:t xml:space="preserve">Yet </w:t>
      </w:r>
      <w:r w:rsidR="00C10688">
        <w:t>small regional</w:t>
      </w:r>
      <w:r w:rsidR="00C10688" w:rsidRPr="00B37722">
        <w:t xml:space="preserve"> </w:t>
      </w:r>
      <w:r w:rsidR="00023531" w:rsidRPr="00B37722">
        <w:t xml:space="preserve">water utilities </w:t>
      </w:r>
      <w:r w:rsidR="00C10688">
        <w:t xml:space="preserve">still </w:t>
      </w:r>
      <w:r w:rsidR="00023531" w:rsidRPr="00B37722">
        <w:t>function as monopolies</w:t>
      </w:r>
      <w:r w:rsidR="00BA1B39">
        <w:t xml:space="preserve">: there is no </w:t>
      </w:r>
      <w:r w:rsidR="001A0072">
        <w:t xml:space="preserve">commercial pressure to spur </w:t>
      </w:r>
      <w:r>
        <w:t xml:space="preserve">improved </w:t>
      </w:r>
      <w:r w:rsidR="001A0072">
        <w:t xml:space="preserve">performance, </w:t>
      </w:r>
      <w:r w:rsidR="00BA1B39">
        <w:t xml:space="preserve">and </w:t>
      </w:r>
      <w:r w:rsidR="00843408">
        <w:t>they can have</w:t>
      </w:r>
      <w:r w:rsidR="00BA1B39">
        <w:t xml:space="preserve"> </w:t>
      </w:r>
      <w:r w:rsidR="00AE431B">
        <w:t xml:space="preserve">an incentive </w:t>
      </w:r>
      <w:r w:rsidR="00023531" w:rsidRPr="00B37722">
        <w:t>to prioritise short</w:t>
      </w:r>
      <w:r w:rsidR="00023531" w:rsidRPr="00B37722">
        <w:noBreakHyphen/>
        <w:t>term affordability (</w:t>
      </w:r>
      <w:r w:rsidR="00843408">
        <w:t>due to community pressure</w:t>
      </w:r>
      <w:r w:rsidR="00023531" w:rsidRPr="00B37722">
        <w:t>) over longer</w:t>
      </w:r>
      <w:r w:rsidR="00023531" w:rsidRPr="00B37722">
        <w:noBreakHyphen/>
        <w:t xml:space="preserve">term investments in water security — a temptation worsened by the </w:t>
      </w:r>
      <w:r w:rsidR="00B37722" w:rsidRPr="00B37722">
        <w:t xml:space="preserve">position of </w:t>
      </w:r>
      <w:r w:rsidR="00023531" w:rsidRPr="00B37722">
        <w:t xml:space="preserve">State </w:t>
      </w:r>
      <w:r w:rsidR="00505C60">
        <w:t>G</w:t>
      </w:r>
      <w:r w:rsidR="00023531" w:rsidRPr="00B37722">
        <w:t xml:space="preserve">overnments </w:t>
      </w:r>
      <w:r w:rsidR="001A0072">
        <w:t>as a provider of last resort.</w:t>
      </w:r>
    </w:p>
    <w:p w14:paraId="51BAE799" w14:textId="589814F7" w:rsidR="00852B1B" w:rsidRDefault="00843408" w:rsidP="00665F9B">
      <w:pPr>
        <w:pStyle w:val="BodyText"/>
      </w:pPr>
      <w:r>
        <w:t xml:space="preserve">In practice, economic oversight </w:t>
      </w:r>
      <w:r w:rsidR="00037BB8">
        <w:t xml:space="preserve">of small providers </w:t>
      </w:r>
      <w:r w:rsidR="00286A9B">
        <w:t xml:space="preserve">is </w:t>
      </w:r>
      <w:r w:rsidR="00037BB8">
        <w:t>minimal</w:t>
      </w:r>
      <w:r w:rsidR="00286A9B">
        <w:t xml:space="preserve"> </w:t>
      </w:r>
      <w:r w:rsidR="00952026">
        <w:t>(or non</w:t>
      </w:r>
      <w:r w:rsidR="00952026">
        <w:noBreakHyphen/>
        <w:t xml:space="preserve">existent) </w:t>
      </w:r>
      <w:r w:rsidR="00286A9B">
        <w:t>in some jurisdictions</w:t>
      </w:r>
      <w:r w:rsidR="00037BB8">
        <w:t>. I</w:t>
      </w:r>
      <w:r w:rsidR="00AE431B" w:rsidRPr="00E64FC1">
        <w:t>n New South Wales and Queensland</w:t>
      </w:r>
      <w:r w:rsidR="00037BB8">
        <w:t xml:space="preserve">, </w:t>
      </w:r>
      <w:r w:rsidR="00AE431B" w:rsidRPr="00E64FC1">
        <w:t xml:space="preserve">the </w:t>
      </w:r>
      <w:r>
        <w:t xml:space="preserve">utility </w:t>
      </w:r>
      <w:r w:rsidR="00AE431B" w:rsidRPr="00E64FC1">
        <w:t xml:space="preserve">performance </w:t>
      </w:r>
      <w:r w:rsidR="00037BB8">
        <w:t>data</w:t>
      </w:r>
      <w:r>
        <w:t xml:space="preserve"> collected by State governments</w:t>
      </w:r>
      <w:r w:rsidR="00286A9B">
        <w:t xml:space="preserve"> provides a basic level of oversight</w:t>
      </w:r>
      <w:r>
        <w:t xml:space="preserve">. </w:t>
      </w:r>
      <w:r w:rsidR="00286A9B">
        <w:t>But a</w:t>
      </w:r>
      <w:r w:rsidR="001A0072">
        <w:t>lthough</w:t>
      </w:r>
      <w:r w:rsidR="00AE431B" w:rsidRPr="00E64FC1">
        <w:t xml:space="preserve"> beneficial</w:t>
      </w:r>
      <w:r w:rsidR="00AE431B">
        <w:t xml:space="preserve"> </w:t>
      </w:r>
      <w:r w:rsidR="00286A9B">
        <w:t xml:space="preserve">in </w:t>
      </w:r>
      <w:r w:rsidR="00AE431B">
        <w:t>providing transparency on utility performance</w:t>
      </w:r>
      <w:r w:rsidR="00AE431B" w:rsidRPr="00E64FC1">
        <w:t xml:space="preserve">, </w:t>
      </w:r>
      <w:r w:rsidR="001A0072">
        <w:t>the system</w:t>
      </w:r>
      <w:r w:rsidR="00286A9B">
        <w:t>s</w:t>
      </w:r>
      <w:r w:rsidR="001A0072">
        <w:t xml:space="preserve"> </w:t>
      </w:r>
      <w:r w:rsidR="00286A9B">
        <w:t xml:space="preserve">are </w:t>
      </w:r>
      <w:r w:rsidR="00AE431B" w:rsidRPr="00E64FC1">
        <w:t>not independent</w:t>
      </w:r>
      <w:r w:rsidR="00AE431B">
        <w:t xml:space="preserve"> of policy</w:t>
      </w:r>
      <w:r w:rsidR="00AE431B">
        <w:noBreakHyphen/>
        <w:t xml:space="preserve">making and do not </w:t>
      </w:r>
      <w:r w:rsidR="00AE431B" w:rsidRPr="00E64FC1">
        <w:t xml:space="preserve">feed into </w:t>
      </w:r>
      <w:r w:rsidR="00AE431B">
        <w:t xml:space="preserve">formal </w:t>
      </w:r>
      <w:r w:rsidR="001947CB">
        <w:t xml:space="preserve">or public </w:t>
      </w:r>
      <w:r w:rsidR="00AE431B">
        <w:t>process</w:t>
      </w:r>
      <w:r w:rsidR="00286A9B">
        <w:t>es</w:t>
      </w:r>
      <w:r w:rsidR="00AE431B">
        <w:t xml:space="preserve"> </w:t>
      </w:r>
      <w:r w:rsidR="001947CB">
        <w:t xml:space="preserve">that </w:t>
      </w:r>
      <w:r w:rsidR="001A0072">
        <w:t>benchmark</w:t>
      </w:r>
      <w:r w:rsidR="00AE431B">
        <w:t xml:space="preserve"> util</w:t>
      </w:r>
      <w:r w:rsidR="001A0072">
        <w:t>ity performance and incentivise</w:t>
      </w:r>
      <w:r w:rsidR="009E1801">
        <w:t xml:space="preserve"> </w:t>
      </w:r>
      <w:r w:rsidR="00AE431B">
        <w:t>improvement.</w:t>
      </w:r>
      <w:r>
        <w:t xml:space="preserve"> </w:t>
      </w:r>
      <w:r w:rsidR="00AE431B">
        <w:t>As highlighted by the Commission in 2017, the performance data reported in New South Wales ‘have not</w:t>
      </w:r>
      <w:r w:rsidR="00AE431B" w:rsidRPr="00E64FC1">
        <w:t xml:space="preserve"> bee</w:t>
      </w:r>
      <w:r w:rsidR="00AE431B">
        <w:t xml:space="preserve">n adequately scrutinised to </w:t>
      </w:r>
      <w:r w:rsidR="00AE431B" w:rsidRPr="00E64FC1">
        <w:t>h</w:t>
      </w:r>
      <w:r w:rsidR="00AE431B">
        <w:t xml:space="preserve">ighlight areas where pricing practices have been </w:t>
      </w:r>
      <w:r w:rsidR="00AE431B" w:rsidRPr="00E64FC1">
        <w:t>deficient</w:t>
      </w:r>
      <w:r w:rsidR="00AE431B">
        <w:t xml:space="preserve">’ </w:t>
      </w:r>
      <w:r w:rsidR="00C1136F" w:rsidRPr="00C1136F">
        <w:rPr>
          <w:szCs w:val="24"/>
        </w:rPr>
        <w:t>(PC 2017b, p. 218)</w:t>
      </w:r>
      <w:r w:rsidR="00AE431B">
        <w:t>.</w:t>
      </w:r>
      <w:r w:rsidR="00C87CCA">
        <w:t xml:space="preserve"> This appears to still be the case.</w:t>
      </w:r>
    </w:p>
    <w:p w14:paraId="104F3175" w14:textId="11309E7B" w:rsidR="009815FB" w:rsidRDefault="004D7D3A" w:rsidP="00665F9B">
      <w:pPr>
        <w:pStyle w:val="BodyText"/>
      </w:pPr>
      <w:r>
        <w:t>J</w:t>
      </w:r>
      <w:r w:rsidRPr="00243418">
        <w:t>urisdictions should agree to a consistent assessment framework to inform decisions concerning the type of economic regulation</w:t>
      </w:r>
      <w:r>
        <w:t xml:space="preserve"> to apply</w:t>
      </w:r>
      <w:r w:rsidRPr="00243418">
        <w:t>, based on the risk (and potential impact) of a utility exploiting market power, and the cost</w:t>
      </w:r>
      <w:r>
        <w:t>s</w:t>
      </w:r>
      <w:r w:rsidRPr="00243418">
        <w:t xml:space="preserve"> </w:t>
      </w:r>
      <w:r>
        <w:t xml:space="preserve">to utilities and taxpayers </w:t>
      </w:r>
      <w:r w:rsidRPr="00243418">
        <w:t xml:space="preserve">of </w:t>
      </w:r>
      <w:r>
        <w:t xml:space="preserve">economic </w:t>
      </w:r>
      <w:r w:rsidRPr="00243418">
        <w:t>regulation</w:t>
      </w:r>
      <w:r>
        <w:t xml:space="preserve"> (particularly for smaller utilities)</w:t>
      </w:r>
      <w:r w:rsidR="009815FB">
        <w:t>.</w:t>
      </w:r>
      <w:r>
        <w:t xml:space="preserve"> </w:t>
      </w:r>
      <w:r w:rsidR="001F169E">
        <w:t>Th</w:t>
      </w:r>
      <w:r>
        <w:t>is</w:t>
      </w:r>
      <w:r w:rsidR="001F169E">
        <w:t xml:space="preserve"> should </w:t>
      </w:r>
      <w:r>
        <w:t xml:space="preserve">ensure that </w:t>
      </w:r>
      <w:r w:rsidR="001F169E">
        <w:t xml:space="preserve">‘light touch’ independent economic oversight </w:t>
      </w:r>
      <w:r>
        <w:t xml:space="preserve">is in place for </w:t>
      </w:r>
      <w:r w:rsidR="001F169E">
        <w:t>small providers</w:t>
      </w:r>
      <w:r w:rsidR="009815FB">
        <w:t xml:space="preserve"> (with greater scrutiny applied to larger providers).</w:t>
      </w:r>
    </w:p>
    <w:p w14:paraId="5ED88563" w14:textId="7F90329E" w:rsidR="004D7D3A" w:rsidRDefault="004D7D3A" w:rsidP="00665F9B">
      <w:pPr>
        <w:pStyle w:val="BodyText"/>
      </w:pPr>
      <w:r>
        <w:t>E</w:t>
      </w:r>
      <w:r w:rsidR="00037BB8">
        <w:t xml:space="preserve">conomic licencing of small providers could be </w:t>
      </w:r>
      <w:r w:rsidR="00952026">
        <w:t>more widely used</w:t>
      </w:r>
      <w:r>
        <w:t xml:space="preserve"> to provide assurance of utility capability</w:t>
      </w:r>
      <w:r w:rsidR="00037BB8">
        <w:t xml:space="preserve">. </w:t>
      </w:r>
      <w:r w:rsidR="00843408">
        <w:t>For example, t</w:t>
      </w:r>
      <w:r w:rsidR="00AE431B">
        <w:t xml:space="preserve">he Essential Services Commission of South Australia </w:t>
      </w:r>
      <w:r w:rsidR="00FD7CC3">
        <w:t xml:space="preserve">licenses </w:t>
      </w:r>
      <w:r w:rsidR="00AE431B">
        <w:t xml:space="preserve">small water and wastewater providers </w:t>
      </w:r>
      <w:r w:rsidR="00843408">
        <w:t>in that state</w:t>
      </w:r>
      <w:r w:rsidR="00C87CCA">
        <w:t xml:space="preserve"> </w:t>
      </w:r>
      <w:r w:rsidR="00AE431B">
        <w:t>to provide</w:t>
      </w:r>
      <w:r w:rsidR="00C87CCA">
        <w:t xml:space="preserve"> independent</w:t>
      </w:r>
      <w:r w:rsidR="00AE431B">
        <w:t xml:space="preserve"> assurance that the </w:t>
      </w:r>
      <w:r w:rsidR="00C87CCA">
        <w:t xml:space="preserve">provider </w:t>
      </w:r>
      <w:r w:rsidR="00AE431B">
        <w:t>is fit and capable of delivering services to a satisfactory standard (box </w:t>
      </w:r>
      <w:r w:rsidR="00610696" w:rsidRPr="00610696">
        <w:t>3</w:t>
      </w:r>
      <w:r w:rsidR="00AE431B">
        <w:t>)</w:t>
      </w:r>
      <w:r w:rsidR="00037BB8">
        <w:t>.</w:t>
      </w:r>
      <w:r>
        <w:t xml:space="preserve"> </w:t>
      </w:r>
    </w:p>
    <w:p w14:paraId="55CFCEE6" w14:textId="77777777" w:rsidR="007C6996" w:rsidRDefault="007C6996" w:rsidP="007C6996">
      <w:pPr>
        <w:pStyle w:val="BodyText"/>
      </w:pPr>
      <w:r>
        <w:t>Licensing ensures service providers are responsible for maintaining performance standards, which limits the need for State and Territory Governments to impose prescriptive requirements. Instead, State and Territory Governments can prioritise building local utility capacity (as discussed above in the context of regional collaboration), while the economic regulator ensures that minimum performance standards are being achieved by monitoring compliance with licence conditions.</w:t>
      </w:r>
    </w:p>
    <w:p w14:paraId="204131D0" w14:textId="77777777" w:rsidR="007C6996" w:rsidRDefault="007C6996" w:rsidP="007C6996">
      <w:pPr>
        <w:pStyle w:val="BodyText"/>
      </w:pPr>
      <w:r>
        <w:t>More robust approaches to benchmarking (discussed below) would also contribute to economic oversight. Although monitoring and reporting of service and pricing outcomes is important for transparency (discussed below), independent regulators should also ensure that the information gathered is analysed to assess where pricing practices should be improved.</w:t>
      </w:r>
    </w:p>
    <w:p w14:paraId="53F60DB7" w14:textId="547B1B42" w:rsidR="00C540EB" w:rsidRDefault="00C540EB" w:rsidP="00C540E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540EB" w14:paraId="39C26025" w14:textId="77777777" w:rsidTr="00050134">
        <w:trPr>
          <w:tblHeader/>
        </w:trPr>
        <w:tc>
          <w:tcPr>
            <w:tcW w:w="5000" w:type="pct"/>
            <w:tcBorders>
              <w:top w:val="single" w:sz="6" w:space="0" w:color="78A22F"/>
              <w:left w:val="nil"/>
              <w:bottom w:val="nil"/>
              <w:right w:val="nil"/>
            </w:tcBorders>
            <w:shd w:val="clear" w:color="auto" w:fill="F2F2F2"/>
          </w:tcPr>
          <w:p w14:paraId="2178FE59" w14:textId="2D18D1C7" w:rsidR="00C540EB" w:rsidRDefault="00C540EB" w:rsidP="00B22D9D">
            <w:pPr>
              <w:pStyle w:val="BoxTitle"/>
            </w:pPr>
            <w:r>
              <w:rPr>
                <w:b w:val="0"/>
              </w:rPr>
              <w:t xml:space="preserve">Box </w:t>
            </w:r>
            <w:r w:rsidR="00610696">
              <w:rPr>
                <w:b w:val="0"/>
              </w:rPr>
              <w:t>3</w:t>
            </w:r>
            <w:r>
              <w:tab/>
            </w:r>
            <w:r w:rsidR="00B22D9D">
              <w:t>S</w:t>
            </w:r>
            <w:r>
              <w:t xml:space="preserve">mall water </w:t>
            </w:r>
            <w:r w:rsidR="00B22D9D">
              <w:t xml:space="preserve">retailer licencing </w:t>
            </w:r>
            <w:r>
              <w:t>in South Australia</w:t>
            </w:r>
          </w:p>
        </w:tc>
      </w:tr>
      <w:tr w:rsidR="00C540EB" w14:paraId="760F65E3" w14:textId="77777777" w:rsidTr="00050134">
        <w:tc>
          <w:tcPr>
            <w:tcW w:w="5000" w:type="pct"/>
            <w:tcBorders>
              <w:top w:val="nil"/>
              <w:left w:val="nil"/>
              <w:bottom w:val="nil"/>
              <w:right w:val="nil"/>
            </w:tcBorders>
            <w:shd w:val="clear" w:color="auto" w:fill="F2F2F2"/>
          </w:tcPr>
          <w:p w14:paraId="590E2DEF" w14:textId="3C64ADDA" w:rsidR="00725D5D" w:rsidRDefault="00C540EB" w:rsidP="00665F9B">
            <w:pPr>
              <w:pStyle w:val="Box"/>
            </w:pPr>
            <w:r w:rsidRPr="00C540EB">
              <w:t>In South Australia, all retail water service providers must be licen</w:t>
            </w:r>
            <w:r w:rsidR="007B42DB">
              <w:t>s</w:t>
            </w:r>
            <w:r w:rsidRPr="00C540EB">
              <w:t>ed by the Essential Services Commission of South Australia (ESCOSA). The licen</w:t>
            </w:r>
            <w:r w:rsidR="007B42DB">
              <w:t>c</w:t>
            </w:r>
            <w:r w:rsidRPr="00C540EB">
              <w:t xml:space="preserve">e issued imposes obligations </w:t>
            </w:r>
            <w:r w:rsidR="001A0072">
              <w:t>on</w:t>
            </w:r>
            <w:r w:rsidRPr="00C540EB">
              <w:t xml:space="preserve"> retailers </w:t>
            </w:r>
            <w:r w:rsidR="001A0072">
              <w:t xml:space="preserve">to ensure they </w:t>
            </w:r>
            <w:r w:rsidRPr="00C540EB">
              <w:t>meet their regulatory requirements.</w:t>
            </w:r>
            <w:r w:rsidR="00AE431B">
              <w:t xml:space="preserve"> Under the </w:t>
            </w:r>
            <w:r w:rsidR="00AE431B" w:rsidRPr="00AE431B">
              <w:rPr>
                <w:i/>
              </w:rPr>
              <w:t>Water Industry Act 2012</w:t>
            </w:r>
            <w:r w:rsidR="00AE431B">
              <w:t xml:space="preserve"> (SA), ESCOSA can only issue a licence where satisfied that ‘the applicant has the capacity (including financial, technical, organisational and other necessary </w:t>
            </w:r>
            <w:r w:rsidR="00AE431B" w:rsidRPr="00665F9B">
              <w:t>capacity</w:t>
            </w:r>
            <w:r w:rsidR="00AE431B">
              <w:t>) to provide the services safely and to appropriate standards that would be authorised by the licence’ (s. 20(2)(d)).</w:t>
            </w:r>
          </w:p>
          <w:p w14:paraId="22B83591" w14:textId="7BBBB541" w:rsidR="00C540EB" w:rsidRPr="00C540EB" w:rsidRDefault="00C540EB" w:rsidP="00665F9B">
            <w:pPr>
              <w:pStyle w:val="Box"/>
            </w:pPr>
            <w:r w:rsidRPr="00C540EB">
              <w:t xml:space="preserve">ESCOSA determines the appropriate form of regulation for each entity by considering the scale and nature of their operations, with different requirements for major retailers (more than 50 000 connections; only applies to SA Water), </w:t>
            </w:r>
            <w:r w:rsidR="00610696">
              <w:t>and for</w:t>
            </w:r>
            <w:r w:rsidRPr="00C540EB">
              <w:t xml:space="preserve"> intermediate (500 to 50 000 connections) and minor retailer</w:t>
            </w:r>
            <w:r w:rsidR="00BF3190">
              <w:t>s (fewer than 500 connections).</w:t>
            </w:r>
          </w:p>
          <w:p w14:paraId="0FEBCEED" w14:textId="6B257CA5" w:rsidR="00C540EB" w:rsidRPr="00C540EB" w:rsidRDefault="00C540EB" w:rsidP="00050134">
            <w:pPr>
              <w:pStyle w:val="Box"/>
            </w:pPr>
            <w:r w:rsidRPr="00C540EB">
              <w:t xml:space="preserve">There are </w:t>
            </w:r>
            <w:r w:rsidR="00610696">
              <w:t>6</w:t>
            </w:r>
            <w:r>
              <w:t>6</w:t>
            </w:r>
            <w:r w:rsidR="006D4A43">
              <w:t> </w:t>
            </w:r>
            <w:r w:rsidRPr="00C540EB">
              <w:t xml:space="preserve">minor and intermediate </w:t>
            </w:r>
            <w:r w:rsidR="00F5174D">
              <w:t xml:space="preserve">water </w:t>
            </w:r>
            <w:r w:rsidRPr="00C540EB">
              <w:t xml:space="preserve">retailers subject to </w:t>
            </w:r>
            <w:r w:rsidR="00BF3190">
              <w:t>licen</w:t>
            </w:r>
            <w:r w:rsidR="00CD7333">
              <w:t>s</w:t>
            </w:r>
            <w:r w:rsidR="00BF3190">
              <w:t>ing</w:t>
            </w:r>
            <w:r w:rsidRPr="00C540EB">
              <w:t xml:space="preserve">, </w:t>
            </w:r>
            <w:r w:rsidR="00BC5457">
              <w:t>including local governments and private entities. M</w:t>
            </w:r>
            <w:r w:rsidRPr="00C540EB">
              <w:t xml:space="preserve">ost </w:t>
            </w:r>
            <w:r>
              <w:t xml:space="preserve">primarily </w:t>
            </w:r>
            <w:r w:rsidRPr="00C540EB">
              <w:t>provide wastewater services. Economic regulation of these providers includes:</w:t>
            </w:r>
          </w:p>
          <w:p w14:paraId="646E0601" w14:textId="182BA46E" w:rsidR="00C540EB" w:rsidRPr="00C540EB" w:rsidRDefault="00C540EB" w:rsidP="00050134">
            <w:pPr>
              <w:pStyle w:val="BoxListBullet"/>
            </w:pPr>
            <w:r w:rsidRPr="00C540EB">
              <w:t xml:space="preserve">a retail </w:t>
            </w:r>
            <w:proofErr w:type="gramStart"/>
            <w:r w:rsidRPr="00C540EB">
              <w:t>code</w:t>
            </w:r>
            <w:proofErr w:type="gramEnd"/>
          </w:p>
          <w:p w14:paraId="2F202FE3" w14:textId="5D4FC562" w:rsidR="00610696" w:rsidRPr="00610696" w:rsidRDefault="00610696" w:rsidP="00610696">
            <w:pPr>
              <w:pStyle w:val="BoxListBullet"/>
            </w:pPr>
            <w:r w:rsidRPr="00610696">
              <w:t>reporting and information requirements</w:t>
            </w:r>
          </w:p>
          <w:p w14:paraId="00D9EDA3" w14:textId="77777777" w:rsidR="00610696" w:rsidRPr="00610696" w:rsidRDefault="00610696" w:rsidP="00610696">
            <w:pPr>
              <w:pStyle w:val="BoxListBullet"/>
            </w:pPr>
            <w:r w:rsidRPr="00610696">
              <w:t>a compliance system and reporting guideline and enforcement policy</w:t>
            </w:r>
          </w:p>
          <w:p w14:paraId="0DFBB2FF" w14:textId="73BF3711" w:rsidR="00C540EB" w:rsidRPr="00C540EB" w:rsidRDefault="00610696" w:rsidP="00050134">
            <w:pPr>
              <w:pStyle w:val="BoxListBullet"/>
            </w:pPr>
            <w:r w:rsidRPr="00610696">
              <w:t>a price determination</w:t>
            </w:r>
            <w:r w:rsidR="00C540EB" w:rsidRPr="00C540EB">
              <w:t>.</w:t>
            </w:r>
          </w:p>
          <w:p w14:paraId="25CAF46B" w14:textId="1E5D33E7" w:rsidR="00C540EB" w:rsidRPr="00C540EB" w:rsidRDefault="00C540EB" w:rsidP="003B3416">
            <w:pPr>
              <w:pStyle w:val="Box"/>
              <w:rPr>
                <w:rStyle w:val="DraftingNote"/>
                <w:b w:val="0"/>
                <w:color w:val="auto"/>
                <w:sz w:val="20"/>
                <w:u w:val="none"/>
              </w:rPr>
            </w:pPr>
            <w:r w:rsidRPr="00C540EB">
              <w:t xml:space="preserve">The </w:t>
            </w:r>
            <w:r w:rsidR="00BC5457">
              <w:t>price</w:t>
            </w:r>
            <w:r w:rsidR="00BC5457">
              <w:noBreakHyphen/>
            </w:r>
            <w:r w:rsidRPr="00C540EB">
              <w:t xml:space="preserve">setting </w:t>
            </w:r>
            <w:r w:rsidR="00BC5457">
              <w:t xml:space="preserve">process is less stringent </w:t>
            </w:r>
            <w:r w:rsidRPr="00C540EB">
              <w:t xml:space="preserve">for minor and intermediate retailers than </w:t>
            </w:r>
            <w:r w:rsidR="00BC5457">
              <w:t xml:space="preserve">for </w:t>
            </w:r>
            <w:r w:rsidRPr="00C540EB">
              <w:t xml:space="preserve">SA </w:t>
            </w:r>
            <w:r w:rsidR="00BC5457">
              <w:t>W</w:t>
            </w:r>
            <w:r w:rsidRPr="00C540EB">
              <w:t>ater. The price determination requires minor and intermediate retailers to comply with the National Water Initiative Pricing Principles when charging for water and sewerage services, and to report annually to ESCOSA on how they are complying with those principles.</w:t>
            </w:r>
          </w:p>
        </w:tc>
      </w:tr>
      <w:tr w:rsidR="00C540EB" w14:paraId="61CA83A9" w14:textId="77777777" w:rsidTr="00050134">
        <w:tc>
          <w:tcPr>
            <w:tcW w:w="5000" w:type="pct"/>
            <w:tcBorders>
              <w:top w:val="nil"/>
              <w:left w:val="nil"/>
              <w:bottom w:val="nil"/>
              <w:right w:val="nil"/>
            </w:tcBorders>
            <w:shd w:val="clear" w:color="auto" w:fill="F2F2F2"/>
          </w:tcPr>
          <w:p w14:paraId="47C4BE6F" w14:textId="5F18C503" w:rsidR="00C540EB" w:rsidRPr="000B53E3" w:rsidRDefault="00C540EB" w:rsidP="00A04A0D">
            <w:pPr>
              <w:pStyle w:val="BoxSource"/>
            </w:pPr>
            <w:r>
              <w:rPr>
                <w:i/>
              </w:rPr>
              <w:t>Source</w:t>
            </w:r>
            <w:r w:rsidR="00BF3190">
              <w:rPr>
                <w:i/>
              </w:rPr>
              <w:t>s</w:t>
            </w:r>
            <w:r w:rsidRPr="00167F06">
              <w:t>:</w:t>
            </w:r>
            <w:r w:rsidR="00A04A0D">
              <w:t xml:space="preserve"> </w:t>
            </w:r>
            <w:r w:rsidR="00A04A0D" w:rsidRPr="003B3416">
              <w:t>ESCOSA</w:t>
            </w:r>
            <w:r w:rsidRPr="003B3416">
              <w:t xml:space="preserve"> </w:t>
            </w:r>
            <w:r w:rsidR="00610696" w:rsidRPr="00610696">
              <w:rPr>
                <w:rFonts w:cs="Arial"/>
              </w:rPr>
              <w:t>(2013, 2019, 2020)</w:t>
            </w:r>
            <w:r w:rsidR="00871FE2" w:rsidRPr="003B3416">
              <w:t>.</w:t>
            </w:r>
          </w:p>
        </w:tc>
      </w:tr>
      <w:tr w:rsidR="00C540EB" w14:paraId="2CC407AA" w14:textId="77777777" w:rsidTr="00050134">
        <w:tc>
          <w:tcPr>
            <w:tcW w:w="5000" w:type="pct"/>
            <w:tcBorders>
              <w:top w:val="nil"/>
              <w:left w:val="nil"/>
              <w:bottom w:val="single" w:sz="6" w:space="0" w:color="78A22F"/>
              <w:right w:val="nil"/>
            </w:tcBorders>
            <w:shd w:val="clear" w:color="auto" w:fill="F2F2F2"/>
          </w:tcPr>
          <w:p w14:paraId="3129D458" w14:textId="77777777" w:rsidR="00C540EB" w:rsidRDefault="00C540EB" w:rsidP="00050134">
            <w:pPr>
              <w:pStyle w:val="Box"/>
              <w:spacing w:before="0" w:line="120" w:lineRule="exact"/>
            </w:pPr>
          </w:p>
        </w:tc>
      </w:tr>
      <w:tr w:rsidR="00C540EB" w:rsidRPr="000863A5" w14:paraId="3FD84C5E" w14:textId="77777777" w:rsidTr="00050134">
        <w:tc>
          <w:tcPr>
            <w:tcW w:w="5000" w:type="pct"/>
            <w:tcBorders>
              <w:top w:val="single" w:sz="6" w:space="0" w:color="78A22F"/>
              <w:left w:val="nil"/>
              <w:bottom w:val="nil"/>
              <w:right w:val="nil"/>
            </w:tcBorders>
          </w:tcPr>
          <w:p w14:paraId="7766DA79" w14:textId="11D19476" w:rsidR="00C540EB" w:rsidRPr="00626D32" w:rsidRDefault="00C540EB" w:rsidP="00050134">
            <w:pPr>
              <w:pStyle w:val="BoxSpaceBelow"/>
            </w:pPr>
          </w:p>
        </w:tc>
      </w:tr>
    </w:tbl>
    <w:p w14:paraId="11B3EB24" w14:textId="3A05D0FB" w:rsidR="00297B97" w:rsidRDefault="00217B8A" w:rsidP="00E05196">
      <w:pPr>
        <w:pStyle w:val="Heading4"/>
      </w:pPr>
      <w:r>
        <w:t>Performance data should contribute to decision</w:t>
      </w:r>
      <w:r>
        <w:noBreakHyphen/>
        <w:t xml:space="preserve">making </w:t>
      </w:r>
      <w:proofErr w:type="gramStart"/>
      <w:r>
        <w:t>processes</w:t>
      </w:r>
      <w:proofErr w:type="gramEnd"/>
    </w:p>
    <w:p w14:paraId="56ED0D83" w14:textId="6569133E" w:rsidR="00BA1B39" w:rsidRDefault="00B26572" w:rsidP="00BA1B39">
      <w:pPr>
        <w:pStyle w:val="BodyText"/>
        <w:keepNext/>
      </w:pPr>
      <w:r>
        <w:t>S</w:t>
      </w:r>
      <w:r w:rsidR="00BA1B39">
        <w:t>P</w:t>
      </w:r>
      <w:r w:rsidR="00731B11">
        <w:t> </w:t>
      </w:r>
      <w:r w:rsidR="00610696">
        <w:t>F</w:t>
      </w:r>
      <w:r w:rsidR="00BA1B39">
        <w:t> </w:t>
      </w:r>
      <w:r w:rsidR="00BA1B39">
        <w:rPr>
          <w:i/>
        </w:rPr>
        <w:t xml:space="preserve">Urban </w:t>
      </w:r>
      <w:r w:rsidR="00BA1B39">
        <w:t>outlined the importance of maintaining b</w:t>
      </w:r>
      <w:r w:rsidR="00297B97">
        <w:t xml:space="preserve">enchmarking and reporting of </w:t>
      </w:r>
      <w:r w:rsidR="00E46A85">
        <w:t xml:space="preserve">water </w:t>
      </w:r>
      <w:r w:rsidR="00297B97">
        <w:t>service quality outcomes</w:t>
      </w:r>
      <w:r w:rsidR="006B1EAE">
        <w:t xml:space="preserve"> — including water quality and reliability measures. </w:t>
      </w:r>
      <w:r w:rsidR="00217B8A">
        <w:t>However, t</w:t>
      </w:r>
      <w:r w:rsidR="00BA1B39">
        <w:t xml:space="preserve">here are concerns over the </w:t>
      </w:r>
      <w:r w:rsidR="00217B8A">
        <w:t>value</w:t>
      </w:r>
      <w:r w:rsidR="00BA1B39">
        <w:t xml:space="preserve"> of some data currently collected. </w:t>
      </w:r>
      <w:proofErr w:type="spellStart"/>
      <w:r w:rsidR="00BA1B39">
        <w:t>Qldwater</w:t>
      </w:r>
      <w:proofErr w:type="spellEnd"/>
      <w:r w:rsidR="00BA1B39">
        <w:t xml:space="preserve"> (sub. 47, p. 20) noted that some providers:</w:t>
      </w:r>
    </w:p>
    <w:p w14:paraId="5F2C4A9B" w14:textId="541F945F" w:rsidR="00BA1B39" w:rsidRDefault="00BA1B39" w:rsidP="00BA1B39">
      <w:pPr>
        <w:pStyle w:val="Quote"/>
      </w:pPr>
      <w:r>
        <w:t>… question the value of reporting when aside from politically sensitive indicators (</w:t>
      </w:r>
      <w:proofErr w:type="gramStart"/>
      <w:r>
        <w:t>e.g.</w:t>
      </w:r>
      <w:proofErr w:type="gramEnd"/>
      <w:r>
        <w:t xml:space="preserve"> water security) there is little outward</w:t>
      </w:r>
      <w:r w:rsidR="00985904">
        <w:noBreakHyphen/>
      </w:r>
      <w:r>
        <w:t>facing evidence of how the information is used.</w:t>
      </w:r>
    </w:p>
    <w:p w14:paraId="353F710B" w14:textId="4BD3CCBD" w:rsidR="00EF4637" w:rsidRPr="00774BD5" w:rsidRDefault="006B1EAE" w:rsidP="006B1EAE">
      <w:pPr>
        <w:pStyle w:val="BodyText"/>
        <w:rPr>
          <w:spacing w:val="-2"/>
        </w:rPr>
      </w:pPr>
      <w:r w:rsidRPr="00774BD5">
        <w:rPr>
          <w:spacing w:val="-2"/>
        </w:rPr>
        <w:t xml:space="preserve">For regional and remote services, a balance needs to be struck between the costs of </w:t>
      </w:r>
      <w:r w:rsidR="00217B8A" w:rsidRPr="00774BD5">
        <w:rPr>
          <w:spacing w:val="-2"/>
        </w:rPr>
        <w:t xml:space="preserve">performance </w:t>
      </w:r>
      <w:r w:rsidRPr="00774BD5">
        <w:rPr>
          <w:spacing w:val="-2"/>
        </w:rPr>
        <w:t xml:space="preserve">reporting and the benefits of the data collected. Benchmarking of service providers functions most effectively where providers are comparable (for example, in location, cost structures and size). This is </w:t>
      </w:r>
      <w:r w:rsidR="00A04A0D" w:rsidRPr="00774BD5">
        <w:rPr>
          <w:spacing w:val="-2"/>
        </w:rPr>
        <w:t>rarely</w:t>
      </w:r>
      <w:r w:rsidRPr="00774BD5">
        <w:rPr>
          <w:spacing w:val="-2"/>
        </w:rPr>
        <w:t xml:space="preserve"> the case for small, heterogeneous service providers; simply reporting performance data is unlikely to deliver competition </w:t>
      </w:r>
      <w:r w:rsidR="00BD551A" w:rsidRPr="00774BD5">
        <w:rPr>
          <w:spacing w:val="-2"/>
        </w:rPr>
        <w:t xml:space="preserve">by </w:t>
      </w:r>
      <w:r w:rsidRPr="00774BD5">
        <w:rPr>
          <w:spacing w:val="-2"/>
        </w:rPr>
        <w:t>comparison.</w:t>
      </w:r>
    </w:p>
    <w:p w14:paraId="5B39B1A8" w14:textId="5A6F85DD" w:rsidR="006B1EAE" w:rsidRDefault="006B1EAE" w:rsidP="00665F9B">
      <w:pPr>
        <w:pStyle w:val="BodyText"/>
      </w:pPr>
      <w:r>
        <w:t xml:space="preserve">As the Commission noted in 2017, independent bodies </w:t>
      </w:r>
      <w:r w:rsidR="00217B8A">
        <w:t>should</w:t>
      </w:r>
      <w:r>
        <w:t xml:space="preserve"> ‘analyse reported information </w:t>
      </w:r>
      <w:proofErr w:type="gramStart"/>
      <w:r>
        <w:t>so as to</w:t>
      </w:r>
      <w:proofErr w:type="gramEnd"/>
      <w:r>
        <w:t xml:space="preserve"> provide greater scrutiny of outcomes and so better highlight where performance is </w:t>
      </w:r>
      <w:r>
        <w:lastRenderedPageBreak/>
        <w:t xml:space="preserve">poor and improvement is required’ </w:t>
      </w:r>
      <w:r w:rsidR="00C1136F" w:rsidRPr="00C1136F">
        <w:rPr>
          <w:szCs w:val="24"/>
        </w:rPr>
        <w:t>(PC 2017b, p. 217)</w:t>
      </w:r>
      <w:r>
        <w:t>.</w:t>
      </w:r>
      <w:r w:rsidR="00EF4637">
        <w:t xml:space="preserve"> This recommendation remains pertinent and should be </w:t>
      </w:r>
      <w:r w:rsidR="005B624F">
        <w:t xml:space="preserve">considered as part of </w:t>
      </w:r>
      <w:r w:rsidR="00505C60">
        <w:t xml:space="preserve">the </w:t>
      </w:r>
      <w:r w:rsidR="005B624F">
        <w:t xml:space="preserve">NWI renewal. </w:t>
      </w:r>
    </w:p>
    <w:p w14:paraId="53F97609" w14:textId="3FDBE3BE" w:rsidR="00725D5D" w:rsidRDefault="006B1EAE" w:rsidP="00665F9B">
      <w:pPr>
        <w:pStyle w:val="BodyText"/>
      </w:pPr>
      <w:r>
        <w:t>Data collected should also feed into decision</w:t>
      </w:r>
      <w:r>
        <w:noBreakHyphen/>
        <w:t xml:space="preserve">making processes to maximise the benefits of that information. </w:t>
      </w:r>
      <w:r w:rsidR="00B86F85">
        <w:t>For small regional utilities where light</w:t>
      </w:r>
      <w:r w:rsidR="00B86F85">
        <w:noBreakHyphen/>
        <w:t xml:space="preserve">touch economic oversight is applied, the </w:t>
      </w:r>
      <w:r w:rsidR="008D3745">
        <w:t>independent economic regulator could</w:t>
      </w:r>
      <w:r w:rsidR="00DE5381">
        <w:t xml:space="preserve"> publicly</w:t>
      </w:r>
      <w:r w:rsidR="008D3745">
        <w:t xml:space="preserve"> report on </w:t>
      </w:r>
      <w:r>
        <w:t xml:space="preserve">the </w:t>
      </w:r>
      <w:r w:rsidR="00B86F85">
        <w:t>performance monitoring</w:t>
      </w:r>
      <w:r w:rsidR="0059578A">
        <w:t xml:space="preserve"> </w:t>
      </w:r>
      <w:r>
        <w:t xml:space="preserve">data </w:t>
      </w:r>
      <w:r w:rsidR="00DE5381">
        <w:t>(as ESCOSA already does)</w:t>
      </w:r>
      <w:r w:rsidR="00B86F85">
        <w:t>.</w:t>
      </w:r>
    </w:p>
    <w:p w14:paraId="62A58254" w14:textId="0F66F31F" w:rsidR="00852B1B" w:rsidRDefault="00E63D4F" w:rsidP="00665F9B">
      <w:pPr>
        <w:pStyle w:val="BodyText"/>
      </w:pPr>
      <w:r>
        <w:t>P</w:t>
      </w:r>
      <w:r w:rsidR="00B86F85">
        <w:t>erformance monitoring data could also assist in determin</w:t>
      </w:r>
      <w:r w:rsidR="00277D60">
        <w:t>ing</w:t>
      </w:r>
      <w:r>
        <w:t xml:space="preserve"> the targeting </w:t>
      </w:r>
      <w:r w:rsidR="006B1EAE">
        <w:t xml:space="preserve">and level </w:t>
      </w:r>
      <w:r>
        <w:t>of CSO payments</w:t>
      </w:r>
      <w:r w:rsidR="006B1EAE">
        <w:t xml:space="preserve"> to high</w:t>
      </w:r>
      <w:r w:rsidR="006B1EAE">
        <w:noBreakHyphen/>
        <w:t>cost areas, with</w:t>
      </w:r>
      <w:r>
        <w:t xml:space="preserve"> a degree of independent oversight to ensure cost estimates are credible</w:t>
      </w:r>
      <w:r w:rsidR="009F19D0">
        <w:t>.</w:t>
      </w:r>
      <w:r>
        <w:t xml:space="preserve"> </w:t>
      </w:r>
      <w:r w:rsidR="009F19D0">
        <w:t>A</w:t>
      </w:r>
      <w:r>
        <w:t xml:space="preserve">lthough this should not </w:t>
      </w:r>
      <w:r w:rsidR="006B1EAE">
        <w:t xml:space="preserve">extend to a </w:t>
      </w:r>
      <w:r>
        <w:t xml:space="preserve">complex </w:t>
      </w:r>
      <w:r w:rsidR="006B1EAE">
        <w:t xml:space="preserve">determination </w:t>
      </w:r>
      <w:r>
        <w:t>of a regulated asset base, for example</w:t>
      </w:r>
      <w:r w:rsidR="009F19D0">
        <w:t>,</w:t>
      </w:r>
      <w:r w:rsidR="00AA07D2">
        <w:t xml:space="preserve"> </w:t>
      </w:r>
      <w:r w:rsidR="009F19D0">
        <w:t>i</w:t>
      </w:r>
      <w:r w:rsidR="00AA07D2">
        <w:t xml:space="preserve">t could include annual reporting against performance indicators that feed into the annual determination of CSO </w:t>
      </w:r>
      <w:r w:rsidR="00612B2D">
        <w:t>funding (discussed above)</w:t>
      </w:r>
      <w:r w:rsidR="00AA07D2">
        <w:t>.</w:t>
      </w:r>
    </w:p>
    <w:p w14:paraId="65824575" w14:textId="52637BB6" w:rsidR="00725D5D" w:rsidRDefault="00B86F85" w:rsidP="00665F9B">
      <w:pPr>
        <w:pStyle w:val="BodyText"/>
      </w:pPr>
      <w:r>
        <w:t>Similarly, performance monitoring data should be fit</w:t>
      </w:r>
      <w:r w:rsidR="00F70075">
        <w:t xml:space="preserve"> </w:t>
      </w:r>
      <w:r>
        <w:t>for</w:t>
      </w:r>
      <w:r w:rsidR="00F70075">
        <w:t xml:space="preserve"> </w:t>
      </w:r>
      <w:r>
        <w:t xml:space="preserve">purpose </w:t>
      </w:r>
      <w:r w:rsidR="006B1EAE">
        <w:t xml:space="preserve">to enable </w:t>
      </w:r>
      <w:r>
        <w:t xml:space="preserve">regular reviews of progress against the </w:t>
      </w:r>
      <w:r w:rsidR="0059578A">
        <w:t xml:space="preserve">renewed </w:t>
      </w:r>
      <w:r>
        <w:t>NWI</w:t>
      </w:r>
      <w:r w:rsidR="0059578A">
        <w:t xml:space="preserve"> (</w:t>
      </w:r>
      <w:r w:rsidR="00B26572">
        <w:t>S</w:t>
      </w:r>
      <w:r w:rsidR="0059578A">
        <w:t>P</w:t>
      </w:r>
      <w:r w:rsidR="00731B11">
        <w:t> </w:t>
      </w:r>
      <w:r w:rsidR="00E758F5">
        <w:t>F</w:t>
      </w:r>
      <w:r w:rsidR="0059578A">
        <w:t> </w:t>
      </w:r>
      <w:r w:rsidR="00E14CAA">
        <w:rPr>
          <w:i/>
        </w:rPr>
        <w:t>Urban</w:t>
      </w:r>
      <w:r w:rsidR="0059578A">
        <w:t>)</w:t>
      </w:r>
      <w:r>
        <w:t>.</w:t>
      </w:r>
    </w:p>
    <w:p w14:paraId="2A36C0E9" w14:textId="46781521" w:rsidR="005B4707" w:rsidRDefault="0044540E" w:rsidP="00665F9B">
      <w:pPr>
        <w:pStyle w:val="Heading2"/>
      </w:pPr>
      <w:bookmarkStart w:id="29" w:name="_Toc59447370"/>
      <w:bookmarkStart w:id="30" w:name="_Toc62043661"/>
      <w:bookmarkStart w:id="31" w:name="_Hlk61430406"/>
      <w:r>
        <w:t>5</w:t>
      </w:r>
      <w:r w:rsidR="005B4707">
        <w:tab/>
      </w:r>
      <w:r w:rsidR="000807D1">
        <w:t xml:space="preserve">Water </w:t>
      </w:r>
      <w:r w:rsidR="000807D1" w:rsidRPr="00665F9B">
        <w:t>services</w:t>
      </w:r>
      <w:r w:rsidR="000807D1">
        <w:t xml:space="preserve"> in remote Aboriginal and Torres Strait Islander communities</w:t>
      </w:r>
      <w:bookmarkEnd w:id="29"/>
      <w:bookmarkEnd w:id="30"/>
    </w:p>
    <w:p w14:paraId="495CAD37" w14:textId="4396F778" w:rsidR="003D6ED3" w:rsidRDefault="00770A04" w:rsidP="00665F9B">
      <w:pPr>
        <w:pStyle w:val="BodyText"/>
      </w:pPr>
      <w:r>
        <w:t>T</w:t>
      </w:r>
      <w:r w:rsidR="00165A58">
        <w:t xml:space="preserve">he Aboriginal and Torres Strait Islander population is highly urbanised, </w:t>
      </w:r>
      <w:r>
        <w:t>with less than 20</w:t>
      </w:r>
      <w:r w:rsidR="00165A58">
        <w:t xml:space="preserve"> per cent </w:t>
      </w:r>
      <w:r>
        <w:t xml:space="preserve">of the population </w:t>
      </w:r>
      <w:r w:rsidR="00165A58">
        <w:t>liv</w:t>
      </w:r>
      <w:r>
        <w:t>ing</w:t>
      </w:r>
      <w:r w:rsidR="00165A58">
        <w:t xml:space="preserve"> in remote</w:t>
      </w:r>
      <w:r w:rsidR="009239A0">
        <w:t xml:space="preserve"> or very remote</w:t>
      </w:r>
      <w:r w:rsidR="00165A58">
        <w:t xml:space="preserve"> areas </w:t>
      </w:r>
      <w:r w:rsidR="005F46AA" w:rsidRPr="005F46AA">
        <w:rPr>
          <w:szCs w:val="24"/>
        </w:rPr>
        <w:t>(ABS 2016a)</w:t>
      </w:r>
      <w:r w:rsidR="00165A58">
        <w:t>.</w:t>
      </w:r>
      <w:r w:rsidR="003D6ED3">
        <w:t xml:space="preserve"> However, </w:t>
      </w:r>
      <w:proofErr w:type="gramStart"/>
      <w:r w:rsidR="003D6ED3">
        <w:t>remote</w:t>
      </w:r>
      <w:proofErr w:type="gramEnd"/>
      <w:r w:rsidR="003D6ED3">
        <w:t xml:space="preserve"> and very remote Australia is home to a higher</w:t>
      </w:r>
      <w:r w:rsidR="00B312BA">
        <w:t xml:space="preserve"> </w:t>
      </w:r>
      <w:r w:rsidR="003D6ED3">
        <w:t>proportion of Aboriginal and Torres Strait Islander people than is the case in major cities or regional areas.</w:t>
      </w:r>
    </w:p>
    <w:p w14:paraId="63F57E24" w14:textId="0D7AE90C" w:rsidR="00725D5D" w:rsidRDefault="00B312BA" w:rsidP="00665F9B">
      <w:pPr>
        <w:pStyle w:val="BodyText"/>
      </w:pPr>
      <w:r>
        <w:t xml:space="preserve">The Commission </w:t>
      </w:r>
      <w:r w:rsidR="00C57571">
        <w:t xml:space="preserve">has </w:t>
      </w:r>
      <w:r w:rsidR="00770A04">
        <w:t>adopted the ABS definition of</w:t>
      </w:r>
      <w:r w:rsidR="009239A0">
        <w:t xml:space="preserve"> </w:t>
      </w:r>
      <w:r>
        <w:t>remote Aboriginal and Torres Strait Islander communities</w:t>
      </w:r>
      <w:r w:rsidR="001C6996" w:rsidRPr="00C20339">
        <w:rPr>
          <w:rStyle w:val="FootnoteReference"/>
        </w:rPr>
        <w:footnoteReference w:id="11"/>
      </w:r>
      <w:r>
        <w:t xml:space="preserve"> as those that</w:t>
      </w:r>
      <w:r w:rsidR="00165A58">
        <w:t xml:space="preserve"> are inhabited predominantly by Aboriginal or Torres Strait Islander people, with housing or infrastructure (power, water, sewerage) that is managed on a community basis</w:t>
      </w:r>
      <w:r w:rsidR="005B1236">
        <w:t xml:space="preserve"> </w:t>
      </w:r>
      <w:r w:rsidR="005F46AA" w:rsidRPr="005F46AA">
        <w:rPr>
          <w:szCs w:val="24"/>
        </w:rPr>
        <w:t>(ABS 2016b)</w:t>
      </w:r>
      <w:r w:rsidR="00165A58">
        <w:t xml:space="preserve">. These communities </w:t>
      </w:r>
      <w:r w:rsidR="004563DF">
        <w:t xml:space="preserve">(which include homelands and outstations) </w:t>
      </w:r>
      <w:r w:rsidR="00165A58">
        <w:t xml:space="preserve">are distinct from other types of settlements in remote Australia (such as mining towns, pastoral </w:t>
      </w:r>
      <w:proofErr w:type="gramStart"/>
      <w:r w:rsidR="00165A58">
        <w:t>stations</w:t>
      </w:r>
      <w:proofErr w:type="gramEnd"/>
      <w:r w:rsidR="00165A58">
        <w:t xml:space="preserve"> or larger towns like Alice Springs).</w:t>
      </w:r>
    </w:p>
    <w:p w14:paraId="2C50429A" w14:textId="44F4CC5B" w:rsidR="00165A58" w:rsidRPr="002F5149" w:rsidRDefault="00637993" w:rsidP="00F838A0">
      <w:pPr>
        <w:pStyle w:val="BodyText"/>
        <w:keepNext/>
      </w:pPr>
      <w:r>
        <w:t>M</w:t>
      </w:r>
      <w:r w:rsidR="00165A58">
        <w:t>any of these communities are not serviced by regional water utilities</w:t>
      </w:r>
      <w:r w:rsidR="00D35BCC">
        <w:t xml:space="preserve"> but </w:t>
      </w:r>
      <w:r w:rsidR="00C57571">
        <w:t xml:space="preserve">may </w:t>
      </w:r>
      <w:r w:rsidR="00165A58">
        <w:t>self</w:t>
      </w:r>
      <w:r w:rsidR="00165A58">
        <w:noBreakHyphen/>
        <w:t>supply</w:t>
      </w:r>
      <w:r w:rsidR="00C57571">
        <w:t xml:space="preserve"> or</w:t>
      </w:r>
      <w:r w:rsidR="00165A58">
        <w:t xml:space="preserve"> </w:t>
      </w:r>
      <w:r w:rsidR="00C57571">
        <w:t xml:space="preserve">be </w:t>
      </w:r>
      <w:r w:rsidR="00165A58">
        <w:t>supplied by state</w:t>
      </w:r>
      <w:r w:rsidR="00165A58">
        <w:noBreakHyphen/>
        <w:t>wide providers</w:t>
      </w:r>
      <w:r w:rsidR="00C57571">
        <w:t>.</w:t>
      </w:r>
      <w:r w:rsidR="00D35BCC">
        <w:t xml:space="preserve"> </w:t>
      </w:r>
      <w:r w:rsidR="00C57571">
        <w:t>U</w:t>
      </w:r>
      <w:r w:rsidR="00165A58">
        <w:t xml:space="preserve">ser charges </w:t>
      </w:r>
      <w:r w:rsidR="00C57571">
        <w:t xml:space="preserve">may </w:t>
      </w:r>
      <w:r w:rsidR="00165A58">
        <w:t xml:space="preserve">not </w:t>
      </w:r>
      <w:r w:rsidR="00C57571">
        <w:t>be levied</w:t>
      </w:r>
      <w:r w:rsidR="00165A58">
        <w:t>.</w:t>
      </w:r>
      <w:r w:rsidR="00927A54">
        <w:t xml:space="preserve"> And t</w:t>
      </w:r>
      <w:r w:rsidR="00D35BCC">
        <w:t xml:space="preserve">he consequences of poor water service provision </w:t>
      </w:r>
      <w:r w:rsidR="00C57571">
        <w:t xml:space="preserve">can be more </w:t>
      </w:r>
      <w:r w:rsidR="000C7A83">
        <w:t>serious</w:t>
      </w:r>
      <w:r w:rsidR="00927A54">
        <w:t xml:space="preserve"> </w:t>
      </w:r>
      <w:r w:rsidR="00D35BCC">
        <w:t>in th</w:t>
      </w:r>
      <w:r w:rsidR="009E1801">
        <w:t>e</w:t>
      </w:r>
      <w:r w:rsidR="00D35BCC">
        <w:t>se communities</w:t>
      </w:r>
      <w:r w:rsidR="00927A54">
        <w:t xml:space="preserve"> than in others</w:t>
      </w:r>
      <w:r w:rsidR="00D35BCC">
        <w:t xml:space="preserve">. </w:t>
      </w:r>
      <w:r w:rsidR="00435EAF">
        <w:t>A</w:t>
      </w:r>
      <w:r>
        <w:t>s</w:t>
      </w:r>
      <w:r w:rsidR="00FC18BE">
        <w:t xml:space="preserve"> Infrastructure Australia</w:t>
      </w:r>
      <w:r>
        <w:t xml:space="preserve"> noted:</w:t>
      </w:r>
    </w:p>
    <w:p w14:paraId="1E17DA00" w14:textId="404B57FE" w:rsidR="00165A58" w:rsidRDefault="00165A58" w:rsidP="00165A58">
      <w:pPr>
        <w:pStyle w:val="Quote"/>
      </w:pPr>
      <w:r>
        <w:t>Many remote communities are home to a high proportion of Aboriginal and Torres Strait Islander people, meaning poor standards of water and wastewater services compound historical hardships and reinforce disadvantage.</w:t>
      </w:r>
      <w:r w:rsidR="00FC18BE">
        <w:t xml:space="preserve"> </w:t>
      </w:r>
      <w:r w:rsidR="00C20339" w:rsidRPr="00C20339">
        <w:rPr>
          <w:szCs w:val="24"/>
        </w:rPr>
        <w:t>(IA 2019, p. 602)</w:t>
      </w:r>
    </w:p>
    <w:p w14:paraId="6759B317" w14:textId="650D4F30" w:rsidR="0028509D" w:rsidRDefault="00E94382" w:rsidP="00665F9B">
      <w:pPr>
        <w:pStyle w:val="Heading3"/>
      </w:pPr>
      <w:bookmarkStart w:id="32" w:name="_Toc62043662"/>
      <w:r>
        <w:lastRenderedPageBreak/>
        <w:t>5.1</w:t>
      </w:r>
      <w:r>
        <w:tab/>
      </w:r>
      <w:r w:rsidR="009239A0">
        <w:t xml:space="preserve">Water quality </w:t>
      </w:r>
      <w:r w:rsidR="009239A0" w:rsidRPr="00665F9B">
        <w:t>remains</w:t>
      </w:r>
      <w:r w:rsidR="009239A0">
        <w:t xml:space="preserve"> an issue for some remote Aboriginal and Torres Strait Islander communities</w:t>
      </w:r>
      <w:bookmarkEnd w:id="32"/>
    </w:p>
    <w:p w14:paraId="7738725D" w14:textId="5B1C2F59" w:rsidR="0028509D" w:rsidRPr="007C6996" w:rsidRDefault="0028509D" w:rsidP="00612B2D">
      <w:pPr>
        <w:pStyle w:val="BodyText"/>
        <w:rPr>
          <w:spacing w:val="-4"/>
        </w:rPr>
      </w:pPr>
      <w:r w:rsidRPr="007C6996">
        <w:rPr>
          <w:spacing w:val="-4"/>
        </w:rPr>
        <w:t xml:space="preserve">In 2017, the </w:t>
      </w:r>
      <w:r w:rsidR="00FC18BE" w:rsidRPr="007C6996">
        <w:rPr>
          <w:spacing w:val="-4"/>
        </w:rPr>
        <w:t>Commission</w:t>
      </w:r>
      <w:r w:rsidRPr="007C6996">
        <w:rPr>
          <w:spacing w:val="-4"/>
        </w:rPr>
        <w:t xml:space="preserve"> found that remote communities in parts of Queensland, Western Australia, </w:t>
      </w:r>
      <w:proofErr w:type="gramStart"/>
      <w:r w:rsidR="0026465A" w:rsidRPr="007C6996">
        <w:rPr>
          <w:spacing w:val="-4"/>
        </w:rPr>
        <w:t>Tasmania</w:t>
      </w:r>
      <w:proofErr w:type="gramEnd"/>
      <w:r w:rsidR="0026465A" w:rsidRPr="007C6996">
        <w:rPr>
          <w:spacing w:val="-4"/>
        </w:rPr>
        <w:t xml:space="preserve"> </w:t>
      </w:r>
      <w:r w:rsidR="00165C4F" w:rsidRPr="007C6996">
        <w:rPr>
          <w:spacing w:val="-4"/>
        </w:rPr>
        <w:t>a</w:t>
      </w:r>
      <w:r w:rsidRPr="007C6996">
        <w:rPr>
          <w:spacing w:val="-4"/>
        </w:rPr>
        <w:t xml:space="preserve">nd the Northern Territory </w:t>
      </w:r>
      <w:r w:rsidR="00FC18BE" w:rsidRPr="007C6996">
        <w:rPr>
          <w:spacing w:val="-4"/>
        </w:rPr>
        <w:t xml:space="preserve">often </w:t>
      </w:r>
      <w:r w:rsidRPr="007C6996">
        <w:rPr>
          <w:spacing w:val="-4"/>
        </w:rPr>
        <w:t>experienced poor drinking water quality</w:t>
      </w:r>
      <w:r w:rsidR="00B066CA" w:rsidRPr="007C6996">
        <w:rPr>
          <w:spacing w:val="-4"/>
        </w:rPr>
        <w:t xml:space="preserve"> </w:t>
      </w:r>
      <w:r w:rsidR="00C1136F" w:rsidRPr="007C6996">
        <w:rPr>
          <w:spacing w:val="-4"/>
          <w:szCs w:val="24"/>
        </w:rPr>
        <w:t>(PC 2017b)</w:t>
      </w:r>
      <w:r w:rsidRPr="007C6996">
        <w:rPr>
          <w:spacing w:val="-4"/>
        </w:rPr>
        <w:t xml:space="preserve">. </w:t>
      </w:r>
      <w:r w:rsidR="00FC18BE" w:rsidRPr="007C6996">
        <w:rPr>
          <w:spacing w:val="-4"/>
        </w:rPr>
        <w:t>Although j</w:t>
      </w:r>
      <w:r w:rsidRPr="007C6996">
        <w:rPr>
          <w:spacing w:val="-4"/>
        </w:rPr>
        <w:t xml:space="preserve">urisdictions were </w:t>
      </w:r>
      <w:proofErr w:type="gramStart"/>
      <w:r w:rsidRPr="007C6996">
        <w:rPr>
          <w:spacing w:val="-4"/>
        </w:rPr>
        <w:t>taking action</w:t>
      </w:r>
      <w:proofErr w:type="gramEnd"/>
      <w:r w:rsidRPr="007C6996">
        <w:rPr>
          <w:spacing w:val="-4"/>
        </w:rPr>
        <w:t xml:space="preserve">, </w:t>
      </w:r>
      <w:r w:rsidR="00FC18BE" w:rsidRPr="007C6996">
        <w:rPr>
          <w:spacing w:val="-4"/>
        </w:rPr>
        <w:t xml:space="preserve">they </w:t>
      </w:r>
      <w:r w:rsidR="002779F6" w:rsidRPr="007C6996">
        <w:rPr>
          <w:spacing w:val="-4"/>
        </w:rPr>
        <w:t>faced</w:t>
      </w:r>
      <w:r w:rsidRPr="007C6996">
        <w:rPr>
          <w:spacing w:val="-4"/>
        </w:rPr>
        <w:t xml:space="preserve"> challenges in providing water services due to the high costs of service delivery and the difficulty in attracting staff.</w:t>
      </w:r>
    </w:p>
    <w:p w14:paraId="1697FF09" w14:textId="77EE21DB" w:rsidR="00725D5D" w:rsidRDefault="009E6E58" w:rsidP="00665F9B">
      <w:pPr>
        <w:pStyle w:val="BodyText"/>
      </w:pPr>
      <w:r w:rsidRPr="00665F9B">
        <w:t>It is not</w:t>
      </w:r>
      <w:r w:rsidRPr="009F0539">
        <w:t xml:space="preserve"> </w:t>
      </w:r>
      <w:r w:rsidR="002779F6" w:rsidRPr="00612B2D">
        <w:t>possible</w:t>
      </w:r>
      <w:r w:rsidRPr="009F0539">
        <w:t xml:space="preserve"> to </w:t>
      </w:r>
      <w:r w:rsidR="002779F6">
        <w:t>determine</w:t>
      </w:r>
      <w:r w:rsidRPr="009F0539">
        <w:t xml:space="preserve"> </w:t>
      </w:r>
      <w:r w:rsidR="002779F6">
        <w:t>whether</w:t>
      </w:r>
      <w:r w:rsidRPr="009F0539">
        <w:t xml:space="preserve"> the situation has improved. Comprehensive national data on drinking water quality </w:t>
      </w:r>
      <w:r w:rsidR="004563DF">
        <w:t xml:space="preserve">has been </w:t>
      </w:r>
      <w:r w:rsidRPr="009F0539">
        <w:t>lacking</w:t>
      </w:r>
      <w:r w:rsidR="004563DF">
        <w:t xml:space="preserve"> since </w:t>
      </w:r>
      <w:r>
        <w:t xml:space="preserve">the ABS </w:t>
      </w:r>
      <w:r w:rsidRPr="00FC18BE">
        <w:rPr>
          <w:i/>
        </w:rPr>
        <w:t>Community Housing and Infrastructure Needs Survey</w:t>
      </w:r>
      <w:r>
        <w:t xml:space="preserve"> ceased in 2006</w:t>
      </w:r>
      <w:r w:rsidR="0007001C">
        <w:t xml:space="preserve"> </w:t>
      </w:r>
      <w:r w:rsidR="005F46AA" w:rsidRPr="005F46AA">
        <w:rPr>
          <w:szCs w:val="24"/>
        </w:rPr>
        <w:t>(SCRGSP 2016)</w:t>
      </w:r>
      <w:r w:rsidR="00E01F7F">
        <w:t xml:space="preserve">. </w:t>
      </w:r>
      <w:r w:rsidR="00CE0EDA">
        <w:t>But e</w:t>
      </w:r>
      <w:r w:rsidR="001A28FA">
        <w:t>vidence from state</w:t>
      </w:r>
      <w:r w:rsidR="00641710">
        <w:noBreakHyphen/>
      </w:r>
      <w:r w:rsidR="001A28FA">
        <w:t>level data</w:t>
      </w:r>
      <w:r w:rsidR="00CE1EDE">
        <w:t xml:space="preserve"> </w:t>
      </w:r>
      <w:r w:rsidR="0028509D" w:rsidRPr="009F0539">
        <w:t>and case stud</w:t>
      </w:r>
      <w:r w:rsidR="00CE1EDE">
        <w:t>ies</w:t>
      </w:r>
      <w:r w:rsidR="001A28FA">
        <w:t xml:space="preserve"> </w:t>
      </w:r>
      <w:proofErr w:type="gramStart"/>
      <w:r w:rsidR="001A28FA">
        <w:t>suggest</w:t>
      </w:r>
      <w:r w:rsidR="00C578E4">
        <w:t>s</w:t>
      </w:r>
      <w:proofErr w:type="gramEnd"/>
      <w:r w:rsidR="001A28FA">
        <w:t xml:space="preserve"> that</w:t>
      </w:r>
      <w:r w:rsidR="0028509D" w:rsidRPr="009F0539">
        <w:t xml:space="preserve"> problems remain</w:t>
      </w:r>
      <w:r>
        <w:t xml:space="preserve"> in many remote Aboriginal and Torres Strait Islander communities</w:t>
      </w:r>
      <w:r w:rsidR="006C47B3">
        <w:t>.</w:t>
      </w:r>
    </w:p>
    <w:p w14:paraId="63694395" w14:textId="7BAC2344" w:rsidR="00725D5D" w:rsidRDefault="0028509D" w:rsidP="00665F9B">
      <w:pPr>
        <w:pStyle w:val="BodyText"/>
      </w:pPr>
      <w:r w:rsidRPr="009F0539">
        <w:t>Water supplies in some remote communities have chemical and biological contamination and palatability issues</w:t>
      </w:r>
      <w:r w:rsidR="00BF1781">
        <w:t xml:space="preserve"> (</w:t>
      </w:r>
      <w:r w:rsidR="009519E5" w:rsidRPr="009519E5">
        <w:rPr>
          <w:i/>
        </w:rPr>
        <w:t>Assessment</w:t>
      </w:r>
      <w:r w:rsidR="00BF1781">
        <w:t>)</w:t>
      </w:r>
      <w:r w:rsidRPr="009F0539">
        <w:t>.</w:t>
      </w:r>
      <w:r w:rsidR="00CE0EDA">
        <w:t xml:space="preserve"> And m</w:t>
      </w:r>
      <w:r w:rsidR="009519E5">
        <w:t>any</w:t>
      </w:r>
      <w:r w:rsidR="00C6294D">
        <w:t xml:space="preserve"> issues affect the provision of water, </w:t>
      </w:r>
      <w:r w:rsidR="009519E5">
        <w:t>including</w:t>
      </w:r>
      <w:r w:rsidR="00C6294D">
        <w:t xml:space="preserve"> community infrastructure. Recent studies </w:t>
      </w:r>
      <w:r w:rsidR="00CE0EDA">
        <w:t xml:space="preserve">have </w:t>
      </w:r>
      <w:r w:rsidR="00C6294D">
        <w:t>found a lack of</w:t>
      </w:r>
      <w:r>
        <w:t xml:space="preserve"> functioning taps, </w:t>
      </w:r>
      <w:proofErr w:type="gramStart"/>
      <w:r>
        <w:t>showers</w:t>
      </w:r>
      <w:proofErr w:type="gramEnd"/>
      <w:r>
        <w:t xml:space="preserve"> and toilets </w:t>
      </w:r>
      <w:r w:rsidR="00C6294D">
        <w:t xml:space="preserve">in remote communities </w:t>
      </w:r>
      <w:r>
        <w:t>(</w:t>
      </w:r>
      <w:r w:rsidR="00F4342C">
        <w:t>Hall et al</w:t>
      </w:r>
      <w:r w:rsidR="009519E5">
        <w:t>.</w:t>
      </w:r>
      <w:r w:rsidR="00F4342C">
        <w:t xml:space="preserve">, </w:t>
      </w:r>
      <w:r>
        <w:t>sub. 84, p. 6)</w:t>
      </w:r>
      <w:r w:rsidR="00226737">
        <w:t>.</w:t>
      </w:r>
      <w:r w:rsidR="00516816" w:rsidRPr="00516816">
        <w:t xml:space="preserve"> </w:t>
      </w:r>
      <w:r w:rsidR="00CE0EDA">
        <w:t xml:space="preserve">Moreover, </w:t>
      </w:r>
      <w:r w:rsidR="002B2505">
        <w:t xml:space="preserve">as discussed in section 2, </w:t>
      </w:r>
      <w:r w:rsidR="009519E5">
        <w:t xml:space="preserve">water </w:t>
      </w:r>
      <w:r w:rsidR="00F872CE" w:rsidRPr="004419E2">
        <w:t xml:space="preserve">security </w:t>
      </w:r>
      <w:r w:rsidR="009519E5">
        <w:t>challenges caused by drought and extreme events also affect remote Aboriginal and Torres Strait Islander communities</w:t>
      </w:r>
      <w:r w:rsidR="004419E2">
        <w:t>.</w:t>
      </w:r>
    </w:p>
    <w:p w14:paraId="1050508A" w14:textId="16D9BB94" w:rsidR="00725D5D" w:rsidRDefault="002B2505" w:rsidP="00665F9B">
      <w:pPr>
        <w:pStyle w:val="BodyText"/>
      </w:pPr>
      <w:r>
        <w:t>O</w:t>
      </w:r>
      <w:r w:rsidR="00516816" w:rsidRPr="00004E49">
        <w:t xml:space="preserve">ngoing water quality issues in some remote communities indicate that </w:t>
      </w:r>
      <w:r>
        <w:t xml:space="preserve">current arrangements for providing </w:t>
      </w:r>
      <w:r w:rsidR="00516816" w:rsidRPr="00BF1781">
        <w:t>safe water</w:t>
      </w:r>
      <w:r>
        <w:t xml:space="preserve"> are not adequate in some places</w:t>
      </w:r>
      <w:r w:rsidR="00516816" w:rsidRPr="00BF1781">
        <w:t>.</w:t>
      </w:r>
    </w:p>
    <w:p w14:paraId="1C5248BE" w14:textId="5A94027D" w:rsidR="000807D1" w:rsidRDefault="00E94382" w:rsidP="00767E0C">
      <w:pPr>
        <w:pStyle w:val="Heading3"/>
        <w:spacing w:before="600"/>
      </w:pPr>
      <w:bookmarkStart w:id="33" w:name="_Toc62043663"/>
      <w:r>
        <w:t>5.2</w:t>
      </w:r>
      <w:r>
        <w:tab/>
      </w:r>
      <w:r w:rsidR="002732CF">
        <w:t>W</w:t>
      </w:r>
      <w:r w:rsidR="000807D1">
        <w:t xml:space="preserve">ater </w:t>
      </w:r>
      <w:r w:rsidR="002732CF">
        <w:t xml:space="preserve">quality </w:t>
      </w:r>
      <w:r w:rsidR="000807D1">
        <w:t xml:space="preserve">is </w:t>
      </w:r>
      <w:r w:rsidR="009519E5">
        <w:t xml:space="preserve">especially </w:t>
      </w:r>
      <w:r w:rsidR="000807D1">
        <w:t>important to health outcomes</w:t>
      </w:r>
      <w:r w:rsidR="009519E5">
        <w:t xml:space="preserve"> in remote </w:t>
      </w:r>
      <w:proofErr w:type="gramStart"/>
      <w:r w:rsidR="009519E5">
        <w:t>communities</w:t>
      </w:r>
      <w:bookmarkEnd w:id="33"/>
      <w:proofErr w:type="gramEnd"/>
    </w:p>
    <w:p w14:paraId="558B5071" w14:textId="75C1F507" w:rsidR="004419E2" w:rsidRPr="00774BD5" w:rsidRDefault="004419E2" w:rsidP="009519E5">
      <w:pPr>
        <w:pStyle w:val="BodyText"/>
        <w:rPr>
          <w:spacing w:val="-2"/>
        </w:rPr>
      </w:pPr>
      <w:r w:rsidRPr="00774BD5">
        <w:rPr>
          <w:spacing w:val="-2"/>
        </w:rPr>
        <w:t>Medical and social research have demonstrated that poor quality water and sanitation ha</w:t>
      </w:r>
      <w:r w:rsidR="00CD3752" w:rsidRPr="00774BD5">
        <w:rPr>
          <w:spacing w:val="-2"/>
        </w:rPr>
        <w:t>ve</w:t>
      </w:r>
      <w:r w:rsidRPr="00774BD5">
        <w:rPr>
          <w:spacing w:val="-2"/>
        </w:rPr>
        <w:t xml:space="preserve"> flow on effects for health outcomes in remote Aboriginal and Torres Strait Islander communities </w:t>
      </w:r>
      <w:r w:rsidR="005F46AA" w:rsidRPr="00774BD5">
        <w:rPr>
          <w:spacing w:val="-2"/>
          <w:szCs w:val="24"/>
        </w:rPr>
        <w:t>(DFAT 2018)</w:t>
      </w:r>
      <w:r w:rsidRPr="00774BD5">
        <w:rPr>
          <w:spacing w:val="-2"/>
        </w:rPr>
        <w:t xml:space="preserve">. </w:t>
      </w:r>
      <w:r w:rsidR="0054117E" w:rsidRPr="00774BD5">
        <w:rPr>
          <w:spacing w:val="-2"/>
        </w:rPr>
        <w:t>There are also key economic benefits</w:t>
      </w:r>
      <w:r w:rsidR="00CD3752" w:rsidRPr="00774BD5">
        <w:rPr>
          <w:spacing w:val="-2"/>
        </w:rPr>
        <w:t xml:space="preserve"> in higher quality water services</w:t>
      </w:r>
      <w:r w:rsidR="0054117E" w:rsidRPr="00774BD5">
        <w:rPr>
          <w:spacing w:val="-2"/>
        </w:rPr>
        <w:t xml:space="preserve">, both </w:t>
      </w:r>
      <w:r w:rsidR="00901263" w:rsidRPr="00774BD5">
        <w:rPr>
          <w:spacing w:val="-2"/>
        </w:rPr>
        <w:t xml:space="preserve">from </w:t>
      </w:r>
      <w:r w:rsidR="0054117E" w:rsidRPr="00774BD5">
        <w:rPr>
          <w:spacing w:val="-2"/>
        </w:rPr>
        <w:t>reduc</w:t>
      </w:r>
      <w:r w:rsidR="00901263" w:rsidRPr="00774BD5">
        <w:rPr>
          <w:spacing w:val="-2"/>
        </w:rPr>
        <w:t>tions in</w:t>
      </w:r>
      <w:r w:rsidR="0054117E" w:rsidRPr="00774BD5">
        <w:rPr>
          <w:spacing w:val="-2"/>
        </w:rPr>
        <w:t xml:space="preserve"> the burden of disease on individuals and communities, </w:t>
      </w:r>
      <w:r w:rsidR="009519E5" w:rsidRPr="00774BD5">
        <w:rPr>
          <w:spacing w:val="-2"/>
        </w:rPr>
        <w:t xml:space="preserve">and </w:t>
      </w:r>
      <w:r w:rsidR="00901263" w:rsidRPr="00774BD5">
        <w:rPr>
          <w:spacing w:val="-2"/>
        </w:rPr>
        <w:t xml:space="preserve">in reductions of the </w:t>
      </w:r>
      <w:r w:rsidR="0054117E" w:rsidRPr="00774BD5">
        <w:rPr>
          <w:spacing w:val="-2"/>
        </w:rPr>
        <w:t>burden</w:t>
      </w:r>
      <w:r w:rsidR="00901263" w:rsidRPr="00774BD5">
        <w:rPr>
          <w:spacing w:val="-2"/>
        </w:rPr>
        <w:t xml:space="preserve"> </w:t>
      </w:r>
      <w:r w:rsidR="0054117E" w:rsidRPr="00774BD5">
        <w:rPr>
          <w:spacing w:val="-2"/>
        </w:rPr>
        <w:t>on health systems (WSAA, sub. 88, p. 42</w:t>
      </w:r>
      <w:r w:rsidR="009519E5" w:rsidRPr="00774BD5">
        <w:rPr>
          <w:spacing w:val="-2"/>
        </w:rPr>
        <w:t>; NHMRC, sub. 93, p. 3</w:t>
      </w:r>
      <w:r w:rsidR="0054117E" w:rsidRPr="00774BD5">
        <w:rPr>
          <w:spacing w:val="-2"/>
        </w:rPr>
        <w:t>).</w:t>
      </w:r>
    </w:p>
    <w:p w14:paraId="4101CC15" w14:textId="5EB1700E" w:rsidR="005A7924" w:rsidRDefault="008345D8" w:rsidP="00767E0C">
      <w:pPr>
        <w:pStyle w:val="Heading4"/>
        <w:spacing w:before="400"/>
      </w:pPr>
      <w:r>
        <w:t xml:space="preserve">Water is a protective factor against </w:t>
      </w:r>
      <w:r w:rsidR="001C08A3">
        <w:t>i</w:t>
      </w:r>
      <w:r w:rsidR="005A7924">
        <w:t xml:space="preserve">nfectious </w:t>
      </w:r>
      <w:proofErr w:type="gramStart"/>
      <w:r w:rsidR="009519E5">
        <w:t>disease</w:t>
      </w:r>
      <w:r w:rsidR="002B2505">
        <w:t>s</w:t>
      </w:r>
      <w:proofErr w:type="gramEnd"/>
    </w:p>
    <w:p w14:paraId="30F28763" w14:textId="1588F34E" w:rsidR="00E4775F" w:rsidRDefault="00E4775F" w:rsidP="00665F9B">
      <w:pPr>
        <w:pStyle w:val="BodyText"/>
      </w:pPr>
      <w:r>
        <w:t>A lack of</w:t>
      </w:r>
      <w:r w:rsidR="002732CF">
        <w:t xml:space="preserve"> safe and reliable </w:t>
      </w:r>
      <w:r>
        <w:t xml:space="preserve">water and sanitation </w:t>
      </w:r>
      <w:r w:rsidR="00665619">
        <w:t>can increase the risk of</w:t>
      </w:r>
      <w:r>
        <w:t xml:space="preserve"> preventable, hygiene</w:t>
      </w:r>
      <w:r w:rsidR="00641710">
        <w:noBreakHyphen/>
      </w:r>
      <w:r>
        <w:t xml:space="preserve">related </w:t>
      </w:r>
      <w:r w:rsidR="00665619">
        <w:t>infections</w:t>
      </w:r>
      <w:r>
        <w:t>, such as:</w:t>
      </w:r>
    </w:p>
    <w:p w14:paraId="7500BA0D" w14:textId="36AE45D7" w:rsidR="009D2EE1" w:rsidRDefault="009D2EE1" w:rsidP="00E4775F">
      <w:pPr>
        <w:pStyle w:val="ListBullet"/>
      </w:pPr>
      <w:r>
        <w:t>diarrhoeal illnesses</w:t>
      </w:r>
    </w:p>
    <w:p w14:paraId="68DDEE9E" w14:textId="4A060D50" w:rsidR="009D2EE1" w:rsidRDefault="009D2EE1" w:rsidP="00E4775F">
      <w:pPr>
        <w:pStyle w:val="ListBullet"/>
      </w:pPr>
      <w:r>
        <w:t>skin infections such as boils, scabies</w:t>
      </w:r>
      <w:r w:rsidR="002F7956">
        <w:t xml:space="preserve">, </w:t>
      </w:r>
      <w:r>
        <w:t xml:space="preserve">school sores </w:t>
      </w:r>
      <w:r w:rsidR="00375BC1">
        <w:t xml:space="preserve">and </w:t>
      </w:r>
      <w:r w:rsidR="002F7956">
        <w:t>leprosy</w:t>
      </w:r>
    </w:p>
    <w:p w14:paraId="148CA866" w14:textId="0A69A6C4" w:rsidR="009D2EE1" w:rsidRDefault="009D2EE1" w:rsidP="00E4775F">
      <w:pPr>
        <w:pStyle w:val="ListBullet"/>
      </w:pPr>
      <w:r>
        <w:t>eye infections such as trachoma</w:t>
      </w:r>
    </w:p>
    <w:p w14:paraId="4CBB53E8" w14:textId="77777777" w:rsidR="00612B2D" w:rsidRDefault="00553FE6" w:rsidP="00612B2D">
      <w:pPr>
        <w:pStyle w:val="ListBullet"/>
      </w:pPr>
      <w:r>
        <w:t>ear, nose and throat infections</w:t>
      </w:r>
      <w:r w:rsidR="004D318C">
        <w:t xml:space="preserve">, </w:t>
      </w:r>
      <w:r>
        <w:t>especially middle ear infections</w:t>
      </w:r>
      <w:r w:rsidR="00D80B14">
        <w:t>.</w:t>
      </w:r>
      <w:r w:rsidR="009519E5" w:rsidRPr="00C20339">
        <w:rPr>
          <w:rStyle w:val="FootnoteReference"/>
        </w:rPr>
        <w:footnoteReference w:id="12"/>
      </w:r>
    </w:p>
    <w:p w14:paraId="3650B08C" w14:textId="4BAE0421" w:rsidR="009910A3" w:rsidRPr="00665F9B" w:rsidRDefault="00665619" w:rsidP="00665F9B">
      <w:pPr>
        <w:pStyle w:val="BodyText"/>
      </w:pPr>
      <w:r w:rsidRPr="00665F9B">
        <w:lastRenderedPageBreak/>
        <w:t>A lack of access to</w:t>
      </w:r>
      <w:r w:rsidR="0081288B" w:rsidRPr="00665F9B">
        <w:t xml:space="preserve"> safe</w:t>
      </w:r>
      <w:r w:rsidRPr="00665F9B">
        <w:t xml:space="preserve"> water and </w:t>
      </w:r>
      <w:r w:rsidR="00FD2828" w:rsidRPr="00665F9B">
        <w:t xml:space="preserve">adequate </w:t>
      </w:r>
      <w:r w:rsidRPr="00665F9B">
        <w:t>sanitation can</w:t>
      </w:r>
      <w:r w:rsidR="002732CF" w:rsidRPr="00665F9B">
        <w:t xml:space="preserve"> also</w:t>
      </w:r>
      <w:r w:rsidRPr="00665F9B">
        <w:t xml:space="preserve"> worsen existing health issues</w:t>
      </w:r>
      <w:r w:rsidR="00077FAE" w:rsidRPr="00665F9B">
        <w:t xml:space="preserve"> </w:t>
      </w:r>
      <w:r w:rsidR="00C20339" w:rsidRPr="00C20339">
        <w:rPr>
          <w:szCs w:val="24"/>
        </w:rPr>
        <w:t>(IA 2019, p. 602)</w:t>
      </w:r>
      <w:r w:rsidRPr="00665F9B">
        <w:t xml:space="preserve"> and</w:t>
      </w:r>
      <w:r w:rsidR="009519E5" w:rsidRPr="00665F9B">
        <w:t>,</w:t>
      </w:r>
      <w:r w:rsidRPr="00665F9B">
        <w:t xml:space="preserve"> if repeated infections occur, this can result in ‘chronic diseases of </w:t>
      </w:r>
      <w:r w:rsidR="00E4775F" w:rsidRPr="00665F9B">
        <w:t>limited growth (stunting and wasting), blindness, rheumatic heart disease, renal failure and anaemia</w:t>
      </w:r>
      <w:r w:rsidRPr="00665F9B">
        <w:t>’</w:t>
      </w:r>
      <w:r w:rsidR="00E4775F" w:rsidRPr="00665F9B">
        <w:t xml:space="preserve"> (</w:t>
      </w:r>
      <w:r w:rsidR="00F4342C" w:rsidRPr="00665F9B">
        <w:t>Hall</w:t>
      </w:r>
      <w:r w:rsidR="009519E5" w:rsidRPr="00665F9B">
        <w:t> </w:t>
      </w:r>
      <w:r w:rsidR="00F4342C" w:rsidRPr="00665F9B">
        <w:t>et al</w:t>
      </w:r>
      <w:r w:rsidR="00EC20B1" w:rsidRPr="00665F9B">
        <w:t>.</w:t>
      </w:r>
      <w:r w:rsidR="00F4342C" w:rsidRPr="00665F9B">
        <w:t>,</w:t>
      </w:r>
      <w:r w:rsidR="00107A58" w:rsidRPr="00665F9B">
        <w:t xml:space="preserve"> </w:t>
      </w:r>
      <w:r w:rsidR="00E4775F" w:rsidRPr="00665F9B">
        <w:t>sub. 8</w:t>
      </w:r>
      <w:r w:rsidRPr="00665F9B">
        <w:t>4</w:t>
      </w:r>
      <w:r w:rsidR="00E4775F" w:rsidRPr="00665F9B">
        <w:t>, p. </w:t>
      </w:r>
      <w:r w:rsidR="00F573AE" w:rsidRPr="00665F9B">
        <w:t>6</w:t>
      </w:r>
      <w:r w:rsidR="00E4775F" w:rsidRPr="00665F9B">
        <w:t>)</w:t>
      </w:r>
      <w:r w:rsidRPr="00665F9B">
        <w:t>.</w:t>
      </w:r>
      <w:r w:rsidR="000014AD" w:rsidRPr="00665F9B">
        <w:t xml:space="preserve"> </w:t>
      </w:r>
      <w:r w:rsidR="008446DD" w:rsidRPr="00665F9B">
        <w:t>R</w:t>
      </w:r>
      <w:r w:rsidR="00C57735" w:rsidRPr="00665F9B">
        <w:t xml:space="preserve">heumatic heart disease </w:t>
      </w:r>
      <w:r w:rsidR="003921F8" w:rsidRPr="00665F9B">
        <w:t>disproportionately affects Aboriginal and Torres Strait Islander people. Of all the people</w:t>
      </w:r>
      <w:r w:rsidR="00381EF8" w:rsidRPr="00665F9B">
        <w:t xml:space="preserve"> in Australia</w:t>
      </w:r>
      <w:r w:rsidR="003921F8" w:rsidRPr="00665F9B">
        <w:t xml:space="preserve"> living with</w:t>
      </w:r>
      <w:r w:rsidR="004302AD" w:rsidRPr="00665F9B">
        <w:t xml:space="preserve"> rheumatic heart disease,</w:t>
      </w:r>
      <w:r w:rsidR="003921F8" w:rsidRPr="00665F9B">
        <w:t xml:space="preserve"> </w:t>
      </w:r>
      <w:r w:rsidR="008154CF" w:rsidRPr="00665F9B">
        <w:t>it is estimated that</w:t>
      </w:r>
      <w:r w:rsidR="006F073E" w:rsidRPr="00665F9B">
        <w:t xml:space="preserve"> between </w:t>
      </w:r>
      <w:r w:rsidR="003921F8" w:rsidRPr="00665F9B">
        <w:t xml:space="preserve">71 to 94 per cent </w:t>
      </w:r>
      <w:r w:rsidR="004302AD" w:rsidRPr="00665F9B">
        <w:t xml:space="preserve">are Aboriginal and Torres Strait Islander </w:t>
      </w:r>
      <w:r w:rsidR="00304955" w:rsidRPr="00665F9B">
        <w:t>people</w:t>
      </w:r>
      <w:r w:rsidR="00AC1B26" w:rsidRPr="00665F9B">
        <w:t xml:space="preserve"> </w:t>
      </w:r>
      <w:r w:rsidR="00077FAE" w:rsidRPr="00665F9B">
        <w:t>(Telethon Kids Institute 2020, p. 11)</w:t>
      </w:r>
      <w:r w:rsidR="00304955" w:rsidRPr="00665F9B">
        <w:t xml:space="preserve">. </w:t>
      </w:r>
    </w:p>
    <w:p w14:paraId="653351F8" w14:textId="02349AE6" w:rsidR="00272488" w:rsidRPr="001203D1" w:rsidRDefault="008345D8" w:rsidP="001203D1">
      <w:pPr>
        <w:pStyle w:val="Heading4"/>
      </w:pPr>
      <w:r w:rsidRPr="001203D1">
        <w:t>Water quality e</w:t>
      </w:r>
      <w:r w:rsidR="001C08A3" w:rsidRPr="001203D1">
        <w:t>nabl</w:t>
      </w:r>
      <w:r w:rsidRPr="001203D1">
        <w:t>es</w:t>
      </w:r>
      <w:r w:rsidR="001C08A3" w:rsidRPr="001203D1">
        <w:t xml:space="preserve"> m</w:t>
      </w:r>
      <w:r w:rsidR="00AA5F14" w:rsidRPr="001203D1">
        <w:t xml:space="preserve">edical treatment on </w:t>
      </w:r>
      <w:proofErr w:type="gramStart"/>
      <w:r w:rsidR="00AA5F14" w:rsidRPr="001203D1">
        <w:t>Country</w:t>
      </w:r>
      <w:proofErr w:type="gramEnd"/>
    </w:p>
    <w:p w14:paraId="739C64B9" w14:textId="67CD7699" w:rsidR="004564FF" w:rsidRDefault="000807D1" w:rsidP="00C017B1">
      <w:pPr>
        <w:pStyle w:val="BodyText"/>
      </w:pPr>
      <w:r w:rsidRPr="001C08A3">
        <w:t xml:space="preserve">In addition to helping prevent diseases, clean water is needed for the treatment of </w:t>
      </w:r>
      <w:r w:rsidR="00901263">
        <w:t xml:space="preserve">some </w:t>
      </w:r>
      <w:r w:rsidRPr="001C08A3">
        <w:t xml:space="preserve">health conditions. </w:t>
      </w:r>
      <w:r w:rsidR="0098328C">
        <w:t>For example, i</w:t>
      </w:r>
      <w:r w:rsidR="00942F91" w:rsidRPr="001C08A3">
        <w:t>n 2012</w:t>
      </w:r>
      <w:r w:rsidR="00641710">
        <w:noBreakHyphen/>
      </w:r>
      <w:r w:rsidR="001C08A3" w:rsidRPr="001C08A3">
        <w:t>13, 18 per </w:t>
      </w:r>
      <w:r w:rsidR="00942F91" w:rsidRPr="001C08A3">
        <w:t>cent of Aboriginal and Torres Strait Islander adults had biomedical signs of Chronic Kidney Disease</w:t>
      </w:r>
      <w:r w:rsidR="00BF5315" w:rsidRPr="001C08A3">
        <w:t xml:space="preserve"> (CKD)</w:t>
      </w:r>
      <w:r w:rsidR="002732CF">
        <w:t xml:space="preserve">, </w:t>
      </w:r>
      <w:r w:rsidR="00C017B1">
        <w:t xml:space="preserve">more than </w:t>
      </w:r>
      <w:r w:rsidR="002732CF">
        <w:t xml:space="preserve">twice the prevalence </w:t>
      </w:r>
      <w:r w:rsidR="0098328C">
        <w:t>of this condition among</w:t>
      </w:r>
      <w:r w:rsidR="002732CF">
        <w:t xml:space="preserve"> </w:t>
      </w:r>
      <w:r w:rsidR="00942F91" w:rsidRPr="001C08A3">
        <w:t>non</w:t>
      </w:r>
      <w:r w:rsidR="00641710">
        <w:noBreakHyphen/>
      </w:r>
      <w:r w:rsidR="00942F91" w:rsidRPr="001C08A3">
        <w:t xml:space="preserve">Indigenous adults </w:t>
      </w:r>
      <w:r w:rsidR="0098328C">
        <w:t>(adjusting for differences in population age profiles)</w:t>
      </w:r>
      <w:r w:rsidR="00942F91" w:rsidRPr="001C08A3">
        <w:t xml:space="preserve"> </w:t>
      </w:r>
      <w:r w:rsidR="00AC53A4" w:rsidRPr="00AC53A4">
        <w:rPr>
          <w:szCs w:val="24"/>
        </w:rPr>
        <w:t>(AIHW 2020, p. v)</w:t>
      </w:r>
      <w:r w:rsidR="00555223" w:rsidRPr="001C08A3">
        <w:t>.</w:t>
      </w:r>
      <w:r w:rsidR="00BF5315" w:rsidRPr="001C08A3">
        <w:t xml:space="preserve"> </w:t>
      </w:r>
      <w:r w:rsidR="00C017B1">
        <w:t>Successful treatment of end</w:t>
      </w:r>
      <w:r w:rsidR="002F5149">
        <w:noBreakHyphen/>
      </w:r>
      <w:r w:rsidR="00C017B1">
        <w:t>stage kidney disease requires clean water for dialysis</w:t>
      </w:r>
      <w:r w:rsidR="00D9172F">
        <w:t>.</w:t>
      </w:r>
      <w:r w:rsidR="00AC53A4">
        <w:t xml:space="preserve"> </w:t>
      </w:r>
      <w:r w:rsidR="00E40A4F">
        <w:t xml:space="preserve">To overcome </w:t>
      </w:r>
      <w:r w:rsidR="0098328C">
        <w:t>shortages of clean water</w:t>
      </w:r>
      <w:r w:rsidR="00E40A4F">
        <w:t xml:space="preserve">, </w:t>
      </w:r>
      <w:r w:rsidR="00BC57D9">
        <w:t>mobile dialysis service</w:t>
      </w:r>
      <w:r w:rsidR="00E40A4F">
        <w:t>s</w:t>
      </w:r>
      <w:r w:rsidR="00BC57D9">
        <w:t xml:space="preserve"> travel to remote communities</w:t>
      </w:r>
      <w:r w:rsidR="00E40A4F">
        <w:t xml:space="preserve"> bring</w:t>
      </w:r>
      <w:r w:rsidR="000E5180">
        <w:t>ing</w:t>
      </w:r>
      <w:r w:rsidR="00E40A4F">
        <w:t xml:space="preserve"> the safe water </w:t>
      </w:r>
      <w:r w:rsidR="004A2C62">
        <w:t xml:space="preserve">required </w:t>
      </w:r>
      <w:r w:rsidR="00E40A4F">
        <w:t>to operate</w:t>
      </w:r>
      <w:r w:rsidR="00BC57D9">
        <w:t xml:space="preserve"> </w:t>
      </w:r>
      <w:r w:rsidR="005F46AA" w:rsidRPr="005F46AA">
        <w:rPr>
          <w:szCs w:val="24"/>
        </w:rPr>
        <w:t>(Purple House 2020)</w:t>
      </w:r>
      <w:r w:rsidR="00BC57D9">
        <w:t>.</w:t>
      </w:r>
    </w:p>
    <w:p w14:paraId="597E239A" w14:textId="1D7F5F92" w:rsidR="004564FF" w:rsidRPr="00D0067D" w:rsidRDefault="008345D8" w:rsidP="00E05196">
      <w:pPr>
        <w:pStyle w:val="Heading4"/>
      </w:pPr>
      <w:r w:rsidRPr="00D0067D">
        <w:t xml:space="preserve">Water quality will </w:t>
      </w:r>
      <w:r w:rsidR="00D0067D">
        <w:t>make</w:t>
      </w:r>
      <w:r w:rsidR="00D0067D" w:rsidRPr="00D0067D">
        <w:t xml:space="preserve"> </w:t>
      </w:r>
      <w:r w:rsidRPr="00D0067D">
        <w:t>a significant contribution</w:t>
      </w:r>
      <w:r w:rsidR="001C08A3" w:rsidRPr="00D0067D">
        <w:t xml:space="preserve"> to the </w:t>
      </w:r>
      <w:r w:rsidR="00CB73A9" w:rsidRPr="00D0067D">
        <w:t>Closing the Gap</w:t>
      </w:r>
      <w:r w:rsidR="001C08A3" w:rsidRPr="00D0067D">
        <w:t xml:space="preserve"> agenda</w:t>
      </w:r>
    </w:p>
    <w:p w14:paraId="0F74072B" w14:textId="7F4410FB" w:rsidR="00FA0C43" w:rsidRDefault="001C08A3" w:rsidP="004564FF">
      <w:pPr>
        <w:pStyle w:val="BodyText"/>
      </w:pPr>
      <w:r>
        <w:t>In 2020, all Governments committed to a refresh of the Closing the Gap agenda</w:t>
      </w:r>
      <w:r w:rsidR="009C416E">
        <w:t xml:space="preserve"> under the National Agreement on Closing the Gap</w:t>
      </w:r>
      <w:r>
        <w:t xml:space="preserve"> </w:t>
      </w:r>
      <w:r w:rsidR="005F46AA" w:rsidRPr="005F46AA">
        <w:rPr>
          <w:szCs w:val="24"/>
        </w:rPr>
        <w:t>(Australian Governments and the Coalition of Peaks 2020)</w:t>
      </w:r>
      <w:r>
        <w:t xml:space="preserve">. </w:t>
      </w:r>
      <w:r w:rsidR="004564FF">
        <w:t>Many of the targets are aimed at supporting health outcomes</w:t>
      </w:r>
      <w:r w:rsidR="00CB73A9">
        <w:t xml:space="preserve"> (</w:t>
      </w:r>
      <w:r w:rsidR="004564FF">
        <w:t xml:space="preserve">such as </w:t>
      </w:r>
      <w:r w:rsidR="00AE63AE">
        <w:t>child mortality</w:t>
      </w:r>
      <w:r w:rsidR="00CB73A9">
        <w:t xml:space="preserve"> and community infrastructure targets), and others are </w:t>
      </w:r>
      <w:r>
        <w:t xml:space="preserve">dependent on good </w:t>
      </w:r>
      <w:r w:rsidR="00CB73A9">
        <w:t xml:space="preserve">health </w:t>
      </w:r>
      <w:r>
        <w:t xml:space="preserve">outcomes </w:t>
      </w:r>
      <w:r w:rsidR="00CB73A9">
        <w:t>(such as education and employment targ</w:t>
      </w:r>
      <w:r>
        <w:t>ets).</w:t>
      </w:r>
      <w:r w:rsidR="00FA0C43">
        <w:t xml:space="preserve"> As outlined above, </w:t>
      </w:r>
      <w:proofErr w:type="gramStart"/>
      <w:r w:rsidR="004E5084">
        <w:t>safe</w:t>
      </w:r>
      <w:proofErr w:type="gramEnd"/>
      <w:r w:rsidR="004E5084">
        <w:t xml:space="preserve"> and reliable </w:t>
      </w:r>
      <w:r w:rsidR="00CB73A9">
        <w:t xml:space="preserve">water </w:t>
      </w:r>
      <w:r w:rsidR="000569BA">
        <w:t>has a direct effect on</w:t>
      </w:r>
      <w:r w:rsidR="00CB73A9">
        <w:t xml:space="preserve"> </w:t>
      </w:r>
      <w:r w:rsidR="000569BA">
        <w:t xml:space="preserve">the achievement of </w:t>
      </w:r>
      <w:r w:rsidR="00FA0C43">
        <w:t>health outcomes.</w:t>
      </w:r>
    </w:p>
    <w:p w14:paraId="7899A0C0" w14:textId="612C0EEB" w:rsidR="00725D5D" w:rsidRPr="00774BD5" w:rsidRDefault="00FA0C43" w:rsidP="00665F9B">
      <w:pPr>
        <w:pStyle w:val="BodyText"/>
        <w:rPr>
          <w:spacing w:val="-2"/>
        </w:rPr>
      </w:pPr>
      <w:r w:rsidRPr="00774BD5">
        <w:rPr>
          <w:spacing w:val="-2"/>
        </w:rPr>
        <w:t>T</w:t>
      </w:r>
      <w:r w:rsidR="001C08A3" w:rsidRPr="00774BD5">
        <w:rPr>
          <w:spacing w:val="-2"/>
        </w:rPr>
        <w:t xml:space="preserve">here </w:t>
      </w:r>
      <w:r w:rsidR="00CB73A9" w:rsidRPr="00774BD5">
        <w:rPr>
          <w:spacing w:val="-2"/>
        </w:rPr>
        <w:t>are</w:t>
      </w:r>
      <w:r w:rsidRPr="00774BD5">
        <w:rPr>
          <w:spacing w:val="-2"/>
        </w:rPr>
        <w:t xml:space="preserve"> also indirect</w:t>
      </w:r>
      <w:r w:rsidR="00CB73A9" w:rsidRPr="00774BD5">
        <w:rPr>
          <w:spacing w:val="-2"/>
        </w:rPr>
        <w:t xml:space="preserve"> interactions between water</w:t>
      </w:r>
      <w:r w:rsidRPr="00774BD5">
        <w:rPr>
          <w:spacing w:val="-2"/>
        </w:rPr>
        <w:t xml:space="preserve"> </w:t>
      </w:r>
      <w:r w:rsidR="00CB73A9" w:rsidRPr="00774BD5">
        <w:rPr>
          <w:spacing w:val="-2"/>
        </w:rPr>
        <w:t>and other factors</w:t>
      </w:r>
      <w:r w:rsidR="00933793" w:rsidRPr="00774BD5">
        <w:rPr>
          <w:spacing w:val="-2"/>
        </w:rPr>
        <w:t xml:space="preserve"> that contribute to </w:t>
      </w:r>
      <w:r w:rsidRPr="00774BD5">
        <w:rPr>
          <w:spacing w:val="-2"/>
        </w:rPr>
        <w:t xml:space="preserve">health </w:t>
      </w:r>
      <w:r w:rsidR="00933793" w:rsidRPr="00774BD5">
        <w:rPr>
          <w:spacing w:val="-2"/>
        </w:rPr>
        <w:t>outcomes</w:t>
      </w:r>
      <w:r w:rsidR="00CB73A9" w:rsidRPr="00774BD5">
        <w:rPr>
          <w:spacing w:val="-2"/>
        </w:rPr>
        <w:t xml:space="preserve">. One </w:t>
      </w:r>
      <w:r w:rsidR="006A1FDE" w:rsidRPr="00774BD5">
        <w:rPr>
          <w:spacing w:val="-2"/>
        </w:rPr>
        <w:t>such</w:t>
      </w:r>
      <w:r w:rsidR="00CB73A9" w:rsidRPr="00774BD5">
        <w:rPr>
          <w:spacing w:val="-2"/>
        </w:rPr>
        <w:t xml:space="preserve"> factor is the provision of </w:t>
      </w:r>
      <w:r w:rsidR="00CD3752" w:rsidRPr="00774BD5">
        <w:rPr>
          <w:spacing w:val="-2"/>
        </w:rPr>
        <w:t xml:space="preserve">uncrowded and </w:t>
      </w:r>
      <w:r w:rsidR="00642C03" w:rsidRPr="00774BD5">
        <w:rPr>
          <w:spacing w:val="-2"/>
        </w:rPr>
        <w:t>reasonably comfortable</w:t>
      </w:r>
      <w:r w:rsidR="00CB73A9" w:rsidRPr="00774BD5">
        <w:rPr>
          <w:spacing w:val="-2"/>
        </w:rPr>
        <w:t xml:space="preserve"> housing</w:t>
      </w:r>
      <w:r w:rsidR="006A1FDE" w:rsidRPr="00774BD5">
        <w:rPr>
          <w:spacing w:val="-2"/>
        </w:rPr>
        <w:t xml:space="preserve"> and</w:t>
      </w:r>
      <w:r w:rsidR="00F616AE" w:rsidRPr="00774BD5">
        <w:rPr>
          <w:spacing w:val="-2"/>
        </w:rPr>
        <w:t xml:space="preserve"> associated</w:t>
      </w:r>
      <w:r w:rsidR="006A1FDE" w:rsidRPr="00774BD5">
        <w:rPr>
          <w:spacing w:val="-2"/>
        </w:rPr>
        <w:t xml:space="preserve"> community infrastructure</w:t>
      </w:r>
      <w:r w:rsidR="00F616AE" w:rsidRPr="00774BD5">
        <w:rPr>
          <w:spacing w:val="-2"/>
        </w:rPr>
        <w:t xml:space="preserve">. </w:t>
      </w:r>
      <w:r w:rsidR="00CD0DD8" w:rsidRPr="00774BD5">
        <w:rPr>
          <w:spacing w:val="-2"/>
        </w:rPr>
        <w:t>In th</w:t>
      </w:r>
      <w:r w:rsidR="00A55716" w:rsidRPr="00774BD5">
        <w:rPr>
          <w:spacing w:val="-2"/>
        </w:rPr>
        <w:t>e Central Land Council’s</w:t>
      </w:r>
      <w:r w:rsidR="00CD0DD8" w:rsidRPr="00774BD5">
        <w:rPr>
          <w:spacing w:val="-2"/>
        </w:rPr>
        <w:t xml:space="preserve"> view</w:t>
      </w:r>
      <w:r w:rsidR="003A057F" w:rsidRPr="00774BD5">
        <w:rPr>
          <w:spacing w:val="-2"/>
        </w:rPr>
        <w:t xml:space="preserve"> (sub. 35, p. 11)</w:t>
      </w:r>
      <w:r w:rsidR="00CD0DD8" w:rsidRPr="00774BD5">
        <w:rPr>
          <w:spacing w:val="-2"/>
        </w:rPr>
        <w:t>, the delivery of</w:t>
      </w:r>
      <w:r w:rsidR="00526EC6" w:rsidRPr="00774BD5">
        <w:rPr>
          <w:spacing w:val="-2"/>
        </w:rPr>
        <w:t xml:space="preserve"> sufficient</w:t>
      </w:r>
      <w:r w:rsidR="00CD0DD8" w:rsidRPr="00774BD5">
        <w:rPr>
          <w:spacing w:val="-2"/>
        </w:rPr>
        <w:t xml:space="preserve"> community </w:t>
      </w:r>
      <w:r w:rsidR="00526EC6" w:rsidRPr="00774BD5">
        <w:rPr>
          <w:spacing w:val="-2"/>
        </w:rPr>
        <w:t xml:space="preserve">housing </w:t>
      </w:r>
      <w:r w:rsidR="00CD0DD8" w:rsidRPr="00774BD5">
        <w:rPr>
          <w:spacing w:val="-2"/>
        </w:rPr>
        <w:t>is impaired by assessments of water sources that indicate ‘no existing capacity for remote development’</w:t>
      </w:r>
      <w:r w:rsidR="00F616AE" w:rsidRPr="00774BD5">
        <w:rPr>
          <w:spacing w:val="-2"/>
        </w:rPr>
        <w:t>.</w:t>
      </w:r>
      <w:r w:rsidR="00A55716" w:rsidRPr="00774BD5">
        <w:rPr>
          <w:spacing w:val="-2"/>
        </w:rPr>
        <w:t xml:space="preserve"> This </w:t>
      </w:r>
      <w:r w:rsidR="00D0067D" w:rsidRPr="00774BD5">
        <w:rPr>
          <w:spacing w:val="-2"/>
        </w:rPr>
        <w:t xml:space="preserve">can limit </w:t>
      </w:r>
      <w:r w:rsidR="00A55716" w:rsidRPr="00774BD5">
        <w:rPr>
          <w:spacing w:val="-2"/>
        </w:rPr>
        <w:t xml:space="preserve">the </w:t>
      </w:r>
      <w:r w:rsidRPr="00774BD5">
        <w:rPr>
          <w:spacing w:val="-2"/>
        </w:rPr>
        <w:t xml:space="preserve">stock of available housing in remote areas and </w:t>
      </w:r>
      <w:r w:rsidR="00D0067D" w:rsidRPr="00774BD5">
        <w:rPr>
          <w:spacing w:val="-2"/>
        </w:rPr>
        <w:t xml:space="preserve">exacerbate </w:t>
      </w:r>
      <w:r w:rsidR="00526EC6" w:rsidRPr="00774BD5">
        <w:rPr>
          <w:spacing w:val="-2"/>
        </w:rPr>
        <w:t xml:space="preserve">health </w:t>
      </w:r>
      <w:r w:rsidRPr="00774BD5">
        <w:rPr>
          <w:spacing w:val="-2"/>
        </w:rPr>
        <w:t xml:space="preserve">issues </w:t>
      </w:r>
      <w:r w:rsidR="00526EC6" w:rsidRPr="00774BD5">
        <w:rPr>
          <w:spacing w:val="-2"/>
        </w:rPr>
        <w:t>associated with</w:t>
      </w:r>
      <w:r w:rsidRPr="00774BD5">
        <w:rPr>
          <w:spacing w:val="-2"/>
        </w:rPr>
        <w:t xml:space="preserve"> overcrowding.</w:t>
      </w:r>
    </w:p>
    <w:p w14:paraId="1A3C61FE" w14:textId="5CDD9041" w:rsidR="0093501C" w:rsidRDefault="00E94382" w:rsidP="00665F9B">
      <w:pPr>
        <w:pStyle w:val="Heading3"/>
      </w:pPr>
      <w:bookmarkStart w:id="34" w:name="_Toc62043664"/>
      <w:r>
        <w:t>5.3</w:t>
      </w:r>
      <w:r>
        <w:tab/>
      </w:r>
      <w:r w:rsidR="0093501C">
        <w:t xml:space="preserve">Governments </w:t>
      </w:r>
      <w:r w:rsidR="0093501C" w:rsidRPr="00665F9B">
        <w:t>are</w:t>
      </w:r>
      <w:r w:rsidR="0093501C">
        <w:t xml:space="preserve"> responsible for </w:t>
      </w:r>
      <w:r w:rsidR="0028509D">
        <w:t xml:space="preserve">providing safe </w:t>
      </w:r>
      <w:proofErr w:type="gramStart"/>
      <w:r w:rsidR="0028509D">
        <w:t>water</w:t>
      </w:r>
      <w:bookmarkEnd w:id="34"/>
      <w:proofErr w:type="gramEnd"/>
    </w:p>
    <w:p w14:paraId="63892C95" w14:textId="1D2B07BC" w:rsidR="00725D5D" w:rsidRDefault="007016C1" w:rsidP="00665F9B">
      <w:pPr>
        <w:pStyle w:val="BodyText"/>
      </w:pPr>
      <w:r>
        <w:t>G</w:t>
      </w:r>
      <w:r w:rsidR="00A168EF">
        <w:t>overnment</w:t>
      </w:r>
      <w:r>
        <w:t>s</w:t>
      </w:r>
      <w:r w:rsidR="00A168EF">
        <w:t xml:space="preserve"> have made</w:t>
      </w:r>
      <w:r w:rsidR="00F03595">
        <w:t xml:space="preserve"> </w:t>
      </w:r>
      <w:r w:rsidR="003B1549">
        <w:t xml:space="preserve">a number of </w:t>
      </w:r>
      <w:r w:rsidR="003504C1">
        <w:t xml:space="preserve">commitments </w:t>
      </w:r>
      <w:r w:rsidR="003B1549">
        <w:t xml:space="preserve">to provide </w:t>
      </w:r>
      <w:r w:rsidR="00A168EF">
        <w:t xml:space="preserve">healthy </w:t>
      </w:r>
      <w:r w:rsidR="003B1549">
        <w:t>water in remote communities</w:t>
      </w:r>
      <w:r>
        <w:t xml:space="preserve"> in addition to the </w:t>
      </w:r>
      <w:r w:rsidRPr="002F30C4">
        <w:t>NWI</w:t>
      </w:r>
      <w:r>
        <w:t xml:space="preserve"> commitment to ‘provide</w:t>
      </w:r>
      <w:r w:rsidRPr="002F30C4">
        <w:t xml:space="preserve"> healthy, safe and reliable water</w:t>
      </w:r>
      <w:r>
        <w:t xml:space="preserve"> </w:t>
      </w:r>
      <w:proofErr w:type="gramStart"/>
      <w:r>
        <w:t>supplies’</w:t>
      </w:r>
      <w:proofErr w:type="gramEnd"/>
      <w:r w:rsidR="004F7646">
        <w:t>.</w:t>
      </w:r>
      <w:r w:rsidRPr="00C20339">
        <w:rPr>
          <w:rStyle w:val="FootnoteReference"/>
        </w:rPr>
        <w:footnoteReference w:id="13"/>
      </w:r>
    </w:p>
    <w:p w14:paraId="38317038" w14:textId="3979A607" w:rsidR="000913A4" w:rsidRPr="00665F9B" w:rsidRDefault="005E48C7" w:rsidP="00665F9B">
      <w:pPr>
        <w:pStyle w:val="Heading4"/>
      </w:pPr>
      <w:r w:rsidRPr="00665F9B">
        <w:lastRenderedPageBreak/>
        <w:t xml:space="preserve">Australia </w:t>
      </w:r>
      <w:r w:rsidR="004D3229" w:rsidRPr="00665F9B">
        <w:t>is a signatory</w:t>
      </w:r>
      <w:r w:rsidRPr="00665F9B">
        <w:t xml:space="preserve"> to the </w:t>
      </w:r>
      <w:r w:rsidR="007F472D" w:rsidRPr="00665F9B">
        <w:t>United Nations Sustainable Development Goal</w:t>
      </w:r>
      <w:r w:rsidR="00D0067D" w:rsidRPr="00665F9B">
        <w:t>s</w:t>
      </w:r>
    </w:p>
    <w:p w14:paraId="6C39CB1A" w14:textId="3901232A" w:rsidR="00852B1B" w:rsidRPr="00774BD5" w:rsidRDefault="000A6F36" w:rsidP="00665F9B">
      <w:pPr>
        <w:pStyle w:val="BodyText"/>
        <w:rPr>
          <w:spacing w:val="-2"/>
        </w:rPr>
      </w:pPr>
      <w:r w:rsidRPr="00774BD5">
        <w:rPr>
          <w:spacing w:val="-2"/>
        </w:rPr>
        <w:t>T</w:t>
      </w:r>
      <w:r w:rsidR="005F45E2" w:rsidRPr="00774BD5">
        <w:rPr>
          <w:spacing w:val="-2"/>
        </w:rPr>
        <w:t xml:space="preserve">he United Nations </w:t>
      </w:r>
      <w:r w:rsidR="001203D1" w:rsidRPr="00774BD5">
        <w:rPr>
          <w:spacing w:val="-2"/>
        </w:rPr>
        <w:t>Sustainable Development Goals (</w:t>
      </w:r>
      <w:r w:rsidR="005F45E2" w:rsidRPr="00774BD5">
        <w:rPr>
          <w:spacing w:val="-2"/>
        </w:rPr>
        <w:t>SDG</w:t>
      </w:r>
      <w:r w:rsidR="00CD0DD8" w:rsidRPr="00774BD5">
        <w:rPr>
          <w:spacing w:val="-2"/>
        </w:rPr>
        <w:t>s</w:t>
      </w:r>
      <w:r w:rsidR="001203D1" w:rsidRPr="00774BD5">
        <w:rPr>
          <w:spacing w:val="-2"/>
        </w:rPr>
        <w:t>)</w:t>
      </w:r>
      <w:r w:rsidR="00CD0DD8" w:rsidRPr="00774BD5">
        <w:rPr>
          <w:spacing w:val="-2"/>
        </w:rPr>
        <w:t>,</w:t>
      </w:r>
      <w:r w:rsidR="007C7A81" w:rsidRPr="00774BD5">
        <w:rPr>
          <w:spacing w:val="-2"/>
        </w:rPr>
        <w:t xml:space="preserve"> which </w:t>
      </w:r>
      <w:r w:rsidR="00CD0DD8" w:rsidRPr="00774BD5">
        <w:rPr>
          <w:spacing w:val="-2"/>
        </w:rPr>
        <w:t>include</w:t>
      </w:r>
      <w:r w:rsidR="007C7A81" w:rsidRPr="00774BD5">
        <w:rPr>
          <w:spacing w:val="-2"/>
        </w:rPr>
        <w:t xml:space="preserve"> ‘the pledge to leave no one behind’</w:t>
      </w:r>
      <w:r w:rsidRPr="00774BD5">
        <w:rPr>
          <w:spacing w:val="-2"/>
        </w:rPr>
        <w:t>, were agreed by 193</w:t>
      </w:r>
      <w:r w:rsidR="00665F9B" w:rsidRPr="00774BD5">
        <w:rPr>
          <w:spacing w:val="-2"/>
        </w:rPr>
        <w:t> </w:t>
      </w:r>
      <w:r w:rsidRPr="00774BD5">
        <w:rPr>
          <w:spacing w:val="-2"/>
        </w:rPr>
        <w:t>countries, including Australia, in 2015</w:t>
      </w:r>
      <w:r w:rsidR="007C7A81" w:rsidRPr="00774BD5">
        <w:rPr>
          <w:spacing w:val="-2"/>
        </w:rPr>
        <w:t xml:space="preserve"> </w:t>
      </w:r>
      <w:r w:rsidR="00C20339" w:rsidRPr="00774BD5">
        <w:rPr>
          <w:spacing w:val="-2"/>
          <w:szCs w:val="24"/>
        </w:rPr>
        <w:t>(DFAT 2018; UN 2015)</w:t>
      </w:r>
      <w:r w:rsidR="006023E8" w:rsidRPr="00774BD5">
        <w:rPr>
          <w:spacing w:val="-2"/>
        </w:rPr>
        <w:t>. SDG </w:t>
      </w:r>
      <w:r w:rsidR="007C7A81" w:rsidRPr="00774BD5">
        <w:rPr>
          <w:spacing w:val="-2"/>
        </w:rPr>
        <w:t>6 focuses on</w:t>
      </w:r>
      <w:r w:rsidR="003732B5" w:rsidRPr="00774BD5">
        <w:rPr>
          <w:spacing w:val="-2"/>
        </w:rPr>
        <w:t xml:space="preserve"> improving outcomes in water and sanitation</w:t>
      </w:r>
      <w:r w:rsidR="00053C90" w:rsidRPr="00774BD5">
        <w:rPr>
          <w:spacing w:val="-2"/>
        </w:rPr>
        <w:t xml:space="preserve"> </w:t>
      </w:r>
      <w:r w:rsidR="008A62B2" w:rsidRPr="00774BD5">
        <w:rPr>
          <w:spacing w:val="-2"/>
        </w:rPr>
        <w:t>(box </w:t>
      </w:r>
      <w:r w:rsidR="00F63966" w:rsidRPr="00774BD5">
        <w:rPr>
          <w:spacing w:val="-2"/>
        </w:rPr>
        <w:t>4</w:t>
      </w:r>
      <w:r w:rsidR="008A62B2" w:rsidRPr="00774BD5">
        <w:rPr>
          <w:spacing w:val="-2"/>
        </w:rPr>
        <w:t>).</w:t>
      </w:r>
    </w:p>
    <w:p w14:paraId="2CBED25F" w14:textId="245969DA" w:rsidR="00334FF6" w:rsidRDefault="00334FF6" w:rsidP="00334FF6">
      <w:pPr>
        <w:pStyle w:val="BodyText"/>
      </w:pPr>
      <w:r w:rsidRPr="00FC6A3A">
        <w:t>There is evidence that some remote Aboriginal and Torres Strait Islander communities are not meeting the targets under SDG</w:t>
      </w:r>
      <w:r>
        <w:t> </w:t>
      </w:r>
      <w:r w:rsidRPr="00FC6A3A">
        <w:t xml:space="preserve">6 </w:t>
      </w:r>
      <w:r w:rsidR="00C20339" w:rsidRPr="00C20339">
        <w:rPr>
          <w:szCs w:val="24"/>
        </w:rPr>
        <w:t>(IA 2019, p. 602)</w:t>
      </w:r>
      <w:r w:rsidR="003D68B0">
        <w:rPr>
          <w:szCs w:val="24"/>
        </w:rPr>
        <w:t>.</w:t>
      </w:r>
      <w:r w:rsidRPr="00FC6A3A">
        <w:t xml:space="preserve"> </w:t>
      </w:r>
      <w:r>
        <w:t xml:space="preserve">The Australian Government’s report on implementation of the SDGs </w:t>
      </w:r>
      <w:r w:rsidRPr="00FC6A3A">
        <w:t>also recognises the challenges in delivering access to water and sanitation services in remote Aboriginal and Torres Strait Islander communities</w:t>
      </w:r>
      <w:r>
        <w:t xml:space="preserve"> </w:t>
      </w:r>
      <w:r w:rsidRPr="00FC6A3A">
        <w:rPr>
          <w:szCs w:val="24"/>
        </w:rPr>
        <w:t>(DFAT 2018, p. 50)</w:t>
      </w:r>
      <w:r>
        <w:t>.</w:t>
      </w:r>
    </w:p>
    <w:p w14:paraId="41B76E79" w14:textId="6595A3FB" w:rsidR="00334FF6" w:rsidRDefault="00334FF6" w:rsidP="00665F9B">
      <w:pPr>
        <w:pStyle w:val="BodyText"/>
      </w:pPr>
      <w:r>
        <w:t>The commitment to SDG 6 applies to all Australians, including</w:t>
      </w:r>
      <w:r w:rsidRPr="00EE2B33">
        <w:t xml:space="preserve"> Aboriginal and Torres Strait Islander people who live on </w:t>
      </w:r>
      <w:r w:rsidRPr="002525DC">
        <w:t>Country.</w:t>
      </w:r>
      <w:r>
        <w:t xml:space="preserve"> Governments are responsible for determining how their commitment to SDG 6 is achieved. As the Commission has noted in its previous reports on </w:t>
      </w:r>
      <w:r w:rsidRPr="006023E8">
        <w:rPr>
          <w:i/>
        </w:rPr>
        <w:t>Transitioning Regional Economies</w:t>
      </w:r>
      <w:r>
        <w:t xml:space="preserve"> </w:t>
      </w:r>
      <w:r w:rsidRPr="00D5405D">
        <w:rPr>
          <w:szCs w:val="24"/>
        </w:rPr>
        <w:t>(PC 2017d, p. 185)</w:t>
      </w:r>
      <w:r>
        <w:t xml:space="preserve"> </w:t>
      </w:r>
      <w:r w:rsidRPr="00205637">
        <w:t xml:space="preserve">and </w:t>
      </w:r>
      <w:r w:rsidRPr="006023E8">
        <w:rPr>
          <w:i/>
        </w:rPr>
        <w:t xml:space="preserve">Remote Area Tax Concessions </w:t>
      </w:r>
      <w:proofErr w:type="gramStart"/>
      <w:r w:rsidRPr="006023E8">
        <w:rPr>
          <w:i/>
        </w:rPr>
        <w:t>And</w:t>
      </w:r>
      <w:proofErr w:type="gramEnd"/>
      <w:r w:rsidRPr="006023E8">
        <w:rPr>
          <w:i/>
        </w:rPr>
        <w:t xml:space="preserve"> Payments</w:t>
      </w:r>
      <w:r w:rsidRPr="00205637">
        <w:t xml:space="preserve"> </w:t>
      </w:r>
      <w:r w:rsidRPr="00517CA1">
        <w:rPr>
          <w:szCs w:val="24"/>
        </w:rPr>
        <w:t>(PC 2020b, p. 22)</w:t>
      </w:r>
      <w:r>
        <w:t>, in some cases there are compelling reasons why people cannot move, including Aboriginal and Torres Strait Islander people living on Country. In these regions, there may be a need for governments to directly address the disadvantages of life in remote areas.</w:t>
      </w:r>
    </w:p>
    <w:p w14:paraId="01C60345" w14:textId="30393268" w:rsidR="0060297E" w:rsidRDefault="0060297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0297E" w14:paraId="2CFF81F4" w14:textId="77777777" w:rsidTr="006F3F5F">
        <w:trPr>
          <w:tblHeader/>
        </w:trPr>
        <w:tc>
          <w:tcPr>
            <w:tcW w:w="5000" w:type="pct"/>
            <w:tcBorders>
              <w:top w:val="single" w:sz="6" w:space="0" w:color="78A22F"/>
              <w:left w:val="nil"/>
              <w:bottom w:val="nil"/>
              <w:right w:val="nil"/>
            </w:tcBorders>
            <w:shd w:val="clear" w:color="auto" w:fill="F2F2F2"/>
          </w:tcPr>
          <w:p w14:paraId="24780FB6" w14:textId="273AE509" w:rsidR="0060297E" w:rsidRDefault="0060297E" w:rsidP="00F63966">
            <w:pPr>
              <w:pStyle w:val="BoxTitle"/>
            </w:pPr>
            <w:r>
              <w:rPr>
                <w:b w:val="0"/>
              </w:rPr>
              <w:t xml:space="preserve">Box </w:t>
            </w:r>
            <w:r w:rsidR="00F63966">
              <w:rPr>
                <w:b w:val="0"/>
              </w:rPr>
              <w:t>4</w:t>
            </w:r>
            <w:r>
              <w:tab/>
              <w:t>The United Nations Sustainable Development Goal 6</w:t>
            </w:r>
          </w:p>
        </w:tc>
      </w:tr>
      <w:tr w:rsidR="0060297E" w14:paraId="02CB635C" w14:textId="77777777" w:rsidTr="006F3F5F">
        <w:tc>
          <w:tcPr>
            <w:tcW w:w="5000" w:type="pct"/>
            <w:tcBorders>
              <w:top w:val="nil"/>
              <w:left w:val="nil"/>
              <w:bottom w:val="nil"/>
              <w:right w:val="nil"/>
            </w:tcBorders>
            <w:shd w:val="clear" w:color="auto" w:fill="F2F2F2"/>
          </w:tcPr>
          <w:p w14:paraId="451C9F7A" w14:textId="73A0ABE7" w:rsidR="00074CB7" w:rsidRDefault="00355737" w:rsidP="006F3F5F">
            <w:pPr>
              <w:pStyle w:val="Box"/>
            </w:pPr>
            <w:r>
              <w:t xml:space="preserve">The United Nations </w:t>
            </w:r>
            <w:r w:rsidR="00074CB7">
              <w:t>S</w:t>
            </w:r>
            <w:r w:rsidR="00547DEF">
              <w:t xml:space="preserve">ustainable </w:t>
            </w:r>
            <w:r w:rsidR="00074CB7">
              <w:t>D</w:t>
            </w:r>
            <w:r w:rsidR="00547DEF">
              <w:t xml:space="preserve">evelopment </w:t>
            </w:r>
            <w:r w:rsidR="00074CB7">
              <w:t>G</w:t>
            </w:r>
            <w:r w:rsidR="00547DEF">
              <w:t>oal (SDG)</w:t>
            </w:r>
            <w:r w:rsidR="00074CB7">
              <w:t> 6</w:t>
            </w:r>
            <w:r w:rsidR="00E10ED5">
              <w:t xml:space="preserve"> </w:t>
            </w:r>
            <w:r w:rsidR="00074CB7">
              <w:t>focuses on ensuring access to safe water sources and sanitation for all.</w:t>
            </w:r>
            <w:r w:rsidR="003F47AF">
              <w:t xml:space="preserve"> </w:t>
            </w:r>
            <w:r w:rsidR="00A87A79">
              <w:t>A</w:t>
            </w:r>
            <w:r w:rsidR="003F47AF">
              <w:t xml:space="preserve">chieving SDG 6 </w:t>
            </w:r>
            <w:r w:rsidR="00A87A79">
              <w:t xml:space="preserve">would lead to </w:t>
            </w:r>
            <w:r w:rsidR="003F47AF">
              <w:t>improved health outcomes and overall wellbeing</w:t>
            </w:r>
            <w:r w:rsidR="00A87A79">
              <w:t>, but</w:t>
            </w:r>
            <w:r w:rsidR="003F47AF">
              <w:t xml:space="preserve"> there are also major challenges in </w:t>
            </w:r>
            <w:r w:rsidR="00A87A79">
              <w:t>doing so</w:t>
            </w:r>
            <w:r w:rsidR="003F47AF">
              <w:t xml:space="preserve">, </w:t>
            </w:r>
            <w:r w:rsidR="00A87A79">
              <w:t xml:space="preserve">including </w:t>
            </w:r>
            <w:r w:rsidR="003F47AF">
              <w:t xml:space="preserve">high demand for water </w:t>
            </w:r>
            <w:r w:rsidR="00074CB7">
              <w:t xml:space="preserve">due to population growth, </w:t>
            </w:r>
            <w:r w:rsidR="003F47AF">
              <w:t xml:space="preserve">and the effects of climate change on water </w:t>
            </w:r>
            <w:r w:rsidR="00A87A79">
              <w:t>availability</w:t>
            </w:r>
            <w:r w:rsidR="003F47AF">
              <w:t>.</w:t>
            </w:r>
          </w:p>
          <w:p w14:paraId="03108046" w14:textId="49231320" w:rsidR="00355737" w:rsidRDefault="003F47AF" w:rsidP="006F3F5F">
            <w:pPr>
              <w:pStyle w:val="Box"/>
            </w:pPr>
            <w:r>
              <w:t xml:space="preserve">The United Nations </w:t>
            </w:r>
            <w:r w:rsidR="00355737">
              <w:t xml:space="preserve">acknowledges that some progress has been made in improving </w:t>
            </w:r>
            <w:r>
              <w:t xml:space="preserve">access to </w:t>
            </w:r>
            <w:r w:rsidR="00355737">
              <w:t>water and sanitation globally, but more c</w:t>
            </w:r>
            <w:r w:rsidR="002B7CE5">
              <w:t>ould</w:t>
            </w:r>
            <w:r w:rsidR="00355737">
              <w:t xml:space="preserve"> be done</w:t>
            </w:r>
            <w:r>
              <w:t xml:space="preserve"> to improve outcomes</w:t>
            </w:r>
            <w:r w:rsidR="00355737">
              <w:t>.</w:t>
            </w:r>
            <w:r>
              <w:t xml:space="preserve"> </w:t>
            </w:r>
            <w:r w:rsidR="002B7CE5">
              <w:t>Several of the targets under SDG 6 are relevant to providing healthy water for remote Aboriginal and Torres Strait Islander communities</w:t>
            </w:r>
            <w:r w:rsidR="00A87A79">
              <w:t xml:space="preserve"> in Australia</w:t>
            </w:r>
            <w:r w:rsidR="002B7CE5">
              <w:t>, including</w:t>
            </w:r>
            <w:r w:rsidR="00355737">
              <w:t>:</w:t>
            </w:r>
          </w:p>
          <w:p w14:paraId="3EAC256C" w14:textId="77777777" w:rsidR="00BD205A" w:rsidRDefault="00355737" w:rsidP="00432487">
            <w:pPr>
              <w:pStyle w:val="BoxQuote"/>
            </w:pPr>
            <w:r>
              <w:t xml:space="preserve">6.1 By 2030, achieve universal and equitable access to safe and affordable drinking water for </w:t>
            </w:r>
            <w:proofErr w:type="gramStart"/>
            <w:r>
              <w:t>all</w:t>
            </w:r>
            <w:proofErr w:type="gramEnd"/>
          </w:p>
          <w:p w14:paraId="0401774D" w14:textId="0D0EFD88" w:rsidR="00BD205A" w:rsidRDefault="00355737" w:rsidP="00432487">
            <w:pPr>
              <w:pStyle w:val="BoxQuote"/>
            </w:pPr>
            <w:r>
              <w:t>6.2 By 2030, achieve access to adequate and equitable sanitation and hygiene for all</w:t>
            </w:r>
            <w:r w:rsidR="00BB7136">
              <w:t xml:space="preserve"> </w:t>
            </w:r>
            <w:r w:rsidR="00BB7136">
              <w:rPr>
                <w:sz w:val="20"/>
              </w:rPr>
              <w:t>…</w:t>
            </w:r>
            <w:r w:rsidR="000A6F36">
              <w:t xml:space="preserve"> </w:t>
            </w:r>
          </w:p>
          <w:p w14:paraId="78703F87" w14:textId="3EB25D24" w:rsidR="00355737" w:rsidRDefault="00355737" w:rsidP="00432487">
            <w:pPr>
              <w:pStyle w:val="BoxQuote"/>
            </w:pPr>
            <w:r>
              <w:t xml:space="preserve">6.3 By 2030, improve water quality by reducing pollution, eliminating dumping and minimising release </w:t>
            </w:r>
            <w:r w:rsidR="00BD205A">
              <w:t>of hazardous chemical and materials</w:t>
            </w:r>
            <w:r w:rsidR="000A6F36">
              <w:t xml:space="preserve"> </w:t>
            </w:r>
            <w:r w:rsidR="00BB7136">
              <w:t>…</w:t>
            </w:r>
            <w:r w:rsidR="000A6F36">
              <w:t xml:space="preserve"> </w:t>
            </w:r>
          </w:p>
          <w:p w14:paraId="207E050D" w14:textId="3B867070" w:rsidR="00BD205A" w:rsidRDefault="00BD205A">
            <w:pPr>
              <w:pStyle w:val="BoxQuote"/>
            </w:pPr>
            <w:r>
              <w:t>6.4 By 2030, substantially increase water</w:t>
            </w:r>
            <w:r w:rsidR="00641710">
              <w:noBreakHyphen/>
            </w:r>
            <w:r>
              <w:t>use efficiency across all sectors and ensure sustainable withdrawals and supply of freshwater to address water scarcity and substantially reduce the number of people suffering from water scarcity</w:t>
            </w:r>
            <w:r w:rsidR="00FC6A3A">
              <w:t xml:space="preserve"> …</w:t>
            </w:r>
          </w:p>
          <w:p w14:paraId="61292709" w14:textId="65948CD4" w:rsidR="008A62B2" w:rsidRDefault="002B7CE5" w:rsidP="00A87A79">
            <w:pPr>
              <w:pStyle w:val="BoxQuote"/>
            </w:pPr>
            <w:r>
              <w:t>6.B Support and strengthen participation of local communities in improving water and sanitation management</w:t>
            </w:r>
            <w:r w:rsidR="007664F7">
              <w:t>.</w:t>
            </w:r>
          </w:p>
        </w:tc>
      </w:tr>
      <w:tr w:rsidR="0060297E" w14:paraId="16211136" w14:textId="77777777" w:rsidTr="006F3F5F">
        <w:tc>
          <w:tcPr>
            <w:tcW w:w="5000" w:type="pct"/>
            <w:tcBorders>
              <w:top w:val="nil"/>
              <w:left w:val="nil"/>
              <w:bottom w:val="nil"/>
              <w:right w:val="nil"/>
            </w:tcBorders>
            <w:shd w:val="clear" w:color="auto" w:fill="F2F2F2"/>
          </w:tcPr>
          <w:p w14:paraId="4FAF60CA" w14:textId="0013E59B" w:rsidR="0060297E" w:rsidRDefault="0060297E" w:rsidP="00A427E6">
            <w:pPr>
              <w:pStyle w:val="BoxSource"/>
            </w:pPr>
            <w:r>
              <w:rPr>
                <w:i/>
              </w:rPr>
              <w:t>Sources</w:t>
            </w:r>
            <w:r w:rsidRPr="00167F06">
              <w:t>:</w:t>
            </w:r>
            <w:r w:rsidR="00A564E7">
              <w:t xml:space="preserve"> </w:t>
            </w:r>
            <w:r w:rsidR="00A87A79">
              <w:t xml:space="preserve">UN </w:t>
            </w:r>
            <w:r w:rsidR="005F46AA" w:rsidRPr="005F46AA">
              <w:rPr>
                <w:rFonts w:cs="Arial"/>
              </w:rPr>
              <w:t>(2016, 2020)</w:t>
            </w:r>
            <w:r w:rsidR="00A564E7">
              <w:t>.</w:t>
            </w:r>
          </w:p>
        </w:tc>
      </w:tr>
      <w:tr w:rsidR="0060297E" w14:paraId="0026C3B0" w14:textId="77777777" w:rsidTr="006F3F5F">
        <w:tc>
          <w:tcPr>
            <w:tcW w:w="5000" w:type="pct"/>
            <w:tcBorders>
              <w:top w:val="nil"/>
              <w:left w:val="nil"/>
              <w:bottom w:val="single" w:sz="6" w:space="0" w:color="78A22F"/>
              <w:right w:val="nil"/>
            </w:tcBorders>
            <w:shd w:val="clear" w:color="auto" w:fill="F2F2F2"/>
          </w:tcPr>
          <w:p w14:paraId="0D9DF759" w14:textId="77777777" w:rsidR="0060297E" w:rsidRDefault="0060297E">
            <w:pPr>
              <w:pStyle w:val="Box"/>
              <w:spacing w:before="0" w:line="120" w:lineRule="exact"/>
            </w:pPr>
          </w:p>
        </w:tc>
      </w:tr>
      <w:tr w:rsidR="0060297E" w:rsidRPr="000863A5" w14:paraId="7EE2B20A" w14:textId="77777777" w:rsidTr="006F3F5F">
        <w:tc>
          <w:tcPr>
            <w:tcW w:w="5000" w:type="pct"/>
            <w:tcBorders>
              <w:top w:val="single" w:sz="6" w:space="0" w:color="78A22F"/>
              <w:left w:val="nil"/>
              <w:bottom w:val="nil"/>
              <w:right w:val="nil"/>
            </w:tcBorders>
          </w:tcPr>
          <w:p w14:paraId="6A2DECCF" w14:textId="1D4F9AD2" w:rsidR="0060297E" w:rsidRPr="00626D32" w:rsidRDefault="0060297E" w:rsidP="006F3F5F">
            <w:pPr>
              <w:pStyle w:val="BoxSpaceBelow"/>
            </w:pPr>
          </w:p>
        </w:tc>
      </w:tr>
    </w:tbl>
    <w:p w14:paraId="26244549" w14:textId="1954FA0B" w:rsidR="00320FFB" w:rsidRDefault="00320FFB" w:rsidP="00665F9B">
      <w:pPr>
        <w:pStyle w:val="Heading4"/>
      </w:pPr>
      <w:r>
        <w:lastRenderedPageBreak/>
        <w:t xml:space="preserve">A </w:t>
      </w:r>
      <w:r w:rsidRPr="00665F9B">
        <w:t>refreshed</w:t>
      </w:r>
      <w:r>
        <w:t xml:space="preserve"> Closing the Gap agenda includes commitments </w:t>
      </w:r>
      <w:r w:rsidR="0057160D">
        <w:t>on</w:t>
      </w:r>
      <w:r>
        <w:t xml:space="preserve"> </w:t>
      </w:r>
      <w:r w:rsidR="00171BE6">
        <w:t xml:space="preserve">household </w:t>
      </w:r>
      <w:proofErr w:type="gramStart"/>
      <w:r>
        <w:t>water</w:t>
      </w:r>
      <w:proofErr w:type="gramEnd"/>
      <w:r>
        <w:t xml:space="preserve"> </w:t>
      </w:r>
    </w:p>
    <w:p w14:paraId="562867DC" w14:textId="1EC07BF2" w:rsidR="00A72F06" w:rsidRDefault="00320FFB" w:rsidP="00665F9B">
      <w:pPr>
        <w:pStyle w:val="BodyText"/>
      </w:pPr>
      <w:r w:rsidRPr="00665F9B">
        <w:t>As</w:t>
      </w:r>
      <w:r>
        <w:t xml:space="preserve"> </w:t>
      </w:r>
      <w:r w:rsidR="0057160D">
        <w:t xml:space="preserve">noted </w:t>
      </w:r>
      <w:r>
        <w:t xml:space="preserve">above, </w:t>
      </w:r>
      <w:proofErr w:type="gramStart"/>
      <w:r>
        <w:t>safe</w:t>
      </w:r>
      <w:proofErr w:type="gramEnd"/>
      <w:r w:rsidR="005030A5">
        <w:t xml:space="preserve"> and</w:t>
      </w:r>
      <w:r>
        <w:t xml:space="preserve"> reliable w</w:t>
      </w:r>
      <w:r w:rsidRPr="000807D1">
        <w:t xml:space="preserve">ater </w:t>
      </w:r>
      <w:r w:rsidRPr="00665F9B">
        <w:t>supplies</w:t>
      </w:r>
      <w:r>
        <w:t xml:space="preserve"> </w:t>
      </w:r>
      <w:r w:rsidRPr="000807D1">
        <w:t xml:space="preserve">will </w:t>
      </w:r>
      <w:r>
        <w:t xml:space="preserve">be integral to achievement of </w:t>
      </w:r>
      <w:r w:rsidRPr="000807D1">
        <w:t xml:space="preserve">many of the health targets in </w:t>
      </w:r>
      <w:r>
        <w:t xml:space="preserve">the National Agreement on </w:t>
      </w:r>
      <w:r w:rsidRPr="000807D1">
        <w:t>Closing the Gap.</w:t>
      </w:r>
      <w:r>
        <w:t xml:space="preserve"> The Agreement recognises </w:t>
      </w:r>
      <w:proofErr w:type="gramStart"/>
      <w:r>
        <w:t>this, and</w:t>
      </w:r>
      <w:proofErr w:type="gramEnd"/>
      <w:r>
        <w:t xml:space="preserve"> includes a commitment to develop </w:t>
      </w:r>
      <w:r w:rsidRPr="000807D1">
        <w:t>a community infrastructure target within 12</w:t>
      </w:r>
      <w:r w:rsidR="00D5405D">
        <w:t> </w:t>
      </w:r>
      <w:r w:rsidRPr="000807D1">
        <w:t xml:space="preserve">months. This target will measure progress towards parity in infrastructure, essential services and environmental health </w:t>
      </w:r>
      <w:r>
        <w:t xml:space="preserve">and </w:t>
      </w:r>
      <w:r w:rsidRPr="000807D1">
        <w:t xml:space="preserve">conditions. Development of the target will require data </w:t>
      </w:r>
      <w:r>
        <w:t>collection</w:t>
      </w:r>
      <w:r w:rsidRPr="000807D1">
        <w:t xml:space="preserve"> to measure essential service provision, including water and sewerage</w:t>
      </w:r>
      <w:r>
        <w:t>,</w:t>
      </w:r>
      <w:r w:rsidRPr="000807D1">
        <w:t xml:space="preserve"> to Aboriginal and Torres Strait Islander communities</w:t>
      </w:r>
      <w:r w:rsidR="003D1ACA">
        <w:t xml:space="preserve"> </w:t>
      </w:r>
      <w:r w:rsidR="005F46AA" w:rsidRPr="005F46AA">
        <w:t>(Australian Governments and the Coalition of Peaks 2020, p. 36)</w:t>
      </w:r>
      <w:r w:rsidRPr="000807D1">
        <w:t>.</w:t>
      </w:r>
      <w:r w:rsidR="003D1ACA">
        <w:t xml:space="preserve"> </w:t>
      </w:r>
      <w:r>
        <w:t xml:space="preserve">The 2020 </w:t>
      </w:r>
      <w:r w:rsidR="009C416E">
        <w:t xml:space="preserve">National Agreement on </w:t>
      </w:r>
      <w:r>
        <w:t>Closing the Gap has also led to new targets for land and water rights (</w:t>
      </w:r>
      <w:r w:rsidR="00B26572">
        <w:t>S</w:t>
      </w:r>
      <w:r>
        <w:t>P</w:t>
      </w:r>
      <w:r w:rsidR="00731B11">
        <w:t> </w:t>
      </w:r>
      <w:r w:rsidR="00E758F5">
        <w:t>D</w:t>
      </w:r>
      <w:r>
        <w:t> </w:t>
      </w:r>
      <w:r w:rsidR="00E758F5" w:rsidRPr="00E758F5">
        <w:rPr>
          <w:i/>
          <w:iCs/>
        </w:rPr>
        <w:t>Cultural</w:t>
      </w:r>
      <w:r w:rsidR="00E758F5">
        <w:t xml:space="preserve"> </w:t>
      </w:r>
      <w:r w:rsidR="003D68B0">
        <w:t>a</w:t>
      </w:r>
      <w:r w:rsidR="00612B2D">
        <w:rPr>
          <w:i/>
        </w:rPr>
        <w:t>ccess</w:t>
      </w:r>
      <w:r>
        <w:t>).</w:t>
      </w:r>
    </w:p>
    <w:p w14:paraId="385845F1" w14:textId="6127FD2C" w:rsidR="007F472D" w:rsidRPr="00ED4A74" w:rsidRDefault="005E48C7" w:rsidP="00E05196">
      <w:pPr>
        <w:pStyle w:val="Heading4"/>
      </w:pPr>
      <w:r w:rsidRPr="00ED4A74">
        <w:t xml:space="preserve">Jurisdictions have adopted the </w:t>
      </w:r>
      <w:r w:rsidR="007F472D" w:rsidRPr="00ED4A74">
        <w:t>Australian Drinking Water Guidelines</w:t>
      </w:r>
    </w:p>
    <w:p w14:paraId="14EFCE24" w14:textId="46BCD7C1" w:rsidR="00CD0DD8" w:rsidRDefault="00316609" w:rsidP="00665F9B">
      <w:pPr>
        <w:pStyle w:val="BodyText"/>
      </w:pPr>
      <w:r>
        <w:t>T</w:t>
      </w:r>
      <w:r w:rsidR="00053C90" w:rsidRPr="00EE2B33">
        <w:t xml:space="preserve">he </w:t>
      </w:r>
      <w:r w:rsidR="00053C90" w:rsidRPr="002C415D">
        <w:rPr>
          <w:i/>
          <w:iCs/>
        </w:rPr>
        <w:t>Australian Drinking Water Guidelines</w:t>
      </w:r>
      <w:r w:rsidR="004655B3">
        <w:rPr>
          <w:i/>
          <w:iCs/>
        </w:rPr>
        <w:t xml:space="preserve"> </w:t>
      </w:r>
      <w:r w:rsidR="005F46AA" w:rsidRPr="005F46AA">
        <w:t>(2016)</w:t>
      </w:r>
      <w:r w:rsidR="006023E8">
        <w:t xml:space="preserve"> </w:t>
      </w:r>
      <w:r w:rsidR="004655B3">
        <w:t xml:space="preserve">are based on the best available evidence and aim to provide nationally consistent advice to maintain public health (NHMRC, sub. 93, </w:t>
      </w:r>
      <w:r w:rsidR="00D5405D">
        <w:t>cover letter</w:t>
      </w:r>
      <w:r w:rsidR="004655B3">
        <w:t xml:space="preserve">). The ADWG </w:t>
      </w:r>
      <w:r w:rsidR="00CD0DD8">
        <w:t xml:space="preserve">are </w:t>
      </w:r>
      <w:r w:rsidR="00CD0DD8" w:rsidRPr="004C2D03">
        <w:t>indirectly referenced in the NWI</w:t>
      </w:r>
      <w:r w:rsidR="00CD0DD8" w:rsidRPr="00C20339">
        <w:rPr>
          <w:rStyle w:val="FootnoteReference"/>
        </w:rPr>
        <w:footnoteReference w:id="14"/>
      </w:r>
      <w:r w:rsidR="00CD0DD8" w:rsidRPr="004C2D03">
        <w:t xml:space="preserve"> </w:t>
      </w:r>
      <w:r w:rsidR="00CD0DD8">
        <w:t xml:space="preserve">and </w:t>
      </w:r>
      <w:r w:rsidR="004655B3">
        <w:t xml:space="preserve">underpin </w:t>
      </w:r>
      <w:r w:rsidR="0052044F">
        <w:t>all</w:t>
      </w:r>
      <w:r w:rsidR="006023E8" w:rsidRPr="006023E8">
        <w:t xml:space="preserve"> </w:t>
      </w:r>
      <w:r w:rsidR="004655B3">
        <w:t>state and territory regulations on drinking water quality (</w:t>
      </w:r>
      <w:r w:rsidR="00685CF8">
        <w:t>NHMRC, sub. 93, p. </w:t>
      </w:r>
      <w:r w:rsidR="00D5405D">
        <w:t>1</w:t>
      </w:r>
      <w:r w:rsidR="00CD0DD8">
        <w:t>).</w:t>
      </w:r>
    </w:p>
    <w:p w14:paraId="2D852053" w14:textId="7EA705BE" w:rsidR="00DF560C" w:rsidRDefault="00DF560C" w:rsidP="00665F9B">
      <w:pPr>
        <w:pStyle w:val="BodyText"/>
      </w:pPr>
      <w:r>
        <w:t>As discussed in</w:t>
      </w:r>
      <w:r w:rsidR="00EB59F0">
        <w:t xml:space="preserve"> the Commission’s</w:t>
      </w:r>
      <w:r w:rsidR="00D67FE2">
        <w:t xml:space="preserve"> </w:t>
      </w:r>
      <w:r w:rsidR="00526EC6" w:rsidRPr="00526EC6">
        <w:rPr>
          <w:iCs/>
        </w:rPr>
        <w:t>a</w:t>
      </w:r>
      <w:r w:rsidRPr="00526EC6">
        <w:rPr>
          <w:iCs/>
        </w:rPr>
        <w:t>ssessment</w:t>
      </w:r>
      <w:r w:rsidRPr="004C2D03">
        <w:t>,</w:t>
      </w:r>
      <w:r>
        <w:t xml:space="preserve"> it is not clear </w:t>
      </w:r>
      <w:proofErr w:type="gramStart"/>
      <w:r>
        <w:t>whether or not</w:t>
      </w:r>
      <w:proofErr w:type="gramEnd"/>
      <w:r>
        <w:t xml:space="preserve"> the ADWG are being met in remote communities</w:t>
      </w:r>
      <w:r w:rsidR="00526EC6">
        <w:t xml:space="preserve"> (</w:t>
      </w:r>
      <w:r w:rsidR="00526EC6" w:rsidRPr="00526EC6">
        <w:rPr>
          <w:i/>
          <w:iCs/>
        </w:rPr>
        <w:t>Assessment</w:t>
      </w:r>
      <w:r w:rsidR="00526EC6">
        <w:t>)</w:t>
      </w:r>
      <w:r>
        <w:t xml:space="preserve">. </w:t>
      </w:r>
      <w:r w:rsidR="006023E8">
        <w:t>Although State</w:t>
      </w:r>
      <w:r w:rsidR="00797876">
        <w:t xml:space="preserve"> and </w:t>
      </w:r>
      <w:r w:rsidR="006023E8">
        <w:t xml:space="preserve">Territory </w:t>
      </w:r>
      <w:r w:rsidR="00E431AD">
        <w:t>G</w:t>
      </w:r>
      <w:r w:rsidR="006023E8">
        <w:t xml:space="preserve">overnments </w:t>
      </w:r>
      <w:r w:rsidR="00CD0DD8">
        <w:t>use the ADWG</w:t>
      </w:r>
      <w:r w:rsidR="00797876">
        <w:t xml:space="preserve"> framework </w:t>
      </w:r>
      <w:r w:rsidR="00776737">
        <w:t>to guide regulation of</w:t>
      </w:r>
      <w:r w:rsidR="00797876">
        <w:t xml:space="preserve"> water quality standards, </w:t>
      </w:r>
      <w:r w:rsidR="006023E8">
        <w:t>they</w:t>
      </w:r>
      <w:r w:rsidR="00797876">
        <w:t xml:space="preserve"> do not always publicly report on </w:t>
      </w:r>
      <w:r w:rsidR="003B1235">
        <w:t xml:space="preserve">compliance with </w:t>
      </w:r>
      <w:r w:rsidR="00797876">
        <w:t>them, especially for small schemes and remote areas.</w:t>
      </w:r>
    </w:p>
    <w:p w14:paraId="75142EA9" w14:textId="002A6C43" w:rsidR="00170968" w:rsidRDefault="00E94382" w:rsidP="00665F9B">
      <w:pPr>
        <w:pStyle w:val="Heading3"/>
      </w:pPr>
      <w:bookmarkStart w:id="35" w:name="_Toc62043665"/>
      <w:r>
        <w:t>5.4</w:t>
      </w:r>
      <w:r>
        <w:tab/>
      </w:r>
      <w:r w:rsidR="00170968">
        <w:t xml:space="preserve">Water </w:t>
      </w:r>
      <w:r w:rsidR="00170968" w:rsidRPr="00665F9B">
        <w:t>service</w:t>
      </w:r>
      <w:r w:rsidR="00170968">
        <w:t xml:space="preserve"> systems in remote </w:t>
      </w:r>
      <w:r w:rsidR="00B815A8">
        <w:t>Aboriginal and Torres Strait Islander communities</w:t>
      </w:r>
      <w:r w:rsidR="003B7F1E">
        <w:t xml:space="preserve"> </w:t>
      </w:r>
      <w:r w:rsidR="00170968">
        <w:t xml:space="preserve">face significant </w:t>
      </w:r>
      <w:proofErr w:type="gramStart"/>
      <w:r w:rsidR="00170968">
        <w:t>challenges</w:t>
      </w:r>
      <w:bookmarkEnd w:id="35"/>
      <w:proofErr w:type="gramEnd"/>
    </w:p>
    <w:p w14:paraId="15F7290B" w14:textId="6B9629DA" w:rsidR="00725D5D" w:rsidRDefault="008C7D35" w:rsidP="00665F9B">
      <w:pPr>
        <w:pStyle w:val="BodyText"/>
      </w:pPr>
      <w:r>
        <w:t>C</w:t>
      </w:r>
      <w:r w:rsidR="00A149D9">
        <w:t>onsultation</w:t>
      </w:r>
      <w:r w:rsidR="0057160D">
        <w:t>s</w:t>
      </w:r>
      <w:r w:rsidR="00455F06">
        <w:t xml:space="preserve"> </w:t>
      </w:r>
      <w:r w:rsidR="0057160D">
        <w:t>have</w:t>
      </w:r>
      <w:r>
        <w:t xml:space="preserve"> </w:t>
      </w:r>
      <w:r w:rsidR="00A149D9">
        <w:t xml:space="preserve">highlighted </w:t>
      </w:r>
      <w:proofErr w:type="gramStart"/>
      <w:r w:rsidR="00A149D9">
        <w:t>a number of</w:t>
      </w:r>
      <w:proofErr w:type="gramEnd"/>
      <w:r w:rsidR="003E4BFB" w:rsidRPr="00D20F41">
        <w:t xml:space="preserve"> </w:t>
      </w:r>
      <w:r w:rsidR="002D5685">
        <w:t xml:space="preserve">specific </w:t>
      </w:r>
      <w:r w:rsidR="003E4BFB" w:rsidRPr="00D20F41">
        <w:t xml:space="preserve">barriers to the provision of safe water </w:t>
      </w:r>
      <w:r w:rsidR="00A149D9">
        <w:t>in remote</w:t>
      </w:r>
      <w:r w:rsidR="00CB3FCA">
        <w:t xml:space="preserve"> Aboriginal and Torres Strait Islander</w:t>
      </w:r>
      <w:r w:rsidR="00A149D9">
        <w:t xml:space="preserve"> communities.</w:t>
      </w:r>
      <w:r w:rsidR="002D5685">
        <w:t xml:space="preserve"> Many </w:t>
      </w:r>
      <w:r w:rsidR="008B57A1">
        <w:t xml:space="preserve">issues </w:t>
      </w:r>
      <w:r w:rsidR="00DF35FF">
        <w:t>(</w:t>
      </w:r>
      <w:r w:rsidR="008B57A1">
        <w:t xml:space="preserve">including </w:t>
      </w:r>
      <w:r w:rsidR="00BB5A91">
        <w:t>underfunding of services and operational capacity</w:t>
      </w:r>
      <w:r w:rsidR="00DF35FF">
        <w:t>)</w:t>
      </w:r>
      <w:r w:rsidR="008B57A1">
        <w:t xml:space="preserve"> reflect broader issues in regional and remote service delivery discussed above</w:t>
      </w:r>
      <w:r w:rsidR="00DF35FF">
        <w:t xml:space="preserve"> — although </w:t>
      </w:r>
      <w:r w:rsidR="00455F06">
        <w:t xml:space="preserve">these issues </w:t>
      </w:r>
      <w:r w:rsidR="00DF35FF">
        <w:t>can be more intense</w:t>
      </w:r>
      <w:r w:rsidR="00B5736B">
        <w:t xml:space="preserve"> </w:t>
      </w:r>
      <w:r w:rsidR="00DF35FF">
        <w:t>or have a disproportionate impact</w:t>
      </w:r>
      <w:r w:rsidR="00455F06">
        <w:t xml:space="preserve"> in remote Aboriginal and Torres Strait Islander </w:t>
      </w:r>
      <w:r w:rsidR="00D0067D">
        <w:t>communities</w:t>
      </w:r>
      <w:r w:rsidR="008B57A1">
        <w:t>.</w:t>
      </w:r>
    </w:p>
    <w:p w14:paraId="4F916137" w14:textId="77777777" w:rsidR="00725D5D" w:rsidRDefault="00DF35FF" w:rsidP="00665F9B">
      <w:pPr>
        <w:pStyle w:val="BodyText"/>
        <w:keepNext/>
      </w:pPr>
      <w:r>
        <w:t>S</w:t>
      </w:r>
      <w:r w:rsidR="002D5685">
        <w:t xml:space="preserve">pecific issues </w:t>
      </w:r>
      <w:r w:rsidR="00A149D9">
        <w:t>include:</w:t>
      </w:r>
    </w:p>
    <w:p w14:paraId="68AD0A2A" w14:textId="1852A0FE" w:rsidR="00CB3FCA" w:rsidRDefault="00DF35FF" w:rsidP="00CB3FCA">
      <w:pPr>
        <w:pStyle w:val="ListBullet"/>
      </w:pPr>
      <w:r>
        <w:t>c</w:t>
      </w:r>
      <w:r w:rsidR="00CB3FCA">
        <w:t>onsumption based charges are not often applied</w:t>
      </w:r>
      <w:r w:rsidR="002D5685">
        <w:t>,</w:t>
      </w:r>
      <w:r w:rsidR="00CB3FCA">
        <w:t xml:space="preserve"> or </w:t>
      </w:r>
      <w:r w:rsidR="002D5685">
        <w:t xml:space="preserve">only </w:t>
      </w:r>
      <w:r w:rsidR="00CB3FCA">
        <w:t>charged at the community level</w:t>
      </w:r>
      <w:r w:rsidR="002D5685">
        <w:t xml:space="preserve">, </w:t>
      </w:r>
      <w:r w:rsidR="00FD4C82">
        <w:t xml:space="preserve">meaning costs are not </w:t>
      </w:r>
      <w:proofErr w:type="gramStart"/>
      <w:r w:rsidR="00FD4C82">
        <w:t>recovered</w:t>
      </w:r>
      <w:proofErr w:type="gramEnd"/>
    </w:p>
    <w:p w14:paraId="0C86FA9B" w14:textId="5767D1BA" w:rsidR="00CB3FCA" w:rsidRPr="00FD4C82" w:rsidRDefault="00BB5A91" w:rsidP="00CB3FCA">
      <w:pPr>
        <w:pStyle w:val="ListBullet"/>
      </w:pPr>
      <w:r>
        <w:t>lack</w:t>
      </w:r>
      <w:r w:rsidR="00FD4C82" w:rsidRPr="00FD4C82">
        <w:t xml:space="preserve"> of culturally</w:t>
      </w:r>
      <w:r w:rsidR="00FD4C82" w:rsidRPr="00FD4C82">
        <w:noBreakHyphen/>
        <w:t>competent and capable staff</w:t>
      </w:r>
    </w:p>
    <w:p w14:paraId="160645FC" w14:textId="37300DCC" w:rsidR="002D5685" w:rsidRPr="00FD4C82" w:rsidRDefault="00DF35FF" w:rsidP="002D5685">
      <w:pPr>
        <w:pStyle w:val="ListBullet"/>
      </w:pPr>
      <w:r w:rsidRPr="00FD4C82">
        <w:t>poor qualit</w:t>
      </w:r>
      <w:r w:rsidR="00FD4C82">
        <w:t>y water sources in remote areas, with few alternatives</w:t>
      </w:r>
    </w:p>
    <w:p w14:paraId="2F03D769" w14:textId="77777777" w:rsidR="00725D5D" w:rsidRDefault="00BB5A91" w:rsidP="002D5685">
      <w:pPr>
        <w:pStyle w:val="ListBullet"/>
      </w:pPr>
      <w:r>
        <w:t>fragmented g</w:t>
      </w:r>
      <w:r w:rsidR="007056EA">
        <w:t xml:space="preserve">overnance </w:t>
      </w:r>
      <w:r>
        <w:t xml:space="preserve">in </w:t>
      </w:r>
      <w:r w:rsidR="008B57A1">
        <w:t>remote service delivery.</w:t>
      </w:r>
    </w:p>
    <w:p w14:paraId="1055B8D6" w14:textId="786AA9DF" w:rsidR="007F0217" w:rsidRPr="00E3596D" w:rsidRDefault="00CA6B2C" w:rsidP="00665F9B">
      <w:pPr>
        <w:pStyle w:val="Heading4"/>
      </w:pPr>
      <w:r w:rsidRPr="00E3596D">
        <w:lastRenderedPageBreak/>
        <w:t>Consumption-</w:t>
      </w:r>
      <w:r w:rsidR="007F0217" w:rsidRPr="00665F9B">
        <w:t>based</w:t>
      </w:r>
      <w:r w:rsidR="007F0217" w:rsidRPr="00E3596D">
        <w:t xml:space="preserve"> water charges are often not </w:t>
      </w:r>
      <w:proofErr w:type="gramStart"/>
      <w:r w:rsidR="007F0217" w:rsidRPr="00E3596D">
        <w:t>applied</w:t>
      </w:r>
      <w:proofErr w:type="gramEnd"/>
    </w:p>
    <w:p w14:paraId="4F406295" w14:textId="1D3AF883" w:rsidR="003C67DC" w:rsidRPr="00767E0C" w:rsidRDefault="007F0217" w:rsidP="008B57A1">
      <w:pPr>
        <w:pStyle w:val="BodyText"/>
        <w:keepNext/>
        <w:rPr>
          <w:spacing w:val="-4"/>
        </w:rPr>
      </w:pPr>
      <w:r w:rsidRPr="00767E0C">
        <w:rPr>
          <w:spacing w:val="-4"/>
        </w:rPr>
        <w:t>Remote Aboriginal and Torres Strait Islander communities can have transient populations and an informal economy</w:t>
      </w:r>
      <w:r w:rsidR="007753E3" w:rsidRPr="00767E0C">
        <w:rPr>
          <w:spacing w:val="-4"/>
        </w:rPr>
        <w:t xml:space="preserve"> </w:t>
      </w:r>
      <w:r w:rsidR="00D5405D" w:rsidRPr="00767E0C">
        <w:rPr>
          <w:spacing w:val="-4"/>
          <w:szCs w:val="24"/>
        </w:rPr>
        <w:t>(QPC 2018, pp. 47, 53)</w:t>
      </w:r>
      <w:r w:rsidR="007753E3" w:rsidRPr="00767E0C">
        <w:rPr>
          <w:spacing w:val="-4"/>
        </w:rPr>
        <w:t xml:space="preserve">. </w:t>
      </w:r>
      <w:r w:rsidRPr="00767E0C">
        <w:rPr>
          <w:spacing w:val="-4"/>
        </w:rPr>
        <w:t xml:space="preserve">These factors </w:t>
      </w:r>
      <w:r w:rsidR="008B57A1" w:rsidRPr="00767E0C">
        <w:rPr>
          <w:spacing w:val="-4"/>
        </w:rPr>
        <w:t xml:space="preserve">(among others) </w:t>
      </w:r>
      <w:r w:rsidRPr="00767E0C">
        <w:rPr>
          <w:spacing w:val="-4"/>
        </w:rPr>
        <w:t xml:space="preserve">contribute to </w:t>
      </w:r>
      <w:r w:rsidR="008B57A1" w:rsidRPr="00767E0C">
        <w:rPr>
          <w:spacing w:val="-4"/>
        </w:rPr>
        <w:t xml:space="preserve">those </w:t>
      </w:r>
      <w:r w:rsidRPr="00767E0C">
        <w:rPr>
          <w:spacing w:val="-4"/>
        </w:rPr>
        <w:t xml:space="preserve">communities </w:t>
      </w:r>
      <w:r w:rsidR="008B57A1" w:rsidRPr="00767E0C">
        <w:rPr>
          <w:spacing w:val="-4"/>
        </w:rPr>
        <w:t xml:space="preserve">not </w:t>
      </w:r>
      <w:r w:rsidRPr="00767E0C">
        <w:rPr>
          <w:spacing w:val="-4"/>
        </w:rPr>
        <w:t xml:space="preserve">generating </w:t>
      </w:r>
      <w:r w:rsidR="008B57A1" w:rsidRPr="00767E0C">
        <w:rPr>
          <w:spacing w:val="-4"/>
        </w:rPr>
        <w:t>enough market</w:t>
      </w:r>
      <w:r w:rsidRPr="00767E0C">
        <w:rPr>
          <w:spacing w:val="-4"/>
        </w:rPr>
        <w:t xml:space="preserve"> income</w:t>
      </w:r>
      <w:r w:rsidR="008B57A1" w:rsidRPr="00767E0C">
        <w:rPr>
          <w:spacing w:val="-4"/>
        </w:rPr>
        <w:t xml:space="preserve"> to pay the full costs of service delivery</w:t>
      </w:r>
      <w:r w:rsidRPr="00767E0C">
        <w:rPr>
          <w:spacing w:val="-4"/>
        </w:rPr>
        <w:t xml:space="preserve">. </w:t>
      </w:r>
      <w:r w:rsidR="008B57A1" w:rsidRPr="00767E0C">
        <w:rPr>
          <w:spacing w:val="-4"/>
        </w:rPr>
        <w:t xml:space="preserve">Many </w:t>
      </w:r>
      <w:r w:rsidRPr="00767E0C">
        <w:rPr>
          <w:spacing w:val="-4"/>
        </w:rPr>
        <w:t xml:space="preserve">communities are not charged for essential water and sewerage </w:t>
      </w:r>
      <w:r w:rsidR="008B57A1" w:rsidRPr="00767E0C">
        <w:rPr>
          <w:spacing w:val="-4"/>
        </w:rPr>
        <w:t>services</w:t>
      </w:r>
      <w:r w:rsidR="00FD0A89" w:rsidRPr="00767E0C">
        <w:rPr>
          <w:spacing w:val="-4"/>
        </w:rPr>
        <w:t xml:space="preserve">. </w:t>
      </w:r>
      <w:r w:rsidRPr="00767E0C">
        <w:rPr>
          <w:spacing w:val="-4"/>
        </w:rPr>
        <w:t xml:space="preserve">For example, </w:t>
      </w:r>
      <w:r w:rsidR="003C67DC" w:rsidRPr="00767E0C">
        <w:rPr>
          <w:spacing w:val="-4"/>
        </w:rPr>
        <w:t>the 16</w:t>
      </w:r>
      <w:r w:rsidR="00B45FA1" w:rsidRPr="00767E0C">
        <w:rPr>
          <w:spacing w:val="-4"/>
        </w:rPr>
        <w:t> </w:t>
      </w:r>
      <w:r w:rsidRPr="00767E0C">
        <w:rPr>
          <w:spacing w:val="-4"/>
        </w:rPr>
        <w:t>Aboriginal councils in Queensland do not directly charge residents</w:t>
      </w:r>
      <w:r w:rsidR="008B57A1" w:rsidRPr="00767E0C">
        <w:rPr>
          <w:spacing w:val="-4"/>
        </w:rPr>
        <w:t xml:space="preserve"> for water or sewerage services</w:t>
      </w:r>
      <w:r w:rsidRPr="00767E0C">
        <w:rPr>
          <w:spacing w:val="-4"/>
        </w:rPr>
        <w:t xml:space="preserve"> </w:t>
      </w:r>
      <w:r w:rsidR="00420636" w:rsidRPr="00767E0C">
        <w:rPr>
          <w:spacing w:val="-4"/>
          <w:szCs w:val="24"/>
        </w:rPr>
        <w:t>(</w:t>
      </w:r>
      <w:proofErr w:type="spellStart"/>
      <w:r w:rsidR="00420636" w:rsidRPr="00767E0C">
        <w:rPr>
          <w:spacing w:val="-4"/>
        </w:rPr>
        <w:t>qldwater</w:t>
      </w:r>
      <w:proofErr w:type="spellEnd"/>
      <w:r w:rsidR="00420636" w:rsidRPr="00767E0C">
        <w:rPr>
          <w:spacing w:val="-4"/>
          <w:szCs w:val="24"/>
        </w:rPr>
        <w:t> 2019, p. 7)</w:t>
      </w:r>
      <w:r w:rsidR="00123797" w:rsidRPr="00767E0C">
        <w:rPr>
          <w:spacing w:val="-4"/>
        </w:rPr>
        <w:t xml:space="preserve">. </w:t>
      </w:r>
      <w:r w:rsidR="003C67DC" w:rsidRPr="00767E0C">
        <w:rPr>
          <w:spacing w:val="-4"/>
        </w:rPr>
        <w:t>According to Hall et al</w:t>
      </w:r>
      <w:r w:rsidR="00895C86" w:rsidRPr="00767E0C">
        <w:rPr>
          <w:spacing w:val="-4"/>
        </w:rPr>
        <w:t>.</w:t>
      </w:r>
      <w:r w:rsidR="003C67DC" w:rsidRPr="00767E0C">
        <w:rPr>
          <w:spacing w:val="-4"/>
        </w:rPr>
        <w:t xml:space="preserve"> (sub. 84, p. 11), this is due to:</w:t>
      </w:r>
    </w:p>
    <w:p w14:paraId="5534803A" w14:textId="56E1332A" w:rsidR="00725D5D" w:rsidRPr="00767E0C" w:rsidRDefault="008B57A1" w:rsidP="00665F9B">
      <w:pPr>
        <w:pStyle w:val="Quote"/>
        <w:rPr>
          <w:spacing w:val="-2"/>
        </w:rPr>
      </w:pPr>
      <w:r w:rsidRPr="00767E0C">
        <w:rPr>
          <w:spacing w:val="-2"/>
        </w:rPr>
        <w:t xml:space="preserve">… </w:t>
      </w:r>
      <w:r w:rsidR="003C67DC" w:rsidRPr="00767E0C">
        <w:rPr>
          <w:spacing w:val="-2"/>
        </w:rPr>
        <w:t xml:space="preserve">legislation prohibiting rates to be raised on Indigenous land held in trust </w:t>
      </w:r>
      <w:r w:rsidR="00420636" w:rsidRPr="00767E0C">
        <w:rPr>
          <w:spacing w:val="-2"/>
        </w:rPr>
        <w:t>—</w:t>
      </w:r>
      <w:r w:rsidR="003C67DC" w:rsidRPr="00767E0C">
        <w:rPr>
          <w:spacing w:val="-2"/>
        </w:rPr>
        <w:t xml:space="preserve"> despite these councils being responsible for managing and delivering a range of essential water, </w:t>
      </w:r>
      <w:proofErr w:type="gramStart"/>
      <w:r w:rsidR="003C67DC" w:rsidRPr="00767E0C">
        <w:rPr>
          <w:spacing w:val="-2"/>
        </w:rPr>
        <w:t>energy</w:t>
      </w:r>
      <w:proofErr w:type="gramEnd"/>
      <w:r w:rsidR="003C67DC" w:rsidRPr="00767E0C">
        <w:rPr>
          <w:spacing w:val="-2"/>
        </w:rPr>
        <w:t xml:space="preserve"> and local health services</w:t>
      </w:r>
      <w:r w:rsidR="00B847DC" w:rsidRPr="00767E0C">
        <w:rPr>
          <w:spacing w:val="-2"/>
        </w:rPr>
        <w:t xml:space="preserve"> </w:t>
      </w:r>
      <w:r w:rsidR="00B847DC" w:rsidRPr="00767E0C">
        <w:rPr>
          <w:spacing w:val="-2"/>
          <w:sz w:val="24"/>
        </w:rPr>
        <w:t>…</w:t>
      </w:r>
      <w:r w:rsidR="003C67DC" w:rsidRPr="00767E0C">
        <w:rPr>
          <w:spacing w:val="-2"/>
        </w:rPr>
        <w:t xml:space="preserve"> Without a rates base, </w:t>
      </w:r>
      <w:r w:rsidR="00420636" w:rsidRPr="00767E0C">
        <w:rPr>
          <w:spacing w:val="-2"/>
        </w:rPr>
        <w:t>Indigenous</w:t>
      </w:r>
      <w:r w:rsidR="003C67DC" w:rsidRPr="00767E0C">
        <w:rPr>
          <w:spacing w:val="-2"/>
        </w:rPr>
        <w:t xml:space="preserve"> councils rely on sporadic government grants.</w:t>
      </w:r>
    </w:p>
    <w:p w14:paraId="4A9A0099" w14:textId="7E7E35E9" w:rsidR="007720CF" w:rsidRDefault="00760A6E" w:rsidP="003966CA">
      <w:pPr>
        <w:pStyle w:val="BodyText"/>
        <w:keepNext/>
      </w:pPr>
      <w:r>
        <w:t>Some Aboriginal and Torres Strait Islander individuals</w:t>
      </w:r>
      <w:r w:rsidR="007F0217">
        <w:t xml:space="preserve"> are charged at the community level,</w:t>
      </w:r>
      <w:r w:rsidR="004F7979">
        <w:t xml:space="preserve"> </w:t>
      </w:r>
      <w:proofErr w:type="gramStart"/>
      <w:r w:rsidR="004F7979">
        <w:t>as a result of</w:t>
      </w:r>
      <w:proofErr w:type="gramEnd"/>
      <w:r w:rsidR="00131B65">
        <w:t xml:space="preserve"> living in</w:t>
      </w:r>
      <w:r w:rsidR="004F7979">
        <w:t xml:space="preserve"> </w:t>
      </w:r>
      <w:r w:rsidR="00131B65">
        <w:t xml:space="preserve">properties with a </w:t>
      </w:r>
      <w:r w:rsidR="004F7979">
        <w:t xml:space="preserve">shared </w:t>
      </w:r>
      <w:r w:rsidR="00131B65">
        <w:t xml:space="preserve">water </w:t>
      </w:r>
      <w:r w:rsidR="004F7979">
        <w:t>meter</w:t>
      </w:r>
      <w:r w:rsidR="007F0217">
        <w:t>.</w:t>
      </w:r>
      <w:r w:rsidR="007720CF">
        <w:t xml:space="preserve"> For example, the</w:t>
      </w:r>
      <w:r w:rsidR="003A3111">
        <w:t xml:space="preserve"> Department of Family and Community Services (NSW) </w:t>
      </w:r>
      <w:r w:rsidR="003A3111" w:rsidRPr="003A3111">
        <w:rPr>
          <w:szCs w:val="24"/>
        </w:rPr>
        <w:t>(2015, p. 4)</w:t>
      </w:r>
      <w:r w:rsidR="003A3111">
        <w:t xml:space="preserve"> </w:t>
      </w:r>
      <w:r w:rsidR="007720CF">
        <w:t>note</w:t>
      </w:r>
      <w:r w:rsidR="00420636">
        <w:t>d</w:t>
      </w:r>
      <w:r w:rsidR="007720CF">
        <w:t xml:space="preserve"> that:</w:t>
      </w:r>
    </w:p>
    <w:p w14:paraId="7DCC4365" w14:textId="2A4C023E" w:rsidR="007720CF" w:rsidRPr="00D0067D" w:rsidRDefault="004B2BA2" w:rsidP="00D0067D">
      <w:pPr>
        <w:pStyle w:val="Quote"/>
      </w:pPr>
      <w:r w:rsidRPr="00D0067D">
        <w:t>[Housing] p</w:t>
      </w:r>
      <w:r w:rsidR="007720CF" w:rsidRPr="00D0067D">
        <w:t>roviders are to calculate the charges for water us</w:t>
      </w:r>
      <w:r w:rsidR="00420636">
        <w:t>ag</w:t>
      </w:r>
      <w:r w:rsidR="007720CF" w:rsidRPr="00D0067D">
        <w:t xml:space="preserve">e based on </w:t>
      </w:r>
      <w:r w:rsidR="00420636">
        <w:t xml:space="preserve">… </w:t>
      </w:r>
      <w:r w:rsidR="007720CF" w:rsidRPr="00D0067D">
        <w:t>a method to be developed by the provider to apportion the costs in shared meter properties</w:t>
      </w:r>
      <w:r w:rsidR="004F7979" w:rsidRPr="00D0067D">
        <w:t>.</w:t>
      </w:r>
    </w:p>
    <w:p w14:paraId="7C73A2A7" w14:textId="447B1734" w:rsidR="00FC0FD3" w:rsidRDefault="00FC0FD3" w:rsidP="003966CA">
      <w:pPr>
        <w:pStyle w:val="BodyText"/>
        <w:keepNext/>
      </w:pPr>
      <w:r>
        <w:t xml:space="preserve">In some cases, </w:t>
      </w:r>
      <w:r w:rsidR="00F12F4A">
        <w:t>community</w:t>
      </w:r>
      <w:r w:rsidR="00641710">
        <w:noBreakHyphen/>
      </w:r>
      <w:r w:rsidR="008B57A1">
        <w:t>based pricing</w:t>
      </w:r>
      <w:r>
        <w:t xml:space="preserve"> is</w:t>
      </w:r>
      <w:r w:rsidR="008B57A1">
        <w:t xml:space="preserve"> warranted</w:t>
      </w:r>
      <w:r>
        <w:t>.</w:t>
      </w:r>
      <w:r w:rsidR="00DE6EB3">
        <w:t xml:space="preserve"> This is particularly the case when consumption is based on factors outside of </w:t>
      </w:r>
      <w:r w:rsidR="0057160D">
        <w:t xml:space="preserve">an </w:t>
      </w:r>
      <w:r w:rsidR="00F12F4A">
        <w:t>individual</w:t>
      </w:r>
      <w:r w:rsidR="00DE6EB3">
        <w:t>’s control, such as leaks.</w:t>
      </w:r>
      <w:r>
        <w:t xml:space="preserve"> For example,</w:t>
      </w:r>
      <w:r w:rsidR="007F0217">
        <w:t xml:space="preserve"> </w:t>
      </w:r>
      <w:r>
        <w:t>the Central Land Council (sub. 35, p. 29) note</w:t>
      </w:r>
      <w:r w:rsidR="00420636">
        <w:t>d</w:t>
      </w:r>
      <w:r>
        <w:t xml:space="preserve"> that</w:t>
      </w:r>
      <w:r w:rsidR="00F12F4A">
        <w:t xml:space="preserve"> in the Northern Territory</w:t>
      </w:r>
      <w:r>
        <w:t>:</w:t>
      </w:r>
    </w:p>
    <w:p w14:paraId="715D5CD6" w14:textId="4135F83D" w:rsidR="00852B1B" w:rsidRDefault="00FC0FD3" w:rsidP="00D0067D">
      <w:pPr>
        <w:pStyle w:val="Quote"/>
      </w:pPr>
      <w:r w:rsidRPr="00D0067D">
        <w:t xml:space="preserve">At </w:t>
      </w:r>
      <w:proofErr w:type="spellStart"/>
      <w:r w:rsidRPr="00D0067D">
        <w:t>Iwupataka</w:t>
      </w:r>
      <w:proofErr w:type="spellEnd"/>
      <w:r w:rsidRPr="00D0067D">
        <w:t xml:space="preserve">, poor quality water infrastructure supplying 18 outstations under </w:t>
      </w:r>
      <w:proofErr w:type="spellStart"/>
      <w:r w:rsidRPr="00D0067D">
        <w:t>Iwupataka</w:t>
      </w:r>
      <w:proofErr w:type="spellEnd"/>
      <w:r w:rsidRPr="00D0067D">
        <w:t xml:space="preserve"> Aboriginal Land Trust has resulted in</w:t>
      </w:r>
      <w:r w:rsidR="00CD398A" w:rsidRPr="00D0067D">
        <w:t xml:space="preserve"> recurring leaks and </w:t>
      </w:r>
      <w:proofErr w:type="gramStart"/>
      <w:r w:rsidR="00CD398A" w:rsidRPr="00D0067D">
        <w:t>high water</w:t>
      </w:r>
      <w:proofErr w:type="gramEnd"/>
      <w:r w:rsidR="00CD398A" w:rsidRPr="00D0067D">
        <w:t xml:space="preserve"> bills, yet the </w:t>
      </w:r>
      <w:proofErr w:type="spellStart"/>
      <w:r w:rsidR="00CD398A" w:rsidRPr="00D0067D">
        <w:t>Iwupataka</w:t>
      </w:r>
      <w:proofErr w:type="spellEnd"/>
      <w:r w:rsidR="00CD398A" w:rsidRPr="00D0067D">
        <w:t xml:space="preserve"> Water Aboriginal Corporation has not received sufficient funding to complete the scoped works </w:t>
      </w:r>
      <w:r w:rsidR="00420636">
        <w:t xml:space="preserve">to upgrade infrastructure </w:t>
      </w:r>
      <w:r w:rsidR="00CD398A" w:rsidRPr="00D0067D">
        <w:t>for more than four of th</w:t>
      </w:r>
      <w:r w:rsidR="00420636">
        <w:t>o</w:t>
      </w:r>
      <w:r w:rsidR="00CD398A" w:rsidRPr="00D0067D">
        <w:t>se outstations.</w:t>
      </w:r>
    </w:p>
    <w:p w14:paraId="3C6C9463" w14:textId="36348F5E" w:rsidR="00852B1B" w:rsidRDefault="000917A3" w:rsidP="003966CA">
      <w:pPr>
        <w:pStyle w:val="BodyText"/>
      </w:pPr>
      <w:r>
        <w:t xml:space="preserve">In other cases, the </w:t>
      </w:r>
      <w:r w:rsidR="00F12F4A">
        <w:t>absence of consumption</w:t>
      </w:r>
      <w:r w:rsidR="00641710">
        <w:noBreakHyphen/>
      </w:r>
      <w:r w:rsidR="00F12F4A">
        <w:t xml:space="preserve">based pricing </w:t>
      </w:r>
      <w:r>
        <w:t xml:space="preserve">may </w:t>
      </w:r>
      <w:r w:rsidR="00A136F7">
        <w:t>reduce</w:t>
      </w:r>
      <w:r w:rsidR="007F0217">
        <w:t xml:space="preserve"> individual and household incentives to conserve water.</w:t>
      </w:r>
      <w:r w:rsidR="003024E2">
        <w:t xml:space="preserve"> For example, while </w:t>
      </w:r>
      <w:r>
        <w:t>a variety of</w:t>
      </w:r>
      <w:r w:rsidR="003024E2">
        <w:t xml:space="preserve"> </w:t>
      </w:r>
      <w:r>
        <w:t xml:space="preserve">household </w:t>
      </w:r>
      <w:r w:rsidR="003024E2">
        <w:t xml:space="preserve">cooling methods </w:t>
      </w:r>
      <w:r>
        <w:t>are used</w:t>
      </w:r>
      <w:r w:rsidRPr="000917A3">
        <w:t xml:space="preserve"> </w:t>
      </w:r>
      <w:r>
        <w:t xml:space="preserve">in remote </w:t>
      </w:r>
      <w:r w:rsidR="00D80C6E">
        <w:t xml:space="preserve">Aboriginal </w:t>
      </w:r>
      <w:r>
        <w:t>communities in the Northern Territory,</w:t>
      </w:r>
      <w:r w:rsidR="003024E2">
        <w:t xml:space="preserve"> </w:t>
      </w:r>
      <w:r>
        <w:t>about 5</w:t>
      </w:r>
      <w:r w:rsidR="003024E2">
        <w:t> per cent of residents</w:t>
      </w:r>
      <w:r>
        <w:t xml:space="preserve"> </w:t>
      </w:r>
      <w:r w:rsidR="003024E2">
        <w:t>use water</w:t>
      </w:r>
      <w:r w:rsidR="00641710">
        <w:noBreakHyphen/>
      </w:r>
      <w:r w:rsidR="003024E2">
        <w:t xml:space="preserve">dependent cooling methods, such as </w:t>
      </w:r>
      <w:r>
        <w:t>sprinklers on the lawn</w:t>
      </w:r>
      <w:r w:rsidR="003024E2">
        <w:t xml:space="preserve"> and </w:t>
      </w:r>
      <w:r>
        <w:t xml:space="preserve">house </w:t>
      </w:r>
      <w:r w:rsidR="005F46AA" w:rsidRPr="005F46AA">
        <w:rPr>
          <w:szCs w:val="24"/>
        </w:rPr>
        <w:t>(IES 2015, p. 245)</w:t>
      </w:r>
      <w:r w:rsidR="003024E2">
        <w:t>.</w:t>
      </w:r>
    </w:p>
    <w:p w14:paraId="3F11BA0E" w14:textId="414E036A" w:rsidR="00EA534F" w:rsidRDefault="005E48C7" w:rsidP="002759B8">
      <w:pPr>
        <w:pStyle w:val="Heading4"/>
        <w:spacing w:before="400"/>
      </w:pPr>
      <w:r>
        <w:t>There is a l</w:t>
      </w:r>
      <w:r w:rsidR="00BB5A91">
        <w:t>ack</w:t>
      </w:r>
      <w:r w:rsidR="00FD4C82" w:rsidRPr="00FD4C82">
        <w:t xml:space="preserve"> of </w:t>
      </w:r>
      <w:proofErr w:type="gramStart"/>
      <w:r w:rsidR="00FD4C82" w:rsidRPr="00FD4C82">
        <w:t>culturally</w:t>
      </w:r>
      <w:r w:rsidR="002F41F5">
        <w:t>-</w:t>
      </w:r>
      <w:r w:rsidR="00FD4C82" w:rsidRPr="003966CA">
        <w:t>competent</w:t>
      </w:r>
      <w:proofErr w:type="gramEnd"/>
      <w:r>
        <w:t xml:space="preserve"> training</w:t>
      </w:r>
      <w:r w:rsidR="00FD4C82" w:rsidRPr="00FD4C82">
        <w:t xml:space="preserve"> </w:t>
      </w:r>
      <w:r w:rsidR="00D76991">
        <w:t>that uses local skills</w:t>
      </w:r>
    </w:p>
    <w:p w14:paraId="23B315BF" w14:textId="13730111" w:rsidR="00725D5D" w:rsidRDefault="00736A33" w:rsidP="003966CA">
      <w:pPr>
        <w:pStyle w:val="BodyText"/>
        <w:keepNext/>
      </w:pPr>
      <w:r>
        <w:t>According to Hall et al</w:t>
      </w:r>
      <w:r w:rsidR="00895C86">
        <w:t>.</w:t>
      </w:r>
      <w:r>
        <w:t xml:space="preserve"> (sub. 84, p. 10):</w:t>
      </w:r>
    </w:p>
    <w:p w14:paraId="466E510E" w14:textId="504B396B" w:rsidR="00725D5D" w:rsidRPr="00767E0C" w:rsidRDefault="00DF35FF" w:rsidP="00DF35FF">
      <w:pPr>
        <w:pStyle w:val="Quote"/>
        <w:rPr>
          <w:spacing w:val="-2"/>
        </w:rPr>
      </w:pPr>
      <w:r w:rsidRPr="00767E0C">
        <w:rPr>
          <w:spacing w:val="-2"/>
        </w:rPr>
        <w:t xml:space="preserve">… </w:t>
      </w:r>
      <w:r w:rsidR="00736A33" w:rsidRPr="00767E0C">
        <w:rPr>
          <w:spacing w:val="-2"/>
        </w:rPr>
        <w:t>i</w:t>
      </w:r>
      <w:r w:rsidR="002A0F2E" w:rsidRPr="00767E0C">
        <w:rPr>
          <w:spacing w:val="-2"/>
        </w:rPr>
        <w:t xml:space="preserve">t is crucial that the </w:t>
      </w:r>
      <w:r w:rsidR="00420636" w:rsidRPr="00767E0C">
        <w:rPr>
          <w:spacing w:val="-2"/>
        </w:rPr>
        <w:t>on</w:t>
      </w:r>
      <w:r w:rsidR="002F5149" w:rsidRPr="00767E0C">
        <w:rPr>
          <w:spacing w:val="-2"/>
        </w:rPr>
        <w:noBreakHyphen/>
      </w:r>
      <w:r w:rsidR="00420636" w:rsidRPr="00767E0C">
        <w:rPr>
          <w:spacing w:val="-2"/>
        </w:rPr>
        <w:t xml:space="preserve">site water operators in remote communities are appointed from the </w:t>
      </w:r>
      <w:r w:rsidR="002A0F2E" w:rsidRPr="00767E0C">
        <w:rPr>
          <w:spacing w:val="-2"/>
        </w:rPr>
        <w:t xml:space="preserve">local population </w:t>
      </w:r>
      <w:r w:rsidR="00420636" w:rsidRPr="00767E0C">
        <w:rPr>
          <w:spacing w:val="-2"/>
        </w:rPr>
        <w:t xml:space="preserve">and </w:t>
      </w:r>
      <w:r w:rsidR="002A0F2E" w:rsidRPr="00767E0C">
        <w:rPr>
          <w:spacing w:val="-2"/>
        </w:rPr>
        <w:t>well supported, have the appropriate training on the equipment they operate, and all external stakeholders engaging with the community have cultural awareness and competence</w:t>
      </w:r>
      <w:r w:rsidR="00276945" w:rsidRPr="00767E0C">
        <w:rPr>
          <w:spacing w:val="-2"/>
        </w:rPr>
        <w:t>.</w:t>
      </w:r>
    </w:p>
    <w:p w14:paraId="7F46C445" w14:textId="3587D6AE" w:rsidR="00B966F6" w:rsidRDefault="00D9560D" w:rsidP="003966CA">
      <w:pPr>
        <w:pStyle w:val="BodyText"/>
      </w:pPr>
      <w:r>
        <w:t>This is often not the case</w:t>
      </w:r>
      <w:r w:rsidR="007A03B3">
        <w:t>,</w:t>
      </w:r>
      <w:r>
        <w:t xml:space="preserve"> with</w:t>
      </w:r>
      <w:r w:rsidR="007A03B3">
        <w:t xml:space="preserve"> remote communities facing</w:t>
      </w:r>
      <w:r>
        <w:t xml:space="preserve"> challenges such as minimal staffing, high turnover (Hall et al</w:t>
      </w:r>
      <w:r w:rsidR="00895C86">
        <w:t>.</w:t>
      </w:r>
      <w:r>
        <w:t xml:space="preserve">, sub. 84, </w:t>
      </w:r>
      <w:r w:rsidRPr="007753E3">
        <w:t>p. </w:t>
      </w:r>
      <w:r w:rsidR="00F762FC" w:rsidRPr="00123797">
        <w:t>7</w:t>
      </w:r>
      <w:r w:rsidRPr="00A90F02">
        <w:t>)</w:t>
      </w:r>
      <w:r w:rsidR="00891C1A" w:rsidRPr="00A90F02">
        <w:t>,</w:t>
      </w:r>
      <w:r w:rsidR="00891C1A">
        <w:t xml:space="preserve"> </w:t>
      </w:r>
      <w:r w:rsidR="007F3EAA">
        <w:t xml:space="preserve">and </w:t>
      </w:r>
      <w:r w:rsidR="00891C1A">
        <w:t xml:space="preserve">limited community engagement and water literacy </w:t>
      </w:r>
      <w:r w:rsidR="00420636" w:rsidRPr="00420636">
        <w:rPr>
          <w:szCs w:val="24"/>
        </w:rPr>
        <w:t>(Satur and Robertson 2020, p. 3)</w:t>
      </w:r>
      <w:r w:rsidR="006D7E31">
        <w:t xml:space="preserve">. </w:t>
      </w:r>
      <w:r w:rsidR="008A4CA5" w:rsidRPr="008A4CA5">
        <w:t xml:space="preserve">Costs associated with training staff and ongoing engagement in remote areas </w:t>
      </w:r>
      <w:r w:rsidR="008A4CA5">
        <w:t xml:space="preserve">are likely to contribute to these challenges. </w:t>
      </w:r>
      <w:r w:rsidR="00B966F6">
        <w:t xml:space="preserve">However, there are </w:t>
      </w:r>
      <w:r w:rsidR="00DE0D82">
        <w:t>some</w:t>
      </w:r>
      <w:r w:rsidR="00B966F6">
        <w:t xml:space="preserve"> case studies of </w:t>
      </w:r>
      <w:r w:rsidR="00BE7EBD">
        <w:t xml:space="preserve">strong </w:t>
      </w:r>
      <w:r w:rsidR="002551F9">
        <w:t>partnership</w:t>
      </w:r>
      <w:r w:rsidR="00BE7EBD">
        <w:t>s</w:t>
      </w:r>
      <w:r w:rsidR="002551F9">
        <w:t xml:space="preserve"> with remote Aboriginal and Torres Strait Islander communities to provide </w:t>
      </w:r>
      <w:r w:rsidR="005030A5">
        <w:t xml:space="preserve">safe </w:t>
      </w:r>
      <w:r w:rsidR="002551F9">
        <w:t>water</w:t>
      </w:r>
      <w:r w:rsidR="00B966F6">
        <w:t xml:space="preserve"> (box </w:t>
      </w:r>
      <w:r w:rsidR="00F63966">
        <w:t>5</w:t>
      </w:r>
      <w:r w:rsidR="00B966F6">
        <w:t>).</w:t>
      </w:r>
    </w:p>
    <w:p w14:paraId="303E81FD" w14:textId="263FCC1E" w:rsidR="00B966F6" w:rsidRDefault="00B966F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966F6" w14:paraId="4ADF974B" w14:textId="77777777" w:rsidTr="00163C6B">
        <w:trPr>
          <w:tblHeader/>
        </w:trPr>
        <w:tc>
          <w:tcPr>
            <w:tcW w:w="5000" w:type="pct"/>
            <w:tcBorders>
              <w:top w:val="single" w:sz="6" w:space="0" w:color="78A22F"/>
              <w:left w:val="nil"/>
              <w:bottom w:val="nil"/>
              <w:right w:val="nil"/>
            </w:tcBorders>
            <w:shd w:val="clear" w:color="auto" w:fill="F2F2F2"/>
          </w:tcPr>
          <w:p w14:paraId="690DA0D2" w14:textId="263FCC1E" w:rsidR="00B966F6" w:rsidRDefault="00B966F6" w:rsidP="00F63966">
            <w:pPr>
              <w:pStyle w:val="BoxTitle"/>
            </w:pPr>
            <w:r>
              <w:rPr>
                <w:b w:val="0"/>
              </w:rPr>
              <w:t xml:space="preserve">Box </w:t>
            </w:r>
            <w:r w:rsidR="00F63966" w:rsidRPr="00F63966">
              <w:rPr>
                <w:b w:val="0"/>
              </w:rPr>
              <w:t>5</w:t>
            </w:r>
            <w:r>
              <w:tab/>
            </w:r>
            <w:r w:rsidR="0057160D" w:rsidRPr="00FA1529">
              <w:t>S</w:t>
            </w:r>
            <w:r w:rsidR="00BE7EBD" w:rsidRPr="00FA1529">
              <w:t>trong</w:t>
            </w:r>
            <w:r w:rsidR="00EC6824" w:rsidRPr="00FA1529">
              <w:t xml:space="preserve"> </w:t>
            </w:r>
            <w:r w:rsidR="002551F9" w:rsidRPr="00FA1529">
              <w:t>partnership</w:t>
            </w:r>
            <w:r w:rsidR="00BD3B09" w:rsidRPr="00FA1529">
              <w:t>s</w:t>
            </w:r>
            <w:r w:rsidR="00BE7EBD" w:rsidRPr="00FA1529">
              <w:t xml:space="preserve"> </w:t>
            </w:r>
            <w:r w:rsidR="0057160D" w:rsidRPr="00FA1529">
              <w:t>can</w:t>
            </w:r>
            <w:r w:rsidR="00BD3B09" w:rsidRPr="00FA1529">
              <w:t xml:space="preserve"> </w:t>
            </w:r>
            <w:r w:rsidR="00FA1529" w:rsidRPr="00FA1529">
              <w:t xml:space="preserve">provide </w:t>
            </w:r>
            <w:r w:rsidR="000C7122">
              <w:t>safe</w:t>
            </w:r>
            <w:r w:rsidR="000C7122" w:rsidRPr="00FA1529">
              <w:t xml:space="preserve"> </w:t>
            </w:r>
            <w:r w:rsidR="00FA1529" w:rsidRPr="00FA1529">
              <w:t>water</w:t>
            </w:r>
          </w:p>
        </w:tc>
      </w:tr>
      <w:tr w:rsidR="00B966F6" w14:paraId="0A93AF8E" w14:textId="77777777" w:rsidTr="00163C6B">
        <w:tc>
          <w:tcPr>
            <w:tcW w:w="5000" w:type="pct"/>
            <w:tcBorders>
              <w:top w:val="nil"/>
              <w:left w:val="nil"/>
              <w:bottom w:val="nil"/>
              <w:right w:val="nil"/>
            </w:tcBorders>
            <w:shd w:val="clear" w:color="auto" w:fill="F2F2F2"/>
          </w:tcPr>
          <w:p w14:paraId="6AFCEC42" w14:textId="1A04F737" w:rsidR="00AE033B" w:rsidRDefault="00AE033B" w:rsidP="003966CA">
            <w:pPr>
              <w:pStyle w:val="BoxHeading1"/>
            </w:pPr>
            <w:r>
              <w:t>New South Wales</w:t>
            </w:r>
          </w:p>
          <w:p w14:paraId="04009F6F" w14:textId="3C8A5AC2" w:rsidR="00AE033B" w:rsidRDefault="00AE033B" w:rsidP="00AE033B">
            <w:pPr>
              <w:pStyle w:val="Box"/>
            </w:pPr>
            <w:r>
              <w:t xml:space="preserve">The New South Wales Aboriginal Communities Water and Sewerage Program is a partnership between the </w:t>
            </w:r>
            <w:r w:rsidR="00CC4570">
              <w:t xml:space="preserve">New South Wales </w:t>
            </w:r>
            <w:r>
              <w:t xml:space="preserve">Government and the NSW Aboriginal Land Council. The </w:t>
            </w:r>
            <w:r w:rsidR="00420636">
              <w:t>p</w:t>
            </w:r>
            <w:r>
              <w:t xml:space="preserve">rogram was established in 2008, with a $200 million investment over a </w:t>
            </w:r>
            <w:proofErr w:type="gramStart"/>
            <w:r>
              <w:t>25</w:t>
            </w:r>
            <w:r w:rsidR="00B45FA1">
              <w:t> </w:t>
            </w:r>
            <w:r>
              <w:t>year</w:t>
            </w:r>
            <w:proofErr w:type="gramEnd"/>
            <w:r>
              <w:t xml:space="preserve"> period</w:t>
            </w:r>
            <w:r w:rsidR="00CF658A">
              <w:t>, and</w:t>
            </w:r>
            <w:r>
              <w:t xml:space="preserve"> involved:</w:t>
            </w:r>
          </w:p>
          <w:p w14:paraId="26F117C1" w14:textId="22C8A429" w:rsidR="00AE033B" w:rsidRDefault="00AE033B" w:rsidP="00AE033B">
            <w:pPr>
              <w:pStyle w:val="BoxListBullet"/>
            </w:pPr>
            <w:r>
              <w:t xml:space="preserve">the </w:t>
            </w:r>
            <w:r w:rsidR="00CC4570">
              <w:t xml:space="preserve">New South Wales </w:t>
            </w:r>
            <w:r>
              <w:t xml:space="preserve">Government delivering financing and technical expertise </w:t>
            </w:r>
            <w:r w:rsidR="00420636">
              <w:t xml:space="preserve">in partnership with </w:t>
            </w:r>
            <w:r>
              <w:t xml:space="preserve">the NSW Aboriginal Land Council and local Aboriginal land </w:t>
            </w:r>
            <w:proofErr w:type="gramStart"/>
            <w:r>
              <w:t>councils</w:t>
            </w:r>
            <w:proofErr w:type="gramEnd"/>
          </w:p>
          <w:p w14:paraId="0A2903F5" w14:textId="2E476627" w:rsidR="00AE033B" w:rsidRDefault="00AE033B" w:rsidP="00AE033B">
            <w:pPr>
              <w:pStyle w:val="BoxListBullet"/>
            </w:pPr>
            <w:r>
              <w:t>local Aboriginal land councils having long</w:t>
            </w:r>
            <w:r>
              <w:noBreakHyphen/>
              <w:t xml:space="preserve">term service agreements with local water utilities to implement routine maintenance, address repair backlogs and undertake emergency </w:t>
            </w:r>
            <w:proofErr w:type="gramStart"/>
            <w:r>
              <w:t>works</w:t>
            </w:r>
            <w:proofErr w:type="gramEnd"/>
          </w:p>
          <w:p w14:paraId="6289945C" w14:textId="1D86D90E" w:rsidR="00AE033B" w:rsidRDefault="00AE033B" w:rsidP="00AE033B">
            <w:pPr>
              <w:pStyle w:val="BoxListBullet"/>
            </w:pPr>
            <w:r>
              <w:t>Aboriginal community participation in four</w:t>
            </w:r>
            <w:r>
              <w:noBreakHyphen/>
              <w:t>monthly inspections and reviews</w:t>
            </w:r>
            <w:r w:rsidR="00905E73">
              <w:t>.</w:t>
            </w:r>
          </w:p>
          <w:p w14:paraId="530D7CC4" w14:textId="3239D66A" w:rsidR="00AE033B" w:rsidRDefault="00AE033B" w:rsidP="00AE033B">
            <w:pPr>
              <w:pStyle w:val="Box"/>
            </w:pPr>
            <w:r>
              <w:t>As a result</w:t>
            </w:r>
            <w:r w:rsidR="00905E73">
              <w:t xml:space="preserve"> of the program</w:t>
            </w:r>
            <w:r>
              <w:t xml:space="preserve">, </w:t>
            </w:r>
            <w:r w:rsidR="00905E73">
              <w:t>63</w:t>
            </w:r>
            <w:r w:rsidR="00517CA1">
              <w:t> </w:t>
            </w:r>
            <w:r w:rsidR="00905E73">
              <w:t>Aboriginal communities are receiving improved water and sewerage services.</w:t>
            </w:r>
            <w:r w:rsidR="00F94D29">
              <w:t xml:space="preserve"> </w:t>
            </w:r>
            <w:r w:rsidR="00F94D29" w:rsidRPr="00F94D29">
              <w:t xml:space="preserve">Aboriginal communities </w:t>
            </w:r>
            <w:r w:rsidR="00905E73">
              <w:t xml:space="preserve">in New South Wales </w:t>
            </w:r>
            <w:r w:rsidR="00F94D29" w:rsidRPr="00F94D29">
              <w:t>generally achieved full chemical and microbiological compliance</w:t>
            </w:r>
            <w:r w:rsidR="00B847DC">
              <w:t xml:space="preserve"> in 2018</w:t>
            </w:r>
            <w:r w:rsidR="00B847DC">
              <w:noBreakHyphen/>
            </w:r>
            <w:r w:rsidR="00545D5A">
              <w:t>19</w:t>
            </w:r>
            <w:r w:rsidR="00F94D29" w:rsidRPr="00F94D29">
              <w:t xml:space="preserve">, although mixed outcomes </w:t>
            </w:r>
            <w:r w:rsidR="00060003">
              <w:t xml:space="preserve">were achieved </w:t>
            </w:r>
            <w:r w:rsidR="00F94D29" w:rsidRPr="00F94D29">
              <w:t>on physical compliance, and samples were not collected in some communities</w:t>
            </w:r>
            <w:r w:rsidR="00F94D29">
              <w:t>.</w:t>
            </w:r>
          </w:p>
          <w:p w14:paraId="4048A3D0" w14:textId="5E35BC26" w:rsidR="000D5D01" w:rsidRDefault="000D5D01" w:rsidP="003966CA">
            <w:pPr>
              <w:pStyle w:val="BoxHeading1"/>
            </w:pPr>
            <w:r>
              <w:t>Queensland</w:t>
            </w:r>
          </w:p>
          <w:p w14:paraId="24A6FABB" w14:textId="2492163B" w:rsidR="00852B1B" w:rsidRDefault="00F07779" w:rsidP="00163C6B">
            <w:pPr>
              <w:pStyle w:val="Box"/>
            </w:pPr>
            <w:r>
              <w:t>In 2016,</w:t>
            </w:r>
            <w:r w:rsidR="000D5D01">
              <w:t xml:space="preserve"> there were </w:t>
            </w:r>
            <w:r>
              <w:t>16 </w:t>
            </w:r>
            <w:proofErr w:type="spellStart"/>
            <w:proofErr w:type="gramStart"/>
            <w:r w:rsidR="000D5D01" w:rsidRPr="003E4BFB">
              <w:rPr>
                <w:i/>
                <w:iCs/>
              </w:rPr>
              <w:t>E.Coli</w:t>
            </w:r>
            <w:proofErr w:type="spellEnd"/>
            <w:proofErr w:type="gramEnd"/>
            <w:r w:rsidR="000D5D01" w:rsidRPr="003E4BFB">
              <w:t xml:space="preserve"> detection incidents</w:t>
            </w:r>
            <w:r w:rsidR="000D5D01">
              <w:t xml:space="preserve"> </w:t>
            </w:r>
            <w:r>
              <w:t>i</w:t>
            </w:r>
            <w:r w:rsidR="000D5D01">
              <w:t xml:space="preserve">n the Torres Strait Islands. Several </w:t>
            </w:r>
            <w:proofErr w:type="gramStart"/>
            <w:r w:rsidR="000D5D01">
              <w:t>government</w:t>
            </w:r>
            <w:proofErr w:type="gramEnd"/>
            <w:r w:rsidR="000D5D01">
              <w:t xml:space="preserve"> and non</w:t>
            </w:r>
            <w:r w:rsidR="00641710">
              <w:noBreakHyphen/>
            </w:r>
            <w:r w:rsidR="000D5D01">
              <w:t xml:space="preserve">government agencies </w:t>
            </w:r>
            <w:r w:rsidR="00B54CEF">
              <w:t>collaborated</w:t>
            </w:r>
            <w:r w:rsidR="000D5D01">
              <w:t xml:space="preserve"> to address this issue, including the </w:t>
            </w:r>
            <w:r w:rsidR="000D5D01" w:rsidRPr="003E4BFB">
              <w:t xml:space="preserve">Queensland Departments of Health, Water, </w:t>
            </w:r>
            <w:r w:rsidR="00C7255B">
              <w:t>I</w:t>
            </w:r>
            <w:r w:rsidR="000D5D01" w:rsidRPr="003E4BFB">
              <w:t>nfrastructure</w:t>
            </w:r>
            <w:r w:rsidR="00C7255B">
              <w:t xml:space="preserve"> and</w:t>
            </w:r>
            <w:r w:rsidR="000D5D01" w:rsidRPr="003E4BFB">
              <w:t xml:space="preserve"> </w:t>
            </w:r>
            <w:r w:rsidR="00C7255B">
              <w:t>L</w:t>
            </w:r>
            <w:r w:rsidR="000D5D01" w:rsidRPr="003E4BFB">
              <w:t xml:space="preserve">ocal </w:t>
            </w:r>
            <w:r w:rsidR="00C7255B">
              <w:t>G</w:t>
            </w:r>
            <w:r w:rsidR="000D5D01" w:rsidRPr="003E4BFB">
              <w:t>overnment and the Torres Strait Islands Regional Council</w:t>
            </w:r>
            <w:r w:rsidR="000D5D01">
              <w:t>. The</w:t>
            </w:r>
            <w:r w:rsidR="00B54CEF">
              <w:t xml:space="preserve">se organisations created </w:t>
            </w:r>
            <w:r w:rsidR="00420636">
              <w:t xml:space="preserve">the </w:t>
            </w:r>
            <w:r w:rsidR="000D5D01">
              <w:t>p</w:t>
            </w:r>
            <w:r>
              <w:t xml:space="preserve">ilot program: </w:t>
            </w:r>
            <w:r>
              <w:rPr>
                <w:i/>
                <w:iCs/>
              </w:rPr>
              <w:t>Safe and Healthy Drinking Water</w:t>
            </w:r>
            <w:r w:rsidR="00C7255B">
              <w:rPr>
                <w:i/>
                <w:iCs/>
              </w:rPr>
              <w:t xml:space="preserve">, </w:t>
            </w:r>
            <w:r w:rsidR="00C7255B">
              <w:t xml:space="preserve">which carried out a variety of </w:t>
            </w:r>
            <w:r w:rsidR="0024525E">
              <w:t xml:space="preserve">tasks </w:t>
            </w:r>
            <w:r w:rsidR="00C7255B">
              <w:t>including</w:t>
            </w:r>
            <w:r w:rsidR="00D526FF">
              <w:t xml:space="preserve"> </w:t>
            </w:r>
            <w:r w:rsidR="00D314EE">
              <w:t>auditing water treatment</w:t>
            </w:r>
            <w:r w:rsidR="00D526FF">
              <w:t xml:space="preserve">, </w:t>
            </w:r>
            <w:r w:rsidR="00D314EE">
              <w:t xml:space="preserve">upgrading infrastructure, </w:t>
            </w:r>
            <w:proofErr w:type="gramStart"/>
            <w:r w:rsidR="00D314EE">
              <w:t>training</w:t>
            </w:r>
            <w:proofErr w:type="gramEnd"/>
            <w:r w:rsidR="00D314EE">
              <w:t xml:space="preserve"> and mentoring staff and conducting community engagement. </w:t>
            </w:r>
            <w:r w:rsidR="00CF658A">
              <w:t>M</w:t>
            </w:r>
            <w:r w:rsidR="000D5D01" w:rsidRPr="003E4BFB">
              <w:t>icrobial drinking water incidents</w:t>
            </w:r>
            <w:r w:rsidR="00C7255B">
              <w:t xml:space="preserve"> in the Torres Strait Islands</w:t>
            </w:r>
            <w:r w:rsidR="000D5D01" w:rsidRPr="003E4BFB">
              <w:t xml:space="preserve"> </w:t>
            </w:r>
            <w:r w:rsidR="0057160D">
              <w:t>fell</w:t>
            </w:r>
            <w:r w:rsidR="000D5D01" w:rsidRPr="003E4BFB">
              <w:t xml:space="preserve"> from 16</w:t>
            </w:r>
            <w:r w:rsidR="00B45FA1">
              <w:t> </w:t>
            </w:r>
            <w:r w:rsidR="000D5D01" w:rsidRPr="003E4BFB">
              <w:t>incidents in 2016 to two incidents in 2018</w:t>
            </w:r>
            <w:r w:rsidR="000D5D01">
              <w:t>.</w:t>
            </w:r>
          </w:p>
          <w:p w14:paraId="18A4D94E" w14:textId="79ED9DE7" w:rsidR="004139A5" w:rsidRDefault="004139A5" w:rsidP="003966CA">
            <w:pPr>
              <w:pStyle w:val="BoxHeading1"/>
            </w:pPr>
            <w:r>
              <w:t>Western Australia</w:t>
            </w:r>
          </w:p>
          <w:p w14:paraId="2C111E35" w14:textId="5AB18317" w:rsidR="00391BFF" w:rsidRPr="003504C1" w:rsidRDefault="00391BFF" w:rsidP="00391BFF">
            <w:pPr>
              <w:pStyle w:val="Box"/>
            </w:pPr>
            <w:r>
              <w:t xml:space="preserve">There have been </w:t>
            </w:r>
            <w:proofErr w:type="gramStart"/>
            <w:r>
              <w:t>a number of</w:t>
            </w:r>
            <w:proofErr w:type="gramEnd"/>
            <w:r>
              <w:t xml:space="preserve"> policy efforts to improve drinking water quality in Western Australia. In 2019, $23 million was committed through the Essential and Municipal Services Upgrade Program to the WA Water Corporation to upgrade water services in three remote Aboriginal communities in the Kimberley. In 2020, $38.9 million has been committed through the WA Recovery Plan to upgrade water services in a further four remote Aboriginal communities on the Dampier Peninsula in the West Kimberley. To deliver these services, the Water Corporation will partner with Aboriginal communities, and train and employ local Aboriginal people and businesses. As these initiatives are relatively new, it is too early to judge their effectiveness in delivering safe drinking water in remote Aboriginal </w:t>
            </w:r>
            <w:r w:rsidRPr="00F66F99">
              <w:rPr>
                <w:spacing w:val="-2"/>
              </w:rPr>
              <w:t>communities in Western Australia</w:t>
            </w:r>
            <w:r w:rsidRPr="003504C1">
              <w:t>.</w:t>
            </w:r>
          </w:p>
          <w:p w14:paraId="239D1D5F" w14:textId="77777777" w:rsidR="00AE033B" w:rsidRDefault="00AE033B" w:rsidP="003966CA">
            <w:pPr>
              <w:pStyle w:val="BoxHeading1"/>
            </w:pPr>
            <w:r>
              <w:t>South Australia</w:t>
            </w:r>
          </w:p>
          <w:p w14:paraId="7EBBED83" w14:textId="5736BD6B" w:rsidR="00AE033B" w:rsidRPr="009C11E9" w:rsidRDefault="001E3409" w:rsidP="003504C1">
            <w:pPr>
              <w:pStyle w:val="Box"/>
            </w:pPr>
            <w:r>
              <w:t xml:space="preserve">SA Water supplies water to 20 remote Aboriginal communities. Since taking management of water communities in the </w:t>
            </w:r>
            <w:r w:rsidRPr="001E3409">
              <w:t>Anangu Pitjantjatjara Yankunytjatjara (APY) Lands</w:t>
            </w:r>
            <w:r>
              <w:t>, SA Water has commenced community-driven water infrastructure upgrade programs. SA Water’s Remote Communities team works with local people through the processes of engagement, planning, design, construction and ongoing management and maintenance. Relationships with the local communities help to ensure water infrastructure meets the needs of the people it is serving.</w:t>
            </w:r>
          </w:p>
        </w:tc>
      </w:tr>
      <w:tr w:rsidR="00B966F6" w14:paraId="6BEFE988" w14:textId="77777777" w:rsidTr="00163C6B">
        <w:tc>
          <w:tcPr>
            <w:tcW w:w="5000" w:type="pct"/>
            <w:tcBorders>
              <w:top w:val="nil"/>
              <w:left w:val="nil"/>
              <w:bottom w:val="nil"/>
              <w:right w:val="nil"/>
            </w:tcBorders>
            <w:shd w:val="clear" w:color="auto" w:fill="F2F2F2"/>
          </w:tcPr>
          <w:p w14:paraId="5EC2A2E4" w14:textId="04C28FED" w:rsidR="00B966F6" w:rsidRDefault="00B966F6" w:rsidP="00334FF6">
            <w:pPr>
              <w:pStyle w:val="BoxSource"/>
            </w:pPr>
            <w:r>
              <w:rPr>
                <w:i/>
              </w:rPr>
              <w:t>Sources</w:t>
            </w:r>
            <w:r w:rsidRPr="00167F06">
              <w:t xml:space="preserve">: </w:t>
            </w:r>
            <w:r w:rsidR="00334FF6" w:rsidRPr="003F4AF9">
              <w:rPr>
                <w:i/>
                <w:iCs/>
              </w:rPr>
              <w:t>Assessment</w:t>
            </w:r>
            <w:r w:rsidR="00334FF6">
              <w:t>: section 6.1</w:t>
            </w:r>
            <w:r w:rsidR="003354D6">
              <w:t xml:space="preserve">, </w:t>
            </w:r>
            <w:r w:rsidR="00AE033B">
              <w:t xml:space="preserve">Government of Western Australia </w:t>
            </w:r>
            <w:r w:rsidR="00AE033B" w:rsidRPr="00AE033B">
              <w:rPr>
                <w:rFonts w:cs="Arial"/>
              </w:rPr>
              <w:t>(2019, 2020)</w:t>
            </w:r>
            <w:r w:rsidR="00AE033B">
              <w:t xml:space="preserve">; </w:t>
            </w:r>
            <w:r w:rsidR="001E5B76">
              <w:t>Hall et al</w:t>
            </w:r>
            <w:r w:rsidR="00895C86">
              <w:t>.</w:t>
            </w:r>
            <w:r w:rsidR="001E5B76">
              <w:t>, sub. </w:t>
            </w:r>
            <w:r w:rsidR="001A4EF3">
              <w:t>84</w:t>
            </w:r>
            <w:r w:rsidR="001E5B76">
              <w:t>, p. </w:t>
            </w:r>
            <w:r w:rsidR="001A4EF3">
              <w:t>8</w:t>
            </w:r>
            <w:r w:rsidR="00AE033B">
              <w:t>;</w:t>
            </w:r>
            <w:r w:rsidR="00517CA1">
              <w:t xml:space="preserve"> NSWALC </w:t>
            </w:r>
            <w:r w:rsidR="00517CA1" w:rsidRPr="00905E73">
              <w:rPr>
                <w:rFonts w:cs="Arial"/>
              </w:rPr>
              <w:t>(2020)</w:t>
            </w:r>
            <w:r w:rsidR="00517CA1">
              <w:t xml:space="preserve">; SA Water </w:t>
            </w:r>
            <w:r w:rsidR="00517CA1" w:rsidRPr="001E3409">
              <w:rPr>
                <w:rFonts w:cs="Arial"/>
              </w:rPr>
              <w:t>(2019a)</w:t>
            </w:r>
            <w:r w:rsidR="00517CA1">
              <w:t>;</w:t>
            </w:r>
            <w:r w:rsidR="001E5B76">
              <w:t xml:space="preserve"> </w:t>
            </w:r>
            <w:r w:rsidR="00AE033B">
              <w:t xml:space="preserve">Water Corporation </w:t>
            </w:r>
            <w:r w:rsidR="00AE033B" w:rsidRPr="00AE033B">
              <w:rPr>
                <w:rFonts w:cs="Arial"/>
              </w:rPr>
              <w:t>(2020)</w:t>
            </w:r>
            <w:r w:rsidR="00DB6B9B" w:rsidRPr="00517CA1">
              <w:t>.</w:t>
            </w:r>
          </w:p>
        </w:tc>
      </w:tr>
      <w:tr w:rsidR="00B966F6" w14:paraId="1B059A5C" w14:textId="77777777" w:rsidTr="00163C6B">
        <w:tc>
          <w:tcPr>
            <w:tcW w:w="5000" w:type="pct"/>
            <w:tcBorders>
              <w:top w:val="nil"/>
              <w:left w:val="nil"/>
              <w:bottom w:val="single" w:sz="6" w:space="0" w:color="78A22F"/>
              <w:right w:val="nil"/>
            </w:tcBorders>
            <w:shd w:val="clear" w:color="auto" w:fill="F2F2F2"/>
          </w:tcPr>
          <w:p w14:paraId="6DDEE50A" w14:textId="77777777" w:rsidR="00B966F6" w:rsidRDefault="00B966F6">
            <w:pPr>
              <w:pStyle w:val="Box"/>
              <w:spacing w:before="0" w:line="120" w:lineRule="exact"/>
            </w:pPr>
          </w:p>
        </w:tc>
      </w:tr>
      <w:tr w:rsidR="00B966F6" w:rsidRPr="000863A5" w14:paraId="24032B92" w14:textId="77777777" w:rsidTr="00163C6B">
        <w:tc>
          <w:tcPr>
            <w:tcW w:w="5000" w:type="pct"/>
            <w:tcBorders>
              <w:top w:val="single" w:sz="6" w:space="0" w:color="78A22F"/>
              <w:left w:val="nil"/>
              <w:bottom w:val="nil"/>
              <w:right w:val="nil"/>
            </w:tcBorders>
          </w:tcPr>
          <w:p w14:paraId="40FF7A49" w14:textId="45E275AE" w:rsidR="00B966F6" w:rsidRPr="00626D32" w:rsidRDefault="00B966F6" w:rsidP="00163C6B">
            <w:pPr>
              <w:pStyle w:val="BoxSpaceBelow"/>
            </w:pPr>
          </w:p>
        </w:tc>
      </w:tr>
    </w:tbl>
    <w:p w14:paraId="74BA9084" w14:textId="77777777" w:rsidR="002759B8" w:rsidRDefault="002759B8" w:rsidP="002759B8">
      <w:pPr>
        <w:pStyle w:val="Heading4"/>
      </w:pPr>
      <w:r w:rsidRPr="003966CA">
        <w:lastRenderedPageBreak/>
        <w:t>There</w:t>
      </w:r>
      <w:r>
        <w:t xml:space="preserve"> are poor quality water sources in remote </w:t>
      </w:r>
      <w:proofErr w:type="gramStart"/>
      <w:r>
        <w:t>areas</w:t>
      </w:r>
      <w:proofErr w:type="gramEnd"/>
    </w:p>
    <w:p w14:paraId="34470EDE" w14:textId="77777777" w:rsidR="002759B8" w:rsidRDefault="002759B8" w:rsidP="002759B8">
      <w:pPr>
        <w:pStyle w:val="BodyText"/>
      </w:pPr>
      <w:r>
        <w:t>W</w:t>
      </w:r>
      <w:r w:rsidRPr="0082339A">
        <w:t>ater sources can be of especially poor quality</w:t>
      </w:r>
      <w:r>
        <w:t xml:space="preserve"> in remote areas. Challenges to the provision of safe drinking water will vary across </w:t>
      </w:r>
      <w:r w:rsidDel="002B462E">
        <w:t>d</w:t>
      </w:r>
      <w:r>
        <w:t>ifferent water sources (table </w:t>
      </w:r>
      <w:r w:rsidRPr="00F63966">
        <w:t>2</w:t>
      </w:r>
      <w:r>
        <w:t>).</w:t>
      </w:r>
      <w:r w:rsidRPr="0082339A">
        <w:t xml:space="preserve"> For example, Walgett</w:t>
      </w:r>
      <w:r>
        <w:t xml:space="preserve"> in </w:t>
      </w:r>
      <w:r w:rsidRPr="0082339A">
        <w:t>New South Wales</w:t>
      </w:r>
      <w:r>
        <w:t xml:space="preserve"> faces poor quality sources of drinking water, such as Great Artesian Basin bore water, when the Barwon and Namoi Rivers cease to flow (</w:t>
      </w:r>
      <w:proofErr w:type="spellStart"/>
      <w:r>
        <w:t>Dharriwaa</w:t>
      </w:r>
      <w:proofErr w:type="spellEnd"/>
      <w:r>
        <w:t xml:space="preserve"> Elders Group and Walgett Aboriginal Medical Service, sub. 104, pp. 6–7)</w:t>
      </w:r>
      <w:r w:rsidRPr="0082339A">
        <w:t>.</w:t>
      </w:r>
      <w:r>
        <w:t xml:space="preserve"> These sources have higher </w:t>
      </w:r>
      <w:proofErr w:type="gramStart"/>
      <w:r>
        <w:t>salinity, and</w:t>
      </w:r>
      <w:proofErr w:type="gramEnd"/>
      <w:r>
        <w:t xml:space="preserve"> have led to </w:t>
      </w:r>
      <w:r w:rsidRPr="0082339A">
        <w:t>high sodium concentrations in drinking water</w:t>
      </w:r>
      <w:r>
        <w:t xml:space="preserve"> in Walgett</w:t>
      </w:r>
      <w:r w:rsidRPr="0082339A">
        <w:t xml:space="preserve"> (NHMRC, sub. 93, p. 9)</w:t>
      </w:r>
      <w:r>
        <w:t>.</w:t>
      </w:r>
    </w:p>
    <w:p w14:paraId="33174058" w14:textId="24718287" w:rsidR="000221DF" w:rsidRDefault="000221DF" w:rsidP="000221D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221DF" w14:paraId="34B16174" w14:textId="77777777" w:rsidTr="000221DF">
        <w:trPr>
          <w:tblHeader/>
        </w:trPr>
        <w:tc>
          <w:tcPr>
            <w:tcW w:w="5000" w:type="pct"/>
            <w:tcBorders>
              <w:top w:val="single" w:sz="6" w:space="0" w:color="78A22F"/>
              <w:left w:val="nil"/>
              <w:bottom w:val="nil"/>
              <w:right w:val="nil"/>
            </w:tcBorders>
            <w:shd w:val="clear" w:color="auto" w:fill="auto"/>
          </w:tcPr>
          <w:p w14:paraId="549008E0" w14:textId="23615FB3" w:rsidR="000221DF" w:rsidRPr="00784A05" w:rsidRDefault="000221DF" w:rsidP="00F63966">
            <w:pPr>
              <w:pStyle w:val="TableTitle"/>
            </w:pPr>
            <w:r>
              <w:rPr>
                <w:b w:val="0"/>
              </w:rPr>
              <w:t xml:space="preserve">Table </w:t>
            </w:r>
            <w:r w:rsidR="00F63966">
              <w:rPr>
                <w:b w:val="0"/>
              </w:rPr>
              <w:t>2</w:t>
            </w:r>
            <w:r>
              <w:tab/>
            </w:r>
            <w:r w:rsidR="00066215">
              <w:t>R</w:t>
            </w:r>
            <w:r>
              <w:t>emote communit</w:t>
            </w:r>
            <w:r w:rsidR="00066215">
              <w:t xml:space="preserve">y water sources can be poor </w:t>
            </w:r>
            <w:r w:rsidR="003504C1">
              <w:t>quality</w:t>
            </w:r>
          </w:p>
        </w:tc>
      </w:tr>
      <w:tr w:rsidR="000221DF" w14:paraId="1EBA93D7" w14:textId="77777777" w:rsidTr="00D61489">
        <w:trPr>
          <w:trHeight w:val="1753"/>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126"/>
              <w:gridCol w:w="2126"/>
              <w:gridCol w:w="2125"/>
            </w:tblGrid>
            <w:tr w:rsidR="000221DF" w14:paraId="20EA0B26" w14:textId="77777777" w:rsidTr="000221DF">
              <w:trPr>
                <w:tblHeader/>
              </w:trPr>
              <w:tc>
                <w:tcPr>
                  <w:tcW w:w="1251" w:type="pct"/>
                  <w:tcBorders>
                    <w:top w:val="single" w:sz="6" w:space="0" w:color="BFBFBF"/>
                    <w:bottom w:val="single" w:sz="6" w:space="0" w:color="BFBFBF"/>
                  </w:tcBorders>
                  <w:shd w:val="clear" w:color="auto" w:fill="auto"/>
                  <w:tcMar>
                    <w:top w:w="28" w:type="dxa"/>
                  </w:tcMar>
                </w:tcPr>
                <w:p w14:paraId="13F45E15" w14:textId="77777777" w:rsidR="000221DF" w:rsidRPr="008C6160" w:rsidRDefault="000221DF" w:rsidP="008C6160">
                  <w:pPr>
                    <w:pStyle w:val="TableColumnHeading"/>
                    <w:jc w:val="left"/>
                  </w:pPr>
                  <w:r w:rsidRPr="008C6160">
                    <w:t>Source</w:t>
                  </w:r>
                </w:p>
              </w:tc>
              <w:tc>
                <w:tcPr>
                  <w:tcW w:w="1250" w:type="pct"/>
                  <w:tcBorders>
                    <w:top w:val="single" w:sz="6" w:space="0" w:color="BFBFBF"/>
                    <w:bottom w:val="single" w:sz="6" w:space="0" w:color="BFBFBF"/>
                  </w:tcBorders>
                </w:tcPr>
                <w:p w14:paraId="20CA1549" w14:textId="77777777" w:rsidR="000221DF" w:rsidRPr="008C6160" w:rsidRDefault="000221DF" w:rsidP="008C6160">
                  <w:pPr>
                    <w:pStyle w:val="TableColumnHeading"/>
                    <w:jc w:val="left"/>
                  </w:pPr>
                  <w:r w:rsidRPr="008C6160">
                    <w:t>Security issues</w:t>
                  </w:r>
                </w:p>
              </w:tc>
              <w:tc>
                <w:tcPr>
                  <w:tcW w:w="1250" w:type="pct"/>
                  <w:tcBorders>
                    <w:top w:val="single" w:sz="6" w:space="0" w:color="BFBFBF"/>
                    <w:bottom w:val="single" w:sz="6" w:space="0" w:color="BFBFBF"/>
                  </w:tcBorders>
                  <w:shd w:val="clear" w:color="auto" w:fill="auto"/>
                  <w:tcMar>
                    <w:top w:w="28" w:type="dxa"/>
                  </w:tcMar>
                </w:tcPr>
                <w:p w14:paraId="039F5A34" w14:textId="77777777" w:rsidR="000221DF" w:rsidRPr="008C6160" w:rsidRDefault="000221DF" w:rsidP="008C6160">
                  <w:pPr>
                    <w:pStyle w:val="TableColumnHeading"/>
                    <w:jc w:val="left"/>
                  </w:pPr>
                  <w:r w:rsidRPr="008C6160">
                    <w:t>Quality issues</w:t>
                  </w:r>
                </w:p>
              </w:tc>
              <w:tc>
                <w:tcPr>
                  <w:tcW w:w="1249" w:type="pct"/>
                  <w:tcBorders>
                    <w:top w:val="single" w:sz="6" w:space="0" w:color="BFBFBF"/>
                    <w:bottom w:val="single" w:sz="6" w:space="0" w:color="BFBFBF"/>
                  </w:tcBorders>
                  <w:shd w:val="clear" w:color="auto" w:fill="auto"/>
                  <w:tcMar>
                    <w:top w:w="28" w:type="dxa"/>
                  </w:tcMar>
                </w:tcPr>
                <w:p w14:paraId="135437B6" w14:textId="46D8CE7F" w:rsidR="000221DF" w:rsidRPr="008C6160" w:rsidRDefault="000221DF" w:rsidP="008C6160">
                  <w:pPr>
                    <w:pStyle w:val="TableColumnHeading"/>
                    <w:jc w:val="left"/>
                  </w:pPr>
                  <w:r w:rsidRPr="008C6160">
                    <w:t xml:space="preserve">Contamination </w:t>
                  </w:r>
                  <w:r w:rsidR="00391BFF" w:rsidRPr="008C6160">
                    <w:t>issues</w:t>
                  </w:r>
                </w:p>
              </w:tc>
            </w:tr>
            <w:tr w:rsidR="000221DF" w14:paraId="1D1FB091" w14:textId="77777777" w:rsidTr="00CF658A">
              <w:tc>
                <w:tcPr>
                  <w:tcW w:w="1251" w:type="pct"/>
                  <w:tcBorders>
                    <w:top w:val="single" w:sz="6" w:space="0" w:color="BFBFBF"/>
                  </w:tcBorders>
                  <w:shd w:val="clear" w:color="auto" w:fill="E5F1D0" w:themeFill="accent1" w:themeFillTint="33"/>
                </w:tcPr>
                <w:p w14:paraId="4DBA75F7" w14:textId="77777777" w:rsidR="000221DF" w:rsidRDefault="000221DF" w:rsidP="000221DF">
                  <w:pPr>
                    <w:pStyle w:val="TableUnitsRow"/>
                    <w:jc w:val="left"/>
                  </w:pPr>
                  <w:r>
                    <w:t>Groundwater</w:t>
                  </w:r>
                </w:p>
              </w:tc>
              <w:tc>
                <w:tcPr>
                  <w:tcW w:w="1250" w:type="pct"/>
                  <w:tcBorders>
                    <w:top w:val="single" w:sz="6" w:space="0" w:color="BFBFBF"/>
                  </w:tcBorders>
                  <w:shd w:val="clear" w:color="auto" w:fill="E5F1D0" w:themeFill="accent1" w:themeFillTint="33"/>
                </w:tcPr>
                <w:p w14:paraId="054C5150" w14:textId="77777777" w:rsidR="000221DF" w:rsidRDefault="000221DF" w:rsidP="00BD551A">
                  <w:pPr>
                    <w:pStyle w:val="TableUnitsRow"/>
                    <w:jc w:val="left"/>
                  </w:pPr>
                </w:p>
              </w:tc>
              <w:tc>
                <w:tcPr>
                  <w:tcW w:w="1250" w:type="pct"/>
                  <w:tcBorders>
                    <w:top w:val="single" w:sz="6" w:space="0" w:color="BFBFBF"/>
                  </w:tcBorders>
                  <w:shd w:val="clear" w:color="auto" w:fill="E5F1D0" w:themeFill="accent1" w:themeFillTint="33"/>
                </w:tcPr>
                <w:p w14:paraId="5BD80F9A" w14:textId="77777777" w:rsidR="000221DF" w:rsidRDefault="000221DF" w:rsidP="00BD551A">
                  <w:pPr>
                    <w:pStyle w:val="TableUnitsRow"/>
                    <w:jc w:val="left"/>
                  </w:pPr>
                  <w:r>
                    <w:t>Salinity, inorganic chemical hazards, pathogens</w:t>
                  </w:r>
                </w:p>
              </w:tc>
              <w:tc>
                <w:tcPr>
                  <w:tcW w:w="1249" w:type="pct"/>
                  <w:tcBorders>
                    <w:top w:val="single" w:sz="6" w:space="0" w:color="BFBFBF"/>
                  </w:tcBorders>
                  <w:shd w:val="clear" w:color="auto" w:fill="E5F1D0" w:themeFill="accent1" w:themeFillTint="33"/>
                </w:tcPr>
                <w:p w14:paraId="11ACD2E2" w14:textId="77777777" w:rsidR="000221DF" w:rsidRDefault="000221DF" w:rsidP="00BD551A">
                  <w:pPr>
                    <w:pStyle w:val="TableUnitsRow"/>
                    <w:ind w:right="28"/>
                    <w:jc w:val="left"/>
                  </w:pPr>
                  <w:r>
                    <w:t>Sewage or other waste into groundwater</w:t>
                  </w:r>
                </w:p>
                <w:p w14:paraId="0ADB60DD" w14:textId="1304C050" w:rsidR="00C13F03" w:rsidRDefault="00CF658A" w:rsidP="00CF658A">
                  <w:pPr>
                    <w:pStyle w:val="TableUnitsRow"/>
                    <w:ind w:right="28"/>
                    <w:jc w:val="left"/>
                  </w:pPr>
                  <w:r>
                    <w:t>P</w:t>
                  </w:r>
                  <w:r w:rsidR="00C13F03">
                    <w:t>ollution from farming and mining areas</w:t>
                  </w:r>
                </w:p>
              </w:tc>
            </w:tr>
            <w:tr w:rsidR="000221DF" w14:paraId="69648C07" w14:textId="77777777" w:rsidTr="000221DF">
              <w:tc>
                <w:tcPr>
                  <w:tcW w:w="1251" w:type="pct"/>
                </w:tcPr>
                <w:p w14:paraId="63C55994" w14:textId="77777777" w:rsidR="000221DF" w:rsidRDefault="000221DF" w:rsidP="000221DF">
                  <w:pPr>
                    <w:pStyle w:val="TableBodyText"/>
                    <w:jc w:val="left"/>
                  </w:pPr>
                  <w:r>
                    <w:t>Surface water</w:t>
                  </w:r>
                </w:p>
              </w:tc>
              <w:tc>
                <w:tcPr>
                  <w:tcW w:w="1250" w:type="pct"/>
                </w:tcPr>
                <w:p w14:paraId="250A77BB" w14:textId="77777777" w:rsidR="000221DF" w:rsidRDefault="000221DF" w:rsidP="00BD551A">
                  <w:pPr>
                    <w:pStyle w:val="TableBodyText"/>
                    <w:jc w:val="left"/>
                  </w:pPr>
                  <w:r>
                    <w:t>Rainfall dependent</w:t>
                  </w:r>
                </w:p>
              </w:tc>
              <w:tc>
                <w:tcPr>
                  <w:tcW w:w="1250" w:type="pct"/>
                </w:tcPr>
                <w:p w14:paraId="1DA0092B" w14:textId="3C2776B0" w:rsidR="000221DF" w:rsidRDefault="000221DF" w:rsidP="00BD551A">
                  <w:pPr>
                    <w:pStyle w:val="TableBodyText"/>
                    <w:jc w:val="left"/>
                  </w:pPr>
                  <w:r>
                    <w:t>Salinity, pathogen</w:t>
                  </w:r>
                  <w:r w:rsidR="003E59ED">
                    <w:t>s</w:t>
                  </w:r>
                </w:p>
              </w:tc>
              <w:tc>
                <w:tcPr>
                  <w:tcW w:w="1249" w:type="pct"/>
                </w:tcPr>
                <w:p w14:paraId="1F8C6DFF" w14:textId="77777777" w:rsidR="000221DF" w:rsidRDefault="000221DF" w:rsidP="00BD551A">
                  <w:pPr>
                    <w:pStyle w:val="TableBodyText"/>
                    <w:ind w:right="28"/>
                    <w:jc w:val="left"/>
                  </w:pPr>
                  <w:r>
                    <w:t>Sewage or other waste into surface water</w:t>
                  </w:r>
                </w:p>
              </w:tc>
            </w:tr>
            <w:tr w:rsidR="000221DF" w14:paraId="61F49C96" w14:textId="77777777" w:rsidTr="00CF658A">
              <w:tc>
                <w:tcPr>
                  <w:tcW w:w="1251" w:type="pct"/>
                  <w:tcBorders>
                    <w:bottom w:val="single" w:sz="6" w:space="0" w:color="BFBFBF"/>
                  </w:tcBorders>
                  <w:shd w:val="clear" w:color="auto" w:fill="E5F1D0" w:themeFill="accent1" w:themeFillTint="33"/>
                </w:tcPr>
                <w:p w14:paraId="515CD1D1" w14:textId="77777777" w:rsidR="000221DF" w:rsidRDefault="000221DF" w:rsidP="000221DF">
                  <w:pPr>
                    <w:pStyle w:val="TableBodyText"/>
                    <w:jc w:val="left"/>
                  </w:pPr>
                  <w:r>
                    <w:t>Rainwater</w:t>
                  </w:r>
                </w:p>
              </w:tc>
              <w:tc>
                <w:tcPr>
                  <w:tcW w:w="1250" w:type="pct"/>
                  <w:tcBorders>
                    <w:bottom w:val="single" w:sz="6" w:space="0" w:color="BFBFBF"/>
                  </w:tcBorders>
                  <w:shd w:val="clear" w:color="auto" w:fill="E5F1D0" w:themeFill="accent1" w:themeFillTint="33"/>
                </w:tcPr>
                <w:p w14:paraId="70EA20A1" w14:textId="77777777" w:rsidR="000221DF" w:rsidRDefault="000221DF" w:rsidP="00BD551A">
                  <w:pPr>
                    <w:pStyle w:val="TableBodyText"/>
                    <w:jc w:val="left"/>
                  </w:pPr>
                  <w:r>
                    <w:t>Rainfall dependent</w:t>
                  </w:r>
                </w:p>
              </w:tc>
              <w:tc>
                <w:tcPr>
                  <w:tcW w:w="1250" w:type="pct"/>
                  <w:tcBorders>
                    <w:bottom w:val="single" w:sz="6" w:space="0" w:color="BFBFBF"/>
                  </w:tcBorders>
                  <w:shd w:val="clear" w:color="auto" w:fill="E5F1D0" w:themeFill="accent1" w:themeFillTint="33"/>
                </w:tcPr>
                <w:p w14:paraId="60F2BB4B" w14:textId="77777777" w:rsidR="000221DF" w:rsidRDefault="000221DF" w:rsidP="00BD551A">
                  <w:pPr>
                    <w:pStyle w:val="TableBodyText"/>
                    <w:jc w:val="left"/>
                  </w:pPr>
                  <w:r>
                    <w:t>Pathogens</w:t>
                  </w:r>
                </w:p>
              </w:tc>
              <w:tc>
                <w:tcPr>
                  <w:tcW w:w="1249" w:type="pct"/>
                  <w:tcBorders>
                    <w:bottom w:val="single" w:sz="6" w:space="0" w:color="BFBFBF"/>
                  </w:tcBorders>
                  <w:shd w:val="clear" w:color="auto" w:fill="E5F1D0" w:themeFill="accent1" w:themeFillTint="33"/>
                </w:tcPr>
                <w:p w14:paraId="5B08215C" w14:textId="77777777" w:rsidR="000221DF" w:rsidRDefault="000221DF" w:rsidP="00BD551A">
                  <w:pPr>
                    <w:pStyle w:val="TableBodyText"/>
                    <w:ind w:right="28"/>
                    <w:jc w:val="left"/>
                  </w:pPr>
                  <w:r>
                    <w:t>Dust contamination</w:t>
                  </w:r>
                </w:p>
              </w:tc>
            </w:tr>
          </w:tbl>
          <w:p w14:paraId="0028225A" w14:textId="77777777" w:rsidR="000221DF" w:rsidRDefault="000221DF" w:rsidP="000221DF">
            <w:pPr>
              <w:pStyle w:val="Box"/>
            </w:pPr>
          </w:p>
        </w:tc>
      </w:tr>
      <w:tr w:rsidR="000221DF" w14:paraId="4B9881F8" w14:textId="77777777" w:rsidTr="000221DF">
        <w:tc>
          <w:tcPr>
            <w:tcW w:w="5000" w:type="pct"/>
            <w:tcBorders>
              <w:top w:val="nil"/>
              <w:left w:val="nil"/>
              <w:bottom w:val="nil"/>
              <w:right w:val="nil"/>
            </w:tcBorders>
            <w:shd w:val="clear" w:color="auto" w:fill="auto"/>
          </w:tcPr>
          <w:p w14:paraId="49A49FEF" w14:textId="64867727" w:rsidR="000221DF" w:rsidRPr="000221DF" w:rsidRDefault="000221DF" w:rsidP="000221DF">
            <w:pPr>
              <w:pStyle w:val="Source"/>
              <w:rPr>
                <w:iCs/>
              </w:rPr>
            </w:pPr>
            <w:r>
              <w:rPr>
                <w:i/>
              </w:rPr>
              <w:t>Source</w:t>
            </w:r>
            <w:r w:rsidR="00C13F03">
              <w:rPr>
                <w:i/>
              </w:rPr>
              <w:t>s</w:t>
            </w:r>
            <w:r w:rsidRPr="00C13F03">
              <w:t>:</w:t>
            </w:r>
            <w:r w:rsidR="00C13F03">
              <w:t xml:space="preserve"> Hall et al</w:t>
            </w:r>
            <w:r w:rsidR="00194CAE">
              <w:t>.</w:t>
            </w:r>
            <w:r w:rsidR="00C13F03">
              <w:t>, sub. 84, p. 6;</w:t>
            </w:r>
            <w:r w:rsidRPr="00C13F03">
              <w:t xml:space="preserve"> </w:t>
            </w:r>
            <w:r w:rsidR="00D05904">
              <w:rPr>
                <w:iCs/>
              </w:rPr>
              <w:t>WSAA</w:t>
            </w:r>
            <w:r>
              <w:rPr>
                <w:iCs/>
              </w:rPr>
              <w:t xml:space="preserve">, </w:t>
            </w:r>
            <w:r w:rsidRPr="00A2095B">
              <w:t>sub</w:t>
            </w:r>
            <w:r w:rsidR="004A26C5">
              <w:t>.</w:t>
            </w:r>
            <w:r w:rsidRPr="00A2095B">
              <w:t> </w:t>
            </w:r>
            <w:r w:rsidR="00A2095B" w:rsidRPr="00A2095B">
              <w:rPr>
                <w:iCs/>
              </w:rPr>
              <w:t>88</w:t>
            </w:r>
            <w:r w:rsidRPr="00A2095B">
              <w:t>, p. </w:t>
            </w:r>
            <w:r w:rsidR="00A2095B" w:rsidRPr="00A2095B">
              <w:rPr>
                <w:iCs/>
              </w:rPr>
              <w:t>44</w:t>
            </w:r>
            <w:r w:rsidR="00A2095B">
              <w:rPr>
                <w:iCs/>
              </w:rPr>
              <w:t>.</w:t>
            </w:r>
          </w:p>
        </w:tc>
      </w:tr>
      <w:tr w:rsidR="000221DF" w14:paraId="19D941B9" w14:textId="77777777" w:rsidTr="000221DF">
        <w:tc>
          <w:tcPr>
            <w:tcW w:w="5000" w:type="pct"/>
            <w:tcBorders>
              <w:top w:val="nil"/>
              <w:left w:val="nil"/>
              <w:bottom w:val="single" w:sz="6" w:space="0" w:color="78A22F"/>
              <w:right w:val="nil"/>
            </w:tcBorders>
            <w:shd w:val="clear" w:color="auto" w:fill="auto"/>
          </w:tcPr>
          <w:p w14:paraId="34BEE162" w14:textId="77777777" w:rsidR="000221DF" w:rsidRDefault="000221DF" w:rsidP="000221DF">
            <w:pPr>
              <w:pStyle w:val="Box"/>
              <w:spacing w:before="0" w:line="120" w:lineRule="exact"/>
            </w:pPr>
          </w:p>
        </w:tc>
      </w:tr>
      <w:tr w:rsidR="000221DF" w:rsidRPr="000863A5" w14:paraId="2A69397D" w14:textId="77777777" w:rsidTr="000221DF">
        <w:tc>
          <w:tcPr>
            <w:tcW w:w="5000" w:type="pct"/>
            <w:tcBorders>
              <w:top w:val="single" w:sz="6" w:space="0" w:color="78A22F"/>
              <w:left w:val="nil"/>
              <w:bottom w:val="nil"/>
              <w:right w:val="nil"/>
            </w:tcBorders>
          </w:tcPr>
          <w:p w14:paraId="3EBB16DF" w14:textId="31A945AB" w:rsidR="000221DF" w:rsidRPr="00626D32" w:rsidRDefault="000221DF" w:rsidP="000221DF">
            <w:pPr>
              <w:pStyle w:val="BoxSpaceBelow"/>
            </w:pPr>
          </w:p>
        </w:tc>
      </w:tr>
    </w:tbl>
    <w:p w14:paraId="3F3875B4" w14:textId="77777777" w:rsidR="00334FF6" w:rsidRDefault="00334FF6" w:rsidP="00334FF6">
      <w:pPr>
        <w:pStyle w:val="BodyText"/>
      </w:pPr>
      <w:r w:rsidRPr="003966CA">
        <w:t xml:space="preserve">Poor quality water sources often require additional treatment to ensure drinking water is safe for human consumption. This increases the costs of delivering safe drinking water in remote areas. While the treated water may be safe, it may have an unacceptable taste, </w:t>
      </w:r>
      <w:proofErr w:type="gramStart"/>
      <w:r w:rsidRPr="003966CA">
        <w:t>odour</w:t>
      </w:r>
      <w:proofErr w:type="gramEnd"/>
      <w:r w:rsidRPr="003966CA">
        <w:t xml:space="preserve"> or colour (Hall et al., sub. 84, p. 7). This can have flow on effects to health outcomes through the purchase of soft drinks (which contributes to diet</w:t>
      </w:r>
      <w:r w:rsidRPr="003966CA">
        <w:noBreakHyphen/>
        <w:t>related conditions such as obesity or diabetes) or reliance on expensive bottled water (which reduces the budget available for other essentials) (Hall et al., sub. 84, p. 7).</w:t>
      </w:r>
    </w:p>
    <w:p w14:paraId="79909E7B" w14:textId="77777777" w:rsidR="003966CA" w:rsidRPr="00774BD5" w:rsidRDefault="003966CA" w:rsidP="003966CA">
      <w:pPr>
        <w:pStyle w:val="BodyText"/>
        <w:rPr>
          <w:spacing w:val="-2"/>
        </w:rPr>
      </w:pPr>
      <w:r w:rsidRPr="00774BD5">
        <w:rPr>
          <w:spacing w:val="-2"/>
        </w:rPr>
        <w:t>Further, climate change is expected to worsen vulnerabilities in water supply as there are often few alternative water sources in these remote communities (Central Land Council, sub. 35, p. 11, Engineers Australia, sub. 63, p. 17, Hall et al., sub. 84, p. 9, NHMRC, sub. 93, p. 7).</w:t>
      </w:r>
    </w:p>
    <w:p w14:paraId="06EFDEFC" w14:textId="0A69DAAC" w:rsidR="00EA534F" w:rsidRDefault="00FD0A89" w:rsidP="00E05196">
      <w:pPr>
        <w:pStyle w:val="Heading4"/>
      </w:pPr>
      <w:r>
        <w:t xml:space="preserve">Governance </w:t>
      </w:r>
      <w:r w:rsidR="00FD4C82">
        <w:t xml:space="preserve">is </w:t>
      </w:r>
      <w:proofErr w:type="gramStart"/>
      <w:r w:rsidR="00FD4C82">
        <w:t>fragmented</w:t>
      </w:r>
      <w:proofErr w:type="gramEnd"/>
    </w:p>
    <w:p w14:paraId="51A46852" w14:textId="5E9B25D5" w:rsidR="00C13F03" w:rsidRDefault="00441DA3" w:rsidP="003966CA">
      <w:pPr>
        <w:pStyle w:val="BodyText"/>
      </w:pPr>
      <w:r>
        <w:t>Inquiry p</w:t>
      </w:r>
      <w:r w:rsidR="00F90632">
        <w:t>articipants have</w:t>
      </w:r>
      <w:r w:rsidR="009F6964">
        <w:t xml:space="preserve"> </w:t>
      </w:r>
      <w:r w:rsidR="00F90632">
        <w:t xml:space="preserve">highlighted the </w:t>
      </w:r>
      <w:r w:rsidR="009F6964">
        <w:t xml:space="preserve">complexity of </w:t>
      </w:r>
      <w:r w:rsidR="00F90632">
        <w:t xml:space="preserve">service delivery </w:t>
      </w:r>
      <w:r w:rsidR="009F6964">
        <w:t xml:space="preserve">in remote communities. </w:t>
      </w:r>
      <w:r w:rsidR="00F90632">
        <w:t xml:space="preserve">Many </w:t>
      </w:r>
      <w:r w:rsidR="009F6964">
        <w:t xml:space="preserve">organisations need to coordinate to </w:t>
      </w:r>
      <w:r w:rsidR="00F90632">
        <w:t xml:space="preserve">deliver </w:t>
      </w:r>
      <w:r w:rsidR="009F6964">
        <w:t xml:space="preserve">safe </w:t>
      </w:r>
      <w:r w:rsidR="00F90632">
        <w:t xml:space="preserve">and reliable </w:t>
      </w:r>
      <w:r w:rsidR="009F6964">
        <w:t xml:space="preserve">water </w:t>
      </w:r>
      <w:r w:rsidR="00F90632">
        <w:t xml:space="preserve">services </w:t>
      </w:r>
      <w:r w:rsidR="009F6964">
        <w:t>(NHMRC</w:t>
      </w:r>
      <w:r w:rsidR="001636EC">
        <w:t xml:space="preserve">, </w:t>
      </w:r>
      <w:r w:rsidR="009F6964">
        <w:t>sub</w:t>
      </w:r>
      <w:r w:rsidR="004C5BC8">
        <w:t>.</w:t>
      </w:r>
      <w:r w:rsidR="001636EC">
        <w:t> 93, p. 3</w:t>
      </w:r>
      <w:r w:rsidR="00F90632">
        <w:t>)</w:t>
      </w:r>
      <w:r w:rsidR="00730DCF">
        <w:t>,</w:t>
      </w:r>
      <w:r w:rsidR="009F6964">
        <w:t xml:space="preserve"> </w:t>
      </w:r>
      <w:r w:rsidR="00F90632">
        <w:t xml:space="preserve">and </w:t>
      </w:r>
      <w:r w:rsidR="009F6964">
        <w:t xml:space="preserve">this can create </w:t>
      </w:r>
      <w:r w:rsidR="007F0217">
        <w:t>confusion regarding roles and responsibilities (WSAA</w:t>
      </w:r>
      <w:r w:rsidR="004C5BC8">
        <w:t>,</w:t>
      </w:r>
      <w:r w:rsidR="007F0217">
        <w:t xml:space="preserve"> sub</w:t>
      </w:r>
      <w:r w:rsidR="004C5BC8">
        <w:t>. 88, p. 43</w:t>
      </w:r>
      <w:r w:rsidR="007F0217">
        <w:t>)</w:t>
      </w:r>
      <w:r w:rsidR="00CF658A">
        <w:t xml:space="preserve"> and limit visibility of outcomes in remote communities (SACOSS, sub. 74, </w:t>
      </w:r>
      <w:r w:rsidR="003D6ED3">
        <w:t>a</w:t>
      </w:r>
      <w:r w:rsidR="0008794B">
        <w:t>ttach</w:t>
      </w:r>
      <w:r w:rsidR="003D6ED3">
        <w:t>ment</w:t>
      </w:r>
      <w:r w:rsidR="0008794B">
        <w:t> B</w:t>
      </w:r>
      <w:r w:rsidR="00E05196">
        <w:t>,</w:t>
      </w:r>
      <w:r w:rsidR="0008794B">
        <w:t xml:space="preserve"> </w:t>
      </w:r>
      <w:r w:rsidR="00CF658A">
        <w:t>p. 1</w:t>
      </w:r>
      <w:r w:rsidR="0008794B">
        <w:t>3</w:t>
      </w:r>
      <w:r w:rsidR="00CF658A">
        <w:t>)</w:t>
      </w:r>
      <w:r w:rsidR="009F6964">
        <w:t>.</w:t>
      </w:r>
    </w:p>
    <w:p w14:paraId="06BC3389" w14:textId="5CA585F7" w:rsidR="003A7A99" w:rsidRPr="001A1024" w:rsidRDefault="000E01FC" w:rsidP="003966CA">
      <w:pPr>
        <w:pStyle w:val="BodyText"/>
      </w:pPr>
      <w:r>
        <w:t xml:space="preserve">The service delivery arrangements in remote areas can be significantly different to arrangements in urban areas, contributing to fragmented responsibilities for water supply. </w:t>
      </w:r>
      <w:r>
        <w:lastRenderedPageBreak/>
        <w:t>For example, in the Northern Territory, while the Power and Water Corporation services major towns, its not</w:t>
      </w:r>
      <w:r>
        <w:noBreakHyphen/>
        <w:t>for</w:t>
      </w:r>
      <w:r>
        <w:noBreakHyphen/>
        <w:t xml:space="preserve">profit subsidiary, </w:t>
      </w:r>
      <w:r w:rsidR="00CC4570">
        <w:t>IES</w:t>
      </w:r>
      <w:r>
        <w:t xml:space="preserve">, provides water to remote Aboriginal communities. In the view of the Central Land Council (sub. 35, p. 4), IES is subject to less regulatory oversight than the Power and Water Corporation, and, as a result, there is no agency </w:t>
      </w:r>
      <w:r w:rsidR="00CF658A">
        <w:t>‘</w:t>
      </w:r>
      <w:r w:rsidR="003A7A99">
        <w:t>directly accountable (via legislation) to the residents of Indigenous communities for the supply of water to them</w:t>
      </w:r>
      <w:r w:rsidR="00CF658A">
        <w:t>’ (p. 22)</w:t>
      </w:r>
      <w:r w:rsidR="003A7A99">
        <w:t>.</w:t>
      </w:r>
    </w:p>
    <w:p w14:paraId="4793CB67" w14:textId="38E93C98" w:rsidR="00381332" w:rsidRPr="00774BD5" w:rsidRDefault="00984572" w:rsidP="003966CA">
      <w:pPr>
        <w:pStyle w:val="BodyText"/>
        <w:rPr>
          <w:spacing w:val="-2"/>
        </w:rPr>
      </w:pPr>
      <w:r w:rsidRPr="00774BD5">
        <w:rPr>
          <w:spacing w:val="-2"/>
        </w:rPr>
        <w:t xml:space="preserve">Government arrangements for delivery of safe water supplies and associated infrastructure for remote communities can be complicated and fragmented. </w:t>
      </w:r>
      <w:r w:rsidR="00381332" w:rsidRPr="00774BD5">
        <w:rPr>
          <w:spacing w:val="-2"/>
        </w:rPr>
        <w:t>I</w:t>
      </w:r>
      <w:r w:rsidRPr="00774BD5">
        <w:rPr>
          <w:spacing w:val="-2"/>
        </w:rPr>
        <w:t xml:space="preserve">n some jurisdictions, multiple agencies need to come together and coordinate activities to provide required services. </w:t>
      </w:r>
      <w:r w:rsidR="000E6DC7" w:rsidRPr="00774BD5">
        <w:rPr>
          <w:spacing w:val="-2"/>
        </w:rPr>
        <w:t>This sort of complexity can result in</w:t>
      </w:r>
      <w:r w:rsidR="004C3A20" w:rsidRPr="00774BD5">
        <w:rPr>
          <w:spacing w:val="-2"/>
        </w:rPr>
        <w:t xml:space="preserve"> confusion</w:t>
      </w:r>
      <w:r w:rsidR="005D0D2B" w:rsidRPr="00774BD5">
        <w:rPr>
          <w:spacing w:val="-2"/>
        </w:rPr>
        <w:t>,</w:t>
      </w:r>
      <w:r w:rsidR="004C3A20" w:rsidRPr="00774BD5">
        <w:rPr>
          <w:spacing w:val="-2"/>
        </w:rPr>
        <w:t xml:space="preserve"> </w:t>
      </w:r>
      <w:r w:rsidR="000E6DC7" w:rsidRPr="00774BD5">
        <w:rPr>
          <w:spacing w:val="-2"/>
        </w:rPr>
        <w:t xml:space="preserve">reduce </w:t>
      </w:r>
      <w:proofErr w:type="gramStart"/>
      <w:r w:rsidR="000E6DC7" w:rsidRPr="00774BD5">
        <w:rPr>
          <w:spacing w:val="-2"/>
        </w:rPr>
        <w:t>transparency</w:t>
      </w:r>
      <w:proofErr w:type="gramEnd"/>
      <w:r w:rsidR="000E6DC7" w:rsidRPr="00774BD5">
        <w:rPr>
          <w:spacing w:val="-2"/>
        </w:rPr>
        <w:t xml:space="preserve"> and </w:t>
      </w:r>
      <w:r w:rsidR="005D0D2B" w:rsidRPr="00774BD5">
        <w:rPr>
          <w:spacing w:val="-2"/>
        </w:rPr>
        <w:t xml:space="preserve">lessen </w:t>
      </w:r>
      <w:r w:rsidR="003966CA" w:rsidRPr="00774BD5">
        <w:rPr>
          <w:spacing w:val="-2"/>
        </w:rPr>
        <w:t>public accountability.</w:t>
      </w:r>
    </w:p>
    <w:p w14:paraId="4856AA01" w14:textId="4C9B5A41" w:rsidR="00984572" w:rsidRDefault="00381332" w:rsidP="003966CA">
      <w:pPr>
        <w:pStyle w:val="BodyText"/>
      </w:pPr>
      <w:r>
        <w:t xml:space="preserve">The Commission’s work on </w:t>
      </w:r>
      <w:r>
        <w:rPr>
          <w:i/>
        </w:rPr>
        <w:t xml:space="preserve">Overcoming Indigenous Disadvantage </w:t>
      </w:r>
      <w:r>
        <w:t>has highlighted that s</w:t>
      </w:r>
      <w:r w:rsidR="005D0D2B">
        <w:t>ervice delivery o</w:t>
      </w:r>
      <w:r w:rsidR="00FD72F1">
        <w:t xml:space="preserve">utcomes for Aboriginal and Torres Strait Islander people can be improved through stable policy environments, responsiveness to local contexts, improved coordination among government agencies, reduced duplication of services and learning from evidence </w:t>
      </w:r>
      <w:r w:rsidR="0008794B" w:rsidRPr="0008794B">
        <w:rPr>
          <w:szCs w:val="24"/>
        </w:rPr>
        <w:t>(SCRGSP 2020, p. 5.38)</w:t>
      </w:r>
      <w:r w:rsidR="00FD72F1">
        <w:t>.</w:t>
      </w:r>
    </w:p>
    <w:p w14:paraId="26BD5047" w14:textId="03A16AA4" w:rsidR="00073163" w:rsidRDefault="00E94382" w:rsidP="003966CA">
      <w:pPr>
        <w:pStyle w:val="Heading3"/>
      </w:pPr>
      <w:bookmarkStart w:id="36" w:name="_Toc62043666"/>
      <w:r>
        <w:t>5.5</w:t>
      </w:r>
      <w:r>
        <w:tab/>
      </w:r>
      <w:r w:rsidR="00247227">
        <w:t>Greater attention</w:t>
      </w:r>
      <w:r w:rsidR="00073163">
        <w:t xml:space="preserve"> in </w:t>
      </w:r>
      <w:r w:rsidR="00073163" w:rsidRPr="003966CA">
        <w:t>national</w:t>
      </w:r>
      <w:r w:rsidR="00073163">
        <w:t xml:space="preserve"> water reform</w:t>
      </w:r>
      <w:r w:rsidR="00247227">
        <w:t xml:space="preserve"> is </w:t>
      </w:r>
      <w:proofErr w:type="gramStart"/>
      <w:r w:rsidR="00247227">
        <w:t>needed</w:t>
      </w:r>
      <w:bookmarkEnd w:id="36"/>
      <w:proofErr w:type="gramEnd"/>
    </w:p>
    <w:p w14:paraId="6A0288DA" w14:textId="100FEEAB" w:rsidR="00E96224" w:rsidRPr="00E96224" w:rsidRDefault="00E96224" w:rsidP="003966CA">
      <w:pPr>
        <w:pStyle w:val="BodyText"/>
      </w:pPr>
      <w:r>
        <w:t xml:space="preserve">Although many of the water service delivery issues in Aboriginal and Torres Strait Islander communities are </w:t>
      </w:r>
      <w:proofErr w:type="gramStart"/>
      <w:r>
        <w:t>similar to</w:t>
      </w:r>
      <w:proofErr w:type="gramEnd"/>
      <w:r>
        <w:t xml:space="preserve"> those experienced elsewhere (section </w:t>
      </w:r>
      <w:r w:rsidR="0044540E">
        <w:t>2</w:t>
      </w:r>
      <w:r>
        <w:t>), some elements require more tailored policy attention to ensure delivery of safe and reliable water supplies.</w:t>
      </w:r>
    </w:p>
    <w:p w14:paraId="5235484A" w14:textId="3CDD9FC8" w:rsidR="00FD4C82" w:rsidRPr="00E05196" w:rsidRDefault="00441DA3" w:rsidP="003966CA">
      <w:pPr>
        <w:pStyle w:val="Heading4"/>
      </w:pPr>
      <w:r>
        <w:t xml:space="preserve">A defined </w:t>
      </w:r>
      <w:r w:rsidR="00FD4C82">
        <w:t xml:space="preserve">basic </w:t>
      </w:r>
      <w:r w:rsidR="00FD4C82" w:rsidRPr="003966CA">
        <w:t>level</w:t>
      </w:r>
      <w:r w:rsidR="00FD4C82">
        <w:t xml:space="preserve"> of service</w:t>
      </w:r>
      <w:r w:rsidR="00107CC2">
        <w:t xml:space="preserve"> </w:t>
      </w:r>
      <w:r>
        <w:t xml:space="preserve">should </w:t>
      </w:r>
      <w:r w:rsidR="00107CC2">
        <w:t>guide service delivery</w:t>
      </w:r>
      <w:r>
        <w:t xml:space="preserve"> in remote </w:t>
      </w:r>
      <w:proofErr w:type="gramStart"/>
      <w:r>
        <w:t>communities</w:t>
      </w:r>
      <w:proofErr w:type="gramEnd"/>
    </w:p>
    <w:p w14:paraId="3FE7BAB5" w14:textId="7B2C1CB6" w:rsidR="000E01FC" w:rsidRDefault="000E01FC" w:rsidP="000E01FC">
      <w:pPr>
        <w:pStyle w:val="BodyText"/>
      </w:pPr>
      <w:r>
        <w:t>As discussed in sections </w:t>
      </w:r>
      <w:r w:rsidR="000009DB">
        <w:t>3</w:t>
      </w:r>
      <w:r>
        <w:t xml:space="preserve"> and 4, State and Territory Governments should be responsible for ensuring access to a basic level of service for safe and reliable drinking water in all communities. This objective should guide government funding of water service provision.</w:t>
      </w:r>
    </w:p>
    <w:p w14:paraId="047B7FD1" w14:textId="0F3700F1" w:rsidR="00725D5D" w:rsidRDefault="00A87A79" w:rsidP="00FD4C82">
      <w:pPr>
        <w:pStyle w:val="BodyText"/>
      </w:pPr>
      <w:r>
        <w:t>The specifics of p</w:t>
      </w:r>
      <w:r w:rsidR="00107CC2">
        <w:t xml:space="preserve">roviding a basic level of service will differ by community, depending on the type, </w:t>
      </w:r>
      <w:proofErr w:type="gramStart"/>
      <w:r w:rsidR="00107CC2">
        <w:t>quality</w:t>
      </w:r>
      <w:proofErr w:type="gramEnd"/>
      <w:r w:rsidR="00107CC2">
        <w:t xml:space="preserve"> and availability of water sources</w:t>
      </w:r>
      <w:r w:rsidR="00DF56AE">
        <w:t>, but should focus on the</w:t>
      </w:r>
      <w:r w:rsidR="00037BB8">
        <w:t xml:space="preserve"> local</w:t>
      </w:r>
      <w:r w:rsidR="00DF56AE">
        <w:t xml:space="preserve"> provision of drinking water to support health outcomes</w:t>
      </w:r>
      <w:r w:rsidR="00107CC2">
        <w:t xml:space="preserve">. </w:t>
      </w:r>
      <w:r w:rsidR="002F219C">
        <w:t>W</w:t>
      </w:r>
      <w:r w:rsidR="00DF56AE">
        <w:t xml:space="preserve">ater supply options </w:t>
      </w:r>
      <w:r w:rsidR="002F219C">
        <w:t xml:space="preserve">will need to </w:t>
      </w:r>
      <w:r w:rsidR="00DF56AE">
        <w:t xml:space="preserve">be </w:t>
      </w:r>
      <w:r w:rsidR="00107CC2">
        <w:t>fit</w:t>
      </w:r>
      <w:r w:rsidR="00F70075">
        <w:t xml:space="preserve"> </w:t>
      </w:r>
      <w:r w:rsidR="00107CC2">
        <w:t>f</w:t>
      </w:r>
      <w:r w:rsidR="00DF56AE">
        <w:t>or</w:t>
      </w:r>
      <w:r w:rsidR="00F70075">
        <w:t xml:space="preserve"> </w:t>
      </w:r>
      <w:r w:rsidR="00DF56AE">
        <w:t>purpose</w:t>
      </w:r>
      <w:r w:rsidR="002F219C">
        <w:t>,</w:t>
      </w:r>
      <w:r>
        <w:t xml:space="preserve"> based on available water sources and the technical expertise of the local community to </w:t>
      </w:r>
      <w:proofErr w:type="gramStart"/>
      <w:r>
        <w:t>operate</w:t>
      </w:r>
      <w:proofErr w:type="gramEnd"/>
      <w:r>
        <w:t xml:space="preserve"> and maintain the infrastructure in question</w:t>
      </w:r>
      <w:r w:rsidR="00DF56AE">
        <w:t>.</w:t>
      </w:r>
      <w:r w:rsidR="00441DA3">
        <w:t xml:space="preserve"> </w:t>
      </w:r>
    </w:p>
    <w:p w14:paraId="4C826F0D" w14:textId="297B6BEF" w:rsidR="00725D5D" w:rsidRDefault="007756ED" w:rsidP="00FD4C82">
      <w:pPr>
        <w:pStyle w:val="BodyText"/>
      </w:pPr>
      <w:r>
        <w:t xml:space="preserve">The precise </w:t>
      </w:r>
      <w:r w:rsidR="00037BB8">
        <w:t>approach</w:t>
      </w:r>
      <w:r w:rsidR="00107CC2">
        <w:t xml:space="preserve"> </w:t>
      </w:r>
      <w:r w:rsidR="00037BB8">
        <w:t xml:space="preserve">to </w:t>
      </w:r>
      <w:r w:rsidR="00441DA3">
        <w:t xml:space="preserve">a </w:t>
      </w:r>
      <w:r w:rsidR="00107CC2">
        <w:t xml:space="preserve">basic </w:t>
      </w:r>
      <w:r w:rsidR="00037BB8">
        <w:t xml:space="preserve">level of </w:t>
      </w:r>
      <w:r w:rsidR="00107CC2">
        <w:t>service</w:t>
      </w:r>
      <w:r>
        <w:t xml:space="preserve"> </w:t>
      </w:r>
      <w:r w:rsidR="00441DA3">
        <w:t>is a decision for each jurisdiction</w:t>
      </w:r>
      <w:r w:rsidR="00E96224">
        <w:t xml:space="preserve">, </w:t>
      </w:r>
      <w:r w:rsidR="000E3C4D">
        <w:t>drawing on insights from</w:t>
      </w:r>
      <w:r w:rsidR="00E96224">
        <w:t xml:space="preserve"> community engagement, and </w:t>
      </w:r>
      <w:r w:rsidR="002F219C">
        <w:t xml:space="preserve">this objective </w:t>
      </w:r>
      <w:r w:rsidR="00E96224">
        <w:t xml:space="preserve">should guide the delivery of essential water services across all agencies with responsibility </w:t>
      </w:r>
      <w:r w:rsidR="00DF56AE">
        <w:t>for</w:t>
      </w:r>
      <w:r w:rsidR="00E96224">
        <w:t xml:space="preserve"> remote service delivery.</w:t>
      </w:r>
    </w:p>
    <w:p w14:paraId="7BF9A65B" w14:textId="7DC1E7F1" w:rsidR="00254BA0" w:rsidRDefault="00750081" w:rsidP="003966CA">
      <w:pPr>
        <w:pStyle w:val="Heading4"/>
      </w:pPr>
      <w:r>
        <w:lastRenderedPageBreak/>
        <w:t xml:space="preserve">Data collection </w:t>
      </w:r>
      <w:r w:rsidRPr="003966CA">
        <w:t>and</w:t>
      </w:r>
      <w:r>
        <w:t xml:space="preserve"> reporting in remote </w:t>
      </w:r>
      <w:r w:rsidR="00BA40EB">
        <w:t xml:space="preserve">Aboriginal and Torres Strait Islander </w:t>
      </w:r>
      <w:r>
        <w:t xml:space="preserve">communities </w:t>
      </w:r>
      <w:r w:rsidR="00675096">
        <w:t>should</w:t>
      </w:r>
      <w:r>
        <w:t xml:space="preserve"> be </w:t>
      </w:r>
      <w:proofErr w:type="gramStart"/>
      <w:r>
        <w:t>improved</w:t>
      </w:r>
      <w:proofErr w:type="gramEnd"/>
    </w:p>
    <w:p w14:paraId="0DA2D34C" w14:textId="67F244CC" w:rsidR="00845C6C" w:rsidRDefault="00FC36DE" w:rsidP="003966CA">
      <w:pPr>
        <w:pStyle w:val="BodyText"/>
      </w:pPr>
      <w:r w:rsidRPr="00254BA0">
        <w:t xml:space="preserve">A renewed NWI could </w:t>
      </w:r>
      <w:r w:rsidR="00254BA0" w:rsidRPr="00254BA0">
        <w:t xml:space="preserve">help </w:t>
      </w:r>
      <w:r w:rsidR="002F219C">
        <w:t>ensure</w:t>
      </w:r>
      <w:r w:rsidRPr="00254BA0">
        <w:t xml:space="preserve"> safe </w:t>
      </w:r>
      <w:r w:rsidR="002F219C">
        <w:t xml:space="preserve">and reliable </w:t>
      </w:r>
      <w:r w:rsidRPr="00254BA0">
        <w:t xml:space="preserve">water </w:t>
      </w:r>
      <w:r w:rsidR="002F219C">
        <w:t xml:space="preserve">in remote communities </w:t>
      </w:r>
      <w:r w:rsidRPr="00254BA0">
        <w:t xml:space="preserve">by </w:t>
      </w:r>
      <w:r w:rsidR="00F66F99" w:rsidRPr="003966CA">
        <w:t>ensuring</w:t>
      </w:r>
      <w:r w:rsidR="00845C6C" w:rsidRPr="003966CA">
        <w:t xml:space="preserve"> the community infrastructure target</w:t>
      </w:r>
      <w:r w:rsidR="009C416E">
        <w:t>, under the National Agreement on Closing the Gap,</w:t>
      </w:r>
      <w:r w:rsidR="00F66F99" w:rsidRPr="003966CA">
        <w:t xml:space="preserve"> is reflected in the </w:t>
      </w:r>
      <w:r w:rsidR="009C416E">
        <w:t>renewed NWI</w:t>
      </w:r>
      <w:r w:rsidR="002F219C" w:rsidRPr="003966CA">
        <w:t>,</w:t>
      </w:r>
      <w:r w:rsidR="00B07129" w:rsidRPr="003966CA">
        <w:t xml:space="preserve"> and </w:t>
      </w:r>
      <w:r w:rsidR="002F219C" w:rsidRPr="003966CA">
        <w:t>by linking</w:t>
      </w:r>
      <w:r w:rsidR="002F219C">
        <w:t xml:space="preserve"> NWI reporting and benchmarking activities with any </w:t>
      </w:r>
      <w:r w:rsidR="00B07129">
        <w:t>data collection and reporting</w:t>
      </w:r>
      <w:r w:rsidR="002F219C">
        <w:t xml:space="preserve"> undertaken as part of </w:t>
      </w:r>
      <w:r w:rsidR="009C416E">
        <w:t xml:space="preserve">the National Agreement on </w:t>
      </w:r>
      <w:r w:rsidR="002F219C">
        <w:t>Closing the Gap</w:t>
      </w:r>
      <w:r w:rsidR="00845C6C">
        <w:t xml:space="preserve">. </w:t>
      </w:r>
    </w:p>
    <w:p w14:paraId="63E26723" w14:textId="6A898371" w:rsidR="007850A9" w:rsidRDefault="00845C6C" w:rsidP="003966CA">
      <w:pPr>
        <w:pStyle w:val="BodyText"/>
      </w:pPr>
      <w:r>
        <w:t xml:space="preserve">Under the </w:t>
      </w:r>
      <w:r w:rsidR="000E06B5" w:rsidRPr="003966CA">
        <w:t xml:space="preserve">National Agreement on </w:t>
      </w:r>
      <w:r w:rsidRPr="003966CA">
        <w:t>Closing the Gap</w:t>
      </w:r>
      <w:r>
        <w:t xml:space="preserve">, the Australian, State and Territory Governments have committed to </w:t>
      </w:r>
      <w:r w:rsidR="0045662E" w:rsidRPr="0045662E">
        <w:t xml:space="preserve">developing a national target for </w:t>
      </w:r>
      <w:r w:rsidR="0045662E">
        <w:t>community infrastructure</w:t>
      </w:r>
      <w:r w:rsidR="0045662E" w:rsidRPr="0045662E">
        <w:t xml:space="preserve">, including data development work to </w:t>
      </w:r>
      <w:r w:rsidR="0045662E">
        <w:t>measure essential service provision to Aboriginal and Torres Strait Islander communities</w:t>
      </w:r>
      <w:r w:rsidR="00C4427A">
        <w:t xml:space="preserve"> (i</w:t>
      </w:r>
      <w:r w:rsidR="0045662E">
        <w:t>n</w:t>
      </w:r>
      <w:r w:rsidR="00C4427A">
        <w:t>corporating</w:t>
      </w:r>
      <w:r w:rsidR="0045662E">
        <w:t xml:space="preserve"> water and sewerage</w:t>
      </w:r>
      <w:r w:rsidR="00C4427A">
        <w:t xml:space="preserve"> services)</w:t>
      </w:r>
      <w:r w:rsidR="0045662E">
        <w:t xml:space="preserve">. </w:t>
      </w:r>
      <w:r w:rsidR="0045662E" w:rsidRPr="0045662E">
        <w:t>Data to inform the reporting on progress against the Closing the Gap targets will be publicly available via the Productivity Commission’s Closing the Gap Information Repository and the Productivity Commission will conduct three yearly reviews of progress under the National Agreement on Closing the Gap</w:t>
      </w:r>
      <w:r w:rsidR="0045662E">
        <w:t xml:space="preserve"> </w:t>
      </w:r>
      <w:r w:rsidR="00C4427A" w:rsidRPr="00C4427A">
        <w:rPr>
          <w:szCs w:val="24"/>
        </w:rPr>
        <w:t>(Australian Governments and the Coalition of Peaks 2020, pp. 36–37, 41)</w:t>
      </w:r>
      <w:r>
        <w:t>.</w:t>
      </w:r>
    </w:p>
    <w:p w14:paraId="30A8D284" w14:textId="544645B6" w:rsidR="00CE63D5" w:rsidRPr="00774BD5" w:rsidRDefault="000A2FEF" w:rsidP="003966CA">
      <w:pPr>
        <w:pStyle w:val="BodyText"/>
        <w:rPr>
          <w:spacing w:val="-4"/>
        </w:rPr>
      </w:pPr>
      <w:r w:rsidRPr="00774BD5">
        <w:rPr>
          <w:spacing w:val="-4"/>
        </w:rPr>
        <w:t>In the short t</w:t>
      </w:r>
      <w:r w:rsidR="003E791C" w:rsidRPr="00774BD5">
        <w:rPr>
          <w:spacing w:val="-4"/>
        </w:rPr>
        <w:t>erm, reporting under the</w:t>
      </w:r>
      <w:r w:rsidR="009C416E" w:rsidRPr="00774BD5">
        <w:rPr>
          <w:spacing w:val="-4"/>
        </w:rPr>
        <w:t xml:space="preserve"> National Agreement on</w:t>
      </w:r>
      <w:r w:rsidR="003E791C" w:rsidRPr="00774BD5">
        <w:rPr>
          <w:spacing w:val="-4"/>
        </w:rPr>
        <w:t xml:space="preserve"> Closing the Gap could collate data available at the State and Territory level to produce an overview of outcomes at the national level</w:t>
      </w:r>
      <w:r w:rsidR="002B0741" w:rsidRPr="00774BD5">
        <w:rPr>
          <w:spacing w:val="-4"/>
        </w:rPr>
        <w:t xml:space="preserve">. </w:t>
      </w:r>
      <w:r w:rsidR="003A4560" w:rsidRPr="00774BD5">
        <w:rPr>
          <w:spacing w:val="-4"/>
        </w:rPr>
        <w:t>This could involve</w:t>
      </w:r>
      <w:r w:rsidR="007850A9" w:rsidRPr="00774BD5">
        <w:rPr>
          <w:spacing w:val="-4"/>
        </w:rPr>
        <w:t xml:space="preserve"> </w:t>
      </w:r>
      <w:r w:rsidR="003E791C" w:rsidRPr="00774BD5">
        <w:rPr>
          <w:spacing w:val="-4"/>
        </w:rPr>
        <w:t xml:space="preserve">collaborating with </w:t>
      </w:r>
      <w:r w:rsidR="003A4560" w:rsidRPr="00774BD5">
        <w:rPr>
          <w:spacing w:val="-4"/>
        </w:rPr>
        <w:t>the N</w:t>
      </w:r>
      <w:r w:rsidR="00B86CBC" w:rsidRPr="00774BD5">
        <w:rPr>
          <w:spacing w:val="-4"/>
        </w:rPr>
        <w:t xml:space="preserve">ational </w:t>
      </w:r>
      <w:r w:rsidR="003A4560" w:rsidRPr="00774BD5">
        <w:rPr>
          <w:spacing w:val="-4"/>
        </w:rPr>
        <w:t>P</w:t>
      </w:r>
      <w:r w:rsidR="00B86CBC" w:rsidRPr="00774BD5">
        <w:rPr>
          <w:spacing w:val="-4"/>
        </w:rPr>
        <w:t xml:space="preserve">erformance </w:t>
      </w:r>
      <w:r w:rsidR="003A4560" w:rsidRPr="00774BD5">
        <w:rPr>
          <w:spacing w:val="-4"/>
        </w:rPr>
        <w:t>R</w:t>
      </w:r>
      <w:r w:rsidR="00B86CBC" w:rsidRPr="00774BD5">
        <w:rPr>
          <w:spacing w:val="-4"/>
        </w:rPr>
        <w:t>eport</w:t>
      </w:r>
      <w:r w:rsidR="003A4560" w:rsidRPr="00774BD5">
        <w:rPr>
          <w:spacing w:val="-4"/>
        </w:rPr>
        <w:t xml:space="preserve"> or the National Working Group on SDG 6 </w:t>
      </w:r>
      <w:r w:rsidR="003E791C" w:rsidRPr="00774BD5">
        <w:rPr>
          <w:spacing w:val="-4"/>
        </w:rPr>
        <w:t xml:space="preserve">to undertake </w:t>
      </w:r>
      <w:r w:rsidR="003A4560" w:rsidRPr="00774BD5">
        <w:rPr>
          <w:spacing w:val="-4"/>
        </w:rPr>
        <w:t>expanded reporting</w:t>
      </w:r>
      <w:r w:rsidR="002B0741" w:rsidRPr="00774BD5">
        <w:rPr>
          <w:spacing w:val="-4"/>
        </w:rPr>
        <w:t xml:space="preserve">. However, current data </w:t>
      </w:r>
      <w:r w:rsidR="002F219C" w:rsidRPr="00774BD5">
        <w:rPr>
          <w:spacing w:val="-4"/>
        </w:rPr>
        <w:t xml:space="preserve">reporting </w:t>
      </w:r>
      <w:r w:rsidR="002B0741" w:rsidRPr="00774BD5">
        <w:rPr>
          <w:spacing w:val="-4"/>
        </w:rPr>
        <w:t>excl</w:t>
      </w:r>
      <w:r w:rsidR="00247227" w:rsidRPr="00774BD5">
        <w:rPr>
          <w:spacing w:val="-4"/>
        </w:rPr>
        <w:t>ude</w:t>
      </w:r>
      <w:r w:rsidR="002F219C" w:rsidRPr="00774BD5">
        <w:rPr>
          <w:spacing w:val="-4"/>
        </w:rPr>
        <w:t>s</w:t>
      </w:r>
      <w:r w:rsidR="002B0741" w:rsidRPr="00774BD5">
        <w:rPr>
          <w:spacing w:val="-4"/>
        </w:rPr>
        <w:t xml:space="preserve"> </w:t>
      </w:r>
      <w:r w:rsidR="006A4644" w:rsidRPr="00774BD5">
        <w:rPr>
          <w:spacing w:val="-4"/>
        </w:rPr>
        <w:t xml:space="preserve">some </w:t>
      </w:r>
      <w:r w:rsidR="00EF1E92" w:rsidRPr="00774BD5">
        <w:rPr>
          <w:spacing w:val="-4"/>
        </w:rPr>
        <w:t xml:space="preserve">remote </w:t>
      </w:r>
      <w:r w:rsidR="00753A72" w:rsidRPr="00774BD5">
        <w:rPr>
          <w:spacing w:val="-4"/>
        </w:rPr>
        <w:t>Aboriginal and Torres Strait Islander communities</w:t>
      </w:r>
      <w:r w:rsidR="002F219C" w:rsidRPr="00774BD5">
        <w:rPr>
          <w:spacing w:val="-4"/>
        </w:rPr>
        <w:t xml:space="preserve"> (for example, if they form part of a system with fewer than 10 000 connections)</w:t>
      </w:r>
      <w:r w:rsidR="003E791C" w:rsidRPr="00774BD5">
        <w:rPr>
          <w:spacing w:val="-4"/>
        </w:rPr>
        <w:t xml:space="preserve">, </w:t>
      </w:r>
      <w:r w:rsidR="002F219C" w:rsidRPr="00774BD5">
        <w:rPr>
          <w:spacing w:val="-4"/>
        </w:rPr>
        <w:t>while</w:t>
      </w:r>
      <w:r w:rsidR="000A60E3" w:rsidRPr="00774BD5">
        <w:rPr>
          <w:spacing w:val="-4"/>
        </w:rPr>
        <w:t xml:space="preserve"> </w:t>
      </w:r>
      <w:r w:rsidR="005B5238" w:rsidRPr="00774BD5">
        <w:rPr>
          <w:spacing w:val="-4"/>
        </w:rPr>
        <w:t>state</w:t>
      </w:r>
      <w:r w:rsidR="002F219C" w:rsidRPr="00774BD5">
        <w:rPr>
          <w:spacing w:val="-4"/>
        </w:rPr>
        <w:noBreakHyphen/>
      </w:r>
      <w:r w:rsidR="005B5238" w:rsidRPr="00774BD5">
        <w:rPr>
          <w:spacing w:val="-4"/>
        </w:rPr>
        <w:t xml:space="preserve">wide providers </w:t>
      </w:r>
      <w:r w:rsidR="003E791C" w:rsidRPr="00774BD5">
        <w:rPr>
          <w:spacing w:val="-4"/>
        </w:rPr>
        <w:t xml:space="preserve">may </w:t>
      </w:r>
      <w:r w:rsidR="002F219C" w:rsidRPr="00774BD5">
        <w:rPr>
          <w:spacing w:val="-4"/>
        </w:rPr>
        <w:t>only publish</w:t>
      </w:r>
      <w:r w:rsidR="003E791C" w:rsidRPr="00774BD5">
        <w:rPr>
          <w:spacing w:val="-4"/>
        </w:rPr>
        <w:t xml:space="preserve"> </w:t>
      </w:r>
      <w:r w:rsidR="000A60E3" w:rsidRPr="00774BD5">
        <w:rPr>
          <w:spacing w:val="-4"/>
        </w:rPr>
        <w:t>state</w:t>
      </w:r>
      <w:r w:rsidR="00A427E6" w:rsidRPr="00774BD5">
        <w:rPr>
          <w:spacing w:val="-4"/>
        </w:rPr>
        <w:noBreakHyphen/>
      </w:r>
      <w:r w:rsidR="000A60E3" w:rsidRPr="00774BD5">
        <w:rPr>
          <w:spacing w:val="-4"/>
        </w:rPr>
        <w:t xml:space="preserve">wide averages </w:t>
      </w:r>
      <w:r w:rsidR="003E791C" w:rsidRPr="00774BD5">
        <w:rPr>
          <w:spacing w:val="-4"/>
        </w:rPr>
        <w:t>which</w:t>
      </w:r>
      <w:r w:rsidR="000A60E3" w:rsidRPr="00774BD5">
        <w:rPr>
          <w:spacing w:val="-4"/>
        </w:rPr>
        <w:t xml:space="preserve"> do not capture issues in particular communities</w:t>
      </w:r>
      <w:r w:rsidR="007850A9" w:rsidRPr="00774BD5">
        <w:rPr>
          <w:spacing w:val="-4"/>
        </w:rPr>
        <w:t>.</w:t>
      </w:r>
    </w:p>
    <w:p w14:paraId="3969B17B" w14:textId="620EE737" w:rsidR="00EA0034" w:rsidRPr="00A6300A" w:rsidRDefault="002672DF" w:rsidP="003966CA">
      <w:pPr>
        <w:pStyle w:val="BodyText"/>
      </w:pPr>
      <w:r>
        <w:t xml:space="preserve">In the long term, </w:t>
      </w:r>
      <w:r w:rsidR="003E791C">
        <w:t>d</w:t>
      </w:r>
      <w:r w:rsidR="002208B2">
        <w:t xml:space="preserve">ata collection needs to be improved at the </w:t>
      </w:r>
      <w:r w:rsidR="00B5679F">
        <w:t xml:space="preserve">community </w:t>
      </w:r>
      <w:r w:rsidR="002208B2">
        <w:t>level.</w:t>
      </w:r>
      <w:r w:rsidR="002B0741">
        <w:t xml:space="preserve"> </w:t>
      </w:r>
      <w:r w:rsidR="001A1024">
        <w:t>The Australian Government</w:t>
      </w:r>
      <w:r w:rsidR="002208B2">
        <w:t xml:space="preserve"> could buil</w:t>
      </w:r>
      <w:r w:rsidR="00254BA0">
        <w:t>d</w:t>
      </w:r>
      <w:r w:rsidR="002208B2">
        <w:t xml:space="preserve"> on previous initiatives, such as the ABS Community Housing and Infrastructure Needs Survey, which </w:t>
      </w:r>
      <w:r w:rsidR="00A4064D">
        <w:t xml:space="preserve">collected information </w:t>
      </w:r>
      <w:r w:rsidR="00A4064D" w:rsidRPr="00794A30">
        <w:t xml:space="preserve">on </w:t>
      </w:r>
      <w:r w:rsidR="00E2527C" w:rsidRPr="00794A30">
        <w:t xml:space="preserve">drinking water source, restrictions and quality in all communities, </w:t>
      </w:r>
      <w:proofErr w:type="gramStart"/>
      <w:r w:rsidR="00E2527C" w:rsidRPr="00794A30">
        <w:t>outstations</w:t>
      </w:r>
      <w:proofErr w:type="gramEnd"/>
      <w:r w:rsidR="00E2527C" w:rsidRPr="00794A30">
        <w:t xml:space="preserve"> and dwellings</w:t>
      </w:r>
      <w:r w:rsidR="001671B8">
        <w:t xml:space="preserve"> </w:t>
      </w:r>
      <w:r w:rsidR="005F46AA" w:rsidRPr="005F46AA">
        <w:rPr>
          <w:szCs w:val="24"/>
        </w:rPr>
        <w:t>(ABS 2006)</w:t>
      </w:r>
      <w:r w:rsidR="007850A9">
        <w:t>.</w:t>
      </w:r>
    </w:p>
    <w:p w14:paraId="5B4C0240" w14:textId="18984CFD" w:rsidR="005B4707" w:rsidRDefault="0044540E" w:rsidP="003966CA">
      <w:pPr>
        <w:pStyle w:val="Heading2"/>
      </w:pPr>
      <w:bookmarkStart w:id="37" w:name="_Toc59447371"/>
      <w:bookmarkStart w:id="38" w:name="_Toc62043667"/>
      <w:r>
        <w:t>6</w:t>
      </w:r>
      <w:r w:rsidR="005B4707">
        <w:tab/>
      </w:r>
      <w:r w:rsidR="002C68B1">
        <w:t xml:space="preserve">NWI </w:t>
      </w:r>
      <w:r w:rsidR="002C68B1" w:rsidRPr="003966CA">
        <w:t>renewal</w:t>
      </w:r>
      <w:bookmarkEnd w:id="37"/>
      <w:bookmarkEnd w:id="38"/>
    </w:p>
    <w:bookmarkEnd w:id="31"/>
    <w:p w14:paraId="5C4C5CB3" w14:textId="452A3D1C" w:rsidR="000E01FC" w:rsidRDefault="000E01FC" w:rsidP="000E01FC">
      <w:pPr>
        <w:pStyle w:val="BodyText"/>
      </w:pPr>
      <w:r>
        <w:t>A</w:t>
      </w:r>
      <w:r w:rsidRPr="001308BF">
        <w:t xml:space="preserve"> </w:t>
      </w:r>
      <w:r>
        <w:t>re</w:t>
      </w:r>
      <w:r w:rsidRPr="001308BF">
        <w:t>new</w:t>
      </w:r>
      <w:r>
        <w:t>ed</w:t>
      </w:r>
      <w:r w:rsidRPr="001308BF">
        <w:t xml:space="preserve"> NWI should </w:t>
      </w:r>
      <w:r>
        <w:t xml:space="preserve">include </w:t>
      </w:r>
      <w:r w:rsidRPr="001308BF">
        <w:t>expand</w:t>
      </w:r>
      <w:r>
        <w:t>ed</w:t>
      </w:r>
      <w:r w:rsidRPr="001308BF">
        <w:t xml:space="preserve"> coverage of </w:t>
      </w:r>
      <w:r>
        <w:t>urban water services (SP</w:t>
      </w:r>
      <w:r w:rsidR="00731B11">
        <w:t> </w:t>
      </w:r>
      <w:r w:rsidR="00E758F5">
        <w:t>F</w:t>
      </w:r>
      <w:r>
        <w:t> </w:t>
      </w:r>
      <w:r w:rsidR="00E758F5" w:rsidRPr="00E758F5">
        <w:rPr>
          <w:i/>
          <w:iCs/>
        </w:rPr>
        <w:t>U</w:t>
      </w:r>
      <w:r>
        <w:rPr>
          <w:i/>
        </w:rPr>
        <w:t>rban)</w:t>
      </w:r>
      <w:r>
        <w:t xml:space="preserve">, with a more nuanced treatment of regional and remote services. The overall aspiration of the urban water sector, consistent with other water services, should be for </w:t>
      </w:r>
      <w:r w:rsidRPr="00581603">
        <w:t xml:space="preserve">effective, </w:t>
      </w:r>
      <w:proofErr w:type="gramStart"/>
      <w:r w:rsidRPr="00581603">
        <w:t>efficient</w:t>
      </w:r>
      <w:proofErr w:type="gramEnd"/>
      <w:r w:rsidRPr="00581603">
        <w:t xml:space="preserve"> and equitable provision that meets the needs of customers and communities in a changing climate</w:t>
      </w:r>
      <w:r>
        <w:t xml:space="preserve">, and the Commission has proposed a set of </w:t>
      </w:r>
      <w:r w:rsidR="000231E0">
        <w:t xml:space="preserve">contemporised </w:t>
      </w:r>
      <w:r w:rsidR="00EC12D2">
        <w:t xml:space="preserve">and </w:t>
      </w:r>
      <w:r w:rsidR="000231E0">
        <w:t xml:space="preserve">detailed </w:t>
      </w:r>
      <w:r>
        <w:t>objectives towards that end (</w:t>
      </w:r>
      <w:r w:rsidR="00EF6D89">
        <w:t>SP</w:t>
      </w:r>
      <w:r w:rsidR="00731B11">
        <w:t> </w:t>
      </w:r>
      <w:r w:rsidR="00EF6D89">
        <w:t>F </w:t>
      </w:r>
      <w:r w:rsidR="00EF6D89" w:rsidRPr="00E758F5">
        <w:rPr>
          <w:i/>
          <w:iCs/>
        </w:rPr>
        <w:t>Urban</w:t>
      </w:r>
      <w:r>
        <w:t>).</w:t>
      </w:r>
    </w:p>
    <w:p w14:paraId="26A09FD0" w14:textId="73E345C2" w:rsidR="00002B22" w:rsidRDefault="00F83107" w:rsidP="003966CA">
      <w:pPr>
        <w:pStyle w:val="BodyText"/>
      </w:pPr>
      <w:r>
        <w:t>M</w:t>
      </w:r>
      <w:r w:rsidR="00662DAD" w:rsidRPr="00675096">
        <w:t xml:space="preserve">any of the principles </w:t>
      </w:r>
      <w:r w:rsidR="00947CD6">
        <w:t xml:space="preserve">for </w:t>
      </w:r>
      <w:r w:rsidR="000B21B0">
        <w:t>best</w:t>
      </w:r>
      <w:r w:rsidR="006E0323">
        <w:t xml:space="preserve"> </w:t>
      </w:r>
      <w:r w:rsidR="00947CD6">
        <w:t>practice</w:t>
      </w:r>
      <w:r>
        <w:t xml:space="preserve"> service delivery</w:t>
      </w:r>
      <w:r w:rsidR="00947CD6">
        <w:t xml:space="preserve"> apply to </w:t>
      </w:r>
      <w:r w:rsidR="007F0A06">
        <w:t xml:space="preserve">major urban </w:t>
      </w:r>
      <w:r w:rsidR="000B21B0">
        <w:t xml:space="preserve">utilities as well as </w:t>
      </w:r>
      <w:r w:rsidR="00662DAD" w:rsidRPr="00675096">
        <w:t xml:space="preserve">regional and remote </w:t>
      </w:r>
      <w:r w:rsidR="000B21B0">
        <w:t xml:space="preserve">water </w:t>
      </w:r>
      <w:r w:rsidR="00662DAD" w:rsidRPr="00675096">
        <w:t>services</w:t>
      </w:r>
      <w:r w:rsidR="000B21B0">
        <w:t>;</w:t>
      </w:r>
      <w:r w:rsidR="00675096">
        <w:t xml:space="preserve"> </w:t>
      </w:r>
      <w:r w:rsidR="00662DAD" w:rsidRPr="00675096">
        <w:t xml:space="preserve">the key difference </w:t>
      </w:r>
      <w:r w:rsidR="00675096">
        <w:t xml:space="preserve">is </w:t>
      </w:r>
      <w:r w:rsidR="00BE0AE3">
        <w:t>how</w:t>
      </w:r>
      <w:r w:rsidR="00675096">
        <w:t xml:space="preserve"> </w:t>
      </w:r>
      <w:r w:rsidR="00BE0AE3">
        <w:t xml:space="preserve">to balance </w:t>
      </w:r>
      <w:r w:rsidR="000B21B0">
        <w:t xml:space="preserve">efficiency and </w:t>
      </w:r>
      <w:r w:rsidR="00BE0AE3">
        <w:t xml:space="preserve">equity </w:t>
      </w:r>
      <w:r w:rsidR="00947CD6">
        <w:t xml:space="preserve">of </w:t>
      </w:r>
      <w:r w:rsidR="00BE0AE3">
        <w:t xml:space="preserve">service delivery in </w:t>
      </w:r>
      <w:r w:rsidR="00675096">
        <w:t>high</w:t>
      </w:r>
      <w:r w:rsidR="000B21B0">
        <w:t>er</w:t>
      </w:r>
      <w:r w:rsidR="00675096">
        <w:noBreakHyphen/>
        <w:t xml:space="preserve">cost </w:t>
      </w:r>
      <w:r w:rsidR="000B21B0">
        <w:t xml:space="preserve">regions </w:t>
      </w:r>
      <w:r w:rsidR="00002B22">
        <w:t xml:space="preserve">of Australia. The NWI could support this </w:t>
      </w:r>
      <w:r w:rsidR="00002B22">
        <w:lastRenderedPageBreak/>
        <w:t xml:space="preserve">through principles </w:t>
      </w:r>
      <w:r w:rsidR="000B21B0">
        <w:t xml:space="preserve">to guide </w:t>
      </w:r>
      <w:r w:rsidR="00002B22">
        <w:t>planning, governance</w:t>
      </w:r>
      <w:r w:rsidR="000B21B0">
        <w:t>,</w:t>
      </w:r>
      <w:r w:rsidR="00002B22">
        <w:t xml:space="preserve"> economic oversight, and monitoring</w:t>
      </w:r>
      <w:r w:rsidR="00A732E1">
        <w:t xml:space="preserve">, </w:t>
      </w:r>
      <w:proofErr w:type="gramStart"/>
      <w:r w:rsidR="00A732E1">
        <w:t>reporting</w:t>
      </w:r>
      <w:proofErr w:type="gramEnd"/>
      <w:r w:rsidR="00A732E1">
        <w:t xml:space="preserve"> and benchmarking.</w:t>
      </w:r>
    </w:p>
    <w:p w14:paraId="7E854973" w14:textId="612D4E2F" w:rsidR="00662DAD" w:rsidRDefault="00E94382" w:rsidP="00FA49FF">
      <w:pPr>
        <w:pStyle w:val="Heading3"/>
      </w:pPr>
      <w:bookmarkStart w:id="39" w:name="_Toc62043668"/>
      <w:r>
        <w:t>6.1</w:t>
      </w:r>
      <w:r>
        <w:tab/>
      </w:r>
      <w:r w:rsidR="00B723B1" w:rsidRPr="003966CA">
        <w:t>Ensuring</w:t>
      </w:r>
      <w:r w:rsidR="00B723B1">
        <w:t xml:space="preserve"> access to a basic</w:t>
      </w:r>
      <w:r w:rsidR="00F83107">
        <w:t xml:space="preserve"> </w:t>
      </w:r>
      <w:r w:rsidR="00662DAD">
        <w:t xml:space="preserve">level of </w:t>
      </w:r>
      <w:proofErr w:type="gramStart"/>
      <w:r w:rsidR="00662DAD">
        <w:t>service</w:t>
      </w:r>
      <w:bookmarkEnd w:id="39"/>
      <w:proofErr w:type="gramEnd"/>
    </w:p>
    <w:p w14:paraId="41550765" w14:textId="0CE3F707" w:rsidR="005F2C75" w:rsidRDefault="00DF56AE" w:rsidP="003966CA">
      <w:pPr>
        <w:pStyle w:val="BodyText"/>
      </w:pPr>
      <w:r>
        <w:t xml:space="preserve">As in major cities, </w:t>
      </w:r>
      <w:r w:rsidR="008468FF">
        <w:t xml:space="preserve">integrated </w:t>
      </w:r>
      <w:r w:rsidR="00F00461">
        <w:t>urban</w:t>
      </w:r>
      <w:r w:rsidR="00853D06">
        <w:t xml:space="preserve"> water </w:t>
      </w:r>
      <w:r w:rsidR="00002B22">
        <w:t xml:space="preserve">system planning </w:t>
      </w:r>
      <w:r w:rsidR="00A732E1">
        <w:t xml:space="preserve">for </w:t>
      </w:r>
      <w:r w:rsidR="00F00461">
        <w:t xml:space="preserve">regional and remote </w:t>
      </w:r>
      <w:r w:rsidR="00A732E1">
        <w:t xml:space="preserve">communities </w:t>
      </w:r>
      <w:r w:rsidR="005B624F">
        <w:t>should be guided by clear system objectives</w:t>
      </w:r>
      <w:r w:rsidR="00A732E1">
        <w:t xml:space="preserve"> that incorporate</w:t>
      </w:r>
      <w:r w:rsidR="005B624F">
        <w:t xml:space="preserve"> levels of service</w:t>
      </w:r>
      <w:r w:rsidR="00A732E1">
        <w:t xml:space="preserve"> (across water supply and stormwater)</w:t>
      </w:r>
      <w:r w:rsidR="005F2C75">
        <w:t>,</w:t>
      </w:r>
      <w:r w:rsidR="005B624F">
        <w:t xml:space="preserve"> </w:t>
      </w:r>
      <w:r w:rsidR="00A732E1">
        <w:t xml:space="preserve">compliance with </w:t>
      </w:r>
      <w:r w:rsidR="005B624F">
        <w:t>government standards</w:t>
      </w:r>
      <w:r w:rsidR="00A732E1">
        <w:t xml:space="preserve"> and contributions to</w:t>
      </w:r>
      <w:r w:rsidR="005F2C75">
        <w:t xml:space="preserve"> broader amenity </w:t>
      </w:r>
      <w:r w:rsidR="001C27E2">
        <w:t>outcomes</w:t>
      </w:r>
      <w:r w:rsidR="00853D06">
        <w:t xml:space="preserve">. </w:t>
      </w:r>
      <w:r w:rsidR="00A732E1">
        <w:t>Community and customer engagement should underpin the development of those objectives.</w:t>
      </w:r>
    </w:p>
    <w:p w14:paraId="4A91EC18" w14:textId="76CA1C20" w:rsidR="001200EC" w:rsidRDefault="000E01FC" w:rsidP="003966CA">
      <w:pPr>
        <w:pStyle w:val="BodyText"/>
      </w:pPr>
      <w:r>
        <w:t xml:space="preserve">To support planning by smaller utilities, State and Territory </w:t>
      </w:r>
      <w:r w:rsidR="00E431AD">
        <w:t>G</w:t>
      </w:r>
      <w:r>
        <w:t xml:space="preserve">overnments should define a </w:t>
      </w:r>
      <w:r w:rsidR="00896878">
        <w:t>‘</w:t>
      </w:r>
      <w:r>
        <w:t>basic level of service</w:t>
      </w:r>
      <w:r w:rsidR="00896878">
        <w:t>’</w:t>
      </w:r>
      <w:r>
        <w:t xml:space="preserve"> that ensures access to an adequate quantity of safe</w:t>
      </w:r>
      <w:r w:rsidRPr="00C716B2">
        <w:t xml:space="preserve"> and </w:t>
      </w:r>
      <w:r>
        <w:t xml:space="preserve">reliable water. </w:t>
      </w:r>
    </w:p>
    <w:p w14:paraId="61FA6FD0" w14:textId="42A5F967" w:rsidR="000E01FC" w:rsidRPr="00774BD5" w:rsidRDefault="000E01FC" w:rsidP="003966CA">
      <w:pPr>
        <w:pStyle w:val="BodyText"/>
        <w:rPr>
          <w:spacing w:val="-2"/>
        </w:rPr>
      </w:pPr>
      <w:r w:rsidRPr="00774BD5">
        <w:rPr>
          <w:spacing w:val="-2"/>
        </w:rPr>
        <w:t xml:space="preserve">State and Territory </w:t>
      </w:r>
      <w:r w:rsidR="00E431AD" w:rsidRPr="00774BD5">
        <w:rPr>
          <w:spacing w:val="-2"/>
        </w:rPr>
        <w:t>G</w:t>
      </w:r>
      <w:r w:rsidRPr="00774BD5">
        <w:rPr>
          <w:spacing w:val="-2"/>
        </w:rPr>
        <w:t>overnments should accept responsibility to ensure access to that basic level of service, and to determine what share of costs are to be borne by users, and where State or Territory government funding is warranted.</w:t>
      </w:r>
      <w:r w:rsidR="00896878" w:rsidRPr="00774BD5">
        <w:rPr>
          <w:spacing w:val="-2"/>
        </w:rPr>
        <w:t xml:space="preserve"> It should be defined with reference to health standards for water quality, and with reliability objectives based on local circumstances.</w:t>
      </w:r>
    </w:p>
    <w:p w14:paraId="406ED17D" w14:textId="1DED0682" w:rsidR="00853D06" w:rsidRPr="00853D06" w:rsidRDefault="00B723B1" w:rsidP="003966CA">
      <w:pPr>
        <w:pStyle w:val="BodyText"/>
      </w:pPr>
      <w:r>
        <w:t>In some regional and remote areas, the</w:t>
      </w:r>
      <w:r w:rsidR="000B21B0">
        <w:t xml:space="preserve"> high</w:t>
      </w:r>
      <w:r>
        <w:t xml:space="preserve"> cost of providing a basic level of service ma</w:t>
      </w:r>
      <w:r w:rsidR="000B21B0">
        <w:t>y</w:t>
      </w:r>
      <w:r>
        <w:t xml:space="preserve"> make it uncommercial. </w:t>
      </w:r>
      <w:r w:rsidR="000B21B0">
        <w:t>As under the current NWI, a</w:t>
      </w:r>
      <w:r w:rsidR="00F25D95">
        <w:t xml:space="preserve">ny </w:t>
      </w:r>
      <w:r w:rsidR="00896878">
        <w:t xml:space="preserve">operational </w:t>
      </w:r>
      <w:r w:rsidR="00F25D95">
        <w:t xml:space="preserve">subsidies to </w:t>
      </w:r>
      <w:r w:rsidR="000B21B0">
        <w:t xml:space="preserve">service providers </w:t>
      </w:r>
      <w:r w:rsidR="00F25D95">
        <w:t>should be provided as</w:t>
      </w:r>
      <w:r w:rsidR="00F7006B">
        <w:t xml:space="preserve"> a</w:t>
      </w:r>
      <w:r w:rsidR="00F25D95">
        <w:t xml:space="preserve"> transparent and untied CSO payment</w:t>
      </w:r>
      <w:r w:rsidR="00C4023F">
        <w:t>.</w:t>
      </w:r>
      <w:r w:rsidR="00965776">
        <w:t xml:space="preserve"> The Commission has proposed principles to guide CSO funding. </w:t>
      </w:r>
    </w:p>
    <w:p w14:paraId="31A60101" w14:textId="23990640" w:rsidR="005D0D2B" w:rsidRDefault="00853D06" w:rsidP="00483558">
      <w:pPr>
        <w:pStyle w:val="BodyText"/>
        <w:keepNext/>
      </w:pPr>
      <w:r w:rsidRPr="00FD4C82">
        <w:t xml:space="preserve">In line with </w:t>
      </w:r>
      <w:r w:rsidR="00717A98">
        <w:t>best</w:t>
      </w:r>
      <w:r w:rsidR="00717A98">
        <w:noBreakHyphen/>
        <w:t xml:space="preserve">practice system </w:t>
      </w:r>
      <w:r w:rsidR="00391BFF" w:rsidRPr="00FD4C82">
        <w:t xml:space="preserve">planning </w:t>
      </w:r>
      <w:r w:rsidRPr="00FD4C82">
        <w:t xml:space="preserve">principles for major utilities, the NWI could </w:t>
      </w:r>
      <w:r w:rsidR="00717A98">
        <w:t xml:space="preserve">also </w:t>
      </w:r>
      <w:r w:rsidRPr="00FD4C82">
        <w:t xml:space="preserve">include </w:t>
      </w:r>
      <w:r w:rsidR="00A6300A">
        <w:t>guidelines</w:t>
      </w:r>
      <w:r w:rsidR="00BD551A" w:rsidRPr="00FD4C82">
        <w:t xml:space="preserve"> </w:t>
      </w:r>
      <w:r w:rsidRPr="00FD4C82">
        <w:t xml:space="preserve">for </w:t>
      </w:r>
      <w:r w:rsidR="005E17D2">
        <w:t xml:space="preserve">both </w:t>
      </w:r>
      <w:r w:rsidRPr="00FD4C82">
        <w:t xml:space="preserve">system planning and </w:t>
      </w:r>
      <w:r w:rsidR="005E17D2">
        <w:t>contingency</w:t>
      </w:r>
      <w:r w:rsidRPr="00FD4C82">
        <w:t xml:space="preserve"> planning for regional and remote </w:t>
      </w:r>
      <w:r w:rsidR="005E17D2">
        <w:t>communities</w:t>
      </w:r>
      <w:r w:rsidRPr="00FD4C82">
        <w:t>. Th</w:t>
      </w:r>
      <w:r w:rsidR="005D0D2B">
        <w:t xml:space="preserve">ese guidelines </w:t>
      </w:r>
      <w:r w:rsidRPr="00FD4C82">
        <w:t>should</w:t>
      </w:r>
      <w:r w:rsidR="005D0D2B">
        <w:t xml:space="preserve"> highlight the importance of:</w:t>
      </w:r>
    </w:p>
    <w:p w14:paraId="1E1D43CC" w14:textId="2AF041CB" w:rsidR="005D0D2B" w:rsidRDefault="00107CC2" w:rsidP="003966CA">
      <w:pPr>
        <w:pStyle w:val="ListBullet"/>
      </w:pPr>
      <w:r>
        <w:t>local fit</w:t>
      </w:r>
      <w:r>
        <w:noBreakHyphen/>
      </w:r>
      <w:r w:rsidR="00853D06" w:rsidRPr="00FD4C82">
        <w:t>for</w:t>
      </w:r>
      <w:r>
        <w:noBreakHyphen/>
      </w:r>
      <w:r w:rsidR="00853D06" w:rsidRPr="00FD4C82">
        <w:t xml:space="preserve">purpose water supply options, in line with </w:t>
      </w:r>
      <w:r w:rsidR="005E17D2">
        <w:t xml:space="preserve">relevant </w:t>
      </w:r>
      <w:r w:rsidR="00853D06" w:rsidRPr="00FD4C82">
        <w:t>levels of service</w:t>
      </w:r>
      <w:r w:rsidR="005D0D2B">
        <w:t xml:space="preserve"> </w:t>
      </w:r>
    </w:p>
    <w:p w14:paraId="7B88F058" w14:textId="47F8F198" w:rsidR="000E01FC" w:rsidRDefault="000E01FC" w:rsidP="003966CA">
      <w:pPr>
        <w:pStyle w:val="ListBullet"/>
      </w:pPr>
      <w:r>
        <w:t xml:space="preserve">supply augmentation decisions occurring at the right regional scale to ensure the full range of options (including </w:t>
      </w:r>
      <w:bookmarkStart w:id="40" w:name="_Hlk59696325"/>
      <w:r w:rsidR="00B91C99">
        <w:t xml:space="preserve">transferring water between sectors or </w:t>
      </w:r>
      <w:bookmarkEnd w:id="40"/>
      <w:r w:rsidR="00B91C99">
        <w:t>regions</w:t>
      </w:r>
      <w:r>
        <w:t xml:space="preserve">) are </w:t>
      </w:r>
      <w:proofErr w:type="gramStart"/>
      <w:r>
        <w:t>considered</w:t>
      </w:r>
      <w:proofErr w:type="gramEnd"/>
    </w:p>
    <w:p w14:paraId="2E7CDE8A" w14:textId="04636094" w:rsidR="005D0D2B" w:rsidRDefault="00717A98" w:rsidP="003966CA">
      <w:pPr>
        <w:pStyle w:val="ListBullet"/>
      </w:pPr>
      <w:r>
        <w:t>ensuring that local</w:t>
      </w:r>
      <w:r w:rsidR="008468FF">
        <w:t xml:space="preserve"> system</w:t>
      </w:r>
      <w:r>
        <w:t xml:space="preserve"> </w:t>
      </w:r>
      <w:r w:rsidR="008468FF">
        <w:t>and contingency plan</w:t>
      </w:r>
      <w:r w:rsidR="005D0D2B">
        <w:t xml:space="preserve">s are </w:t>
      </w:r>
      <w:r w:rsidR="002919B5">
        <w:t>integrated with catchment</w:t>
      </w:r>
      <w:r w:rsidR="002919B5">
        <w:noBreakHyphen/>
        <w:t xml:space="preserve">level water resource </w:t>
      </w:r>
      <w:proofErr w:type="gramStart"/>
      <w:r w:rsidR="002919B5">
        <w:t>planning</w:t>
      </w:r>
      <w:proofErr w:type="gramEnd"/>
    </w:p>
    <w:p w14:paraId="1F0F92B4" w14:textId="4E3FF434" w:rsidR="005D0D2B" w:rsidRPr="00774BD5" w:rsidRDefault="005D0D2B" w:rsidP="003966CA">
      <w:pPr>
        <w:pStyle w:val="ListBullet"/>
        <w:rPr>
          <w:spacing w:val="2"/>
        </w:rPr>
      </w:pPr>
      <w:r w:rsidRPr="00774BD5">
        <w:rPr>
          <w:spacing w:val="2"/>
        </w:rPr>
        <w:t>realistic timing of planned augmentations under contingency plans, linked to system plans.</w:t>
      </w:r>
    </w:p>
    <w:p w14:paraId="47B2EFF2" w14:textId="6BEC0262" w:rsidR="00853D06" w:rsidRPr="00FD4C82" w:rsidRDefault="00E63D4F" w:rsidP="003966CA">
      <w:pPr>
        <w:pStyle w:val="BodyText"/>
      </w:pPr>
      <w:r>
        <w:t xml:space="preserve">Government funding of regional water services could be made </w:t>
      </w:r>
      <w:r w:rsidR="008468FF">
        <w:t xml:space="preserve">conditional </w:t>
      </w:r>
      <w:r>
        <w:t xml:space="preserve">on </w:t>
      </w:r>
      <w:r w:rsidR="00717A98">
        <w:t xml:space="preserve">adhering to </w:t>
      </w:r>
      <w:r>
        <w:t>th</w:t>
      </w:r>
      <w:r w:rsidR="00B723B1">
        <w:t>o</w:t>
      </w:r>
      <w:r>
        <w:t xml:space="preserve">se </w:t>
      </w:r>
      <w:r w:rsidR="00B723B1">
        <w:t>guidelines</w:t>
      </w:r>
      <w:r>
        <w:t>.</w:t>
      </w:r>
    </w:p>
    <w:p w14:paraId="580F4D58" w14:textId="77777777" w:rsidR="00E5240D" w:rsidRPr="00F94210" w:rsidRDefault="00E5240D" w:rsidP="00E5240D">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5240D" w:rsidRPr="00F94210" w14:paraId="3AEF4FC2" w14:textId="77777777" w:rsidTr="00453A0A">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7AB4AB4D" w14:textId="4E44FE85" w:rsidR="00725D5D" w:rsidRDefault="00F35DFF" w:rsidP="00EB3700">
            <w:pPr>
              <w:pStyle w:val="FindingTitle"/>
            </w:pPr>
            <w:r>
              <w:t xml:space="preserve">Draft </w:t>
            </w:r>
            <w:r w:rsidR="00606493">
              <w:t xml:space="preserve">NWI renewal </w:t>
            </w:r>
            <w:r w:rsidR="00947CD6">
              <w:t>advice</w:t>
            </w:r>
            <w:r w:rsidR="00B45FA1">
              <w:t> </w:t>
            </w:r>
            <w:r w:rsidR="001200EC">
              <w:t>11.6</w:t>
            </w:r>
            <w:r w:rsidR="00DE7F51">
              <w:t>:</w:t>
            </w:r>
            <w:r w:rsidR="00A80176">
              <w:t xml:space="preserve"> </w:t>
            </w:r>
            <w:r w:rsidR="00A732E1">
              <w:t>Ensuring access to a basic level of service</w:t>
            </w:r>
          </w:p>
          <w:p w14:paraId="4FAFDADE" w14:textId="5D3A1177" w:rsidR="001200EC" w:rsidRPr="006F0B7F" w:rsidRDefault="001200EC" w:rsidP="001200EC">
            <w:pPr>
              <w:pStyle w:val="Finding"/>
            </w:pPr>
            <w:r w:rsidRPr="006F0B7F">
              <w:t xml:space="preserve">A renewed </w:t>
            </w:r>
            <w:r w:rsidR="006D4A43">
              <w:t xml:space="preserve">National Water Initiative </w:t>
            </w:r>
            <w:r w:rsidRPr="006F0B7F">
              <w:t xml:space="preserve">should include a commitment to ensure access to at least a basic level of safe and reliable drinking water to all Australians. State and Territory </w:t>
            </w:r>
            <w:r w:rsidR="006D4A43">
              <w:t>G</w:t>
            </w:r>
            <w:r w:rsidRPr="006F0B7F">
              <w:t xml:space="preserve">overnments could each develop a definition </w:t>
            </w:r>
            <w:r>
              <w:t>o</w:t>
            </w:r>
            <w:r w:rsidRPr="006F0B7F">
              <w:t xml:space="preserve">f, and commit to ensure access to, a basic level of service </w:t>
            </w:r>
            <w:r>
              <w:t xml:space="preserve">for each </w:t>
            </w:r>
            <w:r w:rsidRPr="006F0B7F">
              <w:t>com</w:t>
            </w:r>
            <w:r>
              <w:t>munity in their jurisdiction.</w:t>
            </w:r>
          </w:p>
          <w:p w14:paraId="286C68C4" w14:textId="77777777" w:rsidR="001200EC" w:rsidRPr="006F0B7F" w:rsidRDefault="001200EC" w:rsidP="001200EC">
            <w:pPr>
              <w:pStyle w:val="Finding"/>
            </w:pPr>
            <w:r>
              <w:t>C</w:t>
            </w:r>
            <w:r w:rsidRPr="006F0B7F">
              <w:t>ost</w:t>
            </w:r>
            <w:r w:rsidRPr="006F0B7F">
              <w:noBreakHyphen/>
              <w:t xml:space="preserve">reflective user charges should remain the default arrangement, </w:t>
            </w:r>
            <w:r>
              <w:t xml:space="preserve">but </w:t>
            </w:r>
            <w:r w:rsidRPr="006F0B7F">
              <w:t xml:space="preserve">some regional and remote services in </w:t>
            </w:r>
            <w:r>
              <w:t>high</w:t>
            </w:r>
            <w:r>
              <w:noBreakHyphen/>
              <w:t>cost</w:t>
            </w:r>
            <w:r w:rsidRPr="006F0B7F">
              <w:t xml:space="preserve"> areas will require </w:t>
            </w:r>
            <w:r>
              <w:t xml:space="preserve">operational </w:t>
            </w:r>
            <w:r w:rsidRPr="006F0B7F">
              <w:t>subsidies to maintain a basic level of service</w:t>
            </w:r>
            <w:r>
              <w:t xml:space="preserve"> to all customers</w:t>
            </w:r>
            <w:r w:rsidRPr="006F0B7F">
              <w:t>. Any subsidies to those areas should be provided as transparent community service obligation payments. Payments to local government</w:t>
            </w:r>
            <w:r w:rsidRPr="006F0B7F">
              <w:noBreakHyphen/>
              <w:t>owned providers should be:</w:t>
            </w:r>
          </w:p>
          <w:p w14:paraId="61FBF32E" w14:textId="3901EAC9" w:rsidR="001200EC" w:rsidRPr="00E4755C" w:rsidRDefault="001200EC" w:rsidP="001200EC">
            <w:pPr>
              <w:pStyle w:val="FindingBullet"/>
            </w:pPr>
            <w:r w:rsidRPr="003E170A">
              <w:t xml:space="preserve">designed to ensure access to a basic level of service in those communities where </w:t>
            </w:r>
            <w:r w:rsidR="00F75C42" w:rsidRPr="00F75C42">
              <w:t>such service provision</w:t>
            </w:r>
            <w:r w:rsidRPr="003E170A">
              <w:t xml:space="preserve"> would otherwise be </w:t>
            </w:r>
            <w:proofErr w:type="gramStart"/>
            <w:r w:rsidRPr="003E170A">
              <w:t>unviable</w:t>
            </w:r>
            <w:proofErr w:type="gramEnd"/>
            <w:r>
              <w:rPr>
                <w:i/>
              </w:rPr>
              <w:t xml:space="preserve"> </w:t>
            </w:r>
          </w:p>
          <w:p w14:paraId="1EC8F7BD" w14:textId="77777777" w:rsidR="001200EC" w:rsidRPr="0062171C" w:rsidRDefault="001200EC" w:rsidP="001200EC">
            <w:pPr>
              <w:pStyle w:val="FindingBullet"/>
            </w:pPr>
            <w:r w:rsidRPr="0062171C">
              <w:t xml:space="preserve">adequate to ensure a basic level of service is considered </w:t>
            </w:r>
            <w:proofErr w:type="gramStart"/>
            <w:r w:rsidRPr="0062171C">
              <w:t>affordable</w:t>
            </w:r>
            <w:proofErr w:type="gramEnd"/>
          </w:p>
          <w:p w14:paraId="1ED4E34E" w14:textId="77777777" w:rsidR="001200EC" w:rsidRDefault="001200EC" w:rsidP="001200EC">
            <w:pPr>
              <w:pStyle w:val="FindingBullet"/>
            </w:pPr>
            <w:r w:rsidRPr="006F0B7F">
              <w:t>based on credible data on efficient service costs, subject to a degree of independent oversight, following State or Territory government involvement in system planning</w:t>
            </w:r>
          </w:p>
          <w:p w14:paraId="6820F269" w14:textId="77777777" w:rsidR="001200EC" w:rsidRPr="006F0B7F" w:rsidRDefault="001200EC" w:rsidP="001200EC">
            <w:pPr>
              <w:pStyle w:val="FindingBullet"/>
            </w:pPr>
            <w:r w:rsidRPr="006F0B7F">
              <w:t xml:space="preserve">calculated in a predictable fashion to provide a reliable source of </w:t>
            </w:r>
            <w:proofErr w:type="gramStart"/>
            <w:r w:rsidRPr="006F0B7F">
              <w:t>funding</w:t>
            </w:r>
            <w:proofErr w:type="gramEnd"/>
          </w:p>
          <w:p w14:paraId="2FAAEEEE" w14:textId="5B0035BE" w:rsidR="00F77EFE" w:rsidRPr="007146F5" w:rsidRDefault="001200EC" w:rsidP="001200EC">
            <w:pPr>
              <w:pStyle w:val="FindingBullet"/>
            </w:pPr>
            <w:r w:rsidRPr="006F0B7F">
              <w:t xml:space="preserve">conditional on ongoing operational improvements, such as improvements to utility governance, </w:t>
            </w:r>
            <w:r>
              <w:t xml:space="preserve">better service outcomes (based on performance benchmarking), </w:t>
            </w:r>
            <w:r w:rsidRPr="006F0B7F">
              <w:t>compliance with guidelines for system and contingency planning, or for pursuing collaboration.</w:t>
            </w:r>
          </w:p>
          <w:p w14:paraId="3346B736" w14:textId="06511412" w:rsidR="00E5240D" w:rsidRPr="00F94210" w:rsidRDefault="001200EC" w:rsidP="00DE5381">
            <w:pPr>
              <w:pStyle w:val="Finding"/>
            </w:pPr>
            <w:r w:rsidRPr="006F0B7F">
              <w:t>To support efficient service delivery by smaller providers, jurisdictions should consider developing national guidelines for both long</w:t>
            </w:r>
            <w:r w:rsidRPr="006F0B7F">
              <w:noBreakHyphen/>
              <w:t>term system planning and contingency planning for regional and remote water systems.</w:t>
            </w:r>
          </w:p>
        </w:tc>
      </w:tr>
      <w:tr w:rsidR="00E5240D" w:rsidRPr="00F94210" w14:paraId="17D5A99E" w14:textId="77777777" w:rsidTr="00453A0A">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09D3A7B6" w14:textId="686711A7" w:rsidR="00E5240D" w:rsidRPr="00F94210" w:rsidRDefault="00E5240D" w:rsidP="00453A0A">
            <w:pPr>
              <w:keepNext/>
              <w:keepLines/>
              <w:spacing w:line="120" w:lineRule="exact"/>
              <w:jc w:val="both"/>
              <w:rPr>
                <w:rFonts w:ascii="Arial" w:hAnsi="Arial"/>
                <w:sz w:val="20"/>
                <w:szCs w:val="20"/>
              </w:rPr>
            </w:pPr>
          </w:p>
        </w:tc>
      </w:tr>
      <w:tr w:rsidR="00E5240D" w:rsidRPr="00F94210" w14:paraId="68ECB6E4" w14:textId="77777777" w:rsidTr="00453A0A">
        <w:tc>
          <w:tcPr>
            <w:tcW w:w="5000" w:type="pct"/>
            <w:tcBorders>
              <w:top w:val="single" w:sz="6" w:space="0" w:color="0070C0"/>
              <w:left w:val="nil"/>
              <w:bottom w:val="nil"/>
              <w:right w:val="nil"/>
            </w:tcBorders>
            <w:tcMar>
              <w:left w:w="170" w:type="dxa"/>
              <w:right w:w="170" w:type="dxa"/>
            </w:tcMar>
          </w:tcPr>
          <w:p w14:paraId="7AD8C439" w14:textId="77777777" w:rsidR="00E5240D" w:rsidRPr="00F94210" w:rsidRDefault="00E5240D" w:rsidP="00453A0A">
            <w:pPr>
              <w:keepLines/>
              <w:spacing w:before="60" w:after="60" w:line="80" w:lineRule="exact"/>
              <w:jc w:val="both"/>
              <w:rPr>
                <w:rFonts w:ascii="Arial" w:hAnsi="Arial"/>
                <w:sz w:val="14"/>
                <w:szCs w:val="20"/>
              </w:rPr>
            </w:pPr>
          </w:p>
        </w:tc>
      </w:tr>
    </w:tbl>
    <w:p w14:paraId="10E24018" w14:textId="2A3D82D4" w:rsidR="00662DAD" w:rsidRDefault="00E94382" w:rsidP="00FA49FF">
      <w:pPr>
        <w:pStyle w:val="Heading3"/>
      </w:pPr>
      <w:bookmarkStart w:id="41" w:name="_Toc62043669"/>
      <w:r>
        <w:t>6.2</w:t>
      </w:r>
      <w:r>
        <w:tab/>
      </w:r>
      <w:r w:rsidR="00100F20" w:rsidRPr="00FA49FF">
        <w:t>G</w:t>
      </w:r>
      <w:r w:rsidR="00662DAD" w:rsidRPr="00FA49FF">
        <w:t>overnance</w:t>
      </w:r>
      <w:r w:rsidR="00100F20">
        <w:t xml:space="preserve"> and</w:t>
      </w:r>
      <w:r w:rsidR="00E5240D">
        <w:t xml:space="preserve"> </w:t>
      </w:r>
      <w:r w:rsidR="00F25D95">
        <w:t>economic oversight</w:t>
      </w:r>
      <w:bookmarkEnd w:id="41"/>
    </w:p>
    <w:p w14:paraId="33E1993E" w14:textId="251DB806" w:rsidR="00AA5A3F" w:rsidRDefault="00176D97" w:rsidP="003966CA">
      <w:pPr>
        <w:pStyle w:val="BodyText"/>
      </w:pPr>
      <w:r>
        <w:t xml:space="preserve">The NWI should </w:t>
      </w:r>
      <w:r w:rsidR="00D370FD">
        <w:t>reinforce good</w:t>
      </w:r>
      <w:r>
        <w:t xml:space="preserve"> </w:t>
      </w:r>
      <w:r w:rsidRPr="002F2DF1">
        <w:t>governance</w:t>
      </w:r>
      <w:r>
        <w:t xml:space="preserve"> </w:t>
      </w:r>
      <w:r w:rsidR="00D370FD">
        <w:t xml:space="preserve">in the </w:t>
      </w:r>
      <w:r>
        <w:t xml:space="preserve">regional </w:t>
      </w:r>
      <w:r w:rsidR="00AA5A3F">
        <w:t xml:space="preserve">and remote </w:t>
      </w:r>
      <w:r w:rsidR="00F26F4C">
        <w:t xml:space="preserve">urban </w:t>
      </w:r>
      <w:r>
        <w:t xml:space="preserve">water </w:t>
      </w:r>
      <w:r w:rsidR="00D370FD">
        <w:t>sector</w:t>
      </w:r>
      <w:r w:rsidR="00F26F4C">
        <w:t xml:space="preserve"> as part of principles </w:t>
      </w:r>
      <w:r w:rsidR="00D370FD">
        <w:t xml:space="preserve">for </w:t>
      </w:r>
      <w:r w:rsidR="00F26F4C">
        <w:t xml:space="preserve">the </w:t>
      </w:r>
      <w:r w:rsidR="00CA6B2C">
        <w:t xml:space="preserve">urban water </w:t>
      </w:r>
      <w:r w:rsidR="00F26F4C">
        <w:t>sector more broadly</w:t>
      </w:r>
      <w:r w:rsidR="002F2DF1">
        <w:t xml:space="preserve">. </w:t>
      </w:r>
      <w:r w:rsidR="00AA5A3F">
        <w:t>T</w:t>
      </w:r>
      <w:r w:rsidR="002F2DF1">
        <w:t>he NWI should not</w:t>
      </w:r>
      <w:r w:rsidR="00F26F4C">
        <w:t xml:space="preserve"> </w:t>
      </w:r>
      <w:r w:rsidR="002F2DF1">
        <w:t xml:space="preserve">prescribe </w:t>
      </w:r>
      <w:proofErr w:type="gramStart"/>
      <w:r>
        <w:t>particular service</w:t>
      </w:r>
      <w:proofErr w:type="gramEnd"/>
      <w:r>
        <w:t xml:space="preserve"> delivery models</w:t>
      </w:r>
      <w:r w:rsidR="002F2DF1">
        <w:t xml:space="preserve">, </w:t>
      </w:r>
      <w:r w:rsidR="00AA5A3F">
        <w:t xml:space="preserve">but </w:t>
      </w:r>
      <w:r w:rsidR="00D370FD">
        <w:t xml:space="preserve">instead </w:t>
      </w:r>
      <w:r w:rsidR="00AA5A3F">
        <w:t xml:space="preserve">outline the principles that underpin </w:t>
      </w:r>
      <w:r w:rsidR="002F2DF1">
        <w:t>efficient service delivery</w:t>
      </w:r>
      <w:r w:rsidR="00E63D4F">
        <w:t xml:space="preserve">, including institutional separation </w:t>
      </w:r>
      <w:r w:rsidR="005B624F">
        <w:t xml:space="preserve">(including under local government ownership) </w:t>
      </w:r>
      <w:r w:rsidR="00E63D4F">
        <w:t xml:space="preserve">and </w:t>
      </w:r>
      <w:r w:rsidR="00504B0A">
        <w:t xml:space="preserve">transparent </w:t>
      </w:r>
      <w:r w:rsidR="00E63D4F">
        <w:t xml:space="preserve">funding </w:t>
      </w:r>
      <w:r w:rsidR="00717A98">
        <w:t>for un</w:t>
      </w:r>
      <w:r w:rsidR="00E63D4F">
        <w:t>commercial services.</w:t>
      </w:r>
    </w:p>
    <w:p w14:paraId="7AD4C362" w14:textId="6E13F484" w:rsidR="00725D5D" w:rsidRDefault="00CA6B2C" w:rsidP="003966CA">
      <w:pPr>
        <w:pStyle w:val="BodyText"/>
      </w:pPr>
      <w:r>
        <w:t>As under the current NWI, institutional separation is key to ensuring efficient</w:t>
      </w:r>
      <w:r w:rsidR="00E63D4F">
        <w:t xml:space="preserve"> water</w:t>
      </w:r>
      <w:r>
        <w:t xml:space="preserve"> service delivery. Service providers should </w:t>
      </w:r>
      <w:r w:rsidR="00504B0A">
        <w:t xml:space="preserve">continue to adopt a </w:t>
      </w:r>
      <w:r w:rsidR="00E63D4F">
        <w:t>commercial focus</w:t>
      </w:r>
      <w:r w:rsidR="00504B0A">
        <w:t xml:space="preserve"> to supplying services</w:t>
      </w:r>
      <w:r w:rsidR="00A4605C">
        <w:t xml:space="preserve"> in line with the needs of </w:t>
      </w:r>
      <w:r w:rsidR="00717A98">
        <w:t xml:space="preserve">their </w:t>
      </w:r>
      <w:r w:rsidR="00A4605C">
        <w:t>customers</w:t>
      </w:r>
      <w:r>
        <w:t xml:space="preserve">, </w:t>
      </w:r>
      <w:r w:rsidR="00A4605C">
        <w:t xml:space="preserve">while </w:t>
      </w:r>
      <w:r w:rsidR="00504B0A">
        <w:t xml:space="preserve">complying with </w:t>
      </w:r>
      <w:r>
        <w:t>the standards set by governments</w:t>
      </w:r>
      <w:r w:rsidRPr="002A12CB">
        <w:t>.</w:t>
      </w:r>
    </w:p>
    <w:p w14:paraId="3E7F6724" w14:textId="4D3BB5D6" w:rsidR="00DE5381" w:rsidRDefault="00504B0A" w:rsidP="003966CA">
      <w:pPr>
        <w:pStyle w:val="BodyText"/>
      </w:pPr>
      <w:r>
        <w:t>However, g</w:t>
      </w:r>
      <w:r w:rsidR="00CA6B2C">
        <w:t xml:space="preserve">overnance </w:t>
      </w:r>
      <w:r>
        <w:t xml:space="preserve">arrangements for </w:t>
      </w:r>
      <w:r w:rsidR="00CA6B2C">
        <w:t>local government</w:t>
      </w:r>
      <w:r w:rsidR="0074675D">
        <w:noBreakHyphen/>
      </w:r>
      <w:r w:rsidR="00CA6B2C">
        <w:t>own</w:t>
      </w:r>
      <w:r w:rsidR="0074675D">
        <w:t>ed</w:t>
      </w:r>
      <w:r w:rsidR="00CA6B2C">
        <w:t xml:space="preserve"> water services</w:t>
      </w:r>
      <w:r w:rsidR="00B7496D">
        <w:t xml:space="preserve"> </w:t>
      </w:r>
      <w:r>
        <w:t xml:space="preserve">are </w:t>
      </w:r>
      <w:r w:rsidR="00B7496D">
        <w:t>more complex</w:t>
      </w:r>
      <w:r>
        <w:t xml:space="preserve">; </w:t>
      </w:r>
      <w:r w:rsidR="0074675D">
        <w:t>clarity could be provided in the NWI</w:t>
      </w:r>
      <w:r w:rsidR="00CA6B2C">
        <w:t xml:space="preserve">. </w:t>
      </w:r>
      <w:r w:rsidR="000E01FC">
        <w:t xml:space="preserve">Financial </w:t>
      </w:r>
      <w:r w:rsidR="00853D06">
        <w:t xml:space="preserve">separation requires that utility finances </w:t>
      </w:r>
      <w:proofErr w:type="gramStart"/>
      <w:r w:rsidR="00853D06">
        <w:t>are</w:t>
      </w:r>
      <w:proofErr w:type="gramEnd"/>
      <w:r w:rsidR="00717A98">
        <w:t>, at a minimum,</w:t>
      </w:r>
      <w:r w:rsidR="00853D06">
        <w:t xml:space="preserve"> ring</w:t>
      </w:r>
      <w:r w:rsidR="00853D06">
        <w:noBreakHyphen/>
        <w:t>fenced from local government finances, and any cross</w:t>
      </w:r>
      <w:r w:rsidR="00853D06">
        <w:noBreakHyphen/>
        <w:t xml:space="preserve">subsidies are transparent. </w:t>
      </w:r>
      <w:r w:rsidR="00717A98">
        <w:t xml:space="preserve">Ideally, water providers should be fully distinct entities. </w:t>
      </w:r>
      <w:r>
        <w:t xml:space="preserve">The </w:t>
      </w:r>
      <w:r>
        <w:lastRenderedPageBreak/>
        <w:t xml:space="preserve">roles of </w:t>
      </w:r>
      <w:r w:rsidR="00853D06">
        <w:t xml:space="preserve">State and Territory </w:t>
      </w:r>
      <w:r w:rsidR="004C78AE">
        <w:t>G</w:t>
      </w:r>
      <w:r w:rsidR="0059578A">
        <w:t>overnment</w:t>
      </w:r>
      <w:r>
        <w:t>s</w:t>
      </w:r>
      <w:r w:rsidR="00B7496D">
        <w:t>,</w:t>
      </w:r>
      <w:r w:rsidR="0059578A">
        <w:t xml:space="preserve"> includ</w:t>
      </w:r>
      <w:r>
        <w:t>ing</w:t>
      </w:r>
      <w:r w:rsidR="0059578A">
        <w:t xml:space="preserve"> </w:t>
      </w:r>
      <w:r w:rsidR="00B7496D">
        <w:t xml:space="preserve">setting and enforcing </w:t>
      </w:r>
      <w:r w:rsidR="00717A98">
        <w:t xml:space="preserve">health, </w:t>
      </w:r>
      <w:proofErr w:type="gramStart"/>
      <w:r w:rsidR="00717A98">
        <w:t>safety</w:t>
      </w:r>
      <w:proofErr w:type="gramEnd"/>
      <w:r w:rsidR="00717A98">
        <w:t xml:space="preserve"> and environmental </w:t>
      </w:r>
      <w:r w:rsidR="0059578A">
        <w:t>standard</w:t>
      </w:r>
      <w:r w:rsidR="00B7496D">
        <w:t>s</w:t>
      </w:r>
      <w:r w:rsidR="0059578A">
        <w:t xml:space="preserve">, </w:t>
      </w:r>
      <w:r w:rsidR="00B7496D">
        <w:t xml:space="preserve">building capacity and </w:t>
      </w:r>
      <w:r w:rsidR="00717A98">
        <w:t xml:space="preserve">(in limited cases) </w:t>
      </w:r>
      <w:r w:rsidR="00B7496D">
        <w:t>operating as</w:t>
      </w:r>
      <w:r w:rsidR="0059578A">
        <w:t xml:space="preserve"> a provider of last resort</w:t>
      </w:r>
      <w:r w:rsidR="00717A98">
        <w:t xml:space="preserve"> to ensure a basic level of service</w:t>
      </w:r>
      <w:r w:rsidR="00B7496D">
        <w:t>, should also be clarified</w:t>
      </w:r>
      <w:r w:rsidR="00717A98">
        <w:t>.</w:t>
      </w:r>
    </w:p>
    <w:p w14:paraId="7971FFE3" w14:textId="47580D10" w:rsidR="00CA6B2C" w:rsidRDefault="00DE5381" w:rsidP="00CA6B2C">
      <w:pPr>
        <w:pStyle w:val="BodyText"/>
      </w:pPr>
      <w:r>
        <w:t xml:space="preserve">Further, governance of water service provision in remote Aboriginal and Torres Strait Islander communities can be fragmented and opaque, particularly where the roles of different service providers are not clear. Clarifying these arrangements would contribute to improved </w:t>
      </w:r>
      <w:r w:rsidR="005D0D2B">
        <w:t xml:space="preserve">service </w:t>
      </w:r>
      <w:r>
        <w:t>outcomes</w:t>
      </w:r>
      <w:r w:rsidR="005D0D2B">
        <w:t xml:space="preserve"> in those communities</w:t>
      </w:r>
      <w:r>
        <w:t>.</w:t>
      </w:r>
    </w:p>
    <w:p w14:paraId="5EFD6E47" w14:textId="28B01CD5" w:rsidR="00725D5D" w:rsidRDefault="0074675D" w:rsidP="00853D06">
      <w:pPr>
        <w:pStyle w:val="BodyText"/>
      </w:pPr>
      <w:r>
        <w:t xml:space="preserve">As envisioned in the current NWI, </w:t>
      </w:r>
      <w:r w:rsidR="00717A98">
        <w:t xml:space="preserve">independent </w:t>
      </w:r>
      <w:r>
        <w:t xml:space="preserve">economic oversight is key to </w:t>
      </w:r>
      <w:r w:rsidR="00717A98">
        <w:t xml:space="preserve">providing assurance that </w:t>
      </w:r>
      <w:r>
        <w:t xml:space="preserve">utilities </w:t>
      </w:r>
      <w:r w:rsidR="00717A98">
        <w:t xml:space="preserve">are delivering services </w:t>
      </w:r>
      <w:r>
        <w:t>efficiently</w:t>
      </w:r>
      <w:r w:rsidR="00A32E89">
        <w:t xml:space="preserve">. </w:t>
      </w:r>
      <w:r w:rsidR="00717A98">
        <w:t xml:space="preserve">Independent oversight </w:t>
      </w:r>
      <w:r w:rsidR="00B7496D">
        <w:t xml:space="preserve">could be better utilised to increase the transparency of regional </w:t>
      </w:r>
      <w:r w:rsidR="00717A98">
        <w:t xml:space="preserve">and remote </w:t>
      </w:r>
      <w:r w:rsidR="00B7496D">
        <w:t xml:space="preserve">service delivery and </w:t>
      </w:r>
      <w:r w:rsidR="00717A98">
        <w:t xml:space="preserve">provide incentives for </w:t>
      </w:r>
      <w:r w:rsidR="00B7496D">
        <w:t>improve</w:t>
      </w:r>
      <w:r w:rsidR="00717A98">
        <w:t>d operational</w:t>
      </w:r>
      <w:r w:rsidR="00B7496D">
        <w:t xml:space="preserve"> performance.</w:t>
      </w:r>
    </w:p>
    <w:p w14:paraId="07C78CA9" w14:textId="350B8009" w:rsidR="00504B0A" w:rsidRPr="00774BD5" w:rsidRDefault="00A32E89" w:rsidP="00517CA1">
      <w:pPr>
        <w:pStyle w:val="BodyText"/>
        <w:rPr>
          <w:spacing w:val="-2"/>
        </w:rPr>
      </w:pPr>
      <w:r w:rsidRPr="00774BD5">
        <w:rPr>
          <w:spacing w:val="-2"/>
        </w:rPr>
        <w:t xml:space="preserve">The </w:t>
      </w:r>
      <w:r w:rsidR="00B7496D" w:rsidRPr="00774BD5">
        <w:rPr>
          <w:spacing w:val="-2"/>
        </w:rPr>
        <w:t>best model of</w:t>
      </w:r>
      <w:r w:rsidRPr="00774BD5">
        <w:rPr>
          <w:spacing w:val="-2"/>
        </w:rPr>
        <w:t xml:space="preserve"> </w:t>
      </w:r>
      <w:r w:rsidR="00B7496D" w:rsidRPr="00774BD5">
        <w:rPr>
          <w:spacing w:val="-2"/>
        </w:rPr>
        <w:t xml:space="preserve">economic </w:t>
      </w:r>
      <w:r w:rsidRPr="00774BD5">
        <w:rPr>
          <w:spacing w:val="-2"/>
        </w:rPr>
        <w:t xml:space="preserve">oversight depends on the benefits and costs of </w:t>
      </w:r>
      <w:proofErr w:type="gramStart"/>
      <w:r w:rsidR="00B7496D" w:rsidRPr="00774BD5">
        <w:rPr>
          <w:spacing w:val="-2"/>
        </w:rPr>
        <w:t xml:space="preserve">particular </w:t>
      </w:r>
      <w:r w:rsidR="00504B0A" w:rsidRPr="00774BD5">
        <w:rPr>
          <w:spacing w:val="-2"/>
        </w:rPr>
        <w:t>options</w:t>
      </w:r>
      <w:proofErr w:type="gramEnd"/>
      <w:r w:rsidR="00504B0A" w:rsidRPr="00774BD5">
        <w:rPr>
          <w:spacing w:val="-2"/>
        </w:rPr>
        <w:t xml:space="preserve"> in particular </w:t>
      </w:r>
      <w:r w:rsidR="00B7496D" w:rsidRPr="00774BD5">
        <w:rPr>
          <w:spacing w:val="-2"/>
        </w:rPr>
        <w:t>contexts</w:t>
      </w:r>
      <w:r w:rsidR="00E431D1" w:rsidRPr="00774BD5">
        <w:rPr>
          <w:spacing w:val="-2"/>
        </w:rPr>
        <w:t>.</w:t>
      </w:r>
      <w:r w:rsidR="005B624F" w:rsidRPr="00774BD5">
        <w:rPr>
          <w:spacing w:val="-2"/>
        </w:rPr>
        <w:t xml:space="preserve"> C</w:t>
      </w:r>
      <w:r w:rsidR="00B7496D" w:rsidRPr="00774BD5">
        <w:rPr>
          <w:spacing w:val="-2"/>
        </w:rPr>
        <w:t xml:space="preserve">omprehensive </w:t>
      </w:r>
      <w:r w:rsidR="00693F8F" w:rsidRPr="00774BD5">
        <w:rPr>
          <w:spacing w:val="-2"/>
        </w:rPr>
        <w:t xml:space="preserve">(and costly) </w:t>
      </w:r>
      <w:r w:rsidR="00B7496D" w:rsidRPr="00774BD5">
        <w:rPr>
          <w:spacing w:val="-2"/>
        </w:rPr>
        <w:t>price</w:t>
      </w:r>
      <w:r w:rsidR="00B7496D" w:rsidRPr="00774BD5">
        <w:rPr>
          <w:spacing w:val="-2"/>
        </w:rPr>
        <w:noBreakHyphen/>
        <w:t>setting processes</w:t>
      </w:r>
      <w:r w:rsidR="005B624F" w:rsidRPr="00774BD5">
        <w:rPr>
          <w:spacing w:val="-2"/>
        </w:rPr>
        <w:t xml:space="preserve"> are generally warranted for major utilities, but this does not necessarily </w:t>
      </w:r>
      <w:r w:rsidR="00693F8F" w:rsidRPr="00774BD5">
        <w:rPr>
          <w:spacing w:val="-2"/>
        </w:rPr>
        <w:t>apply</w:t>
      </w:r>
      <w:r w:rsidR="005B624F" w:rsidRPr="00774BD5">
        <w:rPr>
          <w:spacing w:val="-2"/>
        </w:rPr>
        <w:t xml:space="preserve"> to smaller providers — </w:t>
      </w:r>
      <w:r w:rsidR="00504B0A" w:rsidRPr="00774BD5">
        <w:rPr>
          <w:spacing w:val="-2"/>
        </w:rPr>
        <w:t>particularly</w:t>
      </w:r>
      <w:r w:rsidR="00B7496D" w:rsidRPr="00774BD5">
        <w:rPr>
          <w:spacing w:val="-2"/>
        </w:rPr>
        <w:t xml:space="preserve"> </w:t>
      </w:r>
      <w:r w:rsidR="0074675D" w:rsidRPr="00774BD5">
        <w:rPr>
          <w:spacing w:val="-2"/>
        </w:rPr>
        <w:t xml:space="preserve">where the </w:t>
      </w:r>
      <w:r w:rsidR="00B7496D" w:rsidRPr="00774BD5">
        <w:rPr>
          <w:spacing w:val="-2"/>
        </w:rPr>
        <w:t>risk</w:t>
      </w:r>
      <w:r w:rsidR="00504B0A" w:rsidRPr="00774BD5">
        <w:rPr>
          <w:spacing w:val="-2"/>
        </w:rPr>
        <w:t>s from</w:t>
      </w:r>
      <w:r w:rsidR="00717A98" w:rsidRPr="00774BD5">
        <w:rPr>
          <w:spacing w:val="-2"/>
        </w:rPr>
        <w:t xml:space="preserve"> </w:t>
      </w:r>
      <w:r w:rsidR="005B624F" w:rsidRPr="00774BD5">
        <w:rPr>
          <w:spacing w:val="-2"/>
        </w:rPr>
        <w:t>(and consequences of)</w:t>
      </w:r>
      <w:r w:rsidRPr="00774BD5">
        <w:rPr>
          <w:spacing w:val="-2"/>
        </w:rPr>
        <w:t xml:space="preserve"> monopoly pricing </w:t>
      </w:r>
      <w:r w:rsidR="00504B0A" w:rsidRPr="00774BD5">
        <w:rPr>
          <w:spacing w:val="-2"/>
        </w:rPr>
        <w:t>are</w:t>
      </w:r>
      <w:r w:rsidR="00717A98" w:rsidRPr="00774BD5">
        <w:rPr>
          <w:spacing w:val="-2"/>
        </w:rPr>
        <w:t xml:space="preserve"> relatively</w:t>
      </w:r>
      <w:r w:rsidR="00504B0A" w:rsidRPr="00774BD5">
        <w:rPr>
          <w:spacing w:val="-2"/>
        </w:rPr>
        <w:t xml:space="preserve"> minor</w:t>
      </w:r>
      <w:r w:rsidR="003966CA" w:rsidRPr="00774BD5">
        <w:rPr>
          <w:spacing w:val="-2"/>
        </w:rPr>
        <w:t>.</w:t>
      </w:r>
    </w:p>
    <w:p w14:paraId="16426F25" w14:textId="175D7C01" w:rsidR="0074675D" w:rsidRPr="002F5149" w:rsidRDefault="0074675D" w:rsidP="00381332">
      <w:pPr>
        <w:pStyle w:val="BodyText"/>
      </w:pPr>
      <w:r>
        <w:t xml:space="preserve">A renewed NWI should </w:t>
      </w:r>
      <w:r w:rsidR="0059578A">
        <w:t xml:space="preserve">include a commitment to </w:t>
      </w:r>
      <w:r>
        <w:t xml:space="preserve">independent economic oversight </w:t>
      </w:r>
      <w:r w:rsidR="0059578A">
        <w:t xml:space="preserve">of </w:t>
      </w:r>
      <w:r>
        <w:t>small providers</w:t>
      </w:r>
      <w:r w:rsidR="0059578A">
        <w:t xml:space="preserve">, based on a </w:t>
      </w:r>
      <w:r w:rsidR="00FE7B1B">
        <w:t xml:space="preserve">transparent </w:t>
      </w:r>
      <w:r w:rsidR="0059578A">
        <w:t xml:space="preserve">assessment of the benefits and costs of different models. </w:t>
      </w:r>
      <w:r w:rsidR="00FE7B1B">
        <w:t>L</w:t>
      </w:r>
      <w:r w:rsidR="00693F8F">
        <w:t>ight</w:t>
      </w:r>
      <w:r w:rsidR="00693F8F">
        <w:noBreakHyphen/>
        <w:t xml:space="preserve">touch </w:t>
      </w:r>
      <w:r w:rsidR="00B7496D">
        <w:t>models</w:t>
      </w:r>
      <w:r w:rsidR="00FE7B1B">
        <w:t xml:space="preserve"> for small providers could</w:t>
      </w:r>
      <w:r>
        <w:t xml:space="preserve"> include</w:t>
      </w:r>
      <w:r w:rsidR="005D0D2B">
        <w:t xml:space="preserve"> </w:t>
      </w:r>
      <w:r w:rsidRPr="002F5149">
        <w:t xml:space="preserve">licencing </w:t>
      </w:r>
      <w:r w:rsidR="00693F8F" w:rsidRPr="002F5149">
        <w:t>by independent economic regulators</w:t>
      </w:r>
      <w:r w:rsidR="00B7496D" w:rsidRPr="002F5149">
        <w:t xml:space="preserve"> </w:t>
      </w:r>
      <w:proofErr w:type="gramStart"/>
      <w:r w:rsidR="00B7496D" w:rsidRPr="002F5149">
        <w:t>in order to</w:t>
      </w:r>
      <w:proofErr w:type="gramEnd"/>
      <w:r w:rsidRPr="002F5149">
        <w:t xml:space="preserve"> provide assurance of utility capability</w:t>
      </w:r>
      <w:r w:rsidR="005D0D2B" w:rsidRPr="002F5149">
        <w:t>.</w:t>
      </w:r>
    </w:p>
    <w:p w14:paraId="61D94F86" w14:textId="113E0F67" w:rsidR="00E5240D" w:rsidRPr="00F94210" w:rsidRDefault="00E5240D" w:rsidP="002759B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5240D" w:rsidRPr="00F94210" w14:paraId="4AB553EA" w14:textId="77777777" w:rsidTr="00453A0A">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68CCAD6E" w14:textId="542EC669" w:rsidR="00E5240D" w:rsidRPr="00EB3700" w:rsidRDefault="00F35DFF" w:rsidP="00EB3700">
            <w:pPr>
              <w:pStyle w:val="FindingTitle"/>
            </w:pPr>
            <w:r w:rsidRPr="00EB3700">
              <w:t xml:space="preserve">Draft </w:t>
            </w:r>
            <w:r w:rsidR="00606493" w:rsidRPr="00EB3700">
              <w:t>NWI Renewal</w:t>
            </w:r>
            <w:r w:rsidR="00E5240D" w:rsidRPr="00EB3700">
              <w:t xml:space="preserve"> </w:t>
            </w:r>
            <w:r w:rsidR="00947CD6" w:rsidRPr="00EB3700">
              <w:t>advice</w:t>
            </w:r>
            <w:r w:rsidR="00B45FA1" w:rsidRPr="00EB3700">
              <w:t> </w:t>
            </w:r>
            <w:r w:rsidR="001200EC" w:rsidRPr="00EB3700">
              <w:t>11.7</w:t>
            </w:r>
            <w:r w:rsidR="00DE7F51" w:rsidRPr="00EB3700">
              <w:t>:</w:t>
            </w:r>
            <w:r w:rsidR="00E5240D" w:rsidRPr="00EB3700">
              <w:t xml:space="preserve"> Governance</w:t>
            </w:r>
            <w:r w:rsidR="007D39F2" w:rsidRPr="00EB3700">
              <w:t xml:space="preserve"> </w:t>
            </w:r>
            <w:r w:rsidR="00B723B1" w:rsidRPr="00EB3700">
              <w:t>of</w:t>
            </w:r>
            <w:r w:rsidR="007D39F2" w:rsidRPr="00EB3700">
              <w:t xml:space="preserve"> regional and remote services</w:t>
            </w:r>
          </w:p>
          <w:p w14:paraId="0CEB7E00" w14:textId="4DA92623" w:rsidR="00F25D95" w:rsidRDefault="001200EC" w:rsidP="00D370FD">
            <w:pPr>
              <w:pStyle w:val="Finding"/>
            </w:pPr>
            <w:r w:rsidRPr="006F0B7F">
              <w:t xml:space="preserve">A renewed </w:t>
            </w:r>
            <w:r w:rsidR="006D4A43">
              <w:t xml:space="preserve">National Water Initiative </w:t>
            </w:r>
            <w:r w:rsidRPr="006F0B7F">
              <w:t xml:space="preserve">should contain agreed principles for governance of regional and remote water services where local governments retain ownership of utilities. </w:t>
            </w:r>
            <w:r>
              <w:t>Financial</w:t>
            </w:r>
            <w:r w:rsidRPr="006F0B7F">
              <w:t xml:space="preserve"> separation should be maintained, with utility finances ring</w:t>
            </w:r>
            <w:r w:rsidRPr="006F0B7F">
              <w:noBreakHyphen/>
              <w:t xml:space="preserve">fenced from local government finances. Clear roles for State and </w:t>
            </w:r>
            <w:r w:rsidR="006D4A43">
              <w:t>L</w:t>
            </w:r>
            <w:r w:rsidRPr="006F0B7F">
              <w:t xml:space="preserve">ocal </w:t>
            </w:r>
            <w:r w:rsidR="006D4A43">
              <w:t>G</w:t>
            </w:r>
            <w:r w:rsidRPr="006F0B7F">
              <w:t>overnments during e</w:t>
            </w:r>
            <w:r>
              <w:t>xtreme events should be defined</w:t>
            </w:r>
            <w:r w:rsidR="00FE7B1B">
              <w:t>.</w:t>
            </w:r>
          </w:p>
          <w:p w14:paraId="0F26486E" w14:textId="13BA26B3" w:rsidR="00A32E89" w:rsidRPr="00F94210" w:rsidRDefault="0059578A" w:rsidP="00DE5381">
            <w:pPr>
              <w:pStyle w:val="Finding"/>
            </w:pPr>
            <w:r>
              <w:t>Jurisdictions should commit to</w:t>
            </w:r>
            <w:r w:rsidR="005B624F">
              <w:t xml:space="preserve"> light</w:t>
            </w:r>
            <w:r w:rsidR="00727047">
              <w:t xml:space="preserve"> </w:t>
            </w:r>
            <w:r w:rsidR="005B624F">
              <w:t>touch</w:t>
            </w:r>
            <w:r>
              <w:t xml:space="preserve"> </w:t>
            </w:r>
            <w:r w:rsidR="00853D06">
              <w:t xml:space="preserve">independent economic oversight </w:t>
            </w:r>
            <w:r>
              <w:t xml:space="preserve">for </w:t>
            </w:r>
            <w:r w:rsidR="00853D06">
              <w:t xml:space="preserve">all </w:t>
            </w:r>
            <w:r w:rsidR="003F768B">
              <w:t xml:space="preserve">regional and remote </w:t>
            </w:r>
            <w:r w:rsidR="00DF56AE">
              <w:t xml:space="preserve">water </w:t>
            </w:r>
            <w:r w:rsidR="00853D06">
              <w:t>service</w:t>
            </w:r>
            <w:r w:rsidR="006B07A2">
              <w:t xml:space="preserve"> providers</w:t>
            </w:r>
            <w:r w:rsidR="00FE7B1B">
              <w:t>.</w:t>
            </w:r>
          </w:p>
        </w:tc>
      </w:tr>
      <w:tr w:rsidR="00E5240D" w:rsidRPr="00F94210" w14:paraId="0D6672F4" w14:textId="77777777" w:rsidTr="00453A0A">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29611B70" w14:textId="77777777" w:rsidR="00E5240D" w:rsidRPr="00F94210" w:rsidRDefault="00E5240D" w:rsidP="00453A0A">
            <w:pPr>
              <w:keepNext/>
              <w:keepLines/>
              <w:spacing w:line="120" w:lineRule="exact"/>
              <w:jc w:val="both"/>
              <w:rPr>
                <w:rFonts w:ascii="Arial" w:hAnsi="Arial"/>
                <w:sz w:val="20"/>
                <w:szCs w:val="20"/>
              </w:rPr>
            </w:pPr>
          </w:p>
        </w:tc>
      </w:tr>
      <w:tr w:rsidR="00E5240D" w:rsidRPr="00F94210" w14:paraId="030736CC" w14:textId="77777777" w:rsidTr="00453A0A">
        <w:tc>
          <w:tcPr>
            <w:tcW w:w="5000" w:type="pct"/>
            <w:tcBorders>
              <w:top w:val="single" w:sz="6" w:space="0" w:color="0070C0"/>
              <w:left w:val="nil"/>
              <w:bottom w:val="nil"/>
              <w:right w:val="nil"/>
            </w:tcBorders>
            <w:tcMar>
              <w:left w:w="170" w:type="dxa"/>
              <w:right w:w="170" w:type="dxa"/>
            </w:tcMar>
          </w:tcPr>
          <w:p w14:paraId="2E54B742" w14:textId="77777777" w:rsidR="00E5240D" w:rsidRPr="00F94210" w:rsidRDefault="00E5240D" w:rsidP="00453A0A">
            <w:pPr>
              <w:keepLines/>
              <w:spacing w:before="60" w:after="60" w:line="80" w:lineRule="exact"/>
              <w:jc w:val="both"/>
              <w:rPr>
                <w:rFonts w:ascii="Arial" w:hAnsi="Arial"/>
                <w:sz w:val="14"/>
                <w:szCs w:val="20"/>
              </w:rPr>
            </w:pPr>
          </w:p>
        </w:tc>
      </w:tr>
    </w:tbl>
    <w:p w14:paraId="123E28CF" w14:textId="2F070548" w:rsidR="00100F20" w:rsidRPr="005436E8" w:rsidRDefault="00E94382" w:rsidP="00FA49FF">
      <w:pPr>
        <w:pStyle w:val="Heading3"/>
      </w:pPr>
      <w:bookmarkStart w:id="42" w:name="_Toc62043670"/>
      <w:r>
        <w:t>6.3</w:t>
      </w:r>
      <w:r>
        <w:tab/>
      </w:r>
      <w:r w:rsidR="00100F20" w:rsidRPr="005436E8">
        <w:t>Monitoring</w:t>
      </w:r>
      <w:r w:rsidR="00FE7B1B">
        <w:t>,</w:t>
      </w:r>
      <w:r w:rsidR="00100F20" w:rsidRPr="005436E8">
        <w:t xml:space="preserve"> reporting </w:t>
      </w:r>
      <w:r w:rsidR="00FE7B1B">
        <w:t xml:space="preserve">and </w:t>
      </w:r>
      <w:proofErr w:type="gramStart"/>
      <w:r w:rsidR="00FE7B1B">
        <w:t>benchmarking</w:t>
      </w:r>
      <w:bookmarkEnd w:id="42"/>
      <w:proofErr w:type="gramEnd"/>
    </w:p>
    <w:p w14:paraId="06A53367" w14:textId="6A5CB057" w:rsidR="00100F20" w:rsidRDefault="00100F20" w:rsidP="003966CA">
      <w:pPr>
        <w:pStyle w:val="BodyText"/>
      </w:pPr>
      <w:r>
        <w:t xml:space="preserve">Monitoring, </w:t>
      </w:r>
      <w:proofErr w:type="gramStart"/>
      <w:r>
        <w:t>reporting</w:t>
      </w:r>
      <w:proofErr w:type="gramEnd"/>
      <w:r>
        <w:t xml:space="preserve"> and </w:t>
      </w:r>
      <w:r w:rsidRPr="001308BF">
        <w:t xml:space="preserve">benchmarking </w:t>
      </w:r>
      <w:r>
        <w:t>of service outcomes s</w:t>
      </w:r>
      <w:r w:rsidRPr="001308BF">
        <w:t xml:space="preserve">hould </w:t>
      </w:r>
      <w:r>
        <w:t>be maintained</w:t>
      </w:r>
      <w:r w:rsidR="00AB31A8">
        <w:t>, with</w:t>
      </w:r>
      <w:r>
        <w:t xml:space="preserve"> </w:t>
      </w:r>
      <w:r w:rsidR="00AB31A8">
        <w:t>k</w:t>
      </w:r>
      <w:r>
        <w:t>ey performance indicators</w:t>
      </w:r>
      <w:r w:rsidR="00FE7B1B">
        <w:t xml:space="preserve"> publicly</w:t>
      </w:r>
      <w:r>
        <w:t xml:space="preserve"> reported for providers of all sizes</w:t>
      </w:r>
      <w:r w:rsidR="00A4627B">
        <w:t xml:space="preserve"> (including those with fewer than 10 000 connections)</w:t>
      </w:r>
      <w:r>
        <w:t>, with a</w:t>
      </w:r>
      <w:r w:rsidR="00FE7B1B">
        <w:t>n increased</w:t>
      </w:r>
      <w:r>
        <w:t xml:space="preserve"> focus on </w:t>
      </w:r>
      <w:r w:rsidR="00AB31A8">
        <w:t>water quality</w:t>
      </w:r>
      <w:r w:rsidR="00693F8F">
        <w:t xml:space="preserve"> against the existing ADWG</w:t>
      </w:r>
      <w:r w:rsidR="00AB31A8">
        <w:t>. O</w:t>
      </w:r>
      <w:r>
        <w:t xml:space="preserve">perational and financial indicators </w:t>
      </w:r>
      <w:r w:rsidR="00AB31A8">
        <w:t xml:space="preserve">should also be reported to </w:t>
      </w:r>
      <w:r>
        <w:t>contribute to economic oversight and policy making.</w:t>
      </w:r>
      <w:r w:rsidRPr="00DA342F">
        <w:t xml:space="preserve"> </w:t>
      </w:r>
      <w:r w:rsidRPr="002F2DF1">
        <w:t>This in</w:t>
      </w:r>
      <w:r>
        <w:t>formation should be fit</w:t>
      </w:r>
      <w:r w:rsidR="004C78AE">
        <w:t xml:space="preserve"> </w:t>
      </w:r>
      <w:r>
        <w:t>for</w:t>
      </w:r>
      <w:r w:rsidR="004C78AE">
        <w:t xml:space="preserve"> </w:t>
      </w:r>
      <w:r>
        <w:t xml:space="preserve">purpose to </w:t>
      </w:r>
      <w:r w:rsidR="006B07A2">
        <w:t>allow for i</w:t>
      </w:r>
      <w:r>
        <w:t>ndependent oversight of utility performance</w:t>
      </w:r>
      <w:r w:rsidR="006B07A2">
        <w:t xml:space="preserve">, calculation of CSO funding (where relevant) and </w:t>
      </w:r>
      <w:r w:rsidR="00E431D1">
        <w:t xml:space="preserve">to </w:t>
      </w:r>
      <w:r w:rsidR="006B07A2">
        <w:t>enable regular assessments of progress against the NWI</w:t>
      </w:r>
      <w:r>
        <w:t>.</w:t>
      </w:r>
    </w:p>
    <w:p w14:paraId="0AB1A04E" w14:textId="50677073" w:rsidR="00100F20" w:rsidRPr="00774BD5" w:rsidRDefault="00FE7B1B" w:rsidP="003966CA">
      <w:pPr>
        <w:pStyle w:val="BodyText"/>
        <w:rPr>
          <w:spacing w:val="-4"/>
        </w:rPr>
      </w:pPr>
      <w:r w:rsidRPr="00774BD5">
        <w:rPr>
          <w:spacing w:val="-4"/>
        </w:rPr>
        <w:lastRenderedPageBreak/>
        <w:t>P</w:t>
      </w:r>
      <w:r w:rsidR="00100F20" w:rsidRPr="00774BD5">
        <w:rPr>
          <w:spacing w:val="-4"/>
        </w:rPr>
        <w:t xml:space="preserve">erformance data should also be </w:t>
      </w:r>
      <w:r w:rsidRPr="00774BD5">
        <w:rPr>
          <w:spacing w:val="-4"/>
        </w:rPr>
        <w:t xml:space="preserve">collected </w:t>
      </w:r>
      <w:r w:rsidR="00100F20" w:rsidRPr="00774BD5">
        <w:rPr>
          <w:spacing w:val="-4"/>
        </w:rPr>
        <w:t>or overseen by a</w:t>
      </w:r>
      <w:r w:rsidRPr="00774BD5">
        <w:rPr>
          <w:spacing w:val="-4"/>
        </w:rPr>
        <w:t>n</w:t>
      </w:r>
      <w:r w:rsidR="00100F20" w:rsidRPr="00774BD5">
        <w:rPr>
          <w:spacing w:val="-4"/>
        </w:rPr>
        <w:t xml:space="preserve"> </w:t>
      </w:r>
      <w:r w:rsidRPr="00774BD5">
        <w:rPr>
          <w:spacing w:val="-4"/>
        </w:rPr>
        <w:t xml:space="preserve">independent </w:t>
      </w:r>
      <w:r w:rsidR="00100F20" w:rsidRPr="00774BD5">
        <w:rPr>
          <w:spacing w:val="-4"/>
        </w:rPr>
        <w:t>body, particularly where that information is used to calculate or determine eligibility for CSO payments.</w:t>
      </w:r>
      <w:r w:rsidRPr="00774BD5">
        <w:rPr>
          <w:spacing w:val="-4"/>
        </w:rPr>
        <w:t xml:space="preserve"> That body should also scrutinise outcomes and highlight were performance improvements are required.</w:t>
      </w:r>
    </w:p>
    <w:p w14:paraId="5B5F986A" w14:textId="4B2C0FEF" w:rsidR="00100F20" w:rsidRDefault="00100F20" w:rsidP="003966CA">
      <w:pPr>
        <w:pStyle w:val="BodyText"/>
      </w:pPr>
      <w:r>
        <w:t xml:space="preserve">There should also be a stronger focus on monitoring and reporting on </w:t>
      </w:r>
      <w:r w:rsidR="006B07A2">
        <w:t xml:space="preserve">water quality and </w:t>
      </w:r>
      <w:r>
        <w:t>service outcomes in remote</w:t>
      </w:r>
      <w:r w:rsidR="002919B5">
        <w:t xml:space="preserve"> Aboriginal and Torres Strait Islander</w:t>
      </w:r>
      <w:r>
        <w:t xml:space="preserve"> communities, with explicit reference to priorities under </w:t>
      </w:r>
      <w:r w:rsidR="00E976BA">
        <w:t xml:space="preserve">the National Agreement on </w:t>
      </w:r>
      <w:r>
        <w:t>Closing the Gap.</w:t>
      </w:r>
    </w:p>
    <w:p w14:paraId="7D6710AB" w14:textId="77777777" w:rsidR="00100F20" w:rsidRPr="00F94210" w:rsidRDefault="00100F20" w:rsidP="00100F20">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100F20" w:rsidRPr="00F94210" w14:paraId="46D27BB5" w14:textId="77777777" w:rsidTr="00217B8A">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75F75B1E" w14:textId="13CA0224" w:rsidR="00100F20" w:rsidRPr="00F94210" w:rsidRDefault="00F35DFF" w:rsidP="00EB3700">
            <w:pPr>
              <w:pStyle w:val="FindingTitle"/>
              <w:rPr>
                <w:noProof/>
              </w:rPr>
            </w:pPr>
            <w:r>
              <w:t xml:space="preserve">Draft </w:t>
            </w:r>
            <w:r w:rsidR="00100F20">
              <w:t>NWI Renewal advice</w:t>
            </w:r>
            <w:r w:rsidR="00B45FA1">
              <w:t> </w:t>
            </w:r>
            <w:r w:rsidR="001200EC">
              <w:t>11.8</w:t>
            </w:r>
            <w:r w:rsidR="00DE7F51">
              <w:t>:</w:t>
            </w:r>
            <w:r w:rsidR="00100F20">
              <w:t xml:space="preserve"> Monitoring and reporting on regional and remote service quality</w:t>
            </w:r>
          </w:p>
          <w:p w14:paraId="5346989B" w14:textId="684AC976" w:rsidR="00A4627B" w:rsidRDefault="00EA02F9" w:rsidP="00217B8A">
            <w:pPr>
              <w:pStyle w:val="Finding"/>
            </w:pPr>
            <w:r w:rsidDel="00A4627B">
              <w:t xml:space="preserve">All </w:t>
            </w:r>
            <w:r w:rsidR="00A4627B">
              <w:t xml:space="preserve">urban water service </w:t>
            </w:r>
            <w:r w:rsidR="00A4627B" w:rsidRPr="006F0B7F">
              <w:t xml:space="preserve">providers, </w:t>
            </w:r>
            <w:r w:rsidR="00A4627B">
              <w:t xml:space="preserve">including those with fewer </w:t>
            </w:r>
            <w:r w:rsidR="00A4627B" w:rsidRPr="005C58A8">
              <w:t>than 10</w:t>
            </w:r>
            <w:r w:rsidR="00A4627B">
              <w:t> </w:t>
            </w:r>
            <w:r w:rsidR="00A4627B" w:rsidRPr="005C58A8">
              <w:t>000</w:t>
            </w:r>
            <w:r w:rsidR="00A4627B">
              <w:t> </w:t>
            </w:r>
            <w:r w:rsidR="00A4627B" w:rsidRPr="005C58A8">
              <w:t>connections</w:t>
            </w:r>
            <w:r w:rsidR="00A4627B" w:rsidRPr="006F0B7F">
              <w:t>, should be subj</w:t>
            </w:r>
            <w:r w:rsidR="00A4627B">
              <w:t xml:space="preserve">ect to </w:t>
            </w:r>
            <w:r w:rsidR="009659CC">
              <w:t xml:space="preserve">jurisdictional </w:t>
            </w:r>
            <w:r w:rsidR="00A4627B">
              <w:t>monitoring and public reporting.</w:t>
            </w:r>
          </w:p>
          <w:p w14:paraId="281EF610" w14:textId="56595583" w:rsidR="00100F20" w:rsidRPr="00F94210" w:rsidRDefault="001200EC" w:rsidP="00217B8A">
            <w:pPr>
              <w:pStyle w:val="Finding"/>
            </w:pPr>
            <w:r w:rsidRPr="006F0B7F">
              <w:t>Monitoring and reporting of water quality and service outcomes in remote Aboriginal and Torres Strait Islander communities should be coordinated with the development of data collection required to measure progress against the community infrastructure target</w:t>
            </w:r>
            <w:r>
              <w:t xml:space="preserve"> under the National Agreement on Closing the Gap</w:t>
            </w:r>
            <w:r w:rsidRPr="006F0B7F">
              <w:t>.</w:t>
            </w:r>
          </w:p>
        </w:tc>
      </w:tr>
      <w:tr w:rsidR="00100F20" w:rsidRPr="00F94210" w14:paraId="2F963F87" w14:textId="77777777" w:rsidTr="00217B8A">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13E0BBED" w14:textId="77777777" w:rsidR="00100F20" w:rsidRPr="00F94210" w:rsidRDefault="00100F20" w:rsidP="00217B8A">
            <w:pPr>
              <w:keepNext/>
              <w:keepLines/>
              <w:spacing w:line="120" w:lineRule="exact"/>
              <w:jc w:val="both"/>
              <w:rPr>
                <w:rFonts w:ascii="Arial" w:hAnsi="Arial"/>
                <w:sz w:val="20"/>
                <w:szCs w:val="20"/>
              </w:rPr>
            </w:pPr>
          </w:p>
        </w:tc>
      </w:tr>
      <w:tr w:rsidR="00100F20" w:rsidRPr="00F94210" w14:paraId="25781AE2" w14:textId="77777777" w:rsidTr="00217B8A">
        <w:tc>
          <w:tcPr>
            <w:tcW w:w="5000" w:type="pct"/>
            <w:tcBorders>
              <w:top w:val="single" w:sz="6" w:space="0" w:color="0070C0"/>
              <w:left w:val="nil"/>
              <w:bottom w:val="nil"/>
              <w:right w:val="nil"/>
            </w:tcBorders>
            <w:tcMar>
              <w:left w:w="170" w:type="dxa"/>
              <w:right w:w="170" w:type="dxa"/>
            </w:tcMar>
          </w:tcPr>
          <w:p w14:paraId="320FDC03" w14:textId="77777777" w:rsidR="00100F20" w:rsidRPr="00F94210" w:rsidRDefault="00100F20" w:rsidP="00217B8A">
            <w:pPr>
              <w:keepLines/>
              <w:spacing w:before="60" w:after="60" w:line="80" w:lineRule="exact"/>
              <w:jc w:val="both"/>
              <w:rPr>
                <w:rFonts w:ascii="Arial" w:hAnsi="Arial"/>
                <w:sz w:val="14"/>
                <w:szCs w:val="20"/>
              </w:rPr>
            </w:pPr>
          </w:p>
        </w:tc>
      </w:tr>
    </w:tbl>
    <w:p w14:paraId="2868A481" w14:textId="77777777" w:rsidR="00774BD5" w:rsidRPr="00774BD5" w:rsidRDefault="00774BD5" w:rsidP="00774BD5">
      <w:pPr>
        <w:pStyle w:val="BodyText"/>
      </w:pPr>
      <w:bookmarkStart w:id="43" w:name="_Toc59447372"/>
      <w:bookmarkStart w:id="44" w:name="_Toc62043671"/>
      <w:r w:rsidRPr="00774BD5">
        <w:br w:type="page"/>
      </w:r>
    </w:p>
    <w:p w14:paraId="5C635B68" w14:textId="1E867CA6" w:rsidR="00DE1494" w:rsidRDefault="00E41345" w:rsidP="005E5DB3">
      <w:pPr>
        <w:pStyle w:val="Heading2"/>
      </w:pPr>
      <w:r>
        <w:lastRenderedPageBreak/>
        <w:t>References</w:t>
      </w:r>
      <w:bookmarkEnd w:id="43"/>
      <w:bookmarkEnd w:id="44"/>
    </w:p>
    <w:p w14:paraId="0E94D4EC" w14:textId="1210285C" w:rsidR="00325BD5" w:rsidRDefault="00325BD5" w:rsidP="00DF05FF">
      <w:pPr>
        <w:pStyle w:val="Reference"/>
      </w:pPr>
      <w:r>
        <w:t xml:space="preserve">ABS (Australian Bureau of Statistics) 2006, </w:t>
      </w:r>
      <w:r>
        <w:rPr>
          <w:i/>
          <w:iCs/>
        </w:rPr>
        <w:t>Community Housing and Infrastructure Needs Survey</w:t>
      </w:r>
      <w:r>
        <w:t>, www.abs.gov.au/AUSSTATS/abs@.nsf/DSSbyCollectionid/B65AB82E947FC BD4CA256BD0002827F0 (accessed 8 October 2020).</w:t>
      </w:r>
    </w:p>
    <w:p w14:paraId="7EB911AF" w14:textId="392C2D63" w:rsidR="00325BD5" w:rsidRDefault="00325BD5" w:rsidP="00DF05FF">
      <w:pPr>
        <w:pStyle w:val="Reference"/>
      </w:pPr>
      <w:r>
        <w:t xml:space="preserve">—— 2016a, </w:t>
      </w:r>
      <w:r>
        <w:rPr>
          <w:i/>
          <w:iCs/>
        </w:rPr>
        <w:t>Census of Population and Housing - Counts of Aboriginal and Torres Strait Islander Australians</w:t>
      </w:r>
      <w:r>
        <w:t xml:space="preserve">, www.abs.gov.au/statistics/people/aboriginal-and-torres-strait-islander-peoples/census-population-and-housing-counts-aboriginal-and-torres-strait-islander-australians/latest-release#:~:text=Almost%201%20in%205%20 </w:t>
      </w:r>
      <w:proofErr w:type="gramStart"/>
      <w:r>
        <w:t>Aboriginal,%</w:t>
      </w:r>
      <w:proofErr w:type="gramEnd"/>
      <w:r>
        <w:t>25%20and%200.4%25%20respectively). (accessed 8 October 2020).</w:t>
      </w:r>
    </w:p>
    <w:p w14:paraId="1CE8705F" w14:textId="4E5E6E5C" w:rsidR="00325BD5" w:rsidRDefault="00325BD5" w:rsidP="00DF05FF">
      <w:pPr>
        <w:pStyle w:val="Reference"/>
      </w:pPr>
      <w:r>
        <w:t xml:space="preserve">—— 2016b, </w:t>
      </w:r>
      <w:r>
        <w:rPr>
          <w:i/>
          <w:iCs/>
        </w:rPr>
        <w:t>Census of Population and Housing: Census Dictionary, 2016</w:t>
      </w:r>
      <w:r>
        <w:t>, www.abs.gov.au/ausstats/abs@.nsf/Lookup/2901.0Chapter29552016#:~:text=A%20discrete%20community%20is%20a,that%20is%20managed%20on%20a (accessed 8 October 2020).</w:t>
      </w:r>
    </w:p>
    <w:p w14:paraId="1C2BA17D" w14:textId="0DC7C5DF" w:rsidR="00325BD5" w:rsidRDefault="00325BD5" w:rsidP="00DF05FF">
      <w:pPr>
        <w:pStyle w:val="Reference"/>
      </w:pPr>
      <w:r>
        <w:t xml:space="preserve">—— 2018, </w:t>
      </w:r>
      <w:r>
        <w:rPr>
          <w:i/>
          <w:iCs/>
        </w:rPr>
        <w:t>The Australian Statistical Geography Standard (ASGS) Remoteness Structure</w:t>
      </w:r>
      <w:r>
        <w:t>, www.abs.gov.au/websitedbs/d3310114.nsf/home/remoteness+structure (accessed 6 May 2019).</w:t>
      </w:r>
    </w:p>
    <w:p w14:paraId="50DEFBFF" w14:textId="0B01D370" w:rsidR="00325BD5" w:rsidRDefault="00325BD5" w:rsidP="00DF05FF">
      <w:pPr>
        <w:pStyle w:val="Reference"/>
      </w:pPr>
      <w:r>
        <w:t xml:space="preserve">—— 2019, </w:t>
      </w:r>
      <w:r>
        <w:rPr>
          <w:i/>
          <w:iCs/>
        </w:rPr>
        <w:t>Regional Population Growth, Australia, 2018-19</w:t>
      </w:r>
      <w:r>
        <w:t>, Cat. no. 3218.0, Canberra.</w:t>
      </w:r>
    </w:p>
    <w:p w14:paraId="15763956" w14:textId="77777777" w:rsidR="00325BD5" w:rsidRDefault="00325BD5" w:rsidP="00DF05FF">
      <w:pPr>
        <w:pStyle w:val="Reference"/>
      </w:pPr>
      <w:r>
        <w:t xml:space="preserve">AIHW (Australian Institute of Health and Welfare) 2020, </w:t>
      </w:r>
      <w:r>
        <w:rPr>
          <w:i/>
          <w:iCs/>
        </w:rPr>
        <w:t>Profiles of Aboriginal and Torres Strait Islander people with kidney disease</w:t>
      </w:r>
      <w:r>
        <w:t>, Canberra.</w:t>
      </w:r>
    </w:p>
    <w:p w14:paraId="73824798" w14:textId="3B4A5A40" w:rsidR="00325BD5" w:rsidRDefault="00325BD5" w:rsidP="00DF05FF">
      <w:pPr>
        <w:pStyle w:val="Reference"/>
      </w:pPr>
      <w:r>
        <w:t xml:space="preserve">Audit Office of New South Wales 2020, </w:t>
      </w:r>
      <w:r>
        <w:rPr>
          <w:i/>
          <w:iCs/>
        </w:rPr>
        <w:t>Support for regional town water infrastructure</w:t>
      </w:r>
      <w:r>
        <w:t>, www.audit.nsw.gov.au/our-work/reports/support-for-regional-town-water-infrastructure (accessed 21 October 2020).</w:t>
      </w:r>
    </w:p>
    <w:p w14:paraId="68018AA0" w14:textId="77777777" w:rsidR="00325BD5" w:rsidRDefault="00325BD5" w:rsidP="00DF05FF">
      <w:pPr>
        <w:pStyle w:val="Reference"/>
      </w:pPr>
      <w:r>
        <w:t xml:space="preserve">Australian Governments and the Coalition of Peaks 2020, </w:t>
      </w:r>
      <w:r>
        <w:rPr>
          <w:i/>
          <w:iCs/>
        </w:rPr>
        <w:t>National Agreement on Closing the Gap</w:t>
      </w:r>
      <w:r>
        <w:t>.</w:t>
      </w:r>
    </w:p>
    <w:p w14:paraId="1E30186F" w14:textId="1B406FDD" w:rsidR="00325BD5" w:rsidRDefault="00325BD5" w:rsidP="00DF05FF">
      <w:pPr>
        <w:pStyle w:val="Reference"/>
      </w:pPr>
      <w:r>
        <w:t xml:space="preserve">BOM (Bureau of Meteorology) 2020a, </w:t>
      </w:r>
      <w:r>
        <w:rPr>
          <w:i/>
          <w:iCs/>
        </w:rPr>
        <w:t>Drought Knowledge Centre - Previous Droughts</w:t>
      </w:r>
      <w:r>
        <w:t>, www.bom.gov.au/climate/drought/knowledge-centre/previous-droughts.shtml (accessed 2 December 2020).</w:t>
      </w:r>
    </w:p>
    <w:p w14:paraId="36261AEA" w14:textId="4132BF3D" w:rsidR="00325BD5" w:rsidRDefault="00325BD5" w:rsidP="00DF05FF">
      <w:pPr>
        <w:pStyle w:val="Reference"/>
      </w:pPr>
      <w:r>
        <w:t xml:space="preserve">—— 2020b, </w:t>
      </w:r>
      <w:r>
        <w:rPr>
          <w:i/>
          <w:iCs/>
        </w:rPr>
        <w:t>National Performance Report 2018-19: Urban Water Utilities</w:t>
      </w:r>
      <w:r>
        <w:t>, Melbourne.</w:t>
      </w:r>
    </w:p>
    <w:p w14:paraId="6EE34C83" w14:textId="77777777" w:rsidR="00325BD5" w:rsidRDefault="00325BD5" w:rsidP="00DF05FF">
      <w:pPr>
        <w:pStyle w:val="Reference"/>
      </w:pPr>
      <w:r>
        <w:t xml:space="preserve">Department of Family and Community Services (NSW) 2015, </w:t>
      </w:r>
      <w:r>
        <w:rPr>
          <w:i/>
          <w:iCs/>
        </w:rPr>
        <w:t>Water Usage Charging: Ministerial Guidelines for Aboriginal Community Housing Providers</w:t>
      </w:r>
      <w:r>
        <w:t>.</w:t>
      </w:r>
    </w:p>
    <w:p w14:paraId="20FB1EB3" w14:textId="77777777" w:rsidR="00325BD5" w:rsidRDefault="00325BD5" w:rsidP="00DF05FF">
      <w:pPr>
        <w:pStyle w:val="Reference"/>
      </w:pPr>
      <w:r>
        <w:t xml:space="preserve">DFAT (Department of Foreign Affairs and Trade) 2018, </w:t>
      </w:r>
      <w:r>
        <w:rPr>
          <w:i/>
          <w:iCs/>
        </w:rPr>
        <w:t>Report on the Implementation of the Sustainable Development Goals</w:t>
      </w:r>
      <w:r>
        <w:t>.</w:t>
      </w:r>
    </w:p>
    <w:p w14:paraId="5CD57C16" w14:textId="10936652" w:rsidR="00325BD5" w:rsidRDefault="00325BD5" w:rsidP="00DF05FF">
      <w:pPr>
        <w:pStyle w:val="Reference"/>
      </w:pPr>
      <w:r>
        <w:t xml:space="preserve">DNRME (Qld) (Department of Natural Resources, Mines and Energy (Qld)) 2018a, </w:t>
      </w:r>
      <w:r>
        <w:rPr>
          <w:i/>
          <w:iCs/>
        </w:rPr>
        <w:t>Regional water supply security assessments</w:t>
      </w:r>
      <w:r>
        <w:t>, www.business.qld.gov.au/industries/ mining-energy-water/water/industry-infrastructure/supply-planning/security/security-assessments (accessed 21 October 2020).</w:t>
      </w:r>
    </w:p>
    <w:p w14:paraId="050647A4" w14:textId="5D73DBDD" w:rsidR="00325BD5" w:rsidRDefault="00325BD5" w:rsidP="00DF05FF">
      <w:pPr>
        <w:pStyle w:val="Reference"/>
      </w:pPr>
      <w:r>
        <w:t xml:space="preserve">—— 2018b, </w:t>
      </w:r>
      <w:r>
        <w:rPr>
          <w:i/>
          <w:iCs/>
        </w:rPr>
        <w:t>Water security level of service objectives - guidelines for development</w:t>
      </w:r>
      <w:r>
        <w:t>, Brisbane.</w:t>
      </w:r>
    </w:p>
    <w:p w14:paraId="5CF7046A" w14:textId="68C1E7A6" w:rsidR="00325BD5" w:rsidRPr="00E42645" w:rsidRDefault="00325BD5" w:rsidP="00DF05FF">
      <w:pPr>
        <w:pStyle w:val="Reference"/>
        <w:rPr>
          <w:spacing w:val="-6"/>
        </w:rPr>
      </w:pPr>
      <w:r w:rsidRPr="00E42645">
        <w:rPr>
          <w:spacing w:val="-6"/>
        </w:rPr>
        <w:lastRenderedPageBreak/>
        <w:t xml:space="preserve">DOH (Department of Health) 2017, </w:t>
      </w:r>
      <w:r w:rsidRPr="00E42645">
        <w:rPr>
          <w:i/>
          <w:iCs/>
          <w:spacing w:val="-6"/>
        </w:rPr>
        <w:t>Northern Territory Remote Aboriginal Investment (NTRAI) - Health</w:t>
      </w:r>
      <w:r w:rsidRPr="00E42645">
        <w:rPr>
          <w:spacing w:val="-6"/>
        </w:rPr>
        <w:t>, www1.health.gov.au/internet/main/publishing.nsf/Content/indigenous-investments-lp (accessed 8 October 2020).</w:t>
      </w:r>
    </w:p>
    <w:p w14:paraId="0B714C4C" w14:textId="71E0CAE8" w:rsidR="00325BD5" w:rsidRDefault="00325BD5" w:rsidP="00DF05FF">
      <w:pPr>
        <w:pStyle w:val="Reference"/>
      </w:pPr>
      <w:r>
        <w:t xml:space="preserve">DPIE (NSW) (Department of Planning, Industry and Environment (NSW)) 2020a, </w:t>
      </w:r>
      <w:r>
        <w:rPr>
          <w:i/>
          <w:iCs/>
        </w:rPr>
        <w:t>About the Safe and Secure Water Program - Water in New South Wales</w:t>
      </w:r>
      <w:r>
        <w:t>, www.industry.nsw.gov.au/</w:t>
      </w:r>
      <w:r w:rsidR="00E42645">
        <w:br/>
      </w:r>
      <w:r>
        <w:t>water/water-utilities/infrastructure-programs/safe-and-secure-water-program/about (accessed 21 October 2020).</w:t>
      </w:r>
    </w:p>
    <w:p w14:paraId="1488C7C5" w14:textId="57D50CEF" w:rsidR="00325BD5" w:rsidRDefault="00325BD5" w:rsidP="00DF05FF">
      <w:pPr>
        <w:pStyle w:val="Reference"/>
      </w:pPr>
      <w:r>
        <w:t xml:space="preserve">—— 2020b, </w:t>
      </w:r>
      <w:r>
        <w:rPr>
          <w:i/>
          <w:iCs/>
        </w:rPr>
        <w:t>Emergency relief for regional town water supplies</w:t>
      </w:r>
      <w:r>
        <w:t>, www.industry.nsw.gov.au/</w:t>
      </w:r>
      <w:r w:rsidR="00E42645">
        <w:br/>
      </w:r>
      <w:r>
        <w:t>water/water-utilities/technical-assistance/emergency (accessed 12 January 2021).</w:t>
      </w:r>
    </w:p>
    <w:p w14:paraId="5E6480F8" w14:textId="2CB914C4" w:rsidR="00325BD5" w:rsidRDefault="00325BD5" w:rsidP="00DF05FF">
      <w:pPr>
        <w:pStyle w:val="Reference"/>
      </w:pPr>
      <w:r>
        <w:t xml:space="preserve">—— 2020c, </w:t>
      </w:r>
      <w:r>
        <w:rPr>
          <w:i/>
          <w:iCs/>
        </w:rPr>
        <w:t>LWU performance monitoring data and reports</w:t>
      </w:r>
      <w:r>
        <w:t>, www.industry.nsw.gov.au/water/water-utilities/lwu-performance-monitoring-data (accessed 10 November 2020).</w:t>
      </w:r>
    </w:p>
    <w:p w14:paraId="50B490F8" w14:textId="77777777" w:rsidR="00325BD5" w:rsidRDefault="00325BD5" w:rsidP="00DF05FF">
      <w:pPr>
        <w:pStyle w:val="Reference"/>
      </w:pPr>
      <w:r>
        <w:t xml:space="preserve">DSE (Vic) (Department of Sustainability and Environment (Vic)) 2012, </w:t>
      </w:r>
      <w:r>
        <w:rPr>
          <w:i/>
          <w:iCs/>
        </w:rPr>
        <w:t>Western Region Sustainable Water Strategy</w:t>
      </w:r>
      <w:r>
        <w:t>, Melbourne.</w:t>
      </w:r>
    </w:p>
    <w:p w14:paraId="3A2A62FE" w14:textId="68CDB93D" w:rsidR="00325BD5" w:rsidRDefault="00325BD5" w:rsidP="00DF05FF">
      <w:pPr>
        <w:pStyle w:val="Reference"/>
      </w:pPr>
      <w:r>
        <w:t xml:space="preserve">ERA (WA) (Economic Regulation Authority (WA)) 2020, </w:t>
      </w:r>
      <w:r>
        <w:rPr>
          <w:i/>
          <w:iCs/>
        </w:rPr>
        <w:t>Licence Holders</w:t>
      </w:r>
      <w:r>
        <w:t>, www.erawa.com.au/water/water-licensing/licence-holders (accessed 15 January 2021).</w:t>
      </w:r>
    </w:p>
    <w:p w14:paraId="07248F81" w14:textId="6A23BE4A" w:rsidR="00325BD5" w:rsidRDefault="00325BD5" w:rsidP="00DF05FF">
      <w:pPr>
        <w:pStyle w:val="Reference"/>
      </w:pPr>
      <w:r>
        <w:t xml:space="preserve">ESC (Essential Services Commission) 2018, </w:t>
      </w:r>
      <w:r>
        <w:rPr>
          <w:i/>
          <w:iCs/>
        </w:rPr>
        <w:t>How we regulate the water sector</w:t>
      </w:r>
      <w:r>
        <w:t>, www.esc.vic.gov.au/water/how-we-regulate-water-sector (accessed 15 January 2021).</w:t>
      </w:r>
    </w:p>
    <w:p w14:paraId="20A20A8D" w14:textId="2CF33C40" w:rsidR="00325BD5" w:rsidRDefault="00325BD5" w:rsidP="00DF05FF">
      <w:pPr>
        <w:pStyle w:val="Reference"/>
      </w:pPr>
      <w:r>
        <w:t xml:space="preserve">—— 2019, </w:t>
      </w:r>
      <w:r>
        <w:rPr>
          <w:i/>
          <w:iCs/>
        </w:rPr>
        <w:t>Water performance report 2018-19</w:t>
      </w:r>
      <w:r>
        <w:t>, Melbourne.</w:t>
      </w:r>
    </w:p>
    <w:p w14:paraId="037B9007" w14:textId="77777777" w:rsidR="00325BD5" w:rsidRDefault="00325BD5" w:rsidP="00DF05FF">
      <w:pPr>
        <w:pStyle w:val="Reference"/>
      </w:pPr>
      <w:r>
        <w:t xml:space="preserve">ESCOSA (Essential Services Commission of South Australia) 2013, </w:t>
      </w:r>
      <w:r>
        <w:rPr>
          <w:i/>
          <w:iCs/>
        </w:rPr>
        <w:t>Economic Regulation of Minor and Intermediate Retailers of Water and Sewerage Services - Final Decision</w:t>
      </w:r>
      <w:r>
        <w:t>.</w:t>
      </w:r>
    </w:p>
    <w:p w14:paraId="365116FD" w14:textId="6835392F" w:rsidR="00325BD5" w:rsidRDefault="00325BD5" w:rsidP="00DF05FF">
      <w:pPr>
        <w:pStyle w:val="Reference"/>
      </w:pPr>
      <w:r>
        <w:t xml:space="preserve">—— 2019, </w:t>
      </w:r>
      <w:r>
        <w:rPr>
          <w:i/>
          <w:iCs/>
        </w:rPr>
        <w:t>South Australian water and sewerage industry</w:t>
      </w:r>
      <w:r>
        <w:t>, Information Sheet, Adelaide.</w:t>
      </w:r>
    </w:p>
    <w:p w14:paraId="5FEBB576" w14:textId="099EF1FE" w:rsidR="00325BD5" w:rsidRDefault="00325BD5" w:rsidP="00DF05FF">
      <w:pPr>
        <w:pStyle w:val="Reference"/>
      </w:pPr>
      <w:r>
        <w:t xml:space="preserve">—— 2020, </w:t>
      </w:r>
      <w:r>
        <w:rPr>
          <w:i/>
          <w:iCs/>
        </w:rPr>
        <w:t xml:space="preserve">Inquiry into regulatory arrangements for small-scale water, </w:t>
      </w:r>
      <w:proofErr w:type="gramStart"/>
      <w:r>
        <w:rPr>
          <w:i/>
          <w:iCs/>
        </w:rPr>
        <w:t>sewerage</w:t>
      </w:r>
      <w:proofErr w:type="gramEnd"/>
      <w:r>
        <w:rPr>
          <w:i/>
          <w:iCs/>
        </w:rPr>
        <w:t xml:space="preserve"> and energy services - Draft Inquiry Report</w:t>
      </w:r>
      <w:r>
        <w:t>.</w:t>
      </w:r>
    </w:p>
    <w:p w14:paraId="709D49A1" w14:textId="77777777" w:rsidR="00325BD5" w:rsidRDefault="00325BD5" w:rsidP="00DF05FF">
      <w:pPr>
        <w:pStyle w:val="Reference"/>
      </w:pPr>
      <w:r>
        <w:t xml:space="preserve">Government of Western Australia 2016, </w:t>
      </w:r>
      <w:r>
        <w:rPr>
          <w:i/>
          <w:iCs/>
        </w:rPr>
        <w:t>Resilient Families, Strong Communities - a roadmap for regional and remote Aboriginal communities</w:t>
      </w:r>
      <w:r>
        <w:t>, Perth.</w:t>
      </w:r>
    </w:p>
    <w:p w14:paraId="5D1E968E" w14:textId="7C3E23F6" w:rsidR="00325BD5" w:rsidRDefault="00325BD5" w:rsidP="00DF05FF">
      <w:pPr>
        <w:pStyle w:val="Reference"/>
      </w:pPr>
      <w:r>
        <w:t xml:space="preserve">—— 2019, </w:t>
      </w:r>
      <w:r>
        <w:rPr>
          <w:i/>
          <w:iCs/>
        </w:rPr>
        <w:t>Remote Aboriginal communities get water service upgrade</w:t>
      </w:r>
      <w:r>
        <w:t>, www.mediastatements.wa.gov.au/Pages/McGowan/2019/03/Remote-Aboriginal-communities-get-water-service-upgrade.aspx (accessed 13 October 2020).</w:t>
      </w:r>
    </w:p>
    <w:p w14:paraId="7982A32B" w14:textId="6C247CFE" w:rsidR="00325BD5" w:rsidRDefault="00325BD5" w:rsidP="00DF05FF">
      <w:pPr>
        <w:pStyle w:val="Reference"/>
      </w:pPr>
      <w:r>
        <w:t xml:space="preserve">—— 2020, </w:t>
      </w:r>
      <w:r>
        <w:rPr>
          <w:i/>
          <w:iCs/>
        </w:rPr>
        <w:t>Aboriginal communities to receive $38.9 million water service upgrades</w:t>
      </w:r>
      <w:r>
        <w:t>, www.mediastatements.wa.gov.au/Pages/McGowan/2020/08/Aboriginal-communities-to-receive-38-point-9-million-dollar-water-service-upgrades.aspx (accessed 4 November 2020).</w:t>
      </w:r>
    </w:p>
    <w:p w14:paraId="23BAA3CE" w14:textId="77777777" w:rsidR="00325BD5" w:rsidRDefault="00325BD5" w:rsidP="00DF05FF">
      <w:pPr>
        <w:pStyle w:val="Reference"/>
      </w:pPr>
      <w:r>
        <w:t xml:space="preserve">IA (Infrastructure Australia) 2019, </w:t>
      </w:r>
      <w:r>
        <w:rPr>
          <w:i/>
          <w:iCs/>
        </w:rPr>
        <w:t>Australian Infrastructure Audit 2019: 9 Water</w:t>
      </w:r>
      <w:r>
        <w:t>, Sydney.</w:t>
      </w:r>
    </w:p>
    <w:p w14:paraId="4A2AE0FD" w14:textId="77777777" w:rsidR="00325BD5" w:rsidRDefault="00325BD5" w:rsidP="00DF05FF">
      <w:pPr>
        <w:pStyle w:val="Reference"/>
      </w:pPr>
      <w:r>
        <w:t xml:space="preserve">IC (Industry Commission) 1997, </w:t>
      </w:r>
      <w:r>
        <w:rPr>
          <w:i/>
          <w:iCs/>
        </w:rPr>
        <w:t>Community Service Obligations: Policies and Practices of Australian Governments</w:t>
      </w:r>
      <w:r>
        <w:t>, Staff Information Paper, Canberra.</w:t>
      </w:r>
    </w:p>
    <w:p w14:paraId="6A062ADD" w14:textId="6960728E" w:rsidR="00325BD5" w:rsidRDefault="00325BD5" w:rsidP="00DF05FF">
      <w:pPr>
        <w:pStyle w:val="Reference"/>
      </w:pPr>
      <w:r>
        <w:t xml:space="preserve">ICRC (Independent Competition &amp; Regulatory Commission) 2019, </w:t>
      </w:r>
      <w:r>
        <w:rPr>
          <w:i/>
          <w:iCs/>
        </w:rPr>
        <w:t>Water and Sewerage</w:t>
      </w:r>
      <w:r>
        <w:t>, www.icrc.act.gov.au/water-and-sewerage (accessed 15 January 2021).</w:t>
      </w:r>
    </w:p>
    <w:p w14:paraId="09A76224" w14:textId="77777777" w:rsidR="00325BD5" w:rsidRDefault="00325BD5" w:rsidP="00DF05FF">
      <w:pPr>
        <w:pStyle w:val="Reference"/>
      </w:pPr>
      <w:r>
        <w:lastRenderedPageBreak/>
        <w:t xml:space="preserve">IES (Indigenous Essential Services) 2015, </w:t>
      </w:r>
      <w:proofErr w:type="spellStart"/>
      <w:r>
        <w:rPr>
          <w:i/>
          <w:iCs/>
        </w:rPr>
        <w:t>Manymak</w:t>
      </w:r>
      <w:proofErr w:type="spellEnd"/>
      <w:r>
        <w:rPr>
          <w:i/>
          <w:iCs/>
        </w:rPr>
        <w:t xml:space="preserve"> Energy Efficiency Project</w:t>
      </w:r>
      <w:r>
        <w:t>.</w:t>
      </w:r>
    </w:p>
    <w:p w14:paraId="756CAA3C" w14:textId="77777777" w:rsidR="00325BD5" w:rsidRDefault="00325BD5" w:rsidP="00DF05FF">
      <w:pPr>
        <w:pStyle w:val="Reference"/>
      </w:pPr>
      <w:r>
        <w:t xml:space="preserve">NHMRC (National Health and Medical Research Council) 2016, </w:t>
      </w:r>
      <w:r>
        <w:rPr>
          <w:i/>
          <w:iCs/>
        </w:rPr>
        <w:t>Australian Drinking Water Guidelines</w:t>
      </w:r>
      <w:r>
        <w:t>, Version 3.3, Canberra.</w:t>
      </w:r>
    </w:p>
    <w:p w14:paraId="64CBB19C" w14:textId="77777777" w:rsidR="00325BD5" w:rsidRDefault="00325BD5" w:rsidP="00DF05FF">
      <w:pPr>
        <w:pStyle w:val="Reference"/>
      </w:pPr>
      <w:r>
        <w:t xml:space="preserve">NSW ALC (NSW Aboriginal Land Council) 2020, </w:t>
      </w:r>
      <w:r>
        <w:rPr>
          <w:i/>
          <w:iCs/>
        </w:rPr>
        <w:t>Water and sewerage</w:t>
      </w:r>
      <w:r>
        <w:t>, https://alc.org.au/water-and-sewerage/ (accessed 18 January 2021).</w:t>
      </w:r>
    </w:p>
    <w:p w14:paraId="7569AA93" w14:textId="77777777" w:rsidR="00325BD5" w:rsidRDefault="00325BD5" w:rsidP="00DF05FF">
      <w:pPr>
        <w:pStyle w:val="Reference"/>
      </w:pPr>
      <w:r>
        <w:t xml:space="preserve">NSW Treasury 2019, </w:t>
      </w:r>
      <w:r>
        <w:rPr>
          <w:i/>
          <w:iCs/>
        </w:rPr>
        <w:t>Guidelines for Community Service Obligations</w:t>
      </w:r>
      <w:r>
        <w:t>, Policy and Guidelines Paper, TPP 19-02, Sydney.</w:t>
      </w:r>
    </w:p>
    <w:p w14:paraId="71C1C1BC" w14:textId="77777777" w:rsidR="00325BD5" w:rsidRDefault="00325BD5" w:rsidP="00DF05FF">
      <w:pPr>
        <w:pStyle w:val="Reference"/>
      </w:pPr>
      <w:r>
        <w:t xml:space="preserve">OTTER (Office of the Tasmanian Economic Regulator) 2020, </w:t>
      </w:r>
      <w:r>
        <w:rPr>
          <w:i/>
          <w:iCs/>
        </w:rPr>
        <w:t>2018-19 Report on the State of the Tasmanian Water and Sewerage Industry</w:t>
      </w:r>
      <w:r>
        <w:t>.</w:t>
      </w:r>
    </w:p>
    <w:p w14:paraId="31323EB6" w14:textId="77777777" w:rsidR="00325BD5" w:rsidRDefault="00325BD5" w:rsidP="00DF05FF">
      <w:pPr>
        <w:pStyle w:val="Reference"/>
      </w:pPr>
      <w:r>
        <w:t>PC (</w:t>
      </w:r>
      <w:proofErr w:type="gramStart"/>
      <w:r>
        <w:t>Productivity  Commission</w:t>
      </w:r>
      <w:proofErr w:type="gramEnd"/>
      <w:r>
        <w:t xml:space="preserve">) 2011, </w:t>
      </w:r>
      <w:r>
        <w:rPr>
          <w:i/>
          <w:iCs/>
        </w:rPr>
        <w:t>Australia’s Urban Water Sector - Vol. 2</w:t>
      </w:r>
      <w:r>
        <w:t>, Report no. 55, Canberra.</w:t>
      </w:r>
    </w:p>
    <w:p w14:paraId="6F9C97DE" w14:textId="4E78BC38" w:rsidR="00325BD5" w:rsidRDefault="00325BD5" w:rsidP="00DF05FF">
      <w:pPr>
        <w:pStyle w:val="Reference"/>
      </w:pPr>
      <w:r>
        <w:t xml:space="preserve">—— 2017a, </w:t>
      </w:r>
      <w:r>
        <w:rPr>
          <w:i/>
          <w:iCs/>
        </w:rPr>
        <w:t>Local Government</w:t>
      </w:r>
      <w:r>
        <w:t xml:space="preserve">, Shifting the Dial: </w:t>
      </w:r>
      <w:proofErr w:type="gramStart"/>
      <w:r>
        <w:t>5 year</w:t>
      </w:r>
      <w:proofErr w:type="gramEnd"/>
      <w:r>
        <w:t xml:space="preserve"> Productivity Review, Supporting Paper no. 16.</w:t>
      </w:r>
    </w:p>
    <w:p w14:paraId="657B11FD" w14:textId="1B049C51" w:rsidR="00325BD5" w:rsidRDefault="00325BD5" w:rsidP="00DF05FF">
      <w:pPr>
        <w:pStyle w:val="Reference"/>
      </w:pPr>
      <w:r>
        <w:t xml:space="preserve">—— 2017b, </w:t>
      </w:r>
      <w:r>
        <w:rPr>
          <w:i/>
          <w:iCs/>
        </w:rPr>
        <w:t>National Water Reform</w:t>
      </w:r>
      <w:r>
        <w:t>, Report no. 87, Canberra.</w:t>
      </w:r>
    </w:p>
    <w:p w14:paraId="3D6DF7F1" w14:textId="29781367" w:rsidR="00325BD5" w:rsidRDefault="00325BD5" w:rsidP="00DF05FF">
      <w:pPr>
        <w:pStyle w:val="Reference"/>
      </w:pPr>
      <w:r>
        <w:t xml:space="preserve">—— 2017c, </w:t>
      </w:r>
      <w:r>
        <w:rPr>
          <w:i/>
          <w:iCs/>
        </w:rPr>
        <w:t>Telecommunications Universal Service Obligation</w:t>
      </w:r>
      <w:r>
        <w:t>, Report no. 83, Canberra.</w:t>
      </w:r>
    </w:p>
    <w:p w14:paraId="3ECDBB02" w14:textId="09618713" w:rsidR="00325BD5" w:rsidRDefault="00325BD5" w:rsidP="00DF05FF">
      <w:pPr>
        <w:pStyle w:val="Reference"/>
      </w:pPr>
      <w:r>
        <w:t xml:space="preserve">—— 2017d, </w:t>
      </w:r>
      <w:r>
        <w:rPr>
          <w:i/>
          <w:iCs/>
        </w:rPr>
        <w:t>Transitioning Regional Economies</w:t>
      </w:r>
      <w:r>
        <w:t>, Study Report, Canberra.</w:t>
      </w:r>
    </w:p>
    <w:p w14:paraId="758C0920" w14:textId="56C42A87" w:rsidR="00325BD5" w:rsidRDefault="00325BD5" w:rsidP="00DF05FF">
      <w:pPr>
        <w:pStyle w:val="Reference"/>
      </w:pPr>
      <w:r>
        <w:t xml:space="preserve">—— 2020a, </w:t>
      </w:r>
      <w:r>
        <w:rPr>
          <w:i/>
          <w:iCs/>
        </w:rPr>
        <w:t>National Transport Regulatory Reform</w:t>
      </w:r>
      <w:r>
        <w:t>, Report no. 94, Canberra.</w:t>
      </w:r>
    </w:p>
    <w:p w14:paraId="184702D2" w14:textId="2B4B4A15" w:rsidR="00325BD5" w:rsidRDefault="00325BD5" w:rsidP="00DF05FF">
      <w:pPr>
        <w:pStyle w:val="Reference"/>
      </w:pPr>
      <w:r>
        <w:t xml:space="preserve">—— 2020b, </w:t>
      </w:r>
      <w:r>
        <w:rPr>
          <w:i/>
          <w:iCs/>
        </w:rPr>
        <w:t>Remote Area Tax Concessions and Payments</w:t>
      </w:r>
      <w:r>
        <w:t>, Study Report, Canberra.</w:t>
      </w:r>
    </w:p>
    <w:p w14:paraId="7743DEDE" w14:textId="77777777" w:rsidR="00325BD5" w:rsidRDefault="00325BD5" w:rsidP="00DF05FF">
      <w:pPr>
        <w:pStyle w:val="Reference"/>
      </w:pPr>
      <w:proofErr w:type="spellStart"/>
      <w:r>
        <w:t>PowerWater</w:t>
      </w:r>
      <w:proofErr w:type="spellEnd"/>
      <w:r>
        <w:t xml:space="preserve"> (Power and Water Corporation) 2019a, </w:t>
      </w:r>
      <w:r>
        <w:rPr>
          <w:i/>
          <w:iCs/>
        </w:rPr>
        <w:t>Annual Report 2018-19</w:t>
      </w:r>
      <w:r>
        <w:t>, Darwin.</w:t>
      </w:r>
    </w:p>
    <w:p w14:paraId="01C9EDC7" w14:textId="0701BE20" w:rsidR="00325BD5" w:rsidRDefault="00325BD5" w:rsidP="00DF05FF">
      <w:pPr>
        <w:pStyle w:val="Reference"/>
      </w:pPr>
      <w:r>
        <w:t xml:space="preserve">—— 2019b, </w:t>
      </w:r>
      <w:r>
        <w:rPr>
          <w:i/>
          <w:iCs/>
        </w:rPr>
        <w:t>Remote customers</w:t>
      </w:r>
      <w:r>
        <w:t>, www.powerwater.com.au/customers/remote (accessed 21 October 2020).</w:t>
      </w:r>
    </w:p>
    <w:p w14:paraId="3AB399F9" w14:textId="162ED982" w:rsidR="00325BD5" w:rsidRDefault="00325BD5" w:rsidP="00DF05FF">
      <w:pPr>
        <w:pStyle w:val="Reference"/>
      </w:pPr>
      <w:r>
        <w:t xml:space="preserve">Purple House 2020, </w:t>
      </w:r>
      <w:r>
        <w:rPr>
          <w:i/>
          <w:iCs/>
        </w:rPr>
        <w:t>Purple House</w:t>
      </w:r>
      <w:r>
        <w:t>, www.purplehouse.org.au/ (accessed 8 October 2020).</w:t>
      </w:r>
    </w:p>
    <w:p w14:paraId="1726C585" w14:textId="77777777" w:rsidR="00325BD5" w:rsidRDefault="00325BD5" w:rsidP="00DF05FF">
      <w:pPr>
        <w:pStyle w:val="Reference"/>
      </w:pPr>
      <w:proofErr w:type="spellStart"/>
      <w:r>
        <w:t>qldwater</w:t>
      </w:r>
      <w:proofErr w:type="spellEnd"/>
      <w:r>
        <w:t xml:space="preserve"> (Queensland Water Directorate) 2019, </w:t>
      </w:r>
      <w:r>
        <w:rPr>
          <w:i/>
          <w:iCs/>
        </w:rPr>
        <w:t>Queensland’s Urban Potable Water &amp; Sewerage Benchmarking Report 2018/19</w:t>
      </w:r>
      <w:r>
        <w:t>, Brisbane.</w:t>
      </w:r>
    </w:p>
    <w:p w14:paraId="4574448D" w14:textId="77777777" w:rsidR="00325BD5" w:rsidRDefault="00325BD5" w:rsidP="00DF05FF">
      <w:pPr>
        <w:pStyle w:val="Reference"/>
      </w:pPr>
      <w:r>
        <w:t xml:space="preserve">QPC (Queensland Productivity Commission) 2018, </w:t>
      </w:r>
      <w:r>
        <w:rPr>
          <w:i/>
          <w:iCs/>
        </w:rPr>
        <w:t>Measuring progress in Queensland’s remote Aboriginal and Torres Strait Islander communities</w:t>
      </w:r>
      <w:r>
        <w:t>.</w:t>
      </w:r>
    </w:p>
    <w:p w14:paraId="1876A8C5" w14:textId="23CC8C06" w:rsidR="00325BD5" w:rsidRDefault="00325BD5" w:rsidP="00DF05FF">
      <w:pPr>
        <w:pStyle w:val="Reference"/>
      </w:pPr>
      <w:r>
        <w:t xml:space="preserve">SA Water 2019a, </w:t>
      </w:r>
      <w:r>
        <w:rPr>
          <w:i/>
          <w:iCs/>
        </w:rPr>
        <w:t>Maintaining and upgrading APY Lands water facilities for a better life</w:t>
      </w:r>
      <w:r>
        <w:t>, www.sawater.com.au/news/maintaining-and-upgrading-apy-lands-water-facilities-for-a-better-life (accessed 21 December 2020).</w:t>
      </w:r>
    </w:p>
    <w:p w14:paraId="1B35555A" w14:textId="1576956A" w:rsidR="00325BD5" w:rsidRDefault="00325BD5" w:rsidP="00DF05FF">
      <w:pPr>
        <w:pStyle w:val="Reference"/>
      </w:pPr>
      <w:r>
        <w:t xml:space="preserve">—— 2019b, </w:t>
      </w:r>
      <w:r>
        <w:rPr>
          <w:i/>
          <w:iCs/>
        </w:rPr>
        <w:t>South Australian Water Corporation Charter</w:t>
      </w:r>
      <w:r>
        <w:t>, Adelaide.</w:t>
      </w:r>
    </w:p>
    <w:p w14:paraId="6818119E" w14:textId="77777777" w:rsidR="00325BD5" w:rsidRDefault="00325BD5" w:rsidP="00DF05FF">
      <w:pPr>
        <w:pStyle w:val="Reference"/>
      </w:pPr>
      <w:r>
        <w:t>Satur, P. and Robertson, H. 2020, ‘Safe water access on remote Indigenous homelands: applying a socio-ecological framework’.</w:t>
      </w:r>
    </w:p>
    <w:p w14:paraId="7E68D5E0" w14:textId="77777777" w:rsidR="00325BD5" w:rsidRDefault="00325BD5" w:rsidP="00DF05FF">
      <w:pPr>
        <w:pStyle w:val="Reference"/>
      </w:pPr>
      <w:r>
        <w:t xml:space="preserve">SCETCS (ACT) (Standing Committee on Environment and Transport and City Services) 2020, </w:t>
      </w:r>
      <w:r>
        <w:rPr>
          <w:i/>
          <w:iCs/>
        </w:rPr>
        <w:t>Inquiry into the supply of water to the Tharwa community</w:t>
      </w:r>
      <w:r>
        <w:t>, Report 11.</w:t>
      </w:r>
    </w:p>
    <w:p w14:paraId="16E1FFC4" w14:textId="77777777" w:rsidR="00325BD5" w:rsidRDefault="00325BD5" w:rsidP="00DF05FF">
      <w:pPr>
        <w:pStyle w:val="Reference"/>
      </w:pPr>
      <w:r>
        <w:lastRenderedPageBreak/>
        <w:t xml:space="preserve">SCRGSP (Steering Committee for the Review of Government Service Provision) 2016, </w:t>
      </w:r>
      <w:r>
        <w:rPr>
          <w:i/>
          <w:iCs/>
        </w:rPr>
        <w:t>Overcoming Indigenous Disadvantage: Key Indicators 2016</w:t>
      </w:r>
      <w:r>
        <w:t>, Productivity Commission, Canberra.</w:t>
      </w:r>
    </w:p>
    <w:p w14:paraId="771DD2BF" w14:textId="463E7728" w:rsidR="00325BD5" w:rsidRDefault="00325BD5" w:rsidP="00DF05FF">
      <w:pPr>
        <w:pStyle w:val="Reference"/>
      </w:pPr>
      <w:r>
        <w:t xml:space="preserve">—— 2020, </w:t>
      </w:r>
      <w:r>
        <w:rPr>
          <w:i/>
          <w:iCs/>
        </w:rPr>
        <w:t>Overcoming Indigenous Disadvantage: Key Indicators 2020</w:t>
      </w:r>
      <w:r>
        <w:t>, Productivity Commission, Canberra.</w:t>
      </w:r>
    </w:p>
    <w:p w14:paraId="4E2AF3B4" w14:textId="77777777" w:rsidR="00325BD5" w:rsidRDefault="00325BD5" w:rsidP="00DF05FF">
      <w:pPr>
        <w:pStyle w:val="Reference"/>
      </w:pPr>
      <w:r>
        <w:t xml:space="preserve">Sefton, R., Peterson, D., Woods, R., </w:t>
      </w:r>
      <w:proofErr w:type="spellStart"/>
      <w:r>
        <w:t>Kassebaum</w:t>
      </w:r>
      <w:proofErr w:type="spellEnd"/>
      <w:r>
        <w:t xml:space="preserve">, A., McKenzie, D., Simpson, B. and Ramsay, M. 2020, </w:t>
      </w:r>
      <w:r>
        <w:rPr>
          <w:i/>
          <w:iCs/>
        </w:rPr>
        <w:t>Final Report: Independent Assessment of Social and Economic Conditions in the Murray-Darling Basin</w:t>
      </w:r>
      <w:r>
        <w:t>, Panel for Independent Assessment of Social and Economic Conditions in the Murray-Darling Basin, Melbourne.</w:t>
      </w:r>
    </w:p>
    <w:p w14:paraId="60D42637" w14:textId="0840CE82" w:rsidR="00325BD5" w:rsidRDefault="00325BD5" w:rsidP="00DF05FF">
      <w:pPr>
        <w:pStyle w:val="Reference"/>
      </w:pPr>
      <w:proofErr w:type="spellStart"/>
      <w:r>
        <w:t>TasWater</w:t>
      </w:r>
      <w:proofErr w:type="spellEnd"/>
      <w:r>
        <w:t xml:space="preserve"> 2018, </w:t>
      </w:r>
      <w:r>
        <w:rPr>
          <w:i/>
          <w:iCs/>
        </w:rPr>
        <w:t xml:space="preserve">Who is </w:t>
      </w:r>
      <w:proofErr w:type="spellStart"/>
      <w:proofErr w:type="gramStart"/>
      <w:r>
        <w:rPr>
          <w:i/>
          <w:iCs/>
        </w:rPr>
        <w:t>TasWater</w:t>
      </w:r>
      <w:proofErr w:type="spellEnd"/>
      <w:r>
        <w:rPr>
          <w:i/>
          <w:iCs/>
        </w:rPr>
        <w:t>?</w:t>
      </w:r>
      <w:r>
        <w:t>,</w:t>
      </w:r>
      <w:proofErr w:type="gramEnd"/>
      <w:r>
        <w:t xml:space="preserve"> www.taswater.com.au/About-Us/Who-is-TasWater- (accessed 21 October 2020).</w:t>
      </w:r>
    </w:p>
    <w:p w14:paraId="45CB066A" w14:textId="77777777" w:rsidR="00325BD5" w:rsidRDefault="00325BD5" w:rsidP="00DF05FF">
      <w:pPr>
        <w:pStyle w:val="Reference"/>
      </w:pPr>
      <w:r>
        <w:t xml:space="preserve">Telethon Kids Institute 2020, </w:t>
      </w:r>
      <w:r>
        <w:rPr>
          <w:i/>
          <w:iCs/>
        </w:rPr>
        <w:t>The RHD Endgame Strategy: The blueprint to eliminate rheumatic heart disease in Australia by 2031</w:t>
      </w:r>
      <w:r>
        <w:t>.</w:t>
      </w:r>
    </w:p>
    <w:p w14:paraId="18C1E2B5" w14:textId="44CF0DAC" w:rsidR="00325BD5" w:rsidRDefault="00325BD5" w:rsidP="00DF05FF">
      <w:pPr>
        <w:pStyle w:val="Reference"/>
      </w:pPr>
      <w:r>
        <w:t xml:space="preserve">UN (United Nations) 2015, </w:t>
      </w:r>
      <w:r>
        <w:rPr>
          <w:i/>
          <w:iCs/>
        </w:rPr>
        <w:t>Historic New Sustainable Development Agenda Unanimously Adopted by 193 UN Members</w:t>
      </w:r>
      <w:r>
        <w:t>, www.un.org/sustainabledevelopment/blog/2015/09/</w:t>
      </w:r>
      <w:r w:rsidR="00A0754B">
        <w:t xml:space="preserve"> </w:t>
      </w:r>
      <w:r>
        <w:t>historic-new-sustainable-development-agenda-unanimously-adopted-by-193-un-members/ (accessed 18 January 2021).</w:t>
      </w:r>
    </w:p>
    <w:p w14:paraId="6122F732" w14:textId="0B21544C" w:rsidR="00325BD5" w:rsidRDefault="00325BD5" w:rsidP="00DF05FF">
      <w:pPr>
        <w:pStyle w:val="Reference"/>
      </w:pPr>
      <w:r>
        <w:t xml:space="preserve">—— 2016, </w:t>
      </w:r>
      <w:r>
        <w:rPr>
          <w:i/>
          <w:iCs/>
        </w:rPr>
        <w:t>Clean water and sanitation: why it matters</w:t>
      </w:r>
      <w:r>
        <w:t>, www.un.org/sustainabledevelopment/wp-content/uploads/2016/08/6_Why-It-Matters-2020.pdf (accessed 22 October 2020).</w:t>
      </w:r>
    </w:p>
    <w:p w14:paraId="157210E8" w14:textId="30473FD9" w:rsidR="00325BD5" w:rsidRDefault="00325BD5" w:rsidP="00DF05FF">
      <w:pPr>
        <w:pStyle w:val="Reference"/>
      </w:pPr>
      <w:r>
        <w:t xml:space="preserve">—— 2020, </w:t>
      </w:r>
      <w:r>
        <w:rPr>
          <w:i/>
          <w:iCs/>
        </w:rPr>
        <w:t>Goal 6: Ensure access to water and sanitation for all</w:t>
      </w:r>
      <w:r>
        <w:t>, www.un.org/sustainabledevelopment/water-and-sanitation/ (accessed 22 October 2020).</w:t>
      </w:r>
    </w:p>
    <w:p w14:paraId="53FF62A8" w14:textId="29A29A10" w:rsidR="00325BD5" w:rsidRDefault="00325BD5" w:rsidP="00DF05FF">
      <w:pPr>
        <w:pStyle w:val="Reference"/>
      </w:pPr>
      <w:r>
        <w:t xml:space="preserve">Water Corporation 2020, </w:t>
      </w:r>
      <w:r>
        <w:rPr>
          <w:i/>
          <w:iCs/>
        </w:rPr>
        <w:t>Aboriginal communities to receive $38.9 million water service upgrades</w:t>
      </w:r>
      <w:r>
        <w:t>, www.watercorporation.com.au/About-us/Media-releases/2020/August-2020/</w:t>
      </w:r>
      <w:r w:rsidR="00A0754B">
        <w:t xml:space="preserve"> </w:t>
      </w:r>
      <w:r>
        <w:t>Aboriginal-communities-water-service-upgrades (accessed 30 November 2020).</w:t>
      </w:r>
    </w:p>
    <w:p w14:paraId="10810948" w14:textId="1381DAAA" w:rsidR="00796D08" w:rsidRPr="00E41345" w:rsidRDefault="00325BD5" w:rsidP="00DF05FF">
      <w:pPr>
        <w:pStyle w:val="Reference"/>
      </w:pPr>
      <w:proofErr w:type="spellStart"/>
      <w:r>
        <w:t>WaterNSW</w:t>
      </w:r>
      <w:proofErr w:type="spellEnd"/>
      <w:r>
        <w:t xml:space="preserve"> 2019, </w:t>
      </w:r>
      <w:r>
        <w:rPr>
          <w:i/>
          <w:iCs/>
        </w:rPr>
        <w:t>Water Balance Report: Peel Valley 2018-2019</w:t>
      </w:r>
      <w:r>
        <w:t>, Parramatta.</w:t>
      </w:r>
    </w:p>
    <w:sectPr w:rsidR="00796D08" w:rsidRPr="00E41345" w:rsidSect="006A13CE">
      <w:type w:val="oddPage"/>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F88CD" w14:textId="77777777" w:rsidR="00325BD5" w:rsidRDefault="00325BD5">
      <w:r>
        <w:separator/>
      </w:r>
    </w:p>
  </w:endnote>
  <w:endnote w:type="continuationSeparator" w:id="0">
    <w:p w14:paraId="3F3EBDB4" w14:textId="77777777" w:rsidR="00325BD5" w:rsidRDefault="00325BD5">
      <w:r>
        <w:continuationSeparator/>
      </w:r>
    </w:p>
  </w:endnote>
  <w:endnote w:type="continuationNotice" w:id="1">
    <w:p w14:paraId="5EF571BE" w14:textId="77777777" w:rsidR="00325BD5" w:rsidRDefault="00325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25BD5" w14:paraId="5F295F95" w14:textId="77777777" w:rsidTr="005F48ED">
      <w:trPr>
        <w:trHeight w:hRule="exact" w:val="567"/>
      </w:trPr>
      <w:tc>
        <w:tcPr>
          <w:tcW w:w="510" w:type="dxa"/>
        </w:tcPr>
        <w:p w14:paraId="02702BDB" w14:textId="77777777" w:rsidR="00325BD5" w:rsidRPr="00A24443" w:rsidRDefault="00325BD5"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E6379">
            <w:rPr>
              <w:rStyle w:val="PageNumber"/>
              <w:caps w:val="0"/>
              <w:noProof/>
            </w:rPr>
            <w:t>8</w:t>
          </w:r>
          <w:r w:rsidRPr="00A24443">
            <w:rPr>
              <w:rStyle w:val="PageNumber"/>
              <w:caps w:val="0"/>
            </w:rPr>
            <w:fldChar w:fldCharType="end"/>
          </w:r>
        </w:p>
      </w:tc>
      <w:tc>
        <w:tcPr>
          <w:tcW w:w="7767" w:type="dxa"/>
        </w:tcPr>
        <w:p w14:paraId="5BBB7A69" w14:textId="6C39F209" w:rsidR="00325BD5" w:rsidRDefault="00325BD5" w:rsidP="0013739A">
          <w:pPr>
            <w:pStyle w:val="Footer"/>
            <w:rPr>
              <w:rFonts w:cs="Arial"/>
            </w:rPr>
          </w:pPr>
          <w:r>
            <w:rPr>
              <w:rFonts w:cs="Arial"/>
            </w:rPr>
            <w:t>National Water Reform 2020</w:t>
          </w:r>
          <w:bookmarkStart w:id="2" w:name="DraftReportEven"/>
          <w:bookmarkEnd w:id="2"/>
        </w:p>
        <w:p w14:paraId="244F22EA" w14:textId="4253FC70" w:rsidR="00325BD5" w:rsidRPr="0013739A" w:rsidRDefault="00325BD5" w:rsidP="00827222">
          <w:pPr>
            <w:pStyle w:val="Footer"/>
            <w:spacing w:before="40"/>
            <w:rPr>
              <w:rFonts w:cs="Arial"/>
            </w:rPr>
          </w:pPr>
          <w:r w:rsidRPr="00827222">
            <w:rPr>
              <w:color w:val="808080"/>
            </w:rPr>
            <w:t>draft report</w:t>
          </w:r>
        </w:p>
      </w:tc>
      <w:tc>
        <w:tcPr>
          <w:tcW w:w="510" w:type="dxa"/>
        </w:tcPr>
        <w:p w14:paraId="0AFB20E3" w14:textId="77777777" w:rsidR="00325BD5" w:rsidRDefault="00325BD5" w:rsidP="0019293B">
          <w:pPr>
            <w:pStyle w:val="Footer"/>
          </w:pPr>
        </w:p>
      </w:tc>
    </w:tr>
  </w:tbl>
  <w:p w14:paraId="5144BD08" w14:textId="77777777" w:rsidR="00325BD5" w:rsidRDefault="00325BD5"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25BD5" w14:paraId="54C9FE89" w14:textId="77777777" w:rsidTr="005F48ED">
      <w:trPr>
        <w:trHeight w:hRule="exact" w:val="567"/>
      </w:trPr>
      <w:tc>
        <w:tcPr>
          <w:tcW w:w="510" w:type="dxa"/>
        </w:tcPr>
        <w:p w14:paraId="16BB2FFE" w14:textId="77777777" w:rsidR="00325BD5" w:rsidRDefault="00325BD5">
          <w:pPr>
            <w:pStyle w:val="Footer"/>
            <w:ind w:right="360" w:firstLine="360"/>
          </w:pPr>
        </w:p>
      </w:tc>
      <w:tc>
        <w:tcPr>
          <w:tcW w:w="7767" w:type="dxa"/>
        </w:tcPr>
        <w:p w14:paraId="473E4320" w14:textId="0A46F42B" w:rsidR="00325BD5" w:rsidRDefault="00325BD5" w:rsidP="0013739A">
          <w:pPr>
            <w:pStyle w:val="Footer"/>
            <w:jc w:val="right"/>
            <w:rPr>
              <w:rFonts w:cs="Arial"/>
            </w:rPr>
          </w:pPr>
          <w:r w:rsidRPr="00C678FB">
            <w:rPr>
              <w:rFonts w:cs="Arial"/>
            </w:rPr>
            <w:t>URBAN WATER SERVICES: REGIONAL AND REMOTE COMMUNITIES</w:t>
          </w:r>
        </w:p>
        <w:p w14:paraId="262CE117" w14:textId="49D78978" w:rsidR="00325BD5" w:rsidRPr="00827222" w:rsidRDefault="00325BD5" w:rsidP="00827222">
          <w:pPr>
            <w:pStyle w:val="Footer"/>
            <w:spacing w:before="40"/>
            <w:jc w:val="right"/>
            <w:rPr>
              <w:rFonts w:cs="Arial"/>
              <w:color w:val="808080"/>
            </w:rPr>
          </w:pPr>
          <w:r w:rsidRPr="00827222">
            <w:rPr>
              <w:color w:val="808080"/>
            </w:rPr>
            <w:t>draft report</w:t>
          </w:r>
        </w:p>
      </w:tc>
      <w:tc>
        <w:tcPr>
          <w:tcW w:w="510" w:type="dxa"/>
        </w:tcPr>
        <w:p w14:paraId="22C40394" w14:textId="77777777" w:rsidR="00325BD5" w:rsidRPr="00A24443" w:rsidRDefault="00325BD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E6379">
            <w:rPr>
              <w:rStyle w:val="PageNumber"/>
              <w:caps w:val="0"/>
              <w:noProof/>
            </w:rPr>
            <w:t>7</w:t>
          </w:r>
          <w:r w:rsidRPr="00A24443">
            <w:rPr>
              <w:rStyle w:val="PageNumber"/>
              <w:caps w:val="0"/>
            </w:rPr>
            <w:fldChar w:fldCharType="end"/>
          </w:r>
        </w:p>
      </w:tc>
    </w:tr>
  </w:tbl>
  <w:p w14:paraId="6436A954" w14:textId="77777777" w:rsidR="00325BD5" w:rsidRDefault="00325BD5">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1A959" w14:textId="77777777" w:rsidR="00325BD5" w:rsidRDefault="00325BD5">
      <w:r>
        <w:separator/>
      </w:r>
    </w:p>
  </w:footnote>
  <w:footnote w:type="continuationSeparator" w:id="0">
    <w:p w14:paraId="1C02984B" w14:textId="77777777" w:rsidR="00325BD5" w:rsidRDefault="00325BD5">
      <w:r>
        <w:continuationSeparator/>
      </w:r>
    </w:p>
  </w:footnote>
  <w:footnote w:type="continuationNotice" w:id="1">
    <w:p w14:paraId="53EC6E26" w14:textId="77777777" w:rsidR="00325BD5" w:rsidRPr="00774BD5" w:rsidRDefault="00325BD5" w:rsidP="00774BD5">
      <w:pPr>
        <w:pStyle w:val="Footer"/>
      </w:pPr>
    </w:p>
  </w:footnote>
  <w:footnote w:id="2">
    <w:p w14:paraId="193376A0" w14:textId="252F4F4C" w:rsidR="00325BD5" w:rsidRDefault="00325BD5">
      <w:pPr>
        <w:pStyle w:val="FootnoteText"/>
      </w:pPr>
      <w:r w:rsidRPr="00C20339">
        <w:rPr>
          <w:rStyle w:val="FootnoteReference"/>
        </w:rPr>
        <w:footnoteRef/>
      </w:r>
      <w:r>
        <w:tab/>
        <w:t>NWI paragraph 90(i).</w:t>
      </w:r>
    </w:p>
  </w:footnote>
  <w:footnote w:id="3">
    <w:p w14:paraId="02386EBE" w14:textId="23C8291B" w:rsidR="00325BD5" w:rsidRDefault="00325BD5">
      <w:pPr>
        <w:pStyle w:val="FootnoteText"/>
      </w:pPr>
      <w:r w:rsidRPr="00C20339">
        <w:rPr>
          <w:rStyle w:val="FootnoteReference"/>
        </w:rPr>
        <w:footnoteRef/>
      </w:r>
      <w:r>
        <w:tab/>
        <w:t xml:space="preserve">For the purpose of this paper, ‘regional and remote’ are defined in accordance with the ABS remoteness areas </w:t>
      </w:r>
      <w:r w:rsidRPr="006E613C">
        <w:rPr>
          <w:szCs w:val="24"/>
        </w:rPr>
        <w:t>(ABS 2018)</w:t>
      </w:r>
      <w:r>
        <w:t>. Broadly, this encompasses all areas (both urban and rural) outside of the capital cities and nearby major cities. Although separately referred to in the terms of reference, rural communities (smaller communities outside of cities and towns) are defined as a subset of ‘regional and remote’ communities in this paper.</w:t>
      </w:r>
    </w:p>
  </w:footnote>
  <w:footnote w:id="4">
    <w:p w14:paraId="1E60348C" w14:textId="77777777" w:rsidR="00325BD5" w:rsidRDefault="00325BD5" w:rsidP="00C45C4D">
      <w:pPr>
        <w:pStyle w:val="FootnoteText"/>
      </w:pPr>
      <w:r w:rsidRPr="00C20339">
        <w:rPr>
          <w:rStyle w:val="FootnoteReference"/>
        </w:rPr>
        <w:footnoteRef/>
      </w:r>
      <w:r>
        <w:tab/>
        <w:t>NWI paragraph 66(v).</w:t>
      </w:r>
    </w:p>
  </w:footnote>
  <w:footnote w:id="5">
    <w:p w14:paraId="6D4C9337" w14:textId="4C7DFD8A" w:rsidR="00325BD5" w:rsidRDefault="00325BD5" w:rsidP="00A320B6">
      <w:pPr>
        <w:pStyle w:val="FootnoteText"/>
      </w:pPr>
      <w:r w:rsidRPr="00C20339">
        <w:rPr>
          <w:rStyle w:val="FootnoteReference"/>
        </w:rPr>
        <w:footnoteRef/>
      </w:r>
      <w:r>
        <w:tab/>
        <w:t xml:space="preserve">Defined as ‘water and wastewater services provided for rural irrigation and industrial users and in regional urban areas with less than 50,000 connections’ (NWI Schedule B(i)). </w:t>
      </w:r>
    </w:p>
  </w:footnote>
  <w:footnote w:id="6">
    <w:p w14:paraId="0CA09848" w14:textId="4C069096" w:rsidR="00325BD5" w:rsidRDefault="00325BD5">
      <w:pPr>
        <w:pStyle w:val="FootnoteText"/>
      </w:pPr>
      <w:r w:rsidRPr="00C20339">
        <w:rPr>
          <w:rStyle w:val="FootnoteReference"/>
        </w:rPr>
        <w:footnoteRef/>
      </w:r>
      <w:r>
        <w:tab/>
        <w:t>NWI paragraph 66(v)(a)</w:t>
      </w:r>
      <w:r w:rsidR="003D68B0">
        <w:t>-</w:t>
      </w:r>
      <w:r>
        <w:t>(b).</w:t>
      </w:r>
    </w:p>
  </w:footnote>
  <w:footnote w:id="7">
    <w:p w14:paraId="453B00ED" w14:textId="7AB10BA2" w:rsidR="00325BD5" w:rsidRDefault="00325BD5" w:rsidP="00A320B6">
      <w:pPr>
        <w:pStyle w:val="FootnoteText"/>
      </w:pPr>
      <w:r w:rsidRPr="00C20339">
        <w:rPr>
          <w:rStyle w:val="FootnoteReference"/>
        </w:rPr>
        <w:footnoteRef/>
      </w:r>
      <w:r>
        <w:tab/>
        <w:t>NWI paragraph 66(v)(c).</w:t>
      </w:r>
    </w:p>
  </w:footnote>
  <w:footnote w:id="8">
    <w:p w14:paraId="2D16EA70" w14:textId="47B263F1" w:rsidR="00325BD5" w:rsidRDefault="00325BD5">
      <w:pPr>
        <w:pStyle w:val="FootnoteText"/>
      </w:pPr>
      <w:r w:rsidRPr="00C20339">
        <w:rPr>
          <w:rStyle w:val="FootnoteReference"/>
        </w:rPr>
        <w:footnoteRef/>
      </w:r>
      <w:r>
        <w:tab/>
        <w:t>NSW Water Directorate, sub. 37; qldwater, sub. 47; CNSWJO, sub. 55.</w:t>
      </w:r>
    </w:p>
  </w:footnote>
  <w:footnote w:id="9">
    <w:p w14:paraId="58950107" w14:textId="11A291F1" w:rsidR="00325BD5" w:rsidRDefault="00325BD5" w:rsidP="007B14FF">
      <w:pPr>
        <w:pStyle w:val="FootnoteText"/>
      </w:pPr>
      <w:r w:rsidRPr="00C20339">
        <w:rPr>
          <w:rStyle w:val="FootnoteReference"/>
        </w:rPr>
        <w:footnoteRef/>
      </w:r>
      <w:r>
        <w:tab/>
        <w:t>LGAQ, sub. 32</w:t>
      </w:r>
      <w:r w:rsidRPr="009F14B5">
        <w:t>, pp. 5</w:t>
      </w:r>
      <w:r w:rsidRPr="009F14B5">
        <w:noBreakHyphen/>
        <w:t>6</w:t>
      </w:r>
      <w:r>
        <w:t>; NSW Water Directorate, sub. 37</w:t>
      </w:r>
      <w:r w:rsidRPr="009F14B5">
        <w:t>, p. 12</w:t>
      </w:r>
      <w:r>
        <w:t>; qldwater, sub. 47</w:t>
      </w:r>
      <w:r w:rsidRPr="009F14B5">
        <w:t>, p. 17</w:t>
      </w:r>
      <w:r>
        <w:t>; CNSWJO, sub. 55</w:t>
      </w:r>
      <w:r w:rsidRPr="009F14B5">
        <w:t>, p. 15</w:t>
      </w:r>
      <w:r>
        <w:t>; LGNSW, sub. 75</w:t>
      </w:r>
      <w:r w:rsidRPr="009F14B5">
        <w:t>, p. 5</w:t>
      </w:r>
      <w:r>
        <w:t>; WSAA, sub. 88</w:t>
      </w:r>
      <w:r w:rsidRPr="009F14B5">
        <w:t>, p. 42.</w:t>
      </w:r>
    </w:p>
  </w:footnote>
  <w:footnote w:id="10">
    <w:p w14:paraId="3A7F58C6" w14:textId="062A91E4" w:rsidR="00325BD5" w:rsidRPr="00260C86" w:rsidRDefault="00325BD5">
      <w:pPr>
        <w:pStyle w:val="FootnoteText"/>
        <w:rPr>
          <w:spacing w:val="-2"/>
        </w:rPr>
      </w:pPr>
      <w:r w:rsidRPr="00260C86">
        <w:rPr>
          <w:rStyle w:val="FootnoteReference"/>
          <w:spacing w:val="-2"/>
        </w:rPr>
        <w:footnoteRef/>
      </w:r>
      <w:r w:rsidRPr="00260C86">
        <w:rPr>
          <w:spacing w:val="-2"/>
        </w:rPr>
        <w:tab/>
        <w:t>That is, full user charging would exceed the willingness of users to pay (SP I </w:t>
      </w:r>
      <w:r w:rsidRPr="00260C86">
        <w:rPr>
          <w:i/>
          <w:spacing w:val="-2"/>
        </w:rPr>
        <w:t>Infrastructure</w:t>
      </w:r>
      <w:r w:rsidRPr="00260C86">
        <w:rPr>
          <w:spacing w:val="-2"/>
        </w:rPr>
        <w:t>). A commercially</w:t>
      </w:r>
      <w:r w:rsidRPr="00260C86">
        <w:rPr>
          <w:spacing w:val="-2"/>
        </w:rPr>
        <w:noBreakHyphen/>
        <w:t xml:space="preserve">focused entity would not provide the service as consumers would be unwilling (or unable) to pay prices that would meet the full cost of supply (inclusive of a competitive return on capital and management). This definition of a ‘commercial’ service is based on a provider charging at the ‘upper bound’ (Upper and lower bound pricing are discussed in </w:t>
      </w:r>
      <w:r w:rsidRPr="00260C86">
        <w:rPr>
          <w:i/>
          <w:spacing w:val="-2"/>
        </w:rPr>
        <w:t>Assessment</w:t>
      </w:r>
      <w:r w:rsidRPr="00260C86">
        <w:rPr>
          <w:spacing w:val="-2"/>
        </w:rPr>
        <w:t>.) Under the NWI, many regional providers charge at the ‘lower bound’ only and do not earn a return on existing capital. Permitting lower bound pricing, by accepting a lower rate of return for a government</w:t>
      </w:r>
      <w:r w:rsidRPr="00260C86">
        <w:rPr>
          <w:spacing w:val="-2"/>
        </w:rPr>
        <w:noBreakHyphen/>
        <w:t xml:space="preserve">owned corporation, constitutes a form of CSO funding for an uncommercial service </w:t>
      </w:r>
      <w:r w:rsidRPr="00260C86">
        <w:rPr>
          <w:spacing w:val="-2"/>
          <w:szCs w:val="24"/>
        </w:rPr>
        <w:t>(IC 1997, p. 24)</w:t>
      </w:r>
      <w:r w:rsidRPr="00260C86">
        <w:rPr>
          <w:spacing w:val="-2"/>
        </w:rPr>
        <w:t xml:space="preserve">. The discussion in this paper focuses solely on where </w:t>
      </w:r>
      <w:r w:rsidRPr="00260C86">
        <w:rPr>
          <w:i/>
          <w:spacing w:val="-2"/>
        </w:rPr>
        <w:t>additional</w:t>
      </w:r>
      <w:r w:rsidRPr="00260C86">
        <w:rPr>
          <w:spacing w:val="-2"/>
        </w:rPr>
        <w:t xml:space="preserve"> CSO funding is required to enable providers in high</w:t>
      </w:r>
      <w:r w:rsidRPr="00260C86">
        <w:rPr>
          <w:spacing w:val="-2"/>
        </w:rPr>
        <w:noBreakHyphen/>
        <w:t>cost areas to achieve lower bound cost recovery.</w:t>
      </w:r>
    </w:p>
  </w:footnote>
  <w:footnote w:id="11">
    <w:p w14:paraId="3A464F5D" w14:textId="4034FC85" w:rsidR="00325BD5" w:rsidRDefault="00325BD5">
      <w:pPr>
        <w:pStyle w:val="FootnoteText"/>
      </w:pPr>
      <w:r w:rsidRPr="00C20339">
        <w:rPr>
          <w:rStyle w:val="FootnoteReference"/>
        </w:rPr>
        <w:footnoteRef/>
      </w:r>
      <w:r>
        <w:tab/>
        <w:t>The technical ABS term is ‘discrete communities’.</w:t>
      </w:r>
    </w:p>
  </w:footnote>
  <w:footnote w:id="12">
    <w:p w14:paraId="2620EECC" w14:textId="3B86BA35" w:rsidR="00325BD5" w:rsidRDefault="00325BD5">
      <w:pPr>
        <w:pStyle w:val="FootnoteText"/>
      </w:pPr>
      <w:r w:rsidRPr="00C20339">
        <w:rPr>
          <w:rStyle w:val="FootnoteReference"/>
        </w:rPr>
        <w:footnoteRef/>
      </w:r>
      <w:r>
        <w:tab/>
        <w:t>Hall et al., sub. 84, p. 6; WSAA, sub. 88, p. 42.</w:t>
      </w:r>
    </w:p>
  </w:footnote>
  <w:footnote w:id="13">
    <w:p w14:paraId="2A6FC205" w14:textId="77777777" w:rsidR="00325BD5" w:rsidRDefault="00325BD5" w:rsidP="007016C1">
      <w:pPr>
        <w:pStyle w:val="FootnoteText"/>
      </w:pPr>
      <w:r w:rsidRPr="00C20339">
        <w:rPr>
          <w:rStyle w:val="FootnoteReference"/>
        </w:rPr>
        <w:footnoteRef/>
      </w:r>
      <w:r>
        <w:tab/>
        <w:t>NWI paragraph 90(i).</w:t>
      </w:r>
    </w:p>
  </w:footnote>
  <w:footnote w:id="14">
    <w:p w14:paraId="6965E9EA" w14:textId="05FF1372" w:rsidR="00325BD5" w:rsidRDefault="00325BD5" w:rsidP="00CD0DD8">
      <w:pPr>
        <w:pStyle w:val="FootnoteText"/>
      </w:pPr>
      <w:r w:rsidRPr="00C20339">
        <w:rPr>
          <w:rStyle w:val="FootnoteReference"/>
        </w:rPr>
        <w:footnoteRef/>
      </w:r>
      <w:r>
        <w:tab/>
        <w:t>NWI paragraph 7 refers to the National Water Quality Management Strategy under which the ADWG are maintained.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325BD5" w14:paraId="16130277" w14:textId="77777777">
      <w:tc>
        <w:tcPr>
          <w:tcW w:w="2155" w:type="dxa"/>
          <w:tcBorders>
            <w:top w:val="single" w:sz="24" w:space="0" w:color="auto"/>
          </w:tcBorders>
        </w:tcPr>
        <w:p w14:paraId="135112C0" w14:textId="77777777" w:rsidR="00325BD5" w:rsidRDefault="00325BD5" w:rsidP="0019293B">
          <w:pPr>
            <w:pStyle w:val="HeaderEven"/>
          </w:pPr>
        </w:p>
      </w:tc>
      <w:tc>
        <w:tcPr>
          <w:tcW w:w="6634" w:type="dxa"/>
          <w:tcBorders>
            <w:top w:val="single" w:sz="6" w:space="0" w:color="auto"/>
          </w:tcBorders>
        </w:tcPr>
        <w:p w14:paraId="284910B7" w14:textId="77777777" w:rsidR="00325BD5" w:rsidRDefault="00325BD5" w:rsidP="0019293B">
          <w:pPr>
            <w:pStyle w:val="HeaderEven"/>
          </w:pPr>
        </w:p>
      </w:tc>
    </w:tr>
  </w:tbl>
  <w:p w14:paraId="72525BBB" w14:textId="77777777" w:rsidR="00325BD5" w:rsidRDefault="00325BD5"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25BD5" w14:paraId="5D4C94B6" w14:textId="77777777">
      <w:tc>
        <w:tcPr>
          <w:tcW w:w="6634" w:type="dxa"/>
          <w:tcBorders>
            <w:top w:val="single" w:sz="6" w:space="0" w:color="auto"/>
          </w:tcBorders>
        </w:tcPr>
        <w:p w14:paraId="0193B579" w14:textId="77777777" w:rsidR="00325BD5" w:rsidRDefault="00325BD5" w:rsidP="00E669E2">
          <w:pPr>
            <w:pStyle w:val="HeaderOdd"/>
          </w:pPr>
        </w:p>
      </w:tc>
      <w:tc>
        <w:tcPr>
          <w:tcW w:w="2155" w:type="dxa"/>
          <w:tcBorders>
            <w:top w:val="single" w:sz="24" w:space="0" w:color="auto"/>
          </w:tcBorders>
        </w:tcPr>
        <w:p w14:paraId="1AA594DD" w14:textId="77777777" w:rsidR="00325BD5" w:rsidRDefault="00325BD5" w:rsidP="00E669E2">
          <w:pPr>
            <w:pStyle w:val="HeaderOdd"/>
          </w:pPr>
        </w:p>
      </w:tc>
    </w:tr>
  </w:tbl>
  <w:p w14:paraId="5DF1F8D2" w14:textId="77777777" w:rsidR="00325BD5" w:rsidRDefault="00325BD5"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56E0D36"/>
    <w:multiLevelType w:val="hybridMultilevel"/>
    <w:tmpl w:val="DFC4F2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A377FE3"/>
    <w:multiLevelType w:val="hybridMultilevel"/>
    <w:tmpl w:val="FB7A3BB4"/>
    <w:lvl w:ilvl="0" w:tplc="250223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D25A4C"/>
    <w:multiLevelType w:val="hybridMultilevel"/>
    <w:tmpl w:val="BF42ED3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1" w15:restartNumberingAfterBreak="0">
    <w:nsid w:val="12CB32E3"/>
    <w:multiLevelType w:val="hybridMultilevel"/>
    <w:tmpl w:val="80189BF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D2E1C17"/>
    <w:multiLevelType w:val="hybridMultilevel"/>
    <w:tmpl w:val="64E4F7F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056263"/>
    <w:multiLevelType w:val="hybridMultilevel"/>
    <w:tmpl w:val="0AC46A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1726E5"/>
    <w:multiLevelType w:val="hybridMultilevel"/>
    <w:tmpl w:val="53CE9E4C"/>
    <w:lvl w:ilvl="0" w:tplc="0F4291A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855E2A"/>
    <w:multiLevelType w:val="hybridMultilevel"/>
    <w:tmpl w:val="9B3A9FB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15:restartNumberingAfterBreak="0">
    <w:nsid w:val="24230DA4"/>
    <w:multiLevelType w:val="hybridMultilevel"/>
    <w:tmpl w:val="850A4E9E"/>
    <w:lvl w:ilvl="0" w:tplc="E19C9AB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2F1D1B59"/>
    <w:multiLevelType w:val="hybridMultilevel"/>
    <w:tmpl w:val="D5DAAD58"/>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2" w15:restartNumberingAfterBreak="0">
    <w:nsid w:val="31E83E8F"/>
    <w:multiLevelType w:val="hybridMultilevel"/>
    <w:tmpl w:val="BDCE175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552BA2"/>
    <w:multiLevelType w:val="hybridMultilevel"/>
    <w:tmpl w:val="5F466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F13D1F"/>
    <w:multiLevelType w:val="hybridMultilevel"/>
    <w:tmpl w:val="5748DD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5FE1B25"/>
    <w:multiLevelType w:val="hybridMultilevel"/>
    <w:tmpl w:val="11D22334"/>
    <w:lvl w:ilvl="0" w:tplc="14A20C10">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CF7AC4"/>
    <w:multiLevelType w:val="hybridMultilevel"/>
    <w:tmpl w:val="AFBAEEEC"/>
    <w:lvl w:ilvl="0" w:tplc="0D14FC5A">
      <w:start w:val="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3732EC"/>
    <w:multiLevelType w:val="hybridMultilevel"/>
    <w:tmpl w:val="AAB21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E57AD9"/>
    <w:multiLevelType w:val="hybridMultilevel"/>
    <w:tmpl w:val="DDA6BA2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69F7A18"/>
    <w:multiLevelType w:val="hybridMultilevel"/>
    <w:tmpl w:val="98D8FC6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0"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577BF0"/>
    <w:multiLevelType w:val="hybridMultilevel"/>
    <w:tmpl w:val="0DF854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34B30C0"/>
    <w:multiLevelType w:val="hybridMultilevel"/>
    <w:tmpl w:val="E30A7C86"/>
    <w:lvl w:ilvl="0" w:tplc="7D9C44C6">
      <w:start w:val="1"/>
      <w:numFmt w:val="bullet"/>
      <w:lvlText w:val="~"/>
      <w:lvlJc w:val="left"/>
      <w:pPr>
        <w:tabs>
          <w:tab w:val="num" w:pos="720"/>
        </w:tabs>
        <w:ind w:left="720" w:hanging="360"/>
      </w:pPr>
      <w:rPr>
        <w:rFonts w:ascii="Calibri" w:hAnsi="Calibri" w:hint="default"/>
      </w:rPr>
    </w:lvl>
    <w:lvl w:ilvl="1" w:tplc="EB7A5640">
      <w:start w:val="1"/>
      <w:numFmt w:val="bullet"/>
      <w:lvlText w:val="~"/>
      <w:lvlJc w:val="left"/>
      <w:pPr>
        <w:tabs>
          <w:tab w:val="num" w:pos="1440"/>
        </w:tabs>
        <w:ind w:left="1440" w:hanging="360"/>
      </w:pPr>
      <w:rPr>
        <w:rFonts w:ascii="Calibri" w:hAnsi="Calibri" w:hint="default"/>
      </w:rPr>
    </w:lvl>
    <w:lvl w:ilvl="2" w:tplc="3FD2CFE0" w:tentative="1">
      <w:start w:val="1"/>
      <w:numFmt w:val="bullet"/>
      <w:lvlText w:val="~"/>
      <w:lvlJc w:val="left"/>
      <w:pPr>
        <w:tabs>
          <w:tab w:val="num" w:pos="2160"/>
        </w:tabs>
        <w:ind w:left="2160" w:hanging="360"/>
      </w:pPr>
      <w:rPr>
        <w:rFonts w:ascii="Calibri" w:hAnsi="Calibri" w:hint="default"/>
      </w:rPr>
    </w:lvl>
    <w:lvl w:ilvl="3" w:tplc="4142E7CA" w:tentative="1">
      <w:start w:val="1"/>
      <w:numFmt w:val="bullet"/>
      <w:lvlText w:val="~"/>
      <w:lvlJc w:val="left"/>
      <w:pPr>
        <w:tabs>
          <w:tab w:val="num" w:pos="2880"/>
        </w:tabs>
        <w:ind w:left="2880" w:hanging="360"/>
      </w:pPr>
      <w:rPr>
        <w:rFonts w:ascii="Calibri" w:hAnsi="Calibri" w:hint="default"/>
      </w:rPr>
    </w:lvl>
    <w:lvl w:ilvl="4" w:tplc="C65440F0" w:tentative="1">
      <w:start w:val="1"/>
      <w:numFmt w:val="bullet"/>
      <w:lvlText w:val="~"/>
      <w:lvlJc w:val="left"/>
      <w:pPr>
        <w:tabs>
          <w:tab w:val="num" w:pos="3600"/>
        </w:tabs>
        <w:ind w:left="3600" w:hanging="360"/>
      </w:pPr>
      <w:rPr>
        <w:rFonts w:ascii="Calibri" w:hAnsi="Calibri" w:hint="default"/>
      </w:rPr>
    </w:lvl>
    <w:lvl w:ilvl="5" w:tplc="C0366A8A" w:tentative="1">
      <w:start w:val="1"/>
      <w:numFmt w:val="bullet"/>
      <w:lvlText w:val="~"/>
      <w:lvlJc w:val="left"/>
      <w:pPr>
        <w:tabs>
          <w:tab w:val="num" w:pos="4320"/>
        </w:tabs>
        <w:ind w:left="4320" w:hanging="360"/>
      </w:pPr>
      <w:rPr>
        <w:rFonts w:ascii="Calibri" w:hAnsi="Calibri" w:hint="default"/>
      </w:rPr>
    </w:lvl>
    <w:lvl w:ilvl="6" w:tplc="AE00A1A6" w:tentative="1">
      <w:start w:val="1"/>
      <w:numFmt w:val="bullet"/>
      <w:lvlText w:val="~"/>
      <w:lvlJc w:val="left"/>
      <w:pPr>
        <w:tabs>
          <w:tab w:val="num" w:pos="5040"/>
        </w:tabs>
        <w:ind w:left="5040" w:hanging="360"/>
      </w:pPr>
      <w:rPr>
        <w:rFonts w:ascii="Calibri" w:hAnsi="Calibri" w:hint="default"/>
      </w:rPr>
    </w:lvl>
    <w:lvl w:ilvl="7" w:tplc="F662B034" w:tentative="1">
      <w:start w:val="1"/>
      <w:numFmt w:val="bullet"/>
      <w:lvlText w:val="~"/>
      <w:lvlJc w:val="left"/>
      <w:pPr>
        <w:tabs>
          <w:tab w:val="num" w:pos="5760"/>
        </w:tabs>
        <w:ind w:left="5760" w:hanging="360"/>
      </w:pPr>
      <w:rPr>
        <w:rFonts w:ascii="Calibri" w:hAnsi="Calibri" w:hint="default"/>
      </w:rPr>
    </w:lvl>
    <w:lvl w:ilvl="8" w:tplc="4A2A9BAE"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54382D6E"/>
    <w:multiLevelType w:val="singleLevel"/>
    <w:tmpl w:val="B6903C52"/>
    <w:lvl w:ilvl="0">
      <w:numFmt w:val="bullet"/>
      <w:pStyle w:val="ListBullet"/>
      <w:lvlText w:val=""/>
      <w:lvlJc w:val="left"/>
      <w:pPr>
        <w:tabs>
          <w:tab w:val="num" w:pos="340"/>
        </w:tabs>
        <w:ind w:left="340" w:hanging="340"/>
      </w:pPr>
      <w:rPr>
        <w:rFonts w:ascii="Symbol" w:hAnsi="Symbol" w:hint="default"/>
        <w:sz w:val="18"/>
      </w:rPr>
    </w:lvl>
  </w:abstractNum>
  <w:abstractNum w:abstractNumId="3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5" w15:restartNumberingAfterBreak="0">
    <w:nsid w:val="54452A9B"/>
    <w:multiLevelType w:val="hybridMultilevel"/>
    <w:tmpl w:val="8FAC6154"/>
    <w:lvl w:ilvl="0" w:tplc="E19C9AB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7" w15:restartNumberingAfterBreak="0">
    <w:nsid w:val="57F10126"/>
    <w:multiLevelType w:val="hybridMultilevel"/>
    <w:tmpl w:val="BDE46E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5A1E6AB5"/>
    <w:multiLevelType w:val="hybridMultilevel"/>
    <w:tmpl w:val="B36EFC46"/>
    <w:lvl w:ilvl="0" w:tplc="2988B59C">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1" w15:restartNumberingAfterBreak="0">
    <w:nsid w:val="5E0A6467"/>
    <w:multiLevelType w:val="hybridMultilevel"/>
    <w:tmpl w:val="0A861C10"/>
    <w:lvl w:ilvl="0" w:tplc="F33AC110">
      <w:start w:val="1"/>
      <w:numFmt w:val="bullet"/>
      <w:lvlText w:val=""/>
      <w:lvlJc w:val="left"/>
      <w:pPr>
        <w:tabs>
          <w:tab w:val="num" w:pos="720"/>
        </w:tabs>
        <w:ind w:left="720" w:hanging="360"/>
      </w:pPr>
      <w:rPr>
        <w:rFonts w:ascii="Wingdings" w:hAnsi="Wingdings" w:hint="default"/>
      </w:rPr>
    </w:lvl>
    <w:lvl w:ilvl="1" w:tplc="06D0B1F0">
      <w:start w:val="206"/>
      <w:numFmt w:val="bullet"/>
      <w:lvlText w:val="~"/>
      <w:lvlJc w:val="left"/>
      <w:pPr>
        <w:tabs>
          <w:tab w:val="num" w:pos="1440"/>
        </w:tabs>
        <w:ind w:left="1440" w:hanging="360"/>
      </w:pPr>
      <w:rPr>
        <w:rFonts w:ascii="Calibri" w:hAnsi="Calibri" w:hint="default"/>
      </w:rPr>
    </w:lvl>
    <w:lvl w:ilvl="2" w:tplc="D5C4687E" w:tentative="1">
      <w:start w:val="1"/>
      <w:numFmt w:val="bullet"/>
      <w:lvlText w:val=""/>
      <w:lvlJc w:val="left"/>
      <w:pPr>
        <w:tabs>
          <w:tab w:val="num" w:pos="2160"/>
        </w:tabs>
        <w:ind w:left="2160" w:hanging="360"/>
      </w:pPr>
      <w:rPr>
        <w:rFonts w:ascii="Wingdings" w:hAnsi="Wingdings" w:hint="default"/>
      </w:rPr>
    </w:lvl>
    <w:lvl w:ilvl="3" w:tplc="48961102" w:tentative="1">
      <w:start w:val="1"/>
      <w:numFmt w:val="bullet"/>
      <w:lvlText w:val=""/>
      <w:lvlJc w:val="left"/>
      <w:pPr>
        <w:tabs>
          <w:tab w:val="num" w:pos="2880"/>
        </w:tabs>
        <w:ind w:left="2880" w:hanging="360"/>
      </w:pPr>
      <w:rPr>
        <w:rFonts w:ascii="Wingdings" w:hAnsi="Wingdings" w:hint="default"/>
      </w:rPr>
    </w:lvl>
    <w:lvl w:ilvl="4" w:tplc="C906A834" w:tentative="1">
      <w:start w:val="1"/>
      <w:numFmt w:val="bullet"/>
      <w:lvlText w:val=""/>
      <w:lvlJc w:val="left"/>
      <w:pPr>
        <w:tabs>
          <w:tab w:val="num" w:pos="3600"/>
        </w:tabs>
        <w:ind w:left="3600" w:hanging="360"/>
      </w:pPr>
      <w:rPr>
        <w:rFonts w:ascii="Wingdings" w:hAnsi="Wingdings" w:hint="default"/>
      </w:rPr>
    </w:lvl>
    <w:lvl w:ilvl="5" w:tplc="7B82AAF0" w:tentative="1">
      <w:start w:val="1"/>
      <w:numFmt w:val="bullet"/>
      <w:lvlText w:val=""/>
      <w:lvlJc w:val="left"/>
      <w:pPr>
        <w:tabs>
          <w:tab w:val="num" w:pos="4320"/>
        </w:tabs>
        <w:ind w:left="4320" w:hanging="360"/>
      </w:pPr>
      <w:rPr>
        <w:rFonts w:ascii="Wingdings" w:hAnsi="Wingdings" w:hint="default"/>
      </w:rPr>
    </w:lvl>
    <w:lvl w:ilvl="6" w:tplc="52A4CD06" w:tentative="1">
      <w:start w:val="1"/>
      <w:numFmt w:val="bullet"/>
      <w:lvlText w:val=""/>
      <w:lvlJc w:val="left"/>
      <w:pPr>
        <w:tabs>
          <w:tab w:val="num" w:pos="5040"/>
        </w:tabs>
        <w:ind w:left="5040" w:hanging="360"/>
      </w:pPr>
      <w:rPr>
        <w:rFonts w:ascii="Wingdings" w:hAnsi="Wingdings" w:hint="default"/>
      </w:rPr>
    </w:lvl>
    <w:lvl w:ilvl="7" w:tplc="0F4AE18C" w:tentative="1">
      <w:start w:val="1"/>
      <w:numFmt w:val="bullet"/>
      <w:lvlText w:val=""/>
      <w:lvlJc w:val="left"/>
      <w:pPr>
        <w:tabs>
          <w:tab w:val="num" w:pos="5760"/>
        </w:tabs>
        <w:ind w:left="5760" w:hanging="360"/>
      </w:pPr>
      <w:rPr>
        <w:rFonts w:ascii="Wingdings" w:hAnsi="Wingdings" w:hint="default"/>
      </w:rPr>
    </w:lvl>
    <w:lvl w:ilvl="8" w:tplc="602E5DF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9B6D2B"/>
    <w:multiLevelType w:val="hybridMultilevel"/>
    <w:tmpl w:val="A2B211E6"/>
    <w:lvl w:ilvl="0" w:tplc="85A236E6">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5" w15:restartNumberingAfterBreak="0">
    <w:nsid w:val="654140E1"/>
    <w:multiLevelType w:val="hybridMultilevel"/>
    <w:tmpl w:val="AC2C8DA0"/>
    <w:lvl w:ilvl="0" w:tplc="0C090001">
      <w:start w:val="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74467DC"/>
    <w:multiLevelType w:val="hybridMultilevel"/>
    <w:tmpl w:val="8ACA119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A440590"/>
    <w:multiLevelType w:val="hybridMultilevel"/>
    <w:tmpl w:val="4D84112A"/>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0B778B9"/>
    <w:multiLevelType w:val="hybridMultilevel"/>
    <w:tmpl w:val="FD2078B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3E735DB"/>
    <w:multiLevelType w:val="hybridMultilevel"/>
    <w:tmpl w:val="230CDDDC"/>
    <w:lvl w:ilvl="0" w:tplc="3DFC5E1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5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52" w15:restartNumberingAfterBreak="0">
    <w:nsid w:val="7BFC5107"/>
    <w:multiLevelType w:val="hybridMultilevel"/>
    <w:tmpl w:val="8E909F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C547263"/>
    <w:multiLevelType w:val="hybridMultilevel"/>
    <w:tmpl w:val="C2A235AA"/>
    <w:lvl w:ilvl="0" w:tplc="0D26D1B0">
      <w:start w:val="8"/>
      <w:numFmt w:val="bullet"/>
      <w:lvlText w:val="-"/>
      <w:lvlJc w:val="left"/>
      <w:pPr>
        <w:ind w:left="366" w:hanging="360"/>
      </w:pPr>
      <w:rPr>
        <w:rFonts w:ascii="Arial" w:eastAsia="Times New Roman" w:hAnsi="Arial" w:cs="Aria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54" w15:restartNumberingAfterBreak="0">
    <w:nsid w:val="7D21243E"/>
    <w:multiLevelType w:val="hybridMultilevel"/>
    <w:tmpl w:val="074EB6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2"/>
  </w:num>
  <w:num w:numId="3">
    <w:abstractNumId w:val="33"/>
  </w:num>
  <w:num w:numId="4">
    <w:abstractNumId w:val="3"/>
  </w:num>
  <w:num w:numId="5">
    <w:abstractNumId w:val="44"/>
  </w:num>
  <w:num w:numId="6">
    <w:abstractNumId w:val="36"/>
  </w:num>
  <w:num w:numId="7">
    <w:abstractNumId w:val="10"/>
  </w:num>
  <w:num w:numId="8">
    <w:abstractNumId w:val="34"/>
  </w:num>
  <w:num w:numId="9">
    <w:abstractNumId w:val="9"/>
  </w:num>
  <w:num w:numId="10">
    <w:abstractNumId w:val="8"/>
  </w:num>
  <w:num w:numId="11">
    <w:abstractNumId w:val="17"/>
  </w:num>
  <w:num w:numId="12">
    <w:abstractNumId w:val="19"/>
  </w:num>
  <w:num w:numId="13">
    <w:abstractNumId w:val="5"/>
  </w:num>
  <w:num w:numId="14">
    <w:abstractNumId w:val="38"/>
  </w:num>
  <w:num w:numId="15">
    <w:abstractNumId w:val="50"/>
  </w:num>
  <w:num w:numId="16">
    <w:abstractNumId w:val="30"/>
  </w:num>
  <w:num w:numId="17">
    <w:abstractNumId w:val="5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42"/>
  </w:num>
  <w:num w:numId="21">
    <w:abstractNumId w:val="12"/>
  </w:num>
  <w:num w:numId="22">
    <w:abstractNumId w:val="26"/>
  </w:num>
  <w:num w:numId="23">
    <w:abstractNumId w:val="40"/>
  </w:num>
  <w:num w:numId="24">
    <w:abstractNumId w:val="11"/>
  </w:num>
  <w:num w:numId="25">
    <w:abstractNumId w:val="39"/>
  </w:num>
  <w:num w:numId="26">
    <w:abstractNumId w:val="43"/>
  </w:num>
  <w:num w:numId="27">
    <w:abstractNumId w:val="47"/>
  </w:num>
  <w:num w:numId="28">
    <w:abstractNumId w:val="22"/>
  </w:num>
  <w:num w:numId="29">
    <w:abstractNumId w:val="32"/>
  </w:num>
  <w:num w:numId="30">
    <w:abstractNumId w:val="41"/>
  </w:num>
  <w:num w:numId="31">
    <w:abstractNumId w:val="49"/>
  </w:num>
  <w:num w:numId="32">
    <w:abstractNumId w:val="18"/>
  </w:num>
  <w:num w:numId="33">
    <w:abstractNumId w:val="35"/>
  </w:num>
  <w:num w:numId="34">
    <w:abstractNumId w:val="27"/>
  </w:num>
  <w:num w:numId="35">
    <w:abstractNumId w:val="29"/>
  </w:num>
  <w:num w:numId="36">
    <w:abstractNumId w:val="52"/>
  </w:num>
  <w:num w:numId="37">
    <w:abstractNumId w:val="23"/>
  </w:num>
  <w:num w:numId="38">
    <w:abstractNumId w:val="31"/>
  </w:num>
  <w:num w:numId="39">
    <w:abstractNumId w:val="48"/>
  </w:num>
  <w:num w:numId="40">
    <w:abstractNumId w:val="16"/>
  </w:num>
  <w:num w:numId="41">
    <w:abstractNumId w:val="53"/>
  </w:num>
  <w:num w:numId="42">
    <w:abstractNumId w:val="54"/>
  </w:num>
  <w:num w:numId="43">
    <w:abstractNumId w:val="13"/>
  </w:num>
  <w:num w:numId="44">
    <w:abstractNumId w:val="15"/>
  </w:num>
  <w:num w:numId="45">
    <w:abstractNumId w:val="20"/>
  </w:num>
  <w:num w:numId="46">
    <w:abstractNumId w:val="46"/>
  </w:num>
  <w:num w:numId="47">
    <w:abstractNumId w:val="24"/>
  </w:num>
  <w:num w:numId="48">
    <w:abstractNumId w:val="37"/>
  </w:num>
  <w:num w:numId="49">
    <w:abstractNumId w:val="4"/>
  </w:num>
  <w:num w:numId="50">
    <w:abstractNumId w:val="25"/>
  </w:num>
  <w:num w:numId="51">
    <w:abstractNumId w:val="7"/>
  </w:num>
  <w:num w:numId="52">
    <w:abstractNumId w:val="28"/>
  </w:num>
  <w:num w:numId="53">
    <w:abstractNumId w:val="6"/>
  </w:num>
  <w:num w:numId="54">
    <w:abstractNumId w:val="14"/>
  </w:num>
  <w:num w:numId="5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90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Urban water services: regional and remote"/>
    <w:docVar w:name="ShortReportTitle" w:val="National Water Reform 2020"/>
  </w:docVars>
  <w:rsids>
    <w:rsidRoot w:val="005D4227"/>
    <w:rsid w:val="000009DB"/>
    <w:rsid w:val="000014AD"/>
    <w:rsid w:val="00001CBB"/>
    <w:rsid w:val="00002AFA"/>
    <w:rsid w:val="00002B22"/>
    <w:rsid w:val="0000369B"/>
    <w:rsid w:val="00003C72"/>
    <w:rsid w:val="00003D9E"/>
    <w:rsid w:val="00004E49"/>
    <w:rsid w:val="000051DD"/>
    <w:rsid w:val="000051E4"/>
    <w:rsid w:val="0000585F"/>
    <w:rsid w:val="00006D9A"/>
    <w:rsid w:val="00007DDC"/>
    <w:rsid w:val="0001048E"/>
    <w:rsid w:val="00010D39"/>
    <w:rsid w:val="0001177E"/>
    <w:rsid w:val="0001186D"/>
    <w:rsid w:val="00011C05"/>
    <w:rsid w:val="00011C74"/>
    <w:rsid w:val="00011E95"/>
    <w:rsid w:val="0001203A"/>
    <w:rsid w:val="00013BD9"/>
    <w:rsid w:val="00014192"/>
    <w:rsid w:val="0001446F"/>
    <w:rsid w:val="00015233"/>
    <w:rsid w:val="0001533E"/>
    <w:rsid w:val="00015823"/>
    <w:rsid w:val="0001745A"/>
    <w:rsid w:val="00020666"/>
    <w:rsid w:val="00020CF4"/>
    <w:rsid w:val="000221DF"/>
    <w:rsid w:val="000227D5"/>
    <w:rsid w:val="000228C4"/>
    <w:rsid w:val="00022A24"/>
    <w:rsid w:val="000231E0"/>
    <w:rsid w:val="00023531"/>
    <w:rsid w:val="00023668"/>
    <w:rsid w:val="00023D1C"/>
    <w:rsid w:val="000245AA"/>
    <w:rsid w:val="000249B5"/>
    <w:rsid w:val="00025B9F"/>
    <w:rsid w:val="00026F35"/>
    <w:rsid w:val="000277A1"/>
    <w:rsid w:val="000306CE"/>
    <w:rsid w:val="00031C45"/>
    <w:rsid w:val="00031F6C"/>
    <w:rsid w:val="000322E7"/>
    <w:rsid w:val="00032A5E"/>
    <w:rsid w:val="00033487"/>
    <w:rsid w:val="000341AB"/>
    <w:rsid w:val="00035412"/>
    <w:rsid w:val="00035842"/>
    <w:rsid w:val="000359DE"/>
    <w:rsid w:val="0003664B"/>
    <w:rsid w:val="0003702A"/>
    <w:rsid w:val="00037BB8"/>
    <w:rsid w:val="00040398"/>
    <w:rsid w:val="000407E3"/>
    <w:rsid w:val="0004111F"/>
    <w:rsid w:val="00041221"/>
    <w:rsid w:val="0004190A"/>
    <w:rsid w:val="00042C0F"/>
    <w:rsid w:val="00043491"/>
    <w:rsid w:val="000443B6"/>
    <w:rsid w:val="0004478E"/>
    <w:rsid w:val="000458DB"/>
    <w:rsid w:val="00045BE7"/>
    <w:rsid w:val="00046101"/>
    <w:rsid w:val="00050134"/>
    <w:rsid w:val="00050198"/>
    <w:rsid w:val="000503F5"/>
    <w:rsid w:val="00050589"/>
    <w:rsid w:val="00050A3D"/>
    <w:rsid w:val="000517BA"/>
    <w:rsid w:val="000529E3"/>
    <w:rsid w:val="00052B2C"/>
    <w:rsid w:val="00053C90"/>
    <w:rsid w:val="00054556"/>
    <w:rsid w:val="00055077"/>
    <w:rsid w:val="000557D0"/>
    <w:rsid w:val="000559E9"/>
    <w:rsid w:val="00055D6D"/>
    <w:rsid w:val="000565B3"/>
    <w:rsid w:val="000569BA"/>
    <w:rsid w:val="00060003"/>
    <w:rsid w:val="000607A4"/>
    <w:rsid w:val="00060A0B"/>
    <w:rsid w:val="00060ABC"/>
    <w:rsid w:val="00060B18"/>
    <w:rsid w:val="00061D83"/>
    <w:rsid w:val="00061DEF"/>
    <w:rsid w:val="00062381"/>
    <w:rsid w:val="0006272F"/>
    <w:rsid w:val="00063C4A"/>
    <w:rsid w:val="0006403F"/>
    <w:rsid w:val="0006405F"/>
    <w:rsid w:val="0006410B"/>
    <w:rsid w:val="00064635"/>
    <w:rsid w:val="00066215"/>
    <w:rsid w:val="00067478"/>
    <w:rsid w:val="00067FDE"/>
    <w:rsid w:val="0007001C"/>
    <w:rsid w:val="00070D63"/>
    <w:rsid w:val="0007150B"/>
    <w:rsid w:val="000715A7"/>
    <w:rsid w:val="00071920"/>
    <w:rsid w:val="00071DE3"/>
    <w:rsid w:val="000721FF"/>
    <w:rsid w:val="00072882"/>
    <w:rsid w:val="00073163"/>
    <w:rsid w:val="00073199"/>
    <w:rsid w:val="00073CC4"/>
    <w:rsid w:val="00074CB7"/>
    <w:rsid w:val="000766E2"/>
    <w:rsid w:val="000769C1"/>
    <w:rsid w:val="00077E32"/>
    <w:rsid w:val="00077FAE"/>
    <w:rsid w:val="000804B3"/>
    <w:rsid w:val="000807D1"/>
    <w:rsid w:val="00080D35"/>
    <w:rsid w:val="000826D7"/>
    <w:rsid w:val="00083F8C"/>
    <w:rsid w:val="000853C8"/>
    <w:rsid w:val="00086D18"/>
    <w:rsid w:val="0008710A"/>
    <w:rsid w:val="00087514"/>
    <w:rsid w:val="0008794B"/>
    <w:rsid w:val="00090365"/>
    <w:rsid w:val="00090F30"/>
    <w:rsid w:val="000913A4"/>
    <w:rsid w:val="000917A3"/>
    <w:rsid w:val="000918BD"/>
    <w:rsid w:val="000938F5"/>
    <w:rsid w:val="000940C1"/>
    <w:rsid w:val="00094DF1"/>
    <w:rsid w:val="0009520D"/>
    <w:rsid w:val="00095663"/>
    <w:rsid w:val="00095F8B"/>
    <w:rsid w:val="00096151"/>
    <w:rsid w:val="00096229"/>
    <w:rsid w:val="00096305"/>
    <w:rsid w:val="00096E55"/>
    <w:rsid w:val="0009783E"/>
    <w:rsid w:val="00097943"/>
    <w:rsid w:val="00097A05"/>
    <w:rsid w:val="00097BE5"/>
    <w:rsid w:val="00097F2D"/>
    <w:rsid w:val="000A0D3B"/>
    <w:rsid w:val="000A0E34"/>
    <w:rsid w:val="000A152C"/>
    <w:rsid w:val="000A1615"/>
    <w:rsid w:val="000A2648"/>
    <w:rsid w:val="000A2E4A"/>
    <w:rsid w:val="000A2FEF"/>
    <w:rsid w:val="000A31F3"/>
    <w:rsid w:val="000A3E91"/>
    <w:rsid w:val="000A4917"/>
    <w:rsid w:val="000A4ACF"/>
    <w:rsid w:val="000A4EF9"/>
    <w:rsid w:val="000A5C7B"/>
    <w:rsid w:val="000A5DEB"/>
    <w:rsid w:val="000A6041"/>
    <w:rsid w:val="000A60E3"/>
    <w:rsid w:val="000A6807"/>
    <w:rsid w:val="000A6F36"/>
    <w:rsid w:val="000A7008"/>
    <w:rsid w:val="000A7022"/>
    <w:rsid w:val="000A7A50"/>
    <w:rsid w:val="000A7D8F"/>
    <w:rsid w:val="000B1022"/>
    <w:rsid w:val="000B155E"/>
    <w:rsid w:val="000B21B0"/>
    <w:rsid w:val="000B2FA1"/>
    <w:rsid w:val="000B36ED"/>
    <w:rsid w:val="000B3712"/>
    <w:rsid w:val="000B3B99"/>
    <w:rsid w:val="000B41DF"/>
    <w:rsid w:val="000B4957"/>
    <w:rsid w:val="000B4BC4"/>
    <w:rsid w:val="000B53A2"/>
    <w:rsid w:val="000B53E3"/>
    <w:rsid w:val="000B601B"/>
    <w:rsid w:val="000B6158"/>
    <w:rsid w:val="000B6363"/>
    <w:rsid w:val="000B7976"/>
    <w:rsid w:val="000C057E"/>
    <w:rsid w:val="000C0DBB"/>
    <w:rsid w:val="000C1CCC"/>
    <w:rsid w:val="000C1EB7"/>
    <w:rsid w:val="000C207E"/>
    <w:rsid w:val="000C2A43"/>
    <w:rsid w:val="000C3B2A"/>
    <w:rsid w:val="000C46C2"/>
    <w:rsid w:val="000C6733"/>
    <w:rsid w:val="000C681F"/>
    <w:rsid w:val="000C6D7D"/>
    <w:rsid w:val="000C6DA9"/>
    <w:rsid w:val="000C7122"/>
    <w:rsid w:val="000C770B"/>
    <w:rsid w:val="000C7A83"/>
    <w:rsid w:val="000C7DCD"/>
    <w:rsid w:val="000D01B2"/>
    <w:rsid w:val="000D063A"/>
    <w:rsid w:val="000D0720"/>
    <w:rsid w:val="000D156B"/>
    <w:rsid w:val="000D329C"/>
    <w:rsid w:val="000D3995"/>
    <w:rsid w:val="000D3EDE"/>
    <w:rsid w:val="000D4178"/>
    <w:rsid w:val="000D41D8"/>
    <w:rsid w:val="000D41E9"/>
    <w:rsid w:val="000D4342"/>
    <w:rsid w:val="000D505A"/>
    <w:rsid w:val="000D5D01"/>
    <w:rsid w:val="000D6C64"/>
    <w:rsid w:val="000D731F"/>
    <w:rsid w:val="000D79C5"/>
    <w:rsid w:val="000E0175"/>
    <w:rsid w:val="000E01FC"/>
    <w:rsid w:val="000E06B5"/>
    <w:rsid w:val="000E06E7"/>
    <w:rsid w:val="000E2E7E"/>
    <w:rsid w:val="000E351D"/>
    <w:rsid w:val="000E3C4D"/>
    <w:rsid w:val="000E3D2D"/>
    <w:rsid w:val="000E48D6"/>
    <w:rsid w:val="000E5180"/>
    <w:rsid w:val="000E5E0C"/>
    <w:rsid w:val="000E5FEB"/>
    <w:rsid w:val="000E621D"/>
    <w:rsid w:val="000E67D6"/>
    <w:rsid w:val="000E6A56"/>
    <w:rsid w:val="000E6DC7"/>
    <w:rsid w:val="000E703C"/>
    <w:rsid w:val="000E7069"/>
    <w:rsid w:val="000E75D0"/>
    <w:rsid w:val="000F0035"/>
    <w:rsid w:val="000F04E7"/>
    <w:rsid w:val="000F060A"/>
    <w:rsid w:val="000F13DD"/>
    <w:rsid w:val="000F20D0"/>
    <w:rsid w:val="000F420B"/>
    <w:rsid w:val="000F497C"/>
    <w:rsid w:val="000F539C"/>
    <w:rsid w:val="000F54E3"/>
    <w:rsid w:val="000F683E"/>
    <w:rsid w:val="001003D4"/>
    <w:rsid w:val="00100F20"/>
    <w:rsid w:val="00100FDF"/>
    <w:rsid w:val="0010120E"/>
    <w:rsid w:val="00101673"/>
    <w:rsid w:val="001023AD"/>
    <w:rsid w:val="00102AA6"/>
    <w:rsid w:val="00103A1C"/>
    <w:rsid w:val="00103BF8"/>
    <w:rsid w:val="00106DFF"/>
    <w:rsid w:val="00107A58"/>
    <w:rsid w:val="00107CC2"/>
    <w:rsid w:val="00110116"/>
    <w:rsid w:val="0011193D"/>
    <w:rsid w:val="00114168"/>
    <w:rsid w:val="0011492F"/>
    <w:rsid w:val="0011582D"/>
    <w:rsid w:val="0011667B"/>
    <w:rsid w:val="00116EDD"/>
    <w:rsid w:val="00117248"/>
    <w:rsid w:val="001172DE"/>
    <w:rsid w:val="00120072"/>
    <w:rsid w:val="001200EC"/>
    <w:rsid w:val="001203D1"/>
    <w:rsid w:val="001206B7"/>
    <w:rsid w:val="00121622"/>
    <w:rsid w:val="001230D3"/>
    <w:rsid w:val="00123797"/>
    <w:rsid w:val="00125C2E"/>
    <w:rsid w:val="001268B5"/>
    <w:rsid w:val="00126B3F"/>
    <w:rsid w:val="00126EB8"/>
    <w:rsid w:val="001274D4"/>
    <w:rsid w:val="00127C22"/>
    <w:rsid w:val="00127C5D"/>
    <w:rsid w:val="001308BF"/>
    <w:rsid w:val="001313FC"/>
    <w:rsid w:val="001318C4"/>
    <w:rsid w:val="00131B65"/>
    <w:rsid w:val="001329AE"/>
    <w:rsid w:val="001334FB"/>
    <w:rsid w:val="0013429E"/>
    <w:rsid w:val="00135915"/>
    <w:rsid w:val="001363AA"/>
    <w:rsid w:val="0013693F"/>
    <w:rsid w:val="00136B78"/>
    <w:rsid w:val="0013739A"/>
    <w:rsid w:val="001402A1"/>
    <w:rsid w:val="00140E8D"/>
    <w:rsid w:val="00141F2E"/>
    <w:rsid w:val="00142165"/>
    <w:rsid w:val="0014246F"/>
    <w:rsid w:val="00142CFA"/>
    <w:rsid w:val="00142DDB"/>
    <w:rsid w:val="00143CD6"/>
    <w:rsid w:val="0014433B"/>
    <w:rsid w:val="00144B27"/>
    <w:rsid w:val="00144FFE"/>
    <w:rsid w:val="001455A9"/>
    <w:rsid w:val="001466FA"/>
    <w:rsid w:val="00147EE1"/>
    <w:rsid w:val="00150E8F"/>
    <w:rsid w:val="00151DFD"/>
    <w:rsid w:val="00155ED9"/>
    <w:rsid w:val="001568F6"/>
    <w:rsid w:val="0015691B"/>
    <w:rsid w:val="00156E72"/>
    <w:rsid w:val="00157A14"/>
    <w:rsid w:val="001607E0"/>
    <w:rsid w:val="00161157"/>
    <w:rsid w:val="00162434"/>
    <w:rsid w:val="00162FBD"/>
    <w:rsid w:val="001636EC"/>
    <w:rsid w:val="00163C6B"/>
    <w:rsid w:val="00165A58"/>
    <w:rsid w:val="00165C4F"/>
    <w:rsid w:val="00165FF1"/>
    <w:rsid w:val="00166555"/>
    <w:rsid w:val="001671B8"/>
    <w:rsid w:val="00170968"/>
    <w:rsid w:val="00171BE6"/>
    <w:rsid w:val="001724B4"/>
    <w:rsid w:val="00172B20"/>
    <w:rsid w:val="00173F0C"/>
    <w:rsid w:val="001742AB"/>
    <w:rsid w:val="00174E0B"/>
    <w:rsid w:val="0017574F"/>
    <w:rsid w:val="00175C27"/>
    <w:rsid w:val="001765B3"/>
    <w:rsid w:val="00176693"/>
    <w:rsid w:val="00176D97"/>
    <w:rsid w:val="00176E8D"/>
    <w:rsid w:val="00176F3D"/>
    <w:rsid w:val="001809D0"/>
    <w:rsid w:val="00182706"/>
    <w:rsid w:val="00182CEC"/>
    <w:rsid w:val="0018378A"/>
    <w:rsid w:val="00183E82"/>
    <w:rsid w:val="0018462A"/>
    <w:rsid w:val="00184990"/>
    <w:rsid w:val="00184E91"/>
    <w:rsid w:val="001858DA"/>
    <w:rsid w:val="00185DA5"/>
    <w:rsid w:val="00185E26"/>
    <w:rsid w:val="00186AF7"/>
    <w:rsid w:val="00186BDC"/>
    <w:rsid w:val="001878BB"/>
    <w:rsid w:val="00187A1A"/>
    <w:rsid w:val="00190A89"/>
    <w:rsid w:val="00191AE0"/>
    <w:rsid w:val="00191B8F"/>
    <w:rsid w:val="00191CD0"/>
    <w:rsid w:val="001926B8"/>
    <w:rsid w:val="0019293B"/>
    <w:rsid w:val="00192FAA"/>
    <w:rsid w:val="0019426B"/>
    <w:rsid w:val="001947CB"/>
    <w:rsid w:val="00194CAE"/>
    <w:rsid w:val="00195295"/>
    <w:rsid w:val="001952B4"/>
    <w:rsid w:val="001959ED"/>
    <w:rsid w:val="001A0072"/>
    <w:rsid w:val="001A09E4"/>
    <w:rsid w:val="001A0D44"/>
    <w:rsid w:val="001A1024"/>
    <w:rsid w:val="001A1046"/>
    <w:rsid w:val="001A178D"/>
    <w:rsid w:val="001A1D98"/>
    <w:rsid w:val="001A28FA"/>
    <w:rsid w:val="001A4D95"/>
    <w:rsid w:val="001A4EF3"/>
    <w:rsid w:val="001A4F3D"/>
    <w:rsid w:val="001A5CDF"/>
    <w:rsid w:val="001A6A4B"/>
    <w:rsid w:val="001A7887"/>
    <w:rsid w:val="001A78EB"/>
    <w:rsid w:val="001A7927"/>
    <w:rsid w:val="001B021B"/>
    <w:rsid w:val="001B0D74"/>
    <w:rsid w:val="001B1783"/>
    <w:rsid w:val="001B1C6F"/>
    <w:rsid w:val="001B1F43"/>
    <w:rsid w:val="001B2102"/>
    <w:rsid w:val="001B2A11"/>
    <w:rsid w:val="001B2A89"/>
    <w:rsid w:val="001B322F"/>
    <w:rsid w:val="001B3406"/>
    <w:rsid w:val="001B35B3"/>
    <w:rsid w:val="001B35D7"/>
    <w:rsid w:val="001B4470"/>
    <w:rsid w:val="001B6285"/>
    <w:rsid w:val="001B6589"/>
    <w:rsid w:val="001B6955"/>
    <w:rsid w:val="001B6D78"/>
    <w:rsid w:val="001B6E41"/>
    <w:rsid w:val="001B7147"/>
    <w:rsid w:val="001B727D"/>
    <w:rsid w:val="001B7BCD"/>
    <w:rsid w:val="001C034F"/>
    <w:rsid w:val="001C0865"/>
    <w:rsid w:val="001C08A3"/>
    <w:rsid w:val="001C0AED"/>
    <w:rsid w:val="001C1590"/>
    <w:rsid w:val="001C1909"/>
    <w:rsid w:val="001C27E2"/>
    <w:rsid w:val="001C339E"/>
    <w:rsid w:val="001C3ABA"/>
    <w:rsid w:val="001C3B2A"/>
    <w:rsid w:val="001C43A1"/>
    <w:rsid w:val="001C4FDE"/>
    <w:rsid w:val="001C5111"/>
    <w:rsid w:val="001C588C"/>
    <w:rsid w:val="001C59E6"/>
    <w:rsid w:val="001C6996"/>
    <w:rsid w:val="001D0A8F"/>
    <w:rsid w:val="001D12E9"/>
    <w:rsid w:val="001D3840"/>
    <w:rsid w:val="001D46E9"/>
    <w:rsid w:val="001D56B2"/>
    <w:rsid w:val="001D5812"/>
    <w:rsid w:val="001D5836"/>
    <w:rsid w:val="001D6703"/>
    <w:rsid w:val="001E015C"/>
    <w:rsid w:val="001E139E"/>
    <w:rsid w:val="001E3409"/>
    <w:rsid w:val="001E3A29"/>
    <w:rsid w:val="001E3EEE"/>
    <w:rsid w:val="001E4B9E"/>
    <w:rsid w:val="001E4C5A"/>
    <w:rsid w:val="001E5B76"/>
    <w:rsid w:val="001E5B8F"/>
    <w:rsid w:val="001E6802"/>
    <w:rsid w:val="001E7BE8"/>
    <w:rsid w:val="001F0248"/>
    <w:rsid w:val="001F024F"/>
    <w:rsid w:val="001F0AAA"/>
    <w:rsid w:val="001F169E"/>
    <w:rsid w:val="001F232B"/>
    <w:rsid w:val="001F2715"/>
    <w:rsid w:val="001F2E54"/>
    <w:rsid w:val="001F3EB3"/>
    <w:rsid w:val="001F41F0"/>
    <w:rsid w:val="001F4870"/>
    <w:rsid w:val="001F4F86"/>
    <w:rsid w:val="001F4F9C"/>
    <w:rsid w:val="001F6B68"/>
    <w:rsid w:val="001F723E"/>
    <w:rsid w:val="00200D70"/>
    <w:rsid w:val="00201133"/>
    <w:rsid w:val="00201292"/>
    <w:rsid w:val="00202C2C"/>
    <w:rsid w:val="00203050"/>
    <w:rsid w:val="00203761"/>
    <w:rsid w:val="002047C8"/>
    <w:rsid w:val="002049C8"/>
    <w:rsid w:val="00204E42"/>
    <w:rsid w:val="00205637"/>
    <w:rsid w:val="00206281"/>
    <w:rsid w:val="00206CCD"/>
    <w:rsid w:val="00207777"/>
    <w:rsid w:val="00210E70"/>
    <w:rsid w:val="00210F26"/>
    <w:rsid w:val="00211BAB"/>
    <w:rsid w:val="00211D31"/>
    <w:rsid w:val="00212330"/>
    <w:rsid w:val="00212881"/>
    <w:rsid w:val="00212883"/>
    <w:rsid w:val="00213303"/>
    <w:rsid w:val="002135AB"/>
    <w:rsid w:val="00213B10"/>
    <w:rsid w:val="002140F6"/>
    <w:rsid w:val="002144BE"/>
    <w:rsid w:val="00214D7B"/>
    <w:rsid w:val="00215AB6"/>
    <w:rsid w:val="002162F7"/>
    <w:rsid w:val="00216828"/>
    <w:rsid w:val="00216B21"/>
    <w:rsid w:val="002170B5"/>
    <w:rsid w:val="00217B8A"/>
    <w:rsid w:val="002208B2"/>
    <w:rsid w:val="00220C2B"/>
    <w:rsid w:val="00221788"/>
    <w:rsid w:val="00221CE2"/>
    <w:rsid w:val="0022250D"/>
    <w:rsid w:val="00222709"/>
    <w:rsid w:val="00222BEC"/>
    <w:rsid w:val="00224757"/>
    <w:rsid w:val="00224CAD"/>
    <w:rsid w:val="00225456"/>
    <w:rsid w:val="00226737"/>
    <w:rsid w:val="00227840"/>
    <w:rsid w:val="00227843"/>
    <w:rsid w:val="0023046A"/>
    <w:rsid w:val="00231789"/>
    <w:rsid w:val="002317D3"/>
    <w:rsid w:val="002320B8"/>
    <w:rsid w:val="002335B8"/>
    <w:rsid w:val="00233679"/>
    <w:rsid w:val="00233E61"/>
    <w:rsid w:val="00235166"/>
    <w:rsid w:val="00235452"/>
    <w:rsid w:val="002359D7"/>
    <w:rsid w:val="00235DF9"/>
    <w:rsid w:val="002378FD"/>
    <w:rsid w:val="00237F83"/>
    <w:rsid w:val="002407C9"/>
    <w:rsid w:val="00240BED"/>
    <w:rsid w:val="002419AA"/>
    <w:rsid w:val="00242279"/>
    <w:rsid w:val="0024286B"/>
    <w:rsid w:val="00242885"/>
    <w:rsid w:val="002429D3"/>
    <w:rsid w:val="00242D5B"/>
    <w:rsid w:val="00243997"/>
    <w:rsid w:val="00243D60"/>
    <w:rsid w:val="00244297"/>
    <w:rsid w:val="002448EB"/>
    <w:rsid w:val="00244B5A"/>
    <w:rsid w:val="00244E26"/>
    <w:rsid w:val="0024516C"/>
    <w:rsid w:val="0024525E"/>
    <w:rsid w:val="00245440"/>
    <w:rsid w:val="00245C82"/>
    <w:rsid w:val="00245E12"/>
    <w:rsid w:val="00247227"/>
    <w:rsid w:val="00247DB1"/>
    <w:rsid w:val="00247F9F"/>
    <w:rsid w:val="00250863"/>
    <w:rsid w:val="00250F09"/>
    <w:rsid w:val="002510C8"/>
    <w:rsid w:val="00251615"/>
    <w:rsid w:val="00251930"/>
    <w:rsid w:val="002525DC"/>
    <w:rsid w:val="00252F06"/>
    <w:rsid w:val="0025392B"/>
    <w:rsid w:val="00254BA0"/>
    <w:rsid w:val="002551F9"/>
    <w:rsid w:val="00256D45"/>
    <w:rsid w:val="0025767C"/>
    <w:rsid w:val="00260C86"/>
    <w:rsid w:val="0026105C"/>
    <w:rsid w:val="0026106A"/>
    <w:rsid w:val="0026188D"/>
    <w:rsid w:val="00261920"/>
    <w:rsid w:val="0026398A"/>
    <w:rsid w:val="00263F73"/>
    <w:rsid w:val="002643FF"/>
    <w:rsid w:val="0026465A"/>
    <w:rsid w:val="00264F44"/>
    <w:rsid w:val="00264FF2"/>
    <w:rsid w:val="002662B1"/>
    <w:rsid w:val="00266709"/>
    <w:rsid w:val="002672DF"/>
    <w:rsid w:val="0027058C"/>
    <w:rsid w:val="002707E0"/>
    <w:rsid w:val="00270943"/>
    <w:rsid w:val="00272488"/>
    <w:rsid w:val="002724BA"/>
    <w:rsid w:val="00272A24"/>
    <w:rsid w:val="00272ADB"/>
    <w:rsid w:val="002732CF"/>
    <w:rsid w:val="00273A8F"/>
    <w:rsid w:val="002740BE"/>
    <w:rsid w:val="00274BA7"/>
    <w:rsid w:val="002751C5"/>
    <w:rsid w:val="002759B8"/>
    <w:rsid w:val="002761F4"/>
    <w:rsid w:val="00276945"/>
    <w:rsid w:val="002769EB"/>
    <w:rsid w:val="00276E6C"/>
    <w:rsid w:val="002779F6"/>
    <w:rsid w:val="00277D60"/>
    <w:rsid w:val="00281735"/>
    <w:rsid w:val="00284524"/>
    <w:rsid w:val="0028454D"/>
    <w:rsid w:val="00284BE7"/>
    <w:rsid w:val="0028509D"/>
    <w:rsid w:val="002856D8"/>
    <w:rsid w:val="00285AC3"/>
    <w:rsid w:val="00286322"/>
    <w:rsid w:val="00286906"/>
    <w:rsid w:val="00286A9B"/>
    <w:rsid w:val="00287AED"/>
    <w:rsid w:val="00287B7C"/>
    <w:rsid w:val="002907DA"/>
    <w:rsid w:val="00290C08"/>
    <w:rsid w:val="002919B5"/>
    <w:rsid w:val="00291B40"/>
    <w:rsid w:val="002923EB"/>
    <w:rsid w:val="00292D98"/>
    <w:rsid w:val="0029364F"/>
    <w:rsid w:val="00293B58"/>
    <w:rsid w:val="0029635D"/>
    <w:rsid w:val="00297B97"/>
    <w:rsid w:val="00297CCE"/>
    <w:rsid w:val="002A0F2E"/>
    <w:rsid w:val="002A12CB"/>
    <w:rsid w:val="002A243F"/>
    <w:rsid w:val="002A286C"/>
    <w:rsid w:val="002A3A33"/>
    <w:rsid w:val="002A3B2B"/>
    <w:rsid w:val="002A4B0E"/>
    <w:rsid w:val="002A4F27"/>
    <w:rsid w:val="002A5667"/>
    <w:rsid w:val="002A58D6"/>
    <w:rsid w:val="002A6020"/>
    <w:rsid w:val="002A63B3"/>
    <w:rsid w:val="002A6F08"/>
    <w:rsid w:val="002A7386"/>
    <w:rsid w:val="002A7FF4"/>
    <w:rsid w:val="002B0741"/>
    <w:rsid w:val="002B0CD0"/>
    <w:rsid w:val="002B1DA7"/>
    <w:rsid w:val="002B2425"/>
    <w:rsid w:val="002B2505"/>
    <w:rsid w:val="002B31E4"/>
    <w:rsid w:val="002B3627"/>
    <w:rsid w:val="002B3CF9"/>
    <w:rsid w:val="002B4008"/>
    <w:rsid w:val="002B40E0"/>
    <w:rsid w:val="002B4358"/>
    <w:rsid w:val="002B462E"/>
    <w:rsid w:val="002B5DD2"/>
    <w:rsid w:val="002B7CE5"/>
    <w:rsid w:val="002C013D"/>
    <w:rsid w:val="002C0322"/>
    <w:rsid w:val="002C0369"/>
    <w:rsid w:val="002C0514"/>
    <w:rsid w:val="002C2189"/>
    <w:rsid w:val="002C319F"/>
    <w:rsid w:val="002C415D"/>
    <w:rsid w:val="002C439F"/>
    <w:rsid w:val="002C4704"/>
    <w:rsid w:val="002C5A8C"/>
    <w:rsid w:val="002C5B53"/>
    <w:rsid w:val="002C634A"/>
    <w:rsid w:val="002C68B1"/>
    <w:rsid w:val="002C6BBC"/>
    <w:rsid w:val="002D02E1"/>
    <w:rsid w:val="002D0475"/>
    <w:rsid w:val="002D0C42"/>
    <w:rsid w:val="002D0E8E"/>
    <w:rsid w:val="002D0ECA"/>
    <w:rsid w:val="002D1169"/>
    <w:rsid w:val="002D24B0"/>
    <w:rsid w:val="002D422F"/>
    <w:rsid w:val="002D4BE4"/>
    <w:rsid w:val="002D4C9B"/>
    <w:rsid w:val="002D549F"/>
    <w:rsid w:val="002D5685"/>
    <w:rsid w:val="002D599C"/>
    <w:rsid w:val="002D633D"/>
    <w:rsid w:val="002D683B"/>
    <w:rsid w:val="002D6D16"/>
    <w:rsid w:val="002D6D56"/>
    <w:rsid w:val="002D6E59"/>
    <w:rsid w:val="002D7142"/>
    <w:rsid w:val="002D7282"/>
    <w:rsid w:val="002D76D5"/>
    <w:rsid w:val="002D7DAF"/>
    <w:rsid w:val="002D7E0A"/>
    <w:rsid w:val="002E08C6"/>
    <w:rsid w:val="002E13B9"/>
    <w:rsid w:val="002E1B7E"/>
    <w:rsid w:val="002E1FC1"/>
    <w:rsid w:val="002E45E5"/>
    <w:rsid w:val="002E46DD"/>
    <w:rsid w:val="002E6286"/>
    <w:rsid w:val="002E668A"/>
    <w:rsid w:val="002E67B0"/>
    <w:rsid w:val="002F1139"/>
    <w:rsid w:val="002F15F7"/>
    <w:rsid w:val="002F1666"/>
    <w:rsid w:val="002F1A50"/>
    <w:rsid w:val="002F1B0F"/>
    <w:rsid w:val="002F219C"/>
    <w:rsid w:val="002F2DF1"/>
    <w:rsid w:val="002F30C4"/>
    <w:rsid w:val="002F35F9"/>
    <w:rsid w:val="002F387D"/>
    <w:rsid w:val="002F41F5"/>
    <w:rsid w:val="002F45CF"/>
    <w:rsid w:val="002F512B"/>
    <w:rsid w:val="002F5149"/>
    <w:rsid w:val="002F536B"/>
    <w:rsid w:val="002F625C"/>
    <w:rsid w:val="002F6299"/>
    <w:rsid w:val="002F7435"/>
    <w:rsid w:val="002F7755"/>
    <w:rsid w:val="002F7956"/>
    <w:rsid w:val="00301189"/>
    <w:rsid w:val="00301E4A"/>
    <w:rsid w:val="003023FF"/>
    <w:rsid w:val="003024E2"/>
    <w:rsid w:val="00302C04"/>
    <w:rsid w:val="00302DC2"/>
    <w:rsid w:val="00302FA4"/>
    <w:rsid w:val="00304319"/>
    <w:rsid w:val="00304955"/>
    <w:rsid w:val="00305EFD"/>
    <w:rsid w:val="00307F44"/>
    <w:rsid w:val="003116BD"/>
    <w:rsid w:val="00313184"/>
    <w:rsid w:val="00313975"/>
    <w:rsid w:val="0031579E"/>
    <w:rsid w:val="00316609"/>
    <w:rsid w:val="003168B8"/>
    <w:rsid w:val="00316A1A"/>
    <w:rsid w:val="00317DDF"/>
    <w:rsid w:val="0032047A"/>
    <w:rsid w:val="00320FFB"/>
    <w:rsid w:val="00321DED"/>
    <w:rsid w:val="003228F3"/>
    <w:rsid w:val="00322D64"/>
    <w:rsid w:val="00323A13"/>
    <w:rsid w:val="00323E09"/>
    <w:rsid w:val="00324A9B"/>
    <w:rsid w:val="003253BB"/>
    <w:rsid w:val="00325763"/>
    <w:rsid w:val="003259A5"/>
    <w:rsid w:val="00325BD5"/>
    <w:rsid w:val="003260E2"/>
    <w:rsid w:val="0032798A"/>
    <w:rsid w:val="0033037F"/>
    <w:rsid w:val="00330485"/>
    <w:rsid w:val="0033055F"/>
    <w:rsid w:val="003326BA"/>
    <w:rsid w:val="00332B95"/>
    <w:rsid w:val="00332E69"/>
    <w:rsid w:val="003334A0"/>
    <w:rsid w:val="00333932"/>
    <w:rsid w:val="00333971"/>
    <w:rsid w:val="00333B21"/>
    <w:rsid w:val="00334FF6"/>
    <w:rsid w:val="003354D6"/>
    <w:rsid w:val="00336063"/>
    <w:rsid w:val="00336219"/>
    <w:rsid w:val="00336A54"/>
    <w:rsid w:val="00336A6E"/>
    <w:rsid w:val="00340FCB"/>
    <w:rsid w:val="0034127A"/>
    <w:rsid w:val="0034156C"/>
    <w:rsid w:val="00341953"/>
    <w:rsid w:val="00341E8E"/>
    <w:rsid w:val="00342E44"/>
    <w:rsid w:val="00343E6F"/>
    <w:rsid w:val="00343EC5"/>
    <w:rsid w:val="00343F07"/>
    <w:rsid w:val="003445E5"/>
    <w:rsid w:val="00345083"/>
    <w:rsid w:val="00346F9F"/>
    <w:rsid w:val="003477B8"/>
    <w:rsid w:val="00350012"/>
    <w:rsid w:val="0035002E"/>
    <w:rsid w:val="003504C1"/>
    <w:rsid w:val="003518AA"/>
    <w:rsid w:val="00352165"/>
    <w:rsid w:val="003523AA"/>
    <w:rsid w:val="00352792"/>
    <w:rsid w:val="003527CE"/>
    <w:rsid w:val="00353182"/>
    <w:rsid w:val="00353688"/>
    <w:rsid w:val="003546E9"/>
    <w:rsid w:val="00354912"/>
    <w:rsid w:val="00355737"/>
    <w:rsid w:val="003565D9"/>
    <w:rsid w:val="0035787A"/>
    <w:rsid w:val="003602E1"/>
    <w:rsid w:val="00360911"/>
    <w:rsid w:val="00360A46"/>
    <w:rsid w:val="00360BDF"/>
    <w:rsid w:val="00362FA5"/>
    <w:rsid w:val="0036304E"/>
    <w:rsid w:val="0036330A"/>
    <w:rsid w:val="00364589"/>
    <w:rsid w:val="00364928"/>
    <w:rsid w:val="00365B68"/>
    <w:rsid w:val="00366130"/>
    <w:rsid w:val="00366543"/>
    <w:rsid w:val="003666DE"/>
    <w:rsid w:val="00366CA6"/>
    <w:rsid w:val="00367F06"/>
    <w:rsid w:val="0037026F"/>
    <w:rsid w:val="00370DE0"/>
    <w:rsid w:val="00371240"/>
    <w:rsid w:val="003717AA"/>
    <w:rsid w:val="00372B10"/>
    <w:rsid w:val="0037324D"/>
    <w:rsid w:val="003732B5"/>
    <w:rsid w:val="00373539"/>
    <w:rsid w:val="00374598"/>
    <w:rsid w:val="00374731"/>
    <w:rsid w:val="00375BC1"/>
    <w:rsid w:val="00375DFA"/>
    <w:rsid w:val="00375EEF"/>
    <w:rsid w:val="00376E59"/>
    <w:rsid w:val="00377EC1"/>
    <w:rsid w:val="00377FCB"/>
    <w:rsid w:val="00380340"/>
    <w:rsid w:val="0038081E"/>
    <w:rsid w:val="00381332"/>
    <w:rsid w:val="003814AA"/>
    <w:rsid w:val="00381E37"/>
    <w:rsid w:val="00381EF8"/>
    <w:rsid w:val="003823FE"/>
    <w:rsid w:val="00382B46"/>
    <w:rsid w:val="003852A8"/>
    <w:rsid w:val="00385453"/>
    <w:rsid w:val="00385D8B"/>
    <w:rsid w:val="003863CE"/>
    <w:rsid w:val="00387078"/>
    <w:rsid w:val="00390B6D"/>
    <w:rsid w:val="003913DD"/>
    <w:rsid w:val="00391905"/>
    <w:rsid w:val="003919F9"/>
    <w:rsid w:val="00391BFF"/>
    <w:rsid w:val="003920CF"/>
    <w:rsid w:val="003921F8"/>
    <w:rsid w:val="0039257C"/>
    <w:rsid w:val="00392D40"/>
    <w:rsid w:val="00393E99"/>
    <w:rsid w:val="0039548F"/>
    <w:rsid w:val="00395645"/>
    <w:rsid w:val="00395B69"/>
    <w:rsid w:val="003960F4"/>
    <w:rsid w:val="0039659D"/>
    <w:rsid w:val="003966CA"/>
    <w:rsid w:val="00396DD2"/>
    <w:rsid w:val="0039716C"/>
    <w:rsid w:val="0039756E"/>
    <w:rsid w:val="003A057F"/>
    <w:rsid w:val="003A1930"/>
    <w:rsid w:val="003A20BB"/>
    <w:rsid w:val="003A29B3"/>
    <w:rsid w:val="003A3111"/>
    <w:rsid w:val="003A3B23"/>
    <w:rsid w:val="003A3D92"/>
    <w:rsid w:val="003A4560"/>
    <w:rsid w:val="003A54FB"/>
    <w:rsid w:val="003A5D60"/>
    <w:rsid w:val="003A5F68"/>
    <w:rsid w:val="003A670E"/>
    <w:rsid w:val="003A7740"/>
    <w:rsid w:val="003A7A99"/>
    <w:rsid w:val="003B00D6"/>
    <w:rsid w:val="003B0FFB"/>
    <w:rsid w:val="003B1235"/>
    <w:rsid w:val="003B1273"/>
    <w:rsid w:val="003B134A"/>
    <w:rsid w:val="003B13F8"/>
    <w:rsid w:val="003B1549"/>
    <w:rsid w:val="003B17D6"/>
    <w:rsid w:val="003B23C2"/>
    <w:rsid w:val="003B25CA"/>
    <w:rsid w:val="003B2D27"/>
    <w:rsid w:val="003B2FB7"/>
    <w:rsid w:val="003B3416"/>
    <w:rsid w:val="003B3540"/>
    <w:rsid w:val="003B3714"/>
    <w:rsid w:val="003B3AD1"/>
    <w:rsid w:val="003B3E9B"/>
    <w:rsid w:val="003B5D90"/>
    <w:rsid w:val="003B6090"/>
    <w:rsid w:val="003B60C6"/>
    <w:rsid w:val="003B645A"/>
    <w:rsid w:val="003B7F1E"/>
    <w:rsid w:val="003C0228"/>
    <w:rsid w:val="003C08FA"/>
    <w:rsid w:val="003C0972"/>
    <w:rsid w:val="003C0CAE"/>
    <w:rsid w:val="003C0D6E"/>
    <w:rsid w:val="003C1838"/>
    <w:rsid w:val="003C29EB"/>
    <w:rsid w:val="003C2D62"/>
    <w:rsid w:val="003C38B5"/>
    <w:rsid w:val="003C433F"/>
    <w:rsid w:val="003C59DD"/>
    <w:rsid w:val="003C5AA4"/>
    <w:rsid w:val="003C5D99"/>
    <w:rsid w:val="003C67DC"/>
    <w:rsid w:val="003C6BD6"/>
    <w:rsid w:val="003C6C93"/>
    <w:rsid w:val="003C7BCF"/>
    <w:rsid w:val="003D0E0F"/>
    <w:rsid w:val="003D1087"/>
    <w:rsid w:val="003D1ACA"/>
    <w:rsid w:val="003D1F79"/>
    <w:rsid w:val="003D2398"/>
    <w:rsid w:val="003D2AB4"/>
    <w:rsid w:val="003D2B82"/>
    <w:rsid w:val="003D36DD"/>
    <w:rsid w:val="003D3CFE"/>
    <w:rsid w:val="003D4E2F"/>
    <w:rsid w:val="003D52B4"/>
    <w:rsid w:val="003D5631"/>
    <w:rsid w:val="003D66C2"/>
    <w:rsid w:val="003D68B0"/>
    <w:rsid w:val="003D69F6"/>
    <w:rsid w:val="003D6B5D"/>
    <w:rsid w:val="003D6ED3"/>
    <w:rsid w:val="003D771D"/>
    <w:rsid w:val="003E0EEB"/>
    <w:rsid w:val="003E1666"/>
    <w:rsid w:val="003E250E"/>
    <w:rsid w:val="003E2963"/>
    <w:rsid w:val="003E2F59"/>
    <w:rsid w:val="003E341B"/>
    <w:rsid w:val="003E44FB"/>
    <w:rsid w:val="003E4BFB"/>
    <w:rsid w:val="003E4FBE"/>
    <w:rsid w:val="003E59C8"/>
    <w:rsid w:val="003E59ED"/>
    <w:rsid w:val="003E5A5D"/>
    <w:rsid w:val="003E6B91"/>
    <w:rsid w:val="003E72A2"/>
    <w:rsid w:val="003E746B"/>
    <w:rsid w:val="003E791C"/>
    <w:rsid w:val="003F0573"/>
    <w:rsid w:val="003F0789"/>
    <w:rsid w:val="003F1652"/>
    <w:rsid w:val="003F3CF9"/>
    <w:rsid w:val="003F47AF"/>
    <w:rsid w:val="003F4AF9"/>
    <w:rsid w:val="003F4FFA"/>
    <w:rsid w:val="003F536C"/>
    <w:rsid w:val="003F53D4"/>
    <w:rsid w:val="003F6572"/>
    <w:rsid w:val="003F768B"/>
    <w:rsid w:val="003F79E6"/>
    <w:rsid w:val="00400458"/>
    <w:rsid w:val="0040138D"/>
    <w:rsid w:val="00401882"/>
    <w:rsid w:val="00401DBA"/>
    <w:rsid w:val="00402C18"/>
    <w:rsid w:val="0040490C"/>
    <w:rsid w:val="004049F3"/>
    <w:rsid w:val="00404B98"/>
    <w:rsid w:val="00405035"/>
    <w:rsid w:val="0040563E"/>
    <w:rsid w:val="00405652"/>
    <w:rsid w:val="00407B4A"/>
    <w:rsid w:val="004100C8"/>
    <w:rsid w:val="00410DFA"/>
    <w:rsid w:val="00411CF2"/>
    <w:rsid w:val="00411DBD"/>
    <w:rsid w:val="0041233A"/>
    <w:rsid w:val="00412ACE"/>
    <w:rsid w:val="0041310F"/>
    <w:rsid w:val="004139A5"/>
    <w:rsid w:val="004145D2"/>
    <w:rsid w:val="00414AC5"/>
    <w:rsid w:val="00415D57"/>
    <w:rsid w:val="00417663"/>
    <w:rsid w:val="00420091"/>
    <w:rsid w:val="00420636"/>
    <w:rsid w:val="0042066A"/>
    <w:rsid w:val="00420A41"/>
    <w:rsid w:val="00420CCB"/>
    <w:rsid w:val="00420DF2"/>
    <w:rsid w:val="00420F83"/>
    <w:rsid w:val="0042120F"/>
    <w:rsid w:val="00422066"/>
    <w:rsid w:val="0042353E"/>
    <w:rsid w:val="00425128"/>
    <w:rsid w:val="00425255"/>
    <w:rsid w:val="004252C3"/>
    <w:rsid w:val="0042665D"/>
    <w:rsid w:val="00426CB4"/>
    <w:rsid w:val="00427061"/>
    <w:rsid w:val="004302AD"/>
    <w:rsid w:val="00431249"/>
    <w:rsid w:val="004323FF"/>
    <w:rsid w:val="00432487"/>
    <w:rsid w:val="00432588"/>
    <w:rsid w:val="00433091"/>
    <w:rsid w:val="0043353C"/>
    <w:rsid w:val="00433ABD"/>
    <w:rsid w:val="00434170"/>
    <w:rsid w:val="00434C19"/>
    <w:rsid w:val="004353B8"/>
    <w:rsid w:val="0043598F"/>
    <w:rsid w:val="00435EAF"/>
    <w:rsid w:val="00436898"/>
    <w:rsid w:val="0043783E"/>
    <w:rsid w:val="0044034F"/>
    <w:rsid w:val="004409EB"/>
    <w:rsid w:val="004419E2"/>
    <w:rsid w:val="00441D45"/>
    <w:rsid w:val="00441DA3"/>
    <w:rsid w:val="00441ED2"/>
    <w:rsid w:val="004422A3"/>
    <w:rsid w:val="00442A6E"/>
    <w:rsid w:val="00443A85"/>
    <w:rsid w:val="0044482D"/>
    <w:rsid w:val="0044540E"/>
    <w:rsid w:val="004466EA"/>
    <w:rsid w:val="00446BE7"/>
    <w:rsid w:val="00446E9D"/>
    <w:rsid w:val="004478CC"/>
    <w:rsid w:val="00450810"/>
    <w:rsid w:val="00451D71"/>
    <w:rsid w:val="00452FBA"/>
    <w:rsid w:val="004536D7"/>
    <w:rsid w:val="00453A0A"/>
    <w:rsid w:val="00453BAB"/>
    <w:rsid w:val="00453EB4"/>
    <w:rsid w:val="00454067"/>
    <w:rsid w:val="00454134"/>
    <w:rsid w:val="00455F06"/>
    <w:rsid w:val="004563DF"/>
    <w:rsid w:val="004564FF"/>
    <w:rsid w:val="0045662E"/>
    <w:rsid w:val="00456659"/>
    <w:rsid w:val="004568AE"/>
    <w:rsid w:val="00456DEA"/>
    <w:rsid w:val="00457FA0"/>
    <w:rsid w:val="00460EB8"/>
    <w:rsid w:val="00460F20"/>
    <w:rsid w:val="00461816"/>
    <w:rsid w:val="00462626"/>
    <w:rsid w:val="00462C59"/>
    <w:rsid w:val="004655B3"/>
    <w:rsid w:val="004658B0"/>
    <w:rsid w:val="00465C18"/>
    <w:rsid w:val="004664AF"/>
    <w:rsid w:val="00467C2C"/>
    <w:rsid w:val="00470737"/>
    <w:rsid w:val="004711CA"/>
    <w:rsid w:val="0047176A"/>
    <w:rsid w:val="004727E4"/>
    <w:rsid w:val="00472841"/>
    <w:rsid w:val="00472F48"/>
    <w:rsid w:val="004734D5"/>
    <w:rsid w:val="00473E4A"/>
    <w:rsid w:val="00474274"/>
    <w:rsid w:val="00475019"/>
    <w:rsid w:val="004751B5"/>
    <w:rsid w:val="004754F4"/>
    <w:rsid w:val="004764B9"/>
    <w:rsid w:val="00477144"/>
    <w:rsid w:val="004822EE"/>
    <w:rsid w:val="00483480"/>
    <w:rsid w:val="00483558"/>
    <w:rsid w:val="00483B6F"/>
    <w:rsid w:val="00484BA9"/>
    <w:rsid w:val="0048538D"/>
    <w:rsid w:val="0048556B"/>
    <w:rsid w:val="00485BE3"/>
    <w:rsid w:val="00486314"/>
    <w:rsid w:val="00487210"/>
    <w:rsid w:val="00487B90"/>
    <w:rsid w:val="004904C3"/>
    <w:rsid w:val="00490B57"/>
    <w:rsid w:val="00490C0C"/>
    <w:rsid w:val="00491380"/>
    <w:rsid w:val="00491557"/>
    <w:rsid w:val="00491AEA"/>
    <w:rsid w:val="00491D13"/>
    <w:rsid w:val="0049329A"/>
    <w:rsid w:val="004935FC"/>
    <w:rsid w:val="00493B60"/>
    <w:rsid w:val="00493BDA"/>
    <w:rsid w:val="0049459F"/>
    <w:rsid w:val="004957CD"/>
    <w:rsid w:val="00496328"/>
    <w:rsid w:val="004963C9"/>
    <w:rsid w:val="004966B5"/>
    <w:rsid w:val="00496E38"/>
    <w:rsid w:val="00497121"/>
    <w:rsid w:val="00497587"/>
    <w:rsid w:val="00497BA2"/>
    <w:rsid w:val="004A0E60"/>
    <w:rsid w:val="004A1E2B"/>
    <w:rsid w:val="004A25AB"/>
    <w:rsid w:val="004A26C5"/>
    <w:rsid w:val="004A2C62"/>
    <w:rsid w:val="004A36AA"/>
    <w:rsid w:val="004A38DD"/>
    <w:rsid w:val="004A3D6B"/>
    <w:rsid w:val="004A4125"/>
    <w:rsid w:val="004A42F0"/>
    <w:rsid w:val="004A5298"/>
    <w:rsid w:val="004A6D7A"/>
    <w:rsid w:val="004A72A1"/>
    <w:rsid w:val="004B10E4"/>
    <w:rsid w:val="004B2133"/>
    <w:rsid w:val="004B2BA2"/>
    <w:rsid w:val="004B3FB6"/>
    <w:rsid w:val="004B43AE"/>
    <w:rsid w:val="004B4666"/>
    <w:rsid w:val="004B59EA"/>
    <w:rsid w:val="004B64FF"/>
    <w:rsid w:val="004B65F2"/>
    <w:rsid w:val="004B78AA"/>
    <w:rsid w:val="004B7B35"/>
    <w:rsid w:val="004C073B"/>
    <w:rsid w:val="004C097B"/>
    <w:rsid w:val="004C0D38"/>
    <w:rsid w:val="004C1038"/>
    <w:rsid w:val="004C164B"/>
    <w:rsid w:val="004C19B6"/>
    <w:rsid w:val="004C2D03"/>
    <w:rsid w:val="004C30ED"/>
    <w:rsid w:val="004C3A20"/>
    <w:rsid w:val="004C44E7"/>
    <w:rsid w:val="004C5A4D"/>
    <w:rsid w:val="004C5BC8"/>
    <w:rsid w:val="004C78AE"/>
    <w:rsid w:val="004C7E40"/>
    <w:rsid w:val="004D0A9F"/>
    <w:rsid w:val="004D10B8"/>
    <w:rsid w:val="004D2078"/>
    <w:rsid w:val="004D2437"/>
    <w:rsid w:val="004D2B54"/>
    <w:rsid w:val="004D318C"/>
    <w:rsid w:val="004D3229"/>
    <w:rsid w:val="004D3257"/>
    <w:rsid w:val="004D3944"/>
    <w:rsid w:val="004D3A67"/>
    <w:rsid w:val="004D3C2A"/>
    <w:rsid w:val="004D3DEA"/>
    <w:rsid w:val="004D3F97"/>
    <w:rsid w:val="004D4313"/>
    <w:rsid w:val="004D4805"/>
    <w:rsid w:val="004D4A82"/>
    <w:rsid w:val="004D552C"/>
    <w:rsid w:val="004D5675"/>
    <w:rsid w:val="004D5764"/>
    <w:rsid w:val="004D5847"/>
    <w:rsid w:val="004D66CF"/>
    <w:rsid w:val="004D6EAA"/>
    <w:rsid w:val="004D786F"/>
    <w:rsid w:val="004D7D3A"/>
    <w:rsid w:val="004E068C"/>
    <w:rsid w:val="004E1577"/>
    <w:rsid w:val="004E35FF"/>
    <w:rsid w:val="004E44F5"/>
    <w:rsid w:val="004E45BA"/>
    <w:rsid w:val="004E5084"/>
    <w:rsid w:val="004E6AEA"/>
    <w:rsid w:val="004E7BE2"/>
    <w:rsid w:val="004F0039"/>
    <w:rsid w:val="004F06C8"/>
    <w:rsid w:val="004F119C"/>
    <w:rsid w:val="004F1C7C"/>
    <w:rsid w:val="004F2D84"/>
    <w:rsid w:val="004F2FC8"/>
    <w:rsid w:val="004F31F9"/>
    <w:rsid w:val="004F47FD"/>
    <w:rsid w:val="004F48FA"/>
    <w:rsid w:val="004F5627"/>
    <w:rsid w:val="004F5750"/>
    <w:rsid w:val="004F63A2"/>
    <w:rsid w:val="004F7075"/>
    <w:rsid w:val="004F7646"/>
    <w:rsid w:val="004F7979"/>
    <w:rsid w:val="00500FE0"/>
    <w:rsid w:val="0050188E"/>
    <w:rsid w:val="00502CFE"/>
    <w:rsid w:val="00502FB7"/>
    <w:rsid w:val="005030A5"/>
    <w:rsid w:val="00504927"/>
    <w:rsid w:val="00504B0A"/>
    <w:rsid w:val="00505289"/>
    <w:rsid w:val="00505C60"/>
    <w:rsid w:val="00506827"/>
    <w:rsid w:val="00507529"/>
    <w:rsid w:val="005078D3"/>
    <w:rsid w:val="00507CC9"/>
    <w:rsid w:val="00510E5F"/>
    <w:rsid w:val="005112C3"/>
    <w:rsid w:val="00511314"/>
    <w:rsid w:val="0051306E"/>
    <w:rsid w:val="00514516"/>
    <w:rsid w:val="00514652"/>
    <w:rsid w:val="00515C8F"/>
    <w:rsid w:val="00515F12"/>
    <w:rsid w:val="00516816"/>
    <w:rsid w:val="005171AA"/>
    <w:rsid w:val="00517795"/>
    <w:rsid w:val="00517CA1"/>
    <w:rsid w:val="0052026B"/>
    <w:rsid w:val="0052044F"/>
    <w:rsid w:val="00521E68"/>
    <w:rsid w:val="00521EFA"/>
    <w:rsid w:val="00522F97"/>
    <w:rsid w:val="00523639"/>
    <w:rsid w:val="00523719"/>
    <w:rsid w:val="00523762"/>
    <w:rsid w:val="0052382E"/>
    <w:rsid w:val="00523D08"/>
    <w:rsid w:val="00524E40"/>
    <w:rsid w:val="00525ADC"/>
    <w:rsid w:val="005262A9"/>
    <w:rsid w:val="00526314"/>
    <w:rsid w:val="00526DA0"/>
    <w:rsid w:val="00526EC6"/>
    <w:rsid w:val="005277DD"/>
    <w:rsid w:val="005278A0"/>
    <w:rsid w:val="00530B91"/>
    <w:rsid w:val="00531FE5"/>
    <w:rsid w:val="00532192"/>
    <w:rsid w:val="00532275"/>
    <w:rsid w:val="005323D9"/>
    <w:rsid w:val="005324FD"/>
    <w:rsid w:val="005327BF"/>
    <w:rsid w:val="005342B6"/>
    <w:rsid w:val="005342D7"/>
    <w:rsid w:val="0053438B"/>
    <w:rsid w:val="00535C75"/>
    <w:rsid w:val="00535E41"/>
    <w:rsid w:val="005376F7"/>
    <w:rsid w:val="00537DDD"/>
    <w:rsid w:val="005402FA"/>
    <w:rsid w:val="005405A0"/>
    <w:rsid w:val="005409CB"/>
    <w:rsid w:val="0054117E"/>
    <w:rsid w:val="00541E1A"/>
    <w:rsid w:val="00542B5B"/>
    <w:rsid w:val="005431AC"/>
    <w:rsid w:val="005436E8"/>
    <w:rsid w:val="00544F30"/>
    <w:rsid w:val="00545D5A"/>
    <w:rsid w:val="005469BB"/>
    <w:rsid w:val="00546CB7"/>
    <w:rsid w:val="00547519"/>
    <w:rsid w:val="00547B7A"/>
    <w:rsid w:val="00547DEF"/>
    <w:rsid w:val="00551235"/>
    <w:rsid w:val="00551A2F"/>
    <w:rsid w:val="00553D9C"/>
    <w:rsid w:val="00553FE6"/>
    <w:rsid w:val="005545AE"/>
    <w:rsid w:val="00554B0F"/>
    <w:rsid w:val="00555223"/>
    <w:rsid w:val="00555309"/>
    <w:rsid w:val="00555652"/>
    <w:rsid w:val="00555ECF"/>
    <w:rsid w:val="005562FA"/>
    <w:rsid w:val="00560A3B"/>
    <w:rsid w:val="00560B6B"/>
    <w:rsid w:val="00560D85"/>
    <w:rsid w:val="00560DE1"/>
    <w:rsid w:val="00561794"/>
    <w:rsid w:val="00561D2E"/>
    <w:rsid w:val="00563254"/>
    <w:rsid w:val="00564532"/>
    <w:rsid w:val="00564F2E"/>
    <w:rsid w:val="0056641B"/>
    <w:rsid w:val="00567971"/>
    <w:rsid w:val="00567C32"/>
    <w:rsid w:val="005704A2"/>
    <w:rsid w:val="0057160D"/>
    <w:rsid w:val="00572582"/>
    <w:rsid w:val="005729BD"/>
    <w:rsid w:val="00572B31"/>
    <w:rsid w:val="00572D69"/>
    <w:rsid w:val="00573437"/>
    <w:rsid w:val="00573BE3"/>
    <w:rsid w:val="00573F74"/>
    <w:rsid w:val="00574666"/>
    <w:rsid w:val="00574C59"/>
    <w:rsid w:val="005756FE"/>
    <w:rsid w:val="00575B76"/>
    <w:rsid w:val="00575E04"/>
    <w:rsid w:val="005765FF"/>
    <w:rsid w:val="0057788E"/>
    <w:rsid w:val="00580154"/>
    <w:rsid w:val="0058144C"/>
    <w:rsid w:val="00583C39"/>
    <w:rsid w:val="00584509"/>
    <w:rsid w:val="0058492B"/>
    <w:rsid w:val="00585E8E"/>
    <w:rsid w:val="005868CC"/>
    <w:rsid w:val="00586A90"/>
    <w:rsid w:val="00586C4E"/>
    <w:rsid w:val="00587A55"/>
    <w:rsid w:val="00587F28"/>
    <w:rsid w:val="005909CF"/>
    <w:rsid w:val="0059114B"/>
    <w:rsid w:val="00591348"/>
    <w:rsid w:val="00591A60"/>
    <w:rsid w:val="00591E71"/>
    <w:rsid w:val="00591FAA"/>
    <w:rsid w:val="00592420"/>
    <w:rsid w:val="005938F8"/>
    <w:rsid w:val="00594F10"/>
    <w:rsid w:val="0059578A"/>
    <w:rsid w:val="00596BC9"/>
    <w:rsid w:val="0059757B"/>
    <w:rsid w:val="00597F47"/>
    <w:rsid w:val="00597F4B"/>
    <w:rsid w:val="005A05BE"/>
    <w:rsid w:val="005A0D41"/>
    <w:rsid w:val="005A1273"/>
    <w:rsid w:val="005A1F3D"/>
    <w:rsid w:val="005A4616"/>
    <w:rsid w:val="005A5084"/>
    <w:rsid w:val="005A5140"/>
    <w:rsid w:val="005A5EC7"/>
    <w:rsid w:val="005A62E7"/>
    <w:rsid w:val="005A645F"/>
    <w:rsid w:val="005A692F"/>
    <w:rsid w:val="005A7924"/>
    <w:rsid w:val="005B0523"/>
    <w:rsid w:val="005B0F1B"/>
    <w:rsid w:val="005B0FBA"/>
    <w:rsid w:val="005B1192"/>
    <w:rsid w:val="005B1236"/>
    <w:rsid w:val="005B1FDE"/>
    <w:rsid w:val="005B25AF"/>
    <w:rsid w:val="005B2B5E"/>
    <w:rsid w:val="005B3EAC"/>
    <w:rsid w:val="005B4707"/>
    <w:rsid w:val="005B495F"/>
    <w:rsid w:val="005B4973"/>
    <w:rsid w:val="005B4DA1"/>
    <w:rsid w:val="005B5238"/>
    <w:rsid w:val="005B6121"/>
    <w:rsid w:val="005B624F"/>
    <w:rsid w:val="005B6FCC"/>
    <w:rsid w:val="005B7869"/>
    <w:rsid w:val="005B7D8C"/>
    <w:rsid w:val="005C0F0C"/>
    <w:rsid w:val="005C1775"/>
    <w:rsid w:val="005C18A3"/>
    <w:rsid w:val="005C3588"/>
    <w:rsid w:val="005C3669"/>
    <w:rsid w:val="005C44FB"/>
    <w:rsid w:val="005C5075"/>
    <w:rsid w:val="005C5ACE"/>
    <w:rsid w:val="005C7192"/>
    <w:rsid w:val="005C79E4"/>
    <w:rsid w:val="005D0CF9"/>
    <w:rsid w:val="005D0D2B"/>
    <w:rsid w:val="005D2F38"/>
    <w:rsid w:val="005D329F"/>
    <w:rsid w:val="005D3F0F"/>
    <w:rsid w:val="005D4227"/>
    <w:rsid w:val="005D4700"/>
    <w:rsid w:val="005D48C7"/>
    <w:rsid w:val="005D4A65"/>
    <w:rsid w:val="005D54AF"/>
    <w:rsid w:val="005D5517"/>
    <w:rsid w:val="005D56AD"/>
    <w:rsid w:val="005D689E"/>
    <w:rsid w:val="005D75E1"/>
    <w:rsid w:val="005E06DE"/>
    <w:rsid w:val="005E17D2"/>
    <w:rsid w:val="005E1A1E"/>
    <w:rsid w:val="005E28E8"/>
    <w:rsid w:val="005E38F2"/>
    <w:rsid w:val="005E43FF"/>
    <w:rsid w:val="005E458E"/>
    <w:rsid w:val="005E48C7"/>
    <w:rsid w:val="005E4F3A"/>
    <w:rsid w:val="005E5B4F"/>
    <w:rsid w:val="005E5DB3"/>
    <w:rsid w:val="005E732C"/>
    <w:rsid w:val="005E78AD"/>
    <w:rsid w:val="005F0928"/>
    <w:rsid w:val="005F0A73"/>
    <w:rsid w:val="005F0F76"/>
    <w:rsid w:val="005F2C75"/>
    <w:rsid w:val="005F39A1"/>
    <w:rsid w:val="005F45E2"/>
    <w:rsid w:val="005F46AA"/>
    <w:rsid w:val="005F48ED"/>
    <w:rsid w:val="005F4F6A"/>
    <w:rsid w:val="005F5DA6"/>
    <w:rsid w:val="005F6FB5"/>
    <w:rsid w:val="006023E8"/>
    <w:rsid w:val="0060297E"/>
    <w:rsid w:val="00603741"/>
    <w:rsid w:val="006038AC"/>
    <w:rsid w:val="006038C6"/>
    <w:rsid w:val="006039E1"/>
    <w:rsid w:val="00603B9A"/>
    <w:rsid w:val="00604FE4"/>
    <w:rsid w:val="006062B3"/>
    <w:rsid w:val="0060634C"/>
    <w:rsid w:val="00606493"/>
    <w:rsid w:val="006065CF"/>
    <w:rsid w:val="00606E78"/>
    <w:rsid w:val="00607BF1"/>
    <w:rsid w:val="00610696"/>
    <w:rsid w:val="00610DB2"/>
    <w:rsid w:val="006113F5"/>
    <w:rsid w:val="00612975"/>
    <w:rsid w:val="00612B2D"/>
    <w:rsid w:val="00612E78"/>
    <w:rsid w:val="0061351C"/>
    <w:rsid w:val="0061418B"/>
    <w:rsid w:val="0061467A"/>
    <w:rsid w:val="0061557F"/>
    <w:rsid w:val="0061628A"/>
    <w:rsid w:val="00617217"/>
    <w:rsid w:val="00620E06"/>
    <w:rsid w:val="006242BB"/>
    <w:rsid w:val="00624BA8"/>
    <w:rsid w:val="006262F4"/>
    <w:rsid w:val="006276EE"/>
    <w:rsid w:val="0063014E"/>
    <w:rsid w:val="00630D4D"/>
    <w:rsid w:val="00631B6E"/>
    <w:rsid w:val="006327C4"/>
    <w:rsid w:val="00632A74"/>
    <w:rsid w:val="006349E0"/>
    <w:rsid w:val="00636371"/>
    <w:rsid w:val="006368D2"/>
    <w:rsid w:val="00636C46"/>
    <w:rsid w:val="006371A0"/>
    <w:rsid w:val="00637993"/>
    <w:rsid w:val="0064029E"/>
    <w:rsid w:val="006408AD"/>
    <w:rsid w:val="00641494"/>
    <w:rsid w:val="00641710"/>
    <w:rsid w:val="00641A03"/>
    <w:rsid w:val="00642001"/>
    <w:rsid w:val="006429FF"/>
    <w:rsid w:val="00642C03"/>
    <w:rsid w:val="00643534"/>
    <w:rsid w:val="0064384B"/>
    <w:rsid w:val="00643B33"/>
    <w:rsid w:val="0064422E"/>
    <w:rsid w:val="00644E98"/>
    <w:rsid w:val="00645EBE"/>
    <w:rsid w:val="00646322"/>
    <w:rsid w:val="00646BFB"/>
    <w:rsid w:val="006477C3"/>
    <w:rsid w:val="00647B36"/>
    <w:rsid w:val="00650005"/>
    <w:rsid w:val="00650CAA"/>
    <w:rsid w:val="00651B0D"/>
    <w:rsid w:val="00652548"/>
    <w:rsid w:val="0065312D"/>
    <w:rsid w:val="00653A3A"/>
    <w:rsid w:val="006541FF"/>
    <w:rsid w:val="006547D1"/>
    <w:rsid w:val="00654D42"/>
    <w:rsid w:val="006556DC"/>
    <w:rsid w:val="00656033"/>
    <w:rsid w:val="006564C5"/>
    <w:rsid w:val="00657393"/>
    <w:rsid w:val="00660604"/>
    <w:rsid w:val="00660AF4"/>
    <w:rsid w:val="00660D99"/>
    <w:rsid w:val="00661720"/>
    <w:rsid w:val="00661D83"/>
    <w:rsid w:val="00662DAD"/>
    <w:rsid w:val="00663C4F"/>
    <w:rsid w:val="00664E02"/>
    <w:rsid w:val="00664EF3"/>
    <w:rsid w:val="00665619"/>
    <w:rsid w:val="00665F9B"/>
    <w:rsid w:val="00666594"/>
    <w:rsid w:val="0066659A"/>
    <w:rsid w:val="00666797"/>
    <w:rsid w:val="00666A64"/>
    <w:rsid w:val="00666E02"/>
    <w:rsid w:val="00670C43"/>
    <w:rsid w:val="00671A20"/>
    <w:rsid w:val="006730C5"/>
    <w:rsid w:val="006746CC"/>
    <w:rsid w:val="00674BE7"/>
    <w:rsid w:val="00675096"/>
    <w:rsid w:val="00676F4D"/>
    <w:rsid w:val="006779DA"/>
    <w:rsid w:val="00677BD6"/>
    <w:rsid w:val="00677CF3"/>
    <w:rsid w:val="00677D1A"/>
    <w:rsid w:val="006808D1"/>
    <w:rsid w:val="00682326"/>
    <w:rsid w:val="006824C6"/>
    <w:rsid w:val="0068453B"/>
    <w:rsid w:val="00684C8D"/>
    <w:rsid w:val="00684E5B"/>
    <w:rsid w:val="00685CF8"/>
    <w:rsid w:val="006862D5"/>
    <w:rsid w:val="006869F1"/>
    <w:rsid w:val="0068735D"/>
    <w:rsid w:val="0068777C"/>
    <w:rsid w:val="00690E55"/>
    <w:rsid w:val="006914E2"/>
    <w:rsid w:val="006922C4"/>
    <w:rsid w:val="00692F0C"/>
    <w:rsid w:val="0069305A"/>
    <w:rsid w:val="006938CD"/>
    <w:rsid w:val="00693F8F"/>
    <w:rsid w:val="00694071"/>
    <w:rsid w:val="00694223"/>
    <w:rsid w:val="006950B3"/>
    <w:rsid w:val="006A01C8"/>
    <w:rsid w:val="006A0300"/>
    <w:rsid w:val="006A0634"/>
    <w:rsid w:val="006A0F78"/>
    <w:rsid w:val="006A13CE"/>
    <w:rsid w:val="006A1532"/>
    <w:rsid w:val="006A1763"/>
    <w:rsid w:val="006A1BD1"/>
    <w:rsid w:val="006A1C51"/>
    <w:rsid w:val="006A1FDE"/>
    <w:rsid w:val="006A202E"/>
    <w:rsid w:val="006A2462"/>
    <w:rsid w:val="006A28FB"/>
    <w:rsid w:val="006A3028"/>
    <w:rsid w:val="006A3988"/>
    <w:rsid w:val="006A3D8A"/>
    <w:rsid w:val="006A3FF3"/>
    <w:rsid w:val="006A4527"/>
    <w:rsid w:val="006A4585"/>
    <w:rsid w:val="006A4644"/>
    <w:rsid w:val="006A4655"/>
    <w:rsid w:val="006A646D"/>
    <w:rsid w:val="006A6FFC"/>
    <w:rsid w:val="006A7758"/>
    <w:rsid w:val="006B058C"/>
    <w:rsid w:val="006B070F"/>
    <w:rsid w:val="006B07A2"/>
    <w:rsid w:val="006B0E3D"/>
    <w:rsid w:val="006B11A7"/>
    <w:rsid w:val="006B1EAE"/>
    <w:rsid w:val="006B2595"/>
    <w:rsid w:val="006B2B3C"/>
    <w:rsid w:val="006B34F8"/>
    <w:rsid w:val="006B435D"/>
    <w:rsid w:val="006B712B"/>
    <w:rsid w:val="006B7478"/>
    <w:rsid w:val="006B74C8"/>
    <w:rsid w:val="006B75F9"/>
    <w:rsid w:val="006B78EF"/>
    <w:rsid w:val="006B7DA7"/>
    <w:rsid w:val="006C1062"/>
    <w:rsid w:val="006C158B"/>
    <w:rsid w:val="006C1D81"/>
    <w:rsid w:val="006C1EA1"/>
    <w:rsid w:val="006C1EEB"/>
    <w:rsid w:val="006C32E7"/>
    <w:rsid w:val="006C41D1"/>
    <w:rsid w:val="006C47B3"/>
    <w:rsid w:val="006C4EA7"/>
    <w:rsid w:val="006C610B"/>
    <w:rsid w:val="006C7038"/>
    <w:rsid w:val="006C757A"/>
    <w:rsid w:val="006D1236"/>
    <w:rsid w:val="006D1859"/>
    <w:rsid w:val="006D26F6"/>
    <w:rsid w:val="006D2EE3"/>
    <w:rsid w:val="006D3677"/>
    <w:rsid w:val="006D3712"/>
    <w:rsid w:val="006D3A22"/>
    <w:rsid w:val="006D42FE"/>
    <w:rsid w:val="006D434B"/>
    <w:rsid w:val="006D4A43"/>
    <w:rsid w:val="006D4C12"/>
    <w:rsid w:val="006D6AFA"/>
    <w:rsid w:val="006D6D69"/>
    <w:rsid w:val="006D7508"/>
    <w:rsid w:val="006D7E31"/>
    <w:rsid w:val="006E0323"/>
    <w:rsid w:val="006E0F39"/>
    <w:rsid w:val="006E1966"/>
    <w:rsid w:val="006E23C8"/>
    <w:rsid w:val="006E2534"/>
    <w:rsid w:val="006E278A"/>
    <w:rsid w:val="006E2909"/>
    <w:rsid w:val="006E367B"/>
    <w:rsid w:val="006E4C68"/>
    <w:rsid w:val="006E4C72"/>
    <w:rsid w:val="006E50E9"/>
    <w:rsid w:val="006E613C"/>
    <w:rsid w:val="006E73EF"/>
    <w:rsid w:val="006F073E"/>
    <w:rsid w:val="006F08ED"/>
    <w:rsid w:val="006F0A69"/>
    <w:rsid w:val="006F3F5F"/>
    <w:rsid w:val="006F46CD"/>
    <w:rsid w:val="006F5306"/>
    <w:rsid w:val="006F5753"/>
    <w:rsid w:val="006F5774"/>
    <w:rsid w:val="006F6202"/>
    <w:rsid w:val="006F627E"/>
    <w:rsid w:val="006F6979"/>
    <w:rsid w:val="006F72DE"/>
    <w:rsid w:val="0070086B"/>
    <w:rsid w:val="00700B97"/>
    <w:rsid w:val="007016C1"/>
    <w:rsid w:val="00701761"/>
    <w:rsid w:val="007020EA"/>
    <w:rsid w:val="007035E2"/>
    <w:rsid w:val="0070486E"/>
    <w:rsid w:val="00704B2C"/>
    <w:rsid w:val="007056EA"/>
    <w:rsid w:val="00705F3E"/>
    <w:rsid w:val="00706183"/>
    <w:rsid w:val="007069BA"/>
    <w:rsid w:val="0070770F"/>
    <w:rsid w:val="007077A5"/>
    <w:rsid w:val="007079C9"/>
    <w:rsid w:val="00707DD0"/>
    <w:rsid w:val="00711133"/>
    <w:rsid w:val="007115F4"/>
    <w:rsid w:val="0071191A"/>
    <w:rsid w:val="007146F5"/>
    <w:rsid w:val="00714D4D"/>
    <w:rsid w:val="00715037"/>
    <w:rsid w:val="00715B01"/>
    <w:rsid w:val="007164D4"/>
    <w:rsid w:val="00716645"/>
    <w:rsid w:val="00717A98"/>
    <w:rsid w:val="00720600"/>
    <w:rsid w:val="0072155A"/>
    <w:rsid w:val="0072188D"/>
    <w:rsid w:val="00721DDE"/>
    <w:rsid w:val="00722669"/>
    <w:rsid w:val="00722865"/>
    <w:rsid w:val="00723431"/>
    <w:rsid w:val="00724874"/>
    <w:rsid w:val="00724B57"/>
    <w:rsid w:val="00724C34"/>
    <w:rsid w:val="00725D5D"/>
    <w:rsid w:val="007266D3"/>
    <w:rsid w:val="00726B49"/>
    <w:rsid w:val="00727047"/>
    <w:rsid w:val="00727837"/>
    <w:rsid w:val="00727BEE"/>
    <w:rsid w:val="00730DCF"/>
    <w:rsid w:val="00731318"/>
    <w:rsid w:val="00731B11"/>
    <w:rsid w:val="00732029"/>
    <w:rsid w:val="00732808"/>
    <w:rsid w:val="00732CCE"/>
    <w:rsid w:val="00734D4C"/>
    <w:rsid w:val="0073515F"/>
    <w:rsid w:val="007357F7"/>
    <w:rsid w:val="00736019"/>
    <w:rsid w:val="007364B0"/>
    <w:rsid w:val="007364C2"/>
    <w:rsid w:val="007369AB"/>
    <w:rsid w:val="00736A33"/>
    <w:rsid w:val="00737A59"/>
    <w:rsid w:val="0074011C"/>
    <w:rsid w:val="00740892"/>
    <w:rsid w:val="00740F27"/>
    <w:rsid w:val="00741484"/>
    <w:rsid w:val="00741B97"/>
    <w:rsid w:val="0074253E"/>
    <w:rsid w:val="007430F6"/>
    <w:rsid w:val="00743A8B"/>
    <w:rsid w:val="00744C28"/>
    <w:rsid w:val="007458FD"/>
    <w:rsid w:val="007462FC"/>
    <w:rsid w:val="0074668B"/>
    <w:rsid w:val="0074675D"/>
    <w:rsid w:val="00746966"/>
    <w:rsid w:val="00747476"/>
    <w:rsid w:val="00747D71"/>
    <w:rsid w:val="00747E82"/>
    <w:rsid w:val="00750081"/>
    <w:rsid w:val="0075068D"/>
    <w:rsid w:val="00750B87"/>
    <w:rsid w:val="00751A25"/>
    <w:rsid w:val="00751BA4"/>
    <w:rsid w:val="00752272"/>
    <w:rsid w:val="00753502"/>
    <w:rsid w:val="00753A72"/>
    <w:rsid w:val="00755702"/>
    <w:rsid w:val="00755D06"/>
    <w:rsid w:val="00756163"/>
    <w:rsid w:val="007574F5"/>
    <w:rsid w:val="00757826"/>
    <w:rsid w:val="00757B90"/>
    <w:rsid w:val="00757D23"/>
    <w:rsid w:val="00760119"/>
    <w:rsid w:val="007604BB"/>
    <w:rsid w:val="00760865"/>
    <w:rsid w:val="00760A6E"/>
    <w:rsid w:val="00760CE1"/>
    <w:rsid w:val="00762FB5"/>
    <w:rsid w:val="0076448B"/>
    <w:rsid w:val="007645FD"/>
    <w:rsid w:val="00764E1F"/>
    <w:rsid w:val="0076560B"/>
    <w:rsid w:val="007664F7"/>
    <w:rsid w:val="007672C9"/>
    <w:rsid w:val="0076740B"/>
    <w:rsid w:val="00767628"/>
    <w:rsid w:val="00767E0C"/>
    <w:rsid w:val="00770920"/>
    <w:rsid w:val="00770A04"/>
    <w:rsid w:val="0077175E"/>
    <w:rsid w:val="00771815"/>
    <w:rsid w:val="007720CF"/>
    <w:rsid w:val="007726FF"/>
    <w:rsid w:val="00772909"/>
    <w:rsid w:val="007729E0"/>
    <w:rsid w:val="0077398B"/>
    <w:rsid w:val="0077421D"/>
    <w:rsid w:val="00774725"/>
    <w:rsid w:val="00774807"/>
    <w:rsid w:val="00774BD5"/>
    <w:rsid w:val="007752B7"/>
    <w:rsid w:val="007753E3"/>
    <w:rsid w:val="007756ED"/>
    <w:rsid w:val="007757D3"/>
    <w:rsid w:val="00776737"/>
    <w:rsid w:val="00776910"/>
    <w:rsid w:val="007771B9"/>
    <w:rsid w:val="0077760F"/>
    <w:rsid w:val="007801F8"/>
    <w:rsid w:val="0078101E"/>
    <w:rsid w:val="00782013"/>
    <w:rsid w:val="00782940"/>
    <w:rsid w:val="0078297D"/>
    <w:rsid w:val="007836AC"/>
    <w:rsid w:val="00783D27"/>
    <w:rsid w:val="00784320"/>
    <w:rsid w:val="00784FF0"/>
    <w:rsid w:val="007850A9"/>
    <w:rsid w:val="00785232"/>
    <w:rsid w:val="00786568"/>
    <w:rsid w:val="00786630"/>
    <w:rsid w:val="00787437"/>
    <w:rsid w:val="00791DAA"/>
    <w:rsid w:val="0079268F"/>
    <w:rsid w:val="00792C31"/>
    <w:rsid w:val="00793AFC"/>
    <w:rsid w:val="0079429A"/>
    <w:rsid w:val="00794A30"/>
    <w:rsid w:val="00795583"/>
    <w:rsid w:val="00796D08"/>
    <w:rsid w:val="0079701E"/>
    <w:rsid w:val="00797689"/>
    <w:rsid w:val="00797876"/>
    <w:rsid w:val="007A03B3"/>
    <w:rsid w:val="007A21EB"/>
    <w:rsid w:val="007A34BA"/>
    <w:rsid w:val="007A5C51"/>
    <w:rsid w:val="007A6500"/>
    <w:rsid w:val="007A65C4"/>
    <w:rsid w:val="007A68B2"/>
    <w:rsid w:val="007B0F4E"/>
    <w:rsid w:val="007B12B9"/>
    <w:rsid w:val="007B14FF"/>
    <w:rsid w:val="007B1A93"/>
    <w:rsid w:val="007B42DB"/>
    <w:rsid w:val="007B5E21"/>
    <w:rsid w:val="007B68D9"/>
    <w:rsid w:val="007B6905"/>
    <w:rsid w:val="007B6ED0"/>
    <w:rsid w:val="007B6FB0"/>
    <w:rsid w:val="007B7738"/>
    <w:rsid w:val="007B7D74"/>
    <w:rsid w:val="007C0BF3"/>
    <w:rsid w:val="007C183F"/>
    <w:rsid w:val="007C323F"/>
    <w:rsid w:val="007C36C9"/>
    <w:rsid w:val="007C4D73"/>
    <w:rsid w:val="007C6996"/>
    <w:rsid w:val="007C6BAD"/>
    <w:rsid w:val="007C7A81"/>
    <w:rsid w:val="007D07E2"/>
    <w:rsid w:val="007D0CE5"/>
    <w:rsid w:val="007D0D7E"/>
    <w:rsid w:val="007D2632"/>
    <w:rsid w:val="007D2E40"/>
    <w:rsid w:val="007D32C1"/>
    <w:rsid w:val="007D34F1"/>
    <w:rsid w:val="007D39F2"/>
    <w:rsid w:val="007D3F4F"/>
    <w:rsid w:val="007D4FA8"/>
    <w:rsid w:val="007D6401"/>
    <w:rsid w:val="007D6E94"/>
    <w:rsid w:val="007D7110"/>
    <w:rsid w:val="007D76C0"/>
    <w:rsid w:val="007D7B87"/>
    <w:rsid w:val="007E01E4"/>
    <w:rsid w:val="007E0D92"/>
    <w:rsid w:val="007E2304"/>
    <w:rsid w:val="007E23D0"/>
    <w:rsid w:val="007E2434"/>
    <w:rsid w:val="007E397A"/>
    <w:rsid w:val="007E5C24"/>
    <w:rsid w:val="007E700F"/>
    <w:rsid w:val="007E7A12"/>
    <w:rsid w:val="007F0217"/>
    <w:rsid w:val="007F035D"/>
    <w:rsid w:val="007F0363"/>
    <w:rsid w:val="007F068D"/>
    <w:rsid w:val="007F0A06"/>
    <w:rsid w:val="007F0E03"/>
    <w:rsid w:val="007F1353"/>
    <w:rsid w:val="007F1C4B"/>
    <w:rsid w:val="007F1E54"/>
    <w:rsid w:val="007F26A4"/>
    <w:rsid w:val="007F2B58"/>
    <w:rsid w:val="007F2F4C"/>
    <w:rsid w:val="007F3980"/>
    <w:rsid w:val="007F39C4"/>
    <w:rsid w:val="007F3EAA"/>
    <w:rsid w:val="007F472D"/>
    <w:rsid w:val="007F4AA8"/>
    <w:rsid w:val="007F7107"/>
    <w:rsid w:val="007F7171"/>
    <w:rsid w:val="007F72B9"/>
    <w:rsid w:val="007F7CCA"/>
    <w:rsid w:val="00800453"/>
    <w:rsid w:val="00800D4C"/>
    <w:rsid w:val="008011F4"/>
    <w:rsid w:val="0080203A"/>
    <w:rsid w:val="0080225F"/>
    <w:rsid w:val="00802BA0"/>
    <w:rsid w:val="00802E61"/>
    <w:rsid w:val="00803763"/>
    <w:rsid w:val="008039F0"/>
    <w:rsid w:val="00804120"/>
    <w:rsid w:val="00804472"/>
    <w:rsid w:val="00804588"/>
    <w:rsid w:val="00805CB9"/>
    <w:rsid w:val="008060C7"/>
    <w:rsid w:val="00806A59"/>
    <w:rsid w:val="00806C46"/>
    <w:rsid w:val="00806FDE"/>
    <w:rsid w:val="008073C5"/>
    <w:rsid w:val="0081030F"/>
    <w:rsid w:val="0081068E"/>
    <w:rsid w:val="00810B34"/>
    <w:rsid w:val="0081288B"/>
    <w:rsid w:val="00812F4A"/>
    <w:rsid w:val="00813D3A"/>
    <w:rsid w:val="00814287"/>
    <w:rsid w:val="0081466D"/>
    <w:rsid w:val="0081527C"/>
    <w:rsid w:val="008154CF"/>
    <w:rsid w:val="0081648E"/>
    <w:rsid w:val="0081768A"/>
    <w:rsid w:val="00817C6B"/>
    <w:rsid w:val="00820568"/>
    <w:rsid w:val="0082087D"/>
    <w:rsid w:val="00820F0B"/>
    <w:rsid w:val="00822A18"/>
    <w:rsid w:val="00822D11"/>
    <w:rsid w:val="00822FE8"/>
    <w:rsid w:val="0082316F"/>
    <w:rsid w:val="0082339A"/>
    <w:rsid w:val="008233E4"/>
    <w:rsid w:val="00823BB2"/>
    <w:rsid w:val="0082491B"/>
    <w:rsid w:val="0082512F"/>
    <w:rsid w:val="0082566B"/>
    <w:rsid w:val="00825684"/>
    <w:rsid w:val="00825A04"/>
    <w:rsid w:val="0082685C"/>
    <w:rsid w:val="00826B71"/>
    <w:rsid w:val="00827222"/>
    <w:rsid w:val="008277A7"/>
    <w:rsid w:val="00831DC9"/>
    <w:rsid w:val="008332B8"/>
    <w:rsid w:val="00833894"/>
    <w:rsid w:val="00833CDF"/>
    <w:rsid w:val="008345D8"/>
    <w:rsid w:val="00834BDD"/>
    <w:rsid w:val="00835771"/>
    <w:rsid w:val="0083589F"/>
    <w:rsid w:val="00835B1E"/>
    <w:rsid w:val="00836581"/>
    <w:rsid w:val="00837D70"/>
    <w:rsid w:val="0084157D"/>
    <w:rsid w:val="00842933"/>
    <w:rsid w:val="00843408"/>
    <w:rsid w:val="00843D3E"/>
    <w:rsid w:val="008446DD"/>
    <w:rsid w:val="00844B9B"/>
    <w:rsid w:val="008455B1"/>
    <w:rsid w:val="008457E3"/>
    <w:rsid w:val="008457F6"/>
    <w:rsid w:val="00845C6C"/>
    <w:rsid w:val="0084654C"/>
    <w:rsid w:val="008468FF"/>
    <w:rsid w:val="00847396"/>
    <w:rsid w:val="00847F4E"/>
    <w:rsid w:val="008505D2"/>
    <w:rsid w:val="008505E7"/>
    <w:rsid w:val="00850B14"/>
    <w:rsid w:val="008522B0"/>
    <w:rsid w:val="00852ADC"/>
    <w:rsid w:val="00852B1B"/>
    <w:rsid w:val="00852C88"/>
    <w:rsid w:val="00853D06"/>
    <w:rsid w:val="00853D4C"/>
    <w:rsid w:val="00855899"/>
    <w:rsid w:val="008566EB"/>
    <w:rsid w:val="00856854"/>
    <w:rsid w:val="0085692F"/>
    <w:rsid w:val="0085743A"/>
    <w:rsid w:val="008576E6"/>
    <w:rsid w:val="0085787F"/>
    <w:rsid w:val="0086082C"/>
    <w:rsid w:val="00861542"/>
    <w:rsid w:val="008616C8"/>
    <w:rsid w:val="008616E1"/>
    <w:rsid w:val="00861BD9"/>
    <w:rsid w:val="00862AB1"/>
    <w:rsid w:val="00863318"/>
    <w:rsid w:val="0086349D"/>
    <w:rsid w:val="00863EE7"/>
    <w:rsid w:val="00864ADC"/>
    <w:rsid w:val="008658F4"/>
    <w:rsid w:val="008669B4"/>
    <w:rsid w:val="00870065"/>
    <w:rsid w:val="00870AA6"/>
    <w:rsid w:val="00871E1B"/>
    <w:rsid w:val="00871FE2"/>
    <w:rsid w:val="0087250C"/>
    <w:rsid w:val="0087469D"/>
    <w:rsid w:val="00875920"/>
    <w:rsid w:val="00875B4A"/>
    <w:rsid w:val="00876D6F"/>
    <w:rsid w:val="008775A1"/>
    <w:rsid w:val="00880153"/>
    <w:rsid w:val="00880F97"/>
    <w:rsid w:val="0088133A"/>
    <w:rsid w:val="00881FF4"/>
    <w:rsid w:val="008851E8"/>
    <w:rsid w:val="008857AB"/>
    <w:rsid w:val="00885FF7"/>
    <w:rsid w:val="0088693E"/>
    <w:rsid w:val="00887B02"/>
    <w:rsid w:val="00891C1A"/>
    <w:rsid w:val="0089285E"/>
    <w:rsid w:val="008929FD"/>
    <w:rsid w:val="00893605"/>
    <w:rsid w:val="008938C9"/>
    <w:rsid w:val="0089436C"/>
    <w:rsid w:val="00894CCE"/>
    <w:rsid w:val="00895C86"/>
    <w:rsid w:val="00895CBC"/>
    <w:rsid w:val="00895D04"/>
    <w:rsid w:val="008967E7"/>
    <w:rsid w:val="00896878"/>
    <w:rsid w:val="008A1204"/>
    <w:rsid w:val="008A3FC4"/>
    <w:rsid w:val="008A4CA5"/>
    <w:rsid w:val="008A537B"/>
    <w:rsid w:val="008A57F3"/>
    <w:rsid w:val="008A5B25"/>
    <w:rsid w:val="008A5D5A"/>
    <w:rsid w:val="008A62B2"/>
    <w:rsid w:val="008A6B25"/>
    <w:rsid w:val="008A78C2"/>
    <w:rsid w:val="008B09C5"/>
    <w:rsid w:val="008B0F62"/>
    <w:rsid w:val="008B14FB"/>
    <w:rsid w:val="008B184B"/>
    <w:rsid w:val="008B3CBA"/>
    <w:rsid w:val="008B463C"/>
    <w:rsid w:val="008B4A39"/>
    <w:rsid w:val="008B57A1"/>
    <w:rsid w:val="008B6811"/>
    <w:rsid w:val="008B707A"/>
    <w:rsid w:val="008C08C1"/>
    <w:rsid w:val="008C0E21"/>
    <w:rsid w:val="008C3E3D"/>
    <w:rsid w:val="008C5B2C"/>
    <w:rsid w:val="008C5B73"/>
    <w:rsid w:val="008C6160"/>
    <w:rsid w:val="008C6B69"/>
    <w:rsid w:val="008C6C57"/>
    <w:rsid w:val="008C719D"/>
    <w:rsid w:val="008C7D35"/>
    <w:rsid w:val="008C7E61"/>
    <w:rsid w:val="008D1A27"/>
    <w:rsid w:val="008D1F27"/>
    <w:rsid w:val="008D206E"/>
    <w:rsid w:val="008D23C1"/>
    <w:rsid w:val="008D2717"/>
    <w:rsid w:val="008D365C"/>
    <w:rsid w:val="008D3745"/>
    <w:rsid w:val="008D4073"/>
    <w:rsid w:val="008D43C3"/>
    <w:rsid w:val="008D6A72"/>
    <w:rsid w:val="008D70B1"/>
    <w:rsid w:val="008D720E"/>
    <w:rsid w:val="008D7590"/>
    <w:rsid w:val="008D7622"/>
    <w:rsid w:val="008E09AE"/>
    <w:rsid w:val="008E3859"/>
    <w:rsid w:val="008E59A2"/>
    <w:rsid w:val="008E5A1F"/>
    <w:rsid w:val="008E5E7B"/>
    <w:rsid w:val="008E6379"/>
    <w:rsid w:val="008E7ADC"/>
    <w:rsid w:val="008F10FF"/>
    <w:rsid w:val="008F1BCD"/>
    <w:rsid w:val="008F2552"/>
    <w:rsid w:val="008F31C0"/>
    <w:rsid w:val="008F37DA"/>
    <w:rsid w:val="008F4F30"/>
    <w:rsid w:val="008F4FAA"/>
    <w:rsid w:val="008F6117"/>
    <w:rsid w:val="008F6453"/>
    <w:rsid w:val="00900DFC"/>
    <w:rsid w:val="00901263"/>
    <w:rsid w:val="009014FD"/>
    <w:rsid w:val="00901E43"/>
    <w:rsid w:val="00901EDF"/>
    <w:rsid w:val="00902067"/>
    <w:rsid w:val="009021A6"/>
    <w:rsid w:val="009023B3"/>
    <w:rsid w:val="00902609"/>
    <w:rsid w:val="009030BF"/>
    <w:rsid w:val="00903B52"/>
    <w:rsid w:val="00904586"/>
    <w:rsid w:val="009046A3"/>
    <w:rsid w:val="0090504D"/>
    <w:rsid w:val="00905176"/>
    <w:rsid w:val="00905E73"/>
    <w:rsid w:val="009064AE"/>
    <w:rsid w:val="00906DE6"/>
    <w:rsid w:val="00906FFC"/>
    <w:rsid w:val="0090764B"/>
    <w:rsid w:val="009077AA"/>
    <w:rsid w:val="00907836"/>
    <w:rsid w:val="0091032F"/>
    <w:rsid w:val="00910C12"/>
    <w:rsid w:val="00910F04"/>
    <w:rsid w:val="00911B08"/>
    <w:rsid w:val="0091241A"/>
    <w:rsid w:val="009138F5"/>
    <w:rsid w:val="00914368"/>
    <w:rsid w:val="00914370"/>
    <w:rsid w:val="00914540"/>
    <w:rsid w:val="009152BD"/>
    <w:rsid w:val="009217B8"/>
    <w:rsid w:val="00921C24"/>
    <w:rsid w:val="009223FD"/>
    <w:rsid w:val="009230D9"/>
    <w:rsid w:val="0092361C"/>
    <w:rsid w:val="00923961"/>
    <w:rsid w:val="009239A0"/>
    <w:rsid w:val="00923FDA"/>
    <w:rsid w:val="00924DD2"/>
    <w:rsid w:val="00925401"/>
    <w:rsid w:val="00925BBA"/>
    <w:rsid w:val="009262B0"/>
    <w:rsid w:val="009262F0"/>
    <w:rsid w:val="0092762B"/>
    <w:rsid w:val="00927A54"/>
    <w:rsid w:val="00927AE5"/>
    <w:rsid w:val="009301DD"/>
    <w:rsid w:val="009309F7"/>
    <w:rsid w:val="00931076"/>
    <w:rsid w:val="009317D2"/>
    <w:rsid w:val="00931AFE"/>
    <w:rsid w:val="00932CBE"/>
    <w:rsid w:val="00933793"/>
    <w:rsid w:val="0093452F"/>
    <w:rsid w:val="009345D9"/>
    <w:rsid w:val="0093475E"/>
    <w:rsid w:val="00934B15"/>
    <w:rsid w:val="0093501C"/>
    <w:rsid w:val="0093522F"/>
    <w:rsid w:val="0093608C"/>
    <w:rsid w:val="00937B6D"/>
    <w:rsid w:val="00940134"/>
    <w:rsid w:val="009402CF"/>
    <w:rsid w:val="00940C87"/>
    <w:rsid w:val="0094117F"/>
    <w:rsid w:val="0094134B"/>
    <w:rsid w:val="00942A86"/>
    <w:rsid w:val="00942B62"/>
    <w:rsid w:val="00942C89"/>
    <w:rsid w:val="00942EAF"/>
    <w:rsid w:val="00942F91"/>
    <w:rsid w:val="009431E4"/>
    <w:rsid w:val="00944636"/>
    <w:rsid w:val="00945395"/>
    <w:rsid w:val="009459F2"/>
    <w:rsid w:val="00945FA1"/>
    <w:rsid w:val="00946594"/>
    <w:rsid w:val="00947203"/>
    <w:rsid w:val="00947330"/>
    <w:rsid w:val="00947468"/>
    <w:rsid w:val="00947892"/>
    <w:rsid w:val="00947CD6"/>
    <w:rsid w:val="00947FBB"/>
    <w:rsid w:val="00950C8B"/>
    <w:rsid w:val="009519E5"/>
    <w:rsid w:val="00952026"/>
    <w:rsid w:val="00952C48"/>
    <w:rsid w:val="00952C65"/>
    <w:rsid w:val="0095323B"/>
    <w:rsid w:val="00953282"/>
    <w:rsid w:val="00953359"/>
    <w:rsid w:val="00953513"/>
    <w:rsid w:val="00953E5C"/>
    <w:rsid w:val="009544E7"/>
    <w:rsid w:val="00954B1B"/>
    <w:rsid w:val="00954EE5"/>
    <w:rsid w:val="0095592B"/>
    <w:rsid w:val="00956A0C"/>
    <w:rsid w:val="00956BD9"/>
    <w:rsid w:val="00960567"/>
    <w:rsid w:val="00960926"/>
    <w:rsid w:val="00960AB0"/>
    <w:rsid w:val="00960C03"/>
    <w:rsid w:val="009610A2"/>
    <w:rsid w:val="009622C5"/>
    <w:rsid w:val="00962489"/>
    <w:rsid w:val="00962494"/>
    <w:rsid w:val="0096260D"/>
    <w:rsid w:val="00962F5D"/>
    <w:rsid w:val="00963044"/>
    <w:rsid w:val="00963F4B"/>
    <w:rsid w:val="0096457F"/>
    <w:rsid w:val="00964739"/>
    <w:rsid w:val="00964A41"/>
    <w:rsid w:val="00964BC8"/>
    <w:rsid w:val="00965776"/>
    <w:rsid w:val="009659CC"/>
    <w:rsid w:val="009661A5"/>
    <w:rsid w:val="00966CC1"/>
    <w:rsid w:val="00966FD0"/>
    <w:rsid w:val="009671CB"/>
    <w:rsid w:val="00967CD3"/>
    <w:rsid w:val="00967FBE"/>
    <w:rsid w:val="00971B3A"/>
    <w:rsid w:val="00972680"/>
    <w:rsid w:val="00973C87"/>
    <w:rsid w:val="00974850"/>
    <w:rsid w:val="00975EF9"/>
    <w:rsid w:val="009768F6"/>
    <w:rsid w:val="00976BBF"/>
    <w:rsid w:val="00977776"/>
    <w:rsid w:val="009779CD"/>
    <w:rsid w:val="00977B18"/>
    <w:rsid w:val="00977FE6"/>
    <w:rsid w:val="009815FB"/>
    <w:rsid w:val="009818F1"/>
    <w:rsid w:val="0098258F"/>
    <w:rsid w:val="0098328C"/>
    <w:rsid w:val="00984184"/>
    <w:rsid w:val="00984272"/>
    <w:rsid w:val="00984572"/>
    <w:rsid w:val="009852A2"/>
    <w:rsid w:val="009852C2"/>
    <w:rsid w:val="00985904"/>
    <w:rsid w:val="00987CDA"/>
    <w:rsid w:val="00987ED2"/>
    <w:rsid w:val="00987FE1"/>
    <w:rsid w:val="00990641"/>
    <w:rsid w:val="009907E1"/>
    <w:rsid w:val="00990C2C"/>
    <w:rsid w:val="0099106F"/>
    <w:rsid w:val="009910A3"/>
    <w:rsid w:val="009910C7"/>
    <w:rsid w:val="00992060"/>
    <w:rsid w:val="009930E8"/>
    <w:rsid w:val="00993107"/>
    <w:rsid w:val="00994E25"/>
    <w:rsid w:val="00994F38"/>
    <w:rsid w:val="009960DE"/>
    <w:rsid w:val="00996106"/>
    <w:rsid w:val="009967AD"/>
    <w:rsid w:val="00996C41"/>
    <w:rsid w:val="00996CE4"/>
    <w:rsid w:val="00997FD9"/>
    <w:rsid w:val="009A0230"/>
    <w:rsid w:val="009A0472"/>
    <w:rsid w:val="009A13E6"/>
    <w:rsid w:val="009A1DB1"/>
    <w:rsid w:val="009A25D2"/>
    <w:rsid w:val="009A25E9"/>
    <w:rsid w:val="009A31D9"/>
    <w:rsid w:val="009A3257"/>
    <w:rsid w:val="009A374A"/>
    <w:rsid w:val="009A37CA"/>
    <w:rsid w:val="009A5171"/>
    <w:rsid w:val="009A5421"/>
    <w:rsid w:val="009A7A32"/>
    <w:rsid w:val="009A7D9A"/>
    <w:rsid w:val="009A7F76"/>
    <w:rsid w:val="009B0220"/>
    <w:rsid w:val="009B230D"/>
    <w:rsid w:val="009B3811"/>
    <w:rsid w:val="009B4CAD"/>
    <w:rsid w:val="009B5FC0"/>
    <w:rsid w:val="009B7B43"/>
    <w:rsid w:val="009C072F"/>
    <w:rsid w:val="009C11E9"/>
    <w:rsid w:val="009C1678"/>
    <w:rsid w:val="009C18A3"/>
    <w:rsid w:val="009C1E79"/>
    <w:rsid w:val="009C2B9D"/>
    <w:rsid w:val="009C39A5"/>
    <w:rsid w:val="009C416E"/>
    <w:rsid w:val="009C44A7"/>
    <w:rsid w:val="009C552F"/>
    <w:rsid w:val="009C561E"/>
    <w:rsid w:val="009C76F7"/>
    <w:rsid w:val="009C7FF6"/>
    <w:rsid w:val="009D0AEB"/>
    <w:rsid w:val="009D26DC"/>
    <w:rsid w:val="009D28A0"/>
    <w:rsid w:val="009D2EE1"/>
    <w:rsid w:val="009D32C1"/>
    <w:rsid w:val="009D6633"/>
    <w:rsid w:val="009D6BFA"/>
    <w:rsid w:val="009D7BB6"/>
    <w:rsid w:val="009D7CE8"/>
    <w:rsid w:val="009E0D8E"/>
    <w:rsid w:val="009E1490"/>
    <w:rsid w:val="009E1801"/>
    <w:rsid w:val="009E1844"/>
    <w:rsid w:val="009E3433"/>
    <w:rsid w:val="009E3B3C"/>
    <w:rsid w:val="009E3C7B"/>
    <w:rsid w:val="009E4880"/>
    <w:rsid w:val="009E55EB"/>
    <w:rsid w:val="009E5786"/>
    <w:rsid w:val="009E5F1B"/>
    <w:rsid w:val="009E62FA"/>
    <w:rsid w:val="009E6E58"/>
    <w:rsid w:val="009E7088"/>
    <w:rsid w:val="009E7534"/>
    <w:rsid w:val="009F0539"/>
    <w:rsid w:val="009F05FD"/>
    <w:rsid w:val="009F0D1B"/>
    <w:rsid w:val="009F0F19"/>
    <w:rsid w:val="009F14B5"/>
    <w:rsid w:val="009F19D0"/>
    <w:rsid w:val="009F3EC2"/>
    <w:rsid w:val="009F53DD"/>
    <w:rsid w:val="009F5BBD"/>
    <w:rsid w:val="009F637D"/>
    <w:rsid w:val="009F652B"/>
    <w:rsid w:val="009F6964"/>
    <w:rsid w:val="009F696D"/>
    <w:rsid w:val="009F6BC6"/>
    <w:rsid w:val="009F6F57"/>
    <w:rsid w:val="009F74EF"/>
    <w:rsid w:val="00A00951"/>
    <w:rsid w:val="00A01CE3"/>
    <w:rsid w:val="00A0211F"/>
    <w:rsid w:val="00A02826"/>
    <w:rsid w:val="00A029C7"/>
    <w:rsid w:val="00A02D2F"/>
    <w:rsid w:val="00A04A0D"/>
    <w:rsid w:val="00A04B48"/>
    <w:rsid w:val="00A05033"/>
    <w:rsid w:val="00A0598B"/>
    <w:rsid w:val="00A0754B"/>
    <w:rsid w:val="00A07CAC"/>
    <w:rsid w:val="00A07D54"/>
    <w:rsid w:val="00A07FF1"/>
    <w:rsid w:val="00A10FCE"/>
    <w:rsid w:val="00A1217F"/>
    <w:rsid w:val="00A12455"/>
    <w:rsid w:val="00A136F7"/>
    <w:rsid w:val="00A14424"/>
    <w:rsid w:val="00A149D9"/>
    <w:rsid w:val="00A15BC3"/>
    <w:rsid w:val="00A15D5A"/>
    <w:rsid w:val="00A162CA"/>
    <w:rsid w:val="00A16371"/>
    <w:rsid w:val="00A16546"/>
    <w:rsid w:val="00A168EF"/>
    <w:rsid w:val="00A17328"/>
    <w:rsid w:val="00A2095B"/>
    <w:rsid w:val="00A213A0"/>
    <w:rsid w:val="00A21CB9"/>
    <w:rsid w:val="00A227B1"/>
    <w:rsid w:val="00A22E04"/>
    <w:rsid w:val="00A23616"/>
    <w:rsid w:val="00A23A20"/>
    <w:rsid w:val="00A24443"/>
    <w:rsid w:val="00A25FC6"/>
    <w:rsid w:val="00A26431"/>
    <w:rsid w:val="00A264F5"/>
    <w:rsid w:val="00A268B9"/>
    <w:rsid w:val="00A268FF"/>
    <w:rsid w:val="00A2703A"/>
    <w:rsid w:val="00A307BE"/>
    <w:rsid w:val="00A307D0"/>
    <w:rsid w:val="00A31363"/>
    <w:rsid w:val="00A320B6"/>
    <w:rsid w:val="00A32224"/>
    <w:rsid w:val="00A32C3F"/>
    <w:rsid w:val="00A32E89"/>
    <w:rsid w:val="00A3369D"/>
    <w:rsid w:val="00A33DFF"/>
    <w:rsid w:val="00A340E2"/>
    <w:rsid w:val="00A35115"/>
    <w:rsid w:val="00A35A44"/>
    <w:rsid w:val="00A35EC5"/>
    <w:rsid w:val="00A36D9A"/>
    <w:rsid w:val="00A37139"/>
    <w:rsid w:val="00A37C49"/>
    <w:rsid w:val="00A40503"/>
    <w:rsid w:val="00A4064D"/>
    <w:rsid w:val="00A40822"/>
    <w:rsid w:val="00A409ED"/>
    <w:rsid w:val="00A4196E"/>
    <w:rsid w:val="00A41D13"/>
    <w:rsid w:val="00A4217E"/>
    <w:rsid w:val="00A427E6"/>
    <w:rsid w:val="00A437B4"/>
    <w:rsid w:val="00A43DFC"/>
    <w:rsid w:val="00A43EAA"/>
    <w:rsid w:val="00A442AF"/>
    <w:rsid w:val="00A44A9B"/>
    <w:rsid w:val="00A45114"/>
    <w:rsid w:val="00A451DC"/>
    <w:rsid w:val="00A4605C"/>
    <w:rsid w:val="00A4627B"/>
    <w:rsid w:val="00A46746"/>
    <w:rsid w:val="00A4719A"/>
    <w:rsid w:val="00A47699"/>
    <w:rsid w:val="00A477BB"/>
    <w:rsid w:val="00A51D4A"/>
    <w:rsid w:val="00A52D55"/>
    <w:rsid w:val="00A53E72"/>
    <w:rsid w:val="00A54643"/>
    <w:rsid w:val="00A54A18"/>
    <w:rsid w:val="00A54FC8"/>
    <w:rsid w:val="00A554AB"/>
    <w:rsid w:val="00A55716"/>
    <w:rsid w:val="00A55937"/>
    <w:rsid w:val="00A560F2"/>
    <w:rsid w:val="00A564E7"/>
    <w:rsid w:val="00A566CB"/>
    <w:rsid w:val="00A57062"/>
    <w:rsid w:val="00A57D8E"/>
    <w:rsid w:val="00A60D75"/>
    <w:rsid w:val="00A61EEF"/>
    <w:rsid w:val="00A628BD"/>
    <w:rsid w:val="00A62FDF"/>
    <w:rsid w:val="00A6300A"/>
    <w:rsid w:val="00A64A96"/>
    <w:rsid w:val="00A64F21"/>
    <w:rsid w:val="00A65ECD"/>
    <w:rsid w:val="00A65F4C"/>
    <w:rsid w:val="00A668C8"/>
    <w:rsid w:val="00A67220"/>
    <w:rsid w:val="00A67271"/>
    <w:rsid w:val="00A67781"/>
    <w:rsid w:val="00A70423"/>
    <w:rsid w:val="00A71020"/>
    <w:rsid w:val="00A71DB2"/>
    <w:rsid w:val="00A72F06"/>
    <w:rsid w:val="00A732E1"/>
    <w:rsid w:val="00A7411D"/>
    <w:rsid w:val="00A74DA2"/>
    <w:rsid w:val="00A74EF4"/>
    <w:rsid w:val="00A75D1F"/>
    <w:rsid w:val="00A761F9"/>
    <w:rsid w:val="00A77535"/>
    <w:rsid w:val="00A776FF"/>
    <w:rsid w:val="00A80176"/>
    <w:rsid w:val="00A80971"/>
    <w:rsid w:val="00A80E8C"/>
    <w:rsid w:val="00A822FB"/>
    <w:rsid w:val="00A839F8"/>
    <w:rsid w:val="00A846E4"/>
    <w:rsid w:val="00A84CFE"/>
    <w:rsid w:val="00A861A7"/>
    <w:rsid w:val="00A8680E"/>
    <w:rsid w:val="00A86F65"/>
    <w:rsid w:val="00A8760A"/>
    <w:rsid w:val="00A876C4"/>
    <w:rsid w:val="00A87A79"/>
    <w:rsid w:val="00A90947"/>
    <w:rsid w:val="00A90F02"/>
    <w:rsid w:val="00A920A0"/>
    <w:rsid w:val="00A92528"/>
    <w:rsid w:val="00A92B53"/>
    <w:rsid w:val="00A93FB0"/>
    <w:rsid w:val="00A94FA6"/>
    <w:rsid w:val="00A958B3"/>
    <w:rsid w:val="00A95DF5"/>
    <w:rsid w:val="00A95EC2"/>
    <w:rsid w:val="00A96DFA"/>
    <w:rsid w:val="00A97FF2"/>
    <w:rsid w:val="00AA00CF"/>
    <w:rsid w:val="00AA07D2"/>
    <w:rsid w:val="00AA082C"/>
    <w:rsid w:val="00AA12CA"/>
    <w:rsid w:val="00AA21C2"/>
    <w:rsid w:val="00AA23A9"/>
    <w:rsid w:val="00AA2890"/>
    <w:rsid w:val="00AA3C50"/>
    <w:rsid w:val="00AA3ED7"/>
    <w:rsid w:val="00AA49A0"/>
    <w:rsid w:val="00AA4E40"/>
    <w:rsid w:val="00AA59EF"/>
    <w:rsid w:val="00AA5A3F"/>
    <w:rsid w:val="00AA5F14"/>
    <w:rsid w:val="00AA64F9"/>
    <w:rsid w:val="00AA6636"/>
    <w:rsid w:val="00AA6710"/>
    <w:rsid w:val="00AB0681"/>
    <w:rsid w:val="00AB09AB"/>
    <w:rsid w:val="00AB1475"/>
    <w:rsid w:val="00AB1488"/>
    <w:rsid w:val="00AB1CFD"/>
    <w:rsid w:val="00AB1FAA"/>
    <w:rsid w:val="00AB25B6"/>
    <w:rsid w:val="00AB26D7"/>
    <w:rsid w:val="00AB31A8"/>
    <w:rsid w:val="00AB3562"/>
    <w:rsid w:val="00AB38AC"/>
    <w:rsid w:val="00AB3ACE"/>
    <w:rsid w:val="00AB4789"/>
    <w:rsid w:val="00AB59EE"/>
    <w:rsid w:val="00AB76E1"/>
    <w:rsid w:val="00AC0327"/>
    <w:rsid w:val="00AC133C"/>
    <w:rsid w:val="00AC164A"/>
    <w:rsid w:val="00AC17C4"/>
    <w:rsid w:val="00AC1928"/>
    <w:rsid w:val="00AC1A6B"/>
    <w:rsid w:val="00AC1B26"/>
    <w:rsid w:val="00AC1FD8"/>
    <w:rsid w:val="00AC321D"/>
    <w:rsid w:val="00AC3269"/>
    <w:rsid w:val="00AC32B8"/>
    <w:rsid w:val="00AC3A15"/>
    <w:rsid w:val="00AC45C3"/>
    <w:rsid w:val="00AC53A4"/>
    <w:rsid w:val="00AC5F75"/>
    <w:rsid w:val="00AD0D63"/>
    <w:rsid w:val="00AD1C0B"/>
    <w:rsid w:val="00AD238D"/>
    <w:rsid w:val="00AD2BDF"/>
    <w:rsid w:val="00AD2C21"/>
    <w:rsid w:val="00AD40E9"/>
    <w:rsid w:val="00AD474D"/>
    <w:rsid w:val="00AD490F"/>
    <w:rsid w:val="00AD520B"/>
    <w:rsid w:val="00AD5788"/>
    <w:rsid w:val="00AD7096"/>
    <w:rsid w:val="00AD7779"/>
    <w:rsid w:val="00AD7D18"/>
    <w:rsid w:val="00AD7E01"/>
    <w:rsid w:val="00AE033B"/>
    <w:rsid w:val="00AE05E4"/>
    <w:rsid w:val="00AE127D"/>
    <w:rsid w:val="00AE2B9D"/>
    <w:rsid w:val="00AE2F44"/>
    <w:rsid w:val="00AE3BCC"/>
    <w:rsid w:val="00AE40BC"/>
    <w:rsid w:val="00AE431B"/>
    <w:rsid w:val="00AE4AEA"/>
    <w:rsid w:val="00AE6117"/>
    <w:rsid w:val="00AE63AE"/>
    <w:rsid w:val="00AE6DF5"/>
    <w:rsid w:val="00AE773D"/>
    <w:rsid w:val="00AF3546"/>
    <w:rsid w:val="00AF37FB"/>
    <w:rsid w:val="00AF476C"/>
    <w:rsid w:val="00AF6086"/>
    <w:rsid w:val="00AF6528"/>
    <w:rsid w:val="00AF67CD"/>
    <w:rsid w:val="00AF6E53"/>
    <w:rsid w:val="00AF714A"/>
    <w:rsid w:val="00B0011A"/>
    <w:rsid w:val="00B009CB"/>
    <w:rsid w:val="00B010EC"/>
    <w:rsid w:val="00B02093"/>
    <w:rsid w:val="00B03F3B"/>
    <w:rsid w:val="00B0485C"/>
    <w:rsid w:val="00B04F0B"/>
    <w:rsid w:val="00B0503D"/>
    <w:rsid w:val="00B0507A"/>
    <w:rsid w:val="00B051C0"/>
    <w:rsid w:val="00B05509"/>
    <w:rsid w:val="00B05D6D"/>
    <w:rsid w:val="00B066A9"/>
    <w:rsid w:val="00B066CA"/>
    <w:rsid w:val="00B07129"/>
    <w:rsid w:val="00B07179"/>
    <w:rsid w:val="00B07B56"/>
    <w:rsid w:val="00B114B3"/>
    <w:rsid w:val="00B12BCD"/>
    <w:rsid w:val="00B12FDA"/>
    <w:rsid w:val="00B13269"/>
    <w:rsid w:val="00B15596"/>
    <w:rsid w:val="00B15D18"/>
    <w:rsid w:val="00B15DA7"/>
    <w:rsid w:val="00B16B45"/>
    <w:rsid w:val="00B1700A"/>
    <w:rsid w:val="00B174C5"/>
    <w:rsid w:val="00B2299E"/>
    <w:rsid w:val="00B22B85"/>
    <w:rsid w:val="00B22D9D"/>
    <w:rsid w:val="00B25983"/>
    <w:rsid w:val="00B25C8F"/>
    <w:rsid w:val="00B2619F"/>
    <w:rsid w:val="00B26572"/>
    <w:rsid w:val="00B26B24"/>
    <w:rsid w:val="00B30005"/>
    <w:rsid w:val="00B30BEA"/>
    <w:rsid w:val="00B30BFF"/>
    <w:rsid w:val="00B31288"/>
    <w:rsid w:val="00B312BA"/>
    <w:rsid w:val="00B324D9"/>
    <w:rsid w:val="00B32DF8"/>
    <w:rsid w:val="00B33427"/>
    <w:rsid w:val="00B33B16"/>
    <w:rsid w:val="00B35453"/>
    <w:rsid w:val="00B35671"/>
    <w:rsid w:val="00B361F7"/>
    <w:rsid w:val="00B37722"/>
    <w:rsid w:val="00B37A2F"/>
    <w:rsid w:val="00B41BFF"/>
    <w:rsid w:val="00B420FE"/>
    <w:rsid w:val="00B42137"/>
    <w:rsid w:val="00B425C3"/>
    <w:rsid w:val="00B428F1"/>
    <w:rsid w:val="00B42A63"/>
    <w:rsid w:val="00B4373D"/>
    <w:rsid w:val="00B43DDF"/>
    <w:rsid w:val="00B440A0"/>
    <w:rsid w:val="00B440AD"/>
    <w:rsid w:val="00B446A1"/>
    <w:rsid w:val="00B44712"/>
    <w:rsid w:val="00B45E20"/>
    <w:rsid w:val="00B45FA1"/>
    <w:rsid w:val="00B461F3"/>
    <w:rsid w:val="00B463D0"/>
    <w:rsid w:val="00B472CB"/>
    <w:rsid w:val="00B479BB"/>
    <w:rsid w:val="00B5147F"/>
    <w:rsid w:val="00B53E7E"/>
    <w:rsid w:val="00B540B2"/>
    <w:rsid w:val="00B54CEF"/>
    <w:rsid w:val="00B552A1"/>
    <w:rsid w:val="00B55706"/>
    <w:rsid w:val="00B5679F"/>
    <w:rsid w:val="00B5736B"/>
    <w:rsid w:val="00B611EC"/>
    <w:rsid w:val="00B618CC"/>
    <w:rsid w:val="00B6342E"/>
    <w:rsid w:val="00B63A27"/>
    <w:rsid w:val="00B646B7"/>
    <w:rsid w:val="00B657CD"/>
    <w:rsid w:val="00B66369"/>
    <w:rsid w:val="00B67B8A"/>
    <w:rsid w:val="00B67E47"/>
    <w:rsid w:val="00B700D8"/>
    <w:rsid w:val="00B70F7A"/>
    <w:rsid w:val="00B7113F"/>
    <w:rsid w:val="00B71C62"/>
    <w:rsid w:val="00B71DDC"/>
    <w:rsid w:val="00B723B1"/>
    <w:rsid w:val="00B724EA"/>
    <w:rsid w:val="00B72699"/>
    <w:rsid w:val="00B7287F"/>
    <w:rsid w:val="00B731C1"/>
    <w:rsid w:val="00B7496D"/>
    <w:rsid w:val="00B74A5A"/>
    <w:rsid w:val="00B75E33"/>
    <w:rsid w:val="00B76785"/>
    <w:rsid w:val="00B769B4"/>
    <w:rsid w:val="00B7735E"/>
    <w:rsid w:val="00B776F6"/>
    <w:rsid w:val="00B805E9"/>
    <w:rsid w:val="00B806E9"/>
    <w:rsid w:val="00B80CD0"/>
    <w:rsid w:val="00B81473"/>
    <w:rsid w:val="00B815A8"/>
    <w:rsid w:val="00B825B5"/>
    <w:rsid w:val="00B829E3"/>
    <w:rsid w:val="00B82E24"/>
    <w:rsid w:val="00B830CB"/>
    <w:rsid w:val="00B8366A"/>
    <w:rsid w:val="00B83EDC"/>
    <w:rsid w:val="00B840D6"/>
    <w:rsid w:val="00B847DC"/>
    <w:rsid w:val="00B84ECF"/>
    <w:rsid w:val="00B86BFE"/>
    <w:rsid w:val="00B86CBC"/>
    <w:rsid w:val="00B86F85"/>
    <w:rsid w:val="00B87BC4"/>
    <w:rsid w:val="00B90016"/>
    <w:rsid w:val="00B9003E"/>
    <w:rsid w:val="00B9096B"/>
    <w:rsid w:val="00B90BA8"/>
    <w:rsid w:val="00B91C99"/>
    <w:rsid w:val="00B92374"/>
    <w:rsid w:val="00B925B0"/>
    <w:rsid w:val="00B940B3"/>
    <w:rsid w:val="00B95407"/>
    <w:rsid w:val="00B954CA"/>
    <w:rsid w:val="00B95C8F"/>
    <w:rsid w:val="00B966F6"/>
    <w:rsid w:val="00B96778"/>
    <w:rsid w:val="00B96E5F"/>
    <w:rsid w:val="00B97F10"/>
    <w:rsid w:val="00BA112D"/>
    <w:rsid w:val="00BA1B39"/>
    <w:rsid w:val="00BA25F6"/>
    <w:rsid w:val="00BA2626"/>
    <w:rsid w:val="00BA2B3C"/>
    <w:rsid w:val="00BA2BCF"/>
    <w:rsid w:val="00BA40EB"/>
    <w:rsid w:val="00BA4816"/>
    <w:rsid w:val="00BA53C3"/>
    <w:rsid w:val="00BA56BC"/>
    <w:rsid w:val="00BA5B14"/>
    <w:rsid w:val="00BA5F5C"/>
    <w:rsid w:val="00BA6755"/>
    <w:rsid w:val="00BA719A"/>
    <w:rsid w:val="00BA73B6"/>
    <w:rsid w:val="00BA7E27"/>
    <w:rsid w:val="00BB0F4B"/>
    <w:rsid w:val="00BB1971"/>
    <w:rsid w:val="00BB2091"/>
    <w:rsid w:val="00BB2603"/>
    <w:rsid w:val="00BB2CD7"/>
    <w:rsid w:val="00BB2FEF"/>
    <w:rsid w:val="00BB3E82"/>
    <w:rsid w:val="00BB4E27"/>
    <w:rsid w:val="00BB4FCD"/>
    <w:rsid w:val="00BB58AD"/>
    <w:rsid w:val="00BB5A91"/>
    <w:rsid w:val="00BB7136"/>
    <w:rsid w:val="00BB7CAB"/>
    <w:rsid w:val="00BC01A9"/>
    <w:rsid w:val="00BC03AB"/>
    <w:rsid w:val="00BC04E9"/>
    <w:rsid w:val="00BC2371"/>
    <w:rsid w:val="00BC3103"/>
    <w:rsid w:val="00BC317E"/>
    <w:rsid w:val="00BC5457"/>
    <w:rsid w:val="00BC57D9"/>
    <w:rsid w:val="00BC750D"/>
    <w:rsid w:val="00BC7CB9"/>
    <w:rsid w:val="00BD012F"/>
    <w:rsid w:val="00BD01D2"/>
    <w:rsid w:val="00BD04B4"/>
    <w:rsid w:val="00BD13EA"/>
    <w:rsid w:val="00BD1B4D"/>
    <w:rsid w:val="00BD205A"/>
    <w:rsid w:val="00BD354C"/>
    <w:rsid w:val="00BD3B09"/>
    <w:rsid w:val="00BD551A"/>
    <w:rsid w:val="00BD6295"/>
    <w:rsid w:val="00BD6635"/>
    <w:rsid w:val="00BE0018"/>
    <w:rsid w:val="00BE05BD"/>
    <w:rsid w:val="00BE087C"/>
    <w:rsid w:val="00BE096D"/>
    <w:rsid w:val="00BE0AE3"/>
    <w:rsid w:val="00BE0D20"/>
    <w:rsid w:val="00BE1B7A"/>
    <w:rsid w:val="00BE1B87"/>
    <w:rsid w:val="00BE2FD8"/>
    <w:rsid w:val="00BE3808"/>
    <w:rsid w:val="00BE4058"/>
    <w:rsid w:val="00BE49DD"/>
    <w:rsid w:val="00BE5E6D"/>
    <w:rsid w:val="00BE6662"/>
    <w:rsid w:val="00BE69E2"/>
    <w:rsid w:val="00BE6B66"/>
    <w:rsid w:val="00BE7EBD"/>
    <w:rsid w:val="00BF03D6"/>
    <w:rsid w:val="00BF0412"/>
    <w:rsid w:val="00BF0ECB"/>
    <w:rsid w:val="00BF1781"/>
    <w:rsid w:val="00BF19DA"/>
    <w:rsid w:val="00BF3190"/>
    <w:rsid w:val="00BF3B2C"/>
    <w:rsid w:val="00BF43D9"/>
    <w:rsid w:val="00BF4759"/>
    <w:rsid w:val="00BF5315"/>
    <w:rsid w:val="00BF58B0"/>
    <w:rsid w:val="00BF6A63"/>
    <w:rsid w:val="00BF7950"/>
    <w:rsid w:val="00C01375"/>
    <w:rsid w:val="00C017B1"/>
    <w:rsid w:val="00C01AE7"/>
    <w:rsid w:val="00C02D0C"/>
    <w:rsid w:val="00C02DF0"/>
    <w:rsid w:val="00C0336B"/>
    <w:rsid w:val="00C033C8"/>
    <w:rsid w:val="00C03809"/>
    <w:rsid w:val="00C03A91"/>
    <w:rsid w:val="00C03B88"/>
    <w:rsid w:val="00C03B99"/>
    <w:rsid w:val="00C03DE9"/>
    <w:rsid w:val="00C04485"/>
    <w:rsid w:val="00C0470D"/>
    <w:rsid w:val="00C0483F"/>
    <w:rsid w:val="00C0502B"/>
    <w:rsid w:val="00C050DE"/>
    <w:rsid w:val="00C055B5"/>
    <w:rsid w:val="00C062E9"/>
    <w:rsid w:val="00C069AA"/>
    <w:rsid w:val="00C06AFB"/>
    <w:rsid w:val="00C06D7F"/>
    <w:rsid w:val="00C07622"/>
    <w:rsid w:val="00C07B64"/>
    <w:rsid w:val="00C07BE7"/>
    <w:rsid w:val="00C07FC0"/>
    <w:rsid w:val="00C07FEF"/>
    <w:rsid w:val="00C1049D"/>
    <w:rsid w:val="00C10688"/>
    <w:rsid w:val="00C107C2"/>
    <w:rsid w:val="00C1136F"/>
    <w:rsid w:val="00C1144A"/>
    <w:rsid w:val="00C11D02"/>
    <w:rsid w:val="00C12CC1"/>
    <w:rsid w:val="00C12ED6"/>
    <w:rsid w:val="00C131DD"/>
    <w:rsid w:val="00C13285"/>
    <w:rsid w:val="00C13721"/>
    <w:rsid w:val="00C13899"/>
    <w:rsid w:val="00C13F03"/>
    <w:rsid w:val="00C13F48"/>
    <w:rsid w:val="00C14FE4"/>
    <w:rsid w:val="00C17873"/>
    <w:rsid w:val="00C1797C"/>
    <w:rsid w:val="00C20339"/>
    <w:rsid w:val="00C20655"/>
    <w:rsid w:val="00C20A9E"/>
    <w:rsid w:val="00C20EB7"/>
    <w:rsid w:val="00C216DF"/>
    <w:rsid w:val="00C219B4"/>
    <w:rsid w:val="00C22133"/>
    <w:rsid w:val="00C221F7"/>
    <w:rsid w:val="00C228EA"/>
    <w:rsid w:val="00C22BA5"/>
    <w:rsid w:val="00C23EA9"/>
    <w:rsid w:val="00C25964"/>
    <w:rsid w:val="00C27486"/>
    <w:rsid w:val="00C3035A"/>
    <w:rsid w:val="00C3066D"/>
    <w:rsid w:val="00C307A0"/>
    <w:rsid w:val="00C30AD1"/>
    <w:rsid w:val="00C314E1"/>
    <w:rsid w:val="00C329B9"/>
    <w:rsid w:val="00C332E5"/>
    <w:rsid w:val="00C3411B"/>
    <w:rsid w:val="00C371A0"/>
    <w:rsid w:val="00C371EC"/>
    <w:rsid w:val="00C4023F"/>
    <w:rsid w:val="00C40991"/>
    <w:rsid w:val="00C40EC2"/>
    <w:rsid w:val="00C412F4"/>
    <w:rsid w:val="00C4212C"/>
    <w:rsid w:val="00C441D1"/>
    <w:rsid w:val="00C4427A"/>
    <w:rsid w:val="00C447E6"/>
    <w:rsid w:val="00C45C4D"/>
    <w:rsid w:val="00C45E7B"/>
    <w:rsid w:val="00C46D31"/>
    <w:rsid w:val="00C47976"/>
    <w:rsid w:val="00C50AC3"/>
    <w:rsid w:val="00C50F8D"/>
    <w:rsid w:val="00C52416"/>
    <w:rsid w:val="00C52C8C"/>
    <w:rsid w:val="00C52E8B"/>
    <w:rsid w:val="00C53270"/>
    <w:rsid w:val="00C53753"/>
    <w:rsid w:val="00C53941"/>
    <w:rsid w:val="00C53B01"/>
    <w:rsid w:val="00C53E26"/>
    <w:rsid w:val="00C540EB"/>
    <w:rsid w:val="00C543F4"/>
    <w:rsid w:val="00C54A2B"/>
    <w:rsid w:val="00C54F99"/>
    <w:rsid w:val="00C568FE"/>
    <w:rsid w:val="00C57571"/>
    <w:rsid w:val="00C57735"/>
    <w:rsid w:val="00C578E4"/>
    <w:rsid w:val="00C57EB4"/>
    <w:rsid w:val="00C60514"/>
    <w:rsid w:val="00C60AF2"/>
    <w:rsid w:val="00C60FD1"/>
    <w:rsid w:val="00C611DB"/>
    <w:rsid w:val="00C6132A"/>
    <w:rsid w:val="00C6291C"/>
    <w:rsid w:val="00C6294D"/>
    <w:rsid w:val="00C62BFC"/>
    <w:rsid w:val="00C62D93"/>
    <w:rsid w:val="00C633CB"/>
    <w:rsid w:val="00C63509"/>
    <w:rsid w:val="00C63A5F"/>
    <w:rsid w:val="00C641A2"/>
    <w:rsid w:val="00C6421B"/>
    <w:rsid w:val="00C6447B"/>
    <w:rsid w:val="00C64657"/>
    <w:rsid w:val="00C648FF"/>
    <w:rsid w:val="00C65467"/>
    <w:rsid w:val="00C6586C"/>
    <w:rsid w:val="00C664CD"/>
    <w:rsid w:val="00C66906"/>
    <w:rsid w:val="00C66EB7"/>
    <w:rsid w:val="00C66F12"/>
    <w:rsid w:val="00C678FB"/>
    <w:rsid w:val="00C708FE"/>
    <w:rsid w:val="00C7090D"/>
    <w:rsid w:val="00C70981"/>
    <w:rsid w:val="00C7137D"/>
    <w:rsid w:val="00C71462"/>
    <w:rsid w:val="00C716B2"/>
    <w:rsid w:val="00C7255B"/>
    <w:rsid w:val="00C736B7"/>
    <w:rsid w:val="00C738ED"/>
    <w:rsid w:val="00C748AB"/>
    <w:rsid w:val="00C7543C"/>
    <w:rsid w:val="00C75A50"/>
    <w:rsid w:val="00C75B15"/>
    <w:rsid w:val="00C7635A"/>
    <w:rsid w:val="00C7665F"/>
    <w:rsid w:val="00C77060"/>
    <w:rsid w:val="00C77C0C"/>
    <w:rsid w:val="00C77E40"/>
    <w:rsid w:val="00C80435"/>
    <w:rsid w:val="00C809F7"/>
    <w:rsid w:val="00C80E47"/>
    <w:rsid w:val="00C81AAF"/>
    <w:rsid w:val="00C81C6E"/>
    <w:rsid w:val="00C81D4A"/>
    <w:rsid w:val="00C83811"/>
    <w:rsid w:val="00C8762C"/>
    <w:rsid w:val="00C8798D"/>
    <w:rsid w:val="00C87CCA"/>
    <w:rsid w:val="00C90840"/>
    <w:rsid w:val="00C90D87"/>
    <w:rsid w:val="00C913AE"/>
    <w:rsid w:val="00C91AF0"/>
    <w:rsid w:val="00C939E9"/>
    <w:rsid w:val="00C94840"/>
    <w:rsid w:val="00C94F54"/>
    <w:rsid w:val="00C9559A"/>
    <w:rsid w:val="00C96F7D"/>
    <w:rsid w:val="00C97533"/>
    <w:rsid w:val="00C97D12"/>
    <w:rsid w:val="00CA00F9"/>
    <w:rsid w:val="00CA04B6"/>
    <w:rsid w:val="00CA0A84"/>
    <w:rsid w:val="00CA0B69"/>
    <w:rsid w:val="00CA25A5"/>
    <w:rsid w:val="00CA2961"/>
    <w:rsid w:val="00CA32B0"/>
    <w:rsid w:val="00CA34F8"/>
    <w:rsid w:val="00CA5BAF"/>
    <w:rsid w:val="00CA5EFC"/>
    <w:rsid w:val="00CA6B2C"/>
    <w:rsid w:val="00CA763A"/>
    <w:rsid w:val="00CA7899"/>
    <w:rsid w:val="00CA79E5"/>
    <w:rsid w:val="00CB0456"/>
    <w:rsid w:val="00CB1A24"/>
    <w:rsid w:val="00CB1F4E"/>
    <w:rsid w:val="00CB25FE"/>
    <w:rsid w:val="00CB298E"/>
    <w:rsid w:val="00CB2B8A"/>
    <w:rsid w:val="00CB3FCA"/>
    <w:rsid w:val="00CB437F"/>
    <w:rsid w:val="00CB50D7"/>
    <w:rsid w:val="00CB5FC2"/>
    <w:rsid w:val="00CB68AE"/>
    <w:rsid w:val="00CB68C2"/>
    <w:rsid w:val="00CB6A40"/>
    <w:rsid w:val="00CB7177"/>
    <w:rsid w:val="00CB73A9"/>
    <w:rsid w:val="00CB764A"/>
    <w:rsid w:val="00CB78A0"/>
    <w:rsid w:val="00CB7BAE"/>
    <w:rsid w:val="00CB7CED"/>
    <w:rsid w:val="00CC0363"/>
    <w:rsid w:val="00CC070F"/>
    <w:rsid w:val="00CC1998"/>
    <w:rsid w:val="00CC1C0F"/>
    <w:rsid w:val="00CC4392"/>
    <w:rsid w:val="00CC4570"/>
    <w:rsid w:val="00CC4946"/>
    <w:rsid w:val="00CC592C"/>
    <w:rsid w:val="00CC64A1"/>
    <w:rsid w:val="00CC7464"/>
    <w:rsid w:val="00CD088D"/>
    <w:rsid w:val="00CD0A6B"/>
    <w:rsid w:val="00CD0DD8"/>
    <w:rsid w:val="00CD20B7"/>
    <w:rsid w:val="00CD2577"/>
    <w:rsid w:val="00CD2692"/>
    <w:rsid w:val="00CD2E47"/>
    <w:rsid w:val="00CD3752"/>
    <w:rsid w:val="00CD398A"/>
    <w:rsid w:val="00CD3F38"/>
    <w:rsid w:val="00CD40C6"/>
    <w:rsid w:val="00CD42B3"/>
    <w:rsid w:val="00CD4424"/>
    <w:rsid w:val="00CD4B26"/>
    <w:rsid w:val="00CD5572"/>
    <w:rsid w:val="00CD5D51"/>
    <w:rsid w:val="00CD67CB"/>
    <w:rsid w:val="00CD6F59"/>
    <w:rsid w:val="00CD7333"/>
    <w:rsid w:val="00CD79EA"/>
    <w:rsid w:val="00CE001A"/>
    <w:rsid w:val="00CE0EDA"/>
    <w:rsid w:val="00CE1359"/>
    <w:rsid w:val="00CE1B8E"/>
    <w:rsid w:val="00CE1EDE"/>
    <w:rsid w:val="00CE1EFE"/>
    <w:rsid w:val="00CE2702"/>
    <w:rsid w:val="00CE2C78"/>
    <w:rsid w:val="00CE3704"/>
    <w:rsid w:val="00CE51DE"/>
    <w:rsid w:val="00CE63D5"/>
    <w:rsid w:val="00CE7F40"/>
    <w:rsid w:val="00CF0529"/>
    <w:rsid w:val="00CF0E44"/>
    <w:rsid w:val="00CF13D2"/>
    <w:rsid w:val="00CF1778"/>
    <w:rsid w:val="00CF1850"/>
    <w:rsid w:val="00CF1E12"/>
    <w:rsid w:val="00CF28B9"/>
    <w:rsid w:val="00CF31A3"/>
    <w:rsid w:val="00CF3B07"/>
    <w:rsid w:val="00CF3B11"/>
    <w:rsid w:val="00CF4643"/>
    <w:rsid w:val="00CF47F6"/>
    <w:rsid w:val="00CF658A"/>
    <w:rsid w:val="00D0059D"/>
    <w:rsid w:val="00D0067D"/>
    <w:rsid w:val="00D00815"/>
    <w:rsid w:val="00D01DD6"/>
    <w:rsid w:val="00D021EA"/>
    <w:rsid w:val="00D03441"/>
    <w:rsid w:val="00D0361B"/>
    <w:rsid w:val="00D05142"/>
    <w:rsid w:val="00D05904"/>
    <w:rsid w:val="00D0623D"/>
    <w:rsid w:val="00D06383"/>
    <w:rsid w:val="00D06721"/>
    <w:rsid w:val="00D06743"/>
    <w:rsid w:val="00D06879"/>
    <w:rsid w:val="00D07629"/>
    <w:rsid w:val="00D1276E"/>
    <w:rsid w:val="00D136FE"/>
    <w:rsid w:val="00D13EE8"/>
    <w:rsid w:val="00D14065"/>
    <w:rsid w:val="00D1466C"/>
    <w:rsid w:val="00D14987"/>
    <w:rsid w:val="00D14ADA"/>
    <w:rsid w:val="00D157FC"/>
    <w:rsid w:val="00D170A2"/>
    <w:rsid w:val="00D171F4"/>
    <w:rsid w:val="00D215DC"/>
    <w:rsid w:val="00D21799"/>
    <w:rsid w:val="00D21827"/>
    <w:rsid w:val="00D21E82"/>
    <w:rsid w:val="00D22E82"/>
    <w:rsid w:val="00D22F7A"/>
    <w:rsid w:val="00D23E44"/>
    <w:rsid w:val="00D249AF"/>
    <w:rsid w:val="00D25377"/>
    <w:rsid w:val="00D254D8"/>
    <w:rsid w:val="00D26262"/>
    <w:rsid w:val="00D2635C"/>
    <w:rsid w:val="00D26791"/>
    <w:rsid w:val="00D270A4"/>
    <w:rsid w:val="00D2720D"/>
    <w:rsid w:val="00D279C3"/>
    <w:rsid w:val="00D30C05"/>
    <w:rsid w:val="00D314EE"/>
    <w:rsid w:val="00D31FE9"/>
    <w:rsid w:val="00D321B0"/>
    <w:rsid w:val="00D32AD1"/>
    <w:rsid w:val="00D3327E"/>
    <w:rsid w:val="00D334C3"/>
    <w:rsid w:val="00D33F0B"/>
    <w:rsid w:val="00D34E1B"/>
    <w:rsid w:val="00D353F8"/>
    <w:rsid w:val="00D35BCC"/>
    <w:rsid w:val="00D367CA"/>
    <w:rsid w:val="00D36D0C"/>
    <w:rsid w:val="00D36FB4"/>
    <w:rsid w:val="00D370FD"/>
    <w:rsid w:val="00D37550"/>
    <w:rsid w:val="00D376BA"/>
    <w:rsid w:val="00D3771C"/>
    <w:rsid w:val="00D37786"/>
    <w:rsid w:val="00D37ED6"/>
    <w:rsid w:val="00D40009"/>
    <w:rsid w:val="00D406C6"/>
    <w:rsid w:val="00D413E7"/>
    <w:rsid w:val="00D41493"/>
    <w:rsid w:val="00D41DC9"/>
    <w:rsid w:val="00D42A54"/>
    <w:rsid w:val="00D434A0"/>
    <w:rsid w:val="00D4544E"/>
    <w:rsid w:val="00D45634"/>
    <w:rsid w:val="00D4606E"/>
    <w:rsid w:val="00D46396"/>
    <w:rsid w:val="00D47260"/>
    <w:rsid w:val="00D47AA7"/>
    <w:rsid w:val="00D5046C"/>
    <w:rsid w:val="00D526FF"/>
    <w:rsid w:val="00D533C2"/>
    <w:rsid w:val="00D5405D"/>
    <w:rsid w:val="00D5421A"/>
    <w:rsid w:val="00D54BF6"/>
    <w:rsid w:val="00D54FA9"/>
    <w:rsid w:val="00D551D6"/>
    <w:rsid w:val="00D5568A"/>
    <w:rsid w:val="00D574B8"/>
    <w:rsid w:val="00D57780"/>
    <w:rsid w:val="00D57944"/>
    <w:rsid w:val="00D61489"/>
    <w:rsid w:val="00D61492"/>
    <w:rsid w:val="00D62B28"/>
    <w:rsid w:val="00D63D73"/>
    <w:rsid w:val="00D63DE9"/>
    <w:rsid w:val="00D64046"/>
    <w:rsid w:val="00D64452"/>
    <w:rsid w:val="00D6496A"/>
    <w:rsid w:val="00D64BF8"/>
    <w:rsid w:val="00D64E01"/>
    <w:rsid w:val="00D65099"/>
    <w:rsid w:val="00D6509C"/>
    <w:rsid w:val="00D65566"/>
    <w:rsid w:val="00D657DD"/>
    <w:rsid w:val="00D66998"/>
    <w:rsid w:val="00D66E1E"/>
    <w:rsid w:val="00D675C3"/>
    <w:rsid w:val="00D67FE2"/>
    <w:rsid w:val="00D70696"/>
    <w:rsid w:val="00D7082A"/>
    <w:rsid w:val="00D71C23"/>
    <w:rsid w:val="00D73CCF"/>
    <w:rsid w:val="00D7520F"/>
    <w:rsid w:val="00D75722"/>
    <w:rsid w:val="00D758E8"/>
    <w:rsid w:val="00D76991"/>
    <w:rsid w:val="00D80A85"/>
    <w:rsid w:val="00D80B14"/>
    <w:rsid w:val="00D80C6E"/>
    <w:rsid w:val="00D80CF5"/>
    <w:rsid w:val="00D817F0"/>
    <w:rsid w:val="00D83C85"/>
    <w:rsid w:val="00D845C1"/>
    <w:rsid w:val="00D84854"/>
    <w:rsid w:val="00D84E34"/>
    <w:rsid w:val="00D852CA"/>
    <w:rsid w:val="00D867DF"/>
    <w:rsid w:val="00D86970"/>
    <w:rsid w:val="00D87DC9"/>
    <w:rsid w:val="00D900CC"/>
    <w:rsid w:val="00D90971"/>
    <w:rsid w:val="00D9172F"/>
    <w:rsid w:val="00D92C7B"/>
    <w:rsid w:val="00D9383B"/>
    <w:rsid w:val="00D93E62"/>
    <w:rsid w:val="00D95369"/>
    <w:rsid w:val="00D9560D"/>
    <w:rsid w:val="00D95ADD"/>
    <w:rsid w:val="00D97864"/>
    <w:rsid w:val="00DA022A"/>
    <w:rsid w:val="00DA0431"/>
    <w:rsid w:val="00DA04E8"/>
    <w:rsid w:val="00DA23D4"/>
    <w:rsid w:val="00DA2718"/>
    <w:rsid w:val="00DA342F"/>
    <w:rsid w:val="00DA382C"/>
    <w:rsid w:val="00DA38E5"/>
    <w:rsid w:val="00DA3929"/>
    <w:rsid w:val="00DA5A6B"/>
    <w:rsid w:val="00DA5B90"/>
    <w:rsid w:val="00DA5BBA"/>
    <w:rsid w:val="00DA68DF"/>
    <w:rsid w:val="00DA7F28"/>
    <w:rsid w:val="00DB0A24"/>
    <w:rsid w:val="00DB0D1B"/>
    <w:rsid w:val="00DB12DA"/>
    <w:rsid w:val="00DB1DCA"/>
    <w:rsid w:val="00DB207D"/>
    <w:rsid w:val="00DB242D"/>
    <w:rsid w:val="00DB26D2"/>
    <w:rsid w:val="00DB2AB3"/>
    <w:rsid w:val="00DB2C09"/>
    <w:rsid w:val="00DB3599"/>
    <w:rsid w:val="00DB3E39"/>
    <w:rsid w:val="00DB4349"/>
    <w:rsid w:val="00DB5318"/>
    <w:rsid w:val="00DB5A86"/>
    <w:rsid w:val="00DB672B"/>
    <w:rsid w:val="00DB67C9"/>
    <w:rsid w:val="00DB6B9B"/>
    <w:rsid w:val="00DB7928"/>
    <w:rsid w:val="00DC0087"/>
    <w:rsid w:val="00DC0C95"/>
    <w:rsid w:val="00DC0E9F"/>
    <w:rsid w:val="00DC3530"/>
    <w:rsid w:val="00DC3DFB"/>
    <w:rsid w:val="00DC40CF"/>
    <w:rsid w:val="00DC4165"/>
    <w:rsid w:val="00DC4A76"/>
    <w:rsid w:val="00DC4F0B"/>
    <w:rsid w:val="00DC702F"/>
    <w:rsid w:val="00DC78F3"/>
    <w:rsid w:val="00DD0DE0"/>
    <w:rsid w:val="00DD1A5F"/>
    <w:rsid w:val="00DD33DF"/>
    <w:rsid w:val="00DD41E3"/>
    <w:rsid w:val="00DD58D8"/>
    <w:rsid w:val="00DD5E78"/>
    <w:rsid w:val="00DD6580"/>
    <w:rsid w:val="00DD6A85"/>
    <w:rsid w:val="00DD7515"/>
    <w:rsid w:val="00DE0726"/>
    <w:rsid w:val="00DE0A4F"/>
    <w:rsid w:val="00DE0D82"/>
    <w:rsid w:val="00DE127B"/>
    <w:rsid w:val="00DE1494"/>
    <w:rsid w:val="00DE1A01"/>
    <w:rsid w:val="00DE2651"/>
    <w:rsid w:val="00DE28E7"/>
    <w:rsid w:val="00DE3754"/>
    <w:rsid w:val="00DE3CEF"/>
    <w:rsid w:val="00DE5381"/>
    <w:rsid w:val="00DE576D"/>
    <w:rsid w:val="00DE68CF"/>
    <w:rsid w:val="00DE6EB3"/>
    <w:rsid w:val="00DE7204"/>
    <w:rsid w:val="00DE7563"/>
    <w:rsid w:val="00DE7F51"/>
    <w:rsid w:val="00DF00CC"/>
    <w:rsid w:val="00DF05FF"/>
    <w:rsid w:val="00DF0740"/>
    <w:rsid w:val="00DF0976"/>
    <w:rsid w:val="00DF0EAB"/>
    <w:rsid w:val="00DF1093"/>
    <w:rsid w:val="00DF1601"/>
    <w:rsid w:val="00DF2055"/>
    <w:rsid w:val="00DF256C"/>
    <w:rsid w:val="00DF35FF"/>
    <w:rsid w:val="00DF4DD8"/>
    <w:rsid w:val="00DF4DED"/>
    <w:rsid w:val="00DF560C"/>
    <w:rsid w:val="00DF56AE"/>
    <w:rsid w:val="00DF6A8C"/>
    <w:rsid w:val="00DF6C0F"/>
    <w:rsid w:val="00DF6D11"/>
    <w:rsid w:val="00DF7C02"/>
    <w:rsid w:val="00DF7DF0"/>
    <w:rsid w:val="00DF7FB8"/>
    <w:rsid w:val="00E01AEE"/>
    <w:rsid w:val="00E01D7F"/>
    <w:rsid w:val="00E01F7F"/>
    <w:rsid w:val="00E01FA2"/>
    <w:rsid w:val="00E0212C"/>
    <w:rsid w:val="00E02794"/>
    <w:rsid w:val="00E0347F"/>
    <w:rsid w:val="00E034FF"/>
    <w:rsid w:val="00E03588"/>
    <w:rsid w:val="00E037BC"/>
    <w:rsid w:val="00E05120"/>
    <w:rsid w:val="00E05196"/>
    <w:rsid w:val="00E05C03"/>
    <w:rsid w:val="00E05EF9"/>
    <w:rsid w:val="00E071A7"/>
    <w:rsid w:val="00E10ED5"/>
    <w:rsid w:val="00E10F3D"/>
    <w:rsid w:val="00E1293C"/>
    <w:rsid w:val="00E12A28"/>
    <w:rsid w:val="00E134CE"/>
    <w:rsid w:val="00E13C84"/>
    <w:rsid w:val="00E13EE2"/>
    <w:rsid w:val="00E14A39"/>
    <w:rsid w:val="00E14CAA"/>
    <w:rsid w:val="00E14E9F"/>
    <w:rsid w:val="00E167D6"/>
    <w:rsid w:val="00E170D0"/>
    <w:rsid w:val="00E175EE"/>
    <w:rsid w:val="00E17C72"/>
    <w:rsid w:val="00E17F19"/>
    <w:rsid w:val="00E20BBF"/>
    <w:rsid w:val="00E20C13"/>
    <w:rsid w:val="00E21201"/>
    <w:rsid w:val="00E21492"/>
    <w:rsid w:val="00E21AE5"/>
    <w:rsid w:val="00E21C36"/>
    <w:rsid w:val="00E21FC6"/>
    <w:rsid w:val="00E2255C"/>
    <w:rsid w:val="00E2299D"/>
    <w:rsid w:val="00E2305F"/>
    <w:rsid w:val="00E23FC8"/>
    <w:rsid w:val="00E24218"/>
    <w:rsid w:val="00E2527C"/>
    <w:rsid w:val="00E2530C"/>
    <w:rsid w:val="00E25357"/>
    <w:rsid w:val="00E25485"/>
    <w:rsid w:val="00E257F3"/>
    <w:rsid w:val="00E26664"/>
    <w:rsid w:val="00E27AD2"/>
    <w:rsid w:val="00E30A7E"/>
    <w:rsid w:val="00E30BF5"/>
    <w:rsid w:val="00E319B4"/>
    <w:rsid w:val="00E31EF7"/>
    <w:rsid w:val="00E32285"/>
    <w:rsid w:val="00E327F5"/>
    <w:rsid w:val="00E32989"/>
    <w:rsid w:val="00E343EB"/>
    <w:rsid w:val="00E34895"/>
    <w:rsid w:val="00E34B55"/>
    <w:rsid w:val="00E35467"/>
    <w:rsid w:val="00E3596D"/>
    <w:rsid w:val="00E364EB"/>
    <w:rsid w:val="00E40176"/>
    <w:rsid w:val="00E40A4F"/>
    <w:rsid w:val="00E40EFE"/>
    <w:rsid w:val="00E41345"/>
    <w:rsid w:val="00E41EB9"/>
    <w:rsid w:val="00E42645"/>
    <w:rsid w:val="00E431A9"/>
    <w:rsid w:val="00E431AD"/>
    <w:rsid w:val="00E431D1"/>
    <w:rsid w:val="00E43C01"/>
    <w:rsid w:val="00E4415F"/>
    <w:rsid w:val="00E44292"/>
    <w:rsid w:val="00E44572"/>
    <w:rsid w:val="00E446A2"/>
    <w:rsid w:val="00E46192"/>
    <w:rsid w:val="00E46721"/>
    <w:rsid w:val="00E46A85"/>
    <w:rsid w:val="00E4775F"/>
    <w:rsid w:val="00E47B53"/>
    <w:rsid w:val="00E47C38"/>
    <w:rsid w:val="00E47E1E"/>
    <w:rsid w:val="00E50930"/>
    <w:rsid w:val="00E50B13"/>
    <w:rsid w:val="00E51204"/>
    <w:rsid w:val="00E51FE3"/>
    <w:rsid w:val="00E5221C"/>
    <w:rsid w:val="00E5240D"/>
    <w:rsid w:val="00E533AE"/>
    <w:rsid w:val="00E537C5"/>
    <w:rsid w:val="00E54A85"/>
    <w:rsid w:val="00E55246"/>
    <w:rsid w:val="00E55891"/>
    <w:rsid w:val="00E5613B"/>
    <w:rsid w:val="00E56ABD"/>
    <w:rsid w:val="00E56B6B"/>
    <w:rsid w:val="00E603FA"/>
    <w:rsid w:val="00E60946"/>
    <w:rsid w:val="00E60BE8"/>
    <w:rsid w:val="00E61098"/>
    <w:rsid w:val="00E61109"/>
    <w:rsid w:val="00E61B14"/>
    <w:rsid w:val="00E63D4F"/>
    <w:rsid w:val="00E64272"/>
    <w:rsid w:val="00E642A4"/>
    <w:rsid w:val="00E64FC1"/>
    <w:rsid w:val="00E669E2"/>
    <w:rsid w:val="00E66C2F"/>
    <w:rsid w:val="00E70370"/>
    <w:rsid w:val="00E715DD"/>
    <w:rsid w:val="00E719A3"/>
    <w:rsid w:val="00E730D1"/>
    <w:rsid w:val="00E734FF"/>
    <w:rsid w:val="00E736E0"/>
    <w:rsid w:val="00E73EB5"/>
    <w:rsid w:val="00E74880"/>
    <w:rsid w:val="00E758F5"/>
    <w:rsid w:val="00E75AAB"/>
    <w:rsid w:val="00E75E81"/>
    <w:rsid w:val="00E76135"/>
    <w:rsid w:val="00E76AEC"/>
    <w:rsid w:val="00E77706"/>
    <w:rsid w:val="00E77866"/>
    <w:rsid w:val="00E803FC"/>
    <w:rsid w:val="00E80472"/>
    <w:rsid w:val="00E81424"/>
    <w:rsid w:val="00E82F4F"/>
    <w:rsid w:val="00E83D31"/>
    <w:rsid w:val="00E841EF"/>
    <w:rsid w:val="00E84648"/>
    <w:rsid w:val="00E84947"/>
    <w:rsid w:val="00E85884"/>
    <w:rsid w:val="00E85AB6"/>
    <w:rsid w:val="00E864DF"/>
    <w:rsid w:val="00E92222"/>
    <w:rsid w:val="00E92414"/>
    <w:rsid w:val="00E92D9D"/>
    <w:rsid w:val="00E92E35"/>
    <w:rsid w:val="00E931A6"/>
    <w:rsid w:val="00E9329B"/>
    <w:rsid w:val="00E9355B"/>
    <w:rsid w:val="00E93A2C"/>
    <w:rsid w:val="00E93A4C"/>
    <w:rsid w:val="00E94382"/>
    <w:rsid w:val="00E957CF"/>
    <w:rsid w:val="00E96224"/>
    <w:rsid w:val="00E96445"/>
    <w:rsid w:val="00E96A65"/>
    <w:rsid w:val="00E973BC"/>
    <w:rsid w:val="00E976BA"/>
    <w:rsid w:val="00E97D48"/>
    <w:rsid w:val="00EA0034"/>
    <w:rsid w:val="00EA02F9"/>
    <w:rsid w:val="00EA20FD"/>
    <w:rsid w:val="00EA21E7"/>
    <w:rsid w:val="00EA2B85"/>
    <w:rsid w:val="00EA4935"/>
    <w:rsid w:val="00EA4A7A"/>
    <w:rsid w:val="00EA534F"/>
    <w:rsid w:val="00EA53F4"/>
    <w:rsid w:val="00EA7405"/>
    <w:rsid w:val="00EB0FF1"/>
    <w:rsid w:val="00EB2731"/>
    <w:rsid w:val="00EB2882"/>
    <w:rsid w:val="00EB2C00"/>
    <w:rsid w:val="00EB2CC3"/>
    <w:rsid w:val="00EB31D4"/>
    <w:rsid w:val="00EB3700"/>
    <w:rsid w:val="00EB4391"/>
    <w:rsid w:val="00EB4AA1"/>
    <w:rsid w:val="00EB4F56"/>
    <w:rsid w:val="00EB59F0"/>
    <w:rsid w:val="00EB5BEF"/>
    <w:rsid w:val="00EB761D"/>
    <w:rsid w:val="00EC034C"/>
    <w:rsid w:val="00EC0583"/>
    <w:rsid w:val="00EC0FCD"/>
    <w:rsid w:val="00EC12D2"/>
    <w:rsid w:val="00EC13CD"/>
    <w:rsid w:val="00EC1407"/>
    <w:rsid w:val="00EC1E11"/>
    <w:rsid w:val="00EC20B1"/>
    <w:rsid w:val="00EC21AD"/>
    <w:rsid w:val="00EC2844"/>
    <w:rsid w:val="00EC3813"/>
    <w:rsid w:val="00EC4BBB"/>
    <w:rsid w:val="00EC5500"/>
    <w:rsid w:val="00EC58C5"/>
    <w:rsid w:val="00EC599D"/>
    <w:rsid w:val="00EC6824"/>
    <w:rsid w:val="00EC6B81"/>
    <w:rsid w:val="00EC70AD"/>
    <w:rsid w:val="00EC7BBE"/>
    <w:rsid w:val="00ED18F8"/>
    <w:rsid w:val="00ED1DB3"/>
    <w:rsid w:val="00ED1FE8"/>
    <w:rsid w:val="00ED2D66"/>
    <w:rsid w:val="00ED402B"/>
    <w:rsid w:val="00ED4A74"/>
    <w:rsid w:val="00ED4CDA"/>
    <w:rsid w:val="00ED5071"/>
    <w:rsid w:val="00ED61E5"/>
    <w:rsid w:val="00ED626D"/>
    <w:rsid w:val="00ED6B98"/>
    <w:rsid w:val="00ED74BC"/>
    <w:rsid w:val="00ED77CC"/>
    <w:rsid w:val="00ED7C87"/>
    <w:rsid w:val="00EE021D"/>
    <w:rsid w:val="00EE0DBF"/>
    <w:rsid w:val="00EE1AE9"/>
    <w:rsid w:val="00EE1DD1"/>
    <w:rsid w:val="00EE2B33"/>
    <w:rsid w:val="00EE3E68"/>
    <w:rsid w:val="00EE475E"/>
    <w:rsid w:val="00EE4871"/>
    <w:rsid w:val="00EE4E20"/>
    <w:rsid w:val="00EE5320"/>
    <w:rsid w:val="00EE58A5"/>
    <w:rsid w:val="00EE6208"/>
    <w:rsid w:val="00EE6EDA"/>
    <w:rsid w:val="00EE778E"/>
    <w:rsid w:val="00EE7C5A"/>
    <w:rsid w:val="00EF1332"/>
    <w:rsid w:val="00EF167B"/>
    <w:rsid w:val="00EF1E92"/>
    <w:rsid w:val="00EF2E6D"/>
    <w:rsid w:val="00EF3D20"/>
    <w:rsid w:val="00EF4637"/>
    <w:rsid w:val="00EF46F1"/>
    <w:rsid w:val="00EF6719"/>
    <w:rsid w:val="00EF698F"/>
    <w:rsid w:val="00EF6C6C"/>
    <w:rsid w:val="00EF6D89"/>
    <w:rsid w:val="00EF7670"/>
    <w:rsid w:val="00F0039B"/>
    <w:rsid w:val="00F0039F"/>
    <w:rsid w:val="00F00461"/>
    <w:rsid w:val="00F01718"/>
    <w:rsid w:val="00F01E75"/>
    <w:rsid w:val="00F01F77"/>
    <w:rsid w:val="00F02CA3"/>
    <w:rsid w:val="00F03595"/>
    <w:rsid w:val="00F056FC"/>
    <w:rsid w:val="00F0632F"/>
    <w:rsid w:val="00F069AE"/>
    <w:rsid w:val="00F06BEA"/>
    <w:rsid w:val="00F07366"/>
    <w:rsid w:val="00F07779"/>
    <w:rsid w:val="00F10155"/>
    <w:rsid w:val="00F10476"/>
    <w:rsid w:val="00F1114A"/>
    <w:rsid w:val="00F11D37"/>
    <w:rsid w:val="00F11E2A"/>
    <w:rsid w:val="00F11EC4"/>
    <w:rsid w:val="00F12B8B"/>
    <w:rsid w:val="00F12F4A"/>
    <w:rsid w:val="00F135D8"/>
    <w:rsid w:val="00F1423D"/>
    <w:rsid w:val="00F14429"/>
    <w:rsid w:val="00F14FE6"/>
    <w:rsid w:val="00F1500A"/>
    <w:rsid w:val="00F15991"/>
    <w:rsid w:val="00F20B8A"/>
    <w:rsid w:val="00F213C7"/>
    <w:rsid w:val="00F219AE"/>
    <w:rsid w:val="00F23055"/>
    <w:rsid w:val="00F233BA"/>
    <w:rsid w:val="00F2385C"/>
    <w:rsid w:val="00F238F5"/>
    <w:rsid w:val="00F244EB"/>
    <w:rsid w:val="00F248CA"/>
    <w:rsid w:val="00F25252"/>
    <w:rsid w:val="00F25D95"/>
    <w:rsid w:val="00F266F3"/>
    <w:rsid w:val="00F26B28"/>
    <w:rsid w:val="00F26F4C"/>
    <w:rsid w:val="00F27271"/>
    <w:rsid w:val="00F2773A"/>
    <w:rsid w:val="00F31299"/>
    <w:rsid w:val="00F31CAD"/>
    <w:rsid w:val="00F31EF7"/>
    <w:rsid w:val="00F32584"/>
    <w:rsid w:val="00F332A4"/>
    <w:rsid w:val="00F33C42"/>
    <w:rsid w:val="00F34635"/>
    <w:rsid w:val="00F3534A"/>
    <w:rsid w:val="00F35BFB"/>
    <w:rsid w:val="00F35DFF"/>
    <w:rsid w:val="00F36ACC"/>
    <w:rsid w:val="00F37C8A"/>
    <w:rsid w:val="00F402FD"/>
    <w:rsid w:val="00F41E56"/>
    <w:rsid w:val="00F423AC"/>
    <w:rsid w:val="00F4342C"/>
    <w:rsid w:val="00F43442"/>
    <w:rsid w:val="00F438CD"/>
    <w:rsid w:val="00F45131"/>
    <w:rsid w:val="00F46BCE"/>
    <w:rsid w:val="00F46CEE"/>
    <w:rsid w:val="00F4701D"/>
    <w:rsid w:val="00F47749"/>
    <w:rsid w:val="00F503BF"/>
    <w:rsid w:val="00F50911"/>
    <w:rsid w:val="00F50E2D"/>
    <w:rsid w:val="00F51609"/>
    <w:rsid w:val="00F5174D"/>
    <w:rsid w:val="00F51F8B"/>
    <w:rsid w:val="00F52C03"/>
    <w:rsid w:val="00F52DF4"/>
    <w:rsid w:val="00F52F16"/>
    <w:rsid w:val="00F55C25"/>
    <w:rsid w:val="00F55CFA"/>
    <w:rsid w:val="00F573AE"/>
    <w:rsid w:val="00F60834"/>
    <w:rsid w:val="00F60890"/>
    <w:rsid w:val="00F616AE"/>
    <w:rsid w:val="00F6362F"/>
    <w:rsid w:val="00F63966"/>
    <w:rsid w:val="00F641DC"/>
    <w:rsid w:val="00F650C8"/>
    <w:rsid w:val="00F66467"/>
    <w:rsid w:val="00F66707"/>
    <w:rsid w:val="00F66CB5"/>
    <w:rsid w:val="00F66F99"/>
    <w:rsid w:val="00F7006B"/>
    <w:rsid w:val="00F70075"/>
    <w:rsid w:val="00F72B12"/>
    <w:rsid w:val="00F73347"/>
    <w:rsid w:val="00F73727"/>
    <w:rsid w:val="00F7488C"/>
    <w:rsid w:val="00F7506B"/>
    <w:rsid w:val="00F75C42"/>
    <w:rsid w:val="00F762FC"/>
    <w:rsid w:val="00F7663B"/>
    <w:rsid w:val="00F766A7"/>
    <w:rsid w:val="00F76E8E"/>
    <w:rsid w:val="00F77476"/>
    <w:rsid w:val="00F77BE5"/>
    <w:rsid w:val="00F77EFE"/>
    <w:rsid w:val="00F803A0"/>
    <w:rsid w:val="00F803B6"/>
    <w:rsid w:val="00F80867"/>
    <w:rsid w:val="00F81006"/>
    <w:rsid w:val="00F82AF8"/>
    <w:rsid w:val="00F83107"/>
    <w:rsid w:val="00F835B8"/>
    <w:rsid w:val="00F838A0"/>
    <w:rsid w:val="00F83D4C"/>
    <w:rsid w:val="00F83F42"/>
    <w:rsid w:val="00F84514"/>
    <w:rsid w:val="00F84D0B"/>
    <w:rsid w:val="00F85199"/>
    <w:rsid w:val="00F851D6"/>
    <w:rsid w:val="00F851D9"/>
    <w:rsid w:val="00F8527A"/>
    <w:rsid w:val="00F85325"/>
    <w:rsid w:val="00F872CE"/>
    <w:rsid w:val="00F8766D"/>
    <w:rsid w:val="00F87956"/>
    <w:rsid w:val="00F90632"/>
    <w:rsid w:val="00F90A6C"/>
    <w:rsid w:val="00F91AE8"/>
    <w:rsid w:val="00F93AB8"/>
    <w:rsid w:val="00F93F8D"/>
    <w:rsid w:val="00F94B8B"/>
    <w:rsid w:val="00F94D29"/>
    <w:rsid w:val="00F950D2"/>
    <w:rsid w:val="00F95A79"/>
    <w:rsid w:val="00F95D32"/>
    <w:rsid w:val="00F96844"/>
    <w:rsid w:val="00F97561"/>
    <w:rsid w:val="00F97946"/>
    <w:rsid w:val="00F979A1"/>
    <w:rsid w:val="00FA0C43"/>
    <w:rsid w:val="00FA114B"/>
    <w:rsid w:val="00FA1529"/>
    <w:rsid w:val="00FA1BD2"/>
    <w:rsid w:val="00FA2074"/>
    <w:rsid w:val="00FA218B"/>
    <w:rsid w:val="00FA2FB8"/>
    <w:rsid w:val="00FA3296"/>
    <w:rsid w:val="00FA3436"/>
    <w:rsid w:val="00FA4072"/>
    <w:rsid w:val="00FA4313"/>
    <w:rsid w:val="00FA49FF"/>
    <w:rsid w:val="00FA4A3E"/>
    <w:rsid w:val="00FA4E95"/>
    <w:rsid w:val="00FA6832"/>
    <w:rsid w:val="00FA6BB6"/>
    <w:rsid w:val="00FA6E52"/>
    <w:rsid w:val="00FA71A8"/>
    <w:rsid w:val="00FA7A0E"/>
    <w:rsid w:val="00FA7CCD"/>
    <w:rsid w:val="00FA7DE6"/>
    <w:rsid w:val="00FB2261"/>
    <w:rsid w:val="00FB2DDB"/>
    <w:rsid w:val="00FB2E54"/>
    <w:rsid w:val="00FB3867"/>
    <w:rsid w:val="00FB5772"/>
    <w:rsid w:val="00FB587F"/>
    <w:rsid w:val="00FB7AE5"/>
    <w:rsid w:val="00FB7C38"/>
    <w:rsid w:val="00FC0396"/>
    <w:rsid w:val="00FC0492"/>
    <w:rsid w:val="00FC0966"/>
    <w:rsid w:val="00FC0C37"/>
    <w:rsid w:val="00FC0FD3"/>
    <w:rsid w:val="00FC18BE"/>
    <w:rsid w:val="00FC23AB"/>
    <w:rsid w:val="00FC29F5"/>
    <w:rsid w:val="00FC2B1F"/>
    <w:rsid w:val="00FC2F2F"/>
    <w:rsid w:val="00FC3273"/>
    <w:rsid w:val="00FC36DE"/>
    <w:rsid w:val="00FC3CB8"/>
    <w:rsid w:val="00FC48B1"/>
    <w:rsid w:val="00FC5D78"/>
    <w:rsid w:val="00FC65FD"/>
    <w:rsid w:val="00FC6831"/>
    <w:rsid w:val="00FC6A3A"/>
    <w:rsid w:val="00FC7995"/>
    <w:rsid w:val="00FD063E"/>
    <w:rsid w:val="00FD0A89"/>
    <w:rsid w:val="00FD1DD1"/>
    <w:rsid w:val="00FD2284"/>
    <w:rsid w:val="00FD22B1"/>
    <w:rsid w:val="00FD2828"/>
    <w:rsid w:val="00FD288A"/>
    <w:rsid w:val="00FD33F1"/>
    <w:rsid w:val="00FD3566"/>
    <w:rsid w:val="00FD3883"/>
    <w:rsid w:val="00FD3EE9"/>
    <w:rsid w:val="00FD4B4C"/>
    <w:rsid w:val="00FD4C82"/>
    <w:rsid w:val="00FD67F6"/>
    <w:rsid w:val="00FD72F1"/>
    <w:rsid w:val="00FD7CC3"/>
    <w:rsid w:val="00FD7E52"/>
    <w:rsid w:val="00FE0503"/>
    <w:rsid w:val="00FE059E"/>
    <w:rsid w:val="00FE18A4"/>
    <w:rsid w:val="00FE1CED"/>
    <w:rsid w:val="00FE21ED"/>
    <w:rsid w:val="00FE2431"/>
    <w:rsid w:val="00FE3C71"/>
    <w:rsid w:val="00FE3E99"/>
    <w:rsid w:val="00FE43ED"/>
    <w:rsid w:val="00FE51E6"/>
    <w:rsid w:val="00FE5397"/>
    <w:rsid w:val="00FE690E"/>
    <w:rsid w:val="00FE6B45"/>
    <w:rsid w:val="00FE7906"/>
    <w:rsid w:val="00FE7B1B"/>
    <w:rsid w:val="00FE7FBF"/>
    <w:rsid w:val="00FF1617"/>
    <w:rsid w:val="00FF1690"/>
    <w:rsid w:val="00FF1D03"/>
    <w:rsid w:val="00FF2A8E"/>
    <w:rsid w:val="00FF3776"/>
    <w:rsid w:val="00FF67C6"/>
    <w:rsid w:val="00FF7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0145"/>
    <o:shapelayout v:ext="edit">
      <o:idmap v:ext="edit" data="1"/>
    </o:shapelayout>
  </w:shapeDefaults>
  <w:decimalSymbol w:val="."/>
  <w:listSeparator w:val=","/>
  <w14:docId w14:val="6856428B"/>
  <w15:docId w15:val="{7FE086C3-929F-456C-9B5C-636792A6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E0D8E"/>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F63966"/>
    <w:pPr>
      <w:spacing w:before="560" w:line="320" w:lineRule="exact"/>
      <w:ind w:left="720" w:hanging="720"/>
      <w:outlineLvl w:val="2"/>
    </w:pPr>
    <w:rPr>
      <w:sz w:val="26"/>
    </w:rPr>
  </w:style>
  <w:style w:type="paragraph" w:styleId="Heading4">
    <w:name w:val="heading 4"/>
    <w:basedOn w:val="Heading3"/>
    <w:next w:val="BodyText"/>
    <w:link w:val="Heading4Char"/>
    <w:qFormat/>
    <w:rsid w:val="00E05196"/>
    <w:pPr>
      <w:spacing w:before="480"/>
      <w:ind w:left="0" w:firstLine="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B3811"/>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EB3700"/>
    <w:pPr>
      <w:spacing w:before="120"/>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9B3811"/>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CommentTextChar">
    <w:name w:val="Comment Text Char"/>
    <w:basedOn w:val="DefaultParagraphFont"/>
    <w:link w:val="CommentText"/>
    <w:uiPriority w:val="99"/>
    <w:rsid w:val="005B4707"/>
    <w:rPr>
      <w:szCs w:val="24"/>
    </w:rPr>
  </w:style>
  <w:style w:type="paragraph" w:styleId="CommentSubject">
    <w:name w:val="annotation subject"/>
    <w:basedOn w:val="CommentText"/>
    <w:next w:val="CommentText"/>
    <w:link w:val="CommentSubjectChar"/>
    <w:semiHidden/>
    <w:unhideWhenUsed/>
    <w:rsid w:val="00BA53C3"/>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BA53C3"/>
    <w:rPr>
      <w:b/>
      <w:bCs/>
      <w:szCs w:val="24"/>
    </w:rPr>
  </w:style>
  <w:style w:type="paragraph" w:customStyle="1" w:styleId="BoxSpaceAboveElement">
    <w:name w:val="Box Space Above Element"/>
    <w:basedOn w:val="BoxSpaceAbove"/>
    <w:link w:val="BoxSpaceAboveElementChar"/>
    <w:qFormat/>
    <w:rsid w:val="00DE1494"/>
    <w:pPr>
      <w:spacing w:before="240"/>
    </w:pPr>
    <w:rPr>
      <w:b/>
      <w:vanish/>
      <w:color w:val="FF00FF"/>
      <w:sz w:val="14"/>
    </w:rPr>
  </w:style>
  <w:style w:type="character" w:customStyle="1" w:styleId="BoxSpaceAboveElementChar">
    <w:name w:val="Box Space Above Element Char"/>
    <w:basedOn w:val="DefaultParagraphFont"/>
    <w:link w:val="BoxSpaceAboveElement"/>
    <w:rsid w:val="00DE1494"/>
    <w:rPr>
      <w:b/>
      <w:vanish/>
      <w:color w:val="FF00FF"/>
      <w:sz w:val="14"/>
    </w:rPr>
  </w:style>
  <w:style w:type="numbering" w:customStyle="1" w:styleId="List1">
    <w:name w:val="List1"/>
    <w:basedOn w:val="NoList"/>
    <w:uiPriority w:val="99"/>
    <w:rsid w:val="005B0F1B"/>
    <w:pPr>
      <w:numPr>
        <w:numId w:val="23"/>
      </w:numPr>
    </w:pPr>
  </w:style>
  <w:style w:type="paragraph" w:customStyle="1" w:styleId="Default">
    <w:name w:val="Default"/>
    <w:rsid w:val="006F6202"/>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0C3B2A"/>
    <w:rPr>
      <w:color w:val="78A22F" w:themeColor="accent1"/>
      <w:u w:val="single"/>
    </w:rPr>
  </w:style>
  <w:style w:type="character" w:customStyle="1" w:styleId="UnresolvedMention1">
    <w:name w:val="Unresolved Mention1"/>
    <w:basedOn w:val="DefaultParagraphFont"/>
    <w:uiPriority w:val="99"/>
    <w:semiHidden/>
    <w:unhideWhenUsed/>
    <w:rsid w:val="00224CAD"/>
    <w:rPr>
      <w:color w:val="605E5C"/>
      <w:shd w:val="clear" w:color="auto" w:fill="E1DFDD"/>
    </w:rPr>
  </w:style>
  <w:style w:type="character" w:styleId="FollowedHyperlink">
    <w:name w:val="FollowedHyperlink"/>
    <w:basedOn w:val="DefaultParagraphFont"/>
    <w:semiHidden/>
    <w:unhideWhenUsed/>
    <w:rsid w:val="006E4C72"/>
    <w:rPr>
      <w:color w:val="BFBFBF" w:themeColor="followedHyperlink"/>
      <w:u w:val="single"/>
    </w:rPr>
  </w:style>
  <w:style w:type="character" w:customStyle="1" w:styleId="UnresolvedMention2">
    <w:name w:val="Unresolved Mention2"/>
    <w:basedOn w:val="DefaultParagraphFont"/>
    <w:uiPriority w:val="99"/>
    <w:semiHidden/>
    <w:unhideWhenUsed/>
    <w:rsid w:val="006E4C72"/>
    <w:rPr>
      <w:color w:val="605E5C"/>
      <w:shd w:val="clear" w:color="auto" w:fill="E1DFDD"/>
    </w:rPr>
  </w:style>
  <w:style w:type="character" w:styleId="Strong">
    <w:name w:val="Strong"/>
    <w:basedOn w:val="DefaultParagraphFont"/>
    <w:uiPriority w:val="22"/>
    <w:qFormat/>
    <w:rsid w:val="00414AC5"/>
    <w:rPr>
      <w:b/>
      <w:bCs/>
    </w:rPr>
  </w:style>
  <w:style w:type="character" w:customStyle="1" w:styleId="UnresolvedMention3">
    <w:name w:val="Unresolved Mention3"/>
    <w:basedOn w:val="DefaultParagraphFont"/>
    <w:uiPriority w:val="99"/>
    <w:semiHidden/>
    <w:unhideWhenUsed/>
    <w:rsid w:val="00050589"/>
    <w:rPr>
      <w:color w:val="605E5C"/>
      <w:shd w:val="clear" w:color="auto" w:fill="E1DFDD"/>
    </w:rPr>
  </w:style>
  <w:style w:type="paragraph" w:styleId="Revision">
    <w:name w:val="Revision"/>
    <w:hidden/>
    <w:uiPriority w:val="99"/>
    <w:semiHidden/>
    <w:rsid w:val="002F7435"/>
    <w:rPr>
      <w:sz w:val="24"/>
      <w:szCs w:val="24"/>
    </w:rPr>
  </w:style>
  <w:style w:type="character" w:customStyle="1" w:styleId="UnresolvedMention4">
    <w:name w:val="Unresolved Mention4"/>
    <w:basedOn w:val="DefaultParagraphFont"/>
    <w:uiPriority w:val="99"/>
    <w:semiHidden/>
    <w:unhideWhenUsed/>
    <w:rsid w:val="009E5786"/>
    <w:rPr>
      <w:color w:val="605E5C"/>
      <w:shd w:val="clear" w:color="auto" w:fill="E1DFDD"/>
    </w:rPr>
  </w:style>
  <w:style w:type="character" w:customStyle="1" w:styleId="UnresolvedMention5">
    <w:name w:val="Unresolved Mention5"/>
    <w:basedOn w:val="DefaultParagraphFont"/>
    <w:uiPriority w:val="99"/>
    <w:semiHidden/>
    <w:unhideWhenUsed/>
    <w:rsid w:val="00DC702F"/>
    <w:rPr>
      <w:color w:val="605E5C"/>
      <w:shd w:val="clear" w:color="auto" w:fill="E1DFDD"/>
    </w:rPr>
  </w:style>
  <w:style w:type="character" w:customStyle="1" w:styleId="UnresolvedMention6">
    <w:name w:val="Unresolved Mention6"/>
    <w:basedOn w:val="DefaultParagraphFont"/>
    <w:uiPriority w:val="99"/>
    <w:semiHidden/>
    <w:unhideWhenUsed/>
    <w:rsid w:val="001D5812"/>
    <w:rPr>
      <w:color w:val="605E5C"/>
      <w:shd w:val="clear" w:color="auto" w:fill="E1DFDD"/>
    </w:rPr>
  </w:style>
  <w:style w:type="character" w:customStyle="1" w:styleId="Heading4Char">
    <w:name w:val="Heading 4 Char"/>
    <w:basedOn w:val="DefaultParagraphFont"/>
    <w:link w:val="Heading4"/>
    <w:locked/>
    <w:rsid w:val="00E05196"/>
    <w:rPr>
      <w:rFonts w:ascii="Arial" w:hAnsi="Arial"/>
      <w:sz w:val="24"/>
    </w:rPr>
  </w:style>
  <w:style w:type="character" w:customStyle="1" w:styleId="Heading3Char">
    <w:name w:val="Heading 3 Char"/>
    <w:basedOn w:val="DefaultParagraphFont"/>
    <w:link w:val="Heading3"/>
    <w:locked/>
    <w:rsid w:val="00F63966"/>
    <w:rPr>
      <w:rFonts w:ascii="Arial" w:hAnsi="Arial"/>
      <w:b/>
      <w:sz w:val="26"/>
    </w:rPr>
  </w:style>
  <w:style w:type="paragraph" w:styleId="ListParagraph">
    <w:name w:val="List Paragraph"/>
    <w:basedOn w:val="Normal"/>
    <w:uiPriority w:val="34"/>
    <w:rsid w:val="00700B97"/>
    <w:pPr>
      <w:ind w:left="720"/>
      <w:contextualSpacing/>
    </w:pPr>
  </w:style>
  <w:style w:type="paragraph" w:styleId="Bibliography">
    <w:name w:val="Bibliography"/>
    <w:basedOn w:val="Normal"/>
    <w:next w:val="Normal"/>
    <w:uiPriority w:val="37"/>
    <w:unhideWhenUsed/>
    <w:rsid w:val="003D0E0F"/>
    <w:pPr>
      <w:spacing w:after="240"/>
      <w:ind w:left="720" w:hanging="720"/>
    </w:pPr>
  </w:style>
  <w:style w:type="character" w:customStyle="1" w:styleId="UnresolvedMention7">
    <w:name w:val="Unresolved Mention7"/>
    <w:basedOn w:val="DefaultParagraphFont"/>
    <w:uiPriority w:val="99"/>
    <w:semiHidden/>
    <w:unhideWhenUsed/>
    <w:rsid w:val="00B940B3"/>
    <w:rPr>
      <w:color w:val="605E5C"/>
      <w:shd w:val="clear" w:color="auto" w:fill="E1DFDD"/>
    </w:rPr>
  </w:style>
  <w:style w:type="character" w:customStyle="1" w:styleId="QuoteChar">
    <w:name w:val="Quote Char"/>
    <w:basedOn w:val="DefaultParagraphFont"/>
    <w:link w:val="Quote"/>
    <w:rsid w:val="00F72B12"/>
    <w:rPr>
      <w:sz w:val="22"/>
    </w:rPr>
  </w:style>
  <w:style w:type="character" w:customStyle="1" w:styleId="UnresolvedMention8">
    <w:name w:val="Unresolved Mention8"/>
    <w:basedOn w:val="DefaultParagraphFont"/>
    <w:uiPriority w:val="99"/>
    <w:semiHidden/>
    <w:unhideWhenUsed/>
    <w:rsid w:val="00370DE0"/>
    <w:rPr>
      <w:color w:val="605E5C"/>
      <w:shd w:val="clear" w:color="auto" w:fill="E1DFDD"/>
    </w:rPr>
  </w:style>
  <w:style w:type="character" w:styleId="EndnoteReference">
    <w:name w:val="endnote reference"/>
    <w:basedOn w:val="DefaultParagraphFont"/>
    <w:semiHidden/>
    <w:unhideWhenUsed/>
    <w:rsid w:val="00DF56AE"/>
    <w:rPr>
      <w:vertAlign w:val="superscript"/>
    </w:rPr>
  </w:style>
  <w:style w:type="character" w:customStyle="1" w:styleId="UnresolvedMention9">
    <w:name w:val="Unresolved Mention9"/>
    <w:basedOn w:val="DefaultParagraphFont"/>
    <w:uiPriority w:val="99"/>
    <w:semiHidden/>
    <w:unhideWhenUsed/>
    <w:rsid w:val="00642C03"/>
    <w:rPr>
      <w:color w:val="605E5C"/>
      <w:shd w:val="clear" w:color="auto" w:fill="E1DFDD"/>
    </w:rPr>
  </w:style>
  <w:style w:type="paragraph" w:customStyle="1" w:styleId="Heading1NotTOC">
    <w:name w:val="Heading 1 Not TOC"/>
    <w:basedOn w:val="Heading1"/>
    <w:next w:val="BodyText"/>
    <w:rsid w:val="00077E32"/>
    <w:rPr>
      <w:kern w:val="28"/>
      <w:szCs w:val="26"/>
      <w:lang w:eastAsia="en-US"/>
    </w:rPr>
  </w:style>
  <w:style w:type="character" w:customStyle="1" w:styleId="UnresolvedMention10">
    <w:name w:val="Unresolved Mention10"/>
    <w:basedOn w:val="DefaultParagraphFont"/>
    <w:uiPriority w:val="99"/>
    <w:semiHidden/>
    <w:unhideWhenUsed/>
    <w:rsid w:val="00BE05BD"/>
    <w:rPr>
      <w:color w:val="605E5C"/>
      <w:shd w:val="clear" w:color="auto" w:fill="E1DFDD"/>
    </w:rPr>
  </w:style>
  <w:style w:type="character" w:customStyle="1" w:styleId="CommentTextChar1">
    <w:name w:val="Comment Text Char1"/>
    <w:basedOn w:val="DefaultParagraphFont"/>
    <w:uiPriority w:val="99"/>
    <w:semiHidden/>
    <w:rsid w:val="00845C6C"/>
    <w:rPr>
      <w:szCs w:val="24"/>
    </w:rPr>
  </w:style>
  <w:style w:type="character" w:customStyle="1" w:styleId="UnresolvedMention11">
    <w:name w:val="Unresolved Mention11"/>
    <w:basedOn w:val="DefaultParagraphFont"/>
    <w:uiPriority w:val="99"/>
    <w:semiHidden/>
    <w:unhideWhenUsed/>
    <w:rsid w:val="005B4DA1"/>
    <w:rPr>
      <w:color w:val="605E5C"/>
      <w:shd w:val="clear" w:color="auto" w:fill="E1DFDD"/>
    </w:rPr>
  </w:style>
  <w:style w:type="character" w:customStyle="1" w:styleId="UnresolvedMention12">
    <w:name w:val="Unresolved Mention12"/>
    <w:basedOn w:val="DefaultParagraphFont"/>
    <w:uiPriority w:val="99"/>
    <w:semiHidden/>
    <w:unhideWhenUsed/>
    <w:rsid w:val="00FE7906"/>
    <w:rPr>
      <w:color w:val="605E5C"/>
      <w:shd w:val="clear" w:color="auto" w:fill="E1DFDD"/>
    </w:rPr>
  </w:style>
  <w:style w:type="character" w:customStyle="1" w:styleId="ListBulletChar">
    <w:name w:val="List Bullet Char"/>
    <w:basedOn w:val="DefaultParagraphFont"/>
    <w:link w:val="ListBullet"/>
    <w:rsid w:val="00A64F21"/>
    <w:rPr>
      <w:sz w:val="24"/>
    </w:rPr>
  </w:style>
  <w:style w:type="character" w:customStyle="1" w:styleId="UnresolvedMention13">
    <w:name w:val="Unresolved Mention13"/>
    <w:basedOn w:val="DefaultParagraphFont"/>
    <w:uiPriority w:val="99"/>
    <w:semiHidden/>
    <w:unhideWhenUsed/>
    <w:rsid w:val="00325BD5"/>
    <w:rPr>
      <w:color w:val="605E5C"/>
      <w:shd w:val="clear" w:color="auto" w:fill="E1DFDD"/>
    </w:rPr>
  </w:style>
  <w:style w:type="paragraph" w:customStyle="1" w:styleId="Copyrightheading">
    <w:name w:val="Copyright heading"/>
    <w:basedOn w:val="TOC1"/>
    <w:link w:val="CopyrightheadingChar"/>
    <w:qFormat/>
    <w:rsid w:val="005E5B4F"/>
    <w:pPr>
      <w:spacing w:after="160" w:line="300" w:lineRule="exact"/>
    </w:pPr>
    <w:rPr>
      <w:rFonts w:eastAsiaTheme="minorHAnsi" w:cstheme="minorBidi"/>
      <w:sz w:val="22"/>
    </w:rPr>
  </w:style>
  <w:style w:type="character" w:customStyle="1" w:styleId="CopyrightheadingChar">
    <w:name w:val="Copyright heading Char"/>
    <w:basedOn w:val="TOC1Char"/>
    <w:link w:val="Copyrightheading"/>
    <w:rsid w:val="005E5B4F"/>
    <w:rPr>
      <w:rFonts w:ascii="Arial" w:eastAsiaTheme="minorHAnsi" w:hAnsi="Arial" w:cstheme="minorBidi"/>
      <w:b/>
      <w:sz w:val="22"/>
      <w:szCs w:val="26"/>
      <w:lang w:eastAsia="en-US"/>
    </w:rPr>
  </w:style>
  <w:style w:type="paragraph" w:customStyle="1" w:styleId="Copyrightsubtitle">
    <w:name w:val="Copyright subtitle"/>
    <w:basedOn w:val="BodyText"/>
    <w:rsid w:val="005E5B4F"/>
    <w:rPr>
      <w:rFonts w:ascii="Arial" w:hAnsi="Arial"/>
      <w:b/>
      <w:sz w:val="22"/>
      <w:szCs w:val="25"/>
    </w:rPr>
  </w:style>
  <w:style w:type="paragraph" w:customStyle="1" w:styleId="Copyrightbodytext">
    <w:name w:val="Copyright bodytext"/>
    <w:basedOn w:val="BodyText"/>
    <w:link w:val="CopyrightbodytextChar"/>
    <w:qFormat/>
    <w:rsid w:val="005E5B4F"/>
    <w:pPr>
      <w:spacing w:before="60"/>
    </w:pPr>
  </w:style>
  <w:style w:type="character" w:customStyle="1" w:styleId="CopyrightbodytextChar">
    <w:name w:val="Copyright bodytext Char"/>
    <w:basedOn w:val="BodyTextChar"/>
    <w:link w:val="Copyrightbodytext"/>
    <w:rsid w:val="005E5B4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3197">
      <w:bodyDiv w:val="1"/>
      <w:marLeft w:val="0"/>
      <w:marRight w:val="0"/>
      <w:marTop w:val="0"/>
      <w:marBottom w:val="0"/>
      <w:divBdr>
        <w:top w:val="none" w:sz="0" w:space="0" w:color="auto"/>
        <w:left w:val="none" w:sz="0" w:space="0" w:color="auto"/>
        <w:bottom w:val="none" w:sz="0" w:space="0" w:color="auto"/>
        <w:right w:val="none" w:sz="0" w:space="0" w:color="auto"/>
      </w:divBdr>
      <w:divsChild>
        <w:div w:id="912659734">
          <w:marLeft w:val="0"/>
          <w:marRight w:val="0"/>
          <w:marTop w:val="0"/>
          <w:marBottom w:val="0"/>
          <w:divBdr>
            <w:top w:val="none" w:sz="0" w:space="0" w:color="auto"/>
            <w:left w:val="none" w:sz="0" w:space="0" w:color="auto"/>
            <w:bottom w:val="none" w:sz="0" w:space="0" w:color="auto"/>
            <w:right w:val="none" w:sz="0" w:space="0" w:color="auto"/>
          </w:divBdr>
        </w:div>
      </w:divsChild>
    </w:div>
    <w:div w:id="511264613">
      <w:bodyDiv w:val="1"/>
      <w:marLeft w:val="0"/>
      <w:marRight w:val="0"/>
      <w:marTop w:val="0"/>
      <w:marBottom w:val="0"/>
      <w:divBdr>
        <w:top w:val="none" w:sz="0" w:space="0" w:color="auto"/>
        <w:left w:val="none" w:sz="0" w:space="0" w:color="auto"/>
        <w:bottom w:val="none" w:sz="0" w:space="0" w:color="auto"/>
        <w:right w:val="none" w:sz="0" w:space="0" w:color="auto"/>
      </w:divBdr>
      <w:divsChild>
        <w:div w:id="2063213708">
          <w:marLeft w:val="0"/>
          <w:marRight w:val="0"/>
          <w:marTop w:val="0"/>
          <w:marBottom w:val="0"/>
          <w:divBdr>
            <w:top w:val="none" w:sz="0" w:space="0" w:color="auto"/>
            <w:left w:val="none" w:sz="0" w:space="0" w:color="auto"/>
            <w:bottom w:val="none" w:sz="0" w:space="0" w:color="auto"/>
            <w:right w:val="none" w:sz="0" w:space="0" w:color="auto"/>
          </w:divBdr>
        </w:div>
      </w:divsChild>
    </w:div>
    <w:div w:id="617372917">
      <w:bodyDiv w:val="1"/>
      <w:marLeft w:val="0"/>
      <w:marRight w:val="0"/>
      <w:marTop w:val="0"/>
      <w:marBottom w:val="0"/>
      <w:divBdr>
        <w:top w:val="none" w:sz="0" w:space="0" w:color="auto"/>
        <w:left w:val="none" w:sz="0" w:space="0" w:color="auto"/>
        <w:bottom w:val="none" w:sz="0" w:space="0" w:color="auto"/>
        <w:right w:val="none" w:sz="0" w:space="0" w:color="auto"/>
      </w:divBdr>
      <w:divsChild>
        <w:div w:id="1300453582">
          <w:marLeft w:val="720"/>
          <w:marRight w:val="0"/>
          <w:marTop w:val="60"/>
          <w:marBottom w:val="60"/>
          <w:divBdr>
            <w:top w:val="none" w:sz="0" w:space="0" w:color="auto"/>
            <w:left w:val="none" w:sz="0" w:space="0" w:color="auto"/>
            <w:bottom w:val="none" w:sz="0" w:space="0" w:color="auto"/>
            <w:right w:val="none" w:sz="0" w:space="0" w:color="auto"/>
          </w:divBdr>
        </w:div>
        <w:div w:id="2001302430">
          <w:marLeft w:val="720"/>
          <w:marRight w:val="0"/>
          <w:marTop w:val="60"/>
          <w:marBottom w:val="60"/>
          <w:divBdr>
            <w:top w:val="none" w:sz="0" w:space="0" w:color="auto"/>
            <w:left w:val="none" w:sz="0" w:space="0" w:color="auto"/>
            <w:bottom w:val="none" w:sz="0" w:space="0" w:color="auto"/>
            <w:right w:val="none" w:sz="0" w:space="0" w:color="auto"/>
          </w:divBdr>
        </w:div>
      </w:divsChild>
    </w:div>
    <w:div w:id="674186559">
      <w:bodyDiv w:val="1"/>
      <w:marLeft w:val="0"/>
      <w:marRight w:val="0"/>
      <w:marTop w:val="0"/>
      <w:marBottom w:val="0"/>
      <w:divBdr>
        <w:top w:val="none" w:sz="0" w:space="0" w:color="auto"/>
        <w:left w:val="none" w:sz="0" w:space="0" w:color="auto"/>
        <w:bottom w:val="none" w:sz="0" w:space="0" w:color="auto"/>
        <w:right w:val="none" w:sz="0" w:space="0" w:color="auto"/>
      </w:divBdr>
    </w:div>
    <w:div w:id="769668840">
      <w:bodyDiv w:val="1"/>
      <w:marLeft w:val="0"/>
      <w:marRight w:val="0"/>
      <w:marTop w:val="0"/>
      <w:marBottom w:val="0"/>
      <w:divBdr>
        <w:top w:val="none" w:sz="0" w:space="0" w:color="auto"/>
        <w:left w:val="none" w:sz="0" w:space="0" w:color="auto"/>
        <w:bottom w:val="none" w:sz="0" w:space="0" w:color="auto"/>
        <w:right w:val="none" w:sz="0" w:space="0" w:color="auto"/>
      </w:divBdr>
    </w:div>
    <w:div w:id="871386026">
      <w:bodyDiv w:val="1"/>
      <w:marLeft w:val="0"/>
      <w:marRight w:val="0"/>
      <w:marTop w:val="0"/>
      <w:marBottom w:val="0"/>
      <w:divBdr>
        <w:top w:val="none" w:sz="0" w:space="0" w:color="auto"/>
        <w:left w:val="none" w:sz="0" w:space="0" w:color="auto"/>
        <w:bottom w:val="none" w:sz="0" w:space="0" w:color="auto"/>
        <w:right w:val="none" w:sz="0" w:space="0" w:color="auto"/>
      </w:divBdr>
    </w:div>
    <w:div w:id="926772611">
      <w:bodyDiv w:val="1"/>
      <w:marLeft w:val="0"/>
      <w:marRight w:val="0"/>
      <w:marTop w:val="0"/>
      <w:marBottom w:val="0"/>
      <w:divBdr>
        <w:top w:val="none" w:sz="0" w:space="0" w:color="auto"/>
        <w:left w:val="none" w:sz="0" w:space="0" w:color="auto"/>
        <w:bottom w:val="none" w:sz="0" w:space="0" w:color="auto"/>
        <w:right w:val="none" w:sz="0" w:space="0" w:color="auto"/>
      </w:divBdr>
      <w:divsChild>
        <w:div w:id="181939334">
          <w:marLeft w:val="720"/>
          <w:marRight w:val="0"/>
          <w:marTop w:val="120"/>
          <w:marBottom w:val="60"/>
          <w:divBdr>
            <w:top w:val="none" w:sz="0" w:space="0" w:color="auto"/>
            <w:left w:val="none" w:sz="0" w:space="0" w:color="auto"/>
            <w:bottom w:val="none" w:sz="0" w:space="0" w:color="auto"/>
            <w:right w:val="none" w:sz="0" w:space="0" w:color="auto"/>
          </w:divBdr>
        </w:div>
        <w:div w:id="314183036">
          <w:marLeft w:val="0"/>
          <w:marRight w:val="0"/>
          <w:marTop w:val="240"/>
          <w:marBottom w:val="0"/>
          <w:divBdr>
            <w:top w:val="none" w:sz="0" w:space="0" w:color="auto"/>
            <w:left w:val="none" w:sz="0" w:space="0" w:color="auto"/>
            <w:bottom w:val="none" w:sz="0" w:space="0" w:color="auto"/>
            <w:right w:val="none" w:sz="0" w:space="0" w:color="auto"/>
          </w:divBdr>
        </w:div>
        <w:div w:id="594099369">
          <w:marLeft w:val="720"/>
          <w:marRight w:val="0"/>
          <w:marTop w:val="120"/>
          <w:marBottom w:val="60"/>
          <w:divBdr>
            <w:top w:val="none" w:sz="0" w:space="0" w:color="auto"/>
            <w:left w:val="none" w:sz="0" w:space="0" w:color="auto"/>
            <w:bottom w:val="none" w:sz="0" w:space="0" w:color="auto"/>
            <w:right w:val="none" w:sz="0" w:space="0" w:color="auto"/>
          </w:divBdr>
        </w:div>
        <w:div w:id="600335563">
          <w:marLeft w:val="720"/>
          <w:marRight w:val="0"/>
          <w:marTop w:val="120"/>
          <w:marBottom w:val="60"/>
          <w:divBdr>
            <w:top w:val="none" w:sz="0" w:space="0" w:color="auto"/>
            <w:left w:val="none" w:sz="0" w:space="0" w:color="auto"/>
            <w:bottom w:val="none" w:sz="0" w:space="0" w:color="auto"/>
            <w:right w:val="none" w:sz="0" w:space="0" w:color="auto"/>
          </w:divBdr>
        </w:div>
        <w:div w:id="980502598">
          <w:marLeft w:val="720"/>
          <w:marRight w:val="0"/>
          <w:marTop w:val="120"/>
          <w:marBottom w:val="60"/>
          <w:divBdr>
            <w:top w:val="none" w:sz="0" w:space="0" w:color="auto"/>
            <w:left w:val="none" w:sz="0" w:space="0" w:color="auto"/>
            <w:bottom w:val="none" w:sz="0" w:space="0" w:color="auto"/>
            <w:right w:val="none" w:sz="0" w:space="0" w:color="auto"/>
          </w:divBdr>
        </w:div>
      </w:divsChild>
    </w:div>
    <w:div w:id="976835327">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pmc.gov.au/government/commonwealth-coat-arm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creativecommons.org/licenses/by/3.0/au"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mailto:mpw@p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Productivity%20Commission\OfficeTemplates%20-%20Documents\Templates\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0da5c63-8548-4ac8-9616-83b0f373280e" ContentTypeId="0x0101007916246811615643A710C6FEAFF56A871104" PreviousValue="false"/>
</file>

<file path=customXml/item5.xml><?xml version="1.0" encoding="utf-8"?>
<ct:contentTypeSchema xmlns:ct="http://schemas.microsoft.com/office/2006/metadata/contentType" xmlns:ma="http://schemas.microsoft.com/office/2006/metadata/properties/metaAttributes" ct:_="" ma:_="" ma:contentTypeName="Reports" ma:contentTypeID="0x0101007916246811615643A710C6FEAFF56A871104004DBBF490563C874C99A69B130A4CD22F" ma:contentTypeVersion="0" ma:contentTypeDescription="" ma:contentTypeScope="" ma:versionID="ec21511b978ea416b1490b15aa6eb31f">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1868167741d32cd1ac9683cb1c117d0c"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2:Draft_x0020_Report_x0020_Status"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609e2780-d171-4fcc-ba6e-ba515af27ffb"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raft_x0020_Report_x0020_Status" ma:index="17" nillable="true" ma:displayName="Draft Report Status" ma:default="In initial draft state" ma:internalName="Draft_x0020_Report_x0020_Status" ma:readOnly="false">
      <xsd:complexType>
        <xsd:complexContent>
          <xsd:extension base="dms:MultiChoice">
            <xsd:sequence>
              <xsd:element name="Value" maxOccurs="unbounded" minOccurs="0" nillable="true">
                <xsd:simpleType>
                  <xsd:restriction base="dms:Choice">
                    <xsd:enumeration value="In initial draft state"/>
                    <xsd:enumeration value="1st Circ to A/Comm"/>
                    <xsd:enumeration value="1st Circ to Comms"/>
                    <xsd:enumeration value="1st Circ comments back"/>
                    <xsd:enumeration value="2nd Circ to A/Comm"/>
                    <xsd:enumeration value="2nd Circ to Comms"/>
                    <xsd:enumeration value="2nd Circ comments back"/>
                    <xsd:enumeration value="3rd Circ to A/Comm"/>
                    <xsd:enumeration value="3rd Circ to Comms"/>
                    <xsd:enumeration value="3rd Circ comments back"/>
                    <xsd:enumeration value="Ready for final proof"/>
                    <xsd:enumeration value="Out to proof"/>
                    <xsd:enumeration value="1st proof complete"/>
                    <xsd:enumeration value="2nd proof complete"/>
                    <xsd:enumeration value="3rd proof complete"/>
                    <xsd:enumeration value="Style checker run"/>
                    <xsd:enumeration value="Global style OK"/>
                    <xsd:enumeration value="Cross refs OK"/>
                    <xsd:enumeration value="Recs etc OK"/>
                    <xsd:enumeration value="Chart format OK"/>
                    <xsd:enumeration value="Charts tagged"/>
                    <xsd:enumeration value="Direct quotes OK"/>
                    <xsd:enumeration value="Sub nums OK"/>
                    <xsd:enumeration value="Alt text done"/>
                    <xsd:enumeration value="Ready to compile"/>
                    <xsd:enumeration value="Compiled"/>
                    <xsd:enumeration value="Post compile edits in"/>
                    <xsd:enumeration value="As publishe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raft_x0020_Report_x0020_Status xmlns="3f4bcce7-ac1a-4c9d-aa3e-7e77695652db">
      <Value>In initial draft state</Value>
    </Draft_x0020_Report_x0020_Status>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Draft Report</TermName>
          <TermId>84e4af37-8871-4c42-ad2f-98d46afe06b0</TermId>
        </TermInfo>
      </Terms>
    </p7a0baa8c88445a78b6f55906390ba17>
    <TaxCatchAll xmlns="3f4bcce7-ac1a-4c9d-aa3e-7e77695652db"/>
    <_dlc_DocId xmlns="3f4bcce7-ac1a-4c9d-aa3e-7e77695652db">PCDOC-1674499194-8</_dlc_DocId>
    <_dlc_DocIdUrl xmlns="3f4bcce7-ac1a-4c9d-aa3e-7e77695652db">
      <Url>http://inet.pc.gov.au/pmo/inq/water2020/_layouts/15/DocIdRedir.aspx?ID=PCDOC-1674499194-8</Url>
      <Description>PCDOC-1674499194-8</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643851-B037-4D2A-AD8D-D86FCDD271FB}">
  <ds:schemaRefs>
    <ds:schemaRef ds:uri="http://schemas.microsoft.com/sharepoint/v3/contenttype/forms"/>
  </ds:schemaRefs>
</ds:datastoreItem>
</file>

<file path=customXml/itemProps2.xml><?xml version="1.0" encoding="utf-8"?>
<ds:datastoreItem xmlns:ds="http://schemas.openxmlformats.org/officeDocument/2006/customXml" ds:itemID="{0AD3A472-6EC9-4EAF-BDAE-DD23721F598F}">
  <ds:schemaRefs>
    <ds:schemaRef ds:uri="http://schemas.microsoft.com/office/2006/metadata/customXsn"/>
  </ds:schemaRefs>
</ds:datastoreItem>
</file>

<file path=customXml/itemProps3.xml><?xml version="1.0" encoding="utf-8"?>
<ds:datastoreItem xmlns:ds="http://schemas.openxmlformats.org/officeDocument/2006/customXml" ds:itemID="{AFF96685-F2DB-47B3-995D-F39D4DD52018}">
  <ds:schemaRefs>
    <ds:schemaRef ds:uri="http://schemas.openxmlformats.org/officeDocument/2006/bibliography"/>
  </ds:schemaRefs>
</ds:datastoreItem>
</file>

<file path=customXml/itemProps4.xml><?xml version="1.0" encoding="utf-8"?>
<ds:datastoreItem xmlns:ds="http://schemas.openxmlformats.org/officeDocument/2006/customXml" ds:itemID="{94A02829-E6CF-4BF7-950D-E0AAA6E80B0D}">
  <ds:schemaRefs>
    <ds:schemaRef ds:uri="Microsoft.SharePoint.Taxonomy.ContentTypeSync"/>
  </ds:schemaRefs>
</ds:datastoreItem>
</file>

<file path=customXml/itemProps5.xml><?xml version="1.0" encoding="utf-8"?>
<ds:datastoreItem xmlns:ds="http://schemas.openxmlformats.org/officeDocument/2006/customXml" ds:itemID="{19EE50E3-737C-47F0-8547-8CE31CD28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81CABC8-1406-48EB-A353-EFF506ACA5BB}">
  <ds:schemaRefs>
    <ds:schemaRef ds:uri="http://schemas.microsoft.com/office/2006/metadata/properties"/>
    <ds:schemaRef ds:uri="http://schemas.microsoft.com/office/2006/documentManagement/types"/>
    <ds:schemaRef ds:uri="3f4bcce7-ac1a-4c9d-aa3e-7e77695652db"/>
    <ds:schemaRef ds:uri="http://schemas.microsoft.com/office/infopath/2007/PartnerControls"/>
    <ds:schemaRef ds:uri="http://schemas.microsoft.com/sharepoint/v3"/>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customXml/itemProps7.xml><?xml version="1.0" encoding="utf-8"?>
<ds:datastoreItem xmlns:ds="http://schemas.openxmlformats.org/officeDocument/2006/customXml" ds:itemID="{3F3BE786-1189-4FA6-A2FF-78A65DF28A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chapter.dotm</Template>
  <TotalTime>1811</TotalTime>
  <Pages>52</Pages>
  <Words>18760</Words>
  <Characters>113053</Characters>
  <Application>Microsoft Office Word</Application>
  <DocSecurity>0</DocSecurity>
  <Lines>942</Lines>
  <Paragraphs>263</Paragraphs>
  <ScaleCrop>false</ScaleCrop>
  <HeadingPairs>
    <vt:vector size="2" baseType="variant">
      <vt:variant>
        <vt:lpstr>Title</vt:lpstr>
      </vt:variant>
      <vt:variant>
        <vt:i4>1</vt:i4>
      </vt:variant>
    </vt:vector>
  </HeadingPairs>
  <TitlesOfParts>
    <vt:vector size="1" baseType="lpstr">
      <vt:lpstr>Supporting paper G - Urban water services: regional and remote communities (Regional) - National Water Reform 2020 - Draft report</vt:lpstr>
    </vt:vector>
  </TitlesOfParts>
  <Company>Productivity Commission</Company>
  <LinksUpToDate>false</LinksUpToDate>
  <CharactersWithSpaces>131550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paper G - Urban water services: regional and remote communities (Regional) - National Water Reform 2020 - Draft report</dc:title>
  <dc:subject>National Water Reform 2020</dc:subject>
  <dc:creator>Productivity Commission</dc:creator>
  <cp:keywords/>
  <dc:description>7.</dc:description>
  <cp:lastModifiedBy>Alston, Chris</cp:lastModifiedBy>
  <cp:revision>200</cp:revision>
  <cp:lastPrinted>2021-02-09T01:11:00Z</cp:lastPrinted>
  <dcterms:created xsi:type="dcterms:W3CDTF">2020-07-15T05:54:00Z</dcterms:created>
  <dcterms:modified xsi:type="dcterms:W3CDTF">2021-02-09T01:24:00Z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0x0101007916246811615643A710C6FEAFF56A871104004DBBF490563C874C99A69B130A4CD22F</vt:lpwstr>
  </property>
  <property fmtid="{D5CDD505-2E9C-101B-9397-08002B2CF9AE}" pid="3" name="_dlc_DocIdItemGuid">
    <vt:lpwstr>568cb724-9c5c-4393-aee7-b605b5a3fad9</vt:lpwstr>
  </property>
  <property fmtid="{D5CDD505-2E9C-101B-9397-08002B2CF9AE}" pid="4" name="TaxKeyword">
    <vt:lpwstr>;#</vt:lpwstr>
  </property>
  <property fmtid="{D5CDD505-2E9C-101B-9397-08002B2CF9AE}" pid="5" name="Record Tag">
    <vt:lpwstr>24</vt:lpwstr>
  </property>
  <property fmtid="{D5CDD505-2E9C-101B-9397-08002B2CF9AE}" pid="6" name="ZOTERO_PREF_2">
    <vt:lpwstr>JournalAbbreviations" value="true"/&gt;&lt;pref name="dontAskDelayCitationUpdates" value="true"/&gt;&lt;/prefs&gt;&lt;/data&gt;</vt:lpwstr>
  </property>
  <property fmtid="{D5CDD505-2E9C-101B-9397-08002B2CF9AE}" pid="7" name="ZOTERO_PREF_1">
    <vt:lpwstr>&lt;data data-version="3" zotero-version="5.0.81"&gt;&lt;session id="eNaCSKa4"/&gt;&lt;style id="http://www.zotero.org/styles/Productivity-Commission" hasBibliography="1" bibliographyStyleHasBeenSet="1"/&gt;&lt;prefs&gt;&lt;pref name="fieldType" value="Field"/&gt;&lt;pref name="automatic</vt:lpwstr>
  </property>
</Properties>
</file>