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20940" w14:textId="10D374CF" w:rsidR="003E07F1" w:rsidRPr="0044559B" w:rsidRDefault="003E07F1" w:rsidP="0044559B">
      <w:pPr>
        <w:pStyle w:val="Heading1"/>
        <w:rPr>
          <w:color w:val="FFFFFF" w:themeColor="background1"/>
          <w:sz w:val="16"/>
          <w:szCs w:val="16"/>
        </w:rPr>
      </w:pPr>
      <w:bookmarkStart w:id="0" w:name="ChapterNumber"/>
      <w:r w:rsidRPr="0044559B">
        <w:rPr>
          <w:noProof/>
          <w:color w:val="FFFFFF" w:themeColor="background1"/>
          <w:sz w:val="16"/>
          <w:szCs w:val="16"/>
        </w:rPr>
        <w:drawing>
          <wp:anchor distT="0" distB="0" distL="114300" distR="114300" simplePos="0" relativeHeight="251659264" behindDoc="0" locked="0" layoutInCell="1" allowOverlap="1" wp14:anchorId="049B125D" wp14:editId="58B2DA86">
            <wp:simplePos x="0" y="0"/>
            <wp:positionH relativeFrom="page">
              <wp:align>center</wp:align>
            </wp:positionH>
            <wp:positionV relativeFrom="page">
              <wp:align>center</wp:align>
            </wp:positionV>
            <wp:extent cx="7559998" cy="10690797"/>
            <wp:effectExtent l="0" t="0" r="3175" b="0"/>
            <wp:wrapNone/>
            <wp:docPr id="4" name="Picture 4" descr="Cover for Water reform in rural Australia, Supporting Paper H to National Water Reform 2020, Productivity Commission Draft Report, February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ver for Water reform in rural Australia, Supporting Paper H to National Water Reform 2020, Productivity Commission Draft Report, February 20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9998" cy="10690797"/>
                    </a:xfrm>
                    <a:prstGeom prst="rect">
                      <a:avLst/>
                    </a:prstGeom>
                  </pic:spPr>
                </pic:pic>
              </a:graphicData>
            </a:graphic>
            <wp14:sizeRelH relativeFrom="page">
              <wp14:pctWidth>0</wp14:pctWidth>
            </wp14:sizeRelH>
            <wp14:sizeRelV relativeFrom="page">
              <wp14:pctHeight>0</wp14:pctHeight>
            </wp14:sizeRelV>
          </wp:anchor>
        </w:drawing>
      </w:r>
      <w:r w:rsidRPr="0044559B">
        <w:rPr>
          <w:color w:val="FFFFFF" w:themeColor="background1"/>
          <w:sz w:val="16"/>
          <w:szCs w:val="16"/>
        </w:rPr>
        <w:t xml:space="preserve"> </w:t>
      </w:r>
      <w:r w:rsidR="0044559B" w:rsidRPr="0044559B">
        <w:rPr>
          <w:color w:val="FFFFFF" w:themeColor="background1"/>
          <w:sz w:val="16"/>
          <w:szCs w:val="16"/>
        </w:rPr>
        <w:t>Water reform in rural Australia</w:t>
      </w:r>
    </w:p>
    <w:p w14:paraId="5DF9B02B" w14:textId="5780F951" w:rsidR="003E07F1" w:rsidRPr="0044559B" w:rsidRDefault="003E07F1" w:rsidP="003E07F1">
      <w:pPr>
        <w:pStyle w:val="BodyText"/>
        <w:rPr>
          <w:b/>
          <w:color w:val="FFFFFF" w:themeColor="background1"/>
          <w:sz w:val="16"/>
          <w:szCs w:val="16"/>
        </w:rPr>
      </w:pPr>
      <w:r w:rsidRPr="0044559B">
        <w:rPr>
          <w:color w:val="FFFFFF" w:themeColor="background1"/>
          <w:sz w:val="16"/>
          <w:szCs w:val="16"/>
        </w:rPr>
        <w:t xml:space="preserve">Supporting Paper </w:t>
      </w:r>
      <w:r w:rsidR="0044559B" w:rsidRPr="0044559B">
        <w:rPr>
          <w:color w:val="FFFFFF" w:themeColor="background1"/>
          <w:sz w:val="16"/>
          <w:szCs w:val="16"/>
        </w:rPr>
        <w:t>H</w:t>
      </w:r>
      <w:r w:rsidRPr="0044559B">
        <w:rPr>
          <w:color w:val="FFFFFF" w:themeColor="background1"/>
          <w:sz w:val="16"/>
          <w:szCs w:val="16"/>
        </w:rPr>
        <w:t xml:space="preserve"> to </w:t>
      </w:r>
      <w:r w:rsidRPr="0044559B">
        <w:rPr>
          <w:i/>
          <w:iCs/>
          <w:color w:val="FFFFFF" w:themeColor="background1"/>
          <w:sz w:val="16"/>
          <w:szCs w:val="16"/>
        </w:rPr>
        <w:t>National Water Reform 2020,</w:t>
      </w:r>
      <w:r w:rsidRPr="0044559B">
        <w:rPr>
          <w:color w:val="FFFFFF" w:themeColor="background1"/>
          <w:sz w:val="16"/>
          <w:szCs w:val="16"/>
        </w:rPr>
        <w:t xml:space="preserve"> Draft Report, Canberra</w:t>
      </w:r>
      <w:r w:rsidRPr="0044559B">
        <w:rPr>
          <w:color w:val="FFFFFF" w:themeColor="background1"/>
          <w:sz w:val="16"/>
          <w:szCs w:val="16"/>
        </w:rPr>
        <w:br w:type="page"/>
      </w:r>
    </w:p>
    <w:p w14:paraId="4EE84C3E" w14:textId="77777777" w:rsidR="003E07F1" w:rsidRPr="001B4097" w:rsidRDefault="003E07F1" w:rsidP="003E07F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finding"/>
      </w:tblPr>
      <w:tblGrid>
        <w:gridCol w:w="8789"/>
      </w:tblGrid>
      <w:tr w:rsidR="003E07F1" w:rsidRPr="006B57EA" w14:paraId="66B80207" w14:textId="77777777" w:rsidTr="0055187F">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40C1D292" w14:textId="77777777" w:rsidR="003E07F1" w:rsidRPr="006B57EA" w:rsidRDefault="003E07F1" w:rsidP="0055187F">
            <w:pPr>
              <w:keepNext/>
              <w:keepLines/>
              <w:spacing w:before="120" w:after="120" w:line="280" w:lineRule="atLeast"/>
              <w:jc w:val="both"/>
              <w:rPr>
                <w:rFonts w:ascii="Arial" w:hAnsi="Arial" w:cs="Arial"/>
                <w:b/>
                <w:bCs/>
                <w:caps/>
                <w:noProof/>
                <w:sz w:val="22"/>
                <w:szCs w:val="22"/>
              </w:rPr>
            </w:pPr>
            <w:r w:rsidRPr="006B57EA">
              <w:rPr>
                <w:rFonts w:ascii="Arial" w:hAnsi="Arial" w:cs="Arial"/>
                <w:b/>
                <w:bCs/>
                <w:caps/>
                <w:sz w:val="22"/>
                <w:szCs w:val="22"/>
              </w:rPr>
              <w:t xml:space="preserve">Guide to the supporting papers </w:t>
            </w:r>
            <w:r w:rsidRPr="006B57EA">
              <w:rPr>
                <w:rFonts w:ascii="Arial" w:hAnsi="Arial" w:cs="Arial"/>
                <w:b/>
                <w:bCs/>
                <w:i/>
                <w:iCs/>
                <w:caps/>
                <w:sz w:val="22"/>
                <w:szCs w:val="22"/>
              </w:rPr>
              <w:t>(and descriptor)</w:t>
            </w:r>
          </w:p>
        </w:tc>
      </w:tr>
      <w:tr w:rsidR="003E07F1" w:rsidRPr="006B57EA" w14:paraId="5A26BB61" w14:textId="77777777" w:rsidTr="0055187F">
        <w:trPr>
          <w:cantSplit/>
        </w:trPr>
        <w:tc>
          <w:tcPr>
            <w:tcW w:w="5000" w:type="pct"/>
            <w:tcBorders>
              <w:top w:val="nil"/>
              <w:left w:val="nil"/>
              <w:bottom w:val="nil"/>
              <w:right w:val="nil"/>
            </w:tcBorders>
            <w:shd w:val="clear" w:color="auto" w:fill="F2F2F2"/>
            <w:tcMar>
              <w:left w:w="170" w:type="dxa"/>
              <w:right w:w="170" w:type="dxa"/>
            </w:tcMar>
          </w:tcPr>
          <w:tbl>
            <w:tblPr>
              <w:tblStyle w:val="TableGrid"/>
              <w:tblW w:w="85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Description w:val="Layout for design"/>
            </w:tblPr>
            <w:tblGrid>
              <w:gridCol w:w="1020"/>
              <w:gridCol w:w="7540"/>
            </w:tblGrid>
            <w:tr w:rsidR="003E07F1" w:rsidRPr="006B57EA" w14:paraId="2FB4344A" w14:textId="77777777" w:rsidTr="00BB41CD">
              <w:trPr>
                <w:trHeight w:val="510"/>
                <w:tblHeader/>
                <w:jc w:val="center"/>
              </w:trPr>
              <w:tc>
                <w:tcPr>
                  <w:tcW w:w="1020" w:type="dxa"/>
                  <w:vAlign w:val="center"/>
                </w:tcPr>
                <w:p w14:paraId="3C32C253" w14:textId="77777777" w:rsidR="003E07F1" w:rsidRPr="006B57EA" w:rsidRDefault="003E07F1" w:rsidP="0055187F">
                  <w:pPr>
                    <w:spacing w:line="300" w:lineRule="atLeast"/>
                    <w:rPr>
                      <w:rFonts w:ascii="Arial" w:hAnsi="Arial" w:cs="Arial"/>
                      <w:sz w:val="22"/>
                      <w:szCs w:val="22"/>
                    </w:rPr>
                  </w:pPr>
                  <w:bookmarkStart w:id="1" w:name="_Hlk61861059"/>
                  <w:r w:rsidRPr="006B57EA">
                    <w:rPr>
                      <w:rFonts w:ascii="Arial" w:hAnsi="Arial" w:cs="Arial"/>
                      <w:sz w:val="22"/>
                      <w:szCs w:val="22"/>
                    </w:rPr>
                    <w:t>SP A</w:t>
                  </w:r>
                </w:p>
              </w:tc>
              <w:tc>
                <w:tcPr>
                  <w:tcW w:w="7540" w:type="dxa"/>
                  <w:vAlign w:val="center"/>
                </w:tcPr>
                <w:p w14:paraId="0255C6B1"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Water entitlements and planning (</w:t>
                  </w:r>
                  <w:r w:rsidRPr="006B57EA">
                    <w:rPr>
                      <w:rFonts w:ascii="Arial" w:hAnsi="Arial" w:cs="Arial"/>
                      <w:i/>
                      <w:iCs/>
                      <w:sz w:val="22"/>
                      <w:szCs w:val="22"/>
                    </w:rPr>
                    <w:t>Entitlements and planning</w:t>
                  </w:r>
                  <w:r w:rsidRPr="006B57EA">
                    <w:rPr>
                      <w:rFonts w:ascii="Arial" w:hAnsi="Arial" w:cs="Arial"/>
                      <w:sz w:val="22"/>
                      <w:szCs w:val="22"/>
                    </w:rPr>
                    <w:t>)</w:t>
                  </w:r>
                </w:p>
              </w:tc>
            </w:tr>
            <w:tr w:rsidR="003E07F1" w:rsidRPr="006B57EA" w14:paraId="4B0544A5" w14:textId="77777777" w:rsidTr="00BB41CD">
              <w:trPr>
                <w:trHeight w:val="510"/>
                <w:jc w:val="center"/>
              </w:trPr>
              <w:tc>
                <w:tcPr>
                  <w:tcW w:w="1020" w:type="dxa"/>
                  <w:shd w:val="clear" w:color="auto" w:fill="auto"/>
                  <w:vAlign w:val="center"/>
                </w:tcPr>
                <w:p w14:paraId="2F46D95F" w14:textId="77777777" w:rsidR="003E07F1" w:rsidRPr="006B57EA" w:rsidRDefault="003E07F1" w:rsidP="0055187F">
                  <w:pPr>
                    <w:spacing w:line="300" w:lineRule="atLeast"/>
                    <w:rPr>
                      <w:rFonts w:ascii="Arial" w:hAnsi="Arial" w:cs="Arial"/>
                      <w:bCs/>
                      <w:sz w:val="22"/>
                      <w:szCs w:val="22"/>
                    </w:rPr>
                  </w:pPr>
                  <w:r w:rsidRPr="006B57EA">
                    <w:rPr>
                      <w:rFonts w:ascii="Arial" w:hAnsi="Arial" w:cs="Arial"/>
                      <w:bCs/>
                      <w:sz w:val="22"/>
                      <w:szCs w:val="22"/>
                    </w:rPr>
                    <w:t>SP B</w:t>
                  </w:r>
                </w:p>
              </w:tc>
              <w:tc>
                <w:tcPr>
                  <w:tcW w:w="7540" w:type="dxa"/>
                  <w:shd w:val="clear" w:color="auto" w:fill="auto"/>
                  <w:vAlign w:val="center"/>
                </w:tcPr>
                <w:p w14:paraId="4C0DDDDD" w14:textId="77777777" w:rsidR="003E07F1" w:rsidRPr="006B57EA" w:rsidRDefault="003E07F1" w:rsidP="0055187F">
                  <w:pPr>
                    <w:spacing w:line="300" w:lineRule="atLeast"/>
                    <w:rPr>
                      <w:rFonts w:ascii="Arial" w:hAnsi="Arial" w:cs="Arial"/>
                      <w:bCs/>
                      <w:sz w:val="22"/>
                      <w:szCs w:val="22"/>
                    </w:rPr>
                  </w:pPr>
                  <w:r w:rsidRPr="006B57EA">
                    <w:rPr>
                      <w:rFonts w:ascii="Arial" w:hAnsi="Arial" w:cs="Arial"/>
                      <w:bCs/>
                      <w:sz w:val="22"/>
                      <w:szCs w:val="22"/>
                    </w:rPr>
                    <w:t>Water trading and markets (</w:t>
                  </w:r>
                  <w:r w:rsidRPr="006B57EA">
                    <w:rPr>
                      <w:rFonts w:ascii="Arial" w:hAnsi="Arial" w:cs="Arial"/>
                      <w:bCs/>
                      <w:i/>
                      <w:iCs/>
                      <w:sz w:val="22"/>
                      <w:szCs w:val="22"/>
                    </w:rPr>
                    <w:t>Trading</w:t>
                  </w:r>
                  <w:r w:rsidRPr="006B57EA">
                    <w:rPr>
                      <w:rFonts w:ascii="Arial" w:hAnsi="Arial" w:cs="Arial"/>
                      <w:bCs/>
                      <w:sz w:val="22"/>
                      <w:szCs w:val="22"/>
                    </w:rPr>
                    <w:t>)</w:t>
                  </w:r>
                </w:p>
              </w:tc>
            </w:tr>
            <w:tr w:rsidR="003E07F1" w:rsidRPr="006B57EA" w14:paraId="308B3AC2" w14:textId="77777777" w:rsidTr="00BB41CD">
              <w:trPr>
                <w:trHeight w:val="510"/>
                <w:jc w:val="center"/>
              </w:trPr>
              <w:tc>
                <w:tcPr>
                  <w:tcW w:w="1020" w:type="dxa"/>
                  <w:shd w:val="clear" w:color="auto" w:fill="F2F2F2" w:themeFill="background1" w:themeFillShade="F2"/>
                  <w:vAlign w:val="center"/>
                </w:tcPr>
                <w:p w14:paraId="24275438" w14:textId="77777777" w:rsidR="003E07F1" w:rsidRPr="008B7EAF" w:rsidRDefault="003E07F1" w:rsidP="0055187F">
                  <w:pPr>
                    <w:spacing w:line="300" w:lineRule="atLeast"/>
                    <w:rPr>
                      <w:rFonts w:ascii="Arial" w:hAnsi="Arial" w:cs="Arial"/>
                      <w:bCs/>
                      <w:sz w:val="22"/>
                      <w:szCs w:val="22"/>
                    </w:rPr>
                  </w:pPr>
                  <w:r w:rsidRPr="008B7EAF">
                    <w:rPr>
                      <w:rFonts w:ascii="Arial" w:hAnsi="Arial" w:cs="Arial"/>
                      <w:bCs/>
                      <w:sz w:val="22"/>
                      <w:szCs w:val="22"/>
                    </w:rPr>
                    <w:t>SP C</w:t>
                  </w:r>
                </w:p>
              </w:tc>
              <w:tc>
                <w:tcPr>
                  <w:tcW w:w="7540" w:type="dxa"/>
                  <w:shd w:val="clear" w:color="auto" w:fill="F2F2F2" w:themeFill="background1" w:themeFillShade="F2"/>
                  <w:vAlign w:val="center"/>
                </w:tcPr>
                <w:p w14:paraId="13D6BFDD" w14:textId="77777777" w:rsidR="003E07F1" w:rsidRPr="008B7EAF" w:rsidRDefault="003E07F1" w:rsidP="0055187F">
                  <w:pPr>
                    <w:spacing w:line="300" w:lineRule="atLeast"/>
                    <w:rPr>
                      <w:rFonts w:ascii="Arial" w:hAnsi="Arial" w:cs="Arial"/>
                      <w:bCs/>
                      <w:sz w:val="22"/>
                      <w:szCs w:val="22"/>
                    </w:rPr>
                  </w:pPr>
                  <w:r w:rsidRPr="008B7EAF">
                    <w:rPr>
                      <w:rFonts w:ascii="Arial" w:hAnsi="Arial" w:cs="Arial"/>
                      <w:bCs/>
                      <w:sz w:val="22"/>
                      <w:szCs w:val="22"/>
                    </w:rPr>
                    <w:t>Environmental management (</w:t>
                  </w:r>
                  <w:r w:rsidRPr="008B7EAF">
                    <w:rPr>
                      <w:rFonts w:ascii="Arial" w:hAnsi="Arial" w:cs="Arial"/>
                      <w:bCs/>
                      <w:i/>
                      <w:iCs/>
                      <w:sz w:val="22"/>
                      <w:szCs w:val="22"/>
                    </w:rPr>
                    <w:t>Environment</w:t>
                  </w:r>
                  <w:r w:rsidRPr="008B7EAF">
                    <w:rPr>
                      <w:rFonts w:ascii="Arial" w:hAnsi="Arial" w:cs="Arial"/>
                      <w:bCs/>
                      <w:sz w:val="22"/>
                      <w:szCs w:val="22"/>
                    </w:rPr>
                    <w:t>)</w:t>
                  </w:r>
                </w:p>
              </w:tc>
            </w:tr>
            <w:tr w:rsidR="003E07F1" w:rsidRPr="006B57EA" w14:paraId="32AFABA2" w14:textId="77777777" w:rsidTr="00BB41CD">
              <w:trPr>
                <w:trHeight w:val="510"/>
                <w:jc w:val="center"/>
              </w:trPr>
              <w:tc>
                <w:tcPr>
                  <w:tcW w:w="1020" w:type="dxa"/>
                  <w:shd w:val="clear" w:color="auto" w:fill="F2F2F2" w:themeFill="background1" w:themeFillShade="F2"/>
                  <w:vAlign w:val="center"/>
                </w:tcPr>
                <w:p w14:paraId="6859E42A" w14:textId="77777777" w:rsidR="003E07F1" w:rsidRPr="00BA0058" w:rsidRDefault="003E07F1" w:rsidP="0055187F">
                  <w:pPr>
                    <w:spacing w:line="300" w:lineRule="atLeast"/>
                    <w:rPr>
                      <w:rFonts w:ascii="Arial" w:hAnsi="Arial" w:cs="Arial"/>
                      <w:sz w:val="22"/>
                      <w:szCs w:val="22"/>
                    </w:rPr>
                  </w:pPr>
                  <w:r w:rsidRPr="00BA0058">
                    <w:rPr>
                      <w:rFonts w:ascii="Arial" w:hAnsi="Arial" w:cs="Arial"/>
                      <w:sz w:val="22"/>
                      <w:szCs w:val="22"/>
                    </w:rPr>
                    <w:t>SP D</w:t>
                  </w:r>
                </w:p>
              </w:tc>
              <w:tc>
                <w:tcPr>
                  <w:tcW w:w="7540" w:type="dxa"/>
                  <w:shd w:val="clear" w:color="auto" w:fill="F2F2F2" w:themeFill="background1" w:themeFillShade="F2"/>
                  <w:vAlign w:val="center"/>
                </w:tcPr>
                <w:p w14:paraId="5B93083B" w14:textId="77777777" w:rsidR="003E07F1" w:rsidRPr="00BA0058" w:rsidRDefault="003E07F1" w:rsidP="0055187F">
                  <w:pPr>
                    <w:tabs>
                      <w:tab w:val="left" w:pos="1951"/>
                    </w:tabs>
                    <w:spacing w:line="300" w:lineRule="atLeast"/>
                    <w:rPr>
                      <w:rFonts w:ascii="Arial" w:hAnsi="Arial" w:cs="Arial"/>
                      <w:sz w:val="22"/>
                      <w:szCs w:val="22"/>
                    </w:rPr>
                  </w:pPr>
                  <w:r w:rsidRPr="00BA0058">
                    <w:rPr>
                      <w:rFonts w:ascii="Arial" w:hAnsi="Arial" w:cs="Arial"/>
                      <w:sz w:val="22"/>
                      <w:szCs w:val="22"/>
                    </w:rPr>
                    <w:t>Securing Aboriginal and Torres Strait Islander people’s interests in water (</w:t>
                  </w:r>
                  <w:r w:rsidRPr="00BA0058">
                    <w:rPr>
                      <w:rFonts w:ascii="Arial" w:hAnsi="Arial" w:cs="Arial"/>
                      <w:i/>
                      <w:iCs/>
                      <w:sz w:val="22"/>
                      <w:szCs w:val="22"/>
                    </w:rPr>
                    <w:t>Cultural access</w:t>
                  </w:r>
                  <w:r w:rsidRPr="00BA0058">
                    <w:rPr>
                      <w:rFonts w:ascii="Arial" w:hAnsi="Arial" w:cs="Arial"/>
                      <w:sz w:val="22"/>
                      <w:szCs w:val="22"/>
                    </w:rPr>
                    <w:t>)</w:t>
                  </w:r>
                </w:p>
              </w:tc>
            </w:tr>
            <w:tr w:rsidR="003E07F1" w:rsidRPr="006B57EA" w14:paraId="4814ABA5" w14:textId="77777777" w:rsidTr="00BB41CD">
              <w:trPr>
                <w:trHeight w:val="510"/>
                <w:jc w:val="center"/>
              </w:trPr>
              <w:tc>
                <w:tcPr>
                  <w:tcW w:w="1020" w:type="dxa"/>
                  <w:vAlign w:val="center"/>
                </w:tcPr>
                <w:p w14:paraId="1858246B"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SP E</w:t>
                  </w:r>
                </w:p>
              </w:tc>
              <w:tc>
                <w:tcPr>
                  <w:tcW w:w="7540" w:type="dxa"/>
                  <w:vAlign w:val="center"/>
                </w:tcPr>
                <w:p w14:paraId="0879EA0D"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 xml:space="preserve">Ensuring the integrity of water resource management </w:t>
                  </w:r>
                  <w:r w:rsidRPr="006B57EA">
                    <w:rPr>
                      <w:rFonts w:ascii="Arial" w:hAnsi="Arial" w:cs="Arial"/>
                      <w:i/>
                      <w:iCs/>
                      <w:sz w:val="22"/>
                      <w:szCs w:val="22"/>
                    </w:rPr>
                    <w:t>(Integrity)</w:t>
                  </w:r>
                </w:p>
              </w:tc>
            </w:tr>
            <w:tr w:rsidR="003E07F1" w:rsidRPr="006B57EA" w14:paraId="7FBBC5EC" w14:textId="77777777" w:rsidTr="00BB41CD">
              <w:trPr>
                <w:trHeight w:val="510"/>
                <w:jc w:val="center"/>
              </w:trPr>
              <w:tc>
                <w:tcPr>
                  <w:tcW w:w="1020" w:type="dxa"/>
                  <w:shd w:val="clear" w:color="auto" w:fill="F2F2F2" w:themeFill="background1" w:themeFillShade="F2"/>
                  <w:vAlign w:val="center"/>
                </w:tcPr>
                <w:p w14:paraId="5C09B840" w14:textId="77777777" w:rsidR="003E07F1" w:rsidRPr="00CB4AF6" w:rsidRDefault="003E07F1" w:rsidP="0055187F">
                  <w:pPr>
                    <w:spacing w:line="300" w:lineRule="atLeast"/>
                    <w:rPr>
                      <w:rFonts w:ascii="Arial" w:hAnsi="Arial" w:cs="Arial"/>
                      <w:sz w:val="22"/>
                      <w:szCs w:val="22"/>
                    </w:rPr>
                  </w:pPr>
                  <w:r w:rsidRPr="00CB4AF6">
                    <w:rPr>
                      <w:rFonts w:ascii="Arial" w:hAnsi="Arial" w:cs="Arial"/>
                      <w:sz w:val="22"/>
                      <w:szCs w:val="22"/>
                    </w:rPr>
                    <w:t>SP F</w:t>
                  </w:r>
                </w:p>
              </w:tc>
              <w:tc>
                <w:tcPr>
                  <w:tcW w:w="7540" w:type="dxa"/>
                  <w:shd w:val="clear" w:color="auto" w:fill="F2F2F2" w:themeFill="background1" w:themeFillShade="F2"/>
                  <w:vAlign w:val="center"/>
                </w:tcPr>
                <w:p w14:paraId="7BEE4AE2" w14:textId="77777777" w:rsidR="003E07F1" w:rsidRPr="00CB4AF6" w:rsidRDefault="003E07F1" w:rsidP="0055187F">
                  <w:pPr>
                    <w:spacing w:line="300" w:lineRule="atLeast"/>
                    <w:rPr>
                      <w:rFonts w:ascii="Arial" w:hAnsi="Arial" w:cs="Arial"/>
                      <w:sz w:val="22"/>
                      <w:szCs w:val="22"/>
                    </w:rPr>
                  </w:pPr>
                  <w:r w:rsidRPr="00CB4AF6">
                    <w:rPr>
                      <w:rFonts w:ascii="Arial" w:hAnsi="Arial" w:cs="Arial"/>
                      <w:sz w:val="22"/>
                      <w:szCs w:val="22"/>
                    </w:rPr>
                    <w:t>Urban water services (</w:t>
                  </w:r>
                  <w:r w:rsidRPr="00CB4AF6">
                    <w:rPr>
                      <w:rFonts w:ascii="Arial" w:hAnsi="Arial" w:cs="Arial"/>
                      <w:i/>
                      <w:iCs/>
                      <w:sz w:val="22"/>
                      <w:szCs w:val="22"/>
                    </w:rPr>
                    <w:t>Urban</w:t>
                  </w:r>
                  <w:r w:rsidRPr="00CB4AF6">
                    <w:rPr>
                      <w:rFonts w:ascii="Arial" w:hAnsi="Arial" w:cs="Arial"/>
                      <w:sz w:val="22"/>
                      <w:szCs w:val="22"/>
                    </w:rPr>
                    <w:t>)</w:t>
                  </w:r>
                </w:p>
              </w:tc>
            </w:tr>
            <w:tr w:rsidR="003E07F1" w:rsidRPr="006B57EA" w14:paraId="7F4A1FFB" w14:textId="77777777" w:rsidTr="00BB41CD">
              <w:trPr>
                <w:trHeight w:val="510"/>
                <w:jc w:val="center"/>
              </w:trPr>
              <w:tc>
                <w:tcPr>
                  <w:tcW w:w="1020" w:type="dxa"/>
                  <w:tcBorders>
                    <w:bottom w:val="single" w:sz="12" w:space="0" w:color="B8D995"/>
                  </w:tcBorders>
                  <w:vAlign w:val="center"/>
                </w:tcPr>
                <w:p w14:paraId="61A4D875"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SP G</w:t>
                  </w:r>
                </w:p>
              </w:tc>
              <w:tc>
                <w:tcPr>
                  <w:tcW w:w="7540" w:type="dxa"/>
                  <w:tcBorders>
                    <w:bottom w:val="single" w:sz="12" w:space="0" w:color="B8D995"/>
                  </w:tcBorders>
                  <w:vAlign w:val="center"/>
                </w:tcPr>
                <w:p w14:paraId="0C10E5BC"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Urban water services: regional and remote communities (</w:t>
                  </w:r>
                  <w:r w:rsidRPr="006B57EA">
                    <w:rPr>
                      <w:rFonts w:ascii="Arial" w:hAnsi="Arial" w:cs="Arial"/>
                      <w:i/>
                      <w:iCs/>
                      <w:sz w:val="22"/>
                      <w:szCs w:val="22"/>
                    </w:rPr>
                    <w:t>Regional</w:t>
                  </w:r>
                  <w:r w:rsidRPr="006B57EA">
                    <w:rPr>
                      <w:rFonts w:ascii="Arial" w:hAnsi="Arial" w:cs="Arial"/>
                      <w:sz w:val="22"/>
                      <w:szCs w:val="22"/>
                    </w:rPr>
                    <w:t>)</w:t>
                  </w:r>
                  <w:r w:rsidRPr="006B57EA">
                    <w:rPr>
                      <w:rFonts w:ascii="Arial" w:hAnsi="Arial" w:cs="Arial"/>
                      <w:i/>
                      <w:iCs/>
                      <w:sz w:val="22"/>
                      <w:szCs w:val="22"/>
                    </w:rPr>
                    <w:t xml:space="preserve"> </w:t>
                  </w:r>
                </w:p>
              </w:tc>
            </w:tr>
            <w:tr w:rsidR="003E07F1" w:rsidRPr="006B57EA" w14:paraId="6872B87F" w14:textId="77777777" w:rsidTr="00BB41CD">
              <w:trPr>
                <w:trHeight w:val="510"/>
                <w:jc w:val="center"/>
              </w:trPr>
              <w:tc>
                <w:tcPr>
                  <w:tcW w:w="1020" w:type="dxa"/>
                  <w:tcBorders>
                    <w:top w:val="single" w:sz="12" w:space="0" w:color="B8D995"/>
                    <w:left w:val="single" w:sz="12" w:space="0" w:color="B8D995"/>
                    <w:bottom w:val="single" w:sz="12" w:space="0" w:color="B8D995"/>
                  </w:tcBorders>
                  <w:shd w:val="clear" w:color="auto" w:fill="DBECCA"/>
                  <w:vAlign w:val="center"/>
                </w:tcPr>
                <w:p w14:paraId="59B9D359" w14:textId="77777777" w:rsidR="003E07F1" w:rsidRPr="00CB4AF6" w:rsidRDefault="003E07F1" w:rsidP="0055187F">
                  <w:pPr>
                    <w:spacing w:line="300" w:lineRule="atLeast"/>
                    <w:rPr>
                      <w:rFonts w:ascii="Arial" w:hAnsi="Arial" w:cs="Arial"/>
                      <w:b/>
                      <w:bCs/>
                      <w:sz w:val="22"/>
                      <w:szCs w:val="22"/>
                    </w:rPr>
                  </w:pPr>
                  <w:r w:rsidRPr="00CB4AF6">
                    <w:rPr>
                      <w:rFonts w:ascii="Arial" w:hAnsi="Arial" w:cs="Arial"/>
                      <w:b/>
                      <w:bCs/>
                      <w:sz w:val="22"/>
                      <w:szCs w:val="22"/>
                    </w:rPr>
                    <w:t>SP H</w:t>
                  </w:r>
                </w:p>
              </w:tc>
              <w:tc>
                <w:tcPr>
                  <w:tcW w:w="7540" w:type="dxa"/>
                  <w:tcBorders>
                    <w:top w:val="single" w:sz="12" w:space="0" w:color="B8D995"/>
                    <w:bottom w:val="single" w:sz="12" w:space="0" w:color="B8D995"/>
                    <w:right w:val="single" w:sz="12" w:space="0" w:color="B8D995"/>
                  </w:tcBorders>
                  <w:shd w:val="clear" w:color="auto" w:fill="DBECCA"/>
                  <w:vAlign w:val="center"/>
                </w:tcPr>
                <w:p w14:paraId="48EDDE37" w14:textId="77777777" w:rsidR="003E07F1" w:rsidRPr="00CB4AF6" w:rsidRDefault="003E07F1" w:rsidP="0055187F">
                  <w:pPr>
                    <w:spacing w:line="300" w:lineRule="atLeast"/>
                    <w:rPr>
                      <w:rFonts w:ascii="Arial" w:hAnsi="Arial" w:cs="Arial"/>
                      <w:b/>
                      <w:bCs/>
                      <w:sz w:val="22"/>
                      <w:szCs w:val="22"/>
                    </w:rPr>
                  </w:pPr>
                  <w:bookmarkStart w:id="2" w:name="_Hlk63202984"/>
                  <w:r w:rsidRPr="00CB4AF6">
                    <w:rPr>
                      <w:rFonts w:ascii="Arial" w:hAnsi="Arial" w:cs="Arial"/>
                      <w:b/>
                      <w:bCs/>
                      <w:sz w:val="22"/>
                      <w:szCs w:val="22"/>
                    </w:rPr>
                    <w:t xml:space="preserve">Water reform in rural Australia </w:t>
                  </w:r>
                  <w:bookmarkEnd w:id="2"/>
                  <w:r w:rsidRPr="00CB4AF6">
                    <w:rPr>
                      <w:rFonts w:ascii="Arial" w:hAnsi="Arial" w:cs="Arial"/>
                      <w:b/>
                      <w:bCs/>
                      <w:sz w:val="22"/>
                      <w:szCs w:val="22"/>
                    </w:rPr>
                    <w:t>(</w:t>
                  </w:r>
                  <w:r w:rsidRPr="00CB4AF6">
                    <w:rPr>
                      <w:rFonts w:ascii="Arial" w:hAnsi="Arial" w:cs="Arial"/>
                      <w:b/>
                      <w:bCs/>
                      <w:i/>
                      <w:iCs/>
                      <w:sz w:val="22"/>
                      <w:szCs w:val="22"/>
                    </w:rPr>
                    <w:t>Rural</w:t>
                  </w:r>
                  <w:r w:rsidRPr="00CB4AF6">
                    <w:rPr>
                      <w:rFonts w:ascii="Arial" w:hAnsi="Arial" w:cs="Arial"/>
                      <w:b/>
                      <w:bCs/>
                      <w:sz w:val="22"/>
                      <w:szCs w:val="22"/>
                    </w:rPr>
                    <w:t>)</w:t>
                  </w:r>
                </w:p>
              </w:tc>
            </w:tr>
            <w:tr w:rsidR="003E07F1" w:rsidRPr="006B57EA" w14:paraId="66A2C24E" w14:textId="77777777" w:rsidTr="00BB41CD">
              <w:trPr>
                <w:trHeight w:val="510"/>
                <w:jc w:val="center"/>
              </w:trPr>
              <w:tc>
                <w:tcPr>
                  <w:tcW w:w="1020" w:type="dxa"/>
                  <w:tcBorders>
                    <w:top w:val="single" w:sz="12" w:space="0" w:color="B8D995"/>
                  </w:tcBorders>
                  <w:vAlign w:val="center"/>
                </w:tcPr>
                <w:p w14:paraId="141CDC25"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SP I</w:t>
                  </w:r>
                </w:p>
              </w:tc>
              <w:tc>
                <w:tcPr>
                  <w:tcW w:w="7540" w:type="dxa"/>
                  <w:tcBorders>
                    <w:top w:val="single" w:sz="12" w:space="0" w:color="B8D995"/>
                  </w:tcBorders>
                  <w:vAlign w:val="center"/>
                </w:tcPr>
                <w:p w14:paraId="32364285"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Government investment in major water infrastructure (</w:t>
                  </w:r>
                  <w:r w:rsidRPr="006B57EA">
                    <w:rPr>
                      <w:rFonts w:ascii="Arial" w:hAnsi="Arial" w:cs="Arial"/>
                      <w:i/>
                      <w:iCs/>
                      <w:sz w:val="22"/>
                      <w:szCs w:val="22"/>
                    </w:rPr>
                    <w:t>Infrastructure</w:t>
                  </w:r>
                  <w:r w:rsidRPr="006B57EA">
                    <w:rPr>
                      <w:rFonts w:ascii="Arial" w:hAnsi="Arial" w:cs="Arial"/>
                      <w:sz w:val="22"/>
                      <w:szCs w:val="22"/>
                    </w:rPr>
                    <w:t>)</w:t>
                  </w:r>
                </w:p>
              </w:tc>
            </w:tr>
            <w:tr w:rsidR="003E07F1" w:rsidRPr="006B57EA" w14:paraId="6C9AE6C9" w14:textId="77777777" w:rsidTr="00BB41CD">
              <w:trPr>
                <w:trHeight w:val="510"/>
                <w:jc w:val="center"/>
              </w:trPr>
              <w:tc>
                <w:tcPr>
                  <w:tcW w:w="1020" w:type="dxa"/>
                  <w:vAlign w:val="center"/>
                </w:tcPr>
                <w:p w14:paraId="0D0509F3"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SP J</w:t>
                  </w:r>
                </w:p>
              </w:tc>
              <w:tc>
                <w:tcPr>
                  <w:tcW w:w="7540" w:type="dxa"/>
                  <w:vAlign w:val="center"/>
                </w:tcPr>
                <w:p w14:paraId="155B5A10"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Community engagement (</w:t>
                  </w:r>
                  <w:r w:rsidRPr="006B57EA">
                    <w:rPr>
                      <w:rFonts w:ascii="Arial" w:hAnsi="Arial" w:cs="Arial"/>
                      <w:i/>
                      <w:iCs/>
                      <w:sz w:val="22"/>
                      <w:szCs w:val="22"/>
                    </w:rPr>
                    <w:t>Engagement</w:t>
                  </w:r>
                  <w:r w:rsidRPr="006B57EA">
                    <w:rPr>
                      <w:rFonts w:ascii="Arial" w:hAnsi="Arial" w:cs="Arial"/>
                      <w:sz w:val="22"/>
                      <w:szCs w:val="22"/>
                    </w:rPr>
                    <w:t>)</w:t>
                  </w:r>
                </w:p>
              </w:tc>
            </w:tr>
            <w:tr w:rsidR="003E07F1" w:rsidRPr="006B57EA" w14:paraId="246CDE55" w14:textId="77777777" w:rsidTr="00BB41CD">
              <w:trPr>
                <w:trHeight w:val="510"/>
                <w:jc w:val="center"/>
              </w:trPr>
              <w:tc>
                <w:tcPr>
                  <w:tcW w:w="1020" w:type="dxa"/>
                  <w:shd w:val="clear" w:color="auto" w:fill="F2F2F2" w:themeFill="background1" w:themeFillShade="F2"/>
                  <w:vAlign w:val="center"/>
                </w:tcPr>
                <w:p w14:paraId="0D949818"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SP K</w:t>
                  </w:r>
                </w:p>
              </w:tc>
              <w:tc>
                <w:tcPr>
                  <w:tcW w:w="7540" w:type="dxa"/>
                  <w:shd w:val="clear" w:color="auto" w:fill="F2F2F2" w:themeFill="background1" w:themeFillShade="F2"/>
                  <w:vAlign w:val="center"/>
                </w:tcPr>
                <w:p w14:paraId="189B99ED" w14:textId="77777777" w:rsidR="003E07F1" w:rsidRPr="006B57EA" w:rsidRDefault="003E07F1" w:rsidP="0055187F">
                  <w:pPr>
                    <w:spacing w:line="300" w:lineRule="atLeast"/>
                    <w:rPr>
                      <w:rFonts w:ascii="Arial" w:hAnsi="Arial" w:cs="Arial"/>
                      <w:sz w:val="22"/>
                      <w:szCs w:val="22"/>
                    </w:rPr>
                  </w:pPr>
                  <w:r w:rsidRPr="006B57EA">
                    <w:rPr>
                      <w:rFonts w:ascii="Arial" w:hAnsi="Arial" w:cs="Arial"/>
                      <w:sz w:val="22"/>
                      <w:szCs w:val="22"/>
                    </w:rPr>
                    <w:t xml:space="preserve">Knowledge, </w:t>
                  </w:r>
                  <w:proofErr w:type="gramStart"/>
                  <w:r w:rsidRPr="006B57EA">
                    <w:rPr>
                      <w:rFonts w:ascii="Arial" w:hAnsi="Arial" w:cs="Arial"/>
                      <w:sz w:val="22"/>
                      <w:szCs w:val="22"/>
                    </w:rPr>
                    <w:t>capacity</w:t>
                  </w:r>
                  <w:proofErr w:type="gramEnd"/>
                  <w:r w:rsidRPr="006B57EA">
                    <w:rPr>
                      <w:rFonts w:ascii="Arial" w:hAnsi="Arial" w:cs="Arial"/>
                      <w:sz w:val="22"/>
                      <w:szCs w:val="22"/>
                    </w:rPr>
                    <w:t xml:space="preserve"> and capability building (</w:t>
                  </w:r>
                  <w:r w:rsidRPr="006B57EA">
                    <w:rPr>
                      <w:rFonts w:ascii="Arial" w:hAnsi="Arial" w:cs="Arial"/>
                      <w:i/>
                      <w:iCs/>
                      <w:sz w:val="22"/>
                      <w:szCs w:val="22"/>
                    </w:rPr>
                    <w:t>Knowledge</w:t>
                  </w:r>
                  <w:r w:rsidRPr="006B57EA">
                    <w:rPr>
                      <w:rFonts w:ascii="Arial" w:hAnsi="Arial" w:cs="Arial"/>
                      <w:sz w:val="22"/>
                      <w:szCs w:val="22"/>
                    </w:rPr>
                    <w:t>)</w:t>
                  </w:r>
                </w:p>
              </w:tc>
            </w:tr>
            <w:bookmarkEnd w:id="1"/>
          </w:tbl>
          <w:p w14:paraId="7F9A366C" w14:textId="77777777" w:rsidR="003E07F1" w:rsidRPr="006B57EA" w:rsidRDefault="003E07F1" w:rsidP="0055187F">
            <w:pPr>
              <w:keepNext/>
              <w:keepLines/>
              <w:spacing w:before="120" w:line="280" w:lineRule="atLeast"/>
              <w:jc w:val="both"/>
              <w:rPr>
                <w:rFonts w:ascii="Arial" w:hAnsi="Arial" w:cs="Arial"/>
                <w:sz w:val="22"/>
                <w:szCs w:val="22"/>
              </w:rPr>
            </w:pPr>
          </w:p>
        </w:tc>
      </w:tr>
      <w:tr w:rsidR="003E07F1" w:rsidRPr="006B57EA" w14:paraId="6A4399E7" w14:textId="77777777" w:rsidTr="0055187F">
        <w:trPr>
          <w:cantSplit/>
        </w:trPr>
        <w:tc>
          <w:tcPr>
            <w:tcW w:w="5000" w:type="pct"/>
            <w:tcBorders>
              <w:top w:val="nil"/>
              <w:left w:val="nil"/>
              <w:bottom w:val="single" w:sz="6" w:space="0" w:color="78A22F"/>
              <w:right w:val="nil"/>
            </w:tcBorders>
            <w:shd w:val="clear" w:color="auto" w:fill="F2F2F2"/>
            <w:tcMar>
              <w:left w:w="170" w:type="dxa"/>
              <w:right w:w="170" w:type="dxa"/>
            </w:tcMar>
          </w:tcPr>
          <w:p w14:paraId="1AEF52AE" w14:textId="77777777" w:rsidR="003E07F1" w:rsidRPr="006B57EA" w:rsidRDefault="003E07F1" w:rsidP="0055187F">
            <w:pPr>
              <w:keepNext/>
              <w:keepLines/>
              <w:spacing w:line="120" w:lineRule="exact"/>
              <w:jc w:val="both"/>
              <w:rPr>
                <w:rFonts w:ascii="Arial" w:hAnsi="Arial" w:cs="Arial"/>
                <w:sz w:val="22"/>
                <w:szCs w:val="22"/>
              </w:rPr>
            </w:pPr>
          </w:p>
        </w:tc>
      </w:tr>
      <w:tr w:rsidR="003E07F1" w:rsidRPr="006B57EA" w14:paraId="05D7F79E" w14:textId="77777777" w:rsidTr="0055187F">
        <w:trPr>
          <w:cantSplit/>
        </w:trPr>
        <w:tc>
          <w:tcPr>
            <w:tcW w:w="5000" w:type="pct"/>
            <w:tcBorders>
              <w:top w:val="single" w:sz="6" w:space="0" w:color="78A22F"/>
              <w:left w:val="nil"/>
              <w:bottom w:val="nil"/>
              <w:right w:val="nil"/>
            </w:tcBorders>
            <w:tcMar>
              <w:left w:w="170" w:type="dxa"/>
              <w:right w:w="170" w:type="dxa"/>
            </w:tcMar>
          </w:tcPr>
          <w:p w14:paraId="3E7411B4" w14:textId="77777777" w:rsidR="003E07F1" w:rsidRPr="006B57EA" w:rsidRDefault="003E07F1" w:rsidP="0055187F">
            <w:pPr>
              <w:keepLines/>
              <w:spacing w:before="60" w:after="60" w:line="80" w:lineRule="exact"/>
              <w:jc w:val="both"/>
              <w:rPr>
                <w:rFonts w:ascii="Arial" w:hAnsi="Arial" w:cs="Arial"/>
                <w:sz w:val="22"/>
                <w:szCs w:val="22"/>
              </w:rPr>
            </w:pPr>
          </w:p>
        </w:tc>
      </w:tr>
    </w:tbl>
    <w:p w14:paraId="494317FA" w14:textId="77777777" w:rsidR="003E07F1" w:rsidRPr="000D3D00" w:rsidRDefault="003E07F1" w:rsidP="003E07F1">
      <w:pPr>
        <w:pStyle w:val="Copyrightheading"/>
        <w:spacing w:before="480"/>
        <w:rPr>
          <w:sz w:val="20"/>
          <w:szCs w:val="20"/>
        </w:rPr>
      </w:pPr>
      <w:r w:rsidRPr="008C305F">
        <w:fldChar w:fldCharType="begin"/>
      </w:r>
      <w:r w:rsidRPr="008C305F">
        <w:instrText>SYMBOL 227 \f "Symbol"</w:instrText>
      </w:r>
      <w:r w:rsidRPr="008C305F">
        <w:fldChar w:fldCharType="end"/>
      </w:r>
      <w:r w:rsidRPr="008C305F">
        <w:t xml:space="preserve"> </w:t>
      </w:r>
      <w:r w:rsidRPr="000D3D00">
        <w:rPr>
          <w:sz w:val="20"/>
          <w:szCs w:val="20"/>
        </w:rPr>
        <w:t>Commonwealth of Australia 2021</w:t>
      </w:r>
    </w:p>
    <w:p w14:paraId="2DFBB8C6" w14:textId="77777777" w:rsidR="003E07F1" w:rsidRPr="000D3D00" w:rsidRDefault="003E07F1" w:rsidP="003E07F1">
      <w:pPr>
        <w:pStyle w:val="BodyText"/>
        <w:spacing w:before="120" w:after="120" w:line="240" w:lineRule="auto"/>
        <w:rPr>
          <w:sz w:val="20"/>
        </w:rPr>
      </w:pPr>
      <w:bookmarkStart w:id="3" w:name="ISSN"/>
      <w:bookmarkEnd w:id="3"/>
      <w:r w:rsidRPr="000D3D00">
        <w:rPr>
          <w:noProof/>
          <w:sz w:val="20"/>
        </w:rPr>
        <w:drawing>
          <wp:inline distT="0" distB="0" distL="0" distR="0" wp14:anchorId="713A86EA" wp14:editId="6D56A38F">
            <wp:extent cx="843280" cy="295043"/>
            <wp:effectExtent l="0" t="0" r="0" b="0"/>
            <wp:docPr id="5" name="Picture 5" descr="CC BY licen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By logo"/>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843280" cy="295043"/>
                    </a:xfrm>
                    <a:prstGeom prst="rect">
                      <a:avLst/>
                    </a:prstGeom>
                    <a:noFill/>
                    <a:ln>
                      <a:noFill/>
                    </a:ln>
                  </pic:spPr>
                </pic:pic>
              </a:graphicData>
            </a:graphic>
          </wp:inline>
        </w:drawing>
      </w:r>
    </w:p>
    <w:p w14:paraId="2CEC4D70" w14:textId="77777777" w:rsidR="003E07F1" w:rsidRPr="000D3D00" w:rsidRDefault="003E07F1" w:rsidP="003E07F1">
      <w:pPr>
        <w:pStyle w:val="Copyrightbodytext"/>
        <w:spacing w:before="120" w:line="240" w:lineRule="auto"/>
        <w:rPr>
          <w:sz w:val="20"/>
        </w:rPr>
      </w:pPr>
      <w:r w:rsidRPr="000D3D00">
        <w:rPr>
          <w:sz w:val="20"/>
        </w:rPr>
        <w:t xml:space="preserve">Except for the Commonwealth Coat of Arms and content supplied by third parties, this copyright work is licensed under a Creative Commons Attribution 3.0 Australia licence. To view a copy of this licence, visit </w:t>
      </w:r>
      <w:hyperlink r:id="rId16" w:history="1">
        <w:hyperlink r:id="rId17" w:history="1">
          <w:r w:rsidRPr="000D3D00">
            <w:rPr>
              <w:sz w:val="20"/>
            </w:rPr>
            <w:t>http://creativecommons.org/licenses/by/3.0/au</w:t>
          </w:r>
        </w:hyperlink>
      </w:hyperlink>
      <w:r w:rsidRPr="000D3D00">
        <w:rPr>
          <w:sz w:val="20"/>
        </w:rPr>
        <w:t xml:space="preserve">. In essence, you are free to copy, communicate and adapt the work, </w:t>
      </w:r>
      <w:proofErr w:type="gramStart"/>
      <w:r w:rsidRPr="000D3D00">
        <w:rPr>
          <w:sz w:val="20"/>
        </w:rPr>
        <w:t>as long as</w:t>
      </w:r>
      <w:proofErr w:type="gramEnd"/>
      <w:r w:rsidRPr="000D3D00">
        <w:rPr>
          <w:sz w:val="20"/>
        </w:rPr>
        <w:t xml:space="preserve"> you attribute the work to the Productivity Commission (but not in any way that suggests the Commission endorses you or your use) and abide by the other licence terms.</w:t>
      </w:r>
    </w:p>
    <w:p w14:paraId="00637C6F" w14:textId="77777777" w:rsidR="003E07F1" w:rsidRPr="000D3D00" w:rsidRDefault="003E07F1" w:rsidP="003E07F1">
      <w:pPr>
        <w:pStyle w:val="Copyrightsubtitle"/>
        <w:spacing w:line="240" w:lineRule="auto"/>
        <w:rPr>
          <w:sz w:val="20"/>
          <w:szCs w:val="20"/>
        </w:rPr>
      </w:pPr>
      <w:r w:rsidRPr="000D3D00">
        <w:rPr>
          <w:sz w:val="20"/>
          <w:szCs w:val="20"/>
        </w:rPr>
        <w:t>Use of the Commonwealth Coat of Arms</w:t>
      </w:r>
    </w:p>
    <w:p w14:paraId="03A97164" w14:textId="77777777" w:rsidR="003E07F1" w:rsidRPr="000D3D00" w:rsidRDefault="003E07F1" w:rsidP="003E07F1">
      <w:pPr>
        <w:pStyle w:val="Copyrightbodytext"/>
        <w:spacing w:before="120" w:line="240" w:lineRule="auto"/>
        <w:rPr>
          <w:spacing w:val="-4"/>
          <w:sz w:val="20"/>
        </w:rPr>
      </w:pPr>
      <w:r w:rsidRPr="000D3D00">
        <w:rPr>
          <w:spacing w:val="-4"/>
          <w:sz w:val="20"/>
        </w:rPr>
        <w:t xml:space="preserve">Terms of use for the Coat of Arms are available from the Department of the Prime Minister and Cabinet’s website: </w:t>
      </w:r>
      <w:hyperlink r:id="rId18" w:history="1">
        <w:r w:rsidRPr="00C320A5">
          <w:rPr>
            <w:rStyle w:val="Hyperlink"/>
            <w:spacing w:val="-4"/>
            <w:sz w:val="20"/>
          </w:rPr>
          <w:t>www.pmc.gov.au/government/commonwealth-coat-arms</w:t>
        </w:r>
      </w:hyperlink>
    </w:p>
    <w:p w14:paraId="166FAC40" w14:textId="77777777" w:rsidR="003E07F1" w:rsidRPr="000D3D00" w:rsidRDefault="003E07F1" w:rsidP="003E07F1">
      <w:pPr>
        <w:pStyle w:val="Copyrightsubtitle"/>
        <w:spacing w:line="240" w:lineRule="auto"/>
        <w:rPr>
          <w:sz w:val="20"/>
          <w:szCs w:val="20"/>
        </w:rPr>
      </w:pPr>
      <w:r w:rsidRPr="000D3D00">
        <w:rPr>
          <w:sz w:val="20"/>
          <w:szCs w:val="20"/>
        </w:rPr>
        <w:t>Third party copyright</w:t>
      </w:r>
    </w:p>
    <w:p w14:paraId="552FC776" w14:textId="77777777" w:rsidR="003E07F1" w:rsidRPr="00AF60DC" w:rsidRDefault="003E07F1" w:rsidP="003E07F1">
      <w:pPr>
        <w:pStyle w:val="Copyrightbodytext"/>
        <w:spacing w:before="120" w:line="240" w:lineRule="auto"/>
        <w:rPr>
          <w:sz w:val="20"/>
        </w:rPr>
      </w:pPr>
      <w:r w:rsidRPr="00AF60DC">
        <w:rPr>
          <w:sz w:val="20"/>
        </w:rPr>
        <w:t>Wherever a third party holds copyright in this material, the copyright remains with that party. Their permission may be required to use the material, please contact them directly.</w:t>
      </w:r>
    </w:p>
    <w:p w14:paraId="2503D3F8" w14:textId="77777777" w:rsidR="003E07F1" w:rsidRPr="000D3D00" w:rsidRDefault="003E07F1" w:rsidP="003E07F1">
      <w:pPr>
        <w:pStyle w:val="Copyrightsubtitle"/>
        <w:spacing w:line="240" w:lineRule="auto"/>
        <w:rPr>
          <w:sz w:val="20"/>
          <w:szCs w:val="20"/>
        </w:rPr>
      </w:pPr>
      <w:r w:rsidRPr="000D3D00">
        <w:rPr>
          <w:sz w:val="20"/>
          <w:szCs w:val="20"/>
        </w:rPr>
        <w:t xml:space="preserve">An appropriate reference for this publication is: </w:t>
      </w:r>
    </w:p>
    <w:p w14:paraId="1EE7A803" w14:textId="6B7D1144" w:rsidR="003E07F1" w:rsidRDefault="003E07F1" w:rsidP="003E07F1">
      <w:pPr>
        <w:pStyle w:val="Copyrightsubtitle"/>
        <w:spacing w:before="120" w:line="240" w:lineRule="auto"/>
        <w:rPr>
          <w:rFonts w:ascii="Times New Roman" w:hAnsi="Times New Roman"/>
          <w:b w:val="0"/>
          <w:sz w:val="20"/>
          <w:szCs w:val="20"/>
        </w:rPr>
      </w:pPr>
      <w:r w:rsidRPr="008E68D1">
        <w:rPr>
          <w:rFonts w:ascii="Times New Roman" w:hAnsi="Times New Roman"/>
          <w:b w:val="0"/>
          <w:sz w:val="20"/>
          <w:szCs w:val="20"/>
        </w:rPr>
        <w:t>Productivity Commission 20</w:t>
      </w:r>
      <w:r>
        <w:rPr>
          <w:rFonts w:ascii="Times New Roman" w:hAnsi="Times New Roman"/>
          <w:b w:val="0"/>
          <w:sz w:val="20"/>
          <w:szCs w:val="20"/>
        </w:rPr>
        <w:t>21</w:t>
      </w:r>
      <w:r w:rsidRPr="008E68D1">
        <w:rPr>
          <w:rFonts w:ascii="Times New Roman" w:hAnsi="Times New Roman"/>
          <w:b w:val="0"/>
          <w:sz w:val="20"/>
          <w:szCs w:val="20"/>
        </w:rPr>
        <w:t xml:space="preserve">, </w:t>
      </w:r>
      <w:r w:rsidR="00CB4AF6" w:rsidRPr="00CB4AF6">
        <w:rPr>
          <w:rFonts w:ascii="Times New Roman" w:hAnsi="Times New Roman"/>
          <w:b w:val="0"/>
          <w:i/>
          <w:iCs/>
          <w:sz w:val="20"/>
          <w:szCs w:val="20"/>
        </w:rPr>
        <w:t>Water reform in rural Australia</w:t>
      </w:r>
      <w:r w:rsidRPr="00791866">
        <w:rPr>
          <w:rFonts w:ascii="Times New Roman" w:hAnsi="Times New Roman"/>
          <w:b w:val="0"/>
          <w:i/>
          <w:iCs/>
          <w:sz w:val="20"/>
          <w:szCs w:val="20"/>
        </w:rPr>
        <w:t xml:space="preserve">, Supporting Paper </w:t>
      </w:r>
      <w:r w:rsidR="00CB4AF6">
        <w:rPr>
          <w:rFonts w:ascii="Times New Roman" w:hAnsi="Times New Roman"/>
          <w:b w:val="0"/>
          <w:i/>
          <w:iCs/>
          <w:sz w:val="20"/>
          <w:szCs w:val="20"/>
        </w:rPr>
        <w:t>H</w:t>
      </w:r>
      <w:r>
        <w:rPr>
          <w:rFonts w:ascii="Times New Roman" w:hAnsi="Times New Roman"/>
          <w:b w:val="0"/>
          <w:sz w:val="20"/>
          <w:szCs w:val="20"/>
        </w:rPr>
        <w:t xml:space="preserve"> to </w:t>
      </w:r>
      <w:r w:rsidRPr="00791866">
        <w:rPr>
          <w:rFonts w:ascii="Times New Roman" w:hAnsi="Times New Roman"/>
          <w:b w:val="0"/>
          <w:sz w:val="20"/>
          <w:szCs w:val="20"/>
        </w:rPr>
        <w:t>National Water Reform 2020</w:t>
      </w:r>
      <w:r w:rsidRPr="008E68D1">
        <w:rPr>
          <w:rFonts w:ascii="Times New Roman" w:hAnsi="Times New Roman"/>
          <w:b w:val="0"/>
          <w:i/>
          <w:iCs/>
          <w:sz w:val="20"/>
          <w:szCs w:val="20"/>
        </w:rPr>
        <w:t>,</w:t>
      </w:r>
      <w:r w:rsidRPr="008E68D1">
        <w:rPr>
          <w:rFonts w:ascii="Times New Roman" w:hAnsi="Times New Roman"/>
          <w:b w:val="0"/>
          <w:sz w:val="20"/>
          <w:szCs w:val="20"/>
        </w:rPr>
        <w:t xml:space="preserve"> Draft Report, Canberra</w:t>
      </w:r>
      <w:r>
        <w:rPr>
          <w:rFonts w:ascii="Times New Roman" w:hAnsi="Times New Roman"/>
          <w:b w:val="0"/>
          <w:sz w:val="20"/>
          <w:szCs w:val="20"/>
        </w:rPr>
        <w:t>.</w:t>
      </w:r>
    </w:p>
    <w:p w14:paraId="3825498A" w14:textId="77777777" w:rsidR="003E07F1" w:rsidRPr="000D3D00" w:rsidRDefault="003E07F1" w:rsidP="003E07F1">
      <w:pPr>
        <w:pStyle w:val="Copyrightsubtitle"/>
        <w:spacing w:line="240" w:lineRule="auto"/>
        <w:rPr>
          <w:sz w:val="20"/>
          <w:szCs w:val="20"/>
        </w:rPr>
      </w:pPr>
      <w:r w:rsidRPr="000D3D00">
        <w:rPr>
          <w:sz w:val="20"/>
          <w:szCs w:val="20"/>
        </w:rPr>
        <w:t>Publications enquiries:</w:t>
      </w:r>
    </w:p>
    <w:p w14:paraId="098313CB" w14:textId="77777777" w:rsidR="003E07F1" w:rsidRPr="000D3D00" w:rsidRDefault="003E07F1" w:rsidP="003E07F1">
      <w:pPr>
        <w:pStyle w:val="Copyrightsubtitle"/>
        <w:spacing w:before="120" w:line="240" w:lineRule="auto"/>
        <w:rPr>
          <w:rFonts w:ascii="Times New Roman" w:hAnsi="Times New Roman"/>
          <w:b w:val="0"/>
          <w:bCs/>
          <w:sz w:val="20"/>
          <w:szCs w:val="20"/>
        </w:rPr>
      </w:pPr>
      <w:r w:rsidRPr="000D3D00">
        <w:rPr>
          <w:rFonts w:ascii="Times New Roman" w:hAnsi="Times New Roman"/>
          <w:b w:val="0"/>
          <w:bCs/>
          <w:sz w:val="20"/>
          <w:szCs w:val="20"/>
        </w:rPr>
        <w:t xml:space="preserve">Media, Publications and Web, phone: (03) 9653 2244 or email: </w:t>
      </w:r>
      <w:hyperlink r:id="rId19" w:history="1">
        <w:r w:rsidRPr="00F93F76">
          <w:rPr>
            <w:rStyle w:val="Hyperlink"/>
            <w:rFonts w:ascii="Times New Roman" w:hAnsi="Times New Roman"/>
            <w:b w:val="0"/>
            <w:bCs/>
            <w:sz w:val="20"/>
            <w:szCs w:val="20"/>
          </w:rPr>
          <w:t>mpw@pc.gov.au</w:t>
        </w:r>
      </w:hyperlink>
    </w:p>
    <w:p w14:paraId="3844A770" w14:textId="77777777" w:rsidR="00C71C5F" w:rsidRDefault="00C71C5F">
      <w:pPr>
        <w:rPr>
          <w:rFonts w:ascii="Arial" w:eastAsiaTheme="minorHAnsi" w:hAnsi="Arial" w:cs="Arial"/>
          <w:sz w:val="22"/>
          <w:szCs w:val="21"/>
          <w:lang w:eastAsia="en-US"/>
        </w:rPr>
        <w:sectPr w:rsidR="00C71C5F" w:rsidSect="008A57F3">
          <w:pgSz w:w="11907" w:h="16840" w:code="9"/>
          <w:pgMar w:top="1985" w:right="1304" w:bottom="1247" w:left="1814" w:header="1701" w:footer="397" w:gutter="0"/>
          <w:pgNumType w:start="1" w:chapSep="period"/>
          <w:cols w:space="720"/>
        </w:sectPr>
      </w:pPr>
    </w:p>
    <w:p w14:paraId="18FCB351" w14:textId="487C90D0" w:rsidR="00E62022" w:rsidRPr="00D276C3" w:rsidRDefault="00E62022" w:rsidP="00D56032">
      <w:pPr>
        <w:pStyle w:val="Heading1NotTOC"/>
        <w:rPr>
          <w:szCs w:val="52"/>
        </w:rPr>
      </w:pPr>
      <w:bookmarkStart w:id="4" w:name="_Toc61426179"/>
      <w:r w:rsidRPr="00D276C3">
        <w:rPr>
          <w:szCs w:val="52"/>
        </w:rPr>
        <w:lastRenderedPageBreak/>
        <w:t>Contents</w:t>
      </w:r>
      <w:bookmarkEnd w:id="4"/>
    </w:p>
    <w:sdt>
      <w:sdtPr>
        <w:rPr>
          <w:kern w:val="28"/>
          <w:sz w:val="52"/>
        </w:rPr>
        <w:id w:val="1340265964"/>
        <w:docPartObj>
          <w:docPartGallery w:val="Table of Contents"/>
          <w:docPartUnique/>
        </w:docPartObj>
      </w:sdtPr>
      <w:sdtEndPr>
        <w:rPr>
          <w:kern w:val="0"/>
          <w:sz w:val="26"/>
        </w:rPr>
      </w:sdtEndPr>
      <w:sdtContent>
        <w:p w14:paraId="2D6C258C" w14:textId="1132BD50" w:rsidR="00C71C5F" w:rsidRDefault="00C71C5F">
          <w:pPr>
            <w:pStyle w:val="TOC1"/>
            <w:rPr>
              <w:rFonts w:asciiTheme="minorHAnsi" w:eastAsiaTheme="minorEastAsia" w:hAnsiTheme="minorHAnsi" w:cstheme="minorBidi"/>
              <w:b w:val="0"/>
              <w:noProof/>
              <w:sz w:val="22"/>
              <w:szCs w:val="22"/>
              <w:lang w:eastAsia="en-AU"/>
            </w:rPr>
          </w:pPr>
          <w:r>
            <w:rPr>
              <w:kern w:val="28"/>
              <w:sz w:val="52"/>
            </w:rPr>
            <w:fldChar w:fldCharType="begin"/>
          </w:r>
          <w:r>
            <w:rPr>
              <w:kern w:val="28"/>
              <w:sz w:val="52"/>
            </w:rPr>
            <w:instrText xml:space="preserve"> TOC \t "Heading 1,1,Heading 2,1,Heading 3,2,Caption,1,Heading 1 (no chapter no.),1,Heading 2 (no section no.),1" </w:instrText>
          </w:r>
          <w:r>
            <w:rPr>
              <w:kern w:val="28"/>
              <w:sz w:val="52"/>
            </w:rPr>
            <w:fldChar w:fldCharType="separate"/>
          </w:r>
          <w:r>
            <w:rPr>
              <w:noProof/>
            </w:rPr>
            <w:t>Key points</w:t>
          </w:r>
          <w:r>
            <w:rPr>
              <w:noProof/>
            </w:rPr>
            <w:tab/>
          </w:r>
          <w:r>
            <w:rPr>
              <w:noProof/>
            </w:rPr>
            <w:fldChar w:fldCharType="begin"/>
          </w:r>
          <w:r>
            <w:rPr>
              <w:noProof/>
            </w:rPr>
            <w:instrText xml:space="preserve"> PAGEREF _Toc61873557 \h </w:instrText>
          </w:r>
          <w:r>
            <w:rPr>
              <w:noProof/>
            </w:rPr>
          </w:r>
          <w:r>
            <w:rPr>
              <w:noProof/>
            </w:rPr>
            <w:fldChar w:fldCharType="separate"/>
          </w:r>
          <w:r w:rsidR="006E55FE">
            <w:rPr>
              <w:noProof/>
            </w:rPr>
            <w:t>4</w:t>
          </w:r>
          <w:r>
            <w:rPr>
              <w:noProof/>
            </w:rPr>
            <w:fldChar w:fldCharType="end"/>
          </w:r>
        </w:p>
        <w:p w14:paraId="28E93584" w14:textId="1628B9DA" w:rsidR="00C71C5F" w:rsidRDefault="00C71C5F">
          <w:pPr>
            <w:pStyle w:val="TOC1"/>
            <w:rPr>
              <w:rFonts w:asciiTheme="minorHAnsi" w:eastAsiaTheme="minorEastAsia" w:hAnsiTheme="minorHAnsi" w:cstheme="minorBidi"/>
              <w:b w:val="0"/>
              <w:noProof/>
              <w:sz w:val="22"/>
              <w:szCs w:val="22"/>
              <w:lang w:eastAsia="en-AU"/>
            </w:rPr>
          </w:pPr>
          <w:r>
            <w:rPr>
              <w:noProof/>
            </w:rPr>
            <w:t>1</w:t>
          </w:r>
          <w:r>
            <w:rPr>
              <w:rFonts w:asciiTheme="minorHAnsi" w:eastAsiaTheme="minorEastAsia" w:hAnsiTheme="minorHAnsi" w:cstheme="minorBidi"/>
              <w:b w:val="0"/>
              <w:noProof/>
              <w:sz w:val="22"/>
              <w:szCs w:val="22"/>
              <w:lang w:eastAsia="en-AU"/>
            </w:rPr>
            <w:tab/>
          </w:r>
          <w:r>
            <w:rPr>
              <w:noProof/>
            </w:rPr>
            <w:t>Reform and rural water users</w:t>
          </w:r>
          <w:r>
            <w:rPr>
              <w:noProof/>
            </w:rPr>
            <w:tab/>
          </w:r>
          <w:r>
            <w:rPr>
              <w:noProof/>
            </w:rPr>
            <w:fldChar w:fldCharType="begin"/>
          </w:r>
          <w:r>
            <w:rPr>
              <w:noProof/>
            </w:rPr>
            <w:instrText xml:space="preserve"> PAGEREF _Toc61873558 \h </w:instrText>
          </w:r>
          <w:r>
            <w:rPr>
              <w:noProof/>
            </w:rPr>
          </w:r>
          <w:r>
            <w:rPr>
              <w:noProof/>
            </w:rPr>
            <w:fldChar w:fldCharType="separate"/>
          </w:r>
          <w:r w:rsidR="006E55FE">
            <w:rPr>
              <w:noProof/>
            </w:rPr>
            <w:t>5</w:t>
          </w:r>
          <w:r>
            <w:rPr>
              <w:noProof/>
            </w:rPr>
            <w:fldChar w:fldCharType="end"/>
          </w:r>
        </w:p>
        <w:p w14:paraId="15B6D1A3" w14:textId="35299363" w:rsidR="00C71C5F" w:rsidRDefault="00C71C5F">
          <w:pPr>
            <w:pStyle w:val="TOC2"/>
            <w:tabs>
              <w:tab w:val="left" w:pos="1134"/>
            </w:tabs>
            <w:rPr>
              <w:rFonts w:asciiTheme="minorHAnsi" w:eastAsiaTheme="minorEastAsia" w:hAnsiTheme="minorHAnsi" w:cstheme="minorBidi"/>
              <w:noProof/>
              <w:sz w:val="22"/>
              <w:szCs w:val="22"/>
              <w:lang w:eastAsia="en-AU"/>
            </w:rPr>
          </w:pPr>
          <w:r>
            <w:rPr>
              <w:noProof/>
            </w:rPr>
            <w:t>1.1</w:t>
          </w:r>
          <w:r>
            <w:rPr>
              <w:rFonts w:asciiTheme="minorHAnsi" w:eastAsiaTheme="minorEastAsia" w:hAnsiTheme="minorHAnsi" w:cstheme="minorBidi"/>
              <w:noProof/>
              <w:sz w:val="22"/>
              <w:szCs w:val="22"/>
              <w:lang w:eastAsia="en-AU"/>
            </w:rPr>
            <w:tab/>
          </w:r>
          <w:r>
            <w:rPr>
              <w:noProof/>
            </w:rPr>
            <w:t>NWI consistent reforms have delivered large benefits</w:t>
          </w:r>
          <w:r>
            <w:rPr>
              <w:noProof/>
            </w:rPr>
            <w:tab/>
          </w:r>
          <w:r>
            <w:rPr>
              <w:noProof/>
            </w:rPr>
            <w:fldChar w:fldCharType="begin"/>
          </w:r>
          <w:r>
            <w:rPr>
              <w:noProof/>
            </w:rPr>
            <w:instrText xml:space="preserve"> PAGEREF _Toc61873559 \h </w:instrText>
          </w:r>
          <w:r>
            <w:rPr>
              <w:noProof/>
            </w:rPr>
          </w:r>
          <w:r>
            <w:rPr>
              <w:noProof/>
            </w:rPr>
            <w:fldChar w:fldCharType="separate"/>
          </w:r>
          <w:r w:rsidR="006E55FE">
            <w:rPr>
              <w:noProof/>
            </w:rPr>
            <w:t>5</w:t>
          </w:r>
          <w:r>
            <w:rPr>
              <w:noProof/>
            </w:rPr>
            <w:fldChar w:fldCharType="end"/>
          </w:r>
        </w:p>
        <w:p w14:paraId="21951509" w14:textId="2D99006A" w:rsidR="00C71C5F" w:rsidRDefault="00C71C5F">
          <w:pPr>
            <w:pStyle w:val="TOC2"/>
            <w:tabs>
              <w:tab w:val="left" w:pos="1134"/>
            </w:tabs>
            <w:rPr>
              <w:rFonts w:asciiTheme="minorHAnsi" w:eastAsiaTheme="minorEastAsia" w:hAnsiTheme="minorHAnsi" w:cstheme="minorBidi"/>
              <w:noProof/>
              <w:sz w:val="22"/>
              <w:szCs w:val="22"/>
              <w:lang w:eastAsia="en-AU"/>
            </w:rPr>
          </w:pPr>
          <w:r>
            <w:rPr>
              <w:noProof/>
            </w:rPr>
            <w:t>1.2</w:t>
          </w:r>
          <w:r>
            <w:rPr>
              <w:rFonts w:asciiTheme="minorHAnsi" w:eastAsiaTheme="minorEastAsia" w:hAnsiTheme="minorHAnsi" w:cstheme="minorBidi"/>
              <w:noProof/>
              <w:sz w:val="22"/>
              <w:szCs w:val="22"/>
              <w:lang w:eastAsia="en-AU"/>
            </w:rPr>
            <w:tab/>
          </w:r>
          <w:r>
            <w:rPr>
              <w:noProof/>
            </w:rPr>
            <w:t>Reforms have also prepared water users to address future challenges</w:t>
          </w:r>
          <w:r>
            <w:rPr>
              <w:noProof/>
            </w:rPr>
            <w:tab/>
          </w:r>
          <w:r>
            <w:rPr>
              <w:noProof/>
            </w:rPr>
            <w:fldChar w:fldCharType="begin"/>
          </w:r>
          <w:r>
            <w:rPr>
              <w:noProof/>
            </w:rPr>
            <w:instrText xml:space="preserve"> PAGEREF _Toc61873560 \h </w:instrText>
          </w:r>
          <w:r>
            <w:rPr>
              <w:noProof/>
            </w:rPr>
          </w:r>
          <w:r>
            <w:rPr>
              <w:noProof/>
            </w:rPr>
            <w:fldChar w:fldCharType="separate"/>
          </w:r>
          <w:r w:rsidR="006E55FE">
            <w:rPr>
              <w:noProof/>
            </w:rPr>
            <w:t>7</w:t>
          </w:r>
          <w:r>
            <w:rPr>
              <w:noProof/>
            </w:rPr>
            <w:fldChar w:fldCharType="end"/>
          </w:r>
        </w:p>
        <w:p w14:paraId="6F54C44C" w14:textId="766EC3B9" w:rsidR="00C71C5F" w:rsidRDefault="00C71C5F">
          <w:pPr>
            <w:pStyle w:val="TOC2"/>
            <w:tabs>
              <w:tab w:val="left" w:pos="1134"/>
            </w:tabs>
            <w:rPr>
              <w:rFonts w:asciiTheme="minorHAnsi" w:eastAsiaTheme="minorEastAsia" w:hAnsiTheme="minorHAnsi" w:cstheme="minorBidi"/>
              <w:noProof/>
              <w:sz w:val="22"/>
              <w:szCs w:val="22"/>
              <w:lang w:eastAsia="en-AU"/>
            </w:rPr>
          </w:pPr>
          <w:r>
            <w:rPr>
              <w:noProof/>
            </w:rPr>
            <w:t>1.3</w:t>
          </w:r>
          <w:r>
            <w:rPr>
              <w:rFonts w:asciiTheme="minorHAnsi" w:eastAsiaTheme="minorEastAsia" w:hAnsiTheme="minorHAnsi" w:cstheme="minorBidi"/>
              <w:noProof/>
              <w:sz w:val="22"/>
              <w:szCs w:val="22"/>
              <w:lang w:eastAsia="en-AU"/>
            </w:rPr>
            <w:tab/>
          </w:r>
          <w:r>
            <w:rPr>
              <w:noProof/>
            </w:rPr>
            <w:t>A renewed NWI to lock in past benefits and enable adaptation</w:t>
          </w:r>
          <w:r>
            <w:rPr>
              <w:noProof/>
            </w:rPr>
            <w:tab/>
          </w:r>
          <w:r>
            <w:rPr>
              <w:noProof/>
            </w:rPr>
            <w:fldChar w:fldCharType="begin"/>
          </w:r>
          <w:r>
            <w:rPr>
              <w:noProof/>
            </w:rPr>
            <w:instrText xml:space="preserve"> PAGEREF _Toc61873561 \h </w:instrText>
          </w:r>
          <w:r>
            <w:rPr>
              <w:noProof/>
            </w:rPr>
          </w:r>
          <w:r>
            <w:rPr>
              <w:noProof/>
            </w:rPr>
            <w:fldChar w:fldCharType="separate"/>
          </w:r>
          <w:r w:rsidR="006E55FE">
            <w:rPr>
              <w:noProof/>
            </w:rPr>
            <w:t>8</w:t>
          </w:r>
          <w:r>
            <w:rPr>
              <w:noProof/>
            </w:rPr>
            <w:fldChar w:fldCharType="end"/>
          </w:r>
        </w:p>
        <w:p w14:paraId="21FB8322" w14:textId="4226D685" w:rsidR="00C71C5F" w:rsidRDefault="00C71C5F">
          <w:pPr>
            <w:pStyle w:val="TOC1"/>
            <w:rPr>
              <w:rFonts w:asciiTheme="minorHAnsi" w:eastAsiaTheme="minorEastAsia" w:hAnsiTheme="minorHAnsi" w:cstheme="minorBidi"/>
              <w:b w:val="0"/>
              <w:noProof/>
              <w:sz w:val="22"/>
              <w:szCs w:val="22"/>
              <w:lang w:eastAsia="en-AU"/>
            </w:rPr>
          </w:pPr>
          <w:r>
            <w:rPr>
              <w:noProof/>
            </w:rPr>
            <w:t>2</w:t>
          </w:r>
          <w:r>
            <w:rPr>
              <w:rFonts w:asciiTheme="minorHAnsi" w:eastAsiaTheme="minorEastAsia" w:hAnsiTheme="minorHAnsi" w:cstheme="minorBidi"/>
              <w:b w:val="0"/>
              <w:noProof/>
              <w:sz w:val="22"/>
              <w:szCs w:val="22"/>
              <w:lang w:eastAsia="en-AU"/>
            </w:rPr>
            <w:tab/>
          </w:r>
          <w:r>
            <w:rPr>
              <w:noProof/>
            </w:rPr>
            <w:t>Community adjustment to lower water availability</w:t>
          </w:r>
          <w:r>
            <w:rPr>
              <w:noProof/>
            </w:rPr>
            <w:tab/>
          </w:r>
          <w:r>
            <w:rPr>
              <w:noProof/>
            </w:rPr>
            <w:fldChar w:fldCharType="begin"/>
          </w:r>
          <w:r>
            <w:rPr>
              <w:noProof/>
            </w:rPr>
            <w:instrText xml:space="preserve"> PAGEREF _Toc61873562 \h </w:instrText>
          </w:r>
          <w:r>
            <w:rPr>
              <w:noProof/>
            </w:rPr>
          </w:r>
          <w:r>
            <w:rPr>
              <w:noProof/>
            </w:rPr>
            <w:fldChar w:fldCharType="separate"/>
          </w:r>
          <w:r w:rsidR="006E55FE">
            <w:rPr>
              <w:noProof/>
            </w:rPr>
            <w:t>10</w:t>
          </w:r>
          <w:r>
            <w:rPr>
              <w:noProof/>
            </w:rPr>
            <w:fldChar w:fldCharType="end"/>
          </w:r>
        </w:p>
        <w:p w14:paraId="48E27C01" w14:textId="17503EED" w:rsidR="00C71C5F" w:rsidRDefault="00C71C5F">
          <w:pPr>
            <w:pStyle w:val="TOC2"/>
            <w:tabs>
              <w:tab w:val="left" w:pos="1134"/>
            </w:tabs>
            <w:rPr>
              <w:rFonts w:asciiTheme="minorHAnsi" w:eastAsiaTheme="minorEastAsia" w:hAnsiTheme="minorHAnsi" w:cstheme="minorBidi"/>
              <w:noProof/>
              <w:sz w:val="22"/>
              <w:szCs w:val="22"/>
              <w:lang w:eastAsia="en-AU"/>
            </w:rPr>
          </w:pPr>
          <w:r>
            <w:rPr>
              <w:noProof/>
            </w:rPr>
            <w:t>2.1</w:t>
          </w:r>
          <w:r>
            <w:rPr>
              <w:rFonts w:asciiTheme="minorHAnsi" w:eastAsiaTheme="minorEastAsia" w:hAnsiTheme="minorHAnsi" w:cstheme="minorBidi"/>
              <w:noProof/>
              <w:sz w:val="22"/>
              <w:szCs w:val="22"/>
              <w:lang w:eastAsia="en-AU"/>
            </w:rPr>
            <w:tab/>
          </w:r>
          <w:r>
            <w:rPr>
              <w:noProof/>
            </w:rPr>
            <w:t>Generally available measures are usually the most appropriate response to adjustment pressures</w:t>
          </w:r>
          <w:r>
            <w:rPr>
              <w:noProof/>
            </w:rPr>
            <w:tab/>
          </w:r>
          <w:r>
            <w:rPr>
              <w:noProof/>
            </w:rPr>
            <w:fldChar w:fldCharType="begin"/>
          </w:r>
          <w:r>
            <w:rPr>
              <w:noProof/>
            </w:rPr>
            <w:instrText xml:space="preserve"> PAGEREF _Toc61873563 \h </w:instrText>
          </w:r>
          <w:r>
            <w:rPr>
              <w:noProof/>
            </w:rPr>
          </w:r>
          <w:r>
            <w:rPr>
              <w:noProof/>
            </w:rPr>
            <w:fldChar w:fldCharType="separate"/>
          </w:r>
          <w:r w:rsidR="006E55FE">
            <w:rPr>
              <w:noProof/>
            </w:rPr>
            <w:t>12</w:t>
          </w:r>
          <w:r>
            <w:rPr>
              <w:noProof/>
            </w:rPr>
            <w:fldChar w:fldCharType="end"/>
          </w:r>
        </w:p>
        <w:p w14:paraId="33BC053C" w14:textId="728BD714" w:rsidR="00C71C5F" w:rsidRDefault="00C71C5F">
          <w:pPr>
            <w:pStyle w:val="TOC2"/>
            <w:tabs>
              <w:tab w:val="left" w:pos="1134"/>
            </w:tabs>
            <w:rPr>
              <w:rFonts w:asciiTheme="minorHAnsi" w:eastAsiaTheme="minorEastAsia" w:hAnsiTheme="minorHAnsi" w:cstheme="minorBidi"/>
              <w:noProof/>
              <w:sz w:val="22"/>
              <w:szCs w:val="22"/>
              <w:lang w:eastAsia="en-AU"/>
            </w:rPr>
          </w:pPr>
          <w:r>
            <w:rPr>
              <w:noProof/>
            </w:rPr>
            <w:t>2.2</w:t>
          </w:r>
          <w:r>
            <w:rPr>
              <w:rFonts w:asciiTheme="minorHAnsi" w:eastAsiaTheme="minorEastAsia" w:hAnsiTheme="minorHAnsi" w:cstheme="minorBidi"/>
              <w:noProof/>
              <w:sz w:val="22"/>
              <w:szCs w:val="22"/>
              <w:lang w:eastAsia="en-AU"/>
            </w:rPr>
            <w:tab/>
          </w:r>
          <w:r>
            <w:rPr>
              <w:noProof/>
            </w:rPr>
            <w:t>If more support is needed, governments should assist efficient adjustment</w:t>
          </w:r>
          <w:r>
            <w:rPr>
              <w:noProof/>
            </w:rPr>
            <w:tab/>
          </w:r>
          <w:r>
            <w:rPr>
              <w:noProof/>
            </w:rPr>
            <w:fldChar w:fldCharType="begin"/>
          </w:r>
          <w:r>
            <w:rPr>
              <w:noProof/>
            </w:rPr>
            <w:instrText xml:space="preserve"> PAGEREF _Toc61873564 \h </w:instrText>
          </w:r>
          <w:r>
            <w:rPr>
              <w:noProof/>
            </w:rPr>
          </w:r>
          <w:r>
            <w:rPr>
              <w:noProof/>
            </w:rPr>
            <w:fldChar w:fldCharType="separate"/>
          </w:r>
          <w:r w:rsidR="006E55FE">
            <w:rPr>
              <w:noProof/>
            </w:rPr>
            <w:t>12</w:t>
          </w:r>
          <w:r>
            <w:rPr>
              <w:noProof/>
            </w:rPr>
            <w:fldChar w:fldCharType="end"/>
          </w:r>
        </w:p>
        <w:p w14:paraId="4F21A497" w14:textId="658048A6" w:rsidR="00C71C5F" w:rsidRDefault="00C71C5F">
          <w:pPr>
            <w:pStyle w:val="TOC2"/>
            <w:tabs>
              <w:tab w:val="left" w:pos="1134"/>
            </w:tabs>
            <w:rPr>
              <w:rFonts w:asciiTheme="minorHAnsi" w:eastAsiaTheme="minorEastAsia" w:hAnsiTheme="minorHAnsi" w:cstheme="minorBidi"/>
              <w:noProof/>
              <w:sz w:val="22"/>
              <w:szCs w:val="22"/>
              <w:lang w:eastAsia="en-AU"/>
            </w:rPr>
          </w:pPr>
          <w:r>
            <w:rPr>
              <w:noProof/>
            </w:rPr>
            <w:t>2.3</w:t>
          </w:r>
          <w:r>
            <w:rPr>
              <w:rFonts w:asciiTheme="minorHAnsi" w:eastAsiaTheme="minorEastAsia" w:hAnsiTheme="minorHAnsi" w:cstheme="minorBidi"/>
              <w:noProof/>
              <w:sz w:val="22"/>
              <w:szCs w:val="22"/>
              <w:lang w:eastAsia="en-AU"/>
            </w:rPr>
            <w:tab/>
          </w:r>
          <w:r>
            <w:rPr>
              <w:noProof/>
            </w:rPr>
            <w:t>NWI renewal advice</w:t>
          </w:r>
          <w:r>
            <w:rPr>
              <w:noProof/>
            </w:rPr>
            <w:tab/>
          </w:r>
          <w:r>
            <w:rPr>
              <w:noProof/>
            </w:rPr>
            <w:fldChar w:fldCharType="begin"/>
          </w:r>
          <w:r>
            <w:rPr>
              <w:noProof/>
            </w:rPr>
            <w:instrText xml:space="preserve"> PAGEREF _Toc61873565 \h </w:instrText>
          </w:r>
          <w:r>
            <w:rPr>
              <w:noProof/>
            </w:rPr>
          </w:r>
          <w:r>
            <w:rPr>
              <w:noProof/>
            </w:rPr>
            <w:fldChar w:fldCharType="separate"/>
          </w:r>
          <w:r w:rsidR="006E55FE">
            <w:rPr>
              <w:noProof/>
            </w:rPr>
            <w:t>14</w:t>
          </w:r>
          <w:r>
            <w:rPr>
              <w:noProof/>
            </w:rPr>
            <w:fldChar w:fldCharType="end"/>
          </w:r>
        </w:p>
        <w:p w14:paraId="6DCC5A7F" w14:textId="35793B1B" w:rsidR="00D276C3" w:rsidRDefault="00C71C5F">
          <w:pPr>
            <w:pStyle w:val="TOC1"/>
            <w:rPr>
              <w:noProof/>
            </w:rPr>
          </w:pPr>
          <w:r>
            <w:rPr>
              <w:noProof/>
            </w:rPr>
            <w:t>References</w:t>
          </w:r>
          <w:r>
            <w:rPr>
              <w:noProof/>
            </w:rPr>
            <w:tab/>
          </w:r>
          <w:r>
            <w:rPr>
              <w:noProof/>
            </w:rPr>
            <w:fldChar w:fldCharType="begin"/>
          </w:r>
          <w:r>
            <w:rPr>
              <w:noProof/>
            </w:rPr>
            <w:instrText xml:space="preserve"> PAGEREF _Toc61873566 \h </w:instrText>
          </w:r>
          <w:r>
            <w:rPr>
              <w:noProof/>
            </w:rPr>
          </w:r>
          <w:r>
            <w:rPr>
              <w:noProof/>
            </w:rPr>
            <w:fldChar w:fldCharType="separate"/>
          </w:r>
          <w:r w:rsidR="006E55FE">
            <w:rPr>
              <w:noProof/>
            </w:rPr>
            <w:t>15</w:t>
          </w:r>
          <w:r>
            <w:rPr>
              <w:noProof/>
            </w:rPr>
            <w:fldChar w:fldCharType="end"/>
          </w:r>
          <w:r>
            <w:rPr>
              <w:kern w:val="28"/>
              <w:sz w:val="52"/>
            </w:rPr>
            <w:fldChar w:fldCharType="end"/>
          </w:r>
        </w:p>
      </w:sdtContent>
    </w:sdt>
    <w:p w14:paraId="31C40CA4" w14:textId="4925BCC1" w:rsidR="00951A3B" w:rsidRPr="0044559B" w:rsidRDefault="00951A3B" w:rsidP="0044559B">
      <w:pPr>
        <w:pStyle w:val="BodyText"/>
      </w:pPr>
    </w:p>
    <w:p w14:paraId="085C611B" w14:textId="77777777" w:rsidR="00951A3B" w:rsidRDefault="00951A3B" w:rsidP="00951A3B">
      <w:pPr>
        <w:pStyle w:val="BodyText"/>
        <w:rPr>
          <w:lang w:eastAsia="en-US"/>
        </w:rPr>
        <w:sectPr w:rsidR="00951A3B" w:rsidSect="0044559B">
          <w:headerReference w:type="default" r:id="rId20"/>
          <w:footerReference w:type="default" r:id="rId21"/>
          <w:pgSz w:w="11907" w:h="16840" w:code="9"/>
          <w:pgMar w:top="1985" w:right="1304" w:bottom="1247" w:left="1814" w:header="1701" w:footer="397" w:gutter="0"/>
          <w:pgNumType w:chapSep="period"/>
          <w:cols w:space="720"/>
        </w:sectPr>
      </w:pPr>
    </w:p>
    <w:p w14:paraId="3F2F5EA7" w14:textId="3E72572D" w:rsidR="003B6701" w:rsidRPr="00951A3B" w:rsidRDefault="003B6701" w:rsidP="00751F02">
      <w:pPr>
        <w:pStyle w:val="BoxSpaceAbove"/>
        <w:spacing w:before="0"/>
      </w:pPr>
      <w:bookmarkStart w:id="5" w:name="begin"/>
      <w:bookmarkEnd w:id="5"/>
      <w:bookmarkEnd w:id="0"/>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B6701" w14:paraId="4F0CABA3" w14:textId="77777777" w:rsidTr="00F76F96">
        <w:trPr>
          <w:tblHeader/>
        </w:trPr>
        <w:tc>
          <w:tcPr>
            <w:tcW w:w="5000" w:type="pct"/>
            <w:tcBorders>
              <w:top w:val="single" w:sz="6" w:space="0" w:color="78A22F"/>
              <w:left w:val="nil"/>
              <w:bottom w:val="nil"/>
              <w:right w:val="nil"/>
            </w:tcBorders>
            <w:shd w:val="clear" w:color="auto" w:fill="F2F2F2"/>
          </w:tcPr>
          <w:p w14:paraId="174F0F5A" w14:textId="77777777" w:rsidR="003B6701" w:rsidRDefault="003B6701" w:rsidP="00D56032">
            <w:pPr>
              <w:pStyle w:val="Caption"/>
              <w:spacing w:before="120" w:after="0"/>
            </w:pPr>
            <w:bookmarkStart w:id="6" w:name="_Toc61873557"/>
            <w:r>
              <w:t>Key points</w:t>
            </w:r>
            <w:bookmarkEnd w:id="6"/>
          </w:p>
        </w:tc>
      </w:tr>
      <w:tr w:rsidR="003B6701" w14:paraId="1911EAEB" w14:textId="77777777" w:rsidTr="00F76F96">
        <w:tc>
          <w:tcPr>
            <w:tcW w:w="5000" w:type="pct"/>
            <w:tcBorders>
              <w:top w:val="nil"/>
              <w:left w:val="nil"/>
              <w:bottom w:val="nil"/>
              <w:right w:val="nil"/>
            </w:tcBorders>
            <w:shd w:val="clear" w:color="auto" w:fill="F2F2F2"/>
          </w:tcPr>
          <w:p w14:paraId="3421720B" w14:textId="24A9783D" w:rsidR="00AD5CC0" w:rsidRDefault="006278D7" w:rsidP="00ED05A0">
            <w:pPr>
              <w:pStyle w:val="KeyPointsListBullet"/>
              <w:ind w:left="284" w:hanging="284"/>
            </w:pPr>
            <w:r>
              <w:t xml:space="preserve">Over the </w:t>
            </w:r>
            <w:r w:rsidR="00F345C2">
              <w:t>l</w:t>
            </w:r>
            <w:r>
              <w:t>ast 25 years, r</w:t>
            </w:r>
            <w:r w:rsidR="00B61A29" w:rsidRPr="00B61A29">
              <w:t xml:space="preserve">eforms promoting the efficient use of water have enabled significant </w:t>
            </w:r>
            <w:r w:rsidR="00B61A29">
              <w:t>gains for rural water users</w:t>
            </w:r>
            <w:r w:rsidR="00E94EBB">
              <w:t>.</w:t>
            </w:r>
          </w:p>
          <w:p w14:paraId="0220E412" w14:textId="54EB79CF" w:rsidR="00AD5CC0" w:rsidRDefault="00B85447" w:rsidP="004A3066">
            <w:pPr>
              <w:pStyle w:val="KeyPointsListBullet2"/>
              <w:ind w:left="568" w:hanging="284"/>
            </w:pPr>
            <w:r>
              <w:t>S</w:t>
            </w:r>
            <w:r w:rsidR="00AD5CC0" w:rsidRPr="00AD5CC0">
              <w:t xml:space="preserve">tatutory based water entitlements provide clear and secure </w:t>
            </w:r>
            <w:r w:rsidR="005C7BFE">
              <w:t>long</w:t>
            </w:r>
            <w:r w:rsidR="001C12EF">
              <w:noBreakHyphen/>
            </w:r>
            <w:r w:rsidR="005C7BFE">
              <w:t>term</w:t>
            </w:r>
            <w:r w:rsidR="00AD5CC0" w:rsidRPr="00AD5CC0">
              <w:t xml:space="preserve"> property rights </w:t>
            </w:r>
            <w:r w:rsidR="00E94EBB">
              <w:t xml:space="preserve">and </w:t>
            </w:r>
            <w:r>
              <w:t xml:space="preserve">have become </w:t>
            </w:r>
            <w:r w:rsidR="00AD5CC0" w:rsidRPr="00AD5CC0">
              <w:t>va</w:t>
            </w:r>
            <w:r w:rsidR="00905785">
              <w:t>luable asset</w:t>
            </w:r>
            <w:r>
              <w:t>s.</w:t>
            </w:r>
          </w:p>
          <w:p w14:paraId="42DA325F" w14:textId="3CBB96F3" w:rsidR="00AD5CC0" w:rsidRDefault="00AD5CC0" w:rsidP="004A3066">
            <w:pPr>
              <w:pStyle w:val="KeyPointsListBullet2"/>
              <w:ind w:left="568" w:hanging="284"/>
            </w:pPr>
            <w:r w:rsidRPr="00AD5CC0">
              <w:t xml:space="preserve">Market driven water trade has resulted in </w:t>
            </w:r>
            <w:r w:rsidR="00C33CE2">
              <w:t xml:space="preserve">higher value irrigated production, including </w:t>
            </w:r>
            <w:r w:rsidRPr="00AD5CC0">
              <w:t>th</w:t>
            </w:r>
            <w:r w:rsidR="00905785">
              <w:t>riving new irrigated industries</w:t>
            </w:r>
            <w:r w:rsidR="00E94EBB">
              <w:t>.</w:t>
            </w:r>
          </w:p>
          <w:p w14:paraId="47CB4A52" w14:textId="0A7F45A0" w:rsidR="00E861BA" w:rsidRDefault="00E861BA" w:rsidP="00E861BA">
            <w:pPr>
              <w:pStyle w:val="KeyPointsListBullet2"/>
              <w:ind w:left="568" w:hanging="284"/>
            </w:pPr>
            <w:r>
              <w:t xml:space="preserve">Trade gives </w:t>
            </w:r>
            <w:r w:rsidR="006278D7">
              <w:t xml:space="preserve">irrigators </w:t>
            </w:r>
            <w:r w:rsidRPr="00E861BA">
              <w:t xml:space="preserve">flexibility in managing </w:t>
            </w:r>
            <w:r w:rsidR="00C33CE2">
              <w:t>risks in water availability</w:t>
            </w:r>
            <w:r>
              <w:t xml:space="preserve"> and </w:t>
            </w:r>
            <w:r w:rsidRPr="00E861BA">
              <w:t>facilitat</w:t>
            </w:r>
            <w:r>
              <w:t xml:space="preserve">es </w:t>
            </w:r>
            <w:r w:rsidRPr="00E861BA">
              <w:t>longer</w:t>
            </w:r>
            <w:r w:rsidR="00583C25">
              <w:noBreakHyphen/>
            </w:r>
            <w:r w:rsidRPr="00E861BA">
              <w:t>term investment planning</w:t>
            </w:r>
            <w:r>
              <w:t>.</w:t>
            </w:r>
          </w:p>
          <w:p w14:paraId="5CEEF42B" w14:textId="4D5CB63B" w:rsidR="00E861BA" w:rsidRDefault="009B7674" w:rsidP="00E861BA">
            <w:pPr>
              <w:pStyle w:val="KeyPointsListBullet2"/>
              <w:ind w:left="568" w:hanging="284"/>
            </w:pPr>
            <w:r>
              <w:t>M</w:t>
            </w:r>
            <w:r w:rsidR="00E861BA" w:rsidRPr="00E861BA">
              <w:t xml:space="preserve">arket </w:t>
            </w:r>
            <w:r>
              <w:t xml:space="preserve">signals also </w:t>
            </w:r>
            <w:r w:rsidR="00E861BA" w:rsidRPr="00E861BA">
              <w:t>encourage</w:t>
            </w:r>
            <w:r w:rsidR="006278D7">
              <w:t xml:space="preserve"> irrigators </w:t>
            </w:r>
            <w:r w:rsidR="00E861BA" w:rsidRPr="00E861BA">
              <w:t xml:space="preserve">to become more technically efficient, </w:t>
            </w:r>
            <w:r w:rsidR="00E861BA">
              <w:t>freeing up water for other productive uses</w:t>
            </w:r>
            <w:r w:rsidR="00E861BA" w:rsidRPr="00E861BA">
              <w:t>.</w:t>
            </w:r>
          </w:p>
          <w:p w14:paraId="561A014B" w14:textId="7F999129" w:rsidR="00AE5ABC" w:rsidRDefault="009B7674" w:rsidP="00ED05A0">
            <w:pPr>
              <w:pStyle w:val="KeyPointsListBullet"/>
              <w:ind w:left="284" w:hanging="284"/>
            </w:pPr>
            <w:r>
              <w:t xml:space="preserve">A drying </w:t>
            </w:r>
            <w:r w:rsidR="007031E4">
              <w:t>climate and more variable seasonal conditions will place further challenges on</w:t>
            </w:r>
            <w:r w:rsidR="00A11AA7" w:rsidRPr="00A11AA7">
              <w:t xml:space="preserve"> irrigators and communities</w:t>
            </w:r>
            <w:r w:rsidR="0010742D">
              <w:t xml:space="preserve">. </w:t>
            </w:r>
            <w:r w:rsidR="00AD5CC0">
              <w:t>E</w:t>
            </w:r>
            <w:r w:rsidR="00AE5ABC" w:rsidRPr="00AE5ABC">
              <w:t xml:space="preserve">ntitlement holders </w:t>
            </w:r>
            <w:r w:rsidR="008F7E43">
              <w:t xml:space="preserve">are </w:t>
            </w:r>
            <w:r w:rsidR="0003597B">
              <w:t>well</w:t>
            </w:r>
            <w:r w:rsidR="00A072A3">
              <w:noBreakHyphen/>
            </w:r>
            <w:r w:rsidR="0003597B">
              <w:t xml:space="preserve">positioned </w:t>
            </w:r>
            <w:r w:rsidR="00AE5ABC" w:rsidRPr="00AE5ABC">
              <w:t xml:space="preserve">to address </w:t>
            </w:r>
            <w:r w:rsidR="00A11AA7">
              <w:t xml:space="preserve">future </w:t>
            </w:r>
            <w:r w:rsidR="00AE5ABC" w:rsidRPr="00AE5ABC">
              <w:t>challenges</w:t>
            </w:r>
            <w:r w:rsidR="00231507">
              <w:t>.</w:t>
            </w:r>
            <w:r w:rsidR="00AD5CC0">
              <w:t xml:space="preserve"> </w:t>
            </w:r>
            <w:r w:rsidR="00101E8D">
              <w:t>National Water Initiative</w:t>
            </w:r>
            <w:r w:rsidR="000A2426">
              <w:t xml:space="preserve"> (</w:t>
            </w:r>
            <w:r w:rsidR="008F7E43">
              <w:t>NWI</w:t>
            </w:r>
            <w:r w:rsidR="000A2426">
              <w:t>)</w:t>
            </w:r>
            <w:r w:rsidR="00101E8D">
              <w:t xml:space="preserve"> </w:t>
            </w:r>
            <w:r w:rsidR="00AD5CC0">
              <w:t xml:space="preserve">tools </w:t>
            </w:r>
            <w:r w:rsidR="00394A59">
              <w:t>can</w:t>
            </w:r>
            <w:r w:rsidR="00AD5CC0">
              <w:t xml:space="preserve"> enabl</w:t>
            </w:r>
            <w:r w:rsidR="00B85447">
              <w:t>e</w:t>
            </w:r>
            <w:r w:rsidR="00AD5CC0">
              <w:t xml:space="preserve"> businesses to adjust their water portfolios to better reflect their risk profile</w:t>
            </w:r>
            <w:r w:rsidR="00B85447">
              <w:t>s</w:t>
            </w:r>
            <w:r w:rsidR="00AD5CC0">
              <w:t xml:space="preserve"> and assist less viable businesses to adjust or exit</w:t>
            </w:r>
            <w:r w:rsidR="00360AA7">
              <w:t>.</w:t>
            </w:r>
          </w:p>
          <w:p w14:paraId="3EB074C3" w14:textId="2B6A1BC4" w:rsidR="00BE7578" w:rsidRPr="0037085C" w:rsidRDefault="00100F91" w:rsidP="00ED05A0">
            <w:pPr>
              <w:pStyle w:val="KeyPointsListBullet"/>
              <w:ind w:left="284" w:hanging="284"/>
            </w:pPr>
            <w:r w:rsidRPr="0037085C">
              <w:t>NWI renewal is an opportunity to strengthen those tools and frameworks</w:t>
            </w:r>
            <w:r w:rsidR="00AD5CC0" w:rsidRPr="0037085C">
              <w:t>.</w:t>
            </w:r>
            <w:r w:rsidR="006615A3">
              <w:t xml:space="preserve"> For example:</w:t>
            </w:r>
          </w:p>
          <w:p w14:paraId="127C2081" w14:textId="2D0A6040" w:rsidR="00FD1BCE" w:rsidRPr="0037085C" w:rsidRDefault="00F345C2" w:rsidP="00FD1BCE">
            <w:pPr>
              <w:pStyle w:val="KeyPointsListBullet2"/>
              <w:ind w:left="568" w:hanging="284"/>
            </w:pPr>
            <w:r>
              <w:t>r</w:t>
            </w:r>
            <w:r w:rsidR="00FD1BCE" w:rsidRPr="0037085C">
              <w:t>isk</w:t>
            </w:r>
            <w:r w:rsidR="001C12EF">
              <w:noBreakHyphen/>
            </w:r>
            <w:r w:rsidR="00FD1BCE" w:rsidRPr="0037085C">
              <w:t xml:space="preserve">based frameworks for </w:t>
            </w:r>
            <w:r w:rsidR="00EB5EC4">
              <w:t xml:space="preserve">managing </w:t>
            </w:r>
            <w:r w:rsidR="00FD1BCE" w:rsidRPr="0037085C">
              <w:t xml:space="preserve">water </w:t>
            </w:r>
            <w:r w:rsidR="00583C25" w:rsidRPr="0037085C">
              <w:t>uses</w:t>
            </w:r>
            <w:r w:rsidR="00FD1BCE" w:rsidRPr="0037085C">
              <w:t xml:space="preserve"> within entitlement regimes </w:t>
            </w:r>
            <w:r w:rsidR="006615A3">
              <w:t>c</w:t>
            </w:r>
            <w:r w:rsidR="00FD1BCE" w:rsidRPr="0037085C">
              <w:t xml:space="preserve">ould promote efficient management of shared </w:t>
            </w:r>
            <w:proofErr w:type="gramStart"/>
            <w:r w:rsidR="00FD1BCE" w:rsidRPr="0037085C">
              <w:t>resources</w:t>
            </w:r>
            <w:proofErr w:type="gramEnd"/>
          </w:p>
          <w:p w14:paraId="3EF7A92A" w14:textId="6C9B35AE" w:rsidR="00FD1BCE" w:rsidRPr="0037085C" w:rsidRDefault="00F345C2" w:rsidP="00FD1BCE">
            <w:pPr>
              <w:pStyle w:val="KeyPointsListBullet2"/>
              <w:ind w:left="568" w:hanging="284"/>
            </w:pPr>
            <w:r>
              <w:t>b</w:t>
            </w:r>
            <w:r w:rsidR="00FD1BCE" w:rsidRPr="0037085C">
              <w:t>est</w:t>
            </w:r>
            <w:r w:rsidR="00B24879">
              <w:noBreakHyphen/>
            </w:r>
            <w:r w:rsidR="00FD1BCE" w:rsidRPr="0037085C">
              <w:t xml:space="preserve">practice principles for community partnership and engagement would help to ensure water planning processes and outcomes reflect the diverse needs of rural </w:t>
            </w:r>
            <w:proofErr w:type="gramStart"/>
            <w:r w:rsidR="00FD1BCE" w:rsidRPr="0037085C">
              <w:t>communities</w:t>
            </w:r>
            <w:proofErr w:type="gramEnd"/>
          </w:p>
          <w:p w14:paraId="3E2181DB" w14:textId="2B4998C1" w:rsidR="00BE7578" w:rsidRPr="0037085C" w:rsidRDefault="00F345C2" w:rsidP="004A3066">
            <w:pPr>
              <w:pStyle w:val="KeyPointsListBullet2"/>
              <w:ind w:left="568" w:hanging="284"/>
            </w:pPr>
            <w:r>
              <w:t>a</w:t>
            </w:r>
            <w:r w:rsidR="00AE5ABC" w:rsidRPr="0037085C">
              <w:t xml:space="preserve"> new </w:t>
            </w:r>
            <w:r w:rsidR="00100F91" w:rsidRPr="0037085C">
              <w:t>i</w:t>
            </w:r>
            <w:r w:rsidR="00AE5ABC" w:rsidRPr="0037085C">
              <w:t xml:space="preserve">ntegrity element </w:t>
            </w:r>
            <w:r w:rsidR="00100F91" w:rsidRPr="0037085C">
              <w:t>would build</w:t>
            </w:r>
            <w:r w:rsidR="00AE5ABC" w:rsidRPr="0037085C">
              <w:t xml:space="preserve"> </w:t>
            </w:r>
            <w:r w:rsidR="00877F6E" w:rsidRPr="0037085C">
              <w:t xml:space="preserve">greater </w:t>
            </w:r>
            <w:r w:rsidR="00604D59" w:rsidRPr="0037085C">
              <w:t xml:space="preserve">confidence </w:t>
            </w:r>
            <w:r w:rsidR="00AE5ABC" w:rsidRPr="0037085C">
              <w:t xml:space="preserve">in water resource </w:t>
            </w:r>
            <w:proofErr w:type="gramStart"/>
            <w:r w:rsidR="00AE5ABC" w:rsidRPr="0037085C">
              <w:t>management</w:t>
            </w:r>
            <w:proofErr w:type="gramEnd"/>
          </w:p>
          <w:p w14:paraId="267F80FB" w14:textId="64E47F19" w:rsidR="00BE7578" w:rsidRPr="0037085C" w:rsidRDefault="00F345C2" w:rsidP="004A3066">
            <w:pPr>
              <w:pStyle w:val="KeyPointsListBullet2"/>
              <w:ind w:left="568" w:hanging="284"/>
            </w:pPr>
            <w:r>
              <w:t>s</w:t>
            </w:r>
            <w:r w:rsidR="00170FB6" w:rsidRPr="0037085C">
              <w:t xml:space="preserve">tronger </w:t>
            </w:r>
            <w:r w:rsidR="00BE7578" w:rsidRPr="0037085C">
              <w:t xml:space="preserve">trading </w:t>
            </w:r>
            <w:r w:rsidR="00170FB6" w:rsidRPr="0037085C">
              <w:t xml:space="preserve">foundations </w:t>
            </w:r>
            <w:r w:rsidR="00BE7578" w:rsidRPr="0037085C">
              <w:t xml:space="preserve">and better market information </w:t>
            </w:r>
            <w:r w:rsidR="00100F91" w:rsidRPr="0037085C">
              <w:t>would provide greater support for</w:t>
            </w:r>
            <w:r w:rsidR="00BE7578" w:rsidRPr="0037085C">
              <w:t xml:space="preserve"> commercial decision</w:t>
            </w:r>
            <w:r w:rsidR="00100F91" w:rsidRPr="0037085C">
              <w:noBreakHyphen/>
            </w:r>
            <w:proofErr w:type="gramStart"/>
            <w:r w:rsidR="00100F91" w:rsidRPr="0037085C">
              <w:t>making</w:t>
            </w:r>
            <w:proofErr w:type="gramEnd"/>
          </w:p>
          <w:p w14:paraId="0483EF89" w14:textId="2CECCC2F" w:rsidR="00B61A29" w:rsidRPr="004C7CA6" w:rsidRDefault="00F345C2" w:rsidP="004A3066">
            <w:pPr>
              <w:pStyle w:val="KeyPointsListBullet2"/>
              <w:ind w:left="568" w:hanging="284"/>
            </w:pPr>
            <w:r>
              <w:t>g</w:t>
            </w:r>
            <w:r w:rsidR="006114E6" w:rsidRPr="0037085C">
              <w:t xml:space="preserve">uiding principles that help ensure </w:t>
            </w:r>
            <w:r w:rsidR="00BE7578" w:rsidRPr="0037085C">
              <w:t>government</w:t>
            </w:r>
            <w:r w:rsidR="00B85447" w:rsidRPr="0037085C">
              <w:noBreakHyphen/>
            </w:r>
            <w:r w:rsidR="00BE7578" w:rsidRPr="0037085C">
              <w:t xml:space="preserve">funded infrastructure </w:t>
            </w:r>
            <w:r w:rsidR="006114E6" w:rsidRPr="0037085C">
              <w:t xml:space="preserve">investment </w:t>
            </w:r>
            <w:r w:rsidR="00BE7578" w:rsidRPr="0037085C">
              <w:t xml:space="preserve">is </w:t>
            </w:r>
            <w:r w:rsidR="008F7E43" w:rsidRPr="0037085C">
              <w:t xml:space="preserve">economically </w:t>
            </w:r>
            <w:r w:rsidR="00BE7578" w:rsidRPr="0037085C">
              <w:t xml:space="preserve">viable </w:t>
            </w:r>
            <w:r w:rsidR="006114E6" w:rsidRPr="0037085C">
              <w:t xml:space="preserve">would </w:t>
            </w:r>
            <w:r w:rsidR="00BE7578" w:rsidRPr="0037085C">
              <w:t>avoid future burdens on rural water users and communities</w:t>
            </w:r>
            <w:r w:rsidR="00B85447" w:rsidRPr="004C7CA6">
              <w:t>.</w:t>
            </w:r>
          </w:p>
          <w:p w14:paraId="5488FFC8" w14:textId="32B1F454" w:rsidR="00B87CB6" w:rsidRDefault="00B85447" w:rsidP="0044559B">
            <w:pPr>
              <w:pStyle w:val="KeyPointsListBullet"/>
              <w:ind w:left="284" w:hanging="284"/>
            </w:pPr>
            <w:r>
              <w:rPr>
                <w:rFonts w:asciiTheme="minorHAnsi" w:hAnsiTheme="minorHAnsi" w:cstheme="minorHAnsi"/>
                <w:szCs w:val="22"/>
              </w:rPr>
              <w:t xml:space="preserve">Inclusion of guiding </w:t>
            </w:r>
            <w:r w:rsidRPr="001A720A">
              <w:rPr>
                <w:rFonts w:asciiTheme="minorHAnsi" w:hAnsiTheme="minorHAnsi" w:cstheme="minorHAnsi"/>
                <w:szCs w:val="22"/>
              </w:rPr>
              <w:t xml:space="preserve">principles </w:t>
            </w:r>
            <w:r>
              <w:rPr>
                <w:rFonts w:asciiTheme="minorHAnsi" w:hAnsiTheme="minorHAnsi" w:cstheme="minorHAnsi"/>
                <w:szCs w:val="22"/>
              </w:rPr>
              <w:t xml:space="preserve">in a renewed </w:t>
            </w:r>
            <w:r w:rsidR="00877F6E">
              <w:rPr>
                <w:rFonts w:asciiTheme="minorHAnsi" w:hAnsiTheme="minorHAnsi" w:cstheme="minorHAnsi"/>
                <w:szCs w:val="22"/>
              </w:rPr>
              <w:t>NWI</w:t>
            </w:r>
            <w:r>
              <w:rPr>
                <w:rFonts w:asciiTheme="minorHAnsi" w:hAnsiTheme="minorHAnsi" w:cstheme="minorHAnsi"/>
                <w:szCs w:val="22"/>
              </w:rPr>
              <w:t xml:space="preserve"> would </w:t>
            </w:r>
            <w:r w:rsidR="00A11AA7">
              <w:rPr>
                <w:rFonts w:asciiTheme="minorHAnsi" w:hAnsiTheme="minorHAnsi" w:cstheme="minorHAnsi"/>
                <w:szCs w:val="22"/>
              </w:rPr>
              <w:t xml:space="preserve">clarify how </w:t>
            </w:r>
            <w:r>
              <w:rPr>
                <w:rFonts w:asciiTheme="minorHAnsi" w:hAnsiTheme="minorHAnsi" w:cstheme="minorHAnsi"/>
                <w:szCs w:val="22"/>
              </w:rPr>
              <w:t xml:space="preserve">governments </w:t>
            </w:r>
            <w:r w:rsidR="00A11AA7">
              <w:rPr>
                <w:rFonts w:asciiTheme="minorHAnsi" w:hAnsiTheme="minorHAnsi" w:cstheme="minorHAnsi"/>
                <w:szCs w:val="22"/>
              </w:rPr>
              <w:t xml:space="preserve">can </w:t>
            </w:r>
            <w:r w:rsidRPr="001A720A">
              <w:rPr>
                <w:rFonts w:asciiTheme="minorHAnsi" w:hAnsiTheme="minorHAnsi" w:cstheme="minorHAnsi"/>
                <w:szCs w:val="22"/>
              </w:rPr>
              <w:t>respon</w:t>
            </w:r>
            <w:r w:rsidR="00A11AA7">
              <w:rPr>
                <w:rFonts w:asciiTheme="minorHAnsi" w:hAnsiTheme="minorHAnsi" w:cstheme="minorHAnsi"/>
                <w:szCs w:val="22"/>
              </w:rPr>
              <w:t>d</w:t>
            </w:r>
            <w:r w:rsidRPr="001A720A">
              <w:rPr>
                <w:rFonts w:asciiTheme="minorHAnsi" w:hAnsiTheme="minorHAnsi" w:cstheme="minorHAnsi"/>
                <w:szCs w:val="22"/>
              </w:rPr>
              <w:t xml:space="preserve"> to </w:t>
            </w:r>
            <w:r>
              <w:rPr>
                <w:rFonts w:asciiTheme="minorHAnsi" w:hAnsiTheme="minorHAnsi" w:cstheme="minorHAnsi"/>
                <w:szCs w:val="22"/>
              </w:rPr>
              <w:t xml:space="preserve">any significant </w:t>
            </w:r>
            <w:r w:rsidRPr="001A720A">
              <w:rPr>
                <w:rFonts w:asciiTheme="minorHAnsi" w:hAnsiTheme="minorHAnsi" w:cstheme="minorHAnsi"/>
                <w:szCs w:val="22"/>
              </w:rPr>
              <w:t xml:space="preserve">adjustment pressures </w:t>
            </w:r>
            <w:r w:rsidR="00100F91">
              <w:rPr>
                <w:rFonts w:asciiTheme="minorHAnsi" w:hAnsiTheme="minorHAnsi" w:cstheme="minorHAnsi"/>
                <w:szCs w:val="22"/>
              </w:rPr>
              <w:t xml:space="preserve">faced by rural communities </w:t>
            </w:r>
            <w:proofErr w:type="gramStart"/>
            <w:r w:rsidR="00100F91">
              <w:rPr>
                <w:rFonts w:asciiTheme="minorHAnsi" w:hAnsiTheme="minorHAnsi" w:cstheme="minorHAnsi"/>
                <w:szCs w:val="22"/>
              </w:rPr>
              <w:t>as a result of</w:t>
            </w:r>
            <w:proofErr w:type="gramEnd"/>
            <w:r w:rsidRPr="001A720A">
              <w:rPr>
                <w:rFonts w:asciiTheme="minorHAnsi" w:hAnsiTheme="minorHAnsi" w:cstheme="minorHAnsi"/>
                <w:szCs w:val="22"/>
              </w:rPr>
              <w:t xml:space="preserve"> refor</w:t>
            </w:r>
            <w:r>
              <w:rPr>
                <w:rFonts w:asciiTheme="minorHAnsi" w:hAnsiTheme="minorHAnsi" w:cstheme="minorHAnsi"/>
                <w:szCs w:val="22"/>
              </w:rPr>
              <w:t>m</w:t>
            </w:r>
            <w:r>
              <w:rPr>
                <w:rFonts w:asciiTheme="minorHAnsi" w:hAnsiTheme="minorHAnsi" w:cstheme="minorHAnsi"/>
                <w:szCs w:val="22"/>
              </w:rPr>
              <w:noBreakHyphen/>
              <w:t xml:space="preserve">induced </w:t>
            </w:r>
            <w:r w:rsidR="00877F6E">
              <w:rPr>
                <w:rFonts w:asciiTheme="minorHAnsi" w:hAnsiTheme="minorHAnsi" w:cstheme="minorHAnsi"/>
                <w:szCs w:val="22"/>
              </w:rPr>
              <w:t>reductions</w:t>
            </w:r>
            <w:r>
              <w:rPr>
                <w:rFonts w:asciiTheme="minorHAnsi" w:hAnsiTheme="minorHAnsi" w:cstheme="minorHAnsi"/>
                <w:szCs w:val="22"/>
              </w:rPr>
              <w:t xml:space="preserve"> in</w:t>
            </w:r>
            <w:r w:rsidRPr="001A720A">
              <w:rPr>
                <w:rFonts w:asciiTheme="minorHAnsi" w:hAnsiTheme="minorHAnsi" w:cstheme="minorHAnsi"/>
                <w:szCs w:val="22"/>
              </w:rPr>
              <w:t xml:space="preserve"> water availability</w:t>
            </w:r>
            <w:r>
              <w:rPr>
                <w:rFonts w:asciiTheme="minorHAnsi" w:hAnsiTheme="minorHAnsi" w:cstheme="minorHAnsi"/>
                <w:szCs w:val="22"/>
              </w:rPr>
              <w:t>.</w:t>
            </w:r>
          </w:p>
          <w:p w14:paraId="26C99185" w14:textId="3544B554" w:rsidR="00DC5C47" w:rsidRPr="00463B6B" w:rsidRDefault="00D02D1F" w:rsidP="00463B6B">
            <w:pPr>
              <w:pStyle w:val="KeyPointsListBullet2"/>
              <w:ind w:left="568" w:hanging="284"/>
            </w:pPr>
            <w:proofErr w:type="gramStart"/>
            <w:r w:rsidRPr="00D02D1F">
              <w:t>Generally</w:t>
            </w:r>
            <w:proofErr w:type="gramEnd"/>
            <w:r w:rsidR="00B24879">
              <w:noBreakHyphen/>
            </w:r>
            <w:r w:rsidRPr="00D02D1F">
              <w:t xml:space="preserve">available measures </w:t>
            </w:r>
            <w:r w:rsidR="009D5B6D">
              <w:t xml:space="preserve">targeting the </w:t>
            </w:r>
            <w:r w:rsidRPr="00D02D1F">
              <w:t>welfare</w:t>
            </w:r>
            <w:r w:rsidR="009D5B6D">
              <w:t xml:space="preserve"> and </w:t>
            </w:r>
            <w:r w:rsidRPr="00D02D1F">
              <w:t>skill</w:t>
            </w:r>
            <w:r w:rsidR="009D5B6D">
              <w:t xml:space="preserve">s of </w:t>
            </w:r>
            <w:r w:rsidRPr="00D02D1F">
              <w:t xml:space="preserve">individuals, and regional development planning to leverage off </w:t>
            </w:r>
            <w:r w:rsidR="009D5B6D">
              <w:t xml:space="preserve">community level </w:t>
            </w:r>
            <w:r w:rsidRPr="00D02D1F">
              <w:t>capabilities and competitive advantages are usually the most appropriate responses to adjustment pressures.</w:t>
            </w:r>
          </w:p>
          <w:p w14:paraId="1DE06A71" w14:textId="77777777" w:rsidR="00CE13ED" w:rsidRDefault="004A3066" w:rsidP="00482145">
            <w:pPr>
              <w:pStyle w:val="KeyPointsListBullet2"/>
              <w:ind w:left="568" w:hanging="284"/>
            </w:pPr>
            <w:r>
              <w:t xml:space="preserve">Where specific assistance </w:t>
            </w:r>
            <w:r w:rsidR="00482145">
              <w:t>is warranted, government</w:t>
            </w:r>
            <w:r w:rsidR="00905785">
              <w:t>s</w:t>
            </w:r>
            <w:r w:rsidR="00482145">
              <w:t xml:space="preserve"> should facilitate change by focusing any direct assistance on </w:t>
            </w:r>
            <w:r w:rsidR="0034360C">
              <w:t xml:space="preserve">building adaptive capacity </w:t>
            </w:r>
            <w:r w:rsidR="0034360C" w:rsidRPr="00502655">
              <w:t xml:space="preserve">and </w:t>
            </w:r>
            <w:r w:rsidR="00482145" w:rsidRPr="00502655">
              <w:t xml:space="preserve">securing employment or business opportunities for the most vulnerable </w:t>
            </w:r>
            <w:r w:rsidR="00100F91" w:rsidRPr="00502655">
              <w:t xml:space="preserve">affected </w:t>
            </w:r>
            <w:r w:rsidR="00482145" w:rsidRPr="00502655">
              <w:t>individuals</w:t>
            </w:r>
            <w:r w:rsidR="00482145" w:rsidRPr="00482145">
              <w:t>.</w:t>
            </w:r>
          </w:p>
          <w:p w14:paraId="456043B2" w14:textId="77777777" w:rsidR="003B6701" w:rsidRDefault="00482145" w:rsidP="00CC1A4D">
            <w:pPr>
              <w:pStyle w:val="KeyPointsListBullet2"/>
              <w:ind w:left="568" w:hanging="284"/>
            </w:pPr>
            <w:r>
              <w:t>A</w:t>
            </w:r>
            <w:r w:rsidR="005060B9">
              <w:t xml:space="preserve">ssistance </w:t>
            </w:r>
            <w:r w:rsidR="00050935" w:rsidRPr="0068113C">
              <w:t>should</w:t>
            </w:r>
            <w:r w:rsidR="00050935">
              <w:t xml:space="preserve"> </w:t>
            </w:r>
            <w:r w:rsidR="00905785">
              <w:t>reflect</w:t>
            </w:r>
            <w:r>
              <w:t xml:space="preserve"> the needs of communities and be </w:t>
            </w:r>
            <w:r w:rsidR="00A632B6">
              <w:t xml:space="preserve">backed by a </w:t>
            </w:r>
            <w:r w:rsidR="00050935">
              <w:t>commit</w:t>
            </w:r>
            <w:r w:rsidR="00A632B6">
              <w:t>ment</w:t>
            </w:r>
            <w:r w:rsidR="00050935">
              <w:t xml:space="preserve"> to public monitoring and evaluation of outcomes.</w:t>
            </w:r>
          </w:p>
        </w:tc>
      </w:tr>
      <w:tr w:rsidR="003B6701" w14:paraId="18DEBE97" w14:textId="77777777" w:rsidTr="00F76F96">
        <w:tc>
          <w:tcPr>
            <w:tcW w:w="5000" w:type="pct"/>
            <w:tcBorders>
              <w:top w:val="nil"/>
              <w:left w:val="nil"/>
              <w:bottom w:val="single" w:sz="6" w:space="0" w:color="78A22F"/>
              <w:right w:val="nil"/>
            </w:tcBorders>
            <w:shd w:val="clear" w:color="auto" w:fill="F2F2F2"/>
          </w:tcPr>
          <w:p w14:paraId="5F6DF862" w14:textId="77777777" w:rsidR="003B6701" w:rsidRDefault="003B6701" w:rsidP="00F76F96">
            <w:pPr>
              <w:pStyle w:val="Box"/>
              <w:spacing w:before="0" w:line="120" w:lineRule="exact"/>
            </w:pPr>
          </w:p>
        </w:tc>
      </w:tr>
      <w:tr w:rsidR="003B6701" w:rsidRPr="000863A5" w14:paraId="731FA310" w14:textId="77777777" w:rsidTr="00F76F96">
        <w:tc>
          <w:tcPr>
            <w:tcW w:w="5000" w:type="pct"/>
            <w:tcBorders>
              <w:top w:val="single" w:sz="6" w:space="0" w:color="78A22F"/>
              <w:left w:val="nil"/>
              <w:bottom w:val="nil"/>
              <w:right w:val="nil"/>
            </w:tcBorders>
          </w:tcPr>
          <w:p w14:paraId="34426B6A" w14:textId="3CE0C246" w:rsidR="003B6701" w:rsidRPr="00626D32" w:rsidRDefault="003B6701" w:rsidP="00F76F96">
            <w:pPr>
              <w:pStyle w:val="BoxSpaceBelow"/>
            </w:pPr>
          </w:p>
        </w:tc>
      </w:tr>
    </w:tbl>
    <w:p w14:paraId="1FBF89B0" w14:textId="4A4DBC6A" w:rsidR="00D01C98" w:rsidRDefault="00A3626C" w:rsidP="00A3626C">
      <w:pPr>
        <w:pStyle w:val="BodyText"/>
      </w:pPr>
      <w:r>
        <w:t>National reform has transformed water resource management and water service provision in rural Australia</w:t>
      </w:r>
      <w:r w:rsidR="000863B8">
        <w:t xml:space="preserve">, delivering </w:t>
      </w:r>
      <w:r w:rsidR="00A137AC">
        <w:t>substantial</w:t>
      </w:r>
      <w:r w:rsidR="000863B8">
        <w:t xml:space="preserve"> benefits</w:t>
      </w:r>
      <w:r>
        <w:t xml:space="preserve">. However </w:t>
      </w:r>
      <w:r w:rsidR="00B434FF">
        <w:t xml:space="preserve">recent severe and extensive </w:t>
      </w:r>
      <w:r>
        <w:t>d</w:t>
      </w:r>
      <w:r w:rsidRPr="00A3626C">
        <w:t>rought</w:t>
      </w:r>
      <w:r w:rsidR="00EA1AE1">
        <w:t>s</w:t>
      </w:r>
      <w:r w:rsidRPr="00A3626C">
        <w:t>, long</w:t>
      </w:r>
      <w:r w:rsidR="003A7B1E">
        <w:noBreakHyphen/>
      </w:r>
      <w:r w:rsidRPr="00A3626C">
        <w:t xml:space="preserve">term declines in inflows </w:t>
      </w:r>
      <w:r w:rsidR="00B434FF">
        <w:t xml:space="preserve">across southern Australia </w:t>
      </w:r>
      <w:r w:rsidRPr="00A3626C">
        <w:t xml:space="preserve">and </w:t>
      </w:r>
      <w:r w:rsidR="001D4ECF">
        <w:t xml:space="preserve">the risks posed by </w:t>
      </w:r>
      <w:r w:rsidRPr="00A3626C">
        <w:t>climate change</w:t>
      </w:r>
      <w:r w:rsidR="006A1DEA">
        <w:t xml:space="preserve"> have</w:t>
      </w:r>
      <w:r w:rsidR="00B434FF" w:rsidRPr="00A56CCC">
        <w:rPr>
          <w:color w:val="265A9A" w:themeColor="background2"/>
        </w:rPr>
        <w:t xml:space="preserve"> </w:t>
      </w:r>
      <w:r w:rsidR="00FC4ED1">
        <w:t>create</w:t>
      </w:r>
      <w:r w:rsidR="006A1DEA">
        <w:t>d</w:t>
      </w:r>
      <w:r w:rsidR="00FC4ED1">
        <w:t xml:space="preserve"> significant challenges for irrigators and other rural water users and their water</w:t>
      </w:r>
      <w:r w:rsidR="001C12EF">
        <w:noBreakHyphen/>
      </w:r>
      <w:r w:rsidR="00FC4ED1">
        <w:t xml:space="preserve">dependent communities. </w:t>
      </w:r>
      <w:proofErr w:type="gramStart"/>
      <w:r w:rsidR="001B3C72">
        <w:t xml:space="preserve">Looking </w:t>
      </w:r>
      <w:r w:rsidR="00BD56AA">
        <w:t>forward</w:t>
      </w:r>
      <w:r w:rsidR="001B3C72">
        <w:t>,</w:t>
      </w:r>
      <w:r w:rsidR="00BD56AA">
        <w:t xml:space="preserve"> irrigators</w:t>
      </w:r>
      <w:proofErr w:type="gramEnd"/>
      <w:r w:rsidR="00BD56AA">
        <w:t xml:space="preserve"> </w:t>
      </w:r>
      <w:r w:rsidR="00FC4ED1">
        <w:t xml:space="preserve">will </w:t>
      </w:r>
      <w:r w:rsidR="00762118">
        <w:t xml:space="preserve">likely </w:t>
      </w:r>
      <w:r w:rsidR="00FC4ED1">
        <w:t xml:space="preserve">need to </w:t>
      </w:r>
      <w:r w:rsidR="00F345C2">
        <w:lastRenderedPageBreak/>
        <w:t>contend</w:t>
      </w:r>
      <w:r w:rsidR="00FC4ED1">
        <w:t xml:space="preserve"> with </w:t>
      </w:r>
      <w:r w:rsidR="001B3C72" w:rsidRPr="001B3C72">
        <w:t>more frequent and severe droughts</w:t>
      </w:r>
      <w:r w:rsidR="001B3C72">
        <w:t>,</w:t>
      </w:r>
      <w:r w:rsidR="001B3C72" w:rsidRPr="001B3C72" w:rsidDel="001B3C72">
        <w:t xml:space="preserve"> </w:t>
      </w:r>
      <w:r w:rsidR="001B3C72">
        <w:t>and</w:t>
      </w:r>
      <w:r w:rsidR="00FC4ED1">
        <w:t xml:space="preserve"> their businesses and </w:t>
      </w:r>
      <w:r w:rsidR="00BD56AA">
        <w:t xml:space="preserve">communities </w:t>
      </w:r>
      <w:r w:rsidR="006A1DEA">
        <w:t xml:space="preserve">will need to adapt </w:t>
      </w:r>
      <w:r w:rsidR="00BD56AA">
        <w:t>to</w:t>
      </w:r>
      <w:r w:rsidR="00FC4ED1">
        <w:t xml:space="preserve"> a world </w:t>
      </w:r>
      <w:r w:rsidR="001B3C72">
        <w:t xml:space="preserve">with </w:t>
      </w:r>
      <w:r w:rsidR="001B3C72" w:rsidRPr="001B3C72">
        <w:t>less water</w:t>
      </w:r>
      <w:r w:rsidR="00FC4ED1">
        <w:t>.</w:t>
      </w:r>
    </w:p>
    <w:p w14:paraId="1211D592" w14:textId="34D26E5D" w:rsidR="00A475A6" w:rsidRDefault="00A475A6" w:rsidP="00BB6675">
      <w:pPr>
        <w:pStyle w:val="BodyText"/>
      </w:pPr>
      <w:r>
        <w:t xml:space="preserve">This paper considers the </w:t>
      </w:r>
      <w:r w:rsidR="00762118">
        <w:t xml:space="preserve">realised and potential </w:t>
      </w:r>
      <w:r>
        <w:t>impact</w:t>
      </w:r>
      <w:r w:rsidR="0033091C">
        <w:t>s</w:t>
      </w:r>
      <w:r>
        <w:t xml:space="preserve"> of</w:t>
      </w:r>
      <w:r w:rsidR="00D51D41">
        <w:t xml:space="preserve"> water</w:t>
      </w:r>
      <w:r>
        <w:t xml:space="preserve"> reform on rural water users and communities. For </w:t>
      </w:r>
      <w:r w:rsidR="005C7BFE">
        <w:t xml:space="preserve">rural </w:t>
      </w:r>
      <w:r>
        <w:t xml:space="preserve">water users, </w:t>
      </w:r>
      <w:r w:rsidRPr="00A475A6">
        <w:t>NWI</w:t>
      </w:r>
      <w:r w:rsidR="00764B7F">
        <w:noBreakHyphen/>
      </w:r>
      <w:r w:rsidRPr="00A475A6">
        <w:t xml:space="preserve">consistent reforms </w:t>
      </w:r>
      <w:r w:rsidR="005C7BFE">
        <w:t xml:space="preserve">have </w:t>
      </w:r>
      <w:r w:rsidRPr="00A475A6">
        <w:t>provide</w:t>
      </w:r>
      <w:r w:rsidR="005C7BFE">
        <w:t>d</w:t>
      </w:r>
      <w:r w:rsidRPr="00A475A6">
        <w:t xml:space="preserve"> </w:t>
      </w:r>
      <w:r w:rsidRPr="00224408">
        <w:t xml:space="preserve">tools </w:t>
      </w:r>
      <w:r w:rsidR="000623C5" w:rsidRPr="00224408">
        <w:t>and frameworks</w:t>
      </w:r>
      <w:r w:rsidR="000623C5">
        <w:t xml:space="preserve"> </w:t>
      </w:r>
      <w:r w:rsidR="005C7BFE">
        <w:t xml:space="preserve">that support </w:t>
      </w:r>
      <w:r w:rsidR="00521E17">
        <w:t>long</w:t>
      </w:r>
      <w:r w:rsidR="00A072A3">
        <w:noBreakHyphen/>
      </w:r>
      <w:r w:rsidR="00521E17">
        <w:t>term business decision</w:t>
      </w:r>
      <w:r w:rsidR="005C7BFE">
        <w:noBreakHyphen/>
        <w:t>making</w:t>
      </w:r>
      <w:r w:rsidR="00521E17">
        <w:t xml:space="preserve"> </w:t>
      </w:r>
      <w:r w:rsidR="005C7BFE">
        <w:t xml:space="preserve">and </w:t>
      </w:r>
      <w:r w:rsidR="000623C5">
        <w:t>enabl</w:t>
      </w:r>
      <w:r w:rsidR="005C7BFE">
        <w:t>e</w:t>
      </w:r>
      <w:r w:rsidR="000623C5">
        <w:t xml:space="preserve"> </w:t>
      </w:r>
      <w:r w:rsidR="009F44AC">
        <w:t>adapt</w:t>
      </w:r>
      <w:r w:rsidR="005C7BFE">
        <w:t>ation</w:t>
      </w:r>
      <w:r w:rsidR="009F44AC">
        <w:t xml:space="preserve"> </w:t>
      </w:r>
      <w:r w:rsidR="000623C5">
        <w:t xml:space="preserve">to changing </w:t>
      </w:r>
      <w:r w:rsidR="000623C5" w:rsidRPr="00224408">
        <w:t>conditions</w:t>
      </w:r>
      <w:r w:rsidR="00950470">
        <w:t xml:space="preserve">. NWI renewal could strengthen these </w:t>
      </w:r>
      <w:r w:rsidR="00950470" w:rsidRPr="00224408">
        <w:t>supports</w:t>
      </w:r>
      <w:r>
        <w:t xml:space="preserve"> (section</w:t>
      </w:r>
      <w:r w:rsidR="003A7B1E">
        <w:t> </w:t>
      </w:r>
      <w:r>
        <w:t xml:space="preserve">1). For rural communities, a revised NWI could provide </w:t>
      </w:r>
      <w:r w:rsidR="00C33CE2">
        <w:t xml:space="preserve">clearer </w:t>
      </w:r>
      <w:r>
        <w:t xml:space="preserve">guidance </w:t>
      </w:r>
      <w:r w:rsidRPr="00A475A6">
        <w:t>on the role of government</w:t>
      </w:r>
      <w:r w:rsidR="004C7951">
        <w:t>s</w:t>
      </w:r>
      <w:r w:rsidRPr="00A475A6">
        <w:t xml:space="preserve"> in addressing adjustment issues </w:t>
      </w:r>
      <w:r>
        <w:t>(section</w:t>
      </w:r>
      <w:r w:rsidR="003A7B1E">
        <w:t> </w:t>
      </w:r>
      <w:r>
        <w:t>2)</w:t>
      </w:r>
      <w:r w:rsidRPr="00A475A6">
        <w:t>.</w:t>
      </w:r>
    </w:p>
    <w:p w14:paraId="513AF118" w14:textId="11D3B52F" w:rsidR="003B6701" w:rsidRDefault="00E62022" w:rsidP="003B6701">
      <w:pPr>
        <w:pStyle w:val="Heading2"/>
      </w:pPr>
      <w:bookmarkStart w:id="7" w:name="_Toc61426181"/>
      <w:bookmarkStart w:id="8" w:name="_Toc61441022"/>
      <w:bookmarkStart w:id="9" w:name="_Toc61873558"/>
      <w:r>
        <w:t>1</w:t>
      </w:r>
      <w:r w:rsidR="003B6701">
        <w:tab/>
      </w:r>
      <w:r w:rsidR="00905785">
        <w:t>R</w:t>
      </w:r>
      <w:r w:rsidR="003B6701">
        <w:t xml:space="preserve">eform </w:t>
      </w:r>
      <w:r w:rsidR="00905785">
        <w:t xml:space="preserve">and </w:t>
      </w:r>
      <w:r w:rsidR="00BE4C9D">
        <w:t>rural</w:t>
      </w:r>
      <w:r w:rsidR="003B6701">
        <w:t xml:space="preserve"> water users</w:t>
      </w:r>
      <w:bookmarkEnd w:id="7"/>
      <w:bookmarkEnd w:id="8"/>
      <w:bookmarkEnd w:id="9"/>
    </w:p>
    <w:p w14:paraId="5D400241" w14:textId="160238B1" w:rsidR="00704891" w:rsidRDefault="00B434FF" w:rsidP="00704891">
      <w:pPr>
        <w:pStyle w:val="BodyText"/>
      </w:pPr>
      <w:r>
        <w:t xml:space="preserve">Rural </w:t>
      </w:r>
      <w:r w:rsidR="00A26D4D">
        <w:t>businesses</w:t>
      </w:r>
      <w:r>
        <w:t xml:space="preserve"> — </w:t>
      </w:r>
      <w:r w:rsidR="001D180E">
        <w:t>mainly</w:t>
      </w:r>
      <w:r>
        <w:t xml:space="preserve"> </w:t>
      </w:r>
      <w:r w:rsidR="00802417">
        <w:t>irrigators</w:t>
      </w:r>
      <w:r w:rsidR="0056354F">
        <w:t xml:space="preserve"> </w:t>
      </w:r>
      <w:r>
        <w:t xml:space="preserve">— are </w:t>
      </w:r>
      <w:r w:rsidR="0068334C">
        <w:t>Australia’s largest water users</w:t>
      </w:r>
      <w:r>
        <w:t>. I</w:t>
      </w:r>
      <w:r w:rsidRPr="00E758C7">
        <w:t>n 201</w:t>
      </w:r>
      <w:r>
        <w:t>8</w:t>
      </w:r>
      <w:r>
        <w:noBreakHyphen/>
        <w:t xml:space="preserve">19, </w:t>
      </w:r>
      <w:r w:rsidR="001D180E">
        <w:t xml:space="preserve">water for agricultural purposes accounted for about </w:t>
      </w:r>
      <w:r>
        <w:t>70</w:t>
      </w:r>
      <w:r w:rsidR="00A26D4D">
        <w:t> </w:t>
      </w:r>
      <w:r>
        <w:t>per</w:t>
      </w:r>
      <w:r w:rsidR="00A26D4D">
        <w:t> </w:t>
      </w:r>
      <w:r>
        <w:t xml:space="preserve">cent of consumptive use </w:t>
      </w:r>
      <w:r w:rsidRPr="00554DA3">
        <w:rPr>
          <w:szCs w:val="24"/>
        </w:rPr>
        <w:t>(BOM 2020, p. 42)</w:t>
      </w:r>
      <w:r>
        <w:t>.</w:t>
      </w:r>
      <w:r w:rsidR="00CF2965">
        <w:t xml:space="preserve"> </w:t>
      </w:r>
      <w:r w:rsidR="00A26D4D">
        <w:t>Given this status</w:t>
      </w:r>
      <w:r w:rsidR="00704891" w:rsidRPr="00704891">
        <w:t xml:space="preserve">, </w:t>
      </w:r>
      <w:r w:rsidR="00A26D4D">
        <w:t xml:space="preserve">rural </w:t>
      </w:r>
      <w:r w:rsidR="00382406">
        <w:t xml:space="preserve">water </w:t>
      </w:r>
      <w:r w:rsidR="00A26D4D">
        <w:t>users</w:t>
      </w:r>
      <w:r w:rsidR="00704891" w:rsidRPr="00704891">
        <w:t xml:space="preserve"> have the most to gain from effecti</w:t>
      </w:r>
      <w:r w:rsidR="00853E95">
        <w:t>ve and efficient water resource</w:t>
      </w:r>
      <w:r w:rsidR="00704891" w:rsidRPr="00704891">
        <w:t xml:space="preserve"> management, </w:t>
      </w:r>
      <w:proofErr w:type="gramStart"/>
      <w:r w:rsidR="00704891" w:rsidRPr="00704891">
        <w:t>allocation</w:t>
      </w:r>
      <w:proofErr w:type="gramEnd"/>
      <w:r w:rsidR="00704891" w:rsidRPr="00704891">
        <w:t xml:space="preserve"> and service provision policies.</w:t>
      </w:r>
    </w:p>
    <w:p w14:paraId="7BA35DF6" w14:textId="4B120537" w:rsidR="006B6591" w:rsidRDefault="00AB1DB1" w:rsidP="006B6591">
      <w:pPr>
        <w:pStyle w:val="Heading3"/>
      </w:pPr>
      <w:r>
        <w:fldChar w:fldCharType="begin"/>
      </w:r>
      <w:r>
        <w:instrText xml:space="preserve"> COMMENTS  \* MERGEFORMAT </w:instrText>
      </w:r>
      <w:r>
        <w:fldChar w:fldCharType="end"/>
      </w:r>
      <w:bookmarkStart w:id="10" w:name="_Toc61873559"/>
      <w:r w:rsidR="00E62022">
        <w:t>1.1</w:t>
      </w:r>
      <w:r w:rsidR="00E62022">
        <w:tab/>
      </w:r>
      <w:r w:rsidR="006B6591">
        <w:t xml:space="preserve">NWI consistent reforms </w:t>
      </w:r>
      <w:r w:rsidR="003A235F">
        <w:t xml:space="preserve">have delivered large </w:t>
      </w:r>
      <w:proofErr w:type="gramStart"/>
      <w:r w:rsidR="003A235F">
        <w:t>benefits</w:t>
      </w:r>
      <w:bookmarkEnd w:id="10"/>
      <w:proofErr w:type="gramEnd"/>
    </w:p>
    <w:p w14:paraId="6050BCB0" w14:textId="07E0AD6C" w:rsidR="0068334C" w:rsidRDefault="00802417" w:rsidP="006B6591">
      <w:pPr>
        <w:pStyle w:val="BodyText"/>
      </w:pPr>
      <w:r>
        <w:t>Over the past 25 years, r</w:t>
      </w:r>
      <w:r w:rsidR="006B6591">
        <w:t xml:space="preserve">eforms promoting efficient </w:t>
      </w:r>
      <w:r w:rsidR="0056354F">
        <w:t xml:space="preserve">and sustainable </w:t>
      </w:r>
      <w:r w:rsidR="006B6591">
        <w:t xml:space="preserve">use </w:t>
      </w:r>
      <w:r w:rsidR="00A26D4D">
        <w:t xml:space="preserve">of water </w:t>
      </w:r>
      <w:r w:rsidR="006B6591">
        <w:t xml:space="preserve">have </w:t>
      </w:r>
      <w:r w:rsidR="005C1D8A">
        <w:t xml:space="preserve">enabled </w:t>
      </w:r>
      <w:r w:rsidR="006B6591">
        <w:t xml:space="preserve">significant gains for rural </w:t>
      </w:r>
      <w:r w:rsidR="00817CA8">
        <w:t xml:space="preserve">water </w:t>
      </w:r>
      <w:r w:rsidR="006B6591">
        <w:t xml:space="preserve">users. </w:t>
      </w:r>
      <w:r w:rsidR="00A37225" w:rsidRPr="00A37225">
        <w:t>The establishment of NWI</w:t>
      </w:r>
      <w:r w:rsidR="00764B7F">
        <w:noBreakHyphen/>
      </w:r>
      <w:r w:rsidR="00A37225" w:rsidRPr="00A37225">
        <w:t xml:space="preserve">consistent entitlement regimes </w:t>
      </w:r>
      <w:r w:rsidR="00A37225">
        <w:t xml:space="preserve">and trading frameworks </w:t>
      </w:r>
      <w:r w:rsidR="00A37225" w:rsidRPr="00A37225">
        <w:t>has been fundamental to unlocking the</w:t>
      </w:r>
      <w:r w:rsidR="00361445">
        <w:t>se gains</w:t>
      </w:r>
      <w:r w:rsidR="00A37225" w:rsidRPr="00A37225">
        <w:t>.</w:t>
      </w:r>
    </w:p>
    <w:p w14:paraId="4558AB37" w14:textId="27ED2511" w:rsidR="00720713" w:rsidRDefault="003B3326" w:rsidP="006B6591">
      <w:pPr>
        <w:pStyle w:val="BodyText"/>
      </w:pPr>
      <w:r>
        <w:t>Secure property rights,</w:t>
      </w:r>
      <w:r w:rsidR="00F555E3">
        <w:t xml:space="preserve"> separate from land</w:t>
      </w:r>
      <w:r>
        <w:t xml:space="preserve">, </w:t>
      </w:r>
      <w:bookmarkStart w:id="11" w:name="_Hlk58225951"/>
      <w:r>
        <w:t>provide the foundations for better management of Australia’s water resources.</w:t>
      </w:r>
      <w:bookmarkEnd w:id="11"/>
      <w:r>
        <w:t xml:space="preserve"> </w:t>
      </w:r>
      <w:r w:rsidR="00A37225">
        <w:t>A</w:t>
      </w:r>
      <w:r w:rsidR="00A37225" w:rsidRPr="00E35252">
        <w:t>s the National Farmers Federation (sub</w:t>
      </w:r>
      <w:r w:rsidR="00A37225">
        <w:t>. </w:t>
      </w:r>
      <w:r w:rsidR="00A37225" w:rsidRPr="00E35252">
        <w:t>42, p</w:t>
      </w:r>
      <w:r w:rsidR="00A37225">
        <w:t>. </w:t>
      </w:r>
      <w:r w:rsidR="006A1CDA">
        <w:t>13</w:t>
      </w:r>
      <w:r w:rsidR="00A37225" w:rsidRPr="00E35252">
        <w:t xml:space="preserve">) </w:t>
      </w:r>
      <w:r w:rsidR="00A37225">
        <w:t xml:space="preserve">noted, </w:t>
      </w:r>
      <w:r w:rsidR="00A37225" w:rsidRPr="00E35252">
        <w:t xml:space="preserve">‘for irrigated agriculture and the broader water management framework, the establishment of secure property rights has been a cornerstone that has </w:t>
      </w:r>
      <w:bookmarkStart w:id="12" w:name="_Hlk58225972"/>
      <w:r w:rsidR="00A37225" w:rsidRPr="00E35252">
        <w:t>underpinned much of the progress achieved under the NWI</w:t>
      </w:r>
      <w:bookmarkEnd w:id="12"/>
      <w:r w:rsidR="00A37225" w:rsidRPr="00E35252">
        <w:t>’</w:t>
      </w:r>
      <w:r w:rsidR="00A37225">
        <w:t>.</w:t>
      </w:r>
    </w:p>
    <w:p w14:paraId="6CF0DB64" w14:textId="6C8A328E" w:rsidR="003B3326" w:rsidRDefault="005F7E59" w:rsidP="00085F14">
      <w:pPr>
        <w:pStyle w:val="BodyText"/>
      </w:pPr>
      <w:r>
        <w:t>W</w:t>
      </w:r>
      <w:r w:rsidR="00A137AC">
        <w:t>ater m</w:t>
      </w:r>
      <w:r w:rsidR="00A137AC" w:rsidRPr="00DB7769">
        <w:t>ar</w:t>
      </w:r>
      <w:r w:rsidR="00A137AC">
        <w:t>kets and trade</w:t>
      </w:r>
      <w:r w:rsidR="00924A4B">
        <w:t xml:space="preserve"> </w:t>
      </w:r>
      <w:r>
        <w:t xml:space="preserve">— </w:t>
      </w:r>
      <w:r w:rsidR="00C35CE9">
        <w:t>enabled</w:t>
      </w:r>
      <w:r>
        <w:t xml:space="preserve"> by secure property rights — provide </w:t>
      </w:r>
      <w:r w:rsidRPr="005F7E59">
        <w:t>choice and flexibility</w:t>
      </w:r>
      <w:r w:rsidR="00F555E3">
        <w:t xml:space="preserve"> </w:t>
      </w:r>
      <w:r w:rsidR="00C35CE9">
        <w:t>to</w:t>
      </w:r>
      <w:r w:rsidR="00F555E3">
        <w:t xml:space="preserve"> irrigators</w:t>
      </w:r>
      <w:r w:rsidRPr="005F7E59">
        <w:t xml:space="preserve"> </w:t>
      </w:r>
      <w:r w:rsidR="00924A4B">
        <w:t xml:space="preserve">and </w:t>
      </w:r>
      <w:proofErr w:type="gramStart"/>
      <w:r w:rsidR="00A37225">
        <w:t>open</w:t>
      </w:r>
      <w:r w:rsidR="0068334C">
        <w:t xml:space="preserve"> </w:t>
      </w:r>
      <w:r>
        <w:t>up</w:t>
      </w:r>
      <w:proofErr w:type="gramEnd"/>
      <w:r>
        <w:t xml:space="preserve"> </w:t>
      </w:r>
      <w:r w:rsidR="00924A4B">
        <w:t xml:space="preserve">new </w:t>
      </w:r>
      <w:r w:rsidR="00F555E3">
        <w:t xml:space="preserve">business </w:t>
      </w:r>
      <w:r w:rsidR="00924A4B">
        <w:t>opportunities</w:t>
      </w:r>
      <w:r w:rsidR="00A137AC">
        <w:t>.</w:t>
      </w:r>
      <w:r w:rsidR="00A37225">
        <w:t xml:space="preserve"> </w:t>
      </w:r>
      <w:bookmarkStart w:id="13" w:name="_Hlk58227164"/>
      <w:r w:rsidR="0041742B">
        <w:t xml:space="preserve">By facilitating </w:t>
      </w:r>
      <w:r w:rsidR="0041742B" w:rsidRPr="00C92795">
        <w:t>longer</w:t>
      </w:r>
      <w:r w:rsidR="0041742B">
        <w:noBreakHyphen/>
      </w:r>
      <w:r w:rsidR="0041742B" w:rsidRPr="00C92795">
        <w:t xml:space="preserve">term investment planning, including </w:t>
      </w:r>
      <w:r w:rsidR="00FF539A">
        <w:t>about</w:t>
      </w:r>
      <w:r w:rsidR="00FF539A" w:rsidRPr="00C92795">
        <w:t xml:space="preserve"> </w:t>
      </w:r>
      <w:r w:rsidR="0041742B" w:rsidRPr="00C92795">
        <w:t>decisions to change production or exit irrigated agriculture</w:t>
      </w:r>
      <w:r w:rsidR="0041742B">
        <w:t>, farmers have more flexibility in managing their businesses</w:t>
      </w:r>
      <w:bookmarkEnd w:id="13"/>
      <w:r w:rsidR="0041742B">
        <w:t xml:space="preserve"> </w:t>
      </w:r>
      <w:r w:rsidR="00F211C5" w:rsidRPr="00F211C5">
        <w:rPr>
          <w:szCs w:val="24"/>
        </w:rPr>
        <w:t>(NWC 2011, pp. </w:t>
      </w:r>
      <w:r w:rsidR="00F211C5" w:rsidRPr="006A1CDA">
        <w:rPr>
          <w:szCs w:val="24"/>
        </w:rPr>
        <w:t>62–71)</w:t>
      </w:r>
      <w:r w:rsidR="0041742B" w:rsidRPr="00C92795">
        <w:t>.</w:t>
      </w:r>
      <w:r w:rsidR="0041742B">
        <w:t xml:space="preserve"> </w:t>
      </w:r>
      <w:bookmarkStart w:id="14" w:name="_Hlk58227223"/>
      <w:r>
        <w:t xml:space="preserve">Furthermore, </w:t>
      </w:r>
      <w:r w:rsidR="003B3326">
        <w:t>i</w:t>
      </w:r>
      <w:r w:rsidR="003B3326" w:rsidRPr="003B3326">
        <w:t xml:space="preserve">rrigators now own valuable assets </w:t>
      </w:r>
      <w:r>
        <w:t xml:space="preserve">that </w:t>
      </w:r>
      <w:r w:rsidR="003B3326" w:rsidRPr="003B3326">
        <w:t>can be used as collateral for loans</w:t>
      </w:r>
      <w:r>
        <w:t xml:space="preserve"> —</w:t>
      </w:r>
      <w:r w:rsidR="003B3326">
        <w:t xml:space="preserve"> </w:t>
      </w:r>
      <w:r w:rsidR="00C35CE9">
        <w:t xml:space="preserve">estimates put the </w:t>
      </w:r>
      <w:r w:rsidR="00C35CE9" w:rsidRPr="00DB7769">
        <w:t xml:space="preserve">total value of entitlements in the southern </w:t>
      </w:r>
      <w:r w:rsidR="00F64BAF" w:rsidRPr="003303EF">
        <w:t>Murray</w:t>
      </w:r>
      <w:r w:rsidR="00F345C2" w:rsidRPr="002D5625">
        <w:rPr>
          <w:i/>
        </w:rPr>
        <w:t>–</w:t>
      </w:r>
      <w:r w:rsidR="00F64BAF" w:rsidRPr="003303EF">
        <w:t xml:space="preserve">Darling Basin </w:t>
      </w:r>
      <w:r w:rsidR="00F64BAF">
        <w:t>(MDB)</w:t>
      </w:r>
      <w:r w:rsidR="00C35CE9">
        <w:t xml:space="preserve"> at more than</w:t>
      </w:r>
      <w:r w:rsidR="00C35CE9" w:rsidRPr="00DB7769">
        <w:t xml:space="preserve"> $2</w:t>
      </w:r>
      <w:r w:rsidR="00C35CE9">
        <w:t xml:space="preserve">6 billion </w:t>
      </w:r>
      <w:r w:rsidR="006A1CDA" w:rsidRPr="006A1CDA">
        <w:rPr>
          <w:szCs w:val="24"/>
        </w:rPr>
        <w:t>(</w:t>
      </w:r>
      <w:proofErr w:type="spellStart"/>
      <w:r w:rsidR="006A1CDA" w:rsidRPr="006A1CDA">
        <w:rPr>
          <w:szCs w:val="24"/>
        </w:rPr>
        <w:t>Aither</w:t>
      </w:r>
      <w:proofErr w:type="spellEnd"/>
      <w:r w:rsidR="006A1CDA" w:rsidRPr="006A1CDA">
        <w:rPr>
          <w:szCs w:val="24"/>
        </w:rPr>
        <w:t> 2020, p. 5)</w:t>
      </w:r>
      <w:r w:rsidR="003B3326">
        <w:t>.</w:t>
      </w:r>
    </w:p>
    <w:bookmarkEnd w:id="14"/>
    <w:p w14:paraId="1FA80AB6" w14:textId="03C17CA1" w:rsidR="00015439" w:rsidRDefault="00015439" w:rsidP="00015439">
      <w:pPr>
        <w:pStyle w:val="BodyText"/>
      </w:pPr>
      <w:r>
        <w:t>M</w:t>
      </w:r>
      <w:r w:rsidRPr="00DB7769">
        <w:t>ar</w:t>
      </w:r>
      <w:r>
        <w:t xml:space="preserve">ket driven water trade has also </w:t>
      </w:r>
      <w:r w:rsidR="009807C6">
        <w:t xml:space="preserve">enabled </w:t>
      </w:r>
      <w:r>
        <w:t xml:space="preserve">equitable </w:t>
      </w:r>
      <w:r w:rsidRPr="005A0916">
        <w:t>water</w:t>
      </w:r>
      <w:r>
        <w:t xml:space="preserve"> recovery for </w:t>
      </w:r>
      <w:r w:rsidR="00C93F60">
        <w:t xml:space="preserve">the </w:t>
      </w:r>
      <w:r>
        <w:t xml:space="preserve">environment. </w:t>
      </w:r>
      <w:r w:rsidR="0041742B">
        <w:t>T</w:t>
      </w:r>
      <w:r>
        <w:t xml:space="preserve">he </w:t>
      </w:r>
      <w:r w:rsidR="00861C84">
        <w:t xml:space="preserve">strength of </w:t>
      </w:r>
      <w:r>
        <w:t xml:space="preserve">water property rights has been fundamental to addressing overallocation, particularly in the </w:t>
      </w:r>
      <w:r w:rsidR="009807C6">
        <w:t>MDB</w:t>
      </w:r>
      <w:r>
        <w:t>, where farmers have been compensated for water recovery through a mix of market purchases and on</w:t>
      </w:r>
      <w:r w:rsidR="00A072A3">
        <w:noBreakHyphen/>
      </w:r>
      <w:r>
        <w:t>farm water efficiency measures.</w:t>
      </w:r>
    </w:p>
    <w:p w14:paraId="30D6D57A" w14:textId="7062D7F8" w:rsidR="00492840" w:rsidRDefault="00FF55E5" w:rsidP="00015439">
      <w:pPr>
        <w:pStyle w:val="BodyText"/>
      </w:pPr>
      <w:bookmarkStart w:id="15" w:name="_Hlk58227602"/>
      <w:r>
        <w:lastRenderedPageBreak/>
        <w:t>E</w:t>
      </w:r>
      <w:r w:rsidR="00262F0F" w:rsidRPr="00492840">
        <w:t>conomic regulation and local ownership and management</w:t>
      </w:r>
      <w:r w:rsidR="00262F0F">
        <w:t xml:space="preserve"> </w:t>
      </w:r>
      <w:r w:rsidR="0069458D" w:rsidRPr="00492840">
        <w:t>(especially by irrigators)</w:t>
      </w:r>
      <w:r w:rsidR="0069458D">
        <w:t xml:space="preserve"> </w:t>
      </w:r>
      <w:r w:rsidR="00427948">
        <w:t>of rural</w:t>
      </w:r>
      <w:r w:rsidR="00427948" w:rsidRPr="00262F0F">
        <w:t xml:space="preserve"> water service</w:t>
      </w:r>
      <w:r w:rsidR="00427948">
        <w:t xml:space="preserve"> providers</w:t>
      </w:r>
      <w:r w:rsidR="00262F0F" w:rsidRPr="00492840">
        <w:t xml:space="preserve"> ha</w:t>
      </w:r>
      <w:r w:rsidR="00B411BA">
        <w:t>ve</w:t>
      </w:r>
      <w:r w:rsidR="00262F0F">
        <w:t xml:space="preserve"> </w:t>
      </w:r>
      <w:r w:rsidR="00262F0F" w:rsidRPr="00492840">
        <w:t xml:space="preserve">improved </w:t>
      </w:r>
      <w:r w:rsidR="00262F0F" w:rsidRPr="00262F0F">
        <w:t xml:space="preserve">the accountability, productivity, </w:t>
      </w:r>
      <w:proofErr w:type="gramStart"/>
      <w:r w:rsidR="00262F0F" w:rsidRPr="00262F0F">
        <w:t>efficiency</w:t>
      </w:r>
      <w:proofErr w:type="gramEnd"/>
      <w:r w:rsidR="00262F0F" w:rsidRPr="00262F0F">
        <w:t xml:space="preserve"> and responsiveness of </w:t>
      </w:r>
      <w:r w:rsidR="00427948">
        <w:t xml:space="preserve">these businesses </w:t>
      </w:r>
      <w:r w:rsidR="00E05C44">
        <w:t xml:space="preserve">to the needs of rural water users </w:t>
      </w:r>
      <w:r w:rsidR="00262F0F" w:rsidRPr="00262F0F">
        <w:rPr>
          <w:szCs w:val="24"/>
        </w:rPr>
        <w:t>(PC 2017, p. 237)</w:t>
      </w:r>
      <w:r w:rsidR="00262F0F">
        <w:t>.</w:t>
      </w:r>
    </w:p>
    <w:p w14:paraId="04FAA5A2" w14:textId="373169F3" w:rsidR="00E05C44" w:rsidRDefault="00E05C44" w:rsidP="00E05C44">
      <w:pPr>
        <w:pStyle w:val="BodyText"/>
      </w:pPr>
      <w:bookmarkStart w:id="16" w:name="_Hlk58227637"/>
      <w:bookmarkEnd w:id="15"/>
      <w:r>
        <w:t xml:space="preserve">Water reforms have </w:t>
      </w:r>
      <w:r w:rsidR="00404985">
        <w:t xml:space="preserve">also </w:t>
      </w:r>
      <w:r>
        <w:t xml:space="preserve">led to </w:t>
      </w:r>
      <w:bookmarkStart w:id="17" w:name="_Hlk58314784"/>
      <w:r>
        <w:t xml:space="preserve">significant </w:t>
      </w:r>
      <w:r w:rsidR="00D90DE0">
        <w:t xml:space="preserve">efficiency gains </w:t>
      </w:r>
      <w:bookmarkEnd w:id="17"/>
      <w:r w:rsidR="00D90DE0">
        <w:t xml:space="preserve">by </w:t>
      </w:r>
      <w:r>
        <w:t>chang</w:t>
      </w:r>
      <w:r w:rsidR="00D90DE0">
        <w:t>ing</w:t>
      </w:r>
      <w:r>
        <w:t xml:space="preserve"> where and how water is used in rural Australia. </w:t>
      </w:r>
      <w:bookmarkEnd w:id="16"/>
      <w:r>
        <w:t xml:space="preserve">Across the agricultural sector, </w:t>
      </w:r>
      <w:r w:rsidR="00D90DE0" w:rsidRPr="00D90DE0">
        <w:t xml:space="preserve">market driven trade has enabled </w:t>
      </w:r>
      <w:r>
        <w:t xml:space="preserve">water resources to move to higher value uses. </w:t>
      </w:r>
      <w:r w:rsidR="00D90DE0">
        <w:t xml:space="preserve">This </w:t>
      </w:r>
      <w:r>
        <w:t>has enabled the rapid development of thriving new irrigated</w:t>
      </w:r>
      <w:r w:rsidRPr="00DB7769">
        <w:t xml:space="preserve"> industries</w:t>
      </w:r>
      <w:r>
        <w:t xml:space="preserve">, </w:t>
      </w:r>
      <w:r w:rsidRPr="00DB7769">
        <w:t>such as nut growing</w:t>
      </w:r>
      <w:r>
        <w:t>. On farm efficiency has also been encouraged by price signals that highlight the true value (or opportunity cost)</w:t>
      </w:r>
      <w:r w:rsidRPr="005C1D8A">
        <w:t xml:space="preserve"> </w:t>
      </w:r>
      <w:r>
        <w:t xml:space="preserve">of water </w:t>
      </w:r>
      <w:r w:rsidRPr="003227DC">
        <w:rPr>
          <w:szCs w:val="24"/>
        </w:rPr>
        <w:t>(ACCC 2020, p. 84)</w:t>
      </w:r>
      <w:r w:rsidRPr="005C1D8A">
        <w:t>.</w:t>
      </w:r>
      <w:r>
        <w:t xml:space="preserve"> And by highlighting the alternative uses of water, markets</w:t>
      </w:r>
      <w:r w:rsidR="00E45FF3">
        <w:t xml:space="preserve"> </w:t>
      </w:r>
      <w:r>
        <w:t xml:space="preserve">encourage farmers to become more technically efficient with the water they use, </w:t>
      </w:r>
      <w:r w:rsidRPr="00E861BA">
        <w:t xml:space="preserve">freeing up </w:t>
      </w:r>
      <w:r>
        <w:t>water for other productive uses.</w:t>
      </w:r>
    </w:p>
    <w:p w14:paraId="0CAFA51D" w14:textId="751CBF1F" w:rsidR="006B6591" w:rsidRDefault="009872BC" w:rsidP="006B6591">
      <w:pPr>
        <w:pStyle w:val="BodyText"/>
      </w:pPr>
      <w:r>
        <w:t xml:space="preserve">These </w:t>
      </w:r>
      <w:r w:rsidR="0004486C">
        <w:t>reform</w:t>
      </w:r>
      <w:r>
        <w:t>s</w:t>
      </w:r>
      <w:r w:rsidR="0004486C">
        <w:t xml:space="preserve"> </w:t>
      </w:r>
      <w:r>
        <w:t xml:space="preserve">have also </w:t>
      </w:r>
      <w:r w:rsidR="00484635">
        <w:t xml:space="preserve">done much to </w:t>
      </w:r>
      <w:r w:rsidR="006B1C1B">
        <w:t>position</w:t>
      </w:r>
      <w:r w:rsidR="00592C55">
        <w:t xml:space="preserve"> </w:t>
      </w:r>
      <w:r w:rsidR="006B6591">
        <w:t xml:space="preserve">entitlement holders </w:t>
      </w:r>
      <w:r w:rsidR="00592C55">
        <w:t xml:space="preserve">to </w:t>
      </w:r>
      <w:r w:rsidR="005260FD">
        <w:t>manag</w:t>
      </w:r>
      <w:r>
        <w:t>e</w:t>
      </w:r>
      <w:r w:rsidR="005260FD">
        <w:t xml:space="preserve"> risk</w:t>
      </w:r>
      <w:r w:rsidR="00817CA8">
        <w:t>s</w:t>
      </w:r>
      <w:r w:rsidR="005260FD">
        <w:t xml:space="preserve"> </w:t>
      </w:r>
      <w:r>
        <w:t>by</w:t>
      </w:r>
      <w:r w:rsidR="006B6591">
        <w:t>:</w:t>
      </w:r>
    </w:p>
    <w:p w14:paraId="495DF777" w14:textId="403976BF" w:rsidR="006B6591" w:rsidRDefault="009872BC" w:rsidP="006B6591">
      <w:pPr>
        <w:pStyle w:val="ListBullet"/>
      </w:pPr>
      <w:r>
        <w:t xml:space="preserve">establishing </w:t>
      </w:r>
      <w:r w:rsidR="00AE05D8">
        <w:t>c</w:t>
      </w:r>
      <w:r w:rsidR="006B6591">
        <w:t xml:space="preserve">lear and </w:t>
      </w:r>
      <w:r w:rsidR="009F43B0">
        <w:t>well</w:t>
      </w:r>
      <w:r w:rsidR="001C12EF">
        <w:noBreakHyphen/>
      </w:r>
      <w:r w:rsidR="009F43B0">
        <w:t>defined</w:t>
      </w:r>
      <w:r w:rsidR="006B6591">
        <w:t xml:space="preserve"> property rights that can be traded</w:t>
      </w:r>
      <w:r w:rsidR="00704891">
        <w:t xml:space="preserve"> (</w:t>
      </w:r>
      <w:r w:rsidR="006D3060">
        <w:t>SP </w:t>
      </w:r>
      <w:proofErr w:type="gramStart"/>
      <w:r w:rsidR="009F24E5" w:rsidRPr="009F24E5">
        <w:t>A</w:t>
      </w:r>
      <w:proofErr w:type="gramEnd"/>
      <w:r w:rsidR="009F24E5" w:rsidRPr="009F24E5">
        <w:t xml:space="preserve"> </w:t>
      </w:r>
      <w:r w:rsidR="003227DC" w:rsidRPr="009F24E5">
        <w:rPr>
          <w:i/>
          <w:iCs/>
        </w:rPr>
        <w:t>Entitlements</w:t>
      </w:r>
      <w:r w:rsidR="003547C4">
        <w:rPr>
          <w:i/>
          <w:iCs/>
        </w:rPr>
        <w:t xml:space="preserve"> and </w:t>
      </w:r>
      <w:r w:rsidR="00C22DC2">
        <w:rPr>
          <w:i/>
          <w:iCs/>
        </w:rPr>
        <w:t>p</w:t>
      </w:r>
      <w:r w:rsidR="003547C4">
        <w:rPr>
          <w:i/>
          <w:iCs/>
        </w:rPr>
        <w:t>lanning</w:t>
      </w:r>
      <w:r w:rsidR="003227DC" w:rsidRPr="009F24E5">
        <w:t xml:space="preserve">, </w:t>
      </w:r>
      <w:r w:rsidR="006D3060">
        <w:t>SP </w:t>
      </w:r>
      <w:r w:rsidR="009F24E5" w:rsidRPr="009F24E5">
        <w:t xml:space="preserve">B </w:t>
      </w:r>
      <w:r w:rsidR="009F24E5" w:rsidRPr="009F24E5">
        <w:rPr>
          <w:i/>
          <w:iCs/>
        </w:rPr>
        <w:t>Trading</w:t>
      </w:r>
      <w:r w:rsidR="003227DC">
        <w:t>)</w:t>
      </w:r>
    </w:p>
    <w:p w14:paraId="34EB7755" w14:textId="34B1D234" w:rsidR="006B6591" w:rsidRDefault="009872BC" w:rsidP="006B6591">
      <w:pPr>
        <w:pStyle w:val="ListBullet"/>
      </w:pPr>
      <w:r>
        <w:t xml:space="preserve">requiring </w:t>
      </w:r>
      <w:r w:rsidR="00AE05D8">
        <w:t>t</w:t>
      </w:r>
      <w:r w:rsidR="006B6591">
        <w:t xml:space="preserve">ransparent and consultative </w:t>
      </w:r>
      <w:r w:rsidR="000F0DC5">
        <w:t xml:space="preserve">water </w:t>
      </w:r>
      <w:r w:rsidR="006B6591">
        <w:t>planning processes that establish the rules for how and when water rights can be used</w:t>
      </w:r>
      <w:r w:rsidR="003227DC">
        <w:t xml:space="preserve"> (</w:t>
      </w:r>
      <w:r w:rsidR="006D3060">
        <w:t>SP </w:t>
      </w:r>
      <w:proofErr w:type="gramStart"/>
      <w:r w:rsidR="009F24E5" w:rsidRPr="009F24E5">
        <w:t>A</w:t>
      </w:r>
      <w:proofErr w:type="gramEnd"/>
      <w:r w:rsidR="009F24E5" w:rsidRPr="009F24E5">
        <w:t xml:space="preserve"> </w:t>
      </w:r>
      <w:r w:rsidR="009F24E5" w:rsidRPr="00BD3033">
        <w:rPr>
          <w:i/>
          <w:iCs/>
        </w:rPr>
        <w:t>Entitlements</w:t>
      </w:r>
      <w:r w:rsidR="003547C4">
        <w:rPr>
          <w:i/>
          <w:iCs/>
        </w:rPr>
        <w:t xml:space="preserve"> and </w:t>
      </w:r>
      <w:r w:rsidR="00C22DC2">
        <w:rPr>
          <w:i/>
          <w:iCs/>
        </w:rPr>
        <w:t>p</w:t>
      </w:r>
      <w:r w:rsidR="003547C4">
        <w:rPr>
          <w:i/>
          <w:iCs/>
        </w:rPr>
        <w:t>lanning</w:t>
      </w:r>
      <w:r w:rsidR="009F24E5" w:rsidRPr="00BD3033">
        <w:t>,</w:t>
      </w:r>
      <w:r w:rsidR="009F24E5">
        <w:t xml:space="preserve"> </w:t>
      </w:r>
      <w:r w:rsidR="006D3060">
        <w:t>SP </w:t>
      </w:r>
      <w:r w:rsidR="009F24E5" w:rsidRPr="009F24E5">
        <w:t>J</w:t>
      </w:r>
      <w:r w:rsidR="009F24E5" w:rsidRPr="009F24E5" w:rsidDel="009F24E5">
        <w:t xml:space="preserve"> </w:t>
      </w:r>
      <w:r w:rsidR="000635A0">
        <w:rPr>
          <w:i/>
          <w:iCs/>
        </w:rPr>
        <w:t>Engagement</w:t>
      </w:r>
      <w:r w:rsidR="003227DC">
        <w:t>)</w:t>
      </w:r>
    </w:p>
    <w:p w14:paraId="484DCF52" w14:textId="04DC6343" w:rsidR="006B6591" w:rsidRDefault="009872BC" w:rsidP="006B6591">
      <w:pPr>
        <w:pStyle w:val="ListBullet"/>
      </w:pPr>
      <w:r>
        <w:t xml:space="preserve">mandating </w:t>
      </w:r>
      <w:r w:rsidR="00AE05D8">
        <w:t>c</w:t>
      </w:r>
      <w:r w:rsidR="006B6591">
        <w:t>lear risk assignment frameworks for short and long</w:t>
      </w:r>
      <w:r w:rsidR="003A7B1E">
        <w:noBreakHyphen/>
      </w:r>
      <w:r w:rsidR="006B6591">
        <w:t>term changes in water availability</w:t>
      </w:r>
      <w:r w:rsidR="003227DC">
        <w:t xml:space="preserve"> (</w:t>
      </w:r>
      <w:r w:rsidR="006D3060">
        <w:t>SP </w:t>
      </w:r>
      <w:proofErr w:type="gramStart"/>
      <w:r w:rsidR="009F24E5" w:rsidRPr="009F24E5">
        <w:t>A</w:t>
      </w:r>
      <w:proofErr w:type="gramEnd"/>
      <w:r w:rsidR="009F24E5" w:rsidRPr="009F24E5">
        <w:t xml:space="preserve"> </w:t>
      </w:r>
      <w:r w:rsidR="009F24E5" w:rsidRPr="00BD3033">
        <w:rPr>
          <w:i/>
          <w:iCs/>
        </w:rPr>
        <w:t>Entitlements</w:t>
      </w:r>
      <w:r w:rsidR="00C46904">
        <w:rPr>
          <w:i/>
          <w:iCs/>
        </w:rPr>
        <w:t xml:space="preserve"> and </w:t>
      </w:r>
      <w:r w:rsidR="00C22DC2">
        <w:rPr>
          <w:i/>
          <w:iCs/>
        </w:rPr>
        <w:t>p</w:t>
      </w:r>
      <w:r w:rsidR="00C46904">
        <w:rPr>
          <w:i/>
          <w:iCs/>
        </w:rPr>
        <w:t>lanning</w:t>
      </w:r>
      <w:r w:rsidR="003227DC">
        <w:t>)</w:t>
      </w:r>
      <w:r w:rsidR="0041742B">
        <w:t>.</w:t>
      </w:r>
    </w:p>
    <w:p w14:paraId="005D23DA" w14:textId="15AB2DEC" w:rsidR="00974421" w:rsidRDefault="00FF55E5" w:rsidP="00044E8B">
      <w:pPr>
        <w:pStyle w:val="BodyText"/>
      </w:pPr>
      <w:r>
        <w:t>The above NWI</w:t>
      </w:r>
      <w:r w:rsidR="006B6591">
        <w:t xml:space="preserve"> frameworks </w:t>
      </w:r>
      <w:r w:rsidR="00974421">
        <w:t>— particularly</w:t>
      </w:r>
      <w:r w:rsidR="00974421" w:rsidRPr="00974421">
        <w:t xml:space="preserve"> trad</w:t>
      </w:r>
      <w:r w:rsidR="00974421">
        <w:t>able</w:t>
      </w:r>
      <w:r w:rsidR="00974421" w:rsidRPr="00974421">
        <w:t xml:space="preserve"> water </w:t>
      </w:r>
      <w:r w:rsidR="00974421">
        <w:t xml:space="preserve">rights — </w:t>
      </w:r>
      <w:r w:rsidR="006B6591">
        <w:t>have prove</w:t>
      </w:r>
      <w:r w:rsidR="003D5AC8">
        <w:t>d</w:t>
      </w:r>
      <w:r w:rsidR="006B6591">
        <w:t xml:space="preserve"> their worth</w:t>
      </w:r>
      <w:r w:rsidR="005260FD">
        <w:t xml:space="preserve"> </w:t>
      </w:r>
      <w:r w:rsidR="000A2B1A">
        <w:t>in times of drought. S</w:t>
      </w:r>
      <w:r w:rsidR="006B6591">
        <w:t xml:space="preserve">ome entitlement holders have </w:t>
      </w:r>
      <w:r w:rsidR="0041742B">
        <w:t xml:space="preserve">been able to sell </w:t>
      </w:r>
      <w:r w:rsidR="006B6591">
        <w:t xml:space="preserve">water allocations to </w:t>
      </w:r>
      <w:r w:rsidR="00893B0A">
        <w:t xml:space="preserve">provide revenue to support production changes and to </w:t>
      </w:r>
      <w:r w:rsidR="006B6591">
        <w:t xml:space="preserve">manage debt, while purchasers </w:t>
      </w:r>
      <w:r w:rsidR="009F37FE">
        <w:t xml:space="preserve">of allocations </w:t>
      </w:r>
      <w:r w:rsidR="006B6591">
        <w:t xml:space="preserve">have been able to maintain </w:t>
      </w:r>
      <w:r w:rsidR="009F44AC">
        <w:t xml:space="preserve">high value </w:t>
      </w:r>
      <w:r w:rsidR="006B6591">
        <w:t>production and permanent plantings</w:t>
      </w:r>
      <w:r w:rsidR="00317874">
        <w:t>. A</w:t>
      </w:r>
      <w:r w:rsidR="00317874" w:rsidRPr="00317874">
        <w:t xml:space="preserve">llocation trade </w:t>
      </w:r>
      <w:proofErr w:type="gramStart"/>
      <w:r w:rsidR="00317874">
        <w:t>in particular allows</w:t>
      </w:r>
      <w:proofErr w:type="gramEnd"/>
      <w:r w:rsidR="00317874">
        <w:t xml:space="preserve"> </w:t>
      </w:r>
      <w:r w:rsidR="00317874" w:rsidRPr="00317874">
        <w:t xml:space="preserve">water </w:t>
      </w:r>
      <w:r w:rsidR="00317874">
        <w:t xml:space="preserve">to </w:t>
      </w:r>
      <w:r w:rsidR="00317874" w:rsidRPr="00317874">
        <w:t xml:space="preserve">move from producers with flexible irrigation demands (such as rice and cotton growers) to those with inflexible demands (such as horticulturalists with perennial crops) in response to seasonal variations </w:t>
      </w:r>
      <w:r w:rsidR="00317874" w:rsidRPr="00812FDE">
        <w:t>in water availability.</w:t>
      </w:r>
    </w:p>
    <w:p w14:paraId="61E93961" w14:textId="4675ABB7" w:rsidR="00044E8B" w:rsidRPr="008E6FB1" w:rsidRDefault="00FA0C5F" w:rsidP="00044E8B">
      <w:pPr>
        <w:pStyle w:val="BodyText"/>
        <w:rPr>
          <w:spacing w:val="-2"/>
        </w:rPr>
      </w:pPr>
      <w:r w:rsidRPr="008E6FB1">
        <w:rPr>
          <w:spacing w:val="-2"/>
        </w:rPr>
        <w:t>Studies of the economic benefits of water trading, although dated, pointed to substantial value</w:t>
      </w:r>
      <w:r w:rsidR="00974421" w:rsidRPr="008E6FB1">
        <w:rPr>
          <w:spacing w:val="-2"/>
        </w:rPr>
        <w:t>,</w:t>
      </w:r>
      <w:r w:rsidRPr="008E6FB1">
        <w:rPr>
          <w:spacing w:val="-2"/>
        </w:rPr>
        <w:t xml:space="preserve"> concentrated in times of drought</w:t>
      </w:r>
      <w:r w:rsidR="00D90DE0" w:rsidRPr="008E6FB1">
        <w:rPr>
          <w:spacing w:val="-2"/>
        </w:rPr>
        <w:t xml:space="preserve">. </w:t>
      </w:r>
      <w:r w:rsidR="00BD094C" w:rsidRPr="008E6FB1">
        <w:rPr>
          <w:spacing w:val="-2"/>
        </w:rPr>
        <w:t xml:space="preserve">For example, </w:t>
      </w:r>
      <w:r w:rsidR="00044E8B" w:rsidRPr="008E6FB1">
        <w:rPr>
          <w:spacing w:val="-2"/>
        </w:rPr>
        <w:t xml:space="preserve">research commissioned </w:t>
      </w:r>
      <w:r w:rsidR="00BD094C" w:rsidRPr="008E6FB1">
        <w:rPr>
          <w:spacing w:val="-2"/>
        </w:rPr>
        <w:t xml:space="preserve">by </w:t>
      </w:r>
      <w:r w:rsidR="00044E8B" w:rsidRPr="008E6FB1">
        <w:rPr>
          <w:spacing w:val="-2"/>
        </w:rPr>
        <w:t xml:space="preserve">the </w:t>
      </w:r>
      <w:r w:rsidR="00A95746" w:rsidRPr="008E6FB1">
        <w:rPr>
          <w:spacing w:val="-2"/>
        </w:rPr>
        <w:t xml:space="preserve">National Water Commission </w:t>
      </w:r>
      <w:r w:rsidR="00044E8B" w:rsidRPr="008E6FB1">
        <w:rPr>
          <w:spacing w:val="-2"/>
        </w:rPr>
        <w:t>illustrated its significant value during the Millennium drought. This work culminated in a 2012 study that estimated that regional GDP in the southern MDB was $4.3 billion higher over the 5 years to 2010</w:t>
      </w:r>
      <w:r w:rsidR="001C12EF" w:rsidRPr="008E6FB1">
        <w:rPr>
          <w:spacing w:val="-2"/>
        </w:rPr>
        <w:noBreakHyphen/>
      </w:r>
      <w:r w:rsidR="00044E8B" w:rsidRPr="008E6FB1">
        <w:rPr>
          <w:spacing w:val="-2"/>
        </w:rPr>
        <w:t>11 than it would have been without water trading. Gains were concentrated in the dr</w:t>
      </w:r>
      <w:r w:rsidR="00BD094C" w:rsidRPr="008E6FB1">
        <w:rPr>
          <w:spacing w:val="-2"/>
        </w:rPr>
        <w:t>iest</w:t>
      </w:r>
      <w:r w:rsidR="00044E8B" w:rsidRPr="008E6FB1">
        <w:rPr>
          <w:spacing w:val="-2"/>
        </w:rPr>
        <w:t xml:space="preserve"> years of </w:t>
      </w:r>
      <w:bookmarkStart w:id="18" w:name="_Hlk58228421"/>
      <w:r w:rsidR="00044E8B" w:rsidRPr="008E6FB1">
        <w:rPr>
          <w:spacing w:val="-2"/>
        </w:rPr>
        <w:t>2007</w:t>
      </w:r>
      <w:r w:rsidR="001C12EF" w:rsidRPr="008E6FB1">
        <w:rPr>
          <w:spacing w:val="-2"/>
        </w:rPr>
        <w:noBreakHyphen/>
      </w:r>
      <w:r w:rsidR="00044E8B" w:rsidRPr="008E6FB1">
        <w:rPr>
          <w:spacing w:val="-2"/>
        </w:rPr>
        <w:t>08 and 2008</w:t>
      </w:r>
      <w:r w:rsidR="001C12EF" w:rsidRPr="008E6FB1">
        <w:rPr>
          <w:spacing w:val="-2"/>
        </w:rPr>
        <w:noBreakHyphen/>
      </w:r>
      <w:r w:rsidR="00044E8B" w:rsidRPr="008E6FB1">
        <w:rPr>
          <w:spacing w:val="-2"/>
        </w:rPr>
        <w:t xml:space="preserve">09 </w:t>
      </w:r>
      <w:bookmarkEnd w:id="18"/>
      <w:r w:rsidR="00044E8B" w:rsidRPr="008E6FB1">
        <w:rPr>
          <w:spacing w:val="-2"/>
          <w:szCs w:val="24"/>
        </w:rPr>
        <w:t>(NWC 2012, p. xii)</w:t>
      </w:r>
      <w:r w:rsidR="00044E8B" w:rsidRPr="008E6FB1">
        <w:rPr>
          <w:spacing w:val="-2"/>
        </w:rPr>
        <w:t>.</w:t>
      </w:r>
    </w:p>
    <w:p w14:paraId="563DD1D7" w14:textId="1E7E2942" w:rsidR="005C54F3" w:rsidRDefault="00FF55E5" w:rsidP="00B4445B">
      <w:pPr>
        <w:pStyle w:val="BodyText"/>
      </w:pPr>
      <w:bookmarkStart w:id="19" w:name="_Hlk58314864"/>
      <w:r>
        <w:t>T</w:t>
      </w:r>
      <w:r w:rsidR="00B4445B">
        <w:t>rading ha</w:t>
      </w:r>
      <w:r w:rsidR="00974421">
        <w:t>s</w:t>
      </w:r>
      <w:r w:rsidR="00B4445B">
        <w:t xml:space="preserve"> </w:t>
      </w:r>
      <w:r w:rsidR="009F44AC">
        <w:t>allowed</w:t>
      </w:r>
      <w:bookmarkEnd w:id="19"/>
      <w:r w:rsidR="00A0696F" w:rsidRPr="00812FDE">
        <w:t xml:space="preserve"> the gross value of irrigated agricultural production </w:t>
      </w:r>
      <w:r w:rsidR="00974421">
        <w:t xml:space="preserve">in Australia </w:t>
      </w:r>
      <w:r w:rsidR="009F44AC">
        <w:t xml:space="preserve">to </w:t>
      </w:r>
      <w:r w:rsidR="009675EE" w:rsidRPr="00146024">
        <w:t>increase</w:t>
      </w:r>
      <w:r w:rsidR="009F44AC">
        <w:t xml:space="preserve"> </w:t>
      </w:r>
      <w:r w:rsidR="00813C46">
        <w:t xml:space="preserve">in most years </w:t>
      </w:r>
      <w:r w:rsidR="004232D5" w:rsidRPr="00812FDE">
        <w:t>over</w:t>
      </w:r>
      <w:r w:rsidR="00056D02" w:rsidRPr="00812FDE">
        <w:t xml:space="preserve"> </w:t>
      </w:r>
      <w:r w:rsidR="009675EE" w:rsidRPr="00146024">
        <w:t xml:space="preserve">the </w:t>
      </w:r>
      <w:r w:rsidR="00056D02" w:rsidRPr="00812FDE">
        <w:t xml:space="preserve">period </w:t>
      </w:r>
      <w:r w:rsidR="009675EE" w:rsidRPr="00146024">
        <w:t>from 2008</w:t>
      </w:r>
      <w:r w:rsidR="00A072A3">
        <w:noBreakHyphen/>
      </w:r>
      <w:r w:rsidR="009675EE" w:rsidRPr="00146024">
        <w:t>09 to 201</w:t>
      </w:r>
      <w:r w:rsidR="00813C46">
        <w:t>8</w:t>
      </w:r>
      <w:r w:rsidR="00A072A3">
        <w:noBreakHyphen/>
      </w:r>
      <w:r w:rsidR="009675EE" w:rsidRPr="00146024">
        <w:t>1</w:t>
      </w:r>
      <w:r w:rsidR="00813C46">
        <w:t>9</w:t>
      </w:r>
      <w:r w:rsidR="009675EE" w:rsidRPr="00146024">
        <w:t xml:space="preserve">, </w:t>
      </w:r>
      <w:r w:rsidR="00720713">
        <w:t>despite water use</w:t>
      </w:r>
      <w:r w:rsidR="0041742B">
        <w:t xml:space="preserve"> </w:t>
      </w:r>
      <w:r w:rsidR="002006D5">
        <w:t xml:space="preserve">varying </w:t>
      </w:r>
      <w:bookmarkStart w:id="20" w:name="_Hlk58228573"/>
      <w:r w:rsidR="002006D5">
        <w:t xml:space="preserve">considerably between wet and dry years </w:t>
      </w:r>
      <w:bookmarkEnd w:id="20"/>
      <w:r w:rsidR="00875E1C" w:rsidRPr="00832276">
        <w:t>(figure</w:t>
      </w:r>
      <w:r w:rsidR="00A072A3">
        <w:t> </w:t>
      </w:r>
      <w:r w:rsidR="00875E1C">
        <w:t>1</w:t>
      </w:r>
      <w:r w:rsidR="00812FDE" w:rsidRPr="00146024">
        <w:t>)</w:t>
      </w:r>
      <w:r w:rsidR="009675EE" w:rsidRPr="00146024">
        <w:t>. From 2012</w:t>
      </w:r>
      <w:r w:rsidR="00A072A3">
        <w:noBreakHyphen/>
      </w:r>
      <w:r w:rsidR="009675EE" w:rsidRPr="00146024">
        <w:t xml:space="preserve">13 </w:t>
      </w:r>
      <w:r w:rsidR="00015439">
        <w:t>to</w:t>
      </w:r>
      <w:r w:rsidR="009675EE" w:rsidRPr="00146024">
        <w:t xml:space="preserve"> 2014</w:t>
      </w:r>
      <w:r w:rsidR="00A072A3">
        <w:noBreakHyphen/>
      </w:r>
      <w:r w:rsidR="009675EE" w:rsidRPr="00146024">
        <w:t>15</w:t>
      </w:r>
      <w:r w:rsidR="000F0DC5">
        <w:t>,</w:t>
      </w:r>
      <w:r w:rsidR="009675EE" w:rsidRPr="00146024">
        <w:t xml:space="preserve"> </w:t>
      </w:r>
      <w:r w:rsidR="00015439" w:rsidRPr="00812FDE">
        <w:t>production</w:t>
      </w:r>
      <w:r w:rsidR="009675EE" w:rsidRPr="00146024">
        <w:t xml:space="preserve"> increased (in nominal and real terms) despite a </w:t>
      </w:r>
      <w:r w:rsidR="00374F7B">
        <w:t>29</w:t>
      </w:r>
      <w:r w:rsidR="009675EE" w:rsidRPr="00146024">
        <w:t xml:space="preserve"> per</w:t>
      </w:r>
      <w:r w:rsidR="00720713">
        <w:t> </w:t>
      </w:r>
      <w:r w:rsidR="009675EE" w:rsidRPr="00146024">
        <w:t xml:space="preserve">cent </w:t>
      </w:r>
      <w:r w:rsidR="00812FDE" w:rsidRPr="00146024">
        <w:t xml:space="preserve">reduction in water </w:t>
      </w:r>
      <w:r w:rsidR="001A3FC3">
        <w:t>use for irrigation</w:t>
      </w:r>
      <w:r w:rsidR="00812FDE" w:rsidRPr="00146024">
        <w:t>.</w:t>
      </w:r>
      <w:r w:rsidR="00504513">
        <w:t xml:space="preserve"> </w:t>
      </w:r>
      <w:r w:rsidR="00813C46">
        <w:t>And in 2018</w:t>
      </w:r>
      <w:r w:rsidR="001C12EF">
        <w:noBreakHyphen/>
      </w:r>
      <w:r w:rsidR="00813C46">
        <w:t>19</w:t>
      </w:r>
      <w:r w:rsidR="00F20ECC">
        <w:t xml:space="preserve"> the value of </w:t>
      </w:r>
      <w:r w:rsidR="00813C46" w:rsidRPr="00812FDE">
        <w:t>production</w:t>
      </w:r>
      <w:r w:rsidR="00813C46">
        <w:t xml:space="preserve"> was at its second highest level on record</w:t>
      </w:r>
      <w:r w:rsidR="00F20ECC">
        <w:t>, despite record breaking droughts across much of Australia.</w:t>
      </w:r>
    </w:p>
    <w:p w14:paraId="1CA80DC8" w14:textId="3800536C" w:rsidR="00EE7A65" w:rsidRDefault="00EE7A65" w:rsidP="00B8544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EE7A65" w14:paraId="2B1E4E8D" w14:textId="77777777" w:rsidTr="00B85447">
        <w:trPr>
          <w:tblHeader/>
        </w:trPr>
        <w:tc>
          <w:tcPr>
            <w:tcW w:w="5000" w:type="pct"/>
            <w:tcBorders>
              <w:top w:val="single" w:sz="6" w:space="0" w:color="78A22F"/>
              <w:left w:val="nil"/>
              <w:bottom w:val="nil"/>
              <w:right w:val="nil"/>
            </w:tcBorders>
            <w:shd w:val="clear" w:color="auto" w:fill="auto"/>
          </w:tcPr>
          <w:p w14:paraId="17F8493C" w14:textId="49889D98" w:rsidR="00504513" w:rsidRPr="00A33418" w:rsidRDefault="00EE7A65" w:rsidP="00E77730">
            <w:pPr>
              <w:pStyle w:val="ListNumber"/>
              <w:keepNext/>
              <w:keepLines/>
              <w:numPr>
                <w:ilvl w:val="0"/>
                <w:numId w:val="0"/>
              </w:numPr>
              <w:spacing w:after="80" w:line="280" w:lineRule="exact"/>
              <w:ind w:left="1474" w:hanging="1474"/>
              <w:jc w:val="left"/>
              <w:rPr>
                <w:rFonts w:ascii="Arial" w:hAnsi="Arial"/>
                <w:szCs w:val="24"/>
              </w:rPr>
            </w:pPr>
            <w:bookmarkStart w:id="21" w:name="_Hlk58228614"/>
            <w:r w:rsidRPr="00944BB1">
              <w:rPr>
                <w:rFonts w:ascii="Arial" w:hAnsi="Arial"/>
                <w:szCs w:val="24"/>
              </w:rPr>
              <w:t>Figure</w:t>
            </w:r>
            <w:r w:rsidR="001C12EF">
              <w:rPr>
                <w:rFonts w:ascii="Arial" w:hAnsi="Arial"/>
                <w:szCs w:val="24"/>
              </w:rPr>
              <w:t> </w:t>
            </w:r>
            <w:r w:rsidR="00B75E27">
              <w:rPr>
                <w:rFonts w:ascii="Arial" w:hAnsi="Arial"/>
              </w:rPr>
              <w:t>1</w:t>
            </w:r>
            <w:r>
              <w:tab/>
            </w:r>
            <w:r w:rsidR="0010742D">
              <w:rPr>
                <w:rFonts w:ascii="Arial" w:hAnsi="Arial"/>
                <w:b/>
                <w:szCs w:val="24"/>
              </w:rPr>
              <w:t>Australia’s g</w:t>
            </w:r>
            <w:r w:rsidR="00494132" w:rsidRPr="00494132">
              <w:rPr>
                <w:rFonts w:ascii="Arial" w:hAnsi="Arial"/>
                <w:b/>
                <w:szCs w:val="24"/>
              </w:rPr>
              <w:t>ross value of irrigated agricultural production</w:t>
            </w:r>
            <w:r w:rsidR="0010742D">
              <w:rPr>
                <w:rFonts w:ascii="Arial" w:hAnsi="Arial"/>
                <w:b/>
                <w:szCs w:val="24"/>
              </w:rPr>
              <w:t xml:space="preserve"> </w:t>
            </w:r>
            <w:r w:rsidR="00494132" w:rsidRPr="00494132">
              <w:rPr>
                <w:rFonts w:ascii="Arial" w:hAnsi="Arial"/>
                <w:b/>
                <w:szCs w:val="24"/>
              </w:rPr>
              <w:t>increased</w:t>
            </w:r>
            <w:r w:rsidR="00DE6828">
              <w:rPr>
                <w:rFonts w:ascii="Arial" w:hAnsi="Arial"/>
                <w:b/>
                <w:szCs w:val="24"/>
              </w:rPr>
              <w:t xml:space="preserve"> in most years</w:t>
            </w:r>
            <w:r w:rsidR="00494132" w:rsidRPr="00494132">
              <w:rPr>
                <w:rFonts w:ascii="Arial" w:hAnsi="Arial"/>
                <w:b/>
                <w:szCs w:val="24"/>
              </w:rPr>
              <w:t xml:space="preserve"> despite variable water </w:t>
            </w:r>
            <w:proofErr w:type="gramStart"/>
            <w:r w:rsidR="00494132" w:rsidRPr="00494132">
              <w:rPr>
                <w:rFonts w:ascii="Arial" w:hAnsi="Arial"/>
                <w:b/>
                <w:szCs w:val="24"/>
              </w:rPr>
              <w:t>use</w:t>
            </w:r>
            <w:proofErr w:type="spellStart"/>
            <w:r w:rsidR="005C1476">
              <w:rPr>
                <w:rStyle w:val="NoteLabel"/>
              </w:rPr>
              <w:t>a,b</w:t>
            </w:r>
            <w:proofErr w:type="spellEnd"/>
            <w:proofErr w:type="gramEnd"/>
          </w:p>
        </w:tc>
      </w:tr>
      <w:tr w:rsidR="00EE7A65" w14:paraId="5B255B66" w14:textId="77777777" w:rsidTr="00B85447">
        <w:tc>
          <w:tcPr>
            <w:tcW w:w="5000" w:type="pct"/>
            <w:tcBorders>
              <w:top w:val="nil"/>
              <w:left w:val="nil"/>
              <w:bottom w:val="nil"/>
              <w:right w:val="nil"/>
            </w:tcBorders>
            <w:shd w:val="clear" w:color="auto" w:fill="auto"/>
            <w:tcMar>
              <w:top w:w="28" w:type="dxa"/>
              <w:bottom w:w="28" w:type="dxa"/>
            </w:tcMar>
          </w:tcPr>
          <w:tbl>
            <w:tblPr>
              <w:tblW w:w="8505" w:type="dxa"/>
              <w:jc w:val="center"/>
              <w:tblBorders>
                <w:top w:val="single" w:sz="6" w:space="0" w:color="F15A25" w:themeColor="accent4"/>
                <w:bottom w:val="single" w:sz="6" w:space="0" w:color="F15A25" w:themeColor="accent4"/>
              </w:tblBorders>
              <w:tblCellMar>
                <w:top w:w="28" w:type="dxa"/>
              </w:tblCellMar>
              <w:tblLook w:val="0000" w:firstRow="0" w:lastRow="0" w:firstColumn="0" w:lastColumn="0" w:noHBand="0" w:noVBand="0"/>
              <w:tblDescription w:val="Nested table used for design layout."/>
            </w:tblPr>
            <w:tblGrid>
              <w:gridCol w:w="8505"/>
            </w:tblGrid>
            <w:tr w:rsidR="00EE7A65" w:rsidRPr="00B1465D" w14:paraId="6BF6DC68" w14:textId="77777777" w:rsidTr="00006345">
              <w:trPr>
                <w:tblHeader/>
                <w:jc w:val="center"/>
              </w:trPr>
              <w:tc>
                <w:tcPr>
                  <w:tcW w:w="8505" w:type="dxa"/>
                  <w:tcBorders>
                    <w:top w:val="nil"/>
                    <w:bottom w:val="nil"/>
                  </w:tcBorders>
                </w:tcPr>
                <w:p w14:paraId="44B84333" w14:textId="580114B3" w:rsidR="00EE7A65" w:rsidRPr="00B1465D" w:rsidRDefault="000766EB" w:rsidP="00405FFA">
                  <w:pPr>
                    <w:pStyle w:val="Figure"/>
                    <w:spacing w:before="60" w:after="60"/>
                    <w:rPr>
                      <w:rFonts w:ascii="Arial" w:hAnsi="Arial" w:cs="Arial"/>
                      <w:sz w:val="18"/>
                      <w:szCs w:val="18"/>
                    </w:rPr>
                  </w:pPr>
                  <w:r w:rsidRPr="000766EB">
                    <w:rPr>
                      <w:rFonts w:ascii="Arial" w:hAnsi="Arial" w:cs="Arial"/>
                      <w:noProof/>
                      <w:sz w:val="18"/>
                      <w:szCs w:val="18"/>
                    </w:rPr>
                    <w:drawing>
                      <wp:inline distT="0" distB="0" distL="0" distR="0" wp14:anchorId="074179D0" wp14:editId="065FBA5A">
                        <wp:extent cx="5009515" cy="2673350"/>
                        <wp:effectExtent l="0" t="0" r="0" b="0"/>
                        <wp:docPr id="7" name="Picture 7" descr="Figure 1. This figure shows how agricultural water consumption has changed between 2009 and 2019 – increasing in most years. The figure also shows how the gross value of irrigated agricultural production (in nominal and real terms) has increased between 2009 and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09515" cy="2673350"/>
                                </a:xfrm>
                                <a:prstGeom prst="rect">
                                  <a:avLst/>
                                </a:prstGeom>
                                <a:noFill/>
                                <a:ln>
                                  <a:noFill/>
                                </a:ln>
                              </pic:spPr>
                            </pic:pic>
                          </a:graphicData>
                        </a:graphic>
                      </wp:inline>
                    </w:drawing>
                  </w:r>
                  <w:r w:rsidR="00813C46" w:rsidRPr="00494132" w:rsidDel="00813C46">
                    <w:rPr>
                      <w:rFonts w:ascii="Arial" w:hAnsi="Arial" w:cs="Arial"/>
                      <w:noProof/>
                      <w:sz w:val="18"/>
                      <w:szCs w:val="18"/>
                    </w:rPr>
                    <w:t xml:space="preserve"> </w:t>
                  </w:r>
                </w:p>
              </w:tc>
            </w:tr>
          </w:tbl>
          <w:p w14:paraId="78727CA9" w14:textId="77777777" w:rsidR="00EE7A65" w:rsidRDefault="00EE7A65" w:rsidP="00B85447">
            <w:pPr>
              <w:pStyle w:val="Figure"/>
            </w:pPr>
          </w:p>
        </w:tc>
      </w:tr>
      <w:tr w:rsidR="00EE7A65" w:rsidRPr="00176D3F" w14:paraId="2E8346FF" w14:textId="77777777" w:rsidTr="00B85447">
        <w:tc>
          <w:tcPr>
            <w:tcW w:w="5000" w:type="pct"/>
            <w:tcBorders>
              <w:top w:val="nil"/>
              <w:left w:val="nil"/>
              <w:bottom w:val="nil"/>
              <w:right w:val="nil"/>
            </w:tcBorders>
            <w:shd w:val="clear" w:color="auto" w:fill="auto"/>
          </w:tcPr>
          <w:p w14:paraId="43304992" w14:textId="301CFFC2" w:rsidR="00EE7A65" w:rsidRPr="00176D3F" w:rsidRDefault="00EE7A65" w:rsidP="00AD123E">
            <w:pPr>
              <w:pStyle w:val="Note"/>
            </w:pPr>
            <w:r>
              <w:rPr>
                <w:rStyle w:val="NoteLabel"/>
              </w:rPr>
              <w:t>a</w:t>
            </w:r>
            <w:r>
              <w:t xml:space="preserve"> </w:t>
            </w:r>
            <w:r w:rsidR="005C1476">
              <w:t xml:space="preserve">Year ending </w:t>
            </w:r>
            <w:r w:rsidR="00C93F60">
              <w:t xml:space="preserve">30 </w:t>
            </w:r>
            <w:r w:rsidR="005C1476">
              <w:t>June.</w:t>
            </w:r>
            <w:r>
              <w:t xml:space="preserve"> </w:t>
            </w:r>
            <w:r>
              <w:rPr>
                <w:rStyle w:val="NoteLabel"/>
              </w:rPr>
              <w:t>b</w:t>
            </w:r>
            <w:r>
              <w:t xml:space="preserve"> </w:t>
            </w:r>
            <w:r w:rsidR="00C93F60">
              <w:t>C</w:t>
            </w:r>
            <w:r w:rsidR="005C1476">
              <w:t>ommission estimates of the real 201</w:t>
            </w:r>
            <w:r w:rsidR="00813C46">
              <w:t>8</w:t>
            </w:r>
            <w:r w:rsidR="00A072A3">
              <w:noBreakHyphen/>
            </w:r>
            <w:r w:rsidR="005C1476">
              <w:t>1</w:t>
            </w:r>
            <w:r w:rsidR="00813C46">
              <w:t>9</w:t>
            </w:r>
            <w:r w:rsidR="005C1476">
              <w:t xml:space="preserve"> gross value of irrigated agricultural production using December quarter values for the consumer price index.</w:t>
            </w:r>
          </w:p>
        </w:tc>
      </w:tr>
      <w:tr w:rsidR="00EE7A65" w:rsidRPr="00176D3F" w14:paraId="3B0B1D26" w14:textId="77777777" w:rsidTr="00B85447">
        <w:tc>
          <w:tcPr>
            <w:tcW w:w="5000" w:type="pct"/>
            <w:tcBorders>
              <w:top w:val="nil"/>
              <w:left w:val="nil"/>
              <w:bottom w:val="nil"/>
              <w:right w:val="nil"/>
            </w:tcBorders>
            <w:shd w:val="clear" w:color="auto" w:fill="auto"/>
          </w:tcPr>
          <w:p w14:paraId="7D47801F" w14:textId="477BCEFE" w:rsidR="00EE7A65" w:rsidRPr="00176D3F" w:rsidRDefault="00944BB1" w:rsidP="001E23FA">
            <w:pPr>
              <w:pStyle w:val="Subtitle"/>
              <w:keepNext w:val="0"/>
              <w:spacing w:before="80" w:after="0" w:line="220" w:lineRule="exact"/>
              <w:ind w:left="0"/>
              <w:jc w:val="both"/>
            </w:pPr>
            <w:r w:rsidRPr="00944BB1">
              <w:rPr>
                <w:i/>
                <w:sz w:val="18"/>
                <w:szCs w:val="20"/>
              </w:rPr>
              <w:t>S</w:t>
            </w:r>
            <w:r w:rsidR="00EE7A65" w:rsidRPr="00944BB1">
              <w:rPr>
                <w:i/>
                <w:sz w:val="18"/>
                <w:szCs w:val="20"/>
              </w:rPr>
              <w:t>ource</w:t>
            </w:r>
            <w:r w:rsidR="00655BF5">
              <w:rPr>
                <w:i/>
                <w:sz w:val="18"/>
                <w:szCs w:val="20"/>
              </w:rPr>
              <w:t>s</w:t>
            </w:r>
            <w:r w:rsidR="00EE7A65" w:rsidRPr="00944BB1">
              <w:rPr>
                <w:sz w:val="18"/>
                <w:szCs w:val="20"/>
              </w:rPr>
              <w:t xml:space="preserve">: </w:t>
            </w:r>
            <w:r w:rsidR="00655BF5" w:rsidRPr="00655BF5">
              <w:rPr>
                <w:sz w:val="18"/>
                <w:szCs w:val="20"/>
              </w:rPr>
              <w:t>AB</w:t>
            </w:r>
            <w:r w:rsidR="00655BF5">
              <w:rPr>
                <w:sz w:val="18"/>
                <w:szCs w:val="20"/>
              </w:rPr>
              <w:t>S (Water Account</w:t>
            </w:r>
            <w:r w:rsidR="008E77F6">
              <w:rPr>
                <w:sz w:val="18"/>
                <w:szCs w:val="20"/>
              </w:rPr>
              <w:t>,</w:t>
            </w:r>
            <w:r w:rsidR="00655BF5">
              <w:rPr>
                <w:sz w:val="18"/>
                <w:szCs w:val="20"/>
              </w:rPr>
              <w:t xml:space="preserve"> Australia, 2016</w:t>
            </w:r>
            <w:r w:rsidR="00A072A3">
              <w:rPr>
                <w:sz w:val="18"/>
                <w:szCs w:val="20"/>
              </w:rPr>
              <w:noBreakHyphen/>
            </w:r>
            <w:r w:rsidR="00655BF5">
              <w:rPr>
                <w:sz w:val="18"/>
                <w:szCs w:val="20"/>
              </w:rPr>
              <w:t>17</w:t>
            </w:r>
            <w:r w:rsidR="00655BF5" w:rsidRPr="00655BF5">
              <w:rPr>
                <w:sz w:val="18"/>
                <w:szCs w:val="20"/>
              </w:rPr>
              <w:t>,</w:t>
            </w:r>
            <w:r w:rsidR="001E23FA">
              <w:rPr>
                <w:sz w:val="18"/>
                <w:szCs w:val="20"/>
              </w:rPr>
              <w:t xml:space="preserve"> </w:t>
            </w:r>
            <w:r w:rsidR="00A072A3">
              <w:rPr>
                <w:sz w:val="18"/>
                <w:szCs w:val="20"/>
              </w:rPr>
              <w:t>t</w:t>
            </w:r>
            <w:r w:rsidR="001E23FA">
              <w:rPr>
                <w:sz w:val="18"/>
                <w:szCs w:val="20"/>
              </w:rPr>
              <w:t>able</w:t>
            </w:r>
            <w:r w:rsidR="00A072A3">
              <w:rPr>
                <w:sz w:val="18"/>
                <w:szCs w:val="20"/>
              </w:rPr>
              <w:t> </w:t>
            </w:r>
            <w:r w:rsidR="001E23FA">
              <w:rPr>
                <w:sz w:val="18"/>
                <w:szCs w:val="20"/>
              </w:rPr>
              <w:t>12,</w:t>
            </w:r>
            <w:r w:rsidR="00655BF5" w:rsidRPr="00655BF5">
              <w:rPr>
                <w:sz w:val="18"/>
                <w:szCs w:val="20"/>
              </w:rPr>
              <w:t xml:space="preserve"> Cat. no. 4610.0); </w:t>
            </w:r>
            <w:r w:rsidR="008E77F6" w:rsidRPr="00655BF5">
              <w:rPr>
                <w:sz w:val="18"/>
                <w:szCs w:val="20"/>
              </w:rPr>
              <w:t>AB</w:t>
            </w:r>
            <w:r w:rsidR="008E77F6">
              <w:rPr>
                <w:sz w:val="18"/>
                <w:szCs w:val="20"/>
              </w:rPr>
              <w:t>S (</w:t>
            </w:r>
            <w:r w:rsidR="008E77F6" w:rsidRPr="008E77F6">
              <w:rPr>
                <w:sz w:val="18"/>
                <w:szCs w:val="20"/>
              </w:rPr>
              <w:t>Water use on Australian Farms</w:t>
            </w:r>
            <w:r w:rsidR="00996071">
              <w:rPr>
                <w:sz w:val="18"/>
                <w:szCs w:val="20"/>
              </w:rPr>
              <w:t xml:space="preserve">, </w:t>
            </w:r>
            <w:r w:rsidR="008E77F6" w:rsidRPr="008E77F6">
              <w:rPr>
                <w:sz w:val="18"/>
                <w:szCs w:val="20"/>
              </w:rPr>
              <w:t>2017</w:t>
            </w:r>
            <w:r w:rsidR="001C12EF">
              <w:rPr>
                <w:sz w:val="18"/>
                <w:szCs w:val="20"/>
              </w:rPr>
              <w:noBreakHyphen/>
            </w:r>
            <w:r w:rsidR="008E77F6" w:rsidRPr="008E77F6">
              <w:rPr>
                <w:sz w:val="18"/>
                <w:szCs w:val="20"/>
              </w:rPr>
              <w:t>18</w:t>
            </w:r>
            <w:r w:rsidR="008E77F6">
              <w:rPr>
                <w:sz w:val="18"/>
                <w:szCs w:val="20"/>
              </w:rPr>
              <w:t xml:space="preserve"> and 2018</w:t>
            </w:r>
            <w:r w:rsidR="001C12EF">
              <w:rPr>
                <w:sz w:val="18"/>
                <w:szCs w:val="20"/>
              </w:rPr>
              <w:noBreakHyphen/>
            </w:r>
            <w:r w:rsidR="008E77F6">
              <w:rPr>
                <w:sz w:val="18"/>
                <w:szCs w:val="20"/>
              </w:rPr>
              <w:t>19</w:t>
            </w:r>
            <w:r w:rsidR="008E77F6" w:rsidRPr="00655BF5">
              <w:rPr>
                <w:sz w:val="18"/>
                <w:szCs w:val="20"/>
              </w:rPr>
              <w:t>,</w:t>
            </w:r>
            <w:r w:rsidR="008E77F6">
              <w:rPr>
                <w:sz w:val="18"/>
                <w:szCs w:val="20"/>
              </w:rPr>
              <w:t xml:space="preserve"> table 1,</w:t>
            </w:r>
            <w:r w:rsidR="008E77F6" w:rsidRPr="00655BF5">
              <w:rPr>
                <w:sz w:val="18"/>
                <w:szCs w:val="20"/>
              </w:rPr>
              <w:t xml:space="preserve"> Cat. no. 461</w:t>
            </w:r>
            <w:r w:rsidR="008E77F6">
              <w:rPr>
                <w:sz w:val="18"/>
                <w:szCs w:val="20"/>
              </w:rPr>
              <w:t>8</w:t>
            </w:r>
            <w:r w:rsidR="008E77F6" w:rsidRPr="00655BF5">
              <w:rPr>
                <w:sz w:val="18"/>
                <w:szCs w:val="20"/>
              </w:rPr>
              <w:t>.0)</w:t>
            </w:r>
            <w:r w:rsidR="008E77F6">
              <w:rPr>
                <w:sz w:val="18"/>
                <w:szCs w:val="20"/>
              </w:rPr>
              <w:t xml:space="preserve">; </w:t>
            </w:r>
            <w:r w:rsidR="008E77F6" w:rsidRPr="00655BF5">
              <w:rPr>
                <w:sz w:val="18"/>
                <w:szCs w:val="20"/>
              </w:rPr>
              <w:t>AB</w:t>
            </w:r>
            <w:r w:rsidR="008E77F6">
              <w:rPr>
                <w:sz w:val="18"/>
                <w:szCs w:val="20"/>
              </w:rPr>
              <w:t>S (Water Account, Australia, 2018</w:t>
            </w:r>
            <w:r w:rsidR="008E77F6">
              <w:rPr>
                <w:sz w:val="18"/>
                <w:szCs w:val="20"/>
              </w:rPr>
              <w:noBreakHyphen/>
              <w:t>19</w:t>
            </w:r>
            <w:r w:rsidR="008E77F6" w:rsidRPr="00655BF5">
              <w:rPr>
                <w:sz w:val="18"/>
                <w:szCs w:val="20"/>
              </w:rPr>
              <w:t>,</w:t>
            </w:r>
            <w:r w:rsidR="008E77F6">
              <w:rPr>
                <w:sz w:val="18"/>
                <w:szCs w:val="20"/>
              </w:rPr>
              <w:t xml:space="preserve"> table 13.1,</w:t>
            </w:r>
            <w:r w:rsidR="008E77F6" w:rsidRPr="00655BF5">
              <w:rPr>
                <w:sz w:val="18"/>
                <w:szCs w:val="20"/>
              </w:rPr>
              <w:t xml:space="preserve"> Cat. no. 4610.0)</w:t>
            </w:r>
            <w:r w:rsidR="008E77F6">
              <w:rPr>
                <w:sz w:val="18"/>
                <w:szCs w:val="20"/>
              </w:rPr>
              <w:t xml:space="preserve">; </w:t>
            </w:r>
            <w:r w:rsidR="00EE7A65" w:rsidRPr="00944BB1">
              <w:rPr>
                <w:sz w:val="18"/>
                <w:szCs w:val="20"/>
              </w:rPr>
              <w:t>(</w:t>
            </w:r>
            <w:r w:rsidR="005C1476" w:rsidRPr="005C1476">
              <w:rPr>
                <w:sz w:val="18"/>
                <w:szCs w:val="20"/>
              </w:rPr>
              <w:t>Cons</w:t>
            </w:r>
            <w:r w:rsidR="005C1476">
              <w:rPr>
                <w:sz w:val="18"/>
                <w:szCs w:val="20"/>
              </w:rPr>
              <w:t xml:space="preserve">umer Price Index, Australia, Sep 2020, </w:t>
            </w:r>
            <w:r w:rsidR="001E23FA">
              <w:rPr>
                <w:sz w:val="18"/>
                <w:szCs w:val="20"/>
              </w:rPr>
              <w:t xml:space="preserve">Series ID </w:t>
            </w:r>
            <w:r w:rsidR="001E23FA" w:rsidRPr="001E23FA">
              <w:rPr>
                <w:sz w:val="18"/>
                <w:szCs w:val="20"/>
              </w:rPr>
              <w:t>A2325846C</w:t>
            </w:r>
            <w:r w:rsidR="001E23FA">
              <w:rPr>
                <w:sz w:val="18"/>
                <w:szCs w:val="20"/>
              </w:rPr>
              <w:t xml:space="preserve">, </w:t>
            </w:r>
            <w:r w:rsidR="005C1476">
              <w:rPr>
                <w:sz w:val="18"/>
                <w:szCs w:val="20"/>
              </w:rPr>
              <w:t>Cat. no. 6401.0</w:t>
            </w:r>
            <w:r w:rsidR="00EE7A65" w:rsidRPr="00944BB1">
              <w:rPr>
                <w:sz w:val="18"/>
                <w:szCs w:val="20"/>
              </w:rPr>
              <w:t>).</w:t>
            </w:r>
          </w:p>
        </w:tc>
      </w:tr>
      <w:tr w:rsidR="00EE7A65" w14:paraId="627EE871" w14:textId="77777777" w:rsidTr="00B85447">
        <w:tc>
          <w:tcPr>
            <w:tcW w:w="5000" w:type="pct"/>
            <w:tcBorders>
              <w:top w:val="nil"/>
              <w:left w:val="nil"/>
              <w:bottom w:val="single" w:sz="6" w:space="0" w:color="78A22F"/>
              <w:right w:val="nil"/>
            </w:tcBorders>
            <w:shd w:val="clear" w:color="auto" w:fill="auto"/>
          </w:tcPr>
          <w:p w14:paraId="346A0642" w14:textId="77777777" w:rsidR="00EE7A65" w:rsidRDefault="00EE7A65" w:rsidP="00B85447">
            <w:pPr>
              <w:pStyle w:val="Figurespace"/>
            </w:pPr>
          </w:p>
        </w:tc>
      </w:tr>
      <w:tr w:rsidR="00EE7A65" w:rsidRPr="000863A5" w14:paraId="032363E5" w14:textId="77777777" w:rsidTr="00B85447">
        <w:tc>
          <w:tcPr>
            <w:tcW w:w="5000" w:type="pct"/>
            <w:tcBorders>
              <w:top w:val="single" w:sz="6" w:space="0" w:color="78A22F"/>
              <w:left w:val="nil"/>
              <w:bottom w:val="nil"/>
              <w:right w:val="nil"/>
            </w:tcBorders>
          </w:tcPr>
          <w:p w14:paraId="39A8286B" w14:textId="7F8D2F52" w:rsidR="00EE7A65" w:rsidRPr="00626D32" w:rsidRDefault="00EE7A65" w:rsidP="00B85447">
            <w:pPr>
              <w:pStyle w:val="BoxSpaceBelow"/>
            </w:pPr>
          </w:p>
        </w:tc>
      </w:tr>
    </w:tbl>
    <w:p w14:paraId="7FBC058E" w14:textId="1D715A66" w:rsidR="008834F1" w:rsidRDefault="00E62022" w:rsidP="00AB2C7D">
      <w:pPr>
        <w:pStyle w:val="Heading3"/>
        <w:ind w:left="720" w:hanging="720"/>
      </w:pPr>
      <w:bookmarkStart w:id="22" w:name="_Toc61873560"/>
      <w:bookmarkEnd w:id="21"/>
      <w:r>
        <w:t>1.2</w:t>
      </w:r>
      <w:r>
        <w:tab/>
      </w:r>
      <w:r w:rsidR="00C93F60">
        <w:t>Reforms have also</w:t>
      </w:r>
      <w:r w:rsidR="008834F1" w:rsidRPr="008834F1">
        <w:t xml:space="preserve"> prepare</w:t>
      </w:r>
      <w:r w:rsidR="00C93F60">
        <w:t>d</w:t>
      </w:r>
      <w:r w:rsidR="008834F1" w:rsidRPr="008834F1">
        <w:t xml:space="preserve"> water users to address future </w:t>
      </w:r>
      <w:proofErr w:type="gramStart"/>
      <w:r w:rsidR="008834F1" w:rsidRPr="008834F1">
        <w:t>challenges</w:t>
      </w:r>
      <w:bookmarkEnd w:id="22"/>
      <w:proofErr w:type="gramEnd"/>
    </w:p>
    <w:p w14:paraId="5A3670F2" w14:textId="6CE183CE" w:rsidR="002565CD" w:rsidRDefault="00546C8A" w:rsidP="000A3BF9">
      <w:pPr>
        <w:pStyle w:val="BodyText"/>
      </w:pPr>
      <w:proofErr w:type="gramStart"/>
      <w:r>
        <w:t xml:space="preserve">Looking forward, </w:t>
      </w:r>
      <w:r w:rsidR="00AE1D03">
        <w:t>water</w:t>
      </w:r>
      <w:r w:rsidR="00AE1D03" w:rsidRPr="00ED274C">
        <w:t xml:space="preserve"> </w:t>
      </w:r>
      <w:r w:rsidR="00ED274C" w:rsidRPr="00ED274C">
        <w:t>trad</w:t>
      </w:r>
      <w:r w:rsidR="00252335">
        <w:t>ing</w:t>
      </w:r>
      <w:proofErr w:type="gramEnd"/>
      <w:r w:rsidR="00ED274C" w:rsidRPr="00ED274C">
        <w:t xml:space="preserve"> will be vital to enabling businesses to adjust </w:t>
      </w:r>
      <w:r w:rsidR="009B55CE">
        <w:t>— a</w:t>
      </w:r>
      <w:r w:rsidR="009B55CE" w:rsidRPr="009B55CE">
        <w:t xml:space="preserve">nd for less viable businesses </w:t>
      </w:r>
      <w:r w:rsidR="009B55CE">
        <w:t xml:space="preserve">to exit — </w:t>
      </w:r>
      <w:r w:rsidR="009B55CE" w:rsidRPr="009B55CE">
        <w:t>in response to climate change</w:t>
      </w:r>
      <w:r w:rsidR="007867C2">
        <w:t xml:space="preserve"> and other pressures</w:t>
      </w:r>
      <w:r w:rsidR="00465DA9">
        <w:t xml:space="preserve">. Australian farmers will need to adapt their farming practices in response </w:t>
      </w:r>
      <w:r w:rsidR="00BE3C64" w:rsidRPr="00522B27">
        <w:t xml:space="preserve">to </w:t>
      </w:r>
      <w:r w:rsidR="00BE3C64">
        <w:t xml:space="preserve">changing </w:t>
      </w:r>
      <w:r w:rsidR="00BE3C64" w:rsidRPr="00522B27">
        <w:t>water availability</w:t>
      </w:r>
      <w:r w:rsidR="00BE3C64">
        <w:t xml:space="preserve"> </w:t>
      </w:r>
      <w:r w:rsidR="00893B0A">
        <w:t xml:space="preserve">and </w:t>
      </w:r>
      <w:r w:rsidR="00BE3C64" w:rsidRPr="00522B27">
        <w:t>trends</w:t>
      </w:r>
      <w:r w:rsidR="00893B0A">
        <w:t xml:space="preserve"> in commodity markets</w:t>
      </w:r>
      <w:r w:rsidR="009937CD">
        <w:t>,</w:t>
      </w:r>
      <w:r w:rsidR="00465DA9">
        <w:t xml:space="preserve"> and trade will help business</w:t>
      </w:r>
      <w:r w:rsidR="007D1814">
        <w:t>es</w:t>
      </w:r>
      <w:r w:rsidR="00465DA9">
        <w:t xml:space="preserve"> to adjust their water portfolios to better reflect their </w:t>
      </w:r>
      <w:r w:rsidR="00893B0A">
        <w:t xml:space="preserve">water needs and </w:t>
      </w:r>
      <w:r w:rsidR="00465DA9">
        <w:t>risk profile.</w:t>
      </w:r>
    </w:p>
    <w:p w14:paraId="7597E534" w14:textId="130870E8" w:rsidR="00AA3EA4" w:rsidRDefault="002565CD" w:rsidP="00420DF7">
      <w:pPr>
        <w:pStyle w:val="BodyText"/>
      </w:pPr>
      <w:r>
        <w:t>F</w:t>
      </w:r>
      <w:r w:rsidR="00420DF7">
        <w:t xml:space="preserve">or rural Australia as a whole, the continued evolution of </w:t>
      </w:r>
      <w:r w:rsidR="001979A6">
        <w:t xml:space="preserve">irrigation </w:t>
      </w:r>
      <w:r w:rsidR="00420DF7">
        <w:t xml:space="preserve">toward </w:t>
      </w:r>
      <w:r w:rsidR="00420DF7" w:rsidRPr="00420DF7">
        <w:t xml:space="preserve">higher value industries </w:t>
      </w:r>
      <w:r w:rsidR="00420DF7">
        <w:t xml:space="preserve">will </w:t>
      </w:r>
      <w:r w:rsidR="002301DF">
        <w:t xml:space="preserve">help to </w:t>
      </w:r>
      <w:r w:rsidR="00420DF7">
        <w:t>maintain the value of irrigated agricultural production.</w:t>
      </w:r>
      <w:r w:rsidR="00C77618">
        <w:t xml:space="preserve"> </w:t>
      </w:r>
      <w:r w:rsidR="003C5B5E">
        <w:t xml:space="preserve">This point </w:t>
      </w:r>
      <w:r w:rsidR="006C16BF">
        <w:t xml:space="preserve">was </w:t>
      </w:r>
      <w:r w:rsidR="003C5B5E">
        <w:t>illustrated</w:t>
      </w:r>
      <w:r w:rsidR="00DC30C8">
        <w:t xml:space="preserve"> </w:t>
      </w:r>
      <w:r w:rsidR="003C5B5E">
        <w:t xml:space="preserve">by </w:t>
      </w:r>
      <w:r w:rsidR="00A95746" w:rsidRPr="00A95746">
        <w:t>Australian Bureau of Agricultural and Resource Economics and Sciences</w:t>
      </w:r>
      <w:r w:rsidR="00A95746">
        <w:t xml:space="preserve"> </w:t>
      </w:r>
      <w:r w:rsidR="00DC30C8">
        <w:t>analysis</w:t>
      </w:r>
      <w:r w:rsidR="003C5B5E">
        <w:t xml:space="preserve"> </w:t>
      </w:r>
      <w:r w:rsidR="00DC30C8">
        <w:t>for the</w:t>
      </w:r>
      <w:r w:rsidR="00894601">
        <w:t xml:space="preserve"> southern</w:t>
      </w:r>
      <w:r w:rsidR="00DC30C8">
        <w:t xml:space="preserve"> MDB</w:t>
      </w:r>
      <w:r w:rsidR="00AA3EA4">
        <w:t xml:space="preserve"> </w:t>
      </w:r>
      <w:r w:rsidR="00374F7B" w:rsidRPr="00374F7B">
        <w:rPr>
          <w:szCs w:val="24"/>
        </w:rPr>
        <w:t>(Gupta et al. 2020, p. 19)</w:t>
      </w:r>
      <w:r w:rsidR="00AA3EA4">
        <w:t>.</w:t>
      </w:r>
      <w:r w:rsidR="00AA3EA4" w:rsidRPr="00591E57">
        <w:rPr>
          <w:rStyle w:val="FootnoteReference"/>
        </w:rPr>
        <w:footnoteReference w:id="2"/>
      </w:r>
      <w:r w:rsidR="00DC30C8">
        <w:t xml:space="preserve"> </w:t>
      </w:r>
      <w:r w:rsidR="00AA3EA4">
        <w:t xml:space="preserve">The analysis </w:t>
      </w:r>
      <w:r w:rsidR="00DC30C8">
        <w:t>show</w:t>
      </w:r>
      <w:r w:rsidR="006C16BF">
        <w:t>ed</w:t>
      </w:r>
      <w:r w:rsidR="00DC30C8">
        <w:t xml:space="preserve"> that </w:t>
      </w:r>
      <w:r w:rsidR="0069458D">
        <w:t xml:space="preserve">under a scenario </w:t>
      </w:r>
      <w:r w:rsidR="00DB0E4A">
        <w:t>that</w:t>
      </w:r>
      <w:r w:rsidR="0069458D">
        <w:t xml:space="preserve"> led to </w:t>
      </w:r>
      <w:r w:rsidR="007D1814">
        <w:t xml:space="preserve">a </w:t>
      </w:r>
      <w:r w:rsidR="0069458D">
        <w:t xml:space="preserve">3 per cent reduction in water use compared </w:t>
      </w:r>
      <w:r w:rsidR="006A1CDA">
        <w:t xml:space="preserve">with </w:t>
      </w:r>
      <w:r w:rsidR="0069458D">
        <w:t>recent years</w:t>
      </w:r>
      <w:r w:rsidR="007D1814">
        <w:t>,</w:t>
      </w:r>
      <w:r w:rsidR="0069458D" w:rsidDel="00465DA9">
        <w:t xml:space="preserve"> </w:t>
      </w:r>
      <w:bookmarkStart w:id="23" w:name="_Hlk58240284"/>
      <w:r w:rsidR="00193A1B">
        <w:t xml:space="preserve">the </w:t>
      </w:r>
      <w:r w:rsidR="008C0C1C">
        <w:t xml:space="preserve">gross value of irrigated </w:t>
      </w:r>
      <w:r w:rsidR="003C5B5E">
        <w:t xml:space="preserve">agricultural </w:t>
      </w:r>
      <w:r w:rsidR="008C0C1C">
        <w:t>production could be main</w:t>
      </w:r>
      <w:r w:rsidR="00193A1B">
        <w:t xml:space="preserve">tained </w:t>
      </w:r>
      <w:bookmarkEnd w:id="23"/>
      <w:r w:rsidR="00193A1B">
        <w:t xml:space="preserve">if </w:t>
      </w:r>
      <w:r w:rsidR="000043D3">
        <w:t xml:space="preserve">farmers </w:t>
      </w:r>
      <w:r w:rsidR="00193A1B">
        <w:t>continue</w:t>
      </w:r>
      <w:r w:rsidR="00750B65">
        <w:t xml:space="preserve"> </w:t>
      </w:r>
      <w:r w:rsidR="000043D3">
        <w:t xml:space="preserve">to adjust </w:t>
      </w:r>
      <w:r w:rsidR="00750B65">
        <w:t>from lower value</w:t>
      </w:r>
      <w:r w:rsidR="00A072A3">
        <w:noBreakHyphen/>
      </w:r>
      <w:r w:rsidR="00750B65">
        <w:t>add</w:t>
      </w:r>
      <w:r w:rsidR="00AE1D03">
        <w:t>ed</w:t>
      </w:r>
      <w:r w:rsidR="00750B65">
        <w:t xml:space="preserve"> industries to higher value</w:t>
      </w:r>
      <w:r w:rsidR="00A072A3">
        <w:noBreakHyphen/>
      </w:r>
      <w:r w:rsidR="00193A1B">
        <w:t>add</w:t>
      </w:r>
      <w:r w:rsidR="00AE1D03">
        <w:t>ed</w:t>
      </w:r>
      <w:r w:rsidR="00193A1B">
        <w:t xml:space="preserve"> industries</w:t>
      </w:r>
      <w:r w:rsidR="00AA3EA4">
        <w:t xml:space="preserve"> </w:t>
      </w:r>
      <w:bookmarkStart w:id="24" w:name="_Hlk57712924"/>
      <w:r w:rsidR="00AA3EA4">
        <w:t>(future market scenario</w:t>
      </w:r>
      <w:bookmarkEnd w:id="24"/>
      <w:r w:rsidR="00AA3EA4">
        <w:t>, figure 2)</w:t>
      </w:r>
      <w:r w:rsidR="00420DF7">
        <w:t xml:space="preserve">. </w:t>
      </w:r>
      <w:r w:rsidR="003C5B5E">
        <w:t>T</w:t>
      </w:r>
      <w:r w:rsidR="00193A1B">
        <w:t xml:space="preserve">he analysis </w:t>
      </w:r>
      <w:r w:rsidR="003C5B5E">
        <w:t>also show</w:t>
      </w:r>
      <w:r w:rsidR="002301DF">
        <w:t>ed</w:t>
      </w:r>
      <w:r w:rsidR="003C5B5E">
        <w:t xml:space="preserve"> </w:t>
      </w:r>
      <w:r w:rsidR="00193A1B">
        <w:t xml:space="preserve">that </w:t>
      </w:r>
      <w:r w:rsidR="000043D3">
        <w:t xml:space="preserve">continued adjustment of production — supported </w:t>
      </w:r>
      <w:r w:rsidR="000043D3">
        <w:lastRenderedPageBreak/>
        <w:t xml:space="preserve">by water </w:t>
      </w:r>
      <w:r w:rsidR="00193A1B">
        <w:t>trad</w:t>
      </w:r>
      <w:r w:rsidR="000043D3">
        <w:t>ing</w:t>
      </w:r>
      <w:r w:rsidR="00193A1B">
        <w:t xml:space="preserve"> </w:t>
      </w:r>
      <w:r w:rsidR="000043D3">
        <w:t xml:space="preserve">— would </w:t>
      </w:r>
      <w:r w:rsidR="00193A1B">
        <w:t xml:space="preserve">be even more important for </w:t>
      </w:r>
      <w:r w:rsidR="00ED274C">
        <w:t xml:space="preserve">maintaining </w:t>
      </w:r>
      <w:r w:rsidR="00750B65">
        <w:t xml:space="preserve">the value of </w:t>
      </w:r>
      <w:r w:rsidR="00ED274C">
        <w:t>agricultural</w:t>
      </w:r>
      <w:r w:rsidR="00193A1B">
        <w:t xml:space="preserve"> production with </w:t>
      </w:r>
      <w:r w:rsidR="003C5B5E">
        <w:t>a</w:t>
      </w:r>
      <w:r w:rsidR="00657FFA">
        <w:t>n even</w:t>
      </w:r>
      <w:r w:rsidR="003C5B5E">
        <w:t xml:space="preserve"> </w:t>
      </w:r>
      <w:r w:rsidR="00193A1B">
        <w:t>dry</w:t>
      </w:r>
      <w:r w:rsidR="003C5B5E">
        <w:t>er</w:t>
      </w:r>
      <w:r w:rsidR="00193A1B">
        <w:t xml:space="preserve"> climate</w:t>
      </w:r>
      <w:r>
        <w:t xml:space="preserve">. </w:t>
      </w:r>
      <w:bookmarkStart w:id="25" w:name="_Hlk58239583"/>
      <w:r w:rsidR="00AA3EA4">
        <w:t xml:space="preserve">Under a scenario where </w:t>
      </w:r>
      <w:r w:rsidR="00691FA7" w:rsidRPr="00691FA7">
        <w:t xml:space="preserve">a further 11 per cent reduction in water availability </w:t>
      </w:r>
      <w:r w:rsidR="00657FFA">
        <w:t xml:space="preserve">means that </w:t>
      </w:r>
      <w:r w:rsidR="00AA3EA4">
        <w:t xml:space="preserve">water </w:t>
      </w:r>
      <w:r w:rsidR="00657FFA">
        <w:t xml:space="preserve">use is </w:t>
      </w:r>
      <w:r w:rsidR="00AA3EA4">
        <w:t>1</w:t>
      </w:r>
      <w:r w:rsidR="00657FFA">
        <w:t>2</w:t>
      </w:r>
      <w:r w:rsidR="00AA3EA4">
        <w:t xml:space="preserve"> per cent lower</w:t>
      </w:r>
      <w:r w:rsidR="00657FFA">
        <w:t xml:space="preserve"> than in recent years</w:t>
      </w:r>
      <w:bookmarkEnd w:id="25"/>
      <w:r w:rsidR="00AA3EA4">
        <w:t>, the value of production is estimated to fall by only 4 per cent</w:t>
      </w:r>
      <w:r w:rsidR="00373578" w:rsidRPr="00373578">
        <w:t xml:space="preserve"> (future market </w:t>
      </w:r>
      <w:r w:rsidR="00373578">
        <w:t xml:space="preserve">(dry) </w:t>
      </w:r>
      <w:r w:rsidR="00373578" w:rsidRPr="00373578">
        <w:t>scenario</w:t>
      </w:r>
      <w:r w:rsidR="00373578">
        <w:t>)</w:t>
      </w:r>
      <w:r w:rsidR="003F43C7">
        <w:t>.</w:t>
      </w:r>
    </w:p>
    <w:p w14:paraId="5F40EE4E" w14:textId="77777777" w:rsidR="00193A1B" w:rsidRDefault="002565CD" w:rsidP="00420DF7">
      <w:pPr>
        <w:pStyle w:val="BodyText"/>
      </w:pPr>
      <w:r w:rsidRPr="002565CD">
        <w:t>While at current commodity prices, nuts such as almonds are very profitable, the future may look very different</w:t>
      </w:r>
      <w:r>
        <w:t xml:space="preserve">, and efficient markets will be essential to ensure that water keeps moving to where </w:t>
      </w:r>
      <w:r w:rsidR="000043D3">
        <w:t>it i</w:t>
      </w:r>
      <w:r>
        <w:t>s most valued and can best support profitable Australian farmers.</w:t>
      </w:r>
    </w:p>
    <w:p w14:paraId="59030E43" w14:textId="665D5BDE" w:rsidR="003303EF" w:rsidRDefault="003303EF" w:rsidP="00F3763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3303EF" w14:paraId="18814A9A" w14:textId="77777777" w:rsidTr="00F37630">
        <w:trPr>
          <w:tblHeader/>
        </w:trPr>
        <w:tc>
          <w:tcPr>
            <w:tcW w:w="5000" w:type="pct"/>
            <w:tcBorders>
              <w:top w:val="single" w:sz="6" w:space="0" w:color="78A22F"/>
              <w:left w:val="nil"/>
              <w:bottom w:val="nil"/>
              <w:right w:val="nil"/>
            </w:tcBorders>
            <w:shd w:val="clear" w:color="auto" w:fill="auto"/>
          </w:tcPr>
          <w:p w14:paraId="6546F7B4" w14:textId="3C6684E9" w:rsidR="003303EF" w:rsidRDefault="003303EF" w:rsidP="00F37630">
            <w:pPr>
              <w:pStyle w:val="FigureTitle"/>
            </w:pPr>
            <w:r w:rsidRPr="00784A05">
              <w:rPr>
                <w:b w:val="0"/>
              </w:rPr>
              <w:t xml:space="preserve">Figure </w:t>
            </w:r>
            <w:r w:rsidR="00B75E27">
              <w:rPr>
                <w:b w:val="0"/>
              </w:rPr>
              <w:t>2</w:t>
            </w:r>
            <w:r>
              <w:tab/>
            </w:r>
            <w:r w:rsidRPr="003303EF">
              <w:t xml:space="preserve">Maintaining production with reduced water </w:t>
            </w:r>
            <w:proofErr w:type="gramStart"/>
            <w:r w:rsidR="00E77730">
              <w:t>use</w:t>
            </w:r>
            <w:proofErr w:type="gramEnd"/>
          </w:p>
          <w:p w14:paraId="6E99ACA6" w14:textId="2F4F6601" w:rsidR="003303EF" w:rsidRPr="00176D3F" w:rsidRDefault="004A428B" w:rsidP="00BF0365">
            <w:pPr>
              <w:pStyle w:val="Subtitle"/>
              <w:spacing w:line="240" w:lineRule="exact"/>
            </w:pPr>
            <w:r>
              <w:t>A</w:t>
            </w:r>
            <w:r w:rsidR="003303EF" w:rsidRPr="003303EF">
              <w:t xml:space="preserve">verage annual </w:t>
            </w:r>
            <w:r>
              <w:t xml:space="preserve">water use and </w:t>
            </w:r>
            <w:r w:rsidR="003303EF" w:rsidRPr="003303EF">
              <w:t>gross value of irrigated agricultural production (2018</w:t>
            </w:r>
            <w:r w:rsidR="001C12EF">
              <w:noBreakHyphen/>
            </w:r>
            <w:r w:rsidR="003303EF" w:rsidRPr="003303EF">
              <w:t>19 prices) in the southern Murray</w:t>
            </w:r>
            <w:r w:rsidR="00F345C2" w:rsidRPr="002D5625">
              <w:rPr>
                <w:i/>
              </w:rPr>
              <w:t>–</w:t>
            </w:r>
            <w:r w:rsidR="003303EF" w:rsidRPr="003303EF">
              <w:t>Darling Basin under different water availability scenarios</w:t>
            </w:r>
            <w:r w:rsidR="00202D05" w:rsidRPr="00202D05">
              <w:rPr>
                <w:rStyle w:val="NoteLabel"/>
              </w:rPr>
              <w:t>a</w:t>
            </w:r>
          </w:p>
        </w:tc>
      </w:tr>
      <w:tr w:rsidR="00D56032" w:rsidRPr="00D56032" w14:paraId="6AC94C19" w14:textId="77777777" w:rsidTr="00657FFA">
        <w:tblPrEx>
          <w:tblCellMar>
            <w:left w:w="108" w:type="dxa"/>
            <w:right w:w="108" w:type="dxa"/>
          </w:tblCellMar>
        </w:tblPrEx>
        <w:tc>
          <w:tcPr>
            <w:tcW w:w="5000" w:type="pct"/>
            <w:tcBorders>
              <w:top w:val="nil"/>
              <w:left w:val="nil"/>
              <w:bottom w:val="nil"/>
              <w:right w:val="nil"/>
            </w:tcBorders>
            <w:shd w:val="clear" w:color="auto" w:fill="auto"/>
          </w:tcPr>
          <w:p w14:paraId="50E33643" w14:textId="1C508F32" w:rsidR="00E77730" w:rsidRPr="00D56032" w:rsidRDefault="00DE0E27" w:rsidP="00E77730">
            <w:r w:rsidRPr="00DE0E27">
              <w:rPr>
                <w:noProof/>
              </w:rPr>
              <w:drawing>
                <wp:inline distT="0" distB="0" distL="0" distR="0" wp14:anchorId="30E1BECD" wp14:editId="03751CCD">
                  <wp:extent cx="5406887" cy="3266939"/>
                  <wp:effectExtent l="0" t="0" r="3810" b="0"/>
                  <wp:docPr id="10" name="Picture 10" descr="Figure 2.7. This figure depicts a bar chart showing percentage changes in total water use and gross value of selected and total irrigated agricultural projects based on ABARES estimates of declining water availability. Two scenarios are presented — ‘future market’ and ‘future market (d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6034" cy="3272466"/>
                          </a:xfrm>
                          <a:prstGeom prst="rect">
                            <a:avLst/>
                          </a:prstGeom>
                          <a:noFill/>
                          <a:ln>
                            <a:noFill/>
                          </a:ln>
                        </pic:spPr>
                      </pic:pic>
                    </a:graphicData>
                  </a:graphic>
                </wp:inline>
              </w:drawing>
            </w:r>
          </w:p>
          <w:p w14:paraId="57F19AB7" w14:textId="567D5B0E" w:rsidR="003303EF" w:rsidRPr="00D56032" w:rsidRDefault="003303EF" w:rsidP="00F37630">
            <w:pPr>
              <w:pStyle w:val="Note"/>
            </w:pPr>
            <w:r w:rsidRPr="00D56032">
              <w:rPr>
                <w:rStyle w:val="NoteLabel"/>
              </w:rPr>
              <w:t>a</w:t>
            </w:r>
            <w:r w:rsidRPr="00D56032">
              <w:t xml:space="preserve"> </w:t>
            </w:r>
            <w:bookmarkStart w:id="26" w:name="_Hlk58230330"/>
            <w:r w:rsidRPr="00D56032">
              <w:t xml:space="preserve">Results for all scenarios are averages based on the historical climate sequence from </w:t>
            </w:r>
            <w:bookmarkStart w:id="27" w:name="_Hlk58313629"/>
            <w:r w:rsidRPr="00D56032">
              <w:t>2005</w:t>
            </w:r>
            <w:r w:rsidR="001C12EF" w:rsidRPr="00D56032">
              <w:noBreakHyphen/>
            </w:r>
            <w:r w:rsidRPr="00D56032">
              <w:t>06 to 2018</w:t>
            </w:r>
            <w:r w:rsidR="001C12EF" w:rsidRPr="00D56032">
              <w:noBreakHyphen/>
            </w:r>
            <w:r w:rsidRPr="00D56032">
              <w:t xml:space="preserve">19 </w:t>
            </w:r>
            <w:bookmarkEnd w:id="27"/>
            <w:r w:rsidRPr="00D56032">
              <w:t xml:space="preserve">(a relatively dry period). </w:t>
            </w:r>
            <w:bookmarkEnd w:id="26"/>
            <w:r w:rsidRPr="00D56032">
              <w:t xml:space="preserve">The ‘current market’ scenario holds all water market drivers fixed </w:t>
            </w:r>
            <w:proofErr w:type="gramStart"/>
            <w:r w:rsidRPr="00D56032">
              <w:t>at</w:t>
            </w:r>
            <w:proofErr w:type="gramEnd"/>
            <w:r w:rsidRPr="00D56032">
              <w:t xml:space="preserve"> 2018</w:t>
            </w:r>
            <w:r w:rsidR="001C12EF" w:rsidRPr="00D56032">
              <w:noBreakHyphen/>
            </w:r>
            <w:r w:rsidRPr="00D56032">
              <w:t>19 levels. The ‘future market’ scenario accounts for planned future water recovery measures and an increase in demand. The ‘future market (dry)’ scenario assumes a further 3 per cent decline in rainfall and 11 per cent decline in allocation volumes (water supply).</w:t>
            </w:r>
          </w:p>
        </w:tc>
      </w:tr>
      <w:tr w:rsidR="003303EF" w:rsidRPr="00E31D0E" w14:paraId="1431828B" w14:textId="77777777" w:rsidTr="00F37630">
        <w:tc>
          <w:tcPr>
            <w:tcW w:w="5000" w:type="pct"/>
            <w:tcBorders>
              <w:top w:val="nil"/>
              <w:left w:val="nil"/>
              <w:bottom w:val="nil"/>
              <w:right w:val="nil"/>
            </w:tcBorders>
            <w:shd w:val="clear" w:color="auto" w:fill="auto"/>
          </w:tcPr>
          <w:p w14:paraId="47795152" w14:textId="221B0812" w:rsidR="003303EF" w:rsidRPr="00614813" w:rsidRDefault="003303EF" w:rsidP="00F37630">
            <w:pPr>
              <w:pStyle w:val="Source"/>
              <w:rPr>
                <w:lang w:val="fr-FR"/>
              </w:rPr>
            </w:pPr>
            <w:proofErr w:type="gramStart"/>
            <w:r w:rsidRPr="00614813">
              <w:rPr>
                <w:i/>
                <w:lang w:val="fr-FR"/>
              </w:rPr>
              <w:t>Source</w:t>
            </w:r>
            <w:r w:rsidRPr="00614813">
              <w:rPr>
                <w:lang w:val="fr-FR"/>
              </w:rPr>
              <w:t>:</w:t>
            </w:r>
            <w:proofErr w:type="gramEnd"/>
            <w:r w:rsidRPr="00614813">
              <w:rPr>
                <w:lang w:val="fr-FR"/>
              </w:rPr>
              <w:t xml:space="preserve"> Gupta et al. </w:t>
            </w:r>
            <w:r w:rsidRPr="00614813">
              <w:rPr>
                <w:rFonts w:cs="Arial"/>
                <w:szCs w:val="24"/>
                <w:lang w:val="fr-FR"/>
              </w:rPr>
              <w:t>(2020)</w:t>
            </w:r>
            <w:r w:rsidRPr="00614813">
              <w:rPr>
                <w:lang w:val="fr-FR"/>
              </w:rPr>
              <w:t>.</w:t>
            </w:r>
          </w:p>
        </w:tc>
      </w:tr>
      <w:tr w:rsidR="003303EF" w:rsidRPr="00E31D0E" w14:paraId="59EF34D7" w14:textId="77777777" w:rsidTr="00F37630">
        <w:tc>
          <w:tcPr>
            <w:tcW w:w="5000" w:type="pct"/>
            <w:tcBorders>
              <w:top w:val="nil"/>
              <w:left w:val="nil"/>
              <w:bottom w:val="single" w:sz="6" w:space="0" w:color="78A22F"/>
              <w:right w:val="nil"/>
            </w:tcBorders>
            <w:shd w:val="clear" w:color="auto" w:fill="auto"/>
          </w:tcPr>
          <w:p w14:paraId="4A69DA79" w14:textId="77777777" w:rsidR="003303EF" w:rsidRPr="00614813" w:rsidRDefault="003303EF" w:rsidP="00F37630">
            <w:pPr>
              <w:pStyle w:val="Figurespace"/>
              <w:rPr>
                <w:lang w:val="fr-FR"/>
              </w:rPr>
            </w:pPr>
          </w:p>
        </w:tc>
      </w:tr>
      <w:tr w:rsidR="003303EF" w:rsidRPr="006278D7" w14:paraId="2C7DFFC5" w14:textId="77777777" w:rsidTr="00F37630">
        <w:tc>
          <w:tcPr>
            <w:tcW w:w="5000" w:type="pct"/>
            <w:tcBorders>
              <w:top w:val="single" w:sz="6" w:space="0" w:color="78A22F"/>
              <w:left w:val="nil"/>
              <w:bottom w:val="nil"/>
              <w:right w:val="nil"/>
            </w:tcBorders>
          </w:tcPr>
          <w:p w14:paraId="48CAF0A0" w14:textId="269A2FE3" w:rsidR="003303EF" w:rsidRPr="0010742D" w:rsidRDefault="003303EF" w:rsidP="00F37630">
            <w:pPr>
              <w:pStyle w:val="BoxSpaceBelow"/>
            </w:pPr>
          </w:p>
        </w:tc>
      </w:tr>
    </w:tbl>
    <w:p w14:paraId="78C9F3A4" w14:textId="188C8901" w:rsidR="001F070C" w:rsidRDefault="00E62022" w:rsidP="006F6DA1">
      <w:pPr>
        <w:pStyle w:val="Heading3"/>
      </w:pPr>
      <w:bookmarkStart w:id="28" w:name="_Toc61873561"/>
      <w:r>
        <w:t>1.3</w:t>
      </w:r>
      <w:r>
        <w:tab/>
      </w:r>
      <w:r w:rsidR="000A2B1A">
        <w:t xml:space="preserve">A renewed NWI </w:t>
      </w:r>
      <w:r w:rsidR="000D398A">
        <w:t xml:space="preserve">to </w:t>
      </w:r>
      <w:r w:rsidR="00195F7F">
        <w:t>lock in</w:t>
      </w:r>
      <w:r w:rsidR="00154BF5">
        <w:t xml:space="preserve"> past benefits and </w:t>
      </w:r>
      <w:r w:rsidR="00591E11">
        <w:t xml:space="preserve">enable </w:t>
      </w:r>
      <w:proofErr w:type="gramStart"/>
      <w:r w:rsidR="00591E11">
        <w:t>adaptation</w:t>
      </w:r>
      <w:bookmarkStart w:id="29" w:name="_Hlk58315386"/>
      <w:bookmarkEnd w:id="28"/>
      <w:proofErr w:type="gramEnd"/>
    </w:p>
    <w:bookmarkEnd w:id="29"/>
    <w:p w14:paraId="7694DAED" w14:textId="042B94FF" w:rsidR="00A97C30" w:rsidRDefault="006C16BF" w:rsidP="00E07DA5">
      <w:pPr>
        <w:pStyle w:val="BodyText"/>
        <w:tabs>
          <w:tab w:val="center" w:pos="4394"/>
        </w:tabs>
      </w:pPr>
      <w:r>
        <w:t>While r</w:t>
      </w:r>
      <w:r w:rsidR="00154BF5">
        <w:t xml:space="preserve">ural water users have benefited from </w:t>
      </w:r>
      <w:r w:rsidR="00EB6B67">
        <w:t>past water reform</w:t>
      </w:r>
      <w:r>
        <w:t>,</w:t>
      </w:r>
      <w:r w:rsidR="00154BF5">
        <w:t xml:space="preserve"> </w:t>
      </w:r>
      <w:r>
        <w:t xml:space="preserve">attention to </w:t>
      </w:r>
      <w:r w:rsidR="003248A3">
        <w:t>several</w:t>
      </w:r>
      <w:r>
        <w:t xml:space="preserve"> </w:t>
      </w:r>
      <w:r w:rsidR="00154BF5">
        <w:t xml:space="preserve">issues </w:t>
      </w:r>
      <w:r w:rsidR="009F0E23">
        <w:t xml:space="preserve">in a </w:t>
      </w:r>
      <w:r w:rsidR="00154BF5">
        <w:t xml:space="preserve">renewed </w:t>
      </w:r>
      <w:r w:rsidR="009F0E23">
        <w:t xml:space="preserve">NWI </w:t>
      </w:r>
      <w:r>
        <w:t xml:space="preserve">would </w:t>
      </w:r>
      <w:r w:rsidR="009F0E23">
        <w:t>lock</w:t>
      </w:r>
      <w:r w:rsidR="00A072A3">
        <w:noBreakHyphen/>
      </w:r>
      <w:r w:rsidR="009F0E23">
        <w:t xml:space="preserve">in the benefits of reform to date </w:t>
      </w:r>
      <w:bookmarkStart w:id="30" w:name="_Hlk58242026"/>
      <w:r w:rsidR="009F0E23">
        <w:t xml:space="preserve">and </w:t>
      </w:r>
      <w:r w:rsidR="003248A3">
        <w:t>ensure that irrigators can continue to adapt their business</w:t>
      </w:r>
      <w:r w:rsidR="00DB0E4A">
        <w:t>es</w:t>
      </w:r>
      <w:r w:rsidR="003248A3">
        <w:t xml:space="preserve"> in response to changes in water availability.</w:t>
      </w:r>
    </w:p>
    <w:bookmarkEnd w:id="30"/>
    <w:p w14:paraId="479FBC25" w14:textId="70D5F3FD" w:rsidR="00A97C30" w:rsidRDefault="006C16BF">
      <w:pPr>
        <w:pStyle w:val="BodyText"/>
      </w:pPr>
      <w:r>
        <w:lastRenderedPageBreak/>
        <w:t>As noted above, s</w:t>
      </w:r>
      <w:r w:rsidR="00D5605B">
        <w:t xml:space="preserve">trong </w:t>
      </w:r>
      <w:r w:rsidR="004D590C">
        <w:t>statutory</w:t>
      </w:r>
      <w:r w:rsidR="00101E8D">
        <w:noBreakHyphen/>
      </w:r>
      <w:r w:rsidR="006612D4">
        <w:t>based</w:t>
      </w:r>
      <w:r w:rsidR="004D590C">
        <w:t xml:space="preserve"> </w:t>
      </w:r>
      <w:r w:rsidR="00D5605B">
        <w:t xml:space="preserve">water property rights are a pillar </w:t>
      </w:r>
      <w:r>
        <w:t xml:space="preserve">of </w:t>
      </w:r>
      <w:r w:rsidR="00D5605B">
        <w:t xml:space="preserve">the success of water markets in Australia. </w:t>
      </w:r>
      <w:r w:rsidR="00E75980">
        <w:t>But there</w:t>
      </w:r>
      <w:r w:rsidR="004D590C">
        <w:t xml:space="preserve"> is scope to strengthen them, particularly in highly developed water systems where there is significant competition for the resource</w:t>
      </w:r>
      <w:r w:rsidR="00D5605B">
        <w:t>.</w:t>
      </w:r>
      <w:r w:rsidR="00154BF5">
        <w:t xml:space="preserve"> </w:t>
      </w:r>
      <w:r w:rsidR="00F24568">
        <w:t>M</w:t>
      </w:r>
      <w:r w:rsidR="00F24568" w:rsidRPr="00F24568">
        <w:t xml:space="preserve">ore needs to be done to ensure </w:t>
      </w:r>
      <w:r w:rsidR="00F24568">
        <w:t>that the current risk</w:t>
      </w:r>
      <w:r w:rsidR="00F24568">
        <w:noBreakHyphen/>
        <w:t xml:space="preserve">based approach outlined in the NWI </w:t>
      </w:r>
      <w:r w:rsidR="00F24568" w:rsidRPr="00F24568">
        <w:t xml:space="preserve">can be effectively applied </w:t>
      </w:r>
      <w:r w:rsidR="00F24568">
        <w:t xml:space="preserve">in instances </w:t>
      </w:r>
      <w:r w:rsidR="00A97C30" w:rsidRPr="00A97C30">
        <w:t xml:space="preserve">such as interception for </w:t>
      </w:r>
      <w:bookmarkStart w:id="31" w:name="_Hlk58242133"/>
      <w:r w:rsidR="00A97C30" w:rsidRPr="00A97C30">
        <w:t>on</w:t>
      </w:r>
      <w:r w:rsidR="003A7B1E">
        <w:noBreakHyphen/>
      </w:r>
      <w:r w:rsidR="00A97C30" w:rsidRPr="00A97C30">
        <w:t>farm dams</w:t>
      </w:r>
      <w:r w:rsidR="004D590C">
        <w:t xml:space="preserve"> </w:t>
      </w:r>
      <w:bookmarkEnd w:id="31"/>
      <w:r w:rsidR="004D590C">
        <w:t>or plantations</w:t>
      </w:r>
      <w:r w:rsidR="00F24568">
        <w:t>.</w:t>
      </w:r>
      <w:r w:rsidR="00A97C30">
        <w:t xml:space="preserve"> </w:t>
      </w:r>
      <w:r w:rsidR="00F24568">
        <w:t xml:space="preserve">Inaccurate measurement of </w:t>
      </w:r>
      <w:r w:rsidR="00A97C30" w:rsidRPr="00A97C30">
        <w:t xml:space="preserve">interception activities </w:t>
      </w:r>
      <w:proofErr w:type="gramStart"/>
      <w:r w:rsidR="00A97C30" w:rsidRPr="00A97C30">
        <w:t>pose</w:t>
      </w:r>
      <w:proofErr w:type="gramEnd"/>
      <w:r w:rsidR="00A97C30" w:rsidRPr="00A97C30">
        <w:t xml:space="preserve"> a risk to water availability and undermine the integrity of the entitlements system.</w:t>
      </w:r>
      <w:r w:rsidR="00D5605B">
        <w:t xml:space="preserve"> </w:t>
      </w:r>
      <w:r w:rsidR="006612D4">
        <w:t xml:space="preserve">Recommitting to </w:t>
      </w:r>
      <w:r w:rsidR="00D5605B" w:rsidRPr="00D5605B">
        <w:t>a risk</w:t>
      </w:r>
      <w:r>
        <w:noBreakHyphen/>
      </w:r>
      <w:r w:rsidR="00D5605B" w:rsidRPr="00D5605B">
        <w:t xml:space="preserve">based </w:t>
      </w:r>
      <w:r w:rsidR="006615A3">
        <w:t>approach</w:t>
      </w:r>
      <w:r w:rsidR="006615A3" w:rsidRPr="00D5605B">
        <w:t xml:space="preserve"> </w:t>
      </w:r>
      <w:r w:rsidR="00D5605B" w:rsidRPr="00D5605B">
        <w:t xml:space="preserve">for </w:t>
      </w:r>
      <w:r w:rsidR="00F24568">
        <w:t xml:space="preserve">managing </w:t>
      </w:r>
      <w:r w:rsidR="00DB445D">
        <w:t xml:space="preserve">interception activities </w:t>
      </w:r>
      <w:r w:rsidR="00D5605B">
        <w:t xml:space="preserve">would </w:t>
      </w:r>
      <w:r w:rsidR="00D5605B" w:rsidRPr="00D5605B">
        <w:t xml:space="preserve">increase transparency and promote efficient management of shared resources </w:t>
      </w:r>
      <w:r w:rsidR="009F24E5">
        <w:t>(</w:t>
      </w:r>
      <w:r w:rsidR="006D3060">
        <w:t>SP </w:t>
      </w:r>
      <w:proofErr w:type="gramStart"/>
      <w:r w:rsidR="009F24E5" w:rsidRPr="009F24E5">
        <w:t>A</w:t>
      </w:r>
      <w:proofErr w:type="gramEnd"/>
      <w:r w:rsidR="009F24E5" w:rsidRPr="009F24E5">
        <w:t xml:space="preserve"> </w:t>
      </w:r>
      <w:r w:rsidR="009F24E5" w:rsidRPr="00BD3033">
        <w:rPr>
          <w:i/>
          <w:iCs/>
        </w:rPr>
        <w:t>Entitlements</w:t>
      </w:r>
      <w:r w:rsidR="009005AB">
        <w:rPr>
          <w:i/>
          <w:iCs/>
        </w:rPr>
        <w:t xml:space="preserve"> and </w:t>
      </w:r>
      <w:r w:rsidR="00C22DC2">
        <w:rPr>
          <w:i/>
          <w:iCs/>
        </w:rPr>
        <w:t>p</w:t>
      </w:r>
      <w:r w:rsidR="009005AB">
        <w:rPr>
          <w:i/>
          <w:iCs/>
        </w:rPr>
        <w:t>lanning</w:t>
      </w:r>
      <w:r w:rsidR="009F24E5">
        <w:t>)</w:t>
      </w:r>
      <w:r w:rsidR="00D5605B" w:rsidRPr="00D5605B">
        <w:t>.</w:t>
      </w:r>
    </w:p>
    <w:p w14:paraId="5601AFA2" w14:textId="61CC4F85" w:rsidR="00D5605B" w:rsidRDefault="00D5605B" w:rsidP="00A97C30">
      <w:pPr>
        <w:pStyle w:val="BodyText"/>
      </w:pPr>
      <w:r>
        <w:t>Another pillar of success is robust water planning processes</w:t>
      </w:r>
      <w:r w:rsidR="00BD17DA">
        <w:t>. However</w:t>
      </w:r>
      <w:r w:rsidR="00495F86">
        <w:t>,</w:t>
      </w:r>
      <w:r w:rsidR="00BD17DA">
        <w:t xml:space="preserve"> these processes </w:t>
      </w:r>
      <w:r w:rsidR="00A97C30">
        <w:t xml:space="preserve">have </w:t>
      </w:r>
      <w:r w:rsidR="00A97C30" w:rsidRPr="00A97C30">
        <w:t xml:space="preserve">been challenged by </w:t>
      </w:r>
      <w:r w:rsidR="00E07DA5">
        <w:t xml:space="preserve">lower catchment </w:t>
      </w:r>
      <w:r w:rsidR="00E233DE">
        <w:t>inflows</w:t>
      </w:r>
      <w:r w:rsidR="00E07DA5">
        <w:t xml:space="preserve"> </w:t>
      </w:r>
      <w:r w:rsidR="00A97C30" w:rsidRPr="00A97C30">
        <w:t>and instances of extreme water scarcity.</w:t>
      </w:r>
      <w:r w:rsidR="00A97C30">
        <w:t xml:space="preserve"> </w:t>
      </w:r>
      <w:r w:rsidR="00F24568" w:rsidRPr="00F24568">
        <w:t>Planning provisions proved inadequate to deal with the Millennium Drought and the recent drought in New South Wales and Queensland</w:t>
      </w:r>
      <w:r w:rsidR="005635B9">
        <w:t>,</w:t>
      </w:r>
      <w:r w:rsidR="001D4ECF">
        <w:t xml:space="preserve"> </w:t>
      </w:r>
      <w:r w:rsidR="00A97C30">
        <w:t>and processes for rebalancing water use</w:t>
      </w:r>
      <w:r w:rsidR="003A7B1E">
        <w:t xml:space="preserve"> </w:t>
      </w:r>
      <w:r w:rsidR="00A97C30">
        <w:t>in response to climate change</w:t>
      </w:r>
      <w:r w:rsidR="00147410">
        <w:t xml:space="preserve"> are unclear</w:t>
      </w:r>
      <w:r w:rsidR="00A97C30">
        <w:t>.</w:t>
      </w:r>
      <w:r>
        <w:t xml:space="preserve"> </w:t>
      </w:r>
      <w:r w:rsidR="00F24568">
        <w:t xml:space="preserve">Provisions to deal with </w:t>
      </w:r>
      <w:r w:rsidRPr="00D5605B">
        <w:t xml:space="preserve">low flows in water plans </w:t>
      </w:r>
      <w:r w:rsidR="00F24568">
        <w:t>c</w:t>
      </w:r>
      <w:r w:rsidR="002A2E51">
        <w:t xml:space="preserve">ould </w:t>
      </w:r>
      <w:r w:rsidRPr="00D5605B">
        <w:t xml:space="preserve">give greater certainty to </w:t>
      </w:r>
      <w:r w:rsidR="002A2E51">
        <w:t xml:space="preserve">rural </w:t>
      </w:r>
      <w:r w:rsidRPr="00D5605B">
        <w:t>water users</w:t>
      </w:r>
      <w:r w:rsidR="002A2E51">
        <w:t>,</w:t>
      </w:r>
      <w:r w:rsidRPr="00D5605B">
        <w:t xml:space="preserve"> </w:t>
      </w:r>
      <w:r w:rsidR="002A2E51">
        <w:t xml:space="preserve">while </w:t>
      </w:r>
      <w:r w:rsidRPr="00D5605B">
        <w:t>protect</w:t>
      </w:r>
      <w:r w:rsidR="002A2E51">
        <w:t>ing the environment. And in responding</w:t>
      </w:r>
      <w:r w:rsidR="002A2E51" w:rsidRPr="00D5605B">
        <w:t xml:space="preserve"> to permanently lower resource availability</w:t>
      </w:r>
      <w:r w:rsidR="002A2E51">
        <w:t>, there is a need for</w:t>
      </w:r>
      <w:r w:rsidR="002A2E51" w:rsidRPr="00D5605B">
        <w:t xml:space="preserve"> </w:t>
      </w:r>
      <w:r w:rsidR="002A2E51">
        <w:t>increased</w:t>
      </w:r>
      <w:r w:rsidRPr="00D5605B">
        <w:t xml:space="preserve"> robustness in processes for adjusting the relative shares </w:t>
      </w:r>
      <w:r w:rsidR="002A2E51">
        <w:t xml:space="preserve">between </w:t>
      </w:r>
      <w:r w:rsidRPr="00D5605B">
        <w:t xml:space="preserve">consumptive users and the environment </w:t>
      </w:r>
      <w:r w:rsidR="009F24E5">
        <w:t>(</w:t>
      </w:r>
      <w:r w:rsidR="006D3060">
        <w:t>SP </w:t>
      </w:r>
      <w:proofErr w:type="gramStart"/>
      <w:r w:rsidR="009F24E5" w:rsidRPr="009F24E5">
        <w:t>A</w:t>
      </w:r>
      <w:proofErr w:type="gramEnd"/>
      <w:r w:rsidR="009F24E5" w:rsidRPr="009F24E5">
        <w:t xml:space="preserve"> </w:t>
      </w:r>
      <w:r w:rsidR="009F24E5" w:rsidRPr="00BD3033">
        <w:rPr>
          <w:i/>
          <w:iCs/>
        </w:rPr>
        <w:t>Entitlements</w:t>
      </w:r>
      <w:r w:rsidR="001F73F5">
        <w:rPr>
          <w:i/>
          <w:iCs/>
        </w:rPr>
        <w:t xml:space="preserve"> and </w:t>
      </w:r>
      <w:r w:rsidR="00C22DC2">
        <w:rPr>
          <w:i/>
          <w:iCs/>
        </w:rPr>
        <w:t>p</w:t>
      </w:r>
      <w:r w:rsidR="001F73F5">
        <w:rPr>
          <w:i/>
          <w:iCs/>
        </w:rPr>
        <w:t>lanning</w:t>
      </w:r>
      <w:r w:rsidR="009F24E5">
        <w:t>)</w:t>
      </w:r>
      <w:r w:rsidR="002A2E51">
        <w:t>.</w:t>
      </w:r>
      <w:r w:rsidR="00A5420C" w:rsidRPr="00A5420C">
        <w:t xml:space="preserve"> </w:t>
      </w:r>
      <w:r w:rsidR="00817CA8">
        <w:t xml:space="preserve">Adoption of </w:t>
      </w:r>
      <w:r w:rsidR="00A5420C" w:rsidRPr="00A5420C">
        <w:t>best</w:t>
      </w:r>
      <w:r w:rsidR="00101E8D">
        <w:noBreakHyphen/>
      </w:r>
      <w:r w:rsidR="00A5420C" w:rsidRPr="00A5420C">
        <w:t xml:space="preserve">practice principles for </w:t>
      </w:r>
      <w:r w:rsidR="005635B9">
        <w:t xml:space="preserve">community partnership and </w:t>
      </w:r>
      <w:r w:rsidR="00A5420C" w:rsidRPr="00A5420C">
        <w:t xml:space="preserve">engagement </w:t>
      </w:r>
      <w:r w:rsidR="00817CA8">
        <w:t>w</w:t>
      </w:r>
      <w:r w:rsidR="00BC1617">
        <w:t>ould</w:t>
      </w:r>
      <w:r w:rsidR="00817CA8">
        <w:t xml:space="preserve"> help to ensure </w:t>
      </w:r>
      <w:r w:rsidR="005635B9">
        <w:t xml:space="preserve">water </w:t>
      </w:r>
      <w:r w:rsidR="00817CA8">
        <w:t xml:space="preserve">planning processes and outcomes </w:t>
      </w:r>
      <w:r w:rsidR="005635B9">
        <w:t xml:space="preserve">consider and </w:t>
      </w:r>
      <w:r w:rsidR="00817CA8">
        <w:t xml:space="preserve">reflect the diverse needs of rural communities </w:t>
      </w:r>
      <w:r w:rsidR="00A5420C" w:rsidRPr="00A5420C">
        <w:t>(</w:t>
      </w:r>
      <w:r w:rsidR="006D3060">
        <w:t>SP </w:t>
      </w:r>
      <w:r w:rsidR="006C0D40" w:rsidRPr="009F24E5">
        <w:t>J</w:t>
      </w:r>
      <w:r w:rsidR="006C0D40" w:rsidRPr="009F24E5" w:rsidDel="009F24E5">
        <w:t xml:space="preserve"> </w:t>
      </w:r>
      <w:r w:rsidR="000635A0">
        <w:rPr>
          <w:i/>
          <w:iCs/>
        </w:rPr>
        <w:t>Engagement</w:t>
      </w:r>
      <w:r w:rsidR="00A5420C" w:rsidRPr="00A5420C">
        <w:t>)</w:t>
      </w:r>
      <w:r w:rsidR="00817CA8">
        <w:t>.</w:t>
      </w:r>
    </w:p>
    <w:p w14:paraId="4FB5CCCF" w14:textId="35E69E92" w:rsidR="002A2E51" w:rsidRDefault="00E75980">
      <w:pPr>
        <w:pStyle w:val="BodyText"/>
      </w:pPr>
      <w:r>
        <w:t>Investors</w:t>
      </w:r>
      <w:r w:rsidR="00150D4F">
        <w:t xml:space="preserve">, </w:t>
      </w:r>
      <w:r>
        <w:t xml:space="preserve">entitlement holders </w:t>
      </w:r>
      <w:r w:rsidR="00150D4F">
        <w:t xml:space="preserve">and communities </w:t>
      </w:r>
      <w:r>
        <w:t xml:space="preserve">must have confidence that the integrity of water resources management frameworks (including property rights, </w:t>
      </w:r>
      <w:proofErr w:type="gramStart"/>
      <w:r>
        <w:t>markets</w:t>
      </w:r>
      <w:proofErr w:type="gramEnd"/>
      <w:r>
        <w:t xml:space="preserve"> and planning processes) can effectively support irrigators and water dependent businesses to adapt to a changing climate. T</w:t>
      </w:r>
      <w:r w:rsidR="00B64912">
        <w:t xml:space="preserve">his requires governments to invest in the underpinning systems of water accounting, monitoring, </w:t>
      </w:r>
      <w:proofErr w:type="gramStart"/>
      <w:r w:rsidR="00B64912">
        <w:t>compliance</w:t>
      </w:r>
      <w:proofErr w:type="gramEnd"/>
      <w:r w:rsidR="00B64912">
        <w:t xml:space="preserve"> and enforcement.</w:t>
      </w:r>
      <w:r w:rsidR="002A2E51">
        <w:t xml:space="preserve"> </w:t>
      </w:r>
      <w:r w:rsidR="00DD3CA9">
        <w:t>A c</w:t>
      </w:r>
      <w:r w:rsidR="00A0696F">
        <w:t xml:space="preserve">ommon theme from reviews </w:t>
      </w:r>
      <w:r w:rsidR="00EB6B67">
        <w:t xml:space="preserve">of the MDB experience </w:t>
      </w:r>
      <w:r w:rsidR="00DD3CA9">
        <w:t>is that</w:t>
      </w:r>
      <w:r w:rsidR="00A0696F">
        <w:t xml:space="preserve"> </w:t>
      </w:r>
      <w:r w:rsidR="005428A7" w:rsidRPr="00955D2B">
        <w:t>a lack of c</w:t>
      </w:r>
      <w:r w:rsidR="005428A7">
        <w:t>ommitment by</w:t>
      </w:r>
      <w:r w:rsidR="00F24568">
        <w:t xml:space="preserve"> some</w:t>
      </w:r>
      <w:r w:rsidR="005428A7">
        <w:t xml:space="preserve"> governments </w:t>
      </w:r>
      <w:r w:rsidR="0075792E">
        <w:t xml:space="preserve">to </w:t>
      </w:r>
      <w:r w:rsidR="0075792E" w:rsidRPr="00955D2B">
        <w:t xml:space="preserve">monitoring and compliance </w:t>
      </w:r>
      <w:r w:rsidR="00DD3CA9">
        <w:t>has undermined</w:t>
      </w:r>
      <w:r w:rsidR="005428A7">
        <w:t xml:space="preserve"> investor and community confidence</w:t>
      </w:r>
      <w:r w:rsidR="00F24568">
        <w:t xml:space="preserve"> and trust</w:t>
      </w:r>
      <w:r w:rsidR="005428A7">
        <w:t xml:space="preserve"> </w:t>
      </w:r>
      <w:r w:rsidR="00DD3CA9">
        <w:t>in water resource management</w:t>
      </w:r>
      <w:r w:rsidR="005428A7">
        <w:t>.</w:t>
      </w:r>
      <w:r w:rsidR="00BD17DA">
        <w:t xml:space="preserve"> To address this</w:t>
      </w:r>
      <w:r w:rsidR="00D1113B">
        <w:t>,</w:t>
      </w:r>
      <w:r w:rsidR="00BD17DA">
        <w:t xml:space="preserve"> </w:t>
      </w:r>
      <w:r w:rsidR="00861C84">
        <w:t xml:space="preserve">a renewed NWI </w:t>
      </w:r>
      <w:r w:rsidR="00B64912">
        <w:t xml:space="preserve">should include </w:t>
      </w:r>
      <w:r w:rsidR="00861C84">
        <w:t xml:space="preserve">a </w:t>
      </w:r>
      <w:r w:rsidR="002A2E51" w:rsidRPr="002A2E51">
        <w:t xml:space="preserve">new element </w:t>
      </w:r>
      <w:r w:rsidR="00147410">
        <w:t>focused on safeguarding</w:t>
      </w:r>
      <w:r w:rsidR="00147410" w:rsidRPr="002A2E51">
        <w:t xml:space="preserve"> </w:t>
      </w:r>
      <w:r w:rsidR="002A2E51" w:rsidRPr="002A2E51">
        <w:t xml:space="preserve">the integrity of </w:t>
      </w:r>
      <w:r w:rsidR="00F24568">
        <w:t xml:space="preserve">water use and system </w:t>
      </w:r>
      <w:r w:rsidR="005635B9">
        <w:t xml:space="preserve">management </w:t>
      </w:r>
      <w:r w:rsidR="006C0D40">
        <w:t>(</w:t>
      </w:r>
      <w:r w:rsidR="006D3060">
        <w:t>SP </w:t>
      </w:r>
      <w:r w:rsidR="006C0D40">
        <w:t>E</w:t>
      </w:r>
      <w:r w:rsidR="006C0D40" w:rsidRPr="009F24E5">
        <w:t xml:space="preserve"> </w:t>
      </w:r>
      <w:r w:rsidR="006C0D40">
        <w:rPr>
          <w:i/>
          <w:iCs/>
        </w:rPr>
        <w:t>Integrity</w:t>
      </w:r>
      <w:r w:rsidR="006C0D40">
        <w:t>)</w:t>
      </w:r>
      <w:r w:rsidR="00BD17DA">
        <w:t>.</w:t>
      </w:r>
    </w:p>
    <w:p w14:paraId="0C7F0D8D" w14:textId="239E37B2" w:rsidR="008D6670" w:rsidRDefault="00147410">
      <w:pPr>
        <w:pStyle w:val="BodyText"/>
      </w:pPr>
      <w:bookmarkStart w:id="32" w:name="_Hlk58242398"/>
      <w:r>
        <w:t xml:space="preserve">Opportunity for improvement also lies in </w:t>
      </w:r>
      <w:r w:rsidR="007D29A0">
        <w:t xml:space="preserve">strengthening </w:t>
      </w:r>
      <w:r w:rsidR="00D1113B">
        <w:t>market frameworks and market information</w:t>
      </w:r>
      <w:r w:rsidR="007D29A0">
        <w:t xml:space="preserve"> </w:t>
      </w:r>
      <w:bookmarkStart w:id="33" w:name="_Hlk58242371"/>
      <w:r w:rsidR="00925F71">
        <w:t xml:space="preserve">to </w:t>
      </w:r>
      <w:r w:rsidR="00A1162D">
        <w:t xml:space="preserve">make them easier to use and better </w:t>
      </w:r>
      <w:r w:rsidR="007D29A0">
        <w:t>enable business</w:t>
      </w:r>
      <w:r w:rsidR="00925F71">
        <w:t>es to confidently make decision</w:t>
      </w:r>
      <w:r w:rsidR="004264AA">
        <w:t>s</w:t>
      </w:r>
      <w:r w:rsidR="00925F71">
        <w:t xml:space="preserve"> and </w:t>
      </w:r>
      <w:r w:rsidR="007D29A0" w:rsidRPr="007D29A0">
        <w:t>adapt</w:t>
      </w:r>
      <w:r w:rsidR="00A1162D">
        <w:t xml:space="preserve"> to change</w:t>
      </w:r>
      <w:r w:rsidR="007D29A0" w:rsidRPr="007D29A0">
        <w:t>.</w:t>
      </w:r>
      <w:bookmarkEnd w:id="33"/>
      <w:r w:rsidR="00835FB5">
        <w:t xml:space="preserve"> </w:t>
      </w:r>
      <w:bookmarkEnd w:id="32"/>
      <w:r w:rsidR="00E37DCF">
        <w:t xml:space="preserve">The </w:t>
      </w:r>
      <w:r w:rsidR="00A95746" w:rsidRPr="00A95746">
        <w:t xml:space="preserve">Australian Competition and Consumer Commission </w:t>
      </w:r>
      <w:r w:rsidR="002D5625" w:rsidRPr="002D5625">
        <w:rPr>
          <w:i/>
        </w:rPr>
        <w:t>Murray–Darling Basin</w:t>
      </w:r>
      <w:r w:rsidR="0014553D" w:rsidRPr="0014553D">
        <w:rPr>
          <w:i/>
        </w:rPr>
        <w:t xml:space="preserve"> </w:t>
      </w:r>
      <w:r w:rsidR="00DD3CA9">
        <w:rPr>
          <w:i/>
        </w:rPr>
        <w:t>W</w:t>
      </w:r>
      <w:r w:rsidR="00DD3CA9" w:rsidRPr="0014553D">
        <w:rPr>
          <w:i/>
        </w:rPr>
        <w:t xml:space="preserve">ater </w:t>
      </w:r>
      <w:r w:rsidR="00DD3CA9">
        <w:rPr>
          <w:i/>
        </w:rPr>
        <w:t>M</w:t>
      </w:r>
      <w:r w:rsidR="0014553D" w:rsidRPr="0014553D">
        <w:rPr>
          <w:i/>
        </w:rPr>
        <w:t xml:space="preserve">arkets </w:t>
      </w:r>
      <w:r w:rsidR="00DD3CA9">
        <w:rPr>
          <w:i/>
        </w:rPr>
        <w:t>I</w:t>
      </w:r>
      <w:r w:rsidR="0014553D" w:rsidRPr="0014553D">
        <w:rPr>
          <w:i/>
        </w:rPr>
        <w:t>nquiry: Interim Report</w:t>
      </w:r>
      <w:r w:rsidR="00A0696F">
        <w:t xml:space="preserve"> </w:t>
      </w:r>
      <w:r w:rsidR="00146024" w:rsidRPr="00146024">
        <w:t>(2020)</w:t>
      </w:r>
      <w:r w:rsidR="00146024">
        <w:t xml:space="preserve"> </w:t>
      </w:r>
      <w:r w:rsidR="00E37DCF" w:rsidRPr="00E37DCF">
        <w:t>found that governance, regulatory and operational frameworks in the MDB have not evolved in step with the ma</w:t>
      </w:r>
      <w:r w:rsidR="0096600D">
        <w:t xml:space="preserve">rket and are now inappropriate. </w:t>
      </w:r>
      <w:bookmarkStart w:id="34" w:name="_Hlk58242490"/>
      <w:r w:rsidR="009F7E8D" w:rsidRPr="009F7E8D">
        <w:t xml:space="preserve">Lessons from 30 years of trading in the MDB can help jurisdictions ensure institutional arrangements for water trading </w:t>
      </w:r>
      <w:r w:rsidR="00FF55E5">
        <w:t xml:space="preserve">beyond the MDB </w:t>
      </w:r>
      <w:r w:rsidR="009F7E8D" w:rsidRPr="009F7E8D">
        <w:t xml:space="preserve">remain in step with the level of market development. </w:t>
      </w:r>
      <w:bookmarkEnd w:id="34"/>
      <w:r w:rsidR="00925F71">
        <w:t>And there is a need for m</w:t>
      </w:r>
      <w:r w:rsidR="00A5420C" w:rsidRPr="00A5420C">
        <w:t xml:space="preserve">ore focus on the timeliness, </w:t>
      </w:r>
      <w:proofErr w:type="gramStart"/>
      <w:r w:rsidR="00A5420C" w:rsidRPr="00A5420C">
        <w:t>transparency</w:t>
      </w:r>
      <w:proofErr w:type="gramEnd"/>
      <w:r w:rsidR="00A5420C" w:rsidRPr="00A5420C">
        <w:t xml:space="preserve"> and completeness of market information </w:t>
      </w:r>
      <w:r w:rsidR="00925F71">
        <w:t xml:space="preserve">to </w:t>
      </w:r>
      <w:r>
        <w:t>support</w:t>
      </w:r>
      <w:r w:rsidR="00A5420C" w:rsidRPr="00A5420C">
        <w:t xml:space="preserve"> </w:t>
      </w:r>
      <w:r w:rsidR="00925F71">
        <w:t xml:space="preserve">irrigators and other entitlement holders </w:t>
      </w:r>
      <w:r w:rsidR="00D60F5B">
        <w:t>in response to short</w:t>
      </w:r>
      <w:r w:rsidR="00E968F5">
        <w:noBreakHyphen/>
      </w:r>
      <w:r w:rsidR="00D60F5B">
        <w:t xml:space="preserve"> and long</w:t>
      </w:r>
      <w:r w:rsidR="00A072A3">
        <w:noBreakHyphen/>
      </w:r>
      <w:r w:rsidR="00483FD3">
        <w:t xml:space="preserve">term challenges and opportunities </w:t>
      </w:r>
      <w:r w:rsidR="00A5420C" w:rsidRPr="00A5420C">
        <w:t>(</w:t>
      </w:r>
      <w:r w:rsidR="006D3060">
        <w:t>SP </w:t>
      </w:r>
      <w:r w:rsidR="006C0D40" w:rsidRPr="009F24E5">
        <w:t xml:space="preserve">B </w:t>
      </w:r>
      <w:r w:rsidR="006C0D40" w:rsidRPr="009F24E5">
        <w:rPr>
          <w:i/>
          <w:iCs/>
        </w:rPr>
        <w:t>Trading</w:t>
      </w:r>
      <w:r w:rsidR="00A5420C" w:rsidRPr="00A5420C">
        <w:t>)</w:t>
      </w:r>
      <w:r w:rsidR="00A5420C">
        <w:t>.</w:t>
      </w:r>
    </w:p>
    <w:p w14:paraId="365F6F78" w14:textId="506C9FBC" w:rsidR="00DF65E6" w:rsidRPr="004F2A72" w:rsidRDefault="00F7066A" w:rsidP="00436E77">
      <w:pPr>
        <w:pStyle w:val="BodyText"/>
        <w:rPr>
          <w:spacing w:val="-4"/>
        </w:rPr>
      </w:pPr>
      <w:r w:rsidRPr="004F2A72">
        <w:rPr>
          <w:spacing w:val="-4"/>
        </w:rPr>
        <w:lastRenderedPageBreak/>
        <w:t xml:space="preserve">Governments are looking to invest in </w:t>
      </w:r>
      <w:r w:rsidR="00B608F1" w:rsidRPr="004F2A72">
        <w:rPr>
          <w:spacing w:val="-4"/>
        </w:rPr>
        <w:t xml:space="preserve">major </w:t>
      </w:r>
      <w:r w:rsidRPr="004F2A72">
        <w:rPr>
          <w:spacing w:val="-4"/>
        </w:rPr>
        <w:t xml:space="preserve">water infrastructure </w:t>
      </w:r>
      <w:r w:rsidR="00B608F1" w:rsidRPr="004F2A72">
        <w:rPr>
          <w:spacing w:val="-4"/>
        </w:rPr>
        <w:t xml:space="preserve">in pursuit of </w:t>
      </w:r>
      <w:r w:rsidR="002F27A2" w:rsidRPr="004F2A72">
        <w:rPr>
          <w:spacing w:val="-4"/>
        </w:rPr>
        <w:t xml:space="preserve">regional development. However, </w:t>
      </w:r>
      <w:bookmarkStart w:id="35" w:name="_Hlk58242643"/>
      <w:r w:rsidR="006612D4" w:rsidRPr="004F2A72">
        <w:rPr>
          <w:spacing w:val="-4"/>
        </w:rPr>
        <w:t xml:space="preserve">clear </w:t>
      </w:r>
      <w:r w:rsidR="00B608F1" w:rsidRPr="004F2A72">
        <w:rPr>
          <w:spacing w:val="-4"/>
        </w:rPr>
        <w:t xml:space="preserve">assessment criteria are </w:t>
      </w:r>
      <w:r w:rsidR="002F27A2" w:rsidRPr="004F2A72">
        <w:rPr>
          <w:spacing w:val="-4"/>
        </w:rPr>
        <w:t xml:space="preserve">required </w:t>
      </w:r>
      <w:r w:rsidR="00B608F1" w:rsidRPr="004F2A72">
        <w:rPr>
          <w:spacing w:val="-4"/>
        </w:rPr>
        <w:t xml:space="preserve">to </w:t>
      </w:r>
      <w:r w:rsidR="008C1374" w:rsidRPr="004F2A72">
        <w:rPr>
          <w:spacing w:val="-4"/>
        </w:rPr>
        <w:t xml:space="preserve">demonstrate how those investments are </w:t>
      </w:r>
      <w:r w:rsidR="00CC6196" w:rsidRPr="004F2A72">
        <w:rPr>
          <w:spacing w:val="-4"/>
        </w:rPr>
        <w:t xml:space="preserve">economically viable and </w:t>
      </w:r>
      <w:r w:rsidR="00DF65E6" w:rsidRPr="004F2A72">
        <w:rPr>
          <w:spacing w:val="-4"/>
        </w:rPr>
        <w:t xml:space="preserve">environmentally </w:t>
      </w:r>
      <w:r w:rsidR="00CC6196" w:rsidRPr="004F2A72">
        <w:rPr>
          <w:spacing w:val="-4"/>
        </w:rPr>
        <w:t>sustainable</w:t>
      </w:r>
      <w:bookmarkStart w:id="36" w:name="_Hlk58242675"/>
      <w:r w:rsidR="0073720C" w:rsidRPr="004F2A72">
        <w:rPr>
          <w:spacing w:val="-4"/>
        </w:rPr>
        <w:t>.</w:t>
      </w:r>
      <w:bookmarkEnd w:id="35"/>
      <w:r w:rsidR="0073720C" w:rsidRPr="004F2A72">
        <w:rPr>
          <w:spacing w:val="-4"/>
        </w:rPr>
        <w:t xml:space="preserve"> Whe</w:t>
      </w:r>
      <w:r w:rsidR="008C1374" w:rsidRPr="004F2A72">
        <w:rPr>
          <w:spacing w:val="-4"/>
        </w:rPr>
        <w:t xml:space="preserve">re </w:t>
      </w:r>
      <w:r w:rsidR="0073720C" w:rsidRPr="004F2A72">
        <w:rPr>
          <w:spacing w:val="-4"/>
        </w:rPr>
        <w:t xml:space="preserve">governments fund water infrastructure development to support irrigators and rural communities </w:t>
      </w:r>
      <w:bookmarkEnd w:id="36"/>
      <w:r w:rsidR="0073720C" w:rsidRPr="004F2A72">
        <w:rPr>
          <w:spacing w:val="-4"/>
        </w:rPr>
        <w:t xml:space="preserve">it is important that </w:t>
      </w:r>
      <w:bookmarkStart w:id="37" w:name="_Hlk58242745"/>
      <w:r w:rsidR="0073720C" w:rsidRPr="004F2A72">
        <w:rPr>
          <w:spacing w:val="-4"/>
        </w:rPr>
        <w:t xml:space="preserve">these </w:t>
      </w:r>
      <w:r w:rsidR="006B50BC" w:rsidRPr="004F2A72">
        <w:rPr>
          <w:spacing w:val="-4"/>
        </w:rPr>
        <w:t>investments</w:t>
      </w:r>
      <w:r w:rsidR="00CC6196" w:rsidRPr="004F2A72">
        <w:rPr>
          <w:spacing w:val="-4"/>
        </w:rPr>
        <w:t xml:space="preserve"> do not leav</w:t>
      </w:r>
      <w:r w:rsidR="0073720C" w:rsidRPr="004F2A72">
        <w:rPr>
          <w:spacing w:val="-4"/>
        </w:rPr>
        <w:t>e</w:t>
      </w:r>
      <w:r w:rsidR="00CC6196" w:rsidRPr="004F2A72">
        <w:rPr>
          <w:spacing w:val="-4"/>
        </w:rPr>
        <w:t xml:space="preserve"> </w:t>
      </w:r>
      <w:bookmarkStart w:id="38" w:name="_Hlk61443088"/>
      <w:r w:rsidR="00CC6196" w:rsidRPr="004F2A72">
        <w:rPr>
          <w:spacing w:val="-4"/>
        </w:rPr>
        <w:t>a</w:t>
      </w:r>
      <w:r w:rsidR="008C1374" w:rsidRPr="004F2A72">
        <w:rPr>
          <w:spacing w:val="-4"/>
        </w:rPr>
        <w:t>n excessive</w:t>
      </w:r>
      <w:r w:rsidR="00CC6196" w:rsidRPr="004F2A72">
        <w:rPr>
          <w:spacing w:val="-4"/>
        </w:rPr>
        <w:t xml:space="preserve"> </w:t>
      </w:r>
      <w:bookmarkEnd w:id="38"/>
      <w:r w:rsidR="00CC6196" w:rsidRPr="004F2A72">
        <w:rPr>
          <w:spacing w:val="-4"/>
        </w:rPr>
        <w:t>financial burden for future users</w:t>
      </w:r>
      <w:r w:rsidR="008C1374" w:rsidRPr="004F2A72">
        <w:rPr>
          <w:spacing w:val="-4"/>
        </w:rPr>
        <w:t xml:space="preserve"> </w:t>
      </w:r>
      <w:bookmarkStart w:id="39" w:name="_Hlk61443080"/>
      <w:r w:rsidR="008C1374" w:rsidRPr="004F2A72">
        <w:rPr>
          <w:spacing w:val="-4"/>
        </w:rPr>
        <w:t>or taxpayers</w:t>
      </w:r>
      <w:bookmarkEnd w:id="39"/>
      <w:r w:rsidR="00CC6196" w:rsidRPr="004F2A72">
        <w:rPr>
          <w:spacing w:val="-4"/>
        </w:rPr>
        <w:t xml:space="preserve">, </w:t>
      </w:r>
      <w:r w:rsidR="0073720C" w:rsidRPr="004F2A72">
        <w:rPr>
          <w:spacing w:val="-4"/>
        </w:rPr>
        <w:t xml:space="preserve">and that </w:t>
      </w:r>
      <w:r w:rsidR="00CC6196" w:rsidRPr="004F2A72">
        <w:rPr>
          <w:spacing w:val="-4"/>
        </w:rPr>
        <w:t>negative impacts on downstream communities and environments</w:t>
      </w:r>
      <w:r w:rsidR="0073720C" w:rsidRPr="004F2A72">
        <w:rPr>
          <w:spacing w:val="-4"/>
        </w:rPr>
        <w:t xml:space="preserve"> are appropriately mitigated</w:t>
      </w:r>
      <w:r w:rsidR="00CC6196" w:rsidRPr="004F2A72">
        <w:rPr>
          <w:spacing w:val="-4"/>
        </w:rPr>
        <w:t xml:space="preserve">. </w:t>
      </w:r>
      <w:bookmarkEnd w:id="37"/>
      <w:r w:rsidR="0073720C" w:rsidRPr="004F2A72">
        <w:rPr>
          <w:spacing w:val="-4"/>
        </w:rPr>
        <w:t>The Commission advis</w:t>
      </w:r>
      <w:r w:rsidR="008C1374" w:rsidRPr="004F2A72">
        <w:rPr>
          <w:spacing w:val="-4"/>
        </w:rPr>
        <w:t xml:space="preserve">es </w:t>
      </w:r>
      <w:r w:rsidR="0073720C" w:rsidRPr="004F2A72">
        <w:rPr>
          <w:spacing w:val="-4"/>
        </w:rPr>
        <w:t>that</w:t>
      </w:r>
      <w:r w:rsidR="00DF65E6" w:rsidRPr="004F2A72">
        <w:rPr>
          <w:spacing w:val="-4"/>
        </w:rPr>
        <w:t xml:space="preserve"> for new investments</w:t>
      </w:r>
      <w:r w:rsidR="0073720C" w:rsidRPr="004F2A72">
        <w:rPr>
          <w:spacing w:val="-4"/>
        </w:rPr>
        <w:t xml:space="preserve"> </w:t>
      </w:r>
      <w:bookmarkStart w:id="40" w:name="_Hlk58242928"/>
      <w:r w:rsidR="00DF65E6" w:rsidRPr="004F2A72">
        <w:rPr>
          <w:spacing w:val="-4"/>
        </w:rPr>
        <w:t>(</w:t>
      </w:r>
      <w:r w:rsidR="006D3060" w:rsidRPr="004F2A72">
        <w:rPr>
          <w:spacing w:val="-4"/>
        </w:rPr>
        <w:t>SP </w:t>
      </w:r>
      <w:r w:rsidR="00A95746" w:rsidRPr="004F2A72">
        <w:rPr>
          <w:spacing w:val="-4"/>
        </w:rPr>
        <w:t xml:space="preserve">I </w:t>
      </w:r>
      <w:r w:rsidR="00A95746" w:rsidRPr="004F2A72">
        <w:rPr>
          <w:i/>
          <w:iCs/>
          <w:spacing w:val="-4"/>
        </w:rPr>
        <w:t>Infrastructure</w:t>
      </w:r>
      <w:r w:rsidR="00DF65E6" w:rsidRPr="004F2A72">
        <w:rPr>
          <w:spacing w:val="-4"/>
        </w:rPr>
        <w:t>):</w:t>
      </w:r>
    </w:p>
    <w:p w14:paraId="2FBE349B" w14:textId="3D2A5E30" w:rsidR="00DF65E6" w:rsidRDefault="0073720C" w:rsidP="00DF65E6">
      <w:pPr>
        <w:pStyle w:val="ListBullet"/>
      </w:pPr>
      <w:r>
        <w:t>e</w:t>
      </w:r>
      <w:r w:rsidR="006B50BC" w:rsidRPr="006B50BC">
        <w:t xml:space="preserve">nvironmental sustainability should be demonstrated through environmental, </w:t>
      </w:r>
      <w:r w:rsidR="00FF55E5">
        <w:t>cultural</w:t>
      </w:r>
      <w:r w:rsidR="006B50BC" w:rsidRPr="006B50BC">
        <w:t xml:space="preserve"> heritage and social impact </w:t>
      </w:r>
      <w:r w:rsidR="008C1374">
        <w:t>approvals</w:t>
      </w:r>
      <w:r w:rsidR="006B50BC" w:rsidRPr="006B50BC">
        <w:t>, and compliance with a high quality and NWI</w:t>
      </w:r>
      <w:r w:rsidR="00101E8D">
        <w:noBreakHyphen/>
      </w:r>
      <w:r w:rsidR="006B50BC" w:rsidRPr="006B50BC">
        <w:t xml:space="preserve">consistent water </w:t>
      </w:r>
      <w:proofErr w:type="gramStart"/>
      <w:r w:rsidR="006B50BC" w:rsidRPr="006B50BC">
        <w:t>plan</w:t>
      </w:r>
      <w:proofErr w:type="gramEnd"/>
      <w:r w:rsidR="00DF65E6" w:rsidDel="00DF65E6">
        <w:t xml:space="preserve"> </w:t>
      </w:r>
    </w:p>
    <w:p w14:paraId="04F231B9" w14:textId="28D5996D" w:rsidR="00DF65E6" w:rsidRDefault="00DF65E6" w:rsidP="00DF65E6">
      <w:pPr>
        <w:pStyle w:val="ListBullet"/>
      </w:pPr>
      <w:r>
        <w:t>e</w:t>
      </w:r>
      <w:r w:rsidR="006B50BC" w:rsidRPr="006B50BC">
        <w:t xml:space="preserve">conomic viability should be demonstrated by a positive benefit–cost ratio determined through a transparent and rigorous cost–benefit </w:t>
      </w:r>
      <w:proofErr w:type="gramStart"/>
      <w:r w:rsidR="006B50BC" w:rsidRPr="006B50BC">
        <w:t>assessment</w:t>
      </w:r>
      <w:proofErr w:type="gramEnd"/>
    </w:p>
    <w:p w14:paraId="3386AD76" w14:textId="25436D45" w:rsidR="00DF65E6" w:rsidRDefault="00DF65E6" w:rsidP="00DF65E6">
      <w:pPr>
        <w:pStyle w:val="ListBullet"/>
      </w:pPr>
      <w:r>
        <w:t>c</w:t>
      </w:r>
      <w:r w:rsidR="006B50BC" w:rsidRPr="006B50BC">
        <w:t xml:space="preserve">osts should be recovered from users as the norm, except where government funding is provided through a transparent </w:t>
      </w:r>
      <w:r w:rsidR="00A95746">
        <w:t>c</w:t>
      </w:r>
      <w:r w:rsidR="00A95746" w:rsidRPr="00A95746">
        <w:t xml:space="preserve">ommunity service obligation </w:t>
      </w:r>
      <w:proofErr w:type="gramStart"/>
      <w:r w:rsidR="006B50BC" w:rsidRPr="006B50BC">
        <w:t>payment</w:t>
      </w:r>
      <w:proofErr w:type="gramEnd"/>
    </w:p>
    <w:p w14:paraId="0137805E" w14:textId="3E4EFEE1" w:rsidR="00311547" w:rsidRPr="00202D05" w:rsidRDefault="00DF65E6" w:rsidP="0088457F">
      <w:pPr>
        <w:pStyle w:val="ListBullet"/>
        <w:rPr>
          <w:spacing w:val="-2"/>
        </w:rPr>
      </w:pPr>
      <w:r w:rsidRPr="00202D05">
        <w:rPr>
          <w:spacing w:val="-2"/>
        </w:rPr>
        <w:t>g</w:t>
      </w:r>
      <w:r w:rsidR="00B30D29" w:rsidRPr="00202D05">
        <w:rPr>
          <w:spacing w:val="-2"/>
        </w:rPr>
        <w:t xml:space="preserve">overnments should consider how to ensure </w:t>
      </w:r>
      <w:r w:rsidR="000635A0" w:rsidRPr="00202D05">
        <w:rPr>
          <w:spacing w:val="-2"/>
        </w:rPr>
        <w:t xml:space="preserve">planning for </w:t>
      </w:r>
      <w:r w:rsidR="00B30D29" w:rsidRPr="00202D05">
        <w:rPr>
          <w:spacing w:val="-2"/>
        </w:rPr>
        <w:t xml:space="preserve">new developments </w:t>
      </w:r>
      <w:r w:rsidR="000635A0" w:rsidRPr="00202D05">
        <w:rPr>
          <w:spacing w:val="-2"/>
        </w:rPr>
        <w:t>is</w:t>
      </w:r>
      <w:r w:rsidR="00B30D29" w:rsidRPr="00202D05">
        <w:rPr>
          <w:spacing w:val="-2"/>
        </w:rPr>
        <w:t xml:space="preserve"> culturally responsive to the aspirations </w:t>
      </w:r>
      <w:r w:rsidR="00505912" w:rsidRPr="00202D05">
        <w:rPr>
          <w:spacing w:val="-2"/>
        </w:rPr>
        <w:t xml:space="preserve">and concerns </w:t>
      </w:r>
      <w:r w:rsidR="00B30D29" w:rsidRPr="00202D05">
        <w:rPr>
          <w:spacing w:val="-2"/>
        </w:rPr>
        <w:t>of Aboriginal and Torres Strait Islander people</w:t>
      </w:r>
      <w:r w:rsidR="008C1374" w:rsidRPr="00202D05">
        <w:rPr>
          <w:spacing w:val="-2"/>
        </w:rPr>
        <w:t>.</w:t>
      </w:r>
    </w:p>
    <w:bookmarkEnd w:id="40"/>
    <w:p w14:paraId="494434B8" w14:textId="1791FB14" w:rsidR="006C16BF" w:rsidRDefault="00CD79CA" w:rsidP="00BE4C9D">
      <w:pPr>
        <w:pStyle w:val="BodyText"/>
      </w:pPr>
      <w:r>
        <w:t>If the</w:t>
      </w:r>
      <w:r w:rsidR="008422AD">
        <w:t>se</w:t>
      </w:r>
      <w:r>
        <w:t xml:space="preserve"> issue</w:t>
      </w:r>
      <w:r w:rsidR="009555E5">
        <w:t>s</w:t>
      </w:r>
      <w:r>
        <w:t xml:space="preserve"> are a</w:t>
      </w:r>
      <w:r w:rsidR="008367AE">
        <w:t>ddress</w:t>
      </w:r>
      <w:r>
        <w:t>ed</w:t>
      </w:r>
      <w:r w:rsidR="00551075">
        <w:t>,</w:t>
      </w:r>
      <w:r>
        <w:t xml:space="preserve"> rural water users should be </w:t>
      </w:r>
      <w:r w:rsidR="00A1162D">
        <w:t>even better</w:t>
      </w:r>
      <w:r w:rsidR="00446F6B">
        <w:t xml:space="preserve"> positioned </w:t>
      </w:r>
      <w:r>
        <w:t xml:space="preserve">to </w:t>
      </w:r>
      <w:r w:rsidR="00630D87">
        <w:t xml:space="preserve">deal with future </w:t>
      </w:r>
      <w:r w:rsidR="00A1162D">
        <w:t>pressures on</w:t>
      </w:r>
      <w:r w:rsidR="00456F59">
        <w:t xml:space="preserve"> water availability</w:t>
      </w:r>
      <w:r w:rsidR="00446F6B">
        <w:t xml:space="preserve"> and </w:t>
      </w:r>
      <w:r w:rsidR="00CC6196">
        <w:t>adapt</w:t>
      </w:r>
      <w:r w:rsidR="003F674A">
        <w:t xml:space="preserve"> </w:t>
      </w:r>
      <w:r w:rsidR="00A1162D">
        <w:t>as needed</w:t>
      </w:r>
      <w:r w:rsidR="0040263E">
        <w:t>.</w:t>
      </w:r>
    </w:p>
    <w:p w14:paraId="58A754E1" w14:textId="19BC0C3B" w:rsidR="001260CB" w:rsidRDefault="004B15F9" w:rsidP="00482E5D">
      <w:pPr>
        <w:pStyle w:val="BodyText"/>
      </w:pPr>
      <w:r>
        <w:t xml:space="preserve">Finally, </w:t>
      </w:r>
      <w:r w:rsidR="00E46AF5">
        <w:t>while markets and trade have</w:t>
      </w:r>
      <w:r w:rsidR="00EB6B67">
        <w:t>,</w:t>
      </w:r>
      <w:r w:rsidR="00E46AF5">
        <w:t xml:space="preserve"> </w:t>
      </w:r>
      <w:r w:rsidR="00EB6B67">
        <w:t xml:space="preserve">for some communities, </w:t>
      </w:r>
      <w:r w:rsidR="00E46AF5">
        <w:t xml:space="preserve">enabled </w:t>
      </w:r>
      <w:r w:rsidR="00CC1A4D">
        <w:t xml:space="preserve">thriving irrigation industries </w:t>
      </w:r>
      <w:r w:rsidR="00E46AF5">
        <w:t xml:space="preserve">to </w:t>
      </w:r>
      <w:r w:rsidR="00CC1A4D">
        <w:t xml:space="preserve">develop </w:t>
      </w:r>
      <w:r w:rsidR="008422AD">
        <w:t xml:space="preserve">in response to emerging </w:t>
      </w:r>
      <w:r w:rsidR="00A87D4C">
        <w:t>market</w:t>
      </w:r>
      <w:r w:rsidR="008422AD">
        <w:t xml:space="preserve"> opportunities</w:t>
      </w:r>
      <w:r w:rsidR="00E46AF5">
        <w:t>,</w:t>
      </w:r>
      <w:r w:rsidR="008422AD">
        <w:t xml:space="preserve"> </w:t>
      </w:r>
      <w:r w:rsidR="00CC1A4D">
        <w:t xml:space="preserve">others </w:t>
      </w:r>
      <w:r w:rsidR="00357A33" w:rsidRPr="00357A33">
        <w:t xml:space="preserve">have </w:t>
      </w:r>
      <w:r w:rsidR="00CC1A4D">
        <w:t>had</w:t>
      </w:r>
      <w:r w:rsidR="00CC1A4D" w:rsidRPr="00357A33">
        <w:t xml:space="preserve"> </w:t>
      </w:r>
      <w:r w:rsidR="00357A33" w:rsidRPr="00357A33">
        <w:t>to adjust to lower levels of irrigated agricultural production</w:t>
      </w:r>
      <w:r w:rsidR="00CC1A4D">
        <w:t xml:space="preserve"> — bringing </w:t>
      </w:r>
      <w:r w:rsidR="002A3485">
        <w:t xml:space="preserve">additional </w:t>
      </w:r>
      <w:r w:rsidR="00CC1A4D">
        <w:t>adjustment pressures</w:t>
      </w:r>
      <w:r w:rsidR="00357A33">
        <w:t>.</w:t>
      </w:r>
      <w:r w:rsidR="00E46AF5">
        <w:t xml:space="preserve"> </w:t>
      </w:r>
      <w:r w:rsidR="00875E1C">
        <w:t>C</w:t>
      </w:r>
      <w:r w:rsidR="00E95D3A">
        <w:t xml:space="preserve">hanges in water availability resulting from </w:t>
      </w:r>
      <w:r w:rsidR="00357A33">
        <w:t xml:space="preserve">addressing past overallocation </w:t>
      </w:r>
      <w:r w:rsidR="003B6701">
        <w:t>ha</w:t>
      </w:r>
      <w:r w:rsidR="00DE5454">
        <w:t>ve</w:t>
      </w:r>
      <w:r w:rsidR="003B6701">
        <w:t xml:space="preserve"> </w:t>
      </w:r>
      <w:r w:rsidR="00AF643B">
        <w:t xml:space="preserve">contributed to </w:t>
      </w:r>
      <w:r w:rsidR="00CC1A4D">
        <w:t xml:space="preserve">these </w:t>
      </w:r>
      <w:r w:rsidR="00AF643B">
        <w:t>pressures</w:t>
      </w:r>
      <w:r w:rsidR="00CC1A4D">
        <w:t xml:space="preserve"> in some instances</w:t>
      </w:r>
      <w:r w:rsidR="00843F01">
        <w:t xml:space="preserve">. Adjustment </w:t>
      </w:r>
      <w:r w:rsidR="0059529B">
        <w:t xml:space="preserve">— </w:t>
      </w:r>
      <w:r w:rsidR="00843F01">
        <w:t xml:space="preserve">whether from reform or </w:t>
      </w:r>
      <w:r w:rsidR="00482E5D">
        <w:t xml:space="preserve">broader </w:t>
      </w:r>
      <w:r w:rsidR="00843F01">
        <w:t>market forces</w:t>
      </w:r>
      <w:r w:rsidR="004C172B">
        <w:t xml:space="preserve"> (</w:t>
      </w:r>
      <w:r w:rsidR="004C172B" w:rsidRPr="004C172B">
        <w:t>includ</w:t>
      </w:r>
      <w:r w:rsidR="004C172B">
        <w:t>ing</w:t>
      </w:r>
      <w:r w:rsidR="004C172B" w:rsidRPr="004C172B">
        <w:t xml:space="preserve"> trends in international trade</w:t>
      </w:r>
      <w:r w:rsidR="00A87D4C">
        <w:t>,</w:t>
      </w:r>
      <w:r w:rsidR="004C172B" w:rsidRPr="004C172B">
        <w:t xml:space="preserve"> commodity prices, and technolog</w:t>
      </w:r>
      <w:r w:rsidR="00A87D4C">
        <w:t>y</w:t>
      </w:r>
      <w:r w:rsidR="004C172B">
        <w:t>)</w:t>
      </w:r>
      <w:r w:rsidR="00843F01">
        <w:t xml:space="preserve"> has been particularly challenging for </w:t>
      </w:r>
      <w:r w:rsidR="003F674A">
        <w:t xml:space="preserve">some </w:t>
      </w:r>
      <w:r w:rsidR="00843F01">
        <w:t xml:space="preserve">communities in </w:t>
      </w:r>
      <w:r w:rsidR="003B6701">
        <w:t>the MDB</w:t>
      </w:r>
      <w:r w:rsidR="00843F01">
        <w:t>.</w:t>
      </w:r>
      <w:r w:rsidR="00AF62F6">
        <w:t xml:space="preserve"> </w:t>
      </w:r>
      <w:r w:rsidR="00843F01">
        <w:t xml:space="preserve">The recently completed </w:t>
      </w:r>
      <w:r w:rsidR="00843F01" w:rsidRPr="00405FFA">
        <w:rPr>
          <w:i/>
        </w:rPr>
        <w:t xml:space="preserve">Independent </w:t>
      </w:r>
      <w:r w:rsidR="00A8487C" w:rsidRPr="00405FFA">
        <w:rPr>
          <w:i/>
        </w:rPr>
        <w:t>A</w:t>
      </w:r>
      <w:r w:rsidR="00843F01" w:rsidRPr="00405FFA">
        <w:rPr>
          <w:i/>
        </w:rPr>
        <w:t xml:space="preserve">ssessment of </w:t>
      </w:r>
      <w:r w:rsidR="00A8487C" w:rsidRPr="00405FFA">
        <w:rPr>
          <w:i/>
        </w:rPr>
        <w:t>S</w:t>
      </w:r>
      <w:r w:rsidR="00843F01" w:rsidRPr="00405FFA">
        <w:rPr>
          <w:i/>
        </w:rPr>
        <w:t xml:space="preserve">ocial and </w:t>
      </w:r>
      <w:r w:rsidR="00A8487C" w:rsidRPr="00405FFA">
        <w:rPr>
          <w:i/>
        </w:rPr>
        <w:t>E</w:t>
      </w:r>
      <w:r w:rsidR="00843F01" w:rsidRPr="00405FFA">
        <w:rPr>
          <w:i/>
        </w:rPr>
        <w:t xml:space="preserve">conomic </w:t>
      </w:r>
      <w:r w:rsidR="00A8487C" w:rsidRPr="00405FFA">
        <w:rPr>
          <w:i/>
        </w:rPr>
        <w:t>C</w:t>
      </w:r>
      <w:r w:rsidR="00843F01" w:rsidRPr="00405FFA">
        <w:rPr>
          <w:i/>
        </w:rPr>
        <w:t xml:space="preserve">onditions in the Murray–Darling Basin </w:t>
      </w:r>
      <w:r w:rsidR="00843F01">
        <w:t xml:space="preserve">examined in </w:t>
      </w:r>
      <w:r w:rsidR="007A0FF4">
        <w:t xml:space="preserve">detail the social and economic impacts of water reform in the </w:t>
      </w:r>
      <w:proofErr w:type="gramStart"/>
      <w:r w:rsidR="007A0FF4">
        <w:t xml:space="preserve">MDB, </w:t>
      </w:r>
      <w:r w:rsidR="00482E5D">
        <w:t>and</w:t>
      </w:r>
      <w:proofErr w:type="gramEnd"/>
      <w:r w:rsidR="00482E5D">
        <w:t xml:space="preserve"> expressed ‘</w:t>
      </w:r>
      <w:r w:rsidR="00482E5D" w:rsidRPr="00482E5D">
        <w:t>significant concerns about the depth and distribution of past impacts in rural and regional Basin communities</w:t>
      </w:r>
      <w:r w:rsidR="00552A51">
        <w:t>’</w:t>
      </w:r>
      <w:r w:rsidR="00482E5D">
        <w:t xml:space="preserve"> </w:t>
      </w:r>
      <w:r w:rsidR="00A8487C" w:rsidRPr="00A8487C">
        <w:rPr>
          <w:szCs w:val="24"/>
        </w:rPr>
        <w:t>(Sefton et al. 2020, p. </w:t>
      </w:r>
      <w:r w:rsidR="00482E5D">
        <w:rPr>
          <w:szCs w:val="24"/>
        </w:rPr>
        <w:t>17</w:t>
      </w:r>
      <w:r w:rsidR="00A8487C" w:rsidRPr="00A8487C">
        <w:rPr>
          <w:szCs w:val="24"/>
        </w:rPr>
        <w:t>)</w:t>
      </w:r>
      <w:r w:rsidR="00750B65">
        <w:t>.</w:t>
      </w:r>
    </w:p>
    <w:p w14:paraId="26701F78" w14:textId="72B8954B" w:rsidR="00CD79CA" w:rsidRDefault="003B6701" w:rsidP="00BE4C9D">
      <w:pPr>
        <w:pStyle w:val="BodyText"/>
      </w:pPr>
      <w:r>
        <w:t>Section</w:t>
      </w:r>
      <w:r w:rsidR="003A7B1E">
        <w:t> </w:t>
      </w:r>
      <w:r>
        <w:t xml:space="preserve">2 </w:t>
      </w:r>
      <w:r w:rsidR="001C5137">
        <w:t xml:space="preserve">considers </w:t>
      </w:r>
      <w:r w:rsidR="00910338">
        <w:t xml:space="preserve">the </w:t>
      </w:r>
      <w:r w:rsidR="00CC1A4D">
        <w:t xml:space="preserve">potential </w:t>
      </w:r>
      <w:r w:rsidR="00551075">
        <w:t xml:space="preserve">role of government </w:t>
      </w:r>
      <w:r w:rsidR="001C5137">
        <w:t>when reforms contribute to reduce</w:t>
      </w:r>
      <w:r w:rsidR="0059529B">
        <w:t>d</w:t>
      </w:r>
      <w:r w:rsidR="001C5137">
        <w:t xml:space="preserve"> </w:t>
      </w:r>
      <w:r w:rsidR="00C40D87" w:rsidRPr="00C40D87">
        <w:t>water availability</w:t>
      </w:r>
      <w:r w:rsidR="001C5137">
        <w:t xml:space="preserve"> and </w:t>
      </w:r>
      <w:r w:rsidR="0059529B">
        <w:t xml:space="preserve">associated </w:t>
      </w:r>
      <w:r w:rsidR="001C5137">
        <w:t>adjustment pressure</w:t>
      </w:r>
      <w:r w:rsidR="0059529B">
        <w:t>s</w:t>
      </w:r>
      <w:r w:rsidR="001C5137">
        <w:t xml:space="preserve"> in rural communities</w:t>
      </w:r>
      <w:r>
        <w:t>.</w:t>
      </w:r>
    </w:p>
    <w:p w14:paraId="36740F5E" w14:textId="3676D718" w:rsidR="003B6701" w:rsidRDefault="00E62022" w:rsidP="003B6701">
      <w:pPr>
        <w:pStyle w:val="Heading2"/>
      </w:pPr>
      <w:bookmarkStart w:id="41" w:name="_Toc61426182"/>
      <w:bookmarkStart w:id="42" w:name="_Toc61441023"/>
      <w:bookmarkStart w:id="43" w:name="_Toc61873562"/>
      <w:r>
        <w:t>2</w:t>
      </w:r>
      <w:r w:rsidR="003B6701">
        <w:tab/>
      </w:r>
      <w:r w:rsidR="00723CA9">
        <w:t>Community adjustment to lower water availability</w:t>
      </w:r>
      <w:bookmarkEnd w:id="41"/>
      <w:bookmarkEnd w:id="42"/>
      <w:bookmarkEnd w:id="43"/>
    </w:p>
    <w:p w14:paraId="1D7E5BA6" w14:textId="29CB4412" w:rsidR="003E34FB" w:rsidRDefault="003E34FB" w:rsidP="003E34FB">
      <w:pPr>
        <w:pStyle w:val="BodyText"/>
      </w:pPr>
      <w:bookmarkStart w:id="44" w:name="_Hlk58317509"/>
      <w:r>
        <w:t>Commun</w:t>
      </w:r>
      <w:r w:rsidR="003F2184">
        <w:t>ities and economies are dynamic</w:t>
      </w:r>
      <w:r w:rsidR="00911817">
        <w:t xml:space="preserve"> —</w:t>
      </w:r>
      <w:r>
        <w:t xml:space="preserve"> continually adjust</w:t>
      </w:r>
      <w:r w:rsidR="00911817">
        <w:t>ing</w:t>
      </w:r>
      <w:r>
        <w:t xml:space="preserve"> in response to</w:t>
      </w:r>
      <w:r w:rsidR="00911817">
        <w:t xml:space="preserve"> forces that include </w:t>
      </w:r>
      <w:r>
        <w:t>market opportunities, technological change, shi</w:t>
      </w:r>
      <w:r w:rsidR="005F4645">
        <w:t>fts in community preferences</w:t>
      </w:r>
      <w:r w:rsidR="00ED5243">
        <w:t xml:space="preserve">, </w:t>
      </w:r>
      <w:r w:rsidR="003F4F40">
        <w:t xml:space="preserve">a </w:t>
      </w:r>
      <w:r w:rsidR="00ED5243">
        <w:t>changing climate</w:t>
      </w:r>
      <w:r w:rsidR="005F4645">
        <w:t xml:space="preserve"> </w:t>
      </w:r>
      <w:r w:rsidR="00CE13ED">
        <w:t xml:space="preserve">and </w:t>
      </w:r>
      <w:r>
        <w:t>policy reforms</w:t>
      </w:r>
      <w:r w:rsidR="00375ADC">
        <w:t>.</w:t>
      </w:r>
    </w:p>
    <w:p w14:paraId="41A506B6" w14:textId="5989412D" w:rsidR="00442747" w:rsidRDefault="00442747" w:rsidP="00442747">
      <w:pPr>
        <w:pStyle w:val="BodyText"/>
      </w:pPr>
      <w:r>
        <w:t xml:space="preserve">Change and uncertainty will </w:t>
      </w:r>
      <w:r w:rsidR="00A1162D">
        <w:t xml:space="preserve">continue to </w:t>
      </w:r>
      <w:r>
        <w:t>be a key feature of life for irrigators and irrigation dependent communities into the future</w:t>
      </w:r>
      <w:r w:rsidR="006D2FB1">
        <w:t>. Given this</w:t>
      </w:r>
      <w:r w:rsidR="0055575F">
        <w:t>,</w:t>
      </w:r>
      <w:r w:rsidR="006D2FB1">
        <w:t xml:space="preserve"> it is important that government </w:t>
      </w:r>
      <w:r w:rsidR="00A1162D">
        <w:t xml:space="preserve">policy </w:t>
      </w:r>
      <w:r w:rsidR="006D2FB1">
        <w:lastRenderedPageBreak/>
        <w:t xml:space="preserve">settings </w:t>
      </w:r>
      <w:r w:rsidR="00A1162D">
        <w:t xml:space="preserve">promote adaptation by </w:t>
      </w:r>
      <w:r w:rsidR="006D2FB1">
        <w:t xml:space="preserve">rural communities in the face of </w:t>
      </w:r>
      <w:r w:rsidR="0055575F">
        <w:t>changes</w:t>
      </w:r>
      <w:r w:rsidR="006D2FB1">
        <w:t xml:space="preserve"> to water availability</w:t>
      </w:r>
      <w:r>
        <w:t>.</w:t>
      </w:r>
      <w:r w:rsidR="00D814EC">
        <w:t xml:space="preserve"> </w:t>
      </w:r>
      <w:r w:rsidR="00D814EC" w:rsidRPr="00D814EC">
        <w:t xml:space="preserve">Indeed, the NWI expects that entitlement holders bear the risks of changes to the quantity or reliability of water allocations </w:t>
      </w:r>
      <w:proofErr w:type="gramStart"/>
      <w:r w:rsidR="00D814EC" w:rsidRPr="00D814EC">
        <w:t>as a result of</w:t>
      </w:r>
      <w:proofErr w:type="gramEnd"/>
      <w:r w:rsidR="00D814EC" w:rsidRPr="00D814EC">
        <w:t xml:space="preserve"> seasonal or long</w:t>
      </w:r>
      <w:r w:rsidR="00227164">
        <w:noBreakHyphen/>
      </w:r>
      <w:r w:rsidR="00D814EC" w:rsidRPr="00D814EC">
        <w:t>term changes in climate, and natural events such as bushfire and drought.</w:t>
      </w:r>
    </w:p>
    <w:bookmarkEnd w:id="44"/>
    <w:p w14:paraId="138EA242" w14:textId="328B3D40" w:rsidR="000E0514" w:rsidRDefault="000E0514" w:rsidP="000E0514">
      <w:pPr>
        <w:pStyle w:val="BodyText"/>
      </w:pPr>
      <w:r>
        <w:t xml:space="preserve">The NWI </w:t>
      </w:r>
      <w:r w:rsidR="000C392E" w:rsidRPr="000C392E">
        <w:t>recognised</w:t>
      </w:r>
      <w:r w:rsidR="000C392E">
        <w:t xml:space="preserve"> </w:t>
      </w:r>
      <w:r>
        <w:t xml:space="preserve">that water reform would lead to reduced water </w:t>
      </w:r>
      <w:r w:rsidR="00282A25">
        <w:t>for consumptive use</w:t>
      </w:r>
      <w:r w:rsidR="009F44AC">
        <w:t xml:space="preserve"> in some communities</w:t>
      </w:r>
      <w:r w:rsidR="00282A25">
        <w:t xml:space="preserve"> and contribute to </w:t>
      </w:r>
      <w:r>
        <w:t xml:space="preserve">adjustment </w:t>
      </w:r>
      <w:r w:rsidR="00F21F1C">
        <w:t>pressures</w:t>
      </w:r>
      <w:r>
        <w:t>. Jurisdictions agreed to:</w:t>
      </w:r>
    </w:p>
    <w:p w14:paraId="61F3853B" w14:textId="6AA49C34" w:rsidR="000E0514" w:rsidRDefault="000E0514" w:rsidP="00282A25">
      <w:pPr>
        <w:pStyle w:val="Quote"/>
      </w:pPr>
      <w:r>
        <w:t xml:space="preserve">… address </w:t>
      </w:r>
      <w:r w:rsidRPr="00B1660C">
        <w:rPr>
          <w:iCs/>
        </w:rPr>
        <w:t>significant</w:t>
      </w:r>
      <w:r>
        <w:t xml:space="preserve"> adjustment issues affecting water access entitlement holders and communities that may arise from reductions in water availability </w:t>
      </w:r>
      <w:proofErr w:type="gramStart"/>
      <w:r>
        <w:t>as a result of</w:t>
      </w:r>
      <w:proofErr w:type="gramEnd"/>
      <w:r>
        <w:t xml:space="preserve"> implementing the reforms proposed in this Agreement.</w:t>
      </w:r>
      <w:r w:rsidR="008F68F3" w:rsidRPr="00591E57">
        <w:rPr>
          <w:rStyle w:val="FootnoteReference"/>
        </w:rPr>
        <w:footnoteReference w:id="3"/>
      </w:r>
    </w:p>
    <w:p w14:paraId="4B1865CD" w14:textId="4AD8D52C" w:rsidR="00C22F0B" w:rsidRDefault="007529E7" w:rsidP="00C22F0B">
      <w:pPr>
        <w:pStyle w:val="BodyText"/>
      </w:pPr>
      <w:r w:rsidRPr="001126FC">
        <w:t>Since 2004, concerns about significant adjustment issues associated with water reforms have mainly arisen in the MDB, where most highly developed water resources are located</w:t>
      </w:r>
      <w:r w:rsidR="002F27A2">
        <w:t xml:space="preserve"> and there has been a substantial government water recovery effort.</w:t>
      </w:r>
      <w:r>
        <w:t xml:space="preserve"> </w:t>
      </w:r>
      <w:r w:rsidR="00395BFE">
        <w:t xml:space="preserve">While </w:t>
      </w:r>
      <w:bookmarkStart w:id="45" w:name="_Hlk58318316"/>
      <w:r w:rsidR="00395BFE">
        <w:t>g</w:t>
      </w:r>
      <w:r w:rsidR="006D2FB1">
        <w:t xml:space="preserve">overnments implemented </w:t>
      </w:r>
      <w:r w:rsidR="002F27A2">
        <w:t xml:space="preserve">water recovery </w:t>
      </w:r>
      <w:r w:rsidR="006D2FB1">
        <w:t xml:space="preserve">in </w:t>
      </w:r>
      <w:proofErr w:type="gramStart"/>
      <w:r w:rsidR="006D2FB1">
        <w:t>ways</w:t>
      </w:r>
      <w:proofErr w:type="gramEnd"/>
      <w:r w:rsidR="006D2FB1">
        <w:t xml:space="preserve"> they thought would </w:t>
      </w:r>
      <w:r w:rsidR="00A87D4C">
        <w:t>moderate</w:t>
      </w:r>
      <w:r w:rsidR="006D2FB1">
        <w:t xml:space="preserve"> impact</w:t>
      </w:r>
      <w:r w:rsidR="00395BFE">
        <w:t>s</w:t>
      </w:r>
      <w:r w:rsidR="002F27A2">
        <w:t>,</w:t>
      </w:r>
      <w:r w:rsidR="00395BFE">
        <w:t xml:space="preserve"> </w:t>
      </w:r>
      <w:bookmarkEnd w:id="45"/>
      <w:r w:rsidR="00395BFE">
        <w:t xml:space="preserve">there have been significant distributional </w:t>
      </w:r>
      <w:r w:rsidR="00C00C4E">
        <w:t>effects</w:t>
      </w:r>
      <w:r w:rsidR="00395BFE">
        <w:t>, a</w:t>
      </w:r>
      <w:r>
        <w:t xml:space="preserve">nd governments have provided </w:t>
      </w:r>
      <w:r w:rsidR="002F27A2">
        <w:t xml:space="preserve">some </w:t>
      </w:r>
      <w:r>
        <w:t xml:space="preserve">assistance in response. By 2018, government spending on specific assistance programs as part of the Basin Plan reforms had totalled $189 million </w:t>
      </w:r>
      <w:r w:rsidRPr="001D3FBD">
        <w:rPr>
          <w:szCs w:val="24"/>
        </w:rPr>
        <w:t>(PC 2018, p.</w:t>
      </w:r>
      <w:r w:rsidRPr="00AB195F">
        <w:rPr>
          <w:szCs w:val="24"/>
        </w:rPr>
        <w:t> 114)</w:t>
      </w:r>
      <w:r>
        <w:t xml:space="preserve">. </w:t>
      </w:r>
      <w:bookmarkStart w:id="46" w:name="_Hlk58243050"/>
      <w:r w:rsidR="003F4F40">
        <w:t xml:space="preserve">And in </w:t>
      </w:r>
      <w:r w:rsidR="003F4F40" w:rsidRPr="003F4F40">
        <w:t>2019</w:t>
      </w:r>
      <w:r w:rsidR="00505912">
        <w:t>,</w:t>
      </w:r>
      <w:r w:rsidR="003F4F40">
        <w:t xml:space="preserve"> through the </w:t>
      </w:r>
      <w:r w:rsidR="00C22F0B">
        <w:t xml:space="preserve">new </w:t>
      </w:r>
      <w:r w:rsidR="003F4F40" w:rsidRPr="003F4F40">
        <w:t>MDB Economic Development Program</w:t>
      </w:r>
      <w:r w:rsidR="003F4F40">
        <w:t>,</w:t>
      </w:r>
      <w:r w:rsidR="003F4F40" w:rsidRPr="003F4F40">
        <w:t xml:space="preserve"> </w:t>
      </w:r>
      <w:r w:rsidR="003F4F40">
        <w:t xml:space="preserve">the Australian Government </w:t>
      </w:r>
      <w:r w:rsidR="003F4F40" w:rsidRPr="003F4F40">
        <w:t xml:space="preserve">approved </w:t>
      </w:r>
      <w:r w:rsidR="00C22F0B">
        <w:t xml:space="preserve">further </w:t>
      </w:r>
      <w:r w:rsidR="003F4F40" w:rsidRPr="003F4F40">
        <w:t xml:space="preserve">funding of up to </w:t>
      </w:r>
      <w:r w:rsidR="00C22F0B">
        <w:t xml:space="preserve">$39 million for Basin </w:t>
      </w:r>
      <w:r w:rsidR="00C22F0B" w:rsidRPr="00C22F0B">
        <w:t xml:space="preserve">communities identified as most impacted by water recovery </w:t>
      </w:r>
      <w:r w:rsidR="00C22F0B" w:rsidRPr="006C0D40">
        <w:t>activities (</w:t>
      </w:r>
      <w:r w:rsidR="00C22F0B" w:rsidRPr="006C0D40">
        <w:rPr>
          <w:i/>
          <w:iCs/>
        </w:rPr>
        <w:t>Assessment</w:t>
      </w:r>
      <w:r w:rsidR="00C22F0B" w:rsidRPr="006C0D40">
        <w:t xml:space="preserve">). </w:t>
      </w:r>
      <w:bookmarkEnd w:id="46"/>
      <w:r w:rsidR="00C22F0B" w:rsidRPr="006C0D40">
        <w:t xml:space="preserve">The Commission notes that this program aims to support rather than impede adjustment, </w:t>
      </w:r>
      <w:r w:rsidR="00FE4577" w:rsidRPr="006C0D40">
        <w:t xml:space="preserve">and </w:t>
      </w:r>
      <w:r w:rsidR="00C22F0B" w:rsidRPr="006C0D40">
        <w:t xml:space="preserve">that </w:t>
      </w:r>
      <w:r w:rsidR="00C22F0B">
        <w:t xml:space="preserve">the Australian </w:t>
      </w:r>
      <w:r w:rsidR="00645C86">
        <w:t>G</w:t>
      </w:r>
      <w:r w:rsidR="00C22F0B">
        <w:t>overnment intends to evaluate and review the program during the 2021</w:t>
      </w:r>
      <w:r w:rsidR="001C12EF">
        <w:noBreakHyphen/>
      </w:r>
      <w:r w:rsidR="00C22F0B">
        <w:t>22 financial year.</w:t>
      </w:r>
    </w:p>
    <w:p w14:paraId="1AE47817" w14:textId="540E1DDA" w:rsidR="00C357D4" w:rsidRDefault="00FE4577" w:rsidP="00B608F1">
      <w:pPr>
        <w:pStyle w:val="BodyText"/>
        <w:keepNext/>
      </w:pPr>
      <w:r>
        <w:t>Monitoring</w:t>
      </w:r>
      <w:r w:rsidR="00C00C4E">
        <w:t xml:space="preserve">, </w:t>
      </w:r>
      <w:proofErr w:type="gramStart"/>
      <w:r>
        <w:t>evaluation</w:t>
      </w:r>
      <w:proofErr w:type="gramEnd"/>
      <w:r>
        <w:t xml:space="preserve"> </w:t>
      </w:r>
      <w:r w:rsidR="00C00C4E">
        <w:t xml:space="preserve">and public reporting provide </w:t>
      </w:r>
      <w:r>
        <w:t xml:space="preserve">essential </w:t>
      </w:r>
      <w:r w:rsidR="00C00C4E">
        <w:t>insights into whether</w:t>
      </w:r>
      <w:r>
        <w:t xml:space="preserve"> adjustment assistance</w:t>
      </w:r>
      <w:r w:rsidR="00C00C4E">
        <w:t xml:space="preserve"> has been effective</w:t>
      </w:r>
      <w:r>
        <w:t xml:space="preserve">. </w:t>
      </w:r>
      <w:r w:rsidR="00CC1A4D">
        <w:t xml:space="preserve">However, </w:t>
      </w:r>
      <w:r w:rsidR="007529E7">
        <w:t>m</w:t>
      </w:r>
      <w:r w:rsidR="00C05582">
        <w:t>any</w:t>
      </w:r>
      <w:r w:rsidR="00C1502A" w:rsidRPr="00C1502A">
        <w:t xml:space="preserve"> submissions argued that </w:t>
      </w:r>
      <w:r w:rsidR="00C00C4E">
        <w:t xml:space="preserve">this activity </w:t>
      </w:r>
      <w:r w:rsidR="00C1502A" w:rsidRPr="00C1502A">
        <w:t xml:space="preserve">has been inadequate </w:t>
      </w:r>
      <w:r w:rsidR="00C00C4E">
        <w:t>for past</w:t>
      </w:r>
      <w:r w:rsidR="00E37457">
        <w:t xml:space="preserve"> </w:t>
      </w:r>
      <w:r w:rsidR="0059529B">
        <w:t xml:space="preserve">assistance </w:t>
      </w:r>
      <w:r w:rsidR="00E37457">
        <w:t>program</w:t>
      </w:r>
      <w:r w:rsidR="007E095E">
        <w:t>s</w:t>
      </w:r>
      <w:r w:rsidR="009967A7" w:rsidRPr="00591E57">
        <w:rPr>
          <w:rStyle w:val="FootnoteReference"/>
        </w:rPr>
        <w:footnoteReference w:id="4"/>
      </w:r>
      <w:r w:rsidR="0059529B">
        <w:t>,</w:t>
      </w:r>
      <w:r w:rsidR="00E37457">
        <w:t xml:space="preserve"> and </w:t>
      </w:r>
      <w:r w:rsidR="00C1502A" w:rsidRPr="00C1502A">
        <w:t xml:space="preserve">that </w:t>
      </w:r>
      <w:r>
        <w:t>the</w:t>
      </w:r>
      <w:r w:rsidR="00C00C4E">
        <w:t>se programs</w:t>
      </w:r>
      <w:r>
        <w:t xml:space="preserve"> have been </w:t>
      </w:r>
      <w:r w:rsidR="00C05582">
        <w:t>poorly implemented</w:t>
      </w:r>
      <w:r w:rsidR="00405FFA">
        <w:t>,</w:t>
      </w:r>
      <w:r w:rsidR="00C05582">
        <w:t xml:space="preserve"> </w:t>
      </w:r>
      <w:r w:rsidR="00C1502A" w:rsidRPr="00C1502A">
        <w:t>ineffective</w:t>
      </w:r>
      <w:r w:rsidR="00405FFA">
        <w:t xml:space="preserve"> or both</w:t>
      </w:r>
      <w:r w:rsidR="00C00C4E">
        <w:t>.</w:t>
      </w:r>
      <w:r w:rsidR="009967A7" w:rsidRPr="00591E57">
        <w:rPr>
          <w:rStyle w:val="FootnoteReference"/>
        </w:rPr>
        <w:footnoteReference w:id="5"/>
      </w:r>
      <w:r w:rsidR="00C00C4E">
        <w:t xml:space="preserve"> </w:t>
      </w:r>
      <w:r w:rsidR="001D3FBD">
        <w:t>T</w:t>
      </w:r>
      <w:r w:rsidR="001D3FBD" w:rsidRPr="001D3FBD">
        <w:t xml:space="preserve">he Commission’s </w:t>
      </w:r>
      <w:r w:rsidR="001D3FBD" w:rsidRPr="009967A7">
        <w:rPr>
          <w:i/>
        </w:rPr>
        <w:t>Murray</w:t>
      </w:r>
      <w:r w:rsidR="00FC1A77" w:rsidRPr="009967A7">
        <w:rPr>
          <w:i/>
        </w:rPr>
        <w:t>–</w:t>
      </w:r>
      <w:r w:rsidR="001D3FBD" w:rsidRPr="009967A7">
        <w:rPr>
          <w:i/>
        </w:rPr>
        <w:t>Darling Basin Plan: Five</w:t>
      </w:r>
      <w:r w:rsidR="001C12EF">
        <w:rPr>
          <w:i/>
        </w:rPr>
        <w:noBreakHyphen/>
      </w:r>
      <w:r w:rsidR="001D3FBD" w:rsidRPr="009967A7">
        <w:rPr>
          <w:i/>
        </w:rPr>
        <w:t>year assessment</w:t>
      </w:r>
      <w:r w:rsidR="001D3FBD" w:rsidRPr="001D3FBD">
        <w:t xml:space="preserve"> expressed </w:t>
      </w:r>
      <w:r w:rsidR="007529E7">
        <w:t>similar concerns</w:t>
      </w:r>
      <w:r w:rsidR="001D3FBD">
        <w:t>.</w:t>
      </w:r>
      <w:r w:rsidR="001D3FBD" w:rsidRPr="001D3FBD">
        <w:t xml:space="preserve"> </w:t>
      </w:r>
      <w:r w:rsidR="00C357D4" w:rsidRPr="00C357D4">
        <w:t xml:space="preserve">Finding 3.5 </w:t>
      </w:r>
      <w:r w:rsidR="00C357D4" w:rsidRPr="001126FC">
        <w:rPr>
          <w:szCs w:val="24"/>
        </w:rPr>
        <w:t>(PC 2018, p.</w:t>
      </w:r>
      <w:r w:rsidR="00C357D4" w:rsidRPr="000104EA">
        <w:rPr>
          <w:szCs w:val="24"/>
        </w:rPr>
        <w:t> 116)</w:t>
      </w:r>
      <w:r w:rsidR="00C357D4">
        <w:t xml:space="preserve"> </w:t>
      </w:r>
      <w:r w:rsidR="001D3FBD">
        <w:t xml:space="preserve">summarised the </w:t>
      </w:r>
      <w:r w:rsidR="001126FC">
        <w:t>Commission</w:t>
      </w:r>
      <w:r w:rsidR="00C357D4">
        <w:t>’s</w:t>
      </w:r>
      <w:r w:rsidR="001126FC">
        <w:t xml:space="preserve"> </w:t>
      </w:r>
      <w:r w:rsidR="001D3FBD">
        <w:t>view.</w:t>
      </w:r>
    </w:p>
    <w:p w14:paraId="49DFC865" w14:textId="77777777" w:rsidR="001126FC" w:rsidRDefault="001D3FBD" w:rsidP="00B608F1">
      <w:pPr>
        <w:pStyle w:val="Quote"/>
        <w:keepNext/>
      </w:pPr>
      <w:r>
        <w:t>T</w:t>
      </w:r>
      <w:r w:rsidR="001126FC">
        <w:t>here is little evidence to indicate that structural adjustment programs have been effective at supporting communities adjust to the Basin Plan.</w:t>
      </w:r>
    </w:p>
    <w:p w14:paraId="2917B3D1" w14:textId="77777777" w:rsidR="001126FC" w:rsidRDefault="001126FC" w:rsidP="009967A7">
      <w:pPr>
        <w:pStyle w:val="QuoteBullet"/>
      </w:pPr>
      <w:r>
        <w:t>Assistance was not targeted to those areas considered most vulnerable to the Basin Plan.</w:t>
      </w:r>
    </w:p>
    <w:p w14:paraId="0D5A2CB3" w14:textId="77777777" w:rsidR="00C357D4" w:rsidRDefault="001126FC" w:rsidP="009967A7">
      <w:pPr>
        <w:pStyle w:val="QuoteBullet"/>
      </w:pPr>
      <w:r>
        <w:t>Some projects considered to provide community assistance have not done so.</w:t>
      </w:r>
    </w:p>
    <w:p w14:paraId="57718559" w14:textId="7844A373" w:rsidR="00965E80" w:rsidRDefault="00CC1A4D" w:rsidP="005748D6">
      <w:pPr>
        <w:pStyle w:val="BodyText"/>
      </w:pPr>
      <w:r>
        <w:t>T</w:t>
      </w:r>
      <w:r w:rsidR="00965E80" w:rsidRPr="00C420C7">
        <w:t xml:space="preserve">he role of government in helping individuals and communities </w:t>
      </w:r>
      <w:r w:rsidR="00965E80">
        <w:t xml:space="preserve">adjust has been considered by the Commission before, including in the 2017 </w:t>
      </w:r>
      <w:r w:rsidR="00965E80" w:rsidRPr="00AD0A57">
        <w:rPr>
          <w:i/>
        </w:rPr>
        <w:t>Transitioning Regional Economies</w:t>
      </w:r>
      <w:r w:rsidR="00965E80">
        <w:t xml:space="preserve"> and </w:t>
      </w:r>
      <w:r w:rsidR="00AB2C7D">
        <w:t>-</w:t>
      </w:r>
      <w:r w:rsidR="00965E80">
        <w:t xml:space="preserve">2001 </w:t>
      </w:r>
      <w:r w:rsidR="00965E80" w:rsidRPr="00AD0A57">
        <w:rPr>
          <w:i/>
        </w:rPr>
        <w:t>Structural Adjustment — Key Policy Issues</w:t>
      </w:r>
      <w:r w:rsidR="00965E80">
        <w:t xml:space="preserve"> reports. Drawing on this work, the following discussion outlines general principles </w:t>
      </w:r>
      <w:r w:rsidR="00DB0681">
        <w:t>for provision of adjustment support</w:t>
      </w:r>
      <w:r w:rsidR="00965E80">
        <w:t>.</w:t>
      </w:r>
    </w:p>
    <w:p w14:paraId="39159B9F" w14:textId="43A50733" w:rsidR="00965E80" w:rsidRDefault="00E62022" w:rsidP="00202D05">
      <w:pPr>
        <w:pStyle w:val="Heading3"/>
        <w:ind w:left="720" w:hanging="720"/>
      </w:pPr>
      <w:bookmarkStart w:id="47" w:name="_Toc61873563"/>
      <w:r>
        <w:lastRenderedPageBreak/>
        <w:t>2.1</w:t>
      </w:r>
      <w:r>
        <w:tab/>
      </w:r>
      <w:r w:rsidR="00563E71">
        <w:t>General</w:t>
      </w:r>
      <w:r w:rsidR="00135224">
        <w:t>ly</w:t>
      </w:r>
      <w:r w:rsidR="00563E71">
        <w:t xml:space="preserve"> </w:t>
      </w:r>
      <w:r w:rsidR="00563E71" w:rsidRPr="00563E71">
        <w:t xml:space="preserve">available </w:t>
      </w:r>
      <w:r w:rsidR="00563E71">
        <w:t xml:space="preserve">measures are usually </w:t>
      </w:r>
      <w:r w:rsidR="009F08B1">
        <w:t xml:space="preserve">the </w:t>
      </w:r>
      <w:r w:rsidR="00563E71">
        <w:t xml:space="preserve">most appropriate </w:t>
      </w:r>
      <w:r w:rsidR="009F08B1">
        <w:t xml:space="preserve">response </w:t>
      </w:r>
      <w:r w:rsidR="00563E71">
        <w:t>to adjustment</w:t>
      </w:r>
      <w:r w:rsidR="009F08B1">
        <w:t xml:space="preserve"> </w:t>
      </w:r>
      <w:proofErr w:type="gramStart"/>
      <w:r w:rsidR="009F08B1">
        <w:t>pressures</w:t>
      </w:r>
      <w:bookmarkEnd w:id="47"/>
      <w:proofErr w:type="gramEnd"/>
    </w:p>
    <w:p w14:paraId="18EC3D64" w14:textId="6D0969F1" w:rsidR="000F2BB9" w:rsidRDefault="0097275A" w:rsidP="000F2BB9">
      <w:pPr>
        <w:pStyle w:val="BodyText"/>
      </w:pPr>
      <w:r w:rsidRPr="0097275A">
        <w:t xml:space="preserve">Irrigators and rural communities will have to </w:t>
      </w:r>
      <w:r w:rsidR="00086073">
        <w:t xml:space="preserve">adapt to changing water availability and a </w:t>
      </w:r>
      <w:r w:rsidRPr="0097275A">
        <w:t xml:space="preserve">changing climate. </w:t>
      </w:r>
      <w:proofErr w:type="gramStart"/>
      <w:r>
        <w:t>However</w:t>
      </w:r>
      <w:proofErr w:type="gramEnd"/>
      <w:r>
        <w:t xml:space="preserve"> g</w:t>
      </w:r>
      <w:r w:rsidR="000F2BB9" w:rsidRPr="00F166ED">
        <w:t xml:space="preserve">overnments </w:t>
      </w:r>
      <w:r>
        <w:t xml:space="preserve">also </w:t>
      </w:r>
      <w:r w:rsidR="000F2BB9" w:rsidRPr="00F166ED">
        <w:t>need to recognise that regional communities are being shaped by factors other than, or in addition to, the availability of water, such as long</w:t>
      </w:r>
      <w:r w:rsidR="000F2BB9">
        <w:noBreakHyphen/>
      </w:r>
      <w:r w:rsidR="000F2BB9" w:rsidRPr="00F166ED">
        <w:t>term productivity trends, international commodity prices and macroeconomic conditions</w:t>
      </w:r>
      <w:r w:rsidR="000F2BB9">
        <w:t xml:space="preserve">. </w:t>
      </w:r>
      <w:r w:rsidR="000F2BB9" w:rsidRPr="00B91DFC">
        <w:t xml:space="preserve">Effective community engagement </w:t>
      </w:r>
      <w:r w:rsidR="000635A0">
        <w:t>is</w:t>
      </w:r>
      <w:r w:rsidR="000F2BB9" w:rsidRPr="00B91DFC">
        <w:t xml:space="preserve"> critical to understanding th</w:t>
      </w:r>
      <w:r w:rsidR="000F2BB9">
        <w:t>is</w:t>
      </w:r>
      <w:r w:rsidR="000F2BB9" w:rsidRPr="00B91DFC">
        <w:t xml:space="preserve"> wider context </w:t>
      </w:r>
      <w:r w:rsidR="006C0D40">
        <w:t>(</w:t>
      </w:r>
      <w:r w:rsidR="006D3060">
        <w:t>SP </w:t>
      </w:r>
      <w:r w:rsidR="006C0D40" w:rsidRPr="006C0D40">
        <w:t xml:space="preserve">J </w:t>
      </w:r>
      <w:r w:rsidR="000635A0">
        <w:rPr>
          <w:i/>
          <w:iCs/>
        </w:rPr>
        <w:t>Engagement</w:t>
      </w:r>
      <w:r w:rsidR="006C0D40">
        <w:rPr>
          <w:i/>
          <w:iCs/>
        </w:rPr>
        <w:t>)</w:t>
      </w:r>
      <w:r w:rsidR="000F2BB9" w:rsidRPr="00B91DFC">
        <w:t>.</w:t>
      </w:r>
    </w:p>
    <w:p w14:paraId="0CFFF902" w14:textId="08DA3CDA" w:rsidR="009F08B1" w:rsidRDefault="0097275A" w:rsidP="0097275A">
      <w:pPr>
        <w:pStyle w:val="BodyText"/>
      </w:pPr>
      <w:r>
        <w:t xml:space="preserve">When </w:t>
      </w:r>
      <w:r w:rsidR="00086073">
        <w:t xml:space="preserve">major </w:t>
      </w:r>
      <w:r>
        <w:t>policy change</w:t>
      </w:r>
      <w:r w:rsidR="00086073">
        <w:t xml:space="preserve">s are proposed, </w:t>
      </w:r>
      <w:r>
        <w:t>a</w:t>
      </w:r>
      <w:r w:rsidR="001A4532" w:rsidRPr="001A4532">
        <w:t xml:space="preserve">s a first step, evaluation of the potential socioeconomic impacts can help </w:t>
      </w:r>
      <w:r w:rsidR="001A4532">
        <w:t xml:space="preserve">to understand the likely impacts and </w:t>
      </w:r>
      <w:r w:rsidR="001A4532" w:rsidRPr="001A4532">
        <w:t>identify the types of support a community might need.</w:t>
      </w:r>
      <w:r w:rsidR="00B91DFC">
        <w:t xml:space="preserve"> </w:t>
      </w:r>
      <w:r w:rsidR="00085F14">
        <w:t xml:space="preserve">In the process, it is important that </w:t>
      </w:r>
      <w:r w:rsidR="009F08B1" w:rsidRPr="00567BE6">
        <w:t xml:space="preserve">the expected </w:t>
      </w:r>
      <w:r w:rsidR="009F08B1">
        <w:t>long</w:t>
      </w:r>
      <w:r w:rsidR="001C12EF">
        <w:noBreakHyphen/>
      </w:r>
      <w:r w:rsidR="009F08B1">
        <w:t>term</w:t>
      </w:r>
      <w:r w:rsidR="009F08B1" w:rsidRPr="00567BE6">
        <w:t xml:space="preserve"> benefits that change can bring to the Australian community</w:t>
      </w:r>
      <w:r w:rsidR="00085F14">
        <w:t xml:space="preserve"> are recognised</w:t>
      </w:r>
      <w:r w:rsidR="009F08B1" w:rsidRPr="00567BE6">
        <w:t xml:space="preserve">. </w:t>
      </w:r>
      <w:r w:rsidR="009F08B1">
        <w:t>While p</w:t>
      </w:r>
      <w:r w:rsidR="009F08B1" w:rsidRPr="00567BE6">
        <w:t xml:space="preserve">olicy changes may have significant adjustment impacts on affected communities, these impacts </w:t>
      </w:r>
      <w:r w:rsidR="00856CAB">
        <w:t>are typically</w:t>
      </w:r>
      <w:r w:rsidR="009F08B1" w:rsidRPr="00567BE6">
        <w:t xml:space="preserve"> transitory, while the </w:t>
      </w:r>
      <w:r w:rsidR="00505912">
        <w:t xml:space="preserve">intended </w:t>
      </w:r>
      <w:r w:rsidR="009F08B1" w:rsidRPr="00567BE6">
        <w:t xml:space="preserve">benefits of </w:t>
      </w:r>
      <w:r w:rsidR="00856CAB">
        <w:t>the reforms are usually more enduring</w:t>
      </w:r>
      <w:r w:rsidR="009F08B1">
        <w:t>.</w:t>
      </w:r>
    </w:p>
    <w:p w14:paraId="1EAF0E91" w14:textId="79ADAE51" w:rsidR="00F6140F" w:rsidRDefault="001A4532" w:rsidP="00F6140F">
      <w:pPr>
        <w:pStyle w:val="BodyText"/>
      </w:pPr>
      <w:r>
        <w:t>When adjustment pressures emerge</w:t>
      </w:r>
      <w:r w:rsidR="0036522D">
        <w:t>, g</w:t>
      </w:r>
      <w:r w:rsidR="009F08B1">
        <w:t xml:space="preserve">overnments have a range of regular supports </w:t>
      </w:r>
      <w:r w:rsidR="00B46BCC">
        <w:t xml:space="preserve">targeting </w:t>
      </w:r>
      <w:r w:rsidR="00B46BCC" w:rsidRPr="00B46BCC">
        <w:t>individual and household welfare</w:t>
      </w:r>
      <w:r w:rsidR="00D26C6B">
        <w:t>,</w:t>
      </w:r>
      <w:r w:rsidR="00B46BCC" w:rsidRPr="00B46BCC">
        <w:t xml:space="preserve"> and skills</w:t>
      </w:r>
      <w:r w:rsidR="009F08B1">
        <w:t xml:space="preserve">. </w:t>
      </w:r>
      <w:r>
        <w:t>T</w:t>
      </w:r>
      <w:r w:rsidR="009F08B1">
        <w:t xml:space="preserve">hese </w:t>
      </w:r>
      <w:r>
        <w:t>measure</w:t>
      </w:r>
      <w:r w:rsidR="00AB6BAF">
        <w:t>s</w:t>
      </w:r>
      <w:r>
        <w:t xml:space="preserve"> </w:t>
      </w:r>
      <w:r w:rsidR="009F08B1">
        <w:t>will usually be the most appropriate vehicles for assisting the adjustment process and moderating adverse distributional impacts — whether arising from policy</w:t>
      </w:r>
      <w:r w:rsidR="009F08B1">
        <w:noBreakHyphen/>
        <w:t>induced or market</w:t>
      </w:r>
      <w:r w:rsidR="009F08B1">
        <w:noBreakHyphen/>
        <w:t>based change</w:t>
      </w:r>
      <w:r w:rsidR="00AE4E76">
        <w:t> — </w:t>
      </w:r>
      <w:r w:rsidR="00AB6BAF">
        <w:t xml:space="preserve">because </w:t>
      </w:r>
      <w:r w:rsidR="00AE2394" w:rsidRPr="00AE2394">
        <w:t>they are equally available to all and address individuals’ needs</w:t>
      </w:r>
      <w:r w:rsidR="009F08B1">
        <w:t xml:space="preserve">. Supports include the social security and tax systems </w:t>
      </w:r>
      <w:r w:rsidR="007D3DFA">
        <w:t>that support individual and household welfare</w:t>
      </w:r>
      <w:r>
        <w:t xml:space="preserve"> if adjustment pressures lead to falls in income</w:t>
      </w:r>
      <w:r w:rsidR="00AE4E76">
        <w:t xml:space="preserve"> (primarily the responsibility of the Australian Government), and m</w:t>
      </w:r>
      <w:r w:rsidR="009F08B1">
        <w:t xml:space="preserve">easures </w:t>
      </w:r>
      <w:r w:rsidR="00085F14">
        <w:t xml:space="preserve">like education and training </w:t>
      </w:r>
      <w:r w:rsidR="009031BA">
        <w:t xml:space="preserve">programs </w:t>
      </w:r>
      <w:r w:rsidR="00085F14">
        <w:t xml:space="preserve">and advice on business opportunities </w:t>
      </w:r>
      <w:r w:rsidR="007D3DFA">
        <w:t>assist the movement of workers into alternative employment</w:t>
      </w:r>
      <w:r w:rsidR="00CC2290">
        <w:t xml:space="preserve"> (usually a state or territory government responsibility).</w:t>
      </w:r>
    </w:p>
    <w:p w14:paraId="37C60622" w14:textId="7AB57E8E" w:rsidR="007D3DFA" w:rsidRPr="00BB5CB3" w:rsidRDefault="00B46BCC" w:rsidP="0036522D">
      <w:pPr>
        <w:pStyle w:val="BodyText"/>
        <w:rPr>
          <w:spacing w:val="-2"/>
        </w:rPr>
      </w:pPr>
      <w:r w:rsidRPr="00BB5CB3">
        <w:rPr>
          <w:spacing w:val="-2"/>
        </w:rPr>
        <w:t>For wider communities, r</w:t>
      </w:r>
      <w:r w:rsidR="00EA337C" w:rsidRPr="00BB5CB3">
        <w:rPr>
          <w:spacing w:val="-2"/>
        </w:rPr>
        <w:t xml:space="preserve">egional development policy and strategic planning (the realm of state, </w:t>
      </w:r>
      <w:proofErr w:type="gramStart"/>
      <w:r w:rsidR="00EA337C" w:rsidRPr="00BB5CB3">
        <w:rPr>
          <w:spacing w:val="-2"/>
        </w:rPr>
        <w:t>territory</w:t>
      </w:r>
      <w:proofErr w:type="gramEnd"/>
      <w:r w:rsidR="00EA337C" w:rsidRPr="00BB5CB3">
        <w:rPr>
          <w:spacing w:val="-2"/>
        </w:rPr>
        <w:t xml:space="preserve"> and local governments) is </w:t>
      </w:r>
      <w:r w:rsidR="00BD3BF0" w:rsidRPr="00BB5CB3">
        <w:rPr>
          <w:spacing w:val="-2"/>
        </w:rPr>
        <w:t xml:space="preserve">also </w:t>
      </w:r>
      <w:r w:rsidR="00EA337C" w:rsidRPr="00BB5CB3">
        <w:rPr>
          <w:spacing w:val="-2"/>
        </w:rPr>
        <w:t xml:space="preserve">important for </w:t>
      </w:r>
      <w:r w:rsidR="00BD3BF0" w:rsidRPr="00BB5CB3">
        <w:rPr>
          <w:spacing w:val="-2"/>
        </w:rPr>
        <w:t xml:space="preserve">identifying priorities for transition and development that leverage </w:t>
      </w:r>
      <w:r w:rsidR="00EA337C" w:rsidRPr="00BB5CB3">
        <w:rPr>
          <w:spacing w:val="-2"/>
        </w:rPr>
        <w:t>regional capabilities</w:t>
      </w:r>
      <w:r w:rsidR="00BD3BF0" w:rsidRPr="00BB5CB3">
        <w:rPr>
          <w:spacing w:val="-2"/>
        </w:rPr>
        <w:t xml:space="preserve"> and local competitive advantages.</w:t>
      </w:r>
    </w:p>
    <w:p w14:paraId="4E0B1CB6" w14:textId="62B5827E" w:rsidR="00683D4C" w:rsidRDefault="00E62022" w:rsidP="00202D05">
      <w:pPr>
        <w:pStyle w:val="Heading3"/>
        <w:ind w:left="720" w:hanging="720"/>
      </w:pPr>
      <w:bookmarkStart w:id="48" w:name="_Toc61873564"/>
      <w:r>
        <w:t>2.2</w:t>
      </w:r>
      <w:r>
        <w:tab/>
      </w:r>
      <w:r w:rsidR="006F2E06">
        <w:t xml:space="preserve">If </w:t>
      </w:r>
      <w:r w:rsidR="00F46C0F">
        <w:t>more support is needed</w:t>
      </w:r>
      <w:r w:rsidR="006F2E06">
        <w:t xml:space="preserve">, governments should </w:t>
      </w:r>
      <w:r w:rsidR="00A00D3B">
        <w:t xml:space="preserve">assist efficient </w:t>
      </w:r>
      <w:proofErr w:type="gramStart"/>
      <w:r w:rsidR="00A00D3B">
        <w:t>adjustment</w:t>
      </w:r>
      <w:bookmarkEnd w:id="48"/>
      <w:proofErr w:type="gramEnd"/>
    </w:p>
    <w:p w14:paraId="1B595C11" w14:textId="67669C44" w:rsidR="00A11126" w:rsidRDefault="00505912">
      <w:pPr>
        <w:pStyle w:val="BodyText"/>
      </w:pPr>
      <w:r>
        <w:t>I</w:t>
      </w:r>
      <w:r w:rsidR="00AF00D4">
        <w:t xml:space="preserve">n </w:t>
      </w:r>
      <w:r w:rsidR="00A136CA">
        <w:t xml:space="preserve">some </w:t>
      </w:r>
      <w:r w:rsidR="00AF00D4">
        <w:t xml:space="preserve">circumstances, policy changes that are beneficial to the wider community may </w:t>
      </w:r>
      <w:r w:rsidR="00CF010F">
        <w:t xml:space="preserve">risk </w:t>
      </w:r>
      <w:r w:rsidR="0010592D" w:rsidRPr="00AF00D4">
        <w:t xml:space="preserve">high levels of permanent disadvantage for </w:t>
      </w:r>
      <w:r w:rsidR="00656C12">
        <w:t xml:space="preserve">some </w:t>
      </w:r>
      <w:r w:rsidR="0010592D" w:rsidRPr="00AF00D4">
        <w:t>group</w:t>
      </w:r>
      <w:r w:rsidR="0010592D">
        <w:t>s</w:t>
      </w:r>
      <w:r w:rsidR="0010592D" w:rsidRPr="00AF00D4">
        <w:t xml:space="preserve"> </w:t>
      </w:r>
      <w:r w:rsidR="00B6762A">
        <w:t xml:space="preserve">of individuals </w:t>
      </w:r>
      <w:r w:rsidR="00CF010F">
        <w:t xml:space="preserve">that </w:t>
      </w:r>
      <w:r w:rsidR="005E4A0B">
        <w:t xml:space="preserve">cannot be </w:t>
      </w:r>
      <w:r w:rsidR="00F166ED">
        <w:t xml:space="preserve">adequately </w:t>
      </w:r>
      <w:r w:rsidR="00656C12">
        <w:t xml:space="preserve">addressed </w:t>
      </w:r>
      <w:r w:rsidR="005E4A0B">
        <w:t xml:space="preserve">through </w:t>
      </w:r>
      <w:r w:rsidR="00656C12" w:rsidRPr="00373578">
        <w:t>generally available measures</w:t>
      </w:r>
      <w:r w:rsidR="00AF00D4">
        <w:t>.</w:t>
      </w:r>
      <w:r w:rsidR="00887D15">
        <w:t xml:space="preserve"> </w:t>
      </w:r>
      <w:bookmarkStart w:id="49" w:name="_Hlk58319606"/>
      <w:r w:rsidR="00CF010F">
        <w:t>In these rare circumstance</w:t>
      </w:r>
      <w:r w:rsidR="00A04808">
        <w:t>s</w:t>
      </w:r>
      <w:r w:rsidR="00CF010F">
        <w:t>, additional support may be warranted</w:t>
      </w:r>
      <w:r w:rsidR="00373578" w:rsidRPr="00373578">
        <w:t xml:space="preserve"> </w:t>
      </w:r>
      <w:r w:rsidR="00A136CA">
        <w:t xml:space="preserve">— particularly if more </w:t>
      </w:r>
      <w:r w:rsidR="00373578" w:rsidRPr="00373578">
        <w:t>support could improve the efficiency of the adjustment process by addressing impediments to change.</w:t>
      </w:r>
      <w:bookmarkEnd w:id="49"/>
    </w:p>
    <w:p w14:paraId="4E2DCBDF" w14:textId="39E9EDC8" w:rsidR="00887D15" w:rsidRDefault="00373578" w:rsidP="00887D15">
      <w:pPr>
        <w:pStyle w:val="BodyText"/>
      </w:pPr>
      <w:r>
        <w:t>S</w:t>
      </w:r>
      <w:r w:rsidRPr="00373578">
        <w:t xml:space="preserve">upport could take the form of policy modification, but </w:t>
      </w:r>
      <w:proofErr w:type="gramStart"/>
      <w:r w:rsidRPr="00373578">
        <w:t>this risks</w:t>
      </w:r>
      <w:proofErr w:type="gramEnd"/>
      <w:r w:rsidRPr="00373578">
        <w:t xml:space="preserve"> conferring benefits on a few and larger than necessary costs on the broader community.</w:t>
      </w:r>
      <w:r w:rsidR="00887D15">
        <w:t xml:space="preserve"> </w:t>
      </w:r>
      <w:r w:rsidR="00656C12">
        <w:t>For example, r</w:t>
      </w:r>
      <w:r w:rsidR="00887D15">
        <w:t>ecovering water by modernising infrastructure</w:t>
      </w:r>
      <w:r w:rsidR="00677C5A">
        <w:t xml:space="preserve"> in the </w:t>
      </w:r>
      <w:r w:rsidR="00822F90">
        <w:t>MDB</w:t>
      </w:r>
      <w:r w:rsidR="00677C5A">
        <w:t xml:space="preserve">, </w:t>
      </w:r>
      <w:r w:rsidR="00887D15">
        <w:t xml:space="preserve">rather than through directly purchasing </w:t>
      </w:r>
      <w:r w:rsidR="00887D15">
        <w:lastRenderedPageBreak/>
        <w:t>entitlements</w:t>
      </w:r>
      <w:r w:rsidR="00677C5A">
        <w:t>,</w:t>
      </w:r>
      <w:r w:rsidR="00887D15">
        <w:t xml:space="preserve"> </w:t>
      </w:r>
      <w:r w:rsidR="00822F90">
        <w:t xml:space="preserve">is estimated to </w:t>
      </w:r>
      <w:r w:rsidR="00887D15">
        <w:t>ha</w:t>
      </w:r>
      <w:r w:rsidR="00822F90">
        <w:t>ve</w:t>
      </w:r>
      <w:r w:rsidR="00887D15">
        <w:t xml:space="preserve"> increased the </w:t>
      </w:r>
      <w:r w:rsidR="00822F90">
        <w:t xml:space="preserve">budgetary </w:t>
      </w:r>
      <w:r w:rsidR="00887D15">
        <w:t>cost</w:t>
      </w:r>
      <w:r w:rsidR="00B85BEA" w:rsidRPr="00591E57">
        <w:rPr>
          <w:rStyle w:val="FootnoteReference"/>
        </w:rPr>
        <w:footnoteReference w:id="6"/>
      </w:r>
      <w:r w:rsidR="00887D15">
        <w:t xml:space="preserve"> by about $2 billion </w:t>
      </w:r>
      <w:r w:rsidR="00375BA2" w:rsidRPr="00375BA2">
        <w:rPr>
          <w:szCs w:val="24"/>
        </w:rPr>
        <w:t>(PC 2018, p. 81)</w:t>
      </w:r>
      <w:r w:rsidR="00887D15">
        <w:t>.</w:t>
      </w:r>
      <w:r w:rsidR="00887D15" w:rsidRPr="005D3439">
        <w:t xml:space="preserve"> </w:t>
      </w:r>
      <w:r w:rsidR="00887D15">
        <w:t xml:space="preserve">Furthermore, while this </w:t>
      </w:r>
      <w:r w:rsidR="00656C12">
        <w:t xml:space="preserve">has </w:t>
      </w:r>
      <w:r w:rsidR="00887D15">
        <w:t xml:space="preserve">resulted in some </w:t>
      </w:r>
      <w:r w:rsidR="00887D15" w:rsidRPr="006F65E7">
        <w:t>positive outcomes</w:t>
      </w:r>
      <w:r w:rsidR="00887D15">
        <w:t>,</w:t>
      </w:r>
      <w:r w:rsidR="00887D15" w:rsidRPr="006F65E7">
        <w:t xml:space="preserve"> </w:t>
      </w:r>
      <w:r w:rsidR="00887D15">
        <w:t xml:space="preserve">particularly for private </w:t>
      </w:r>
      <w:r w:rsidR="00887D15" w:rsidRPr="006F65E7">
        <w:t>irrigators</w:t>
      </w:r>
      <w:r w:rsidR="00887D15">
        <w:t xml:space="preserve"> receiving the subsidy, it</w:t>
      </w:r>
      <w:r w:rsidR="00656C12">
        <w:t xml:space="preserve"> has</w:t>
      </w:r>
      <w:r w:rsidR="00887D15">
        <w:t xml:space="preserve"> </w:t>
      </w:r>
      <w:bookmarkStart w:id="50" w:name="_Hlk58243980"/>
      <w:r w:rsidR="00822F90">
        <w:t xml:space="preserve">put </w:t>
      </w:r>
      <w:r w:rsidR="00A44CBF">
        <w:t>entitlement holders</w:t>
      </w:r>
      <w:r w:rsidR="00A44CBF" w:rsidRPr="00F11524">
        <w:t xml:space="preserve"> </w:t>
      </w:r>
      <w:r w:rsidR="00887D15">
        <w:t>that</w:t>
      </w:r>
      <w:r w:rsidR="00887D15" w:rsidRPr="00F11524">
        <w:t xml:space="preserve"> participated in earlier water market purchases</w:t>
      </w:r>
      <w:r w:rsidR="00822F90">
        <w:t xml:space="preserve"> </w:t>
      </w:r>
      <w:r w:rsidR="00BE55BD">
        <w:t xml:space="preserve">— </w:t>
      </w:r>
      <w:r w:rsidR="00822F90">
        <w:t xml:space="preserve">and the communities that depend on them </w:t>
      </w:r>
      <w:r w:rsidR="00BE55BD">
        <w:t xml:space="preserve">— </w:t>
      </w:r>
      <w:r w:rsidR="00822F90">
        <w:t>at a relative disadvantage</w:t>
      </w:r>
      <w:bookmarkEnd w:id="50"/>
      <w:r w:rsidR="00887D15">
        <w:t>:</w:t>
      </w:r>
    </w:p>
    <w:p w14:paraId="4DF2FFBB" w14:textId="7C3F6FFB" w:rsidR="00887D15" w:rsidRDefault="00887D15" w:rsidP="00887D15">
      <w:pPr>
        <w:pStyle w:val="Quote"/>
      </w:pPr>
      <w:r>
        <w:t>Farms, farming regions and towns that have more water recovered through on</w:t>
      </w:r>
      <w:r w:rsidR="00AB2C7D">
        <w:t>-</w:t>
      </w:r>
      <w:r>
        <w:t xml:space="preserve">farm irrigation infrastructure upgrades have gained a competitive advantage compared with farms, farming regions and towns that have sold more of their water to the Australian Government through open tender buybacks. </w:t>
      </w:r>
      <w:r w:rsidRPr="0003055C">
        <w:rPr>
          <w:szCs w:val="24"/>
        </w:rPr>
        <w:t>(Sefton et al. 2020, p. 22)</w:t>
      </w:r>
    </w:p>
    <w:p w14:paraId="11C9E969" w14:textId="6D58193C" w:rsidR="009E2E5C" w:rsidRDefault="00154CBD" w:rsidP="00154CBD">
      <w:pPr>
        <w:pStyle w:val="BodyText"/>
      </w:pPr>
      <w:bookmarkStart w:id="51" w:name="_Hlk58248310"/>
      <w:bookmarkStart w:id="52" w:name="_Hlk58244129"/>
      <w:r>
        <w:t>B</w:t>
      </w:r>
      <w:r w:rsidRPr="007E0379">
        <w:t>etter outcomes could be achieved at lower cost</w:t>
      </w:r>
      <w:r>
        <w:t xml:space="preserve"> by addressing adjustment separately from the main policy reform. </w:t>
      </w:r>
      <w:r w:rsidRPr="00B65262">
        <w:t xml:space="preserve">For example, </w:t>
      </w:r>
      <w:proofErr w:type="spellStart"/>
      <w:r w:rsidR="0037085C">
        <w:t>Wittwer</w:t>
      </w:r>
      <w:proofErr w:type="spellEnd"/>
      <w:r w:rsidR="0037085C">
        <w:t xml:space="preserve"> </w:t>
      </w:r>
      <w:r w:rsidR="00375BA2" w:rsidRPr="00375BA2">
        <w:rPr>
          <w:szCs w:val="24"/>
        </w:rPr>
        <w:t>(2020, p. 18)</w:t>
      </w:r>
      <w:r w:rsidR="0037085C">
        <w:t xml:space="preserve"> </w:t>
      </w:r>
      <w:r w:rsidRPr="00B65262">
        <w:t xml:space="preserve">found that each dollar spent on human services (namely the health, </w:t>
      </w:r>
      <w:proofErr w:type="gramStart"/>
      <w:r w:rsidRPr="00B65262">
        <w:t>education</w:t>
      </w:r>
      <w:proofErr w:type="gramEnd"/>
      <w:r w:rsidRPr="00B65262">
        <w:t xml:space="preserve"> and community care sectors) creates four times as many jobs as spending on infrastructure upgrades.</w:t>
      </w:r>
    </w:p>
    <w:bookmarkEnd w:id="51"/>
    <w:p w14:paraId="44B1A0E1" w14:textId="02034459" w:rsidR="0019671B" w:rsidRDefault="0019671B" w:rsidP="0019671B">
      <w:pPr>
        <w:pStyle w:val="BodyText"/>
      </w:pPr>
      <w:r>
        <w:t>Before establishing new stand</w:t>
      </w:r>
      <w:r w:rsidR="001C12EF">
        <w:noBreakHyphen/>
      </w:r>
      <w:r>
        <w:t>alone community assistance programs, jurisdictions should carefully consider how existing regional and economic development programs (not specific to water) could support the adjustment process.</w:t>
      </w:r>
      <w:r w:rsidR="00414D7E">
        <w:t xml:space="preserve"> </w:t>
      </w:r>
      <w:r w:rsidR="00247173">
        <w:t xml:space="preserve">They should </w:t>
      </w:r>
      <w:r w:rsidR="00311E3C">
        <w:t xml:space="preserve">also </w:t>
      </w:r>
      <w:r w:rsidR="00247173">
        <w:t xml:space="preserve">consider whether </w:t>
      </w:r>
      <w:r w:rsidR="00414D7E" w:rsidRPr="00414D7E">
        <w:t xml:space="preserve">policies and regulations </w:t>
      </w:r>
      <w:r w:rsidR="00247173">
        <w:t xml:space="preserve">(not directly related to water) </w:t>
      </w:r>
      <w:r w:rsidR="00414D7E" w:rsidRPr="00414D7E">
        <w:t>unnecessarily impede change.</w:t>
      </w:r>
    </w:p>
    <w:p w14:paraId="45E4DD79" w14:textId="1EFEB8CB" w:rsidR="00A63049" w:rsidRDefault="009E2E5C" w:rsidP="00A63049">
      <w:pPr>
        <w:pStyle w:val="BodyText"/>
      </w:pPr>
      <w:r>
        <w:t>Options for assistance need to be considered on a case</w:t>
      </w:r>
      <w:r w:rsidR="001C12EF">
        <w:noBreakHyphen/>
      </w:r>
      <w:r>
        <w:t>by</w:t>
      </w:r>
      <w:r w:rsidR="001C12EF">
        <w:noBreakHyphen/>
      </w:r>
      <w:r>
        <w:t>case basis and consider all factors affecting a community (not just changing water availability). T</w:t>
      </w:r>
      <w:r w:rsidRPr="009E2E5C">
        <w:t>he MDB experience illustrates</w:t>
      </w:r>
      <w:r>
        <w:t xml:space="preserve"> that </w:t>
      </w:r>
      <w:r w:rsidRPr="009E2E5C">
        <w:t xml:space="preserve">efficacy </w:t>
      </w:r>
      <w:r>
        <w:t xml:space="preserve">of adjustment support (whether through policy modifications or separately from the main policy reform) </w:t>
      </w:r>
      <w:r w:rsidRPr="009E2E5C">
        <w:t>is not a given</w:t>
      </w:r>
      <w:r>
        <w:t xml:space="preserve">. </w:t>
      </w:r>
      <w:proofErr w:type="gramStart"/>
      <w:r w:rsidR="00311E3C">
        <w:t>So</w:t>
      </w:r>
      <w:proofErr w:type="gramEnd"/>
      <w:r w:rsidR="00311E3C">
        <w:t xml:space="preserve"> t</w:t>
      </w:r>
      <w:r>
        <w:t xml:space="preserve">he chosen option should be the one that </w:t>
      </w:r>
      <w:r w:rsidR="00311E3C">
        <w:t xml:space="preserve">is expected to </w:t>
      </w:r>
      <w:r>
        <w:t>deliver</w:t>
      </w:r>
      <w:r w:rsidR="00311E3C">
        <w:t xml:space="preserve"> </w:t>
      </w:r>
      <w:r>
        <w:t>the largest benefits relative to costs</w:t>
      </w:r>
      <w:r w:rsidR="0019671B">
        <w:t>.</w:t>
      </w:r>
    </w:p>
    <w:p w14:paraId="4B9A52E3" w14:textId="1AE87359" w:rsidR="00A63049" w:rsidRDefault="00887D15" w:rsidP="00677205">
      <w:pPr>
        <w:pStyle w:val="BodyText"/>
      </w:pPr>
      <w:bookmarkStart w:id="53" w:name="_Hlk58244659"/>
      <w:bookmarkEnd w:id="52"/>
      <w:r>
        <w:t>Any</w:t>
      </w:r>
      <w:r w:rsidR="009E2E5C">
        <w:t xml:space="preserve"> further </w:t>
      </w:r>
      <w:r>
        <w:t>a</w:t>
      </w:r>
      <w:r w:rsidR="00193581">
        <w:t xml:space="preserve">ssistance should </w:t>
      </w:r>
      <w:r w:rsidR="0025035E" w:rsidRPr="0025035E">
        <w:t>build on existing support</w:t>
      </w:r>
      <w:r w:rsidR="00CF1CCB">
        <w:t>s</w:t>
      </w:r>
      <w:r w:rsidR="0025035E" w:rsidRPr="0025035E">
        <w:t xml:space="preserve"> </w:t>
      </w:r>
      <w:r w:rsidR="0025035E">
        <w:t xml:space="preserve">and </w:t>
      </w:r>
      <w:r w:rsidR="00193581">
        <w:t xml:space="preserve">be focused </w:t>
      </w:r>
      <w:r w:rsidR="00193581" w:rsidRPr="00FA69F1">
        <w:t xml:space="preserve">on </w:t>
      </w:r>
      <w:r w:rsidR="00CF1CCB">
        <w:t>helping</w:t>
      </w:r>
      <w:r w:rsidR="006E79AF">
        <w:t xml:space="preserve"> communities </w:t>
      </w:r>
      <w:r w:rsidR="006E79AF" w:rsidRPr="006E79AF">
        <w:t>adapt</w:t>
      </w:r>
      <w:r w:rsidR="006E79AF">
        <w:t xml:space="preserve"> </w:t>
      </w:r>
      <w:r w:rsidR="006E79AF" w:rsidRPr="006E79AF">
        <w:t>to a future with less water</w:t>
      </w:r>
      <w:r w:rsidR="006E79AF">
        <w:t>. Measures should focus on</w:t>
      </w:r>
      <w:r w:rsidR="00193581" w:rsidRPr="00FA69F1">
        <w:t xml:space="preserve"> </w:t>
      </w:r>
      <w:r w:rsidR="0025035E">
        <w:t xml:space="preserve">improving </w:t>
      </w:r>
      <w:r w:rsidR="00193581">
        <w:t xml:space="preserve">adaptive capacity and </w:t>
      </w:r>
      <w:r w:rsidR="00193581" w:rsidRPr="00FA69F1">
        <w:t xml:space="preserve">securing employment or business </w:t>
      </w:r>
      <w:r w:rsidR="006E79AF" w:rsidRPr="00FA69F1">
        <w:t>opportunities</w:t>
      </w:r>
      <w:r w:rsidR="006E79AF">
        <w:t xml:space="preserve"> and</w:t>
      </w:r>
      <w:r w:rsidR="00193581">
        <w:t xml:space="preserve"> </w:t>
      </w:r>
      <w:r w:rsidR="006E79AF">
        <w:t xml:space="preserve">be </w:t>
      </w:r>
      <w:r w:rsidR="00193581" w:rsidRPr="00AC40F3">
        <w:t>targeted to individuals who are most vulnerable (at risk of permanent disadvantage)</w:t>
      </w:r>
      <w:r w:rsidR="00193581">
        <w:t xml:space="preserve">. For example, this could include </w:t>
      </w:r>
      <w:r w:rsidR="001116C9">
        <w:t>targeted programs</w:t>
      </w:r>
      <w:r w:rsidR="00193581" w:rsidRPr="00053435">
        <w:t xml:space="preserve"> to </w:t>
      </w:r>
      <w:r w:rsidR="001116C9">
        <w:t xml:space="preserve">help </w:t>
      </w:r>
      <w:r w:rsidR="00193581" w:rsidRPr="00053435">
        <w:t xml:space="preserve">people </w:t>
      </w:r>
      <w:r w:rsidR="001116C9">
        <w:t>gain</w:t>
      </w:r>
      <w:r w:rsidR="00193581" w:rsidRPr="00053435">
        <w:t xml:space="preserve"> new skills and </w:t>
      </w:r>
      <w:r w:rsidR="001116C9">
        <w:t>find</w:t>
      </w:r>
      <w:r w:rsidR="00193581" w:rsidRPr="00053435">
        <w:t xml:space="preserve"> employment in more </w:t>
      </w:r>
      <w:r w:rsidR="00193581" w:rsidRPr="00522004">
        <w:t>profitable and viable industries or occupations (within or outside of their community).</w:t>
      </w:r>
    </w:p>
    <w:p w14:paraId="0914E086" w14:textId="629DEDA7" w:rsidR="005D4595" w:rsidRDefault="00193581" w:rsidP="00E02C08">
      <w:pPr>
        <w:pStyle w:val="BodyText"/>
      </w:pPr>
      <w:bookmarkStart w:id="54" w:name="_Hlk58244674"/>
      <w:bookmarkEnd w:id="53"/>
      <w:r w:rsidRPr="00446F6B">
        <w:t xml:space="preserve">Industry assistance and subsidies should be avoided as they </w:t>
      </w:r>
      <w:proofErr w:type="gramStart"/>
      <w:r w:rsidRPr="00446F6B">
        <w:t>have a tendency to</w:t>
      </w:r>
      <w:proofErr w:type="gramEnd"/>
      <w:r w:rsidRPr="00446F6B">
        <w:t xml:space="preserve"> lead to inequitable outcomes or lock in inefficient production (which is subsidised by taxpayers and diverts resources from other uses in the region or the broader economy).</w:t>
      </w:r>
    </w:p>
    <w:p w14:paraId="7F07B158" w14:textId="6C4DC77D" w:rsidR="00683D4C" w:rsidRDefault="00683D4C" w:rsidP="00683D4C">
      <w:pPr>
        <w:pStyle w:val="BodyText"/>
      </w:pPr>
      <w:r>
        <w:t>Monitoring and publicly reporting evaluations of outcomes of any assistance programs should also be part of any specific response to adjustment issues. Policy evaluation is often overlooked, but without an understanding of the outcomes of past assistance initiatives, and what drove those outcomes, it is difficult to improve future initiatives. Evaluation information from past assistance programs is also useful for community consultation as it allows stakeholders to have more informed input into the decision</w:t>
      </w:r>
      <w:r>
        <w:noBreakHyphen/>
        <w:t xml:space="preserve">making process. </w:t>
      </w:r>
      <w:proofErr w:type="gramStart"/>
      <w:r w:rsidR="00B65262">
        <w:t>And</w:t>
      </w:r>
      <w:r>
        <w:t>,</w:t>
      </w:r>
      <w:proofErr w:type="gramEnd"/>
      <w:r>
        <w:t xml:space="preserve"> </w:t>
      </w:r>
      <w:r>
        <w:lastRenderedPageBreak/>
        <w:t>project evaluations serve an important transparency and accountability function that can deter future poor decisions on adjustment assistance.</w:t>
      </w:r>
    </w:p>
    <w:p w14:paraId="652B887C" w14:textId="17B201FA" w:rsidR="003B6701" w:rsidRPr="005C6EE3" w:rsidRDefault="00E62022" w:rsidP="005748D6">
      <w:pPr>
        <w:pStyle w:val="Heading3"/>
      </w:pPr>
      <w:bookmarkStart w:id="55" w:name="_Toc61873565"/>
      <w:bookmarkEnd w:id="54"/>
      <w:r>
        <w:t>2.3</w:t>
      </w:r>
      <w:r>
        <w:tab/>
      </w:r>
      <w:r w:rsidR="0034360C">
        <w:t>NWI renewal advice</w:t>
      </w:r>
      <w:bookmarkEnd w:id="55"/>
    </w:p>
    <w:p w14:paraId="521FEAAB" w14:textId="2F5B915F" w:rsidR="004A4B94" w:rsidRPr="00EE5219" w:rsidRDefault="00E06367" w:rsidP="00E06367">
      <w:pPr>
        <w:pStyle w:val="BodyText"/>
      </w:pPr>
      <w:r>
        <w:t xml:space="preserve">Advice </w:t>
      </w:r>
      <w:r w:rsidR="006C0D40">
        <w:t>that</w:t>
      </w:r>
      <w:r>
        <w:t xml:space="preserve"> </w:t>
      </w:r>
      <w:r w:rsidR="00501A39">
        <w:t>summarises the Commission</w:t>
      </w:r>
      <w:r w:rsidR="000A345D">
        <w:t>’s</w:t>
      </w:r>
      <w:r w:rsidR="00501A39">
        <w:t xml:space="preserve"> view on how a</w:t>
      </w:r>
      <w:r w:rsidR="00501A39" w:rsidRPr="00501A39">
        <w:t xml:space="preserve"> </w:t>
      </w:r>
      <w:r w:rsidR="00501A39">
        <w:t xml:space="preserve">renewed </w:t>
      </w:r>
      <w:r w:rsidR="00501A39" w:rsidRPr="00501A39">
        <w:t xml:space="preserve">NWI </w:t>
      </w:r>
      <w:r w:rsidR="00501A39">
        <w:t>could include clearer guidance on effectively addressing significant adjustment issues</w:t>
      </w:r>
      <w:r w:rsidR="006C0D40">
        <w:t xml:space="preserve"> follows</w:t>
      </w:r>
      <w:r w:rsidR="00501A39">
        <w:t>.</w:t>
      </w:r>
    </w:p>
    <w:p w14:paraId="2D7A71FF" w14:textId="042BE1F3" w:rsidR="003B6701" w:rsidRPr="004E3B94" w:rsidRDefault="003B6701" w:rsidP="003B6701">
      <w:pPr>
        <w:pStyle w:val="BoxSpaceAbove"/>
      </w:pPr>
    </w:p>
    <w:tbl>
      <w:tblPr>
        <w:tblW w:w="5000" w:type="pct"/>
        <w:tblBorders>
          <w:top w:val="single" w:sz="6" w:space="0" w:color="78A22F"/>
          <w:left w:val="single" w:sz="6" w:space="0" w:color="78A22F"/>
          <w:bottom w:val="single" w:sz="6" w:space="0" w:color="78A22F"/>
          <w:right w:val="single" w:sz="6" w:space="0" w:color="78A22F"/>
        </w:tblBorders>
        <w:shd w:val="clear" w:color="auto" w:fill="98BBE5" w:themeFill="background2" w:themeFillTint="66"/>
        <w:tblCellMar>
          <w:left w:w="142" w:type="dxa"/>
          <w:right w:w="142" w:type="dxa"/>
        </w:tblCellMar>
        <w:tblLook w:val="0000" w:firstRow="0" w:lastRow="0" w:firstColumn="0" w:lastColumn="0" w:noHBand="0" w:noVBand="0"/>
        <w:tblDescription w:val="Table used for design layout: recommendation"/>
      </w:tblPr>
      <w:tblGrid>
        <w:gridCol w:w="8789"/>
      </w:tblGrid>
      <w:tr w:rsidR="00342838" w14:paraId="78797B90" w14:textId="77777777" w:rsidTr="00405FFA">
        <w:trPr>
          <w:tblHeader/>
        </w:trPr>
        <w:tc>
          <w:tcPr>
            <w:tcW w:w="5000" w:type="pct"/>
            <w:tcBorders>
              <w:top w:val="single" w:sz="4" w:space="0" w:color="0070C0"/>
              <w:left w:val="nil"/>
              <w:bottom w:val="nil"/>
              <w:right w:val="nil"/>
            </w:tcBorders>
            <w:shd w:val="clear" w:color="auto" w:fill="CBDDF2" w:themeFill="background2" w:themeFillTint="33"/>
            <w:tcMar>
              <w:left w:w="170" w:type="dxa"/>
              <w:right w:w="170" w:type="dxa"/>
            </w:tcMar>
          </w:tcPr>
          <w:p w14:paraId="4D740F3D" w14:textId="6BCC4019" w:rsidR="00342838" w:rsidRPr="00CE4C64" w:rsidRDefault="00342838" w:rsidP="00342838">
            <w:pPr>
              <w:pStyle w:val="RecTitle"/>
              <w:spacing w:before="120"/>
              <w:rPr>
                <w:noProof/>
              </w:rPr>
            </w:pPr>
            <w:r w:rsidRPr="00386625">
              <w:rPr>
                <w:spacing w:val="-2"/>
              </w:rPr>
              <w:t>draft NWI Renewal Advice 12.1: helping communities deal with adjustment pressures</w:t>
            </w:r>
          </w:p>
        </w:tc>
      </w:tr>
      <w:tr w:rsidR="00342838" w:rsidRPr="00750BE2" w14:paraId="7C5CE87A" w14:textId="77777777" w:rsidTr="00405FFA">
        <w:tc>
          <w:tcPr>
            <w:tcW w:w="5000" w:type="pct"/>
            <w:tcBorders>
              <w:top w:val="nil"/>
              <w:left w:val="nil"/>
              <w:bottom w:val="nil"/>
              <w:right w:val="nil"/>
            </w:tcBorders>
            <w:shd w:val="clear" w:color="auto" w:fill="CBDDF2" w:themeFill="background2" w:themeFillTint="33"/>
            <w:tcMar>
              <w:left w:w="170" w:type="dxa"/>
              <w:right w:w="170" w:type="dxa"/>
            </w:tcMar>
          </w:tcPr>
          <w:p w14:paraId="249F4786" w14:textId="77777777" w:rsidR="008C2AD5" w:rsidRPr="001A720A" w:rsidRDefault="008C2AD5" w:rsidP="008C2AD5">
            <w:pPr>
              <w:pStyle w:val="Rec"/>
              <w:keepNext/>
              <w:rPr>
                <w:rFonts w:asciiTheme="minorHAnsi" w:hAnsiTheme="minorHAnsi" w:cstheme="minorHAnsi"/>
                <w:szCs w:val="22"/>
              </w:rPr>
            </w:pPr>
            <w:r>
              <w:rPr>
                <w:rFonts w:asciiTheme="minorHAnsi" w:hAnsiTheme="minorHAnsi" w:cstheme="minorHAnsi"/>
                <w:szCs w:val="22"/>
              </w:rPr>
              <w:t xml:space="preserve">Inclusion of guiding </w:t>
            </w:r>
            <w:r w:rsidRPr="001A720A">
              <w:rPr>
                <w:rFonts w:asciiTheme="minorHAnsi" w:hAnsiTheme="minorHAnsi" w:cstheme="minorHAnsi"/>
                <w:szCs w:val="22"/>
              </w:rPr>
              <w:t xml:space="preserve">principles </w:t>
            </w:r>
            <w:r>
              <w:rPr>
                <w:rFonts w:asciiTheme="minorHAnsi" w:hAnsiTheme="minorHAnsi" w:cstheme="minorHAnsi"/>
                <w:szCs w:val="22"/>
              </w:rPr>
              <w:t xml:space="preserve">in a renewed National Water Initiative would clarify how governments can </w:t>
            </w:r>
            <w:r w:rsidRPr="001A720A">
              <w:rPr>
                <w:rFonts w:asciiTheme="minorHAnsi" w:hAnsiTheme="minorHAnsi" w:cstheme="minorHAnsi"/>
                <w:szCs w:val="22"/>
              </w:rPr>
              <w:t>respond</w:t>
            </w:r>
            <w:r>
              <w:rPr>
                <w:rFonts w:asciiTheme="minorHAnsi" w:hAnsiTheme="minorHAnsi" w:cstheme="minorHAnsi"/>
                <w:szCs w:val="22"/>
              </w:rPr>
              <w:t xml:space="preserve"> </w:t>
            </w:r>
            <w:r w:rsidRPr="001A720A">
              <w:rPr>
                <w:rFonts w:asciiTheme="minorHAnsi" w:hAnsiTheme="minorHAnsi" w:cstheme="minorHAnsi"/>
                <w:szCs w:val="22"/>
              </w:rPr>
              <w:t xml:space="preserve">to </w:t>
            </w:r>
            <w:r>
              <w:rPr>
                <w:rFonts w:asciiTheme="minorHAnsi" w:hAnsiTheme="minorHAnsi" w:cstheme="minorHAnsi"/>
                <w:szCs w:val="22"/>
              </w:rPr>
              <w:t xml:space="preserve">any significant community </w:t>
            </w:r>
            <w:r w:rsidRPr="001A720A">
              <w:rPr>
                <w:rFonts w:asciiTheme="minorHAnsi" w:hAnsiTheme="minorHAnsi" w:cstheme="minorHAnsi"/>
                <w:szCs w:val="22"/>
              </w:rPr>
              <w:t xml:space="preserve">adjustment pressures </w:t>
            </w:r>
            <w:r>
              <w:rPr>
                <w:rFonts w:asciiTheme="minorHAnsi" w:hAnsiTheme="minorHAnsi" w:cstheme="minorHAnsi"/>
                <w:szCs w:val="22"/>
              </w:rPr>
              <w:t>resulting from policy</w:t>
            </w:r>
            <w:r>
              <w:rPr>
                <w:rFonts w:asciiTheme="minorHAnsi" w:hAnsiTheme="minorHAnsi" w:cstheme="minorHAnsi"/>
                <w:szCs w:val="22"/>
              </w:rPr>
              <w:noBreakHyphen/>
              <w:t>induced reductions in</w:t>
            </w:r>
            <w:r w:rsidRPr="001A720A">
              <w:rPr>
                <w:rFonts w:asciiTheme="minorHAnsi" w:hAnsiTheme="minorHAnsi" w:cstheme="minorHAnsi"/>
                <w:szCs w:val="22"/>
              </w:rPr>
              <w:t xml:space="preserve"> water availability</w:t>
            </w:r>
            <w:r>
              <w:rPr>
                <w:rFonts w:asciiTheme="minorHAnsi" w:hAnsiTheme="minorHAnsi" w:cstheme="minorHAnsi"/>
                <w:szCs w:val="22"/>
              </w:rPr>
              <w:t xml:space="preserve">. </w:t>
            </w:r>
          </w:p>
          <w:p w14:paraId="0D87B421" w14:textId="77777777" w:rsidR="008C2AD5" w:rsidRPr="00ED5D9C" w:rsidRDefault="008C2AD5" w:rsidP="008C2AD5">
            <w:pPr>
              <w:pStyle w:val="RecBullet"/>
            </w:pPr>
            <w:r w:rsidRPr="00ED5D9C">
              <w:t xml:space="preserve">The socioeconomic impacts of any major potential policy change </w:t>
            </w:r>
            <w:r w:rsidRPr="00D321AF">
              <w:t>be assessed to identify possible community needs.</w:t>
            </w:r>
            <w:r>
              <w:t xml:space="preserve"> </w:t>
            </w:r>
            <w:r w:rsidRPr="001C37FC">
              <w:t>Effective community partnerships and engagement are critical to understanding the wider context</w:t>
            </w:r>
            <w:r>
              <w:t>.</w:t>
            </w:r>
          </w:p>
          <w:p w14:paraId="2A15FE4D" w14:textId="77777777" w:rsidR="008C2AD5" w:rsidRPr="00BB5CB3" w:rsidRDefault="008C2AD5" w:rsidP="008C2AD5">
            <w:pPr>
              <w:pStyle w:val="RecBullet"/>
              <w:rPr>
                <w:spacing w:val="-2"/>
              </w:rPr>
            </w:pPr>
            <w:proofErr w:type="gramStart"/>
            <w:r w:rsidRPr="00BB5CB3">
              <w:rPr>
                <w:spacing w:val="-2"/>
              </w:rPr>
              <w:t>Generally</w:t>
            </w:r>
            <w:proofErr w:type="gramEnd"/>
            <w:r w:rsidRPr="00BB5CB3">
              <w:rPr>
                <w:spacing w:val="-2"/>
              </w:rPr>
              <w:noBreakHyphen/>
              <w:t>available measures targeting the welfare and skills of individuals, and regional development planning and initiatives to leverage community capabilities and competitive advantages, are usually the most appropriate responses to adjustment pressures.</w:t>
            </w:r>
          </w:p>
          <w:p w14:paraId="28C99F2C" w14:textId="77777777" w:rsidR="008C2AD5" w:rsidRDefault="008C2AD5" w:rsidP="008C2AD5">
            <w:pPr>
              <w:pStyle w:val="RecBullet"/>
            </w:pPr>
            <w:r>
              <w:t xml:space="preserve">In rare circumstances it may be appropriate to take additional steps to address adjustment issues if </w:t>
            </w:r>
            <w:r w:rsidRPr="001A720A">
              <w:t xml:space="preserve">policy changes that are beneficial to the wider community </w:t>
            </w:r>
            <w:r>
              <w:t>impose increased risk</w:t>
            </w:r>
            <w:r w:rsidRPr="001A720A">
              <w:t xml:space="preserve"> of permanent disadvantage for groups of individuals</w:t>
            </w:r>
            <w:r>
              <w:t>. W</w:t>
            </w:r>
            <w:r w:rsidRPr="002D3B97">
              <w:t>here generally</w:t>
            </w:r>
            <w:r>
              <w:noBreakHyphen/>
            </w:r>
            <w:r w:rsidRPr="002D3B97">
              <w:t xml:space="preserve">available measures will be inadequate </w:t>
            </w:r>
            <w:r>
              <w:t xml:space="preserve">— </w:t>
            </w:r>
            <w:r w:rsidRPr="00B6762A">
              <w:t>particularly if more support could improve the efficiency of the adjustment process by addressing impediments to change.</w:t>
            </w:r>
          </w:p>
          <w:p w14:paraId="59EC3499" w14:textId="77777777" w:rsidR="008C2AD5" w:rsidRDefault="008C2AD5" w:rsidP="008C2AD5">
            <w:pPr>
              <w:pStyle w:val="RecBullet"/>
            </w:pPr>
            <w:r>
              <w:t>Where further support is warranted:</w:t>
            </w:r>
          </w:p>
          <w:p w14:paraId="55AAB4B6" w14:textId="77777777" w:rsidR="008C2AD5" w:rsidRPr="00EF1543" w:rsidRDefault="008C2AD5" w:rsidP="008C2AD5">
            <w:pPr>
              <w:pStyle w:val="RecBullet2"/>
            </w:pPr>
            <w:r>
              <w:t>c</w:t>
            </w:r>
            <w:r w:rsidRPr="00EF1543">
              <w:t xml:space="preserve">onsideration should be given to how existing regional development programs support the adjustment process and whether policies and regulations not directly related to water unnecessarily impede </w:t>
            </w:r>
            <w:proofErr w:type="gramStart"/>
            <w:r w:rsidRPr="00EF1543">
              <w:t>change</w:t>
            </w:r>
            <w:proofErr w:type="gramEnd"/>
          </w:p>
          <w:p w14:paraId="10E38FDF" w14:textId="77777777" w:rsidR="008C2AD5" w:rsidRPr="00EF1543" w:rsidRDefault="008C2AD5" w:rsidP="008C2AD5">
            <w:pPr>
              <w:pStyle w:val="RecBullet2"/>
            </w:pPr>
            <w:r>
              <w:t>o</w:t>
            </w:r>
            <w:r w:rsidRPr="00EF1543">
              <w:t xml:space="preserve">ptions </w:t>
            </w:r>
            <w:r>
              <w:t xml:space="preserve">for further support </w:t>
            </w:r>
            <w:r w:rsidRPr="00EF1543">
              <w:t>need to be considered on a case</w:t>
            </w:r>
            <w:r>
              <w:noBreakHyphen/>
            </w:r>
            <w:r w:rsidRPr="00EF1543">
              <w:t>by</w:t>
            </w:r>
            <w:r>
              <w:noBreakHyphen/>
            </w:r>
            <w:r w:rsidRPr="00EF1543">
              <w:t xml:space="preserve">case basis and consider all factors affecting a community (not just changing water availability) and the chosen option should be the one that delivers the largest benefits relative to </w:t>
            </w:r>
            <w:proofErr w:type="gramStart"/>
            <w:r w:rsidRPr="00EF1543">
              <w:t>costs</w:t>
            </w:r>
            <w:proofErr w:type="gramEnd"/>
          </w:p>
          <w:p w14:paraId="05132B1E" w14:textId="77777777" w:rsidR="008C2AD5" w:rsidRDefault="008C2AD5" w:rsidP="008C2AD5">
            <w:pPr>
              <w:pStyle w:val="RecBullet2"/>
            </w:pPr>
            <w:r>
              <w:t xml:space="preserve">measures </w:t>
            </w:r>
            <w:r w:rsidRPr="001A720A">
              <w:t xml:space="preserve">that are likely to </w:t>
            </w:r>
            <w:r>
              <w:t xml:space="preserve">build adaptive capacity and </w:t>
            </w:r>
            <w:r w:rsidRPr="001A720A">
              <w:t>secur</w:t>
            </w:r>
            <w:r>
              <w:t>e</w:t>
            </w:r>
            <w:r w:rsidRPr="001A720A">
              <w:t xml:space="preserve"> employment or business opportunities</w:t>
            </w:r>
            <w:r>
              <w:t xml:space="preserve"> should be the focus, </w:t>
            </w:r>
            <w:r w:rsidRPr="001A720A">
              <w:t xml:space="preserve">and targeted to </w:t>
            </w:r>
            <w:r>
              <w:t xml:space="preserve">the most </w:t>
            </w:r>
            <w:r w:rsidRPr="001A720A">
              <w:t xml:space="preserve">vulnerable </w:t>
            </w:r>
            <w:r>
              <w:t xml:space="preserve">individuals </w:t>
            </w:r>
            <w:r w:rsidRPr="001A720A">
              <w:t>(</w:t>
            </w:r>
            <w:r>
              <w:t xml:space="preserve">those </w:t>
            </w:r>
            <w:r w:rsidRPr="001A720A">
              <w:t>at risk of permanent disadvantage)</w:t>
            </w:r>
          </w:p>
          <w:p w14:paraId="4B69CDDA" w14:textId="77777777" w:rsidR="008C2AD5" w:rsidRDefault="008C2AD5" w:rsidP="008C2AD5">
            <w:pPr>
              <w:pStyle w:val="RecBullet2"/>
            </w:pPr>
            <w:r>
              <w:t>industry</w:t>
            </w:r>
            <w:r w:rsidRPr="002D3B97">
              <w:t xml:space="preserve"> assistance </w:t>
            </w:r>
            <w:r>
              <w:t xml:space="preserve">and subsidies should be </w:t>
            </w:r>
            <w:proofErr w:type="gramStart"/>
            <w:r>
              <w:t>avoided</w:t>
            </w:r>
            <w:proofErr w:type="gramEnd"/>
          </w:p>
          <w:p w14:paraId="7F15A4B6" w14:textId="350B07A0" w:rsidR="00342838" w:rsidRPr="00077A27" w:rsidRDefault="008C2AD5" w:rsidP="008C2AD5">
            <w:pPr>
              <w:pStyle w:val="RecBullet2"/>
            </w:pPr>
            <w:r>
              <w:t xml:space="preserve">a </w:t>
            </w:r>
            <w:r w:rsidRPr="00B27F8A">
              <w:t xml:space="preserve">commitment </w:t>
            </w:r>
            <w:r>
              <w:t xml:space="preserve">should be made </w:t>
            </w:r>
            <w:r w:rsidRPr="00B27F8A">
              <w:t xml:space="preserve">to public monitoring and evaluation of </w:t>
            </w:r>
            <w:r>
              <w:t>the effectiveness of any assistance.</w:t>
            </w:r>
          </w:p>
        </w:tc>
      </w:tr>
      <w:tr w:rsidR="00342838" w14:paraId="6F14AEAA" w14:textId="77777777" w:rsidTr="00405FFA">
        <w:tc>
          <w:tcPr>
            <w:tcW w:w="5000" w:type="pct"/>
            <w:tcBorders>
              <w:top w:val="nil"/>
              <w:left w:val="nil"/>
              <w:bottom w:val="single" w:sz="4" w:space="0" w:color="0070C0"/>
              <w:right w:val="nil"/>
            </w:tcBorders>
            <w:shd w:val="clear" w:color="auto" w:fill="CBDDF2" w:themeFill="background2" w:themeFillTint="33"/>
            <w:tcMar>
              <w:left w:w="170" w:type="dxa"/>
              <w:right w:w="170" w:type="dxa"/>
            </w:tcMar>
          </w:tcPr>
          <w:p w14:paraId="134F9505" w14:textId="77777777" w:rsidR="00342838" w:rsidRDefault="00342838" w:rsidP="00342838">
            <w:pPr>
              <w:pStyle w:val="Space"/>
              <w:keepLines/>
            </w:pPr>
          </w:p>
        </w:tc>
      </w:tr>
      <w:tr w:rsidR="00342838" w:rsidRPr="000863A5" w14:paraId="7A3EF46C" w14:textId="77777777" w:rsidTr="00887FF9">
        <w:tc>
          <w:tcPr>
            <w:tcW w:w="5000" w:type="pct"/>
            <w:tcBorders>
              <w:top w:val="single" w:sz="4" w:space="0" w:color="0070C0"/>
              <w:left w:val="nil"/>
              <w:bottom w:val="nil"/>
              <w:right w:val="nil"/>
            </w:tcBorders>
            <w:shd w:val="clear" w:color="auto" w:fill="auto"/>
            <w:tcMar>
              <w:left w:w="170" w:type="dxa"/>
              <w:right w:w="170" w:type="dxa"/>
            </w:tcMar>
          </w:tcPr>
          <w:p w14:paraId="077DA566" w14:textId="2287C986" w:rsidR="00342838" w:rsidRPr="00626D32" w:rsidRDefault="00342838" w:rsidP="00342838">
            <w:pPr>
              <w:pStyle w:val="BoxSpaceBelow"/>
              <w:keepLines/>
            </w:pPr>
          </w:p>
        </w:tc>
      </w:tr>
    </w:tbl>
    <w:p w14:paraId="2BCC9B4B" w14:textId="77777777" w:rsidR="00503CAA" w:rsidRDefault="00503CAA" w:rsidP="000E148B">
      <w:pPr>
        <w:pStyle w:val="Heading2nosectionno"/>
      </w:pPr>
      <w:bookmarkStart w:id="56" w:name="_Toc61426183"/>
      <w:bookmarkStart w:id="57" w:name="_Toc61441024"/>
      <w:bookmarkStart w:id="58" w:name="_Toc61873566"/>
      <w:r>
        <w:br w:type="page"/>
      </w:r>
    </w:p>
    <w:p w14:paraId="3984B1A7" w14:textId="19E61BFE" w:rsidR="006777B1" w:rsidRDefault="006777B1" w:rsidP="000E148B">
      <w:pPr>
        <w:pStyle w:val="Heading2nosectionno"/>
      </w:pPr>
      <w:r>
        <w:lastRenderedPageBreak/>
        <w:t>References</w:t>
      </w:r>
      <w:bookmarkEnd w:id="56"/>
      <w:bookmarkEnd w:id="57"/>
      <w:bookmarkEnd w:id="58"/>
    </w:p>
    <w:p w14:paraId="3E62C45C" w14:textId="07BDD6D2" w:rsidR="00C04AF5" w:rsidRPr="005C6B15" w:rsidRDefault="00C04AF5" w:rsidP="005C6B15">
      <w:pPr>
        <w:pStyle w:val="Reference"/>
      </w:pPr>
      <w:r w:rsidRPr="005C6B15">
        <w:t>ACCC (Australian Competition and Consumer Commission) 2020, Murray-Darling Basin Water Markets Inquiry, Interim report, Canberra.</w:t>
      </w:r>
    </w:p>
    <w:p w14:paraId="6E13D2D6" w14:textId="77777777" w:rsidR="00C04AF5" w:rsidRPr="005C6B15" w:rsidRDefault="00C04AF5" w:rsidP="005C6B15">
      <w:pPr>
        <w:pStyle w:val="Reference"/>
      </w:pPr>
      <w:proofErr w:type="spellStart"/>
      <w:r w:rsidRPr="005C6B15">
        <w:t>Aither</w:t>
      </w:r>
      <w:proofErr w:type="spellEnd"/>
      <w:r w:rsidRPr="005C6B15">
        <w:t xml:space="preserve"> 2020, Water Markets Report: 2019-20 Review and 2020-21 Outlook, Melbourne.</w:t>
      </w:r>
    </w:p>
    <w:p w14:paraId="098C5EA5" w14:textId="77777777" w:rsidR="00C04AF5" w:rsidRPr="005C6B15" w:rsidRDefault="00C04AF5" w:rsidP="005C6B15">
      <w:pPr>
        <w:pStyle w:val="Reference"/>
      </w:pPr>
      <w:r w:rsidRPr="005C6B15">
        <w:t>BOM (Bureau of Meteorology) 2020, Water in Australia: 2018-19, Melbourne.</w:t>
      </w:r>
    </w:p>
    <w:p w14:paraId="6917A001" w14:textId="77777777" w:rsidR="00C04AF5" w:rsidRPr="005C6B15" w:rsidRDefault="00C04AF5" w:rsidP="005C6B15">
      <w:pPr>
        <w:pStyle w:val="Reference"/>
      </w:pPr>
      <w:r w:rsidRPr="005C6B15">
        <w:t>Gupta, M., Hughes, N., Whittle, L. and Westwood, T. 2020, Future Scenarios for the Southern Murray-Darling Basin, Report to the Independent Assessment of Social and Economic Conditions in the Basin, Report 20.2, Australian Bureau of Agricultural and Resource Economics and Sciences, Canberra.</w:t>
      </w:r>
    </w:p>
    <w:p w14:paraId="4A622BD1" w14:textId="77777777" w:rsidR="00C04AF5" w:rsidRPr="005C6B15" w:rsidRDefault="00C04AF5" w:rsidP="005C6B15">
      <w:pPr>
        <w:pStyle w:val="Reference"/>
      </w:pPr>
      <w:r w:rsidRPr="005C6B15">
        <w:t>NWC (National Water Commission) 2011, The National Water Initiative — Securing Australia’s Water Future: 2011 Assessment, Canberra.</w:t>
      </w:r>
    </w:p>
    <w:p w14:paraId="3337C885" w14:textId="56D3B5EC" w:rsidR="00C04AF5" w:rsidRPr="005C6B15" w:rsidRDefault="00C04AF5" w:rsidP="005C6B15">
      <w:pPr>
        <w:pStyle w:val="Reference"/>
      </w:pPr>
      <w:r w:rsidRPr="005C6B15">
        <w:t>——</w:t>
      </w:r>
      <w:r w:rsidR="00494B11" w:rsidRPr="005C6B15">
        <w:t> </w:t>
      </w:r>
      <w:r w:rsidRPr="005C6B15">
        <w:t>2012, The Impacts of Water Trading in the Southern Murray-Darling Basin Between 2006-07 and 2010-11, Canberra.</w:t>
      </w:r>
    </w:p>
    <w:p w14:paraId="7E1456C0" w14:textId="77777777" w:rsidR="00C04AF5" w:rsidRPr="005C6B15" w:rsidRDefault="00C04AF5" w:rsidP="005C6B15">
      <w:pPr>
        <w:pStyle w:val="Reference"/>
      </w:pPr>
      <w:r w:rsidRPr="005C6B15">
        <w:t>PC (Productivity Commission) 2017, National Water Reform, Report no. 87, Canberra.</w:t>
      </w:r>
    </w:p>
    <w:p w14:paraId="6D510C0B" w14:textId="28D303C1" w:rsidR="00C04AF5" w:rsidRPr="005C6B15" w:rsidRDefault="00C04AF5" w:rsidP="005C6B15">
      <w:pPr>
        <w:pStyle w:val="Reference"/>
      </w:pPr>
      <w:r w:rsidRPr="005C6B15">
        <w:t>——</w:t>
      </w:r>
      <w:r w:rsidR="00494B11" w:rsidRPr="005C6B15">
        <w:t> </w:t>
      </w:r>
      <w:r w:rsidRPr="005C6B15">
        <w:t>2018, Murray-Darling Basin Plan: Five-year Assessment, Report no. 90, Canberra.</w:t>
      </w:r>
    </w:p>
    <w:p w14:paraId="5947EB6B" w14:textId="77777777" w:rsidR="00C04AF5" w:rsidRPr="005C6B15" w:rsidRDefault="00C04AF5" w:rsidP="005C6B15">
      <w:pPr>
        <w:pStyle w:val="Reference"/>
      </w:pPr>
      <w:r w:rsidRPr="005C6B15">
        <w:t xml:space="preserve">Sefton, R., Peterson, D., Woods, R., </w:t>
      </w:r>
      <w:proofErr w:type="spellStart"/>
      <w:r w:rsidRPr="005C6B15">
        <w:t>Kassebaum</w:t>
      </w:r>
      <w:proofErr w:type="spellEnd"/>
      <w:r w:rsidRPr="005C6B15">
        <w:t>, A., McKenzie, D., Simpson, B. and Ramsay, M. 2020, Final Report: Independent Assessment of Social and Economic Conditions in the Murray-Darling Basin, Panel for Independent Assessment of Social and Economic Conditions in the Murray-Darling Basin, Melbourne.</w:t>
      </w:r>
    </w:p>
    <w:p w14:paraId="136A8E80" w14:textId="700DD077" w:rsidR="006777B1" w:rsidRPr="005C6B15" w:rsidRDefault="00C04AF5" w:rsidP="005C6B15">
      <w:pPr>
        <w:pStyle w:val="Reference"/>
      </w:pPr>
      <w:proofErr w:type="spellStart"/>
      <w:r w:rsidRPr="005C6B15">
        <w:t>Wittwer</w:t>
      </w:r>
      <w:proofErr w:type="spellEnd"/>
      <w:r w:rsidRPr="005C6B15">
        <w:t>, G. 2020, Modelling Variants of the Murray-Darling Basin Plan in the Context of Adverse Conditions in the Basin, Centre of Policy Studies, Victoria University, Melbourne.</w:t>
      </w:r>
    </w:p>
    <w:sectPr w:rsidR="006777B1" w:rsidRPr="005C6B15" w:rsidSect="00257807">
      <w:headerReference w:type="even" r:id="rId24"/>
      <w:headerReference w:type="default" r:id="rId25"/>
      <w:footerReference w:type="even" r:id="rId26"/>
      <w:footerReference w:type="default" r:id="rId27"/>
      <w:pgSz w:w="11907" w:h="16840" w:code="9"/>
      <w:pgMar w:top="1985" w:right="1304" w:bottom="1247" w:left="1814" w:header="1701" w:footer="397"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1C3D3" w14:textId="77777777" w:rsidR="001D7160" w:rsidRDefault="001D7160">
      <w:r>
        <w:separator/>
      </w:r>
    </w:p>
  </w:endnote>
  <w:endnote w:type="continuationSeparator" w:id="0">
    <w:p w14:paraId="1048EB1B" w14:textId="77777777" w:rsidR="001D7160" w:rsidRDefault="001D7160">
      <w:r>
        <w:continuationSeparator/>
      </w:r>
    </w:p>
  </w:endnote>
  <w:endnote w:type="continuationNotice" w:id="1">
    <w:p w14:paraId="5F71F1C3" w14:textId="77777777" w:rsidR="001D7160" w:rsidRDefault="001D7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altName w:val="Calibri"/>
    <w:panose1 w:val="00000000000000000000"/>
    <w:charset w:val="00"/>
    <w:family w:val="swiss"/>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1D7160" w14:paraId="74855AE6" w14:textId="77777777" w:rsidTr="005F48ED">
      <w:trPr>
        <w:trHeight w:hRule="exact" w:val="567"/>
      </w:trPr>
      <w:tc>
        <w:tcPr>
          <w:tcW w:w="510" w:type="dxa"/>
        </w:tcPr>
        <w:p w14:paraId="4D4C89E5" w14:textId="77777777" w:rsidR="001D7160" w:rsidRDefault="001D7160">
          <w:pPr>
            <w:pStyle w:val="Footer"/>
            <w:ind w:right="360" w:firstLine="360"/>
          </w:pPr>
        </w:p>
      </w:tc>
      <w:tc>
        <w:tcPr>
          <w:tcW w:w="7767" w:type="dxa"/>
        </w:tcPr>
        <w:p w14:paraId="1DF6793E" w14:textId="411DC7B9" w:rsidR="001D7160" w:rsidRDefault="001D7160" w:rsidP="00457AE5">
          <w:pPr>
            <w:pStyle w:val="Footer"/>
            <w:jc w:val="right"/>
            <w:rPr>
              <w:rFonts w:cs="Arial"/>
            </w:rPr>
          </w:pPr>
          <w:r>
            <w:rPr>
              <w:rFonts w:cs="Arial"/>
            </w:rPr>
            <w:t>Water reform in rural Australia</w:t>
          </w:r>
        </w:p>
        <w:p w14:paraId="0C52E53F" w14:textId="39B84FCE" w:rsidR="00C04AF5" w:rsidRPr="00BA5B14" w:rsidRDefault="00C04AF5" w:rsidP="00503CAA">
          <w:pPr>
            <w:pStyle w:val="FooterDraftReport"/>
            <w:jc w:val="right"/>
          </w:pPr>
          <w:r w:rsidRPr="00751F02">
            <w:t>Draft report</w:t>
          </w:r>
        </w:p>
      </w:tc>
      <w:tc>
        <w:tcPr>
          <w:tcW w:w="510" w:type="dxa"/>
        </w:tcPr>
        <w:p w14:paraId="63314733" w14:textId="77777777" w:rsidR="001D7160" w:rsidRPr="00A24443" w:rsidRDefault="001D7160">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DF582D">
            <w:rPr>
              <w:rStyle w:val="PageNumber"/>
              <w:caps w:val="0"/>
              <w:noProof/>
            </w:rPr>
            <w:t>13</w:t>
          </w:r>
          <w:r w:rsidRPr="00A24443">
            <w:rPr>
              <w:rStyle w:val="PageNumber"/>
              <w:caps w:val="0"/>
            </w:rPr>
            <w:fldChar w:fldCharType="end"/>
          </w:r>
        </w:p>
      </w:tc>
    </w:tr>
  </w:tbl>
  <w:p w14:paraId="3AFD0E8F" w14:textId="77777777" w:rsidR="001D7160" w:rsidRDefault="001D7160">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503CAA" w14:paraId="35E83540" w14:textId="77777777" w:rsidTr="005F48ED">
      <w:trPr>
        <w:trHeight w:hRule="exact" w:val="567"/>
      </w:trPr>
      <w:tc>
        <w:tcPr>
          <w:tcW w:w="510" w:type="dxa"/>
        </w:tcPr>
        <w:p w14:paraId="45A8386F" w14:textId="77777777" w:rsidR="00503CAA" w:rsidRPr="00A24443" w:rsidRDefault="00503CAA"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2</w:t>
          </w:r>
          <w:r w:rsidRPr="00A24443">
            <w:rPr>
              <w:rStyle w:val="PageNumber"/>
              <w:caps w:val="0"/>
            </w:rPr>
            <w:fldChar w:fldCharType="end"/>
          </w:r>
        </w:p>
      </w:tc>
      <w:tc>
        <w:tcPr>
          <w:tcW w:w="7767" w:type="dxa"/>
        </w:tcPr>
        <w:p w14:paraId="19A01334" w14:textId="77777777" w:rsidR="00503CAA" w:rsidRDefault="00503CAA" w:rsidP="0013739A">
          <w:pPr>
            <w:pStyle w:val="Footer"/>
            <w:rPr>
              <w:rFonts w:cs="Arial"/>
            </w:rPr>
          </w:pPr>
          <w:r>
            <w:rPr>
              <w:rFonts w:cs="Arial"/>
            </w:rPr>
            <w:t>National Water Reform 2020</w:t>
          </w:r>
          <w:bookmarkStart w:id="59" w:name="DraftReportEven"/>
          <w:bookmarkEnd w:id="59"/>
        </w:p>
        <w:p w14:paraId="6189E505" w14:textId="647D4487" w:rsidR="00503CAA" w:rsidRPr="0013739A" w:rsidRDefault="00503CAA" w:rsidP="00503CAA">
          <w:pPr>
            <w:pStyle w:val="FooterDraftReport"/>
          </w:pPr>
          <w:r>
            <w:t>Draft REport</w:t>
          </w:r>
        </w:p>
      </w:tc>
      <w:tc>
        <w:tcPr>
          <w:tcW w:w="510" w:type="dxa"/>
        </w:tcPr>
        <w:p w14:paraId="0223E3D6" w14:textId="77777777" w:rsidR="00503CAA" w:rsidRDefault="00503CAA" w:rsidP="0019293B">
          <w:pPr>
            <w:pStyle w:val="Footer"/>
          </w:pPr>
        </w:p>
      </w:tc>
    </w:tr>
  </w:tbl>
  <w:p w14:paraId="284FAE0C" w14:textId="77777777" w:rsidR="00503CAA" w:rsidRDefault="00503CAA" w:rsidP="0019293B">
    <w:pPr>
      <w:pStyle w:val="FooterE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44559B" w14:paraId="3522BDDB" w14:textId="77777777" w:rsidTr="005F48ED">
      <w:trPr>
        <w:trHeight w:hRule="exact" w:val="567"/>
      </w:trPr>
      <w:tc>
        <w:tcPr>
          <w:tcW w:w="510" w:type="dxa"/>
        </w:tcPr>
        <w:p w14:paraId="0F3C3452" w14:textId="77777777" w:rsidR="0044559B" w:rsidRDefault="0044559B">
          <w:pPr>
            <w:pStyle w:val="Footer"/>
            <w:ind w:right="360" w:firstLine="360"/>
          </w:pPr>
        </w:p>
      </w:tc>
      <w:tc>
        <w:tcPr>
          <w:tcW w:w="7767" w:type="dxa"/>
        </w:tcPr>
        <w:p w14:paraId="13AFD9DA" w14:textId="387078DC" w:rsidR="0044559B" w:rsidRDefault="0044559B" w:rsidP="00457AE5">
          <w:pPr>
            <w:pStyle w:val="Footer"/>
            <w:jc w:val="right"/>
            <w:rPr>
              <w:rFonts w:cs="Arial"/>
            </w:rPr>
          </w:pPr>
          <w:r>
            <w:rPr>
              <w:rFonts w:cs="Arial"/>
            </w:rPr>
            <w:t>Water reform in rural Australia</w:t>
          </w:r>
        </w:p>
        <w:p w14:paraId="5C452C2D" w14:textId="77777777" w:rsidR="0044559B" w:rsidRPr="00BA5B14" w:rsidRDefault="0044559B" w:rsidP="00503CAA">
          <w:pPr>
            <w:pStyle w:val="FooterDraftReport"/>
            <w:jc w:val="right"/>
          </w:pPr>
          <w:r w:rsidRPr="00751F02">
            <w:t>Draft report</w:t>
          </w:r>
        </w:p>
      </w:tc>
      <w:tc>
        <w:tcPr>
          <w:tcW w:w="510" w:type="dxa"/>
        </w:tcPr>
        <w:p w14:paraId="64BCAC16" w14:textId="77777777" w:rsidR="0044559B" w:rsidRPr="00A24443" w:rsidRDefault="0044559B">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Pr>
              <w:rStyle w:val="PageNumber"/>
              <w:caps w:val="0"/>
              <w:noProof/>
            </w:rPr>
            <w:t>13</w:t>
          </w:r>
          <w:r w:rsidRPr="00A24443">
            <w:rPr>
              <w:rStyle w:val="PageNumber"/>
              <w:caps w:val="0"/>
            </w:rPr>
            <w:fldChar w:fldCharType="end"/>
          </w:r>
        </w:p>
      </w:tc>
    </w:tr>
  </w:tbl>
  <w:p w14:paraId="10DA49B0" w14:textId="77777777" w:rsidR="0044559B" w:rsidRDefault="0044559B">
    <w:pPr>
      <w:pStyle w:val="FooterE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65A49" w14:textId="77777777" w:rsidR="001D7160" w:rsidRDefault="001D7160">
      <w:r>
        <w:separator/>
      </w:r>
    </w:p>
  </w:footnote>
  <w:footnote w:type="continuationSeparator" w:id="0">
    <w:p w14:paraId="3BAE0241" w14:textId="77777777" w:rsidR="001D7160" w:rsidRDefault="001D7160">
      <w:r>
        <w:continuationSeparator/>
      </w:r>
    </w:p>
  </w:footnote>
  <w:footnote w:type="continuationNotice" w:id="1">
    <w:p w14:paraId="1B3BBED2" w14:textId="77777777" w:rsidR="001D7160" w:rsidRDefault="001D7160"/>
  </w:footnote>
  <w:footnote w:id="2">
    <w:p w14:paraId="7D9F1F36" w14:textId="3C474A72" w:rsidR="001D7160" w:rsidRDefault="001D7160" w:rsidP="00AA3EA4">
      <w:pPr>
        <w:pStyle w:val="FootnoteText"/>
      </w:pPr>
      <w:r w:rsidRPr="00591E57">
        <w:rPr>
          <w:rStyle w:val="FootnoteReference"/>
        </w:rPr>
        <w:footnoteRef/>
      </w:r>
      <w:r>
        <w:tab/>
        <w:t xml:space="preserve">Commissioned for the </w:t>
      </w:r>
      <w:r w:rsidRPr="00405FFA">
        <w:rPr>
          <w:i/>
        </w:rPr>
        <w:t>Independent Assessment of Social and Economic Conditions in the Basin</w:t>
      </w:r>
      <w:r>
        <w:t xml:space="preserve"> </w:t>
      </w:r>
      <w:r w:rsidRPr="00480AB5">
        <w:rPr>
          <w:szCs w:val="24"/>
        </w:rPr>
        <w:t>(Sefton et al. 2020)</w:t>
      </w:r>
      <w:r>
        <w:t>.</w:t>
      </w:r>
    </w:p>
  </w:footnote>
  <w:footnote w:id="3">
    <w:p w14:paraId="5C7D43E4" w14:textId="77777777" w:rsidR="001D7160" w:rsidRDefault="001D7160">
      <w:pPr>
        <w:pStyle w:val="FootnoteText"/>
      </w:pPr>
      <w:r w:rsidRPr="00591E57">
        <w:rPr>
          <w:rStyle w:val="FootnoteReference"/>
        </w:rPr>
        <w:footnoteRef/>
      </w:r>
      <w:r>
        <w:tab/>
      </w:r>
      <w:r w:rsidRPr="008F68F3">
        <w:t>NWI paragrap</w:t>
      </w:r>
      <w:r>
        <w:t>h 97</w:t>
      </w:r>
      <w:r w:rsidRPr="008F68F3">
        <w:t>.</w:t>
      </w:r>
    </w:p>
  </w:footnote>
  <w:footnote w:id="4">
    <w:p w14:paraId="4CA2639C" w14:textId="2FB5AE24" w:rsidR="001D7160" w:rsidRDefault="001D7160">
      <w:pPr>
        <w:pStyle w:val="FootnoteText"/>
      </w:pPr>
      <w:r w:rsidRPr="00591E57">
        <w:rPr>
          <w:rStyle w:val="FootnoteReference"/>
        </w:rPr>
        <w:footnoteRef/>
      </w:r>
      <w:r>
        <w:tab/>
        <w:t xml:space="preserve">NSWIC, </w:t>
      </w:r>
      <w:r w:rsidRPr="009967A7">
        <w:t>sub. 27, p. 2</w:t>
      </w:r>
      <w:r>
        <w:t>4</w:t>
      </w:r>
      <w:r w:rsidRPr="009967A7">
        <w:t xml:space="preserve">; </w:t>
      </w:r>
      <w:r>
        <w:t xml:space="preserve">GSCC, </w:t>
      </w:r>
      <w:r w:rsidRPr="009967A7">
        <w:t xml:space="preserve">sub. 34, p. 3; </w:t>
      </w:r>
      <w:r>
        <w:t xml:space="preserve">NFF, </w:t>
      </w:r>
      <w:r w:rsidRPr="009967A7">
        <w:t>sub. 42, p. 2</w:t>
      </w:r>
      <w:r>
        <w:t>3</w:t>
      </w:r>
      <w:r w:rsidRPr="009967A7">
        <w:t xml:space="preserve">; </w:t>
      </w:r>
      <w:r>
        <w:t xml:space="preserve">Murray Irrigation, </w:t>
      </w:r>
      <w:r w:rsidRPr="009967A7">
        <w:t xml:space="preserve">sub. 69, p. 3; </w:t>
      </w:r>
      <w:r>
        <w:t xml:space="preserve">RGA, </w:t>
      </w:r>
      <w:r w:rsidRPr="009967A7">
        <w:t>sub. 82, p. 3</w:t>
      </w:r>
      <w:r w:rsidR="00457AE5">
        <w:t>.</w:t>
      </w:r>
    </w:p>
  </w:footnote>
  <w:footnote w:id="5">
    <w:p w14:paraId="0CD43316" w14:textId="67E66C73" w:rsidR="001D7160" w:rsidRDefault="001D7160">
      <w:pPr>
        <w:pStyle w:val="FootnoteText"/>
      </w:pPr>
      <w:r w:rsidRPr="00591E57">
        <w:rPr>
          <w:rStyle w:val="FootnoteReference"/>
        </w:rPr>
        <w:footnoteRef/>
      </w:r>
      <w:r>
        <w:tab/>
        <w:t xml:space="preserve">NIC, </w:t>
      </w:r>
      <w:r w:rsidRPr="009967A7">
        <w:t>sub. 13, p. 8;</w:t>
      </w:r>
      <w:r>
        <w:t xml:space="preserve"> NSWIC,</w:t>
      </w:r>
      <w:r w:rsidRPr="009967A7">
        <w:t xml:space="preserve"> sub. 27, p. 23; </w:t>
      </w:r>
      <w:r>
        <w:t xml:space="preserve">NFF, </w:t>
      </w:r>
      <w:r w:rsidRPr="009967A7">
        <w:t xml:space="preserve">sub. 42, p. 22; </w:t>
      </w:r>
      <w:r>
        <w:t xml:space="preserve">LBA, </w:t>
      </w:r>
      <w:r w:rsidRPr="009967A7">
        <w:t xml:space="preserve">sub. 70, p. 5; </w:t>
      </w:r>
      <w:r>
        <w:t xml:space="preserve">VFF, </w:t>
      </w:r>
      <w:r w:rsidRPr="009967A7">
        <w:t>sub. 99, p. 10</w:t>
      </w:r>
      <w:r w:rsidR="00457AE5">
        <w:t>.</w:t>
      </w:r>
    </w:p>
  </w:footnote>
  <w:footnote w:id="6">
    <w:p w14:paraId="10C7407B" w14:textId="47E399DF" w:rsidR="001D7160" w:rsidRDefault="001D7160" w:rsidP="00B85BEA">
      <w:pPr>
        <w:pStyle w:val="FootnoteText"/>
      </w:pPr>
      <w:r w:rsidRPr="00591E57">
        <w:rPr>
          <w:rStyle w:val="FootnoteReference"/>
        </w:rPr>
        <w:footnoteRef/>
      </w:r>
      <w:r>
        <w:tab/>
        <w:t>Gross expenditure by governments through budget processes, not accounting for subsequent benefits.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D7160" w14:paraId="287448FD" w14:textId="77777777">
      <w:tc>
        <w:tcPr>
          <w:tcW w:w="6634" w:type="dxa"/>
          <w:tcBorders>
            <w:top w:val="single" w:sz="6" w:space="0" w:color="auto"/>
          </w:tcBorders>
        </w:tcPr>
        <w:p w14:paraId="2BDC9805" w14:textId="77777777" w:rsidR="001D7160" w:rsidRDefault="001D7160" w:rsidP="00E669E2">
          <w:pPr>
            <w:pStyle w:val="HeaderOdd"/>
          </w:pPr>
        </w:p>
      </w:tc>
      <w:tc>
        <w:tcPr>
          <w:tcW w:w="2155" w:type="dxa"/>
          <w:tcBorders>
            <w:top w:val="single" w:sz="24" w:space="0" w:color="auto"/>
          </w:tcBorders>
        </w:tcPr>
        <w:p w14:paraId="48C0D33B" w14:textId="77777777" w:rsidR="001D7160" w:rsidRDefault="001D7160" w:rsidP="00E669E2">
          <w:pPr>
            <w:pStyle w:val="HeaderOdd"/>
          </w:pPr>
        </w:p>
      </w:tc>
    </w:tr>
  </w:tbl>
  <w:p w14:paraId="1020E17D" w14:textId="77777777" w:rsidR="001D7160" w:rsidRDefault="001D7160" w:rsidP="00E669E2">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503CAA" w14:paraId="11B02A74" w14:textId="77777777">
      <w:tc>
        <w:tcPr>
          <w:tcW w:w="2155" w:type="dxa"/>
          <w:tcBorders>
            <w:top w:val="single" w:sz="24" w:space="0" w:color="auto"/>
          </w:tcBorders>
        </w:tcPr>
        <w:p w14:paraId="63FE081F" w14:textId="77777777" w:rsidR="00503CAA" w:rsidRDefault="00503CAA" w:rsidP="0019293B">
          <w:pPr>
            <w:pStyle w:val="HeaderEven"/>
          </w:pPr>
        </w:p>
      </w:tc>
      <w:tc>
        <w:tcPr>
          <w:tcW w:w="6634" w:type="dxa"/>
          <w:tcBorders>
            <w:top w:val="single" w:sz="6" w:space="0" w:color="auto"/>
          </w:tcBorders>
        </w:tcPr>
        <w:p w14:paraId="238A74D1" w14:textId="77777777" w:rsidR="00503CAA" w:rsidRDefault="00503CAA" w:rsidP="0019293B">
          <w:pPr>
            <w:pStyle w:val="HeaderEven"/>
          </w:pPr>
        </w:p>
      </w:tc>
    </w:tr>
  </w:tbl>
  <w:p w14:paraId="2E596448" w14:textId="77777777" w:rsidR="00503CAA" w:rsidRDefault="00503CAA" w:rsidP="0019293B">
    <w:pPr>
      <w:pStyle w:val="HeaderEn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44559B" w14:paraId="4D1B1DBA" w14:textId="77777777">
      <w:tc>
        <w:tcPr>
          <w:tcW w:w="6634" w:type="dxa"/>
          <w:tcBorders>
            <w:top w:val="single" w:sz="6" w:space="0" w:color="auto"/>
          </w:tcBorders>
        </w:tcPr>
        <w:p w14:paraId="206AE121" w14:textId="77777777" w:rsidR="0044559B" w:rsidRDefault="0044559B" w:rsidP="00E669E2">
          <w:pPr>
            <w:pStyle w:val="HeaderOdd"/>
          </w:pPr>
        </w:p>
      </w:tc>
      <w:tc>
        <w:tcPr>
          <w:tcW w:w="2155" w:type="dxa"/>
          <w:tcBorders>
            <w:top w:val="single" w:sz="24" w:space="0" w:color="auto"/>
          </w:tcBorders>
        </w:tcPr>
        <w:p w14:paraId="3F4B76D8" w14:textId="77777777" w:rsidR="0044559B" w:rsidRDefault="0044559B" w:rsidP="00E669E2">
          <w:pPr>
            <w:pStyle w:val="HeaderOdd"/>
          </w:pPr>
        </w:p>
      </w:tc>
    </w:tr>
  </w:tbl>
  <w:p w14:paraId="24503992" w14:textId="77777777" w:rsidR="0044559B" w:rsidRDefault="0044559B" w:rsidP="00E669E2">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39F000C"/>
    <w:multiLevelType w:val="hybridMultilevel"/>
    <w:tmpl w:val="00946654"/>
    <w:lvl w:ilvl="0" w:tplc="0A1E63C6">
      <w:start w:val="1"/>
      <w:numFmt w:val="bullet"/>
      <w:pStyle w:val="RecBullet2"/>
      <w:lvlText w:val=""/>
      <w:lvlJc w:val="left"/>
      <w:pPr>
        <w:ind w:left="720" w:hanging="360"/>
      </w:pPr>
      <w:rPr>
        <w:rFonts w:ascii="Symbol" w:hAnsi="Symbol" w:hint="default"/>
        <w:b w:val="0"/>
        <w:i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2"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2B953287"/>
    <w:multiLevelType w:val="hybridMultilevel"/>
    <w:tmpl w:val="DABC21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9"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C6A1862"/>
    <w:multiLevelType w:val="hybridMultilevel"/>
    <w:tmpl w:val="3AB81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3" w15:restartNumberingAfterBreak="0">
    <w:nsid w:val="74175939"/>
    <w:multiLevelType w:val="hybridMultilevel"/>
    <w:tmpl w:val="74BA8BD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5" w15:restartNumberingAfterBreak="0">
    <w:nsid w:val="7BFA7D75"/>
    <w:multiLevelType w:val="singleLevel"/>
    <w:tmpl w:val="D188D162"/>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4"/>
  </w:num>
  <w:num w:numId="2">
    <w:abstractNumId w:val="3"/>
  </w:num>
  <w:num w:numId="3">
    <w:abstractNumId w:val="16"/>
  </w:num>
  <w:num w:numId="4">
    <w:abstractNumId w:val="4"/>
  </w:num>
  <w:num w:numId="5">
    <w:abstractNumId w:val="22"/>
  </w:num>
  <w:num w:numId="6">
    <w:abstractNumId w:val="18"/>
  </w:num>
  <w:num w:numId="7">
    <w:abstractNumId w:val="8"/>
  </w:num>
  <w:num w:numId="8">
    <w:abstractNumId w:val="17"/>
  </w:num>
  <w:num w:numId="9">
    <w:abstractNumId w:val="7"/>
  </w:num>
  <w:num w:numId="10">
    <w:abstractNumId w:val="6"/>
  </w:num>
  <w:num w:numId="11">
    <w:abstractNumId w:val="11"/>
  </w:num>
  <w:num w:numId="12">
    <w:abstractNumId w:val="12"/>
  </w:num>
  <w:num w:numId="13">
    <w:abstractNumId w:val="5"/>
  </w:num>
  <w:num w:numId="14">
    <w:abstractNumId w:val="19"/>
  </w:num>
  <w:num w:numId="15">
    <w:abstractNumId w:val="24"/>
  </w:num>
  <w:num w:numId="16">
    <w:abstractNumId w:val="15"/>
  </w:num>
  <w:num w:numId="17">
    <w:abstractNumId w:val="25"/>
  </w:num>
  <w:num w:numId="18">
    <w:abstractNumId w:val="21"/>
  </w:num>
  <w:num w:numId="19">
    <w:abstractNumId w:val="10"/>
  </w:num>
  <w:num w:numId="20">
    <w:abstractNumId w:val="9"/>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0"/>
  </w:num>
  <w:num w:numId="2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30">
    <w:abstractNumId w:val="23"/>
  </w:num>
  <w:num w:numId="31">
    <w:abstractNumId w:val="16"/>
  </w:num>
  <w:num w:numId="32">
    <w:abstractNumId w:val="20"/>
  </w:num>
  <w:num w:numId="33">
    <w:abstractNumId w:val="13"/>
  </w:num>
  <w:num w:numId="34">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Rural Water and Adjustment"/>
    <w:docVar w:name="ShortReportTitle" w:val="National Water Reform 2020"/>
  </w:docVars>
  <w:rsids>
    <w:rsidRoot w:val="00662EF4"/>
    <w:rsid w:val="0000408B"/>
    <w:rsid w:val="000043D3"/>
    <w:rsid w:val="00006345"/>
    <w:rsid w:val="00011F1D"/>
    <w:rsid w:val="00014CB7"/>
    <w:rsid w:val="00015439"/>
    <w:rsid w:val="00017C5C"/>
    <w:rsid w:val="000227D5"/>
    <w:rsid w:val="000245AA"/>
    <w:rsid w:val="0002760B"/>
    <w:rsid w:val="000301DA"/>
    <w:rsid w:val="0003055C"/>
    <w:rsid w:val="00033538"/>
    <w:rsid w:val="0003597B"/>
    <w:rsid w:val="0003664B"/>
    <w:rsid w:val="000369E8"/>
    <w:rsid w:val="00037398"/>
    <w:rsid w:val="0004111F"/>
    <w:rsid w:val="000412CE"/>
    <w:rsid w:val="000422AC"/>
    <w:rsid w:val="00043F54"/>
    <w:rsid w:val="0004486C"/>
    <w:rsid w:val="00044E8B"/>
    <w:rsid w:val="00045A47"/>
    <w:rsid w:val="00045FC0"/>
    <w:rsid w:val="00046C1D"/>
    <w:rsid w:val="0004750B"/>
    <w:rsid w:val="00050935"/>
    <w:rsid w:val="000525B9"/>
    <w:rsid w:val="00052AA7"/>
    <w:rsid w:val="0005341F"/>
    <w:rsid w:val="00053435"/>
    <w:rsid w:val="00055077"/>
    <w:rsid w:val="00055B3C"/>
    <w:rsid w:val="000565B3"/>
    <w:rsid w:val="00056D02"/>
    <w:rsid w:val="00057051"/>
    <w:rsid w:val="000601D5"/>
    <w:rsid w:val="00061F26"/>
    <w:rsid w:val="000623C5"/>
    <w:rsid w:val="0006275E"/>
    <w:rsid w:val="000635A0"/>
    <w:rsid w:val="00063FAC"/>
    <w:rsid w:val="0007150B"/>
    <w:rsid w:val="000766EB"/>
    <w:rsid w:val="00077A27"/>
    <w:rsid w:val="00085F14"/>
    <w:rsid w:val="00086073"/>
    <w:rsid w:val="000863B8"/>
    <w:rsid w:val="00090DF7"/>
    <w:rsid w:val="00092F64"/>
    <w:rsid w:val="000938F5"/>
    <w:rsid w:val="00095663"/>
    <w:rsid w:val="00096E55"/>
    <w:rsid w:val="0009783E"/>
    <w:rsid w:val="000A2426"/>
    <w:rsid w:val="000A2B1A"/>
    <w:rsid w:val="000A345D"/>
    <w:rsid w:val="000A3BF9"/>
    <w:rsid w:val="000A6E80"/>
    <w:rsid w:val="000A78BB"/>
    <w:rsid w:val="000B1022"/>
    <w:rsid w:val="000B601B"/>
    <w:rsid w:val="000B7474"/>
    <w:rsid w:val="000C16C7"/>
    <w:rsid w:val="000C207E"/>
    <w:rsid w:val="000C2FAF"/>
    <w:rsid w:val="000C392E"/>
    <w:rsid w:val="000C3942"/>
    <w:rsid w:val="000C4E7D"/>
    <w:rsid w:val="000D052C"/>
    <w:rsid w:val="000D2AF7"/>
    <w:rsid w:val="000D398A"/>
    <w:rsid w:val="000D41E9"/>
    <w:rsid w:val="000D595C"/>
    <w:rsid w:val="000D6543"/>
    <w:rsid w:val="000E0514"/>
    <w:rsid w:val="000E148B"/>
    <w:rsid w:val="000E2AF4"/>
    <w:rsid w:val="000E4086"/>
    <w:rsid w:val="000E4126"/>
    <w:rsid w:val="000E56A4"/>
    <w:rsid w:val="000F0035"/>
    <w:rsid w:val="000F04E7"/>
    <w:rsid w:val="000F060A"/>
    <w:rsid w:val="000F0DC5"/>
    <w:rsid w:val="000F2BB9"/>
    <w:rsid w:val="000F2C7E"/>
    <w:rsid w:val="000F32D3"/>
    <w:rsid w:val="000F35BD"/>
    <w:rsid w:val="000F420B"/>
    <w:rsid w:val="000F539C"/>
    <w:rsid w:val="000F72D8"/>
    <w:rsid w:val="00100997"/>
    <w:rsid w:val="00100F91"/>
    <w:rsid w:val="00101E8D"/>
    <w:rsid w:val="00101F4C"/>
    <w:rsid w:val="00102787"/>
    <w:rsid w:val="0010592D"/>
    <w:rsid w:val="0010742D"/>
    <w:rsid w:val="00110116"/>
    <w:rsid w:val="00110245"/>
    <w:rsid w:val="001116C9"/>
    <w:rsid w:val="001126FC"/>
    <w:rsid w:val="001146B1"/>
    <w:rsid w:val="00120072"/>
    <w:rsid w:val="00123E4E"/>
    <w:rsid w:val="00125E68"/>
    <w:rsid w:val="001260CB"/>
    <w:rsid w:val="00126EB8"/>
    <w:rsid w:val="001274D4"/>
    <w:rsid w:val="00131529"/>
    <w:rsid w:val="001324B0"/>
    <w:rsid w:val="00132BDD"/>
    <w:rsid w:val="00134FC7"/>
    <w:rsid w:val="00135224"/>
    <w:rsid w:val="001363AA"/>
    <w:rsid w:val="00136769"/>
    <w:rsid w:val="0013739A"/>
    <w:rsid w:val="00141874"/>
    <w:rsid w:val="00142165"/>
    <w:rsid w:val="00144185"/>
    <w:rsid w:val="0014553D"/>
    <w:rsid w:val="00146024"/>
    <w:rsid w:val="00147410"/>
    <w:rsid w:val="00147D79"/>
    <w:rsid w:val="00150D4F"/>
    <w:rsid w:val="00154BF5"/>
    <w:rsid w:val="00154CBD"/>
    <w:rsid w:val="00156BCD"/>
    <w:rsid w:val="001613EA"/>
    <w:rsid w:val="00162434"/>
    <w:rsid w:val="001629DB"/>
    <w:rsid w:val="0016751F"/>
    <w:rsid w:val="00170FB6"/>
    <w:rsid w:val="00175B1C"/>
    <w:rsid w:val="00183E82"/>
    <w:rsid w:val="00184108"/>
    <w:rsid w:val="001878BB"/>
    <w:rsid w:val="00191AE0"/>
    <w:rsid w:val="0019293B"/>
    <w:rsid w:val="00192F93"/>
    <w:rsid w:val="00193581"/>
    <w:rsid w:val="00193A1B"/>
    <w:rsid w:val="0019426B"/>
    <w:rsid w:val="001957E0"/>
    <w:rsid w:val="00195F54"/>
    <w:rsid w:val="00195F7F"/>
    <w:rsid w:val="001963F9"/>
    <w:rsid w:val="0019671B"/>
    <w:rsid w:val="001979A6"/>
    <w:rsid w:val="001A05D4"/>
    <w:rsid w:val="001A2B6E"/>
    <w:rsid w:val="001A3FC3"/>
    <w:rsid w:val="001A4532"/>
    <w:rsid w:val="001A6A4B"/>
    <w:rsid w:val="001A720A"/>
    <w:rsid w:val="001A7A91"/>
    <w:rsid w:val="001B08E3"/>
    <w:rsid w:val="001B3C72"/>
    <w:rsid w:val="001B4E33"/>
    <w:rsid w:val="001C0865"/>
    <w:rsid w:val="001C0AED"/>
    <w:rsid w:val="001C12EF"/>
    <w:rsid w:val="001C2E15"/>
    <w:rsid w:val="001C39A3"/>
    <w:rsid w:val="001C3ABA"/>
    <w:rsid w:val="001C45E4"/>
    <w:rsid w:val="001C4EA0"/>
    <w:rsid w:val="001C5111"/>
    <w:rsid w:val="001C5137"/>
    <w:rsid w:val="001C6C01"/>
    <w:rsid w:val="001D0422"/>
    <w:rsid w:val="001D0809"/>
    <w:rsid w:val="001D180E"/>
    <w:rsid w:val="001D1EDA"/>
    <w:rsid w:val="001D3FBD"/>
    <w:rsid w:val="001D4ECF"/>
    <w:rsid w:val="001D6BC5"/>
    <w:rsid w:val="001D7160"/>
    <w:rsid w:val="001E23FA"/>
    <w:rsid w:val="001E3FDA"/>
    <w:rsid w:val="001E7BE8"/>
    <w:rsid w:val="001F0248"/>
    <w:rsid w:val="001F070C"/>
    <w:rsid w:val="001F2431"/>
    <w:rsid w:val="001F3EB3"/>
    <w:rsid w:val="001F4B00"/>
    <w:rsid w:val="001F4F86"/>
    <w:rsid w:val="001F73F5"/>
    <w:rsid w:val="002006D5"/>
    <w:rsid w:val="00202C2C"/>
    <w:rsid w:val="00202D05"/>
    <w:rsid w:val="00203050"/>
    <w:rsid w:val="00204042"/>
    <w:rsid w:val="00211223"/>
    <w:rsid w:val="00212E08"/>
    <w:rsid w:val="002135AB"/>
    <w:rsid w:val="002144BE"/>
    <w:rsid w:val="00217020"/>
    <w:rsid w:val="002229CA"/>
    <w:rsid w:val="00223DDB"/>
    <w:rsid w:val="00223E77"/>
    <w:rsid w:val="00224408"/>
    <w:rsid w:val="00224FCA"/>
    <w:rsid w:val="00227164"/>
    <w:rsid w:val="002301DF"/>
    <w:rsid w:val="00231507"/>
    <w:rsid w:val="00231921"/>
    <w:rsid w:val="002320B8"/>
    <w:rsid w:val="00236316"/>
    <w:rsid w:val="00236710"/>
    <w:rsid w:val="002405CC"/>
    <w:rsid w:val="00242279"/>
    <w:rsid w:val="00243997"/>
    <w:rsid w:val="0024516C"/>
    <w:rsid w:val="00245C82"/>
    <w:rsid w:val="00247173"/>
    <w:rsid w:val="0024754B"/>
    <w:rsid w:val="002475DA"/>
    <w:rsid w:val="0025035E"/>
    <w:rsid w:val="00252335"/>
    <w:rsid w:val="0025305B"/>
    <w:rsid w:val="00254473"/>
    <w:rsid w:val="002551D9"/>
    <w:rsid w:val="002565CD"/>
    <w:rsid w:val="00257807"/>
    <w:rsid w:val="00262F0F"/>
    <w:rsid w:val="00263D85"/>
    <w:rsid w:val="00271516"/>
    <w:rsid w:val="00271A75"/>
    <w:rsid w:val="002724BA"/>
    <w:rsid w:val="00282A25"/>
    <w:rsid w:val="0028300C"/>
    <w:rsid w:val="002840EA"/>
    <w:rsid w:val="00285AED"/>
    <w:rsid w:val="00285DFF"/>
    <w:rsid w:val="00291B40"/>
    <w:rsid w:val="00291B41"/>
    <w:rsid w:val="00291DD9"/>
    <w:rsid w:val="002A0713"/>
    <w:rsid w:val="002A2E51"/>
    <w:rsid w:val="002A3485"/>
    <w:rsid w:val="002A407D"/>
    <w:rsid w:val="002B1D32"/>
    <w:rsid w:val="002B366A"/>
    <w:rsid w:val="002B4008"/>
    <w:rsid w:val="002B64C6"/>
    <w:rsid w:val="002B6FE9"/>
    <w:rsid w:val="002B7095"/>
    <w:rsid w:val="002B770A"/>
    <w:rsid w:val="002B7ED5"/>
    <w:rsid w:val="002C3514"/>
    <w:rsid w:val="002C439F"/>
    <w:rsid w:val="002C5A8C"/>
    <w:rsid w:val="002C5C5F"/>
    <w:rsid w:val="002C6BBC"/>
    <w:rsid w:val="002D0C42"/>
    <w:rsid w:val="002D0E8E"/>
    <w:rsid w:val="002D3B97"/>
    <w:rsid w:val="002D49A4"/>
    <w:rsid w:val="002D4EC5"/>
    <w:rsid w:val="002D5625"/>
    <w:rsid w:val="002D5FD8"/>
    <w:rsid w:val="002E0B02"/>
    <w:rsid w:val="002E5575"/>
    <w:rsid w:val="002E5940"/>
    <w:rsid w:val="002E75E0"/>
    <w:rsid w:val="002F07AF"/>
    <w:rsid w:val="002F27A2"/>
    <w:rsid w:val="002F403C"/>
    <w:rsid w:val="002F4F2A"/>
    <w:rsid w:val="0030025B"/>
    <w:rsid w:val="0030054B"/>
    <w:rsid w:val="0030059B"/>
    <w:rsid w:val="00301189"/>
    <w:rsid w:val="00301E4A"/>
    <w:rsid w:val="00304DB7"/>
    <w:rsid w:val="00305320"/>
    <w:rsid w:val="003061CD"/>
    <w:rsid w:val="00306727"/>
    <w:rsid w:val="003110DA"/>
    <w:rsid w:val="00311547"/>
    <w:rsid w:val="00311E3C"/>
    <w:rsid w:val="003145FD"/>
    <w:rsid w:val="00314A7A"/>
    <w:rsid w:val="00315F32"/>
    <w:rsid w:val="003168B8"/>
    <w:rsid w:val="00317874"/>
    <w:rsid w:val="00317F23"/>
    <w:rsid w:val="003206FB"/>
    <w:rsid w:val="003227DC"/>
    <w:rsid w:val="0032299B"/>
    <w:rsid w:val="00322D64"/>
    <w:rsid w:val="00323E09"/>
    <w:rsid w:val="00324773"/>
    <w:rsid w:val="003248A3"/>
    <w:rsid w:val="003268F9"/>
    <w:rsid w:val="003303EF"/>
    <w:rsid w:val="0033091C"/>
    <w:rsid w:val="00333932"/>
    <w:rsid w:val="003346AB"/>
    <w:rsid w:val="00341DB9"/>
    <w:rsid w:val="00342838"/>
    <w:rsid w:val="0034360C"/>
    <w:rsid w:val="003436EF"/>
    <w:rsid w:val="0034391B"/>
    <w:rsid w:val="003440D1"/>
    <w:rsid w:val="003445E5"/>
    <w:rsid w:val="00345380"/>
    <w:rsid w:val="003462D6"/>
    <w:rsid w:val="003503F6"/>
    <w:rsid w:val="003518AA"/>
    <w:rsid w:val="00351BAB"/>
    <w:rsid w:val="00352165"/>
    <w:rsid w:val="00352264"/>
    <w:rsid w:val="00353182"/>
    <w:rsid w:val="003547C4"/>
    <w:rsid w:val="003565D9"/>
    <w:rsid w:val="00357782"/>
    <w:rsid w:val="00357A33"/>
    <w:rsid w:val="00357D85"/>
    <w:rsid w:val="003602E1"/>
    <w:rsid w:val="00360AA7"/>
    <w:rsid w:val="00361445"/>
    <w:rsid w:val="00363542"/>
    <w:rsid w:val="0036522D"/>
    <w:rsid w:val="003668B7"/>
    <w:rsid w:val="003678D5"/>
    <w:rsid w:val="0037026F"/>
    <w:rsid w:val="0037044F"/>
    <w:rsid w:val="0037085C"/>
    <w:rsid w:val="00371240"/>
    <w:rsid w:val="003712DB"/>
    <w:rsid w:val="00373578"/>
    <w:rsid w:val="00373EE3"/>
    <w:rsid w:val="00374731"/>
    <w:rsid w:val="00374F7B"/>
    <w:rsid w:val="00375ADC"/>
    <w:rsid w:val="00375BA2"/>
    <w:rsid w:val="00376E59"/>
    <w:rsid w:val="00377CF7"/>
    <w:rsid w:val="00377EC1"/>
    <w:rsid w:val="00380340"/>
    <w:rsid w:val="00382406"/>
    <w:rsid w:val="00383B4F"/>
    <w:rsid w:val="003919F9"/>
    <w:rsid w:val="003920CF"/>
    <w:rsid w:val="003926EE"/>
    <w:rsid w:val="003930C0"/>
    <w:rsid w:val="0039350C"/>
    <w:rsid w:val="00394A28"/>
    <w:rsid w:val="00394A59"/>
    <w:rsid w:val="00395BFE"/>
    <w:rsid w:val="003A235F"/>
    <w:rsid w:val="003A3287"/>
    <w:rsid w:val="003A3B23"/>
    <w:rsid w:val="003A542D"/>
    <w:rsid w:val="003A7B1E"/>
    <w:rsid w:val="003B23C2"/>
    <w:rsid w:val="003B2898"/>
    <w:rsid w:val="003B3326"/>
    <w:rsid w:val="003B45E1"/>
    <w:rsid w:val="003B4CC3"/>
    <w:rsid w:val="003B6701"/>
    <w:rsid w:val="003C13E0"/>
    <w:rsid w:val="003C2E24"/>
    <w:rsid w:val="003C38B5"/>
    <w:rsid w:val="003C5B5E"/>
    <w:rsid w:val="003C5D99"/>
    <w:rsid w:val="003C6B96"/>
    <w:rsid w:val="003C7CFB"/>
    <w:rsid w:val="003D1087"/>
    <w:rsid w:val="003D298E"/>
    <w:rsid w:val="003D446F"/>
    <w:rsid w:val="003D46D9"/>
    <w:rsid w:val="003D5AC8"/>
    <w:rsid w:val="003D6908"/>
    <w:rsid w:val="003D6D80"/>
    <w:rsid w:val="003E07F1"/>
    <w:rsid w:val="003E2F59"/>
    <w:rsid w:val="003E34FB"/>
    <w:rsid w:val="003E746B"/>
    <w:rsid w:val="003F0789"/>
    <w:rsid w:val="003F2184"/>
    <w:rsid w:val="003F43C7"/>
    <w:rsid w:val="003F4F40"/>
    <w:rsid w:val="003F674A"/>
    <w:rsid w:val="003F6CD7"/>
    <w:rsid w:val="00401882"/>
    <w:rsid w:val="0040263E"/>
    <w:rsid w:val="00403799"/>
    <w:rsid w:val="00404985"/>
    <w:rsid w:val="0040589A"/>
    <w:rsid w:val="00405FDF"/>
    <w:rsid w:val="00405FFA"/>
    <w:rsid w:val="00406830"/>
    <w:rsid w:val="004100C8"/>
    <w:rsid w:val="00411DBD"/>
    <w:rsid w:val="00412ACE"/>
    <w:rsid w:val="004145D2"/>
    <w:rsid w:val="00414D7E"/>
    <w:rsid w:val="004150A0"/>
    <w:rsid w:val="00415F34"/>
    <w:rsid w:val="0041742B"/>
    <w:rsid w:val="00420DF7"/>
    <w:rsid w:val="0042225C"/>
    <w:rsid w:val="004232D5"/>
    <w:rsid w:val="00425128"/>
    <w:rsid w:val="004264AA"/>
    <w:rsid w:val="00426CB4"/>
    <w:rsid w:val="004278EF"/>
    <w:rsid w:val="00427948"/>
    <w:rsid w:val="00431215"/>
    <w:rsid w:val="00431249"/>
    <w:rsid w:val="00434C19"/>
    <w:rsid w:val="00436BDA"/>
    <w:rsid w:val="00436CF3"/>
    <w:rsid w:val="00436E77"/>
    <w:rsid w:val="00440F77"/>
    <w:rsid w:val="00442747"/>
    <w:rsid w:val="00442821"/>
    <w:rsid w:val="0044559B"/>
    <w:rsid w:val="004459B2"/>
    <w:rsid w:val="00446165"/>
    <w:rsid w:val="00446F6B"/>
    <w:rsid w:val="00450810"/>
    <w:rsid w:val="00455614"/>
    <w:rsid w:val="00455AAD"/>
    <w:rsid w:val="00456F59"/>
    <w:rsid w:val="00457AE5"/>
    <w:rsid w:val="004609C4"/>
    <w:rsid w:val="00460F20"/>
    <w:rsid w:val="00461A9D"/>
    <w:rsid w:val="00462C59"/>
    <w:rsid w:val="00463B6B"/>
    <w:rsid w:val="004655A4"/>
    <w:rsid w:val="00465DA9"/>
    <w:rsid w:val="00470737"/>
    <w:rsid w:val="00473BED"/>
    <w:rsid w:val="00477144"/>
    <w:rsid w:val="00477A2E"/>
    <w:rsid w:val="00480AB5"/>
    <w:rsid w:val="00480B03"/>
    <w:rsid w:val="00482145"/>
    <w:rsid w:val="00482E5D"/>
    <w:rsid w:val="00483FD3"/>
    <w:rsid w:val="00484635"/>
    <w:rsid w:val="0048490A"/>
    <w:rsid w:val="004872D4"/>
    <w:rsid w:val="00491380"/>
    <w:rsid w:val="00491EBF"/>
    <w:rsid w:val="004927B0"/>
    <w:rsid w:val="00492840"/>
    <w:rsid w:val="00494132"/>
    <w:rsid w:val="0049459F"/>
    <w:rsid w:val="00494B11"/>
    <w:rsid w:val="00495F86"/>
    <w:rsid w:val="004967F9"/>
    <w:rsid w:val="004A3066"/>
    <w:rsid w:val="004A38DD"/>
    <w:rsid w:val="004A428B"/>
    <w:rsid w:val="004A4B94"/>
    <w:rsid w:val="004B138E"/>
    <w:rsid w:val="004B15F9"/>
    <w:rsid w:val="004B191E"/>
    <w:rsid w:val="004B43AE"/>
    <w:rsid w:val="004B6B73"/>
    <w:rsid w:val="004C172B"/>
    <w:rsid w:val="004C30ED"/>
    <w:rsid w:val="004C4366"/>
    <w:rsid w:val="004C59B9"/>
    <w:rsid w:val="004C61A5"/>
    <w:rsid w:val="004C7951"/>
    <w:rsid w:val="004C7CA6"/>
    <w:rsid w:val="004C7D09"/>
    <w:rsid w:val="004D15F7"/>
    <w:rsid w:val="004D5675"/>
    <w:rsid w:val="004D590C"/>
    <w:rsid w:val="004D59F4"/>
    <w:rsid w:val="004D5ADD"/>
    <w:rsid w:val="004E1801"/>
    <w:rsid w:val="004E4B8E"/>
    <w:rsid w:val="004F18CC"/>
    <w:rsid w:val="004F2A72"/>
    <w:rsid w:val="004F614C"/>
    <w:rsid w:val="0050054B"/>
    <w:rsid w:val="00501A39"/>
    <w:rsid w:val="00502004"/>
    <w:rsid w:val="00502655"/>
    <w:rsid w:val="0050270D"/>
    <w:rsid w:val="00503CAA"/>
    <w:rsid w:val="00504513"/>
    <w:rsid w:val="00505912"/>
    <w:rsid w:val="00505F61"/>
    <w:rsid w:val="005060B9"/>
    <w:rsid w:val="00506860"/>
    <w:rsid w:val="00506B76"/>
    <w:rsid w:val="00510A37"/>
    <w:rsid w:val="0051306E"/>
    <w:rsid w:val="00513DFF"/>
    <w:rsid w:val="00513F7D"/>
    <w:rsid w:val="00517795"/>
    <w:rsid w:val="00521E17"/>
    <w:rsid w:val="00522004"/>
    <w:rsid w:val="00523639"/>
    <w:rsid w:val="005260FD"/>
    <w:rsid w:val="005301FE"/>
    <w:rsid w:val="005317D8"/>
    <w:rsid w:val="00531FE5"/>
    <w:rsid w:val="00537755"/>
    <w:rsid w:val="005402FA"/>
    <w:rsid w:val="0054095F"/>
    <w:rsid w:val="00541E1A"/>
    <w:rsid w:val="00542720"/>
    <w:rsid w:val="005428A7"/>
    <w:rsid w:val="00543BFB"/>
    <w:rsid w:val="00543F54"/>
    <w:rsid w:val="0054572D"/>
    <w:rsid w:val="00546C8A"/>
    <w:rsid w:val="00551075"/>
    <w:rsid w:val="00552A51"/>
    <w:rsid w:val="00553712"/>
    <w:rsid w:val="005537E9"/>
    <w:rsid w:val="00554DA3"/>
    <w:rsid w:val="0055575F"/>
    <w:rsid w:val="0056218C"/>
    <w:rsid w:val="0056354F"/>
    <w:rsid w:val="005635B9"/>
    <w:rsid w:val="00563E71"/>
    <w:rsid w:val="00567BE6"/>
    <w:rsid w:val="005729BD"/>
    <w:rsid w:val="00573437"/>
    <w:rsid w:val="00573BE3"/>
    <w:rsid w:val="005748D6"/>
    <w:rsid w:val="00574F20"/>
    <w:rsid w:val="00580154"/>
    <w:rsid w:val="00581A1D"/>
    <w:rsid w:val="00581D40"/>
    <w:rsid w:val="00583BEA"/>
    <w:rsid w:val="00583C25"/>
    <w:rsid w:val="00583C39"/>
    <w:rsid w:val="0058634C"/>
    <w:rsid w:val="00586A90"/>
    <w:rsid w:val="00586E4C"/>
    <w:rsid w:val="00587F28"/>
    <w:rsid w:val="005909CF"/>
    <w:rsid w:val="00591E11"/>
    <w:rsid w:val="00591E57"/>
    <w:rsid w:val="00591E71"/>
    <w:rsid w:val="00592C55"/>
    <w:rsid w:val="0059464A"/>
    <w:rsid w:val="0059529B"/>
    <w:rsid w:val="00597A6D"/>
    <w:rsid w:val="00597E53"/>
    <w:rsid w:val="005A0916"/>
    <w:rsid w:val="005A0C1F"/>
    <w:rsid w:val="005A0D41"/>
    <w:rsid w:val="005A3CCE"/>
    <w:rsid w:val="005B209D"/>
    <w:rsid w:val="005B7CAA"/>
    <w:rsid w:val="005C0822"/>
    <w:rsid w:val="005C1476"/>
    <w:rsid w:val="005C1D8A"/>
    <w:rsid w:val="005C3348"/>
    <w:rsid w:val="005C4189"/>
    <w:rsid w:val="005C54F3"/>
    <w:rsid w:val="005C60F8"/>
    <w:rsid w:val="005C6B15"/>
    <w:rsid w:val="005C6EE3"/>
    <w:rsid w:val="005C7BFE"/>
    <w:rsid w:val="005C7E47"/>
    <w:rsid w:val="005D3164"/>
    <w:rsid w:val="005D329F"/>
    <w:rsid w:val="005D3439"/>
    <w:rsid w:val="005D4595"/>
    <w:rsid w:val="005D5F8A"/>
    <w:rsid w:val="005E2BBE"/>
    <w:rsid w:val="005E4A0B"/>
    <w:rsid w:val="005E57A2"/>
    <w:rsid w:val="005F4645"/>
    <w:rsid w:val="005F476E"/>
    <w:rsid w:val="005F48ED"/>
    <w:rsid w:val="005F55A7"/>
    <w:rsid w:val="005F7E59"/>
    <w:rsid w:val="00603A9B"/>
    <w:rsid w:val="00603C1B"/>
    <w:rsid w:val="00604D59"/>
    <w:rsid w:val="0060590D"/>
    <w:rsid w:val="00606E78"/>
    <w:rsid w:val="00607BF1"/>
    <w:rsid w:val="006114E6"/>
    <w:rsid w:val="00614813"/>
    <w:rsid w:val="00615D56"/>
    <w:rsid w:val="00616B56"/>
    <w:rsid w:val="00617E34"/>
    <w:rsid w:val="00624CEC"/>
    <w:rsid w:val="006278D7"/>
    <w:rsid w:val="00630D4D"/>
    <w:rsid w:val="00630D87"/>
    <w:rsid w:val="00632A74"/>
    <w:rsid w:val="00636FAE"/>
    <w:rsid w:val="00642987"/>
    <w:rsid w:val="00645C86"/>
    <w:rsid w:val="0065107E"/>
    <w:rsid w:val="00654D42"/>
    <w:rsid w:val="006557AE"/>
    <w:rsid w:val="00655BF5"/>
    <w:rsid w:val="00656A34"/>
    <w:rsid w:val="00656C12"/>
    <w:rsid w:val="00657FFA"/>
    <w:rsid w:val="00660953"/>
    <w:rsid w:val="006612D4"/>
    <w:rsid w:val="006615A3"/>
    <w:rsid w:val="00662EF4"/>
    <w:rsid w:val="00663F32"/>
    <w:rsid w:val="00666E02"/>
    <w:rsid w:val="00666F7D"/>
    <w:rsid w:val="0067707D"/>
    <w:rsid w:val="00677205"/>
    <w:rsid w:val="006777B1"/>
    <w:rsid w:val="00677C5A"/>
    <w:rsid w:val="0068113C"/>
    <w:rsid w:val="00681E3B"/>
    <w:rsid w:val="0068263D"/>
    <w:rsid w:val="0068334C"/>
    <w:rsid w:val="00683D4C"/>
    <w:rsid w:val="00684275"/>
    <w:rsid w:val="006859B6"/>
    <w:rsid w:val="00690FDC"/>
    <w:rsid w:val="00691FA7"/>
    <w:rsid w:val="00693E5C"/>
    <w:rsid w:val="0069458D"/>
    <w:rsid w:val="0069538F"/>
    <w:rsid w:val="00697140"/>
    <w:rsid w:val="0069777C"/>
    <w:rsid w:val="006A06A6"/>
    <w:rsid w:val="006A1CDA"/>
    <w:rsid w:val="006A1DEA"/>
    <w:rsid w:val="006A267C"/>
    <w:rsid w:val="006A4655"/>
    <w:rsid w:val="006A52A8"/>
    <w:rsid w:val="006A5FB2"/>
    <w:rsid w:val="006A6AAC"/>
    <w:rsid w:val="006A7525"/>
    <w:rsid w:val="006A7758"/>
    <w:rsid w:val="006A77F0"/>
    <w:rsid w:val="006B1C1B"/>
    <w:rsid w:val="006B1D2F"/>
    <w:rsid w:val="006B2B3C"/>
    <w:rsid w:val="006B461B"/>
    <w:rsid w:val="006B50BC"/>
    <w:rsid w:val="006B58B4"/>
    <w:rsid w:val="006B6591"/>
    <w:rsid w:val="006B6F52"/>
    <w:rsid w:val="006B75F9"/>
    <w:rsid w:val="006B770A"/>
    <w:rsid w:val="006C0D40"/>
    <w:rsid w:val="006C16BF"/>
    <w:rsid w:val="006C1C7B"/>
    <w:rsid w:val="006C1D81"/>
    <w:rsid w:val="006C5ABF"/>
    <w:rsid w:val="006C7038"/>
    <w:rsid w:val="006D0EDD"/>
    <w:rsid w:val="006D2FB1"/>
    <w:rsid w:val="006D3060"/>
    <w:rsid w:val="006D5C4E"/>
    <w:rsid w:val="006E03C6"/>
    <w:rsid w:val="006E23F9"/>
    <w:rsid w:val="006E55FE"/>
    <w:rsid w:val="006E73EF"/>
    <w:rsid w:val="006E79AF"/>
    <w:rsid w:val="006F0930"/>
    <w:rsid w:val="006F25D6"/>
    <w:rsid w:val="006F2E06"/>
    <w:rsid w:val="006F65E7"/>
    <w:rsid w:val="006F6DA1"/>
    <w:rsid w:val="00702C90"/>
    <w:rsid w:val="007031E4"/>
    <w:rsid w:val="00704891"/>
    <w:rsid w:val="0070721D"/>
    <w:rsid w:val="007079C9"/>
    <w:rsid w:val="00707C8C"/>
    <w:rsid w:val="00710BB3"/>
    <w:rsid w:val="00710EE3"/>
    <w:rsid w:val="007110EE"/>
    <w:rsid w:val="007118B1"/>
    <w:rsid w:val="00711CA4"/>
    <w:rsid w:val="00711D6F"/>
    <w:rsid w:val="00712CDD"/>
    <w:rsid w:val="00713E7B"/>
    <w:rsid w:val="00714358"/>
    <w:rsid w:val="00714D4D"/>
    <w:rsid w:val="00715138"/>
    <w:rsid w:val="0071528A"/>
    <w:rsid w:val="00720713"/>
    <w:rsid w:val="00723CA9"/>
    <w:rsid w:val="007266D3"/>
    <w:rsid w:val="00732029"/>
    <w:rsid w:val="00733DD7"/>
    <w:rsid w:val="0073720C"/>
    <w:rsid w:val="00737416"/>
    <w:rsid w:val="00740B03"/>
    <w:rsid w:val="00742388"/>
    <w:rsid w:val="00745818"/>
    <w:rsid w:val="00745FC6"/>
    <w:rsid w:val="00746320"/>
    <w:rsid w:val="0074740A"/>
    <w:rsid w:val="00750B65"/>
    <w:rsid w:val="00751F02"/>
    <w:rsid w:val="007529E7"/>
    <w:rsid w:val="00753E7F"/>
    <w:rsid w:val="00756EE7"/>
    <w:rsid w:val="0075792E"/>
    <w:rsid w:val="007604BB"/>
    <w:rsid w:val="00762118"/>
    <w:rsid w:val="00764B7F"/>
    <w:rsid w:val="00770408"/>
    <w:rsid w:val="007712FA"/>
    <w:rsid w:val="00772909"/>
    <w:rsid w:val="007741AB"/>
    <w:rsid w:val="00775C52"/>
    <w:rsid w:val="00777901"/>
    <w:rsid w:val="007801F8"/>
    <w:rsid w:val="00784190"/>
    <w:rsid w:val="00785232"/>
    <w:rsid w:val="007867C2"/>
    <w:rsid w:val="0079701E"/>
    <w:rsid w:val="007A048D"/>
    <w:rsid w:val="007A0FF4"/>
    <w:rsid w:val="007A21EB"/>
    <w:rsid w:val="007A54C2"/>
    <w:rsid w:val="007A61E1"/>
    <w:rsid w:val="007A63EB"/>
    <w:rsid w:val="007B157E"/>
    <w:rsid w:val="007B1990"/>
    <w:rsid w:val="007B1A93"/>
    <w:rsid w:val="007B6125"/>
    <w:rsid w:val="007B6192"/>
    <w:rsid w:val="007C36C9"/>
    <w:rsid w:val="007C36E8"/>
    <w:rsid w:val="007D1814"/>
    <w:rsid w:val="007D223D"/>
    <w:rsid w:val="007D29A0"/>
    <w:rsid w:val="007D3DFA"/>
    <w:rsid w:val="007D6401"/>
    <w:rsid w:val="007E01E4"/>
    <w:rsid w:val="007E0379"/>
    <w:rsid w:val="007E095E"/>
    <w:rsid w:val="007E1569"/>
    <w:rsid w:val="007E21B3"/>
    <w:rsid w:val="007E3043"/>
    <w:rsid w:val="007E3CB1"/>
    <w:rsid w:val="007E4058"/>
    <w:rsid w:val="007E4212"/>
    <w:rsid w:val="007E7952"/>
    <w:rsid w:val="007E7A12"/>
    <w:rsid w:val="007F3F8F"/>
    <w:rsid w:val="007F4974"/>
    <w:rsid w:val="007F6651"/>
    <w:rsid w:val="007F7107"/>
    <w:rsid w:val="00800D4C"/>
    <w:rsid w:val="00802417"/>
    <w:rsid w:val="008100DF"/>
    <w:rsid w:val="0081030F"/>
    <w:rsid w:val="00810C5E"/>
    <w:rsid w:val="00811757"/>
    <w:rsid w:val="008120CD"/>
    <w:rsid w:val="00812F4A"/>
    <w:rsid w:val="00812FDE"/>
    <w:rsid w:val="00813BAE"/>
    <w:rsid w:val="00813C46"/>
    <w:rsid w:val="00817C3C"/>
    <w:rsid w:val="00817CA8"/>
    <w:rsid w:val="0082087D"/>
    <w:rsid w:val="0082171B"/>
    <w:rsid w:val="00822D66"/>
    <w:rsid w:val="00822F90"/>
    <w:rsid w:val="008314BA"/>
    <w:rsid w:val="00832276"/>
    <w:rsid w:val="008339D9"/>
    <w:rsid w:val="008343DF"/>
    <w:rsid w:val="00835771"/>
    <w:rsid w:val="00835FB5"/>
    <w:rsid w:val="008367AE"/>
    <w:rsid w:val="00836EA1"/>
    <w:rsid w:val="00840E57"/>
    <w:rsid w:val="00841B1C"/>
    <w:rsid w:val="00841D26"/>
    <w:rsid w:val="008422AD"/>
    <w:rsid w:val="00842933"/>
    <w:rsid w:val="00843F01"/>
    <w:rsid w:val="00845AE1"/>
    <w:rsid w:val="00845C0A"/>
    <w:rsid w:val="00846DDA"/>
    <w:rsid w:val="008536CF"/>
    <w:rsid w:val="00853E95"/>
    <w:rsid w:val="00854069"/>
    <w:rsid w:val="00856CAB"/>
    <w:rsid w:val="008577F9"/>
    <w:rsid w:val="0086082C"/>
    <w:rsid w:val="00860BF4"/>
    <w:rsid w:val="00861C84"/>
    <w:rsid w:val="00862DB1"/>
    <w:rsid w:val="00863139"/>
    <w:rsid w:val="00864ADC"/>
    <w:rsid w:val="0087084A"/>
    <w:rsid w:val="00875B4A"/>
    <w:rsid w:val="00875E1C"/>
    <w:rsid w:val="00876B8C"/>
    <w:rsid w:val="00877F6E"/>
    <w:rsid w:val="00880153"/>
    <w:rsid w:val="00880F97"/>
    <w:rsid w:val="0088133A"/>
    <w:rsid w:val="008818EF"/>
    <w:rsid w:val="008834F1"/>
    <w:rsid w:val="0088457F"/>
    <w:rsid w:val="00887D15"/>
    <w:rsid w:val="00887FF9"/>
    <w:rsid w:val="0089285E"/>
    <w:rsid w:val="00893B0A"/>
    <w:rsid w:val="0089436C"/>
    <w:rsid w:val="008945D4"/>
    <w:rsid w:val="00894601"/>
    <w:rsid w:val="00896C07"/>
    <w:rsid w:val="008A1F28"/>
    <w:rsid w:val="008A57F3"/>
    <w:rsid w:val="008C0C1C"/>
    <w:rsid w:val="008C1374"/>
    <w:rsid w:val="008C17E8"/>
    <w:rsid w:val="008C190A"/>
    <w:rsid w:val="008C1FB2"/>
    <w:rsid w:val="008C2AD5"/>
    <w:rsid w:val="008C4DE8"/>
    <w:rsid w:val="008C527E"/>
    <w:rsid w:val="008D08AC"/>
    <w:rsid w:val="008D15E7"/>
    <w:rsid w:val="008D365C"/>
    <w:rsid w:val="008D38F6"/>
    <w:rsid w:val="008D6670"/>
    <w:rsid w:val="008D6BE1"/>
    <w:rsid w:val="008D7622"/>
    <w:rsid w:val="008D7E5C"/>
    <w:rsid w:val="008E0780"/>
    <w:rsid w:val="008E3317"/>
    <w:rsid w:val="008E6FB1"/>
    <w:rsid w:val="008E77F6"/>
    <w:rsid w:val="008F40DD"/>
    <w:rsid w:val="008F68F3"/>
    <w:rsid w:val="008F7350"/>
    <w:rsid w:val="008F7A61"/>
    <w:rsid w:val="008F7C70"/>
    <w:rsid w:val="008F7E43"/>
    <w:rsid w:val="009005AB"/>
    <w:rsid w:val="009005EA"/>
    <w:rsid w:val="009021A6"/>
    <w:rsid w:val="009030BF"/>
    <w:rsid w:val="009031BA"/>
    <w:rsid w:val="00903B52"/>
    <w:rsid w:val="00905605"/>
    <w:rsid w:val="00905785"/>
    <w:rsid w:val="00907EB0"/>
    <w:rsid w:val="0091032F"/>
    <w:rsid w:val="00910338"/>
    <w:rsid w:val="00911817"/>
    <w:rsid w:val="009121EB"/>
    <w:rsid w:val="009124B7"/>
    <w:rsid w:val="00914368"/>
    <w:rsid w:val="009171FF"/>
    <w:rsid w:val="00920D22"/>
    <w:rsid w:val="0092232C"/>
    <w:rsid w:val="009244D5"/>
    <w:rsid w:val="00924A4B"/>
    <w:rsid w:val="00925F71"/>
    <w:rsid w:val="00926E2C"/>
    <w:rsid w:val="009309E2"/>
    <w:rsid w:val="00931076"/>
    <w:rsid w:val="00931EF9"/>
    <w:rsid w:val="009340A8"/>
    <w:rsid w:val="009345D9"/>
    <w:rsid w:val="00934B15"/>
    <w:rsid w:val="00937BFF"/>
    <w:rsid w:val="00940C87"/>
    <w:rsid w:val="00942B62"/>
    <w:rsid w:val="00944BB1"/>
    <w:rsid w:val="00950470"/>
    <w:rsid w:val="00951A3B"/>
    <w:rsid w:val="0095323B"/>
    <w:rsid w:val="00954D94"/>
    <w:rsid w:val="009555E5"/>
    <w:rsid w:val="00955D2B"/>
    <w:rsid w:val="0095665D"/>
    <w:rsid w:val="00956A0C"/>
    <w:rsid w:val="00956BD9"/>
    <w:rsid w:val="00957FF7"/>
    <w:rsid w:val="00962489"/>
    <w:rsid w:val="00962658"/>
    <w:rsid w:val="00963359"/>
    <w:rsid w:val="00963461"/>
    <w:rsid w:val="0096497B"/>
    <w:rsid w:val="00965E80"/>
    <w:rsid w:val="0096600D"/>
    <w:rsid w:val="00966841"/>
    <w:rsid w:val="009675EE"/>
    <w:rsid w:val="00967CD3"/>
    <w:rsid w:val="0097275A"/>
    <w:rsid w:val="00972B61"/>
    <w:rsid w:val="00972D8B"/>
    <w:rsid w:val="00973814"/>
    <w:rsid w:val="00974421"/>
    <w:rsid w:val="00976A45"/>
    <w:rsid w:val="009807C6"/>
    <w:rsid w:val="00981E59"/>
    <w:rsid w:val="009827DA"/>
    <w:rsid w:val="009872BC"/>
    <w:rsid w:val="00990C2C"/>
    <w:rsid w:val="0099116A"/>
    <w:rsid w:val="009914AC"/>
    <w:rsid w:val="00992050"/>
    <w:rsid w:val="009937CD"/>
    <w:rsid w:val="00994425"/>
    <w:rsid w:val="00996071"/>
    <w:rsid w:val="009961A8"/>
    <w:rsid w:val="009967A7"/>
    <w:rsid w:val="009967BB"/>
    <w:rsid w:val="009971E4"/>
    <w:rsid w:val="009A0C5C"/>
    <w:rsid w:val="009A5171"/>
    <w:rsid w:val="009A59EB"/>
    <w:rsid w:val="009B0426"/>
    <w:rsid w:val="009B3000"/>
    <w:rsid w:val="009B302B"/>
    <w:rsid w:val="009B3FC3"/>
    <w:rsid w:val="009B55CE"/>
    <w:rsid w:val="009B6347"/>
    <w:rsid w:val="009B7674"/>
    <w:rsid w:val="009B772F"/>
    <w:rsid w:val="009B7A40"/>
    <w:rsid w:val="009C5583"/>
    <w:rsid w:val="009D229B"/>
    <w:rsid w:val="009D5B6D"/>
    <w:rsid w:val="009D61B6"/>
    <w:rsid w:val="009D6BE7"/>
    <w:rsid w:val="009E0ACE"/>
    <w:rsid w:val="009E0D8E"/>
    <w:rsid w:val="009E1844"/>
    <w:rsid w:val="009E2E5C"/>
    <w:rsid w:val="009F08B1"/>
    <w:rsid w:val="009F0D1B"/>
    <w:rsid w:val="009F0E23"/>
    <w:rsid w:val="009F24E5"/>
    <w:rsid w:val="009F37FE"/>
    <w:rsid w:val="009F43B0"/>
    <w:rsid w:val="009F44AC"/>
    <w:rsid w:val="009F53DD"/>
    <w:rsid w:val="009F5BBD"/>
    <w:rsid w:val="009F696D"/>
    <w:rsid w:val="009F6BC6"/>
    <w:rsid w:val="009F74EF"/>
    <w:rsid w:val="009F7E8D"/>
    <w:rsid w:val="00A00D3B"/>
    <w:rsid w:val="00A02826"/>
    <w:rsid w:val="00A04808"/>
    <w:rsid w:val="00A04DCC"/>
    <w:rsid w:val="00A0696F"/>
    <w:rsid w:val="00A069B9"/>
    <w:rsid w:val="00A072A3"/>
    <w:rsid w:val="00A11126"/>
    <w:rsid w:val="00A1162D"/>
    <w:rsid w:val="00A11AA7"/>
    <w:rsid w:val="00A12792"/>
    <w:rsid w:val="00A136CA"/>
    <w:rsid w:val="00A137AC"/>
    <w:rsid w:val="00A145FA"/>
    <w:rsid w:val="00A15D5A"/>
    <w:rsid w:val="00A17328"/>
    <w:rsid w:val="00A17BB4"/>
    <w:rsid w:val="00A23A20"/>
    <w:rsid w:val="00A24443"/>
    <w:rsid w:val="00A268B9"/>
    <w:rsid w:val="00A26D4D"/>
    <w:rsid w:val="00A2703A"/>
    <w:rsid w:val="00A27C83"/>
    <w:rsid w:val="00A32AD5"/>
    <w:rsid w:val="00A33418"/>
    <w:rsid w:val="00A33DFF"/>
    <w:rsid w:val="00A35115"/>
    <w:rsid w:val="00A3511D"/>
    <w:rsid w:val="00A3626C"/>
    <w:rsid w:val="00A36D9A"/>
    <w:rsid w:val="00A37225"/>
    <w:rsid w:val="00A41061"/>
    <w:rsid w:val="00A44CBF"/>
    <w:rsid w:val="00A451DC"/>
    <w:rsid w:val="00A475A6"/>
    <w:rsid w:val="00A51CB3"/>
    <w:rsid w:val="00A5420C"/>
    <w:rsid w:val="00A54270"/>
    <w:rsid w:val="00A553F6"/>
    <w:rsid w:val="00A554AB"/>
    <w:rsid w:val="00A5558B"/>
    <w:rsid w:val="00A56CCC"/>
    <w:rsid w:val="00A57062"/>
    <w:rsid w:val="00A61974"/>
    <w:rsid w:val="00A62648"/>
    <w:rsid w:val="00A63049"/>
    <w:rsid w:val="00A631F4"/>
    <w:rsid w:val="00A632B6"/>
    <w:rsid w:val="00A67781"/>
    <w:rsid w:val="00A67C26"/>
    <w:rsid w:val="00A72EAA"/>
    <w:rsid w:val="00A73E45"/>
    <w:rsid w:val="00A761F9"/>
    <w:rsid w:val="00A77C1E"/>
    <w:rsid w:val="00A82D78"/>
    <w:rsid w:val="00A8487C"/>
    <w:rsid w:val="00A8742B"/>
    <w:rsid w:val="00A87D4C"/>
    <w:rsid w:val="00A9020C"/>
    <w:rsid w:val="00A92B53"/>
    <w:rsid w:val="00A94FA6"/>
    <w:rsid w:val="00A95746"/>
    <w:rsid w:val="00A964E7"/>
    <w:rsid w:val="00A97309"/>
    <w:rsid w:val="00A97C30"/>
    <w:rsid w:val="00AA08E4"/>
    <w:rsid w:val="00AA0B89"/>
    <w:rsid w:val="00AA3EA4"/>
    <w:rsid w:val="00AA49A0"/>
    <w:rsid w:val="00AA5E04"/>
    <w:rsid w:val="00AA5F98"/>
    <w:rsid w:val="00AA6710"/>
    <w:rsid w:val="00AA67A6"/>
    <w:rsid w:val="00AB0681"/>
    <w:rsid w:val="00AB195F"/>
    <w:rsid w:val="00AB1DB1"/>
    <w:rsid w:val="00AB2C7D"/>
    <w:rsid w:val="00AB4851"/>
    <w:rsid w:val="00AB63F1"/>
    <w:rsid w:val="00AB6BAF"/>
    <w:rsid w:val="00AB7DBB"/>
    <w:rsid w:val="00AC3A15"/>
    <w:rsid w:val="00AC40F3"/>
    <w:rsid w:val="00AC4AD7"/>
    <w:rsid w:val="00AC717F"/>
    <w:rsid w:val="00AD0A57"/>
    <w:rsid w:val="00AD123E"/>
    <w:rsid w:val="00AD18D4"/>
    <w:rsid w:val="00AD233E"/>
    <w:rsid w:val="00AD24A4"/>
    <w:rsid w:val="00AD5161"/>
    <w:rsid w:val="00AD520B"/>
    <w:rsid w:val="00AD5CC0"/>
    <w:rsid w:val="00AD61A1"/>
    <w:rsid w:val="00AD672E"/>
    <w:rsid w:val="00AD7073"/>
    <w:rsid w:val="00AE05D8"/>
    <w:rsid w:val="00AE1D03"/>
    <w:rsid w:val="00AE2394"/>
    <w:rsid w:val="00AE3BCC"/>
    <w:rsid w:val="00AE4E76"/>
    <w:rsid w:val="00AE5ABC"/>
    <w:rsid w:val="00AE6D08"/>
    <w:rsid w:val="00AF00D4"/>
    <w:rsid w:val="00AF1363"/>
    <w:rsid w:val="00AF40B2"/>
    <w:rsid w:val="00AF62F6"/>
    <w:rsid w:val="00AF643B"/>
    <w:rsid w:val="00AF69E2"/>
    <w:rsid w:val="00B00991"/>
    <w:rsid w:val="00B00CA3"/>
    <w:rsid w:val="00B017C5"/>
    <w:rsid w:val="00B07953"/>
    <w:rsid w:val="00B10767"/>
    <w:rsid w:val="00B110BF"/>
    <w:rsid w:val="00B16583"/>
    <w:rsid w:val="00B1660C"/>
    <w:rsid w:val="00B24590"/>
    <w:rsid w:val="00B24879"/>
    <w:rsid w:val="00B2532A"/>
    <w:rsid w:val="00B26809"/>
    <w:rsid w:val="00B27F8A"/>
    <w:rsid w:val="00B30D29"/>
    <w:rsid w:val="00B3427C"/>
    <w:rsid w:val="00B34815"/>
    <w:rsid w:val="00B36734"/>
    <w:rsid w:val="00B36B63"/>
    <w:rsid w:val="00B40635"/>
    <w:rsid w:val="00B411BA"/>
    <w:rsid w:val="00B425C3"/>
    <w:rsid w:val="00B434FF"/>
    <w:rsid w:val="00B4373D"/>
    <w:rsid w:val="00B440AD"/>
    <w:rsid w:val="00B44102"/>
    <w:rsid w:val="00B4445B"/>
    <w:rsid w:val="00B44981"/>
    <w:rsid w:val="00B45F95"/>
    <w:rsid w:val="00B46BCC"/>
    <w:rsid w:val="00B479BB"/>
    <w:rsid w:val="00B505FC"/>
    <w:rsid w:val="00B51A99"/>
    <w:rsid w:val="00B527F3"/>
    <w:rsid w:val="00B53E7E"/>
    <w:rsid w:val="00B5768F"/>
    <w:rsid w:val="00B57B58"/>
    <w:rsid w:val="00B608F1"/>
    <w:rsid w:val="00B61A29"/>
    <w:rsid w:val="00B63416"/>
    <w:rsid w:val="00B6342E"/>
    <w:rsid w:val="00B644F5"/>
    <w:rsid w:val="00B64912"/>
    <w:rsid w:val="00B65262"/>
    <w:rsid w:val="00B6762A"/>
    <w:rsid w:val="00B67B55"/>
    <w:rsid w:val="00B7056F"/>
    <w:rsid w:val="00B7113F"/>
    <w:rsid w:val="00B74C41"/>
    <w:rsid w:val="00B75E27"/>
    <w:rsid w:val="00B82FE5"/>
    <w:rsid w:val="00B83A9B"/>
    <w:rsid w:val="00B83E7F"/>
    <w:rsid w:val="00B84D04"/>
    <w:rsid w:val="00B85159"/>
    <w:rsid w:val="00B85447"/>
    <w:rsid w:val="00B85BEA"/>
    <w:rsid w:val="00B87CB6"/>
    <w:rsid w:val="00B91DFC"/>
    <w:rsid w:val="00B92360"/>
    <w:rsid w:val="00B946FC"/>
    <w:rsid w:val="00BA2BCF"/>
    <w:rsid w:val="00BA35EA"/>
    <w:rsid w:val="00BA4CBA"/>
    <w:rsid w:val="00BA56D6"/>
    <w:rsid w:val="00BA5B14"/>
    <w:rsid w:val="00BA6A11"/>
    <w:rsid w:val="00BA73B6"/>
    <w:rsid w:val="00BA7441"/>
    <w:rsid w:val="00BA7815"/>
    <w:rsid w:val="00BA7E27"/>
    <w:rsid w:val="00BB2603"/>
    <w:rsid w:val="00BB41CD"/>
    <w:rsid w:val="00BB4FCD"/>
    <w:rsid w:val="00BB5205"/>
    <w:rsid w:val="00BB5CB3"/>
    <w:rsid w:val="00BB6675"/>
    <w:rsid w:val="00BC04E9"/>
    <w:rsid w:val="00BC0E1D"/>
    <w:rsid w:val="00BC1617"/>
    <w:rsid w:val="00BC6D43"/>
    <w:rsid w:val="00BC7415"/>
    <w:rsid w:val="00BD094C"/>
    <w:rsid w:val="00BD0E59"/>
    <w:rsid w:val="00BD13EA"/>
    <w:rsid w:val="00BD17DA"/>
    <w:rsid w:val="00BD1B4D"/>
    <w:rsid w:val="00BD2820"/>
    <w:rsid w:val="00BD3BF0"/>
    <w:rsid w:val="00BD56AA"/>
    <w:rsid w:val="00BD5967"/>
    <w:rsid w:val="00BE3808"/>
    <w:rsid w:val="00BE3C64"/>
    <w:rsid w:val="00BE3D89"/>
    <w:rsid w:val="00BE4C9D"/>
    <w:rsid w:val="00BE55BD"/>
    <w:rsid w:val="00BE653E"/>
    <w:rsid w:val="00BE7578"/>
    <w:rsid w:val="00BF0365"/>
    <w:rsid w:val="00BF1EA5"/>
    <w:rsid w:val="00BF49D2"/>
    <w:rsid w:val="00C00C4E"/>
    <w:rsid w:val="00C03B88"/>
    <w:rsid w:val="00C04AF5"/>
    <w:rsid w:val="00C05582"/>
    <w:rsid w:val="00C062E9"/>
    <w:rsid w:val="00C069AA"/>
    <w:rsid w:val="00C07B64"/>
    <w:rsid w:val="00C10EE0"/>
    <w:rsid w:val="00C11E45"/>
    <w:rsid w:val="00C13721"/>
    <w:rsid w:val="00C14FE4"/>
    <w:rsid w:val="00C1502A"/>
    <w:rsid w:val="00C15B46"/>
    <w:rsid w:val="00C22DC2"/>
    <w:rsid w:val="00C22F0B"/>
    <w:rsid w:val="00C243BD"/>
    <w:rsid w:val="00C3066D"/>
    <w:rsid w:val="00C313A2"/>
    <w:rsid w:val="00C31DF7"/>
    <w:rsid w:val="00C335C4"/>
    <w:rsid w:val="00C33CE2"/>
    <w:rsid w:val="00C357D4"/>
    <w:rsid w:val="00C35CE9"/>
    <w:rsid w:val="00C40D87"/>
    <w:rsid w:val="00C420C7"/>
    <w:rsid w:val="00C46904"/>
    <w:rsid w:val="00C477AB"/>
    <w:rsid w:val="00C52416"/>
    <w:rsid w:val="00C543F4"/>
    <w:rsid w:val="00C555F0"/>
    <w:rsid w:val="00C6291C"/>
    <w:rsid w:val="00C633CB"/>
    <w:rsid w:val="00C664CD"/>
    <w:rsid w:val="00C6740C"/>
    <w:rsid w:val="00C67612"/>
    <w:rsid w:val="00C71C5F"/>
    <w:rsid w:val="00C73389"/>
    <w:rsid w:val="00C736B7"/>
    <w:rsid w:val="00C77618"/>
    <w:rsid w:val="00C81D4A"/>
    <w:rsid w:val="00C825A2"/>
    <w:rsid w:val="00C84524"/>
    <w:rsid w:val="00C84A9C"/>
    <w:rsid w:val="00C870AC"/>
    <w:rsid w:val="00C8762C"/>
    <w:rsid w:val="00C9253B"/>
    <w:rsid w:val="00C92795"/>
    <w:rsid w:val="00C93F60"/>
    <w:rsid w:val="00CA00F9"/>
    <w:rsid w:val="00CA2961"/>
    <w:rsid w:val="00CA319C"/>
    <w:rsid w:val="00CA526B"/>
    <w:rsid w:val="00CB2DDC"/>
    <w:rsid w:val="00CB4AF6"/>
    <w:rsid w:val="00CB50D7"/>
    <w:rsid w:val="00CB6A59"/>
    <w:rsid w:val="00CB7177"/>
    <w:rsid w:val="00CB7CED"/>
    <w:rsid w:val="00CC070F"/>
    <w:rsid w:val="00CC1998"/>
    <w:rsid w:val="00CC1A4D"/>
    <w:rsid w:val="00CC1A87"/>
    <w:rsid w:val="00CC2290"/>
    <w:rsid w:val="00CC447E"/>
    <w:rsid w:val="00CC4946"/>
    <w:rsid w:val="00CC6196"/>
    <w:rsid w:val="00CC64A1"/>
    <w:rsid w:val="00CD1B3D"/>
    <w:rsid w:val="00CD2AD9"/>
    <w:rsid w:val="00CD4579"/>
    <w:rsid w:val="00CD63CE"/>
    <w:rsid w:val="00CD68EA"/>
    <w:rsid w:val="00CD79CA"/>
    <w:rsid w:val="00CD7C9C"/>
    <w:rsid w:val="00CE13ED"/>
    <w:rsid w:val="00CE1F03"/>
    <w:rsid w:val="00CE2A8E"/>
    <w:rsid w:val="00CE2EF4"/>
    <w:rsid w:val="00CE4A97"/>
    <w:rsid w:val="00CE7653"/>
    <w:rsid w:val="00CE7B1D"/>
    <w:rsid w:val="00CF010F"/>
    <w:rsid w:val="00CF02F5"/>
    <w:rsid w:val="00CF1107"/>
    <w:rsid w:val="00CF1CCB"/>
    <w:rsid w:val="00CF25D6"/>
    <w:rsid w:val="00CF2965"/>
    <w:rsid w:val="00CF305D"/>
    <w:rsid w:val="00CF3B11"/>
    <w:rsid w:val="00CF47F6"/>
    <w:rsid w:val="00CF4A0C"/>
    <w:rsid w:val="00D01C98"/>
    <w:rsid w:val="00D02D1F"/>
    <w:rsid w:val="00D1113B"/>
    <w:rsid w:val="00D12403"/>
    <w:rsid w:val="00D1595C"/>
    <w:rsid w:val="00D16828"/>
    <w:rsid w:val="00D22239"/>
    <w:rsid w:val="00D248C3"/>
    <w:rsid w:val="00D26376"/>
    <w:rsid w:val="00D26C6B"/>
    <w:rsid w:val="00D270A4"/>
    <w:rsid w:val="00D276C3"/>
    <w:rsid w:val="00D31FE9"/>
    <w:rsid w:val="00D3324D"/>
    <w:rsid w:val="00D34E1B"/>
    <w:rsid w:val="00D35D73"/>
    <w:rsid w:val="00D376BA"/>
    <w:rsid w:val="00D40E46"/>
    <w:rsid w:val="00D4104D"/>
    <w:rsid w:val="00D41D61"/>
    <w:rsid w:val="00D42C68"/>
    <w:rsid w:val="00D434A0"/>
    <w:rsid w:val="00D45634"/>
    <w:rsid w:val="00D4667B"/>
    <w:rsid w:val="00D51D41"/>
    <w:rsid w:val="00D524A5"/>
    <w:rsid w:val="00D5568A"/>
    <w:rsid w:val="00D55C96"/>
    <w:rsid w:val="00D56032"/>
    <w:rsid w:val="00D5605B"/>
    <w:rsid w:val="00D5632C"/>
    <w:rsid w:val="00D5663E"/>
    <w:rsid w:val="00D6020C"/>
    <w:rsid w:val="00D60F5B"/>
    <w:rsid w:val="00D62CAB"/>
    <w:rsid w:val="00D63D73"/>
    <w:rsid w:val="00D64452"/>
    <w:rsid w:val="00D66E1E"/>
    <w:rsid w:val="00D70696"/>
    <w:rsid w:val="00D75722"/>
    <w:rsid w:val="00D75DC3"/>
    <w:rsid w:val="00D76253"/>
    <w:rsid w:val="00D768DB"/>
    <w:rsid w:val="00D77E95"/>
    <w:rsid w:val="00D80CF5"/>
    <w:rsid w:val="00D814EC"/>
    <w:rsid w:val="00D844DF"/>
    <w:rsid w:val="00D90DE0"/>
    <w:rsid w:val="00D911CB"/>
    <w:rsid w:val="00D92D94"/>
    <w:rsid w:val="00D93090"/>
    <w:rsid w:val="00D958A0"/>
    <w:rsid w:val="00DA1765"/>
    <w:rsid w:val="00DA3B91"/>
    <w:rsid w:val="00DA4141"/>
    <w:rsid w:val="00DA44B5"/>
    <w:rsid w:val="00DA5BBA"/>
    <w:rsid w:val="00DA77AF"/>
    <w:rsid w:val="00DB0681"/>
    <w:rsid w:val="00DB0E4A"/>
    <w:rsid w:val="00DB1E7B"/>
    <w:rsid w:val="00DB26D2"/>
    <w:rsid w:val="00DB3197"/>
    <w:rsid w:val="00DB39A3"/>
    <w:rsid w:val="00DB445D"/>
    <w:rsid w:val="00DB64FC"/>
    <w:rsid w:val="00DB67C9"/>
    <w:rsid w:val="00DB68F7"/>
    <w:rsid w:val="00DB7769"/>
    <w:rsid w:val="00DC0C95"/>
    <w:rsid w:val="00DC1156"/>
    <w:rsid w:val="00DC1A5F"/>
    <w:rsid w:val="00DC30C8"/>
    <w:rsid w:val="00DC4F0B"/>
    <w:rsid w:val="00DC5C47"/>
    <w:rsid w:val="00DC6D8B"/>
    <w:rsid w:val="00DD13AA"/>
    <w:rsid w:val="00DD2897"/>
    <w:rsid w:val="00DD3CA9"/>
    <w:rsid w:val="00DD6580"/>
    <w:rsid w:val="00DE0E27"/>
    <w:rsid w:val="00DE1E9F"/>
    <w:rsid w:val="00DE5454"/>
    <w:rsid w:val="00DE6828"/>
    <w:rsid w:val="00DF094A"/>
    <w:rsid w:val="00DF10CE"/>
    <w:rsid w:val="00DF1F8A"/>
    <w:rsid w:val="00DF582D"/>
    <w:rsid w:val="00DF65E6"/>
    <w:rsid w:val="00E01D7F"/>
    <w:rsid w:val="00E02C08"/>
    <w:rsid w:val="00E03588"/>
    <w:rsid w:val="00E05C03"/>
    <w:rsid w:val="00E05C44"/>
    <w:rsid w:val="00E06367"/>
    <w:rsid w:val="00E065A5"/>
    <w:rsid w:val="00E06999"/>
    <w:rsid w:val="00E07DA5"/>
    <w:rsid w:val="00E12B68"/>
    <w:rsid w:val="00E13B35"/>
    <w:rsid w:val="00E14BA5"/>
    <w:rsid w:val="00E150F5"/>
    <w:rsid w:val="00E17C72"/>
    <w:rsid w:val="00E21FC6"/>
    <w:rsid w:val="00E233DE"/>
    <w:rsid w:val="00E23912"/>
    <w:rsid w:val="00E2637B"/>
    <w:rsid w:val="00E27D88"/>
    <w:rsid w:val="00E27F19"/>
    <w:rsid w:val="00E31D0E"/>
    <w:rsid w:val="00E33B55"/>
    <w:rsid w:val="00E33CB5"/>
    <w:rsid w:val="00E344EE"/>
    <w:rsid w:val="00E35252"/>
    <w:rsid w:val="00E37457"/>
    <w:rsid w:val="00E37DCF"/>
    <w:rsid w:val="00E403B7"/>
    <w:rsid w:val="00E431A9"/>
    <w:rsid w:val="00E43C37"/>
    <w:rsid w:val="00E446E1"/>
    <w:rsid w:val="00E458DB"/>
    <w:rsid w:val="00E45FF3"/>
    <w:rsid w:val="00E462B4"/>
    <w:rsid w:val="00E465AC"/>
    <w:rsid w:val="00E46AF5"/>
    <w:rsid w:val="00E47E1E"/>
    <w:rsid w:val="00E5008B"/>
    <w:rsid w:val="00E508AB"/>
    <w:rsid w:val="00E5344C"/>
    <w:rsid w:val="00E60A12"/>
    <w:rsid w:val="00E61348"/>
    <w:rsid w:val="00E62022"/>
    <w:rsid w:val="00E63BD0"/>
    <w:rsid w:val="00E63F72"/>
    <w:rsid w:val="00E662E8"/>
    <w:rsid w:val="00E669E2"/>
    <w:rsid w:val="00E67450"/>
    <w:rsid w:val="00E7199F"/>
    <w:rsid w:val="00E758C7"/>
    <w:rsid w:val="00E75980"/>
    <w:rsid w:val="00E760AB"/>
    <w:rsid w:val="00E76135"/>
    <w:rsid w:val="00E77730"/>
    <w:rsid w:val="00E814C1"/>
    <w:rsid w:val="00E82AC8"/>
    <w:rsid w:val="00E82F4F"/>
    <w:rsid w:val="00E84C45"/>
    <w:rsid w:val="00E861BA"/>
    <w:rsid w:val="00E864DF"/>
    <w:rsid w:val="00E86F16"/>
    <w:rsid w:val="00E9057B"/>
    <w:rsid w:val="00E90706"/>
    <w:rsid w:val="00E92B82"/>
    <w:rsid w:val="00E93800"/>
    <w:rsid w:val="00E94EBB"/>
    <w:rsid w:val="00E95D3A"/>
    <w:rsid w:val="00E968F5"/>
    <w:rsid w:val="00EA1AE1"/>
    <w:rsid w:val="00EA1C5E"/>
    <w:rsid w:val="00EA337C"/>
    <w:rsid w:val="00EB1D1C"/>
    <w:rsid w:val="00EB2CC3"/>
    <w:rsid w:val="00EB3346"/>
    <w:rsid w:val="00EB40C3"/>
    <w:rsid w:val="00EB4704"/>
    <w:rsid w:val="00EB5E5F"/>
    <w:rsid w:val="00EB5EC4"/>
    <w:rsid w:val="00EB6B67"/>
    <w:rsid w:val="00EC2059"/>
    <w:rsid w:val="00EC2844"/>
    <w:rsid w:val="00EC5500"/>
    <w:rsid w:val="00ED05A0"/>
    <w:rsid w:val="00ED18F8"/>
    <w:rsid w:val="00ED274C"/>
    <w:rsid w:val="00ED4644"/>
    <w:rsid w:val="00ED5243"/>
    <w:rsid w:val="00EE2009"/>
    <w:rsid w:val="00EE303A"/>
    <w:rsid w:val="00EE6EDA"/>
    <w:rsid w:val="00EE7407"/>
    <w:rsid w:val="00EE778E"/>
    <w:rsid w:val="00EE7A65"/>
    <w:rsid w:val="00EF2050"/>
    <w:rsid w:val="00EF4619"/>
    <w:rsid w:val="00EF6719"/>
    <w:rsid w:val="00EF6C4D"/>
    <w:rsid w:val="00EF6C6C"/>
    <w:rsid w:val="00F01979"/>
    <w:rsid w:val="00F030E8"/>
    <w:rsid w:val="00F056FC"/>
    <w:rsid w:val="00F059ED"/>
    <w:rsid w:val="00F0632F"/>
    <w:rsid w:val="00F069AE"/>
    <w:rsid w:val="00F10476"/>
    <w:rsid w:val="00F11524"/>
    <w:rsid w:val="00F135D8"/>
    <w:rsid w:val="00F1402D"/>
    <w:rsid w:val="00F166ED"/>
    <w:rsid w:val="00F20ECC"/>
    <w:rsid w:val="00F211C5"/>
    <w:rsid w:val="00F21F1C"/>
    <w:rsid w:val="00F2376F"/>
    <w:rsid w:val="00F24568"/>
    <w:rsid w:val="00F24D33"/>
    <w:rsid w:val="00F27B7E"/>
    <w:rsid w:val="00F30F53"/>
    <w:rsid w:val="00F31299"/>
    <w:rsid w:val="00F3349D"/>
    <w:rsid w:val="00F345C2"/>
    <w:rsid w:val="00F34F9B"/>
    <w:rsid w:val="00F3534A"/>
    <w:rsid w:val="00F35BFB"/>
    <w:rsid w:val="00F361E8"/>
    <w:rsid w:val="00F3640B"/>
    <w:rsid w:val="00F36ACC"/>
    <w:rsid w:val="00F373C3"/>
    <w:rsid w:val="00F37630"/>
    <w:rsid w:val="00F42684"/>
    <w:rsid w:val="00F44565"/>
    <w:rsid w:val="00F4477D"/>
    <w:rsid w:val="00F46269"/>
    <w:rsid w:val="00F46C0F"/>
    <w:rsid w:val="00F51609"/>
    <w:rsid w:val="00F555E3"/>
    <w:rsid w:val="00F55C25"/>
    <w:rsid w:val="00F56443"/>
    <w:rsid w:val="00F56D40"/>
    <w:rsid w:val="00F60CD8"/>
    <w:rsid w:val="00F6140F"/>
    <w:rsid w:val="00F627D0"/>
    <w:rsid w:val="00F6416A"/>
    <w:rsid w:val="00F645DE"/>
    <w:rsid w:val="00F64BAF"/>
    <w:rsid w:val="00F64F77"/>
    <w:rsid w:val="00F65AD7"/>
    <w:rsid w:val="00F7066A"/>
    <w:rsid w:val="00F70CFB"/>
    <w:rsid w:val="00F73727"/>
    <w:rsid w:val="00F73BF9"/>
    <w:rsid w:val="00F766A7"/>
    <w:rsid w:val="00F76F96"/>
    <w:rsid w:val="00F80C1C"/>
    <w:rsid w:val="00F81006"/>
    <w:rsid w:val="00F81BA8"/>
    <w:rsid w:val="00F84E27"/>
    <w:rsid w:val="00F85325"/>
    <w:rsid w:val="00F85421"/>
    <w:rsid w:val="00F85483"/>
    <w:rsid w:val="00F86858"/>
    <w:rsid w:val="00F8687E"/>
    <w:rsid w:val="00F93140"/>
    <w:rsid w:val="00F93D1C"/>
    <w:rsid w:val="00F96599"/>
    <w:rsid w:val="00F96FC5"/>
    <w:rsid w:val="00FA0C5F"/>
    <w:rsid w:val="00FA16ED"/>
    <w:rsid w:val="00FA366B"/>
    <w:rsid w:val="00FA3FC6"/>
    <w:rsid w:val="00FA69F1"/>
    <w:rsid w:val="00FA7273"/>
    <w:rsid w:val="00FB156A"/>
    <w:rsid w:val="00FB32E9"/>
    <w:rsid w:val="00FB4623"/>
    <w:rsid w:val="00FB649F"/>
    <w:rsid w:val="00FB6C24"/>
    <w:rsid w:val="00FB7D5F"/>
    <w:rsid w:val="00FC1A77"/>
    <w:rsid w:val="00FC24DF"/>
    <w:rsid w:val="00FC3E8F"/>
    <w:rsid w:val="00FC4ED1"/>
    <w:rsid w:val="00FD1BCE"/>
    <w:rsid w:val="00FD1DD1"/>
    <w:rsid w:val="00FD22B1"/>
    <w:rsid w:val="00FD33F1"/>
    <w:rsid w:val="00FD3566"/>
    <w:rsid w:val="00FD50AA"/>
    <w:rsid w:val="00FD775A"/>
    <w:rsid w:val="00FE1529"/>
    <w:rsid w:val="00FE2A48"/>
    <w:rsid w:val="00FE2F4B"/>
    <w:rsid w:val="00FE368C"/>
    <w:rsid w:val="00FE3B6B"/>
    <w:rsid w:val="00FE3C71"/>
    <w:rsid w:val="00FE4577"/>
    <w:rsid w:val="00FE5397"/>
    <w:rsid w:val="00FE5D93"/>
    <w:rsid w:val="00FF0579"/>
    <w:rsid w:val="00FF222C"/>
    <w:rsid w:val="00FF539A"/>
    <w:rsid w:val="00FF54A2"/>
    <w:rsid w:val="00FF55E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3E8E1A65"/>
  <w15:docId w15:val="{4BBE94E6-1406-44E9-8ABB-7097D6C3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B6701"/>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Box"/>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uiPriority w:val="39"/>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paragraph" w:customStyle="1" w:styleId="BoxSpaceAboveElement">
    <w:name w:val="Box Space Above Element"/>
    <w:basedOn w:val="BoxSpaceAbove"/>
    <w:link w:val="BoxSpaceAboveElementChar"/>
    <w:qFormat/>
    <w:rsid w:val="005C6EE3"/>
    <w:pPr>
      <w:spacing w:before="240"/>
    </w:pPr>
    <w:rPr>
      <w:b/>
      <w:vanish/>
      <w:color w:val="FF00FF"/>
      <w:sz w:val="14"/>
    </w:rPr>
  </w:style>
  <w:style w:type="character" w:customStyle="1" w:styleId="BoxSpaceAboveElementChar">
    <w:name w:val="Box Space Above Element Char"/>
    <w:basedOn w:val="DefaultParagraphFont"/>
    <w:link w:val="BoxSpaceAboveElement"/>
    <w:rsid w:val="005C6EE3"/>
    <w:rPr>
      <w:b/>
      <w:vanish/>
      <w:color w:val="FF00FF"/>
      <w:sz w:val="14"/>
    </w:rPr>
  </w:style>
  <w:style w:type="paragraph" w:styleId="CommentSubject">
    <w:name w:val="annotation subject"/>
    <w:basedOn w:val="CommentText"/>
    <w:next w:val="CommentText"/>
    <w:link w:val="CommentSubjectChar"/>
    <w:semiHidden/>
    <w:unhideWhenUsed/>
    <w:rsid w:val="005F4645"/>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5F4645"/>
    <w:rPr>
      <w:szCs w:val="24"/>
    </w:rPr>
  </w:style>
  <w:style w:type="character" w:customStyle="1" w:styleId="CommentSubjectChar">
    <w:name w:val="Comment Subject Char"/>
    <w:basedOn w:val="CommentTextChar"/>
    <w:link w:val="CommentSubject"/>
    <w:semiHidden/>
    <w:rsid w:val="005F4645"/>
    <w:rPr>
      <w:b/>
      <w:bCs/>
      <w:szCs w:val="24"/>
    </w:rPr>
  </w:style>
  <w:style w:type="character" w:styleId="Hyperlink">
    <w:name w:val="Hyperlink"/>
    <w:basedOn w:val="DefaultParagraphFont"/>
    <w:uiPriority w:val="99"/>
    <w:unhideWhenUsed/>
    <w:rsid w:val="005F4645"/>
    <w:rPr>
      <w:color w:val="000000" w:themeColor="hyperlink"/>
      <w:u w:val="single"/>
    </w:rPr>
  </w:style>
  <w:style w:type="character" w:customStyle="1" w:styleId="FootnoteTextChar">
    <w:name w:val="Footnote Text Char"/>
    <w:basedOn w:val="DefaultParagraphFont"/>
    <w:link w:val="FootnoteText"/>
    <w:rsid w:val="00EF4619"/>
  </w:style>
  <w:style w:type="paragraph" w:styleId="Bibliography">
    <w:name w:val="Bibliography"/>
    <w:basedOn w:val="Normal"/>
    <w:next w:val="Normal"/>
    <w:uiPriority w:val="37"/>
    <w:unhideWhenUsed/>
    <w:rsid w:val="006777B1"/>
    <w:pPr>
      <w:spacing w:after="240"/>
      <w:ind w:left="720" w:hanging="720"/>
    </w:pPr>
  </w:style>
  <w:style w:type="paragraph" w:customStyle="1" w:styleId="Default">
    <w:name w:val="Default"/>
    <w:rsid w:val="005537E9"/>
    <w:pPr>
      <w:autoSpaceDE w:val="0"/>
      <w:autoSpaceDN w:val="0"/>
      <w:adjustRightInd w:val="0"/>
    </w:pPr>
    <w:rPr>
      <w:color w:val="000000"/>
      <w:sz w:val="24"/>
      <w:szCs w:val="24"/>
    </w:rPr>
  </w:style>
  <w:style w:type="paragraph" w:customStyle="1" w:styleId="RecBullet2">
    <w:name w:val="Rec Bullet 2"/>
    <w:basedOn w:val="RecBullet"/>
    <w:rsid w:val="005F476E"/>
    <w:pPr>
      <w:numPr>
        <w:numId w:val="20"/>
      </w:numPr>
    </w:pPr>
  </w:style>
  <w:style w:type="paragraph" w:styleId="Revision">
    <w:name w:val="Revision"/>
    <w:hidden/>
    <w:uiPriority w:val="99"/>
    <w:semiHidden/>
    <w:rsid w:val="00EA1AE1"/>
    <w:rPr>
      <w:sz w:val="24"/>
      <w:szCs w:val="24"/>
    </w:rPr>
  </w:style>
  <w:style w:type="character" w:customStyle="1" w:styleId="A3">
    <w:name w:val="A3"/>
    <w:uiPriority w:val="99"/>
    <w:rsid w:val="00102787"/>
    <w:rPr>
      <w:rFonts w:cs="Gotham"/>
      <w:color w:val="000000"/>
      <w:sz w:val="20"/>
      <w:szCs w:val="20"/>
    </w:rPr>
  </w:style>
  <w:style w:type="character" w:customStyle="1" w:styleId="QuoteChar">
    <w:name w:val="Quote Char"/>
    <w:basedOn w:val="DefaultParagraphFont"/>
    <w:link w:val="Quote"/>
    <w:rsid w:val="0010592D"/>
    <w:rPr>
      <w:sz w:val="22"/>
    </w:rPr>
  </w:style>
  <w:style w:type="character" w:styleId="EndnoteReference">
    <w:name w:val="endnote reference"/>
    <w:basedOn w:val="DefaultParagraphFont"/>
    <w:semiHidden/>
    <w:unhideWhenUsed/>
    <w:rsid w:val="00135224"/>
    <w:rPr>
      <w:vertAlign w:val="superscript"/>
    </w:rPr>
  </w:style>
  <w:style w:type="character" w:customStyle="1" w:styleId="UnresolvedMention1">
    <w:name w:val="Unresolved Mention1"/>
    <w:basedOn w:val="DefaultParagraphFont"/>
    <w:uiPriority w:val="99"/>
    <w:semiHidden/>
    <w:unhideWhenUsed/>
    <w:rsid w:val="00505F61"/>
    <w:rPr>
      <w:color w:val="605E5C"/>
      <w:shd w:val="clear" w:color="auto" w:fill="E1DFDD"/>
    </w:rPr>
  </w:style>
  <w:style w:type="paragraph" w:customStyle="1" w:styleId="Heading1NotTOC">
    <w:name w:val="Heading 1 Not TOC"/>
    <w:basedOn w:val="Heading1"/>
    <w:next w:val="BodyText"/>
    <w:rsid w:val="00E62022"/>
    <w:rPr>
      <w:kern w:val="28"/>
      <w:szCs w:val="26"/>
      <w:lang w:eastAsia="en-US"/>
    </w:rPr>
  </w:style>
  <w:style w:type="paragraph" w:styleId="TOCHeading">
    <w:name w:val="TOC Heading"/>
    <w:basedOn w:val="Heading1"/>
    <w:next w:val="Normal"/>
    <w:uiPriority w:val="39"/>
    <w:unhideWhenUsed/>
    <w:qFormat/>
    <w:rsid w:val="00AB1DB1"/>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character" w:customStyle="1" w:styleId="Heading1Char">
    <w:name w:val="Heading 1 Char"/>
    <w:basedOn w:val="DefaultParagraphFont"/>
    <w:link w:val="Heading1"/>
    <w:rsid w:val="00AB1DB1"/>
    <w:rPr>
      <w:sz w:val="52"/>
    </w:rPr>
  </w:style>
  <w:style w:type="paragraph" w:customStyle="1" w:styleId="Copyrightheading">
    <w:name w:val="Copyright heading"/>
    <w:basedOn w:val="TOC1"/>
    <w:link w:val="CopyrightheadingChar"/>
    <w:qFormat/>
    <w:rsid w:val="003E07F1"/>
    <w:pPr>
      <w:spacing w:after="160" w:line="300" w:lineRule="exact"/>
    </w:pPr>
    <w:rPr>
      <w:rFonts w:eastAsiaTheme="minorHAnsi" w:cstheme="minorBidi"/>
      <w:sz w:val="22"/>
    </w:rPr>
  </w:style>
  <w:style w:type="character" w:customStyle="1" w:styleId="CopyrightheadingChar">
    <w:name w:val="Copyright heading Char"/>
    <w:basedOn w:val="TOC1Char"/>
    <w:link w:val="Copyrightheading"/>
    <w:rsid w:val="003E07F1"/>
    <w:rPr>
      <w:rFonts w:ascii="Arial" w:eastAsiaTheme="minorHAnsi" w:hAnsi="Arial" w:cstheme="minorBidi"/>
      <w:b/>
      <w:sz w:val="22"/>
      <w:szCs w:val="26"/>
      <w:lang w:eastAsia="en-US"/>
    </w:rPr>
  </w:style>
  <w:style w:type="paragraph" w:customStyle="1" w:styleId="Copyrightsubtitle">
    <w:name w:val="Copyright subtitle"/>
    <w:basedOn w:val="BodyText"/>
    <w:rsid w:val="003E07F1"/>
    <w:rPr>
      <w:rFonts w:ascii="Arial" w:hAnsi="Arial"/>
      <w:b/>
      <w:sz w:val="22"/>
      <w:szCs w:val="25"/>
    </w:rPr>
  </w:style>
  <w:style w:type="paragraph" w:customStyle="1" w:styleId="Copyrightbodytext">
    <w:name w:val="Copyright bodytext"/>
    <w:basedOn w:val="BodyText"/>
    <w:link w:val="CopyrightbodytextChar"/>
    <w:qFormat/>
    <w:rsid w:val="003E07F1"/>
    <w:pPr>
      <w:spacing w:before="60"/>
    </w:pPr>
  </w:style>
  <w:style w:type="character" w:customStyle="1" w:styleId="CopyrightbodytextChar">
    <w:name w:val="Copyright bodytext Char"/>
    <w:basedOn w:val="BodyTextChar"/>
    <w:link w:val="Copyrightbodytext"/>
    <w:rsid w:val="003E07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917135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www.pmc.gov.au/government/commonwealth-coat-arm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creativecommons.org/licenses/by/3.0/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creativecommons.org/licenses/by/3.0/au"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mailto:mpw@pc.gov.a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3.emf"/><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lston\Productivity%20Commission\OfficeTemplates%20-%20Documents\Templates\chapt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Draft_x0020_Report_x0020_Status xmlns="3f4bcce7-ac1a-4c9d-aa3e-7e77695652db">
      <Value>In initial draft state</Value>
      <Value>1st Circ to A/Comm</Value>
      <Value>1st Circ to Comms</Value>
      <Value>1st Circ comments back</Value>
      <Value>2nd Circ to A/Comm</Value>
      <Value>2nd Circ to Comms</Value>
    </Draft_x0020_Report_x0020_Status>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Draft Report</TermName>
          <TermId>84e4af37-8871-4c42-ad2f-98d46afe06b0</TermId>
        </TermInfo>
      </Terms>
    </p7a0baa8c88445a78b6f55906390ba17>
    <TaxCatchAll xmlns="3f4bcce7-ac1a-4c9d-aa3e-7e77695652db">
      <Value>24</Value>
    </TaxCatchAll>
    <_dlc_DocId xmlns="3f4bcce7-ac1a-4c9d-aa3e-7e77695652db">PCDOC-1674499194-45</_dlc_DocId>
    <_dlc_DocIdUrl xmlns="3f4bcce7-ac1a-4c9d-aa3e-7e77695652db">
      <Url>http://inet.pc.gov.au/pmo/inq/water2020/_layouts/15/DocIdRedir.aspx?ID=PCDOC-1674499194-45</Url>
      <Description>PCDOC-1674499194-45</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ports" ma:contentTypeID="0x0101007916246811615643A710C6FEAFF56A871104004DBBF490563C874C99A69B130A4CD22F" ma:contentTypeVersion="0" ma:contentTypeDescription="" ma:contentTypeScope="" ma:versionID="ec21511b978ea416b1490b15aa6eb31f">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1868167741d32cd1ac9683cb1c117d0c"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2:Draft_x0020_Report_x0020_Status"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Draft_x0020_Report_x0020_Status" ma:index="17" nillable="true" ma:displayName="Draft Report Status" ma:default="In initial draft state" ma:internalName="Draft_x0020_Report_x0020_Status" ma:readOnly="false">
      <xsd:complexType>
        <xsd:complexContent>
          <xsd:extension base="dms:MultiChoice">
            <xsd:sequence>
              <xsd:element name="Value" maxOccurs="unbounded" minOccurs="0" nillable="true">
                <xsd:simpleType>
                  <xsd:restriction base="dms:Choice">
                    <xsd:enumeration value="In initial draft state"/>
                    <xsd:enumeration value="1st Circ to A/Comm"/>
                    <xsd:enumeration value="1st Circ to Comms"/>
                    <xsd:enumeration value="1st Circ comments back"/>
                    <xsd:enumeration value="2nd Circ to A/Comm"/>
                    <xsd:enumeration value="2nd Circ to Comms"/>
                    <xsd:enumeration value="2nd Circ comments back"/>
                    <xsd:enumeration value="3rd Circ to A/Comm"/>
                    <xsd:enumeration value="3rd Circ to Comms"/>
                    <xsd:enumeration value="3rd Circ comments back"/>
                    <xsd:enumeration value="Ready for final proof"/>
                    <xsd:enumeration value="Out to proof"/>
                    <xsd:enumeration value="1st proof complete"/>
                    <xsd:enumeration value="2nd proof complete"/>
                    <xsd:enumeration value="3rd proof complete"/>
                    <xsd:enumeration value="Style checker run"/>
                    <xsd:enumeration value="Global style OK"/>
                    <xsd:enumeration value="Cross refs OK"/>
                    <xsd:enumeration value="Recs etc OK"/>
                    <xsd:enumeration value="Chart format OK"/>
                    <xsd:enumeration value="Charts tagged"/>
                    <xsd:enumeration value="Direct quotes OK"/>
                    <xsd:enumeration value="Sub nums OK"/>
                    <xsd:enumeration value="Alt text done"/>
                    <xsd:enumeration value="Ready to compile"/>
                    <xsd:enumeration value="Compiled"/>
                    <xsd:enumeration value="Post compile edits in"/>
                    <xsd:enumeration value="As publishe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0da5c63-8548-4ac8-9616-83b0f373280e" ContentTypeId="0x0101007916246811615643A710C6FEAFF56A871104"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7AF530-4745-46EA-BD13-A69E46E3A721}">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http://schemas.microsoft.com/office/infopath/2007/PartnerControls"/>
    <ds:schemaRef ds:uri="http://schemas.microsoft.com/sharepoint/v3"/>
    <ds:schemaRef ds:uri="http://schemas.openxmlformats.org/package/2006/metadata/core-properties"/>
    <ds:schemaRef ds:uri="3f4bcce7-ac1a-4c9d-aa3e-7e77695652db"/>
    <ds:schemaRef ds:uri="http://purl.org/dc/elements/1.1/"/>
  </ds:schemaRefs>
</ds:datastoreItem>
</file>

<file path=customXml/itemProps2.xml><?xml version="1.0" encoding="utf-8"?>
<ds:datastoreItem xmlns:ds="http://schemas.openxmlformats.org/officeDocument/2006/customXml" ds:itemID="{38228543-0664-4E2F-BC6C-F80B737FAF49}">
  <ds:schemaRefs>
    <ds:schemaRef ds:uri="http://schemas.openxmlformats.org/officeDocument/2006/bibliography"/>
  </ds:schemaRefs>
</ds:datastoreItem>
</file>

<file path=customXml/itemProps3.xml><?xml version="1.0" encoding="utf-8"?>
<ds:datastoreItem xmlns:ds="http://schemas.openxmlformats.org/officeDocument/2006/customXml" ds:itemID="{CE32D622-8C5B-4C43-921B-001C98702628}">
  <ds:schemaRefs>
    <ds:schemaRef ds:uri="http://schemas.microsoft.com/sharepoint/v3/contenttype/forms"/>
  </ds:schemaRefs>
</ds:datastoreItem>
</file>

<file path=customXml/itemProps4.xml><?xml version="1.0" encoding="utf-8"?>
<ds:datastoreItem xmlns:ds="http://schemas.openxmlformats.org/officeDocument/2006/customXml" ds:itemID="{A5D1E6A4-0A3C-42AC-9205-A51E658F3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00A6BB-8D7F-4451-A630-580BB7DDF118}">
  <ds:schemaRefs>
    <ds:schemaRef ds:uri="Microsoft.SharePoint.Taxonomy.ContentTypeSync"/>
  </ds:schemaRefs>
</ds:datastoreItem>
</file>

<file path=customXml/itemProps6.xml><?xml version="1.0" encoding="utf-8"?>
<ds:datastoreItem xmlns:ds="http://schemas.openxmlformats.org/officeDocument/2006/customXml" ds:itemID="{6760E7A0-6134-4B6D-9BA7-2D80719A3378}">
  <ds:schemaRefs>
    <ds:schemaRef ds:uri="http://schemas.microsoft.com/office/2006/metadata/customXsn"/>
  </ds:schemaRefs>
</ds:datastoreItem>
</file>

<file path=customXml/itemProps7.xml><?xml version="1.0" encoding="utf-8"?>
<ds:datastoreItem xmlns:ds="http://schemas.openxmlformats.org/officeDocument/2006/customXml" ds:itemID="{2F0FB947-4BD9-4D05-BD21-4D9BDD97C5F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chapter.dotm</Template>
  <TotalTime>562</TotalTime>
  <Pages>15</Pages>
  <Words>4942</Words>
  <Characters>29856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Supporting paper H: Water reform in rural Australia (Rural) - National Water Reform 2020 - Draft report</vt:lpstr>
    </vt:vector>
  </TitlesOfParts>
  <Company>Productivity Commission</Company>
  <LinksUpToDate>false</LinksUpToDate>
  <CharactersWithSpaces>34729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paper H: Water reform in rural Australia (Rural) - National Water Reform 2020 - Draft report</dc:title>
  <dc:subject>National Water Reform 2020</dc:subject>
  <dc:creator>Productivity Commission</dc:creator>
  <cp:keywords/>
  <dc:description/>
  <cp:lastModifiedBy>Alston, Chris</cp:lastModifiedBy>
  <cp:revision>108</cp:revision>
  <cp:lastPrinted>2021-02-09T01:45:00Z</cp:lastPrinted>
  <dcterms:created xsi:type="dcterms:W3CDTF">2020-12-15T00:21:00Z</dcterms:created>
  <dcterms:modified xsi:type="dcterms:W3CDTF">2021-02-09T02:05:00Z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0x0101007916246811615643A710C6FEAFF56A871104004DBBF490563C874C99A69B130A4CD22F</vt:lpwstr>
  </property>
  <property fmtid="{D5CDD505-2E9C-101B-9397-08002B2CF9AE}" pid="3" name="TaxKeyword">
    <vt:lpwstr>;#</vt:lpwstr>
  </property>
  <property fmtid="{D5CDD505-2E9C-101B-9397-08002B2CF9AE}" pid="4" name="Record Tag">
    <vt:lpwstr>24</vt:lpwstr>
  </property>
  <property fmtid="{D5CDD505-2E9C-101B-9397-08002B2CF9AE}" pid="5" name="_dlc_DocIdItemGuid">
    <vt:lpwstr>8d50312a-dffe-4e2d-ab78-3bf1c6c8f955</vt:lpwstr>
  </property>
  <property fmtid="{D5CDD505-2E9C-101B-9397-08002B2CF9AE}" pid="6" name="ZOTERO_PREF_1">
    <vt:lpwstr>&lt;data data-version="3" zotero-version="5.0.81"&gt;&lt;session id="LTb6zWAZ"/&gt;&lt;style id="http://www.zotero.org/styles/Productivity-Commission" hasBibliography="1" bibliographyStyleHasBeenSet="1"/&gt;&lt;prefs&gt;&lt;pref name="fieldType" value="Field"/&gt;&lt;pref name="automatic</vt:lpwstr>
  </property>
  <property fmtid="{D5CDD505-2E9C-101B-9397-08002B2CF9AE}" pid="7" name="ZOTERO_PREF_2">
    <vt:lpwstr>JournalAbbreviations" value="true"/&gt;&lt;pref name="dontAskDelayCitationUpdates" value="true"/&gt;&lt;/prefs&gt;&lt;/data&gt;</vt:lpwstr>
  </property>
  <property fmtid="{D5CDD505-2E9C-101B-9397-08002B2CF9AE}" pid="8" name="DocumentSetDescription">
    <vt:lpwstr/>
  </property>
</Properties>
</file>