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C0FEC" w14:textId="3C73F74D" w:rsidR="00822537" w:rsidRPr="00C10C4F" w:rsidRDefault="00822537" w:rsidP="00822537">
      <w:pPr>
        <w:pStyle w:val="Heading1"/>
        <w:rPr>
          <w:color w:val="FFFFFF" w:themeColor="background1"/>
          <w:sz w:val="16"/>
          <w:szCs w:val="16"/>
        </w:rPr>
      </w:pPr>
      <w:r w:rsidRPr="00C10C4F">
        <w:rPr>
          <w:noProof/>
          <w:color w:val="FFFFFF" w:themeColor="background1"/>
          <w:sz w:val="16"/>
          <w:szCs w:val="16"/>
        </w:rPr>
        <w:drawing>
          <wp:anchor distT="0" distB="0" distL="114300" distR="114300" simplePos="0" relativeHeight="251659264" behindDoc="0" locked="0" layoutInCell="1" allowOverlap="1" wp14:anchorId="5ED6B995" wp14:editId="6846A5C4">
            <wp:simplePos x="0" y="0"/>
            <wp:positionH relativeFrom="page">
              <wp:align>center</wp:align>
            </wp:positionH>
            <wp:positionV relativeFrom="page">
              <wp:align>center</wp:align>
            </wp:positionV>
            <wp:extent cx="7559998" cy="10690797"/>
            <wp:effectExtent l="0" t="0" r="3175" b="0"/>
            <wp:wrapNone/>
            <wp:docPr id="3" name="Picture 3" descr="Cover for Government investment in major water infrastructure, Supporting Paper I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ver for Government investment in major water infrastructure, Supporting Paper I to National Water Reform 2020, Productivity Commission Draft Report, February 20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998" cy="10690797"/>
                    </a:xfrm>
                    <a:prstGeom prst="rect">
                      <a:avLst/>
                    </a:prstGeom>
                  </pic:spPr>
                </pic:pic>
              </a:graphicData>
            </a:graphic>
            <wp14:sizeRelH relativeFrom="page">
              <wp14:pctWidth>0</wp14:pctWidth>
            </wp14:sizeRelH>
            <wp14:sizeRelV relativeFrom="page">
              <wp14:pctHeight>0</wp14:pctHeight>
            </wp14:sizeRelV>
          </wp:anchor>
        </w:drawing>
      </w:r>
      <w:r w:rsidRPr="00C10C4F">
        <w:rPr>
          <w:color w:val="FFFFFF" w:themeColor="background1"/>
        </w:rPr>
        <w:t xml:space="preserve"> </w:t>
      </w:r>
      <w:r w:rsidR="00C10C4F" w:rsidRPr="00C10C4F">
        <w:rPr>
          <w:color w:val="FFFFFF" w:themeColor="background1"/>
          <w:sz w:val="16"/>
          <w:szCs w:val="16"/>
        </w:rPr>
        <w:t>Government investment in major water infrastructure</w:t>
      </w:r>
    </w:p>
    <w:p w14:paraId="6A9BB5E3" w14:textId="6E6FAB40" w:rsidR="00822537" w:rsidRPr="001B4097" w:rsidRDefault="00822537" w:rsidP="00822537">
      <w:pPr>
        <w:pStyle w:val="BodyText"/>
        <w:rPr>
          <w:b/>
          <w:sz w:val="16"/>
          <w:szCs w:val="16"/>
        </w:rPr>
      </w:pPr>
      <w:r w:rsidRPr="00C10C4F">
        <w:rPr>
          <w:color w:val="FFFFFF" w:themeColor="background1"/>
          <w:sz w:val="16"/>
          <w:szCs w:val="16"/>
        </w:rPr>
        <w:t xml:space="preserve">Supporting </w:t>
      </w:r>
      <w:proofErr w:type="gramStart"/>
      <w:r w:rsidRPr="00C10C4F">
        <w:rPr>
          <w:color w:val="FFFFFF" w:themeColor="background1"/>
          <w:sz w:val="16"/>
          <w:szCs w:val="16"/>
        </w:rPr>
        <w:t>Paper</w:t>
      </w:r>
      <w:proofErr w:type="gramEnd"/>
      <w:r w:rsidRPr="00C10C4F">
        <w:rPr>
          <w:color w:val="FFFFFF" w:themeColor="background1"/>
          <w:sz w:val="16"/>
          <w:szCs w:val="16"/>
        </w:rPr>
        <w:t xml:space="preserve"> </w:t>
      </w:r>
      <w:r w:rsidR="00C10C4F" w:rsidRPr="00C10C4F">
        <w:rPr>
          <w:color w:val="FFFFFF" w:themeColor="background1"/>
          <w:sz w:val="16"/>
          <w:szCs w:val="16"/>
        </w:rPr>
        <w:t>I</w:t>
      </w:r>
      <w:r w:rsidRPr="00C10C4F">
        <w:rPr>
          <w:color w:val="FFFFFF" w:themeColor="background1"/>
          <w:sz w:val="16"/>
          <w:szCs w:val="16"/>
        </w:rPr>
        <w:t xml:space="preserve"> to </w:t>
      </w:r>
      <w:r w:rsidRPr="00C10C4F">
        <w:rPr>
          <w:i/>
          <w:iCs/>
          <w:color w:val="FFFFFF" w:themeColor="background1"/>
          <w:sz w:val="16"/>
          <w:szCs w:val="16"/>
        </w:rPr>
        <w:t>National Water Reform 2020,</w:t>
      </w:r>
      <w:r w:rsidRPr="00C10C4F">
        <w:rPr>
          <w:color w:val="FFFFFF" w:themeColor="background1"/>
          <w:sz w:val="16"/>
          <w:szCs w:val="16"/>
        </w:rPr>
        <w:t xml:space="preserve"> Draft Report, Canberra</w:t>
      </w:r>
      <w:r w:rsidRPr="001B4097">
        <w:rPr>
          <w:sz w:val="16"/>
          <w:szCs w:val="16"/>
        </w:rPr>
        <w:br w:type="page"/>
      </w:r>
    </w:p>
    <w:p w14:paraId="729DA78B" w14:textId="0B6A7FE8" w:rsidR="00822537" w:rsidRPr="001B4097" w:rsidRDefault="00C10C4F" w:rsidP="00C10C4F">
      <w:pPr>
        <w:pStyle w:val="BoxSpaceAbove"/>
        <w:tabs>
          <w:tab w:val="left" w:pos="1739"/>
        </w:tabs>
      </w:pPr>
      <w:r>
        <w:lastRenderedPageBreak/>
        <w:tab/>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822537" w:rsidRPr="006B57EA" w14:paraId="75A6B716"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253176C9" w14:textId="77777777" w:rsidR="00822537" w:rsidRPr="006B57EA" w:rsidRDefault="00822537" w:rsidP="0055187F">
            <w:pPr>
              <w:keepNext/>
              <w:keepLines/>
              <w:spacing w:before="120" w:after="120" w:line="280" w:lineRule="atLeast"/>
              <w:jc w:val="both"/>
              <w:rPr>
                <w:rFonts w:ascii="Arial" w:hAnsi="Arial" w:cs="Arial"/>
                <w:b/>
                <w:bCs/>
                <w:caps/>
                <w:noProof/>
                <w:sz w:val="22"/>
                <w:szCs w:val="22"/>
              </w:rPr>
            </w:pPr>
            <w:r w:rsidRPr="006B57EA">
              <w:rPr>
                <w:rFonts w:ascii="Arial" w:hAnsi="Arial" w:cs="Arial"/>
                <w:b/>
                <w:bCs/>
                <w:caps/>
                <w:sz w:val="22"/>
                <w:szCs w:val="22"/>
              </w:rPr>
              <w:t xml:space="preserve">Guide to the supporting papers </w:t>
            </w:r>
            <w:r w:rsidRPr="006B57EA">
              <w:rPr>
                <w:rFonts w:ascii="Arial" w:hAnsi="Arial" w:cs="Arial"/>
                <w:b/>
                <w:bCs/>
                <w:i/>
                <w:iCs/>
                <w:caps/>
                <w:sz w:val="22"/>
                <w:szCs w:val="22"/>
              </w:rPr>
              <w:t>(and descriptor)</w:t>
            </w:r>
          </w:p>
        </w:tc>
      </w:tr>
      <w:tr w:rsidR="00822537" w:rsidRPr="006B57EA" w14:paraId="77B25C54"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822537" w:rsidRPr="006B57EA" w14:paraId="6B4037AA" w14:textId="77777777" w:rsidTr="0099288C">
              <w:trPr>
                <w:trHeight w:val="510"/>
                <w:tblHeader/>
                <w:jc w:val="center"/>
              </w:trPr>
              <w:tc>
                <w:tcPr>
                  <w:tcW w:w="1020" w:type="dxa"/>
                  <w:vAlign w:val="center"/>
                </w:tcPr>
                <w:p w14:paraId="17CABE6E" w14:textId="77777777" w:rsidR="00822537" w:rsidRPr="006B57EA" w:rsidRDefault="00822537" w:rsidP="0055187F">
                  <w:pPr>
                    <w:spacing w:line="300" w:lineRule="atLeast"/>
                    <w:rPr>
                      <w:rFonts w:ascii="Arial" w:hAnsi="Arial" w:cs="Arial"/>
                      <w:sz w:val="22"/>
                      <w:szCs w:val="22"/>
                    </w:rPr>
                  </w:pPr>
                  <w:bookmarkStart w:id="0" w:name="_Hlk61861059"/>
                  <w:r w:rsidRPr="006B57EA">
                    <w:rPr>
                      <w:rFonts w:ascii="Arial" w:hAnsi="Arial" w:cs="Arial"/>
                      <w:sz w:val="22"/>
                      <w:szCs w:val="22"/>
                    </w:rPr>
                    <w:t>SP A</w:t>
                  </w:r>
                </w:p>
              </w:tc>
              <w:tc>
                <w:tcPr>
                  <w:tcW w:w="7540" w:type="dxa"/>
                  <w:vAlign w:val="center"/>
                </w:tcPr>
                <w:p w14:paraId="57F84A1E"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Water entitlements and planning (</w:t>
                  </w:r>
                  <w:r w:rsidRPr="006B57EA">
                    <w:rPr>
                      <w:rFonts w:ascii="Arial" w:hAnsi="Arial" w:cs="Arial"/>
                      <w:i/>
                      <w:iCs/>
                      <w:sz w:val="22"/>
                      <w:szCs w:val="22"/>
                    </w:rPr>
                    <w:t>Entitlements and planning</w:t>
                  </w:r>
                  <w:r w:rsidRPr="006B57EA">
                    <w:rPr>
                      <w:rFonts w:ascii="Arial" w:hAnsi="Arial" w:cs="Arial"/>
                      <w:sz w:val="22"/>
                      <w:szCs w:val="22"/>
                    </w:rPr>
                    <w:t>)</w:t>
                  </w:r>
                </w:p>
              </w:tc>
            </w:tr>
            <w:tr w:rsidR="00822537" w:rsidRPr="006B57EA" w14:paraId="5AE310D9" w14:textId="77777777" w:rsidTr="0099288C">
              <w:trPr>
                <w:trHeight w:val="510"/>
                <w:jc w:val="center"/>
              </w:trPr>
              <w:tc>
                <w:tcPr>
                  <w:tcW w:w="1020" w:type="dxa"/>
                  <w:shd w:val="clear" w:color="auto" w:fill="auto"/>
                  <w:vAlign w:val="center"/>
                </w:tcPr>
                <w:p w14:paraId="19A45BA3" w14:textId="77777777" w:rsidR="00822537" w:rsidRPr="006B57EA" w:rsidRDefault="00822537" w:rsidP="0055187F">
                  <w:pPr>
                    <w:spacing w:line="300" w:lineRule="atLeast"/>
                    <w:rPr>
                      <w:rFonts w:ascii="Arial" w:hAnsi="Arial" w:cs="Arial"/>
                      <w:bCs/>
                      <w:sz w:val="22"/>
                      <w:szCs w:val="22"/>
                    </w:rPr>
                  </w:pPr>
                  <w:r w:rsidRPr="006B57EA">
                    <w:rPr>
                      <w:rFonts w:ascii="Arial" w:hAnsi="Arial" w:cs="Arial"/>
                      <w:bCs/>
                      <w:sz w:val="22"/>
                      <w:szCs w:val="22"/>
                    </w:rPr>
                    <w:t>SP B</w:t>
                  </w:r>
                </w:p>
              </w:tc>
              <w:tc>
                <w:tcPr>
                  <w:tcW w:w="7540" w:type="dxa"/>
                  <w:shd w:val="clear" w:color="auto" w:fill="auto"/>
                  <w:vAlign w:val="center"/>
                </w:tcPr>
                <w:p w14:paraId="515C3ED3" w14:textId="77777777" w:rsidR="00822537" w:rsidRPr="006B57EA" w:rsidRDefault="00822537" w:rsidP="0055187F">
                  <w:pPr>
                    <w:spacing w:line="300" w:lineRule="atLeast"/>
                    <w:rPr>
                      <w:rFonts w:ascii="Arial" w:hAnsi="Arial" w:cs="Arial"/>
                      <w:bCs/>
                      <w:sz w:val="22"/>
                      <w:szCs w:val="22"/>
                    </w:rPr>
                  </w:pPr>
                  <w:r w:rsidRPr="006B57EA">
                    <w:rPr>
                      <w:rFonts w:ascii="Arial" w:hAnsi="Arial" w:cs="Arial"/>
                      <w:bCs/>
                      <w:sz w:val="22"/>
                      <w:szCs w:val="22"/>
                    </w:rPr>
                    <w:t>Water trading and markets (</w:t>
                  </w:r>
                  <w:r w:rsidRPr="006B57EA">
                    <w:rPr>
                      <w:rFonts w:ascii="Arial" w:hAnsi="Arial" w:cs="Arial"/>
                      <w:bCs/>
                      <w:i/>
                      <w:iCs/>
                      <w:sz w:val="22"/>
                      <w:szCs w:val="22"/>
                    </w:rPr>
                    <w:t>Trading</w:t>
                  </w:r>
                  <w:r w:rsidRPr="006B57EA">
                    <w:rPr>
                      <w:rFonts w:ascii="Arial" w:hAnsi="Arial" w:cs="Arial"/>
                      <w:bCs/>
                      <w:sz w:val="22"/>
                      <w:szCs w:val="22"/>
                    </w:rPr>
                    <w:t>)</w:t>
                  </w:r>
                </w:p>
              </w:tc>
            </w:tr>
            <w:tr w:rsidR="00822537" w:rsidRPr="006B57EA" w14:paraId="455165BD" w14:textId="77777777" w:rsidTr="0099288C">
              <w:trPr>
                <w:trHeight w:val="510"/>
                <w:jc w:val="center"/>
              </w:trPr>
              <w:tc>
                <w:tcPr>
                  <w:tcW w:w="1020" w:type="dxa"/>
                  <w:shd w:val="clear" w:color="auto" w:fill="F2F2F2" w:themeFill="background1" w:themeFillShade="F2"/>
                  <w:vAlign w:val="center"/>
                </w:tcPr>
                <w:p w14:paraId="540A39C2" w14:textId="77777777" w:rsidR="00822537" w:rsidRPr="008B7EAF" w:rsidRDefault="00822537" w:rsidP="0055187F">
                  <w:pPr>
                    <w:spacing w:line="300" w:lineRule="atLeast"/>
                    <w:rPr>
                      <w:rFonts w:ascii="Arial" w:hAnsi="Arial" w:cs="Arial"/>
                      <w:bCs/>
                      <w:sz w:val="22"/>
                      <w:szCs w:val="22"/>
                    </w:rPr>
                  </w:pPr>
                  <w:r w:rsidRPr="008B7EAF">
                    <w:rPr>
                      <w:rFonts w:ascii="Arial" w:hAnsi="Arial" w:cs="Arial"/>
                      <w:bCs/>
                      <w:sz w:val="22"/>
                      <w:szCs w:val="22"/>
                    </w:rPr>
                    <w:t>SP C</w:t>
                  </w:r>
                </w:p>
              </w:tc>
              <w:tc>
                <w:tcPr>
                  <w:tcW w:w="7540" w:type="dxa"/>
                  <w:shd w:val="clear" w:color="auto" w:fill="F2F2F2" w:themeFill="background1" w:themeFillShade="F2"/>
                  <w:vAlign w:val="center"/>
                </w:tcPr>
                <w:p w14:paraId="2756BB05" w14:textId="77777777" w:rsidR="00822537" w:rsidRPr="008B7EAF" w:rsidRDefault="00822537" w:rsidP="0055187F">
                  <w:pPr>
                    <w:spacing w:line="300" w:lineRule="atLeast"/>
                    <w:rPr>
                      <w:rFonts w:ascii="Arial" w:hAnsi="Arial" w:cs="Arial"/>
                      <w:bCs/>
                      <w:sz w:val="22"/>
                      <w:szCs w:val="22"/>
                    </w:rPr>
                  </w:pPr>
                  <w:r w:rsidRPr="008B7EAF">
                    <w:rPr>
                      <w:rFonts w:ascii="Arial" w:hAnsi="Arial" w:cs="Arial"/>
                      <w:bCs/>
                      <w:sz w:val="22"/>
                      <w:szCs w:val="22"/>
                    </w:rPr>
                    <w:t>Environmental management (</w:t>
                  </w:r>
                  <w:r w:rsidRPr="008B7EAF">
                    <w:rPr>
                      <w:rFonts w:ascii="Arial" w:hAnsi="Arial" w:cs="Arial"/>
                      <w:bCs/>
                      <w:i/>
                      <w:iCs/>
                      <w:sz w:val="22"/>
                      <w:szCs w:val="22"/>
                    </w:rPr>
                    <w:t>Environment</w:t>
                  </w:r>
                  <w:r w:rsidRPr="008B7EAF">
                    <w:rPr>
                      <w:rFonts w:ascii="Arial" w:hAnsi="Arial" w:cs="Arial"/>
                      <w:bCs/>
                      <w:sz w:val="22"/>
                      <w:szCs w:val="22"/>
                    </w:rPr>
                    <w:t>)</w:t>
                  </w:r>
                </w:p>
              </w:tc>
            </w:tr>
            <w:tr w:rsidR="00822537" w:rsidRPr="006B57EA" w14:paraId="65162864" w14:textId="77777777" w:rsidTr="0099288C">
              <w:trPr>
                <w:trHeight w:val="510"/>
                <w:jc w:val="center"/>
              </w:trPr>
              <w:tc>
                <w:tcPr>
                  <w:tcW w:w="1020" w:type="dxa"/>
                  <w:shd w:val="clear" w:color="auto" w:fill="F2F2F2" w:themeFill="background1" w:themeFillShade="F2"/>
                  <w:vAlign w:val="center"/>
                </w:tcPr>
                <w:p w14:paraId="5EB8E2F8" w14:textId="77777777" w:rsidR="00822537" w:rsidRPr="00BA0058" w:rsidRDefault="00822537" w:rsidP="0055187F">
                  <w:pPr>
                    <w:spacing w:line="300" w:lineRule="atLeast"/>
                    <w:rPr>
                      <w:rFonts w:ascii="Arial" w:hAnsi="Arial" w:cs="Arial"/>
                      <w:sz w:val="22"/>
                      <w:szCs w:val="22"/>
                    </w:rPr>
                  </w:pPr>
                  <w:r w:rsidRPr="00BA0058">
                    <w:rPr>
                      <w:rFonts w:ascii="Arial" w:hAnsi="Arial" w:cs="Arial"/>
                      <w:sz w:val="22"/>
                      <w:szCs w:val="22"/>
                    </w:rPr>
                    <w:t>SP D</w:t>
                  </w:r>
                </w:p>
              </w:tc>
              <w:tc>
                <w:tcPr>
                  <w:tcW w:w="7540" w:type="dxa"/>
                  <w:shd w:val="clear" w:color="auto" w:fill="F2F2F2" w:themeFill="background1" w:themeFillShade="F2"/>
                  <w:vAlign w:val="center"/>
                </w:tcPr>
                <w:p w14:paraId="75E81FBA" w14:textId="77777777" w:rsidR="00822537" w:rsidRPr="00BA0058" w:rsidRDefault="00822537" w:rsidP="0055187F">
                  <w:pPr>
                    <w:tabs>
                      <w:tab w:val="left" w:pos="1951"/>
                    </w:tabs>
                    <w:spacing w:line="300" w:lineRule="atLeast"/>
                    <w:rPr>
                      <w:rFonts w:ascii="Arial" w:hAnsi="Arial" w:cs="Arial"/>
                      <w:sz w:val="22"/>
                      <w:szCs w:val="22"/>
                    </w:rPr>
                  </w:pPr>
                  <w:r w:rsidRPr="00BA0058">
                    <w:rPr>
                      <w:rFonts w:ascii="Arial" w:hAnsi="Arial" w:cs="Arial"/>
                      <w:sz w:val="22"/>
                      <w:szCs w:val="22"/>
                    </w:rPr>
                    <w:t>Securing Aboriginal and Torres Strait Islander people’s interests in water (</w:t>
                  </w:r>
                  <w:r w:rsidRPr="00BA0058">
                    <w:rPr>
                      <w:rFonts w:ascii="Arial" w:hAnsi="Arial" w:cs="Arial"/>
                      <w:i/>
                      <w:iCs/>
                      <w:sz w:val="22"/>
                      <w:szCs w:val="22"/>
                    </w:rPr>
                    <w:t>Cultural access</w:t>
                  </w:r>
                  <w:r w:rsidRPr="00BA0058">
                    <w:rPr>
                      <w:rFonts w:ascii="Arial" w:hAnsi="Arial" w:cs="Arial"/>
                      <w:sz w:val="22"/>
                      <w:szCs w:val="22"/>
                    </w:rPr>
                    <w:t>)</w:t>
                  </w:r>
                </w:p>
              </w:tc>
            </w:tr>
            <w:tr w:rsidR="00822537" w:rsidRPr="006B57EA" w14:paraId="5FE0EC74" w14:textId="77777777" w:rsidTr="0099288C">
              <w:trPr>
                <w:trHeight w:val="510"/>
                <w:jc w:val="center"/>
              </w:trPr>
              <w:tc>
                <w:tcPr>
                  <w:tcW w:w="1020" w:type="dxa"/>
                  <w:vAlign w:val="center"/>
                </w:tcPr>
                <w:p w14:paraId="1E186E0E"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SP E</w:t>
                  </w:r>
                </w:p>
              </w:tc>
              <w:tc>
                <w:tcPr>
                  <w:tcW w:w="7540" w:type="dxa"/>
                  <w:vAlign w:val="center"/>
                </w:tcPr>
                <w:p w14:paraId="2A42CDE1"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 xml:space="preserve">Ensuring the integrity of water resource management </w:t>
                  </w:r>
                  <w:r w:rsidRPr="006B57EA">
                    <w:rPr>
                      <w:rFonts w:ascii="Arial" w:hAnsi="Arial" w:cs="Arial"/>
                      <w:i/>
                      <w:iCs/>
                      <w:sz w:val="22"/>
                      <w:szCs w:val="22"/>
                    </w:rPr>
                    <w:t>(Integrity)</w:t>
                  </w:r>
                </w:p>
              </w:tc>
            </w:tr>
            <w:tr w:rsidR="00822537" w:rsidRPr="006B57EA" w14:paraId="7FFC1EFA" w14:textId="77777777" w:rsidTr="0099288C">
              <w:trPr>
                <w:trHeight w:val="510"/>
                <w:jc w:val="center"/>
              </w:trPr>
              <w:tc>
                <w:tcPr>
                  <w:tcW w:w="1020" w:type="dxa"/>
                  <w:shd w:val="clear" w:color="auto" w:fill="F2F2F2" w:themeFill="background1" w:themeFillShade="F2"/>
                  <w:vAlign w:val="center"/>
                </w:tcPr>
                <w:p w14:paraId="52DC156D" w14:textId="77777777" w:rsidR="00822537" w:rsidRPr="00822537" w:rsidRDefault="00822537" w:rsidP="0055187F">
                  <w:pPr>
                    <w:spacing w:line="300" w:lineRule="atLeast"/>
                    <w:rPr>
                      <w:rFonts w:ascii="Arial" w:hAnsi="Arial" w:cs="Arial"/>
                      <w:sz w:val="22"/>
                      <w:szCs w:val="22"/>
                    </w:rPr>
                  </w:pPr>
                  <w:r w:rsidRPr="00822537">
                    <w:rPr>
                      <w:rFonts w:ascii="Arial" w:hAnsi="Arial" w:cs="Arial"/>
                      <w:sz w:val="22"/>
                      <w:szCs w:val="22"/>
                    </w:rPr>
                    <w:t>SP F</w:t>
                  </w:r>
                </w:p>
              </w:tc>
              <w:tc>
                <w:tcPr>
                  <w:tcW w:w="7540" w:type="dxa"/>
                  <w:shd w:val="clear" w:color="auto" w:fill="F2F2F2" w:themeFill="background1" w:themeFillShade="F2"/>
                  <w:vAlign w:val="center"/>
                </w:tcPr>
                <w:p w14:paraId="602ED707" w14:textId="77777777" w:rsidR="00822537" w:rsidRPr="00822537" w:rsidRDefault="00822537" w:rsidP="0055187F">
                  <w:pPr>
                    <w:spacing w:line="300" w:lineRule="atLeast"/>
                    <w:rPr>
                      <w:rFonts w:ascii="Arial" w:hAnsi="Arial" w:cs="Arial"/>
                      <w:sz w:val="22"/>
                      <w:szCs w:val="22"/>
                    </w:rPr>
                  </w:pPr>
                  <w:r w:rsidRPr="00822537">
                    <w:rPr>
                      <w:rFonts w:ascii="Arial" w:hAnsi="Arial" w:cs="Arial"/>
                      <w:sz w:val="22"/>
                      <w:szCs w:val="22"/>
                    </w:rPr>
                    <w:t>Urban water services (</w:t>
                  </w:r>
                  <w:r w:rsidRPr="00822537">
                    <w:rPr>
                      <w:rFonts w:ascii="Arial" w:hAnsi="Arial" w:cs="Arial"/>
                      <w:i/>
                      <w:iCs/>
                      <w:sz w:val="22"/>
                      <w:szCs w:val="22"/>
                    </w:rPr>
                    <w:t>Urban</w:t>
                  </w:r>
                  <w:r w:rsidRPr="00822537">
                    <w:rPr>
                      <w:rFonts w:ascii="Arial" w:hAnsi="Arial" w:cs="Arial"/>
                      <w:sz w:val="22"/>
                      <w:szCs w:val="22"/>
                    </w:rPr>
                    <w:t>)</w:t>
                  </w:r>
                </w:p>
              </w:tc>
            </w:tr>
            <w:tr w:rsidR="00822537" w:rsidRPr="006B57EA" w14:paraId="09B6727B" w14:textId="77777777" w:rsidTr="0099288C">
              <w:trPr>
                <w:trHeight w:val="510"/>
                <w:jc w:val="center"/>
              </w:trPr>
              <w:tc>
                <w:tcPr>
                  <w:tcW w:w="1020" w:type="dxa"/>
                  <w:vAlign w:val="center"/>
                </w:tcPr>
                <w:p w14:paraId="063D4B32"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SP G</w:t>
                  </w:r>
                </w:p>
              </w:tc>
              <w:tc>
                <w:tcPr>
                  <w:tcW w:w="7540" w:type="dxa"/>
                  <w:vAlign w:val="center"/>
                </w:tcPr>
                <w:p w14:paraId="787A5FB4"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Urban water services: regional and remote communities (</w:t>
                  </w:r>
                  <w:r w:rsidRPr="006B57EA">
                    <w:rPr>
                      <w:rFonts w:ascii="Arial" w:hAnsi="Arial" w:cs="Arial"/>
                      <w:i/>
                      <w:iCs/>
                      <w:sz w:val="22"/>
                      <w:szCs w:val="22"/>
                    </w:rPr>
                    <w:t>Regional</w:t>
                  </w:r>
                  <w:r w:rsidRPr="006B57EA">
                    <w:rPr>
                      <w:rFonts w:ascii="Arial" w:hAnsi="Arial" w:cs="Arial"/>
                      <w:sz w:val="22"/>
                      <w:szCs w:val="22"/>
                    </w:rPr>
                    <w:t>)</w:t>
                  </w:r>
                  <w:r w:rsidRPr="006B57EA">
                    <w:rPr>
                      <w:rFonts w:ascii="Arial" w:hAnsi="Arial" w:cs="Arial"/>
                      <w:i/>
                      <w:iCs/>
                      <w:sz w:val="22"/>
                      <w:szCs w:val="22"/>
                    </w:rPr>
                    <w:t xml:space="preserve"> </w:t>
                  </w:r>
                </w:p>
              </w:tc>
            </w:tr>
            <w:tr w:rsidR="00822537" w:rsidRPr="006B57EA" w14:paraId="2C1E1F32" w14:textId="77777777" w:rsidTr="0099288C">
              <w:trPr>
                <w:trHeight w:val="510"/>
                <w:jc w:val="center"/>
              </w:trPr>
              <w:tc>
                <w:tcPr>
                  <w:tcW w:w="1020" w:type="dxa"/>
                  <w:tcBorders>
                    <w:bottom w:val="single" w:sz="12" w:space="0" w:color="B8D995"/>
                  </w:tcBorders>
                  <w:vAlign w:val="center"/>
                </w:tcPr>
                <w:p w14:paraId="3752965A"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SP H</w:t>
                  </w:r>
                </w:p>
              </w:tc>
              <w:tc>
                <w:tcPr>
                  <w:tcW w:w="7540" w:type="dxa"/>
                  <w:tcBorders>
                    <w:bottom w:val="single" w:sz="12" w:space="0" w:color="B8D995"/>
                  </w:tcBorders>
                  <w:vAlign w:val="center"/>
                </w:tcPr>
                <w:p w14:paraId="765EC0FA"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Water reform in rural Australia (</w:t>
                  </w:r>
                  <w:r w:rsidRPr="006B57EA">
                    <w:rPr>
                      <w:rFonts w:ascii="Arial" w:hAnsi="Arial" w:cs="Arial"/>
                      <w:i/>
                      <w:iCs/>
                      <w:sz w:val="22"/>
                      <w:szCs w:val="22"/>
                    </w:rPr>
                    <w:t>Rural</w:t>
                  </w:r>
                  <w:r w:rsidRPr="006B57EA">
                    <w:rPr>
                      <w:rFonts w:ascii="Arial" w:hAnsi="Arial" w:cs="Arial"/>
                      <w:sz w:val="22"/>
                      <w:szCs w:val="22"/>
                    </w:rPr>
                    <w:t>)</w:t>
                  </w:r>
                </w:p>
              </w:tc>
            </w:tr>
            <w:tr w:rsidR="00822537" w:rsidRPr="00822537" w14:paraId="452DC821" w14:textId="77777777" w:rsidTr="0099288C">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1A9F9C0E" w14:textId="77777777" w:rsidR="00822537" w:rsidRPr="00822537" w:rsidRDefault="00822537" w:rsidP="0055187F">
                  <w:pPr>
                    <w:spacing w:line="300" w:lineRule="atLeast"/>
                    <w:rPr>
                      <w:rFonts w:ascii="Arial" w:hAnsi="Arial" w:cs="Arial"/>
                      <w:b/>
                      <w:bCs/>
                      <w:sz w:val="22"/>
                      <w:szCs w:val="22"/>
                    </w:rPr>
                  </w:pPr>
                  <w:r w:rsidRPr="00822537">
                    <w:rPr>
                      <w:rFonts w:ascii="Arial" w:hAnsi="Arial" w:cs="Arial"/>
                      <w:b/>
                      <w:bCs/>
                      <w:sz w:val="22"/>
                      <w:szCs w:val="22"/>
                    </w:rPr>
                    <w:t>SP I</w:t>
                  </w:r>
                </w:p>
              </w:tc>
              <w:tc>
                <w:tcPr>
                  <w:tcW w:w="7540" w:type="dxa"/>
                  <w:tcBorders>
                    <w:top w:val="single" w:sz="12" w:space="0" w:color="B8D995"/>
                    <w:bottom w:val="single" w:sz="12" w:space="0" w:color="B8D995"/>
                    <w:right w:val="single" w:sz="12" w:space="0" w:color="B8D995"/>
                  </w:tcBorders>
                  <w:shd w:val="clear" w:color="auto" w:fill="DBECCA"/>
                  <w:vAlign w:val="center"/>
                </w:tcPr>
                <w:p w14:paraId="78328539" w14:textId="77777777" w:rsidR="00822537" w:rsidRPr="00822537" w:rsidRDefault="00822537" w:rsidP="0055187F">
                  <w:pPr>
                    <w:spacing w:line="300" w:lineRule="atLeast"/>
                    <w:rPr>
                      <w:rFonts w:ascii="Arial" w:hAnsi="Arial" w:cs="Arial"/>
                      <w:b/>
                      <w:bCs/>
                      <w:sz w:val="22"/>
                      <w:szCs w:val="22"/>
                    </w:rPr>
                  </w:pPr>
                  <w:r w:rsidRPr="00822537">
                    <w:rPr>
                      <w:rFonts w:ascii="Arial" w:hAnsi="Arial" w:cs="Arial"/>
                      <w:b/>
                      <w:bCs/>
                      <w:sz w:val="22"/>
                      <w:szCs w:val="22"/>
                    </w:rPr>
                    <w:t>Government investment in major water infrastructure (</w:t>
                  </w:r>
                  <w:r w:rsidRPr="00822537">
                    <w:rPr>
                      <w:rFonts w:ascii="Arial" w:hAnsi="Arial" w:cs="Arial"/>
                      <w:b/>
                      <w:bCs/>
                      <w:i/>
                      <w:iCs/>
                      <w:sz w:val="22"/>
                      <w:szCs w:val="22"/>
                    </w:rPr>
                    <w:t>Infrastructure</w:t>
                  </w:r>
                  <w:r w:rsidRPr="00822537">
                    <w:rPr>
                      <w:rFonts w:ascii="Arial" w:hAnsi="Arial" w:cs="Arial"/>
                      <w:b/>
                      <w:bCs/>
                      <w:sz w:val="22"/>
                      <w:szCs w:val="22"/>
                    </w:rPr>
                    <w:t>)</w:t>
                  </w:r>
                </w:p>
              </w:tc>
            </w:tr>
            <w:tr w:rsidR="00822537" w:rsidRPr="006B57EA" w14:paraId="387F4383" w14:textId="77777777" w:rsidTr="0099288C">
              <w:trPr>
                <w:trHeight w:val="510"/>
                <w:jc w:val="center"/>
              </w:trPr>
              <w:tc>
                <w:tcPr>
                  <w:tcW w:w="1020" w:type="dxa"/>
                  <w:tcBorders>
                    <w:top w:val="single" w:sz="12" w:space="0" w:color="B8D995"/>
                  </w:tcBorders>
                  <w:vAlign w:val="center"/>
                </w:tcPr>
                <w:p w14:paraId="08636D89"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SP J</w:t>
                  </w:r>
                </w:p>
              </w:tc>
              <w:tc>
                <w:tcPr>
                  <w:tcW w:w="7540" w:type="dxa"/>
                  <w:tcBorders>
                    <w:top w:val="single" w:sz="12" w:space="0" w:color="B8D995"/>
                  </w:tcBorders>
                  <w:vAlign w:val="center"/>
                </w:tcPr>
                <w:p w14:paraId="696DE88C"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Community engagement (</w:t>
                  </w:r>
                  <w:r w:rsidRPr="006B57EA">
                    <w:rPr>
                      <w:rFonts w:ascii="Arial" w:hAnsi="Arial" w:cs="Arial"/>
                      <w:i/>
                      <w:iCs/>
                      <w:sz w:val="22"/>
                      <w:szCs w:val="22"/>
                    </w:rPr>
                    <w:t>Engagement</w:t>
                  </w:r>
                  <w:r w:rsidRPr="006B57EA">
                    <w:rPr>
                      <w:rFonts w:ascii="Arial" w:hAnsi="Arial" w:cs="Arial"/>
                      <w:sz w:val="22"/>
                      <w:szCs w:val="22"/>
                    </w:rPr>
                    <w:t>)</w:t>
                  </w:r>
                </w:p>
              </w:tc>
            </w:tr>
            <w:tr w:rsidR="00822537" w:rsidRPr="006B57EA" w14:paraId="7707EC20" w14:textId="77777777" w:rsidTr="0099288C">
              <w:trPr>
                <w:trHeight w:val="510"/>
                <w:jc w:val="center"/>
              </w:trPr>
              <w:tc>
                <w:tcPr>
                  <w:tcW w:w="1020" w:type="dxa"/>
                  <w:shd w:val="clear" w:color="auto" w:fill="F2F2F2" w:themeFill="background1" w:themeFillShade="F2"/>
                  <w:vAlign w:val="center"/>
                </w:tcPr>
                <w:p w14:paraId="054DCDB6"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SP K</w:t>
                  </w:r>
                </w:p>
              </w:tc>
              <w:tc>
                <w:tcPr>
                  <w:tcW w:w="7540" w:type="dxa"/>
                  <w:shd w:val="clear" w:color="auto" w:fill="F2F2F2" w:themeFill="background1" w:themeFillShade="F2"/>
                  <w:vAlign w:val="center"/>
                </w:tcPr>
                <w:p w14:paraId="14D97FC9" w14:textId="77777777" w:rsidR="00822537" w:rsidRPr="006B57EA" w:rsidRDefault="00822537" w:rsidP="0055187F">
                  <w:pPr>
                    <w:spacing w:line="300" w:lineRule="atLeast"/>
                    <w:rPr>
                      <w:rFonts w:ascii="Arial" w:hAnsi="Arial" w:cs="Arial"/>
                      <w:sz w:val="22"/>
                      <w:szCs w:val="22"/>
                    </w:rPr>
                  </w:pPr>
                  <w:r w:rsidRPr="006B57EA">
                    <w:rPr>
                      <w:rFonts w:ascii="Arial" w:hAnsi="Arial" w:cs="Arial"/>
                      <w:sz w:val="22"/>
                      <w:szCs w:val="22"/>
                    </w:rPr>
                    <w:t xml:space="preserve">Knowledge, </w:t>
                  </w:r>
                  <w:proofErr w:type="gramStart"/>
                  <w:r w:rsidRPr="006B57EA">
                    <w:rPr>
                      <w:rFonts w:ascii="Arial" w:hAnsi="Arial" w:cs="Arial"/>
                      <w:sz w:val="22"/>
                      <w:szCs w:val="22"/>
                    </w:rPr>
                    <w:t>capacity</w:t>
                  </w:r>
                  <w:proofErr w:type="gramEnd"/>
                  <w:r w:rsidRPr="006B57EA">
                    <w:rPr>
                      <w:rFonts w:ascii="Arial" w:hAnsi="Arial" w:cs="Arial"/>
                      <w:sz w:val="22"/>
                      <w:szCs w:val="22"/>
                    </w:rPr>
                    <w:t xml:space="preserve"> and capability building (</w:t>
                  </w:r>
                  <w:r w:rsidRPr="006B57EA">
                    <w:rPr>
                      <w:rFonts w:ascii="Arial" w:hAnsi="Arial" w:cs="Arial"/>
                      <w:i/>
                      <w:iCs/>
                      <w:sz w:val="22"/>
                      <w:szCs w:val="22"/>
                    </w:rPr>
                    <w:t>Knowledge</w:t>
                  </w:r>
                  <w:r w:rsidRPr="006B57EA">
                    <w:rPr>
                      <w:rFonts w:ascii="Arial" w:hAnsi="Arial" w:cs="Arial"/>
                      <w:sz w:val="22"/>
                      <w:szCs w:val="22"/>
                    </w:rPr>
                    <w:t>)</w:t>
                  </w:r>
                </w:p>
              </w:tc>
            </w:tr>
            <w:bookmarkEnd w:id="0"/>
          </w:tbl>
          <w:p w14:paraId="05FA8AFA" w14:textId="77777777" w:rsidR="00822537" w:rsidRPr="006B57EA" w:rsidRDefault="00822537" w:rsidP="0055187F">
            <w:pPr>
              <w:keepNext/>
              <w:keepLines/>
              <w:spacing w:before="120" w:line="280" w:lineRule="atLeast"/>
              <w:jc w:val="both"/>
              <w:rPr>
                <w:rFonts w:ascii="Arial" w:hAnsi="Arial" w:cs="Arial"/>
                <w:sz w:val="22"/>
                <w:szCs w:val="22"/>
              </w:rPr>
            </w:pPr>
          </w:p>
        </w:tc>
      </w:tr>
      <w:tr w:rsidR="00822537" w:rsidRPr="006B57EA" w14:paraId="0AB71527"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108CF59C" w14:textId="77777777" w:rsidR="00822537" w:rsidRPr="006B57EA" w:rsidRDefault="00822537" w:rsidP="0055187F">
            <w:pPr>
              <w:keepNext/>
              <w:keepLines/>
              <w:spacing w:line="120" w:lineRule="exact"/>
              <w:jc w:val="both"/>
              <w:rPr>
                <w:rFonts w:ascii="Arial" w:hAnsi="Arial" w:cs="Arial"/>
                <w:sz w:val="22"/>
                <w:szCs w:val="22"/>
              </w:rPr>
            </w:pPr>
          </w:p>
        </w:tc>
      </w:tr>
      <w:tr w:rsidR="00822537" w:rsidRPr="006B57EA" w14:paraId="6F8B35B5" w14:textId="77777777" w:rsidTr="0055187F">
        <w:trPr>
          <w:cantSplit/>
        </w:trPr>
        <w:tc>
          <w:tcPr>
            <w:tcW w:w="5000" w:type="pct"/>
            <w:tcBorders>
              <w:top w:val="single" w:sz="6" w:space="0" w:color="78A22F"/>
              <w:left w:val="nil"/>
              <w:bottom w:val="nil"/>
              <w:right w:val="nil"/>
            </w:tcBorders>
            <w:tcMar>
              <w:left w:w="170" w:type="dxa"/>
              <w:right w:w="170" w:type="dxa"/>
            </w:tcMar>
          </w:tcPr>
          <w:p w14:paraId="2CB3247A" w14:textId="77777777" w:rsidR="00822537" w:rsidRPr="006B57EA" w:rsidRDefault="00822537" w:rsidP="0055187F">
            <w:pPr>
              <w:keepLines/>
              <w:spacing w:before="60" w:after="60" w:line="80" w:lineRule="exact"/>
              <w:jc w:val="both"/>
              <w:rPr>
                <w:rFonts w:ascii="Arial" w:hAnsi="Arial" w:cs="Arial"/>
                <w:sz w:val="22"/>
                <w:szCs w:val="22"/>
              </w:rPr>
            </w:pPr>
          </w:p>
        </w:tc>
      </w:tr>
    </w:tbl>
    <w:p w14:paraId="4A985558" w14:textId="77777777" w:rsidR="00822537" w:rsidRPr="000D3D00" w:rsidRDefault="00822537" w:rsidP="00822537">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510EDCB8" w14:textId="77777777" w:rsidR="00822537" w:rsidRPr="000D3D00" w:rsidRDefault="00822537" w:rsidP="00822537">
      <w:pPr>
        <w:pStyle w:val="BodyText"/>
        <w:spacing w:before="120" w:after="120" w:line="240" w:lineRule="auto"/>
        <w:rPr>
          <w:sz w:val="20"/>
        </w:rPr>
      </w:pPr>
      <w:bookmarkStart w:id="1" w:name="ISSN"/>
      <w:bookmarkEnd w:id="1"/>
      <w:r w:rsidRPr="000D3D00">
        <w:rPr>
          <w:noProof/>
          <w:sz w:val="20"/>
        </w:rPr>
        <w:drawing>
          <wp:inline distT="0" distB="0" distL="0" distR="0" wp14:anchorId="37125064" wp14:editId="54A2E411">
            <wp:extent cx="843280" cy="295043"/>
            <wp:effectExtent l="0" t="0" r="0" b="0"/>
            <wp:docPr id="2" name="Picture 2"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4236712F" w14:textId="77777777" w:rsidR="00822537" w:rsidRPr="000D3D00" w:rsidRDefault="00822537" w:rsidP="00822537">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3DA0F8F5" w14:textId="77777777" w:rsidR="00822537" w:rsidRPr="000D3D00" w:rsidRDefault="00822537" w:rsidP="00822537">
      <w:pPr>
        <w:pStyle w:val="Copyrightsubtitle"/>
        <w:spacing w:line="240" w:lineRule="auto"/>
        <w:rPr>
          <w:sz w:val="20"/>
          <w:szCs w:val="20"/>
        </w:rPr>
      </w:pPr>
      <w:r w:rsidRPr="000D3D00">
        <w:rPr>
          <w:sz w:val="20"/>
          <w:szCs w:val="20"/>
        </w:rPr>
        <w:t>Use of the Commonwealth Coat of Arms</w:t>
      </w:r>
    </w:p>
    <w:p w14:paraId="637BA385" w14:textId="77777777" w:rsidR="00822537" w:rsidRPr="00C10C4F" w:rsidRDefault="00822537" w:rsidP="00822537">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8" w:history="1">
        <w:r w:rsidRPr="00C10C4F">
          <w:rPr>
            <w:rStyle w:val="Hyperlink"/>
            <w:color w:val="auto"/>
            <w:spacing w:val="-4"/>
            <w:sz w:val="20"/>
          </w:rPr>
          <w:t>www.pmc.gov.au/government/commonwealth-coat-arms</w:t>
        </w:r>
      </w:hyperlink>
    </w:p>
    <w:p w14:paraId="193D2153" w14:textId="77777777" w:rsidR="00822537" w:rsidRPr="000D3D00" w:rsidRDefault="00822537" w:rsidP="00822537">
      <w:pPr>
        <w:pStyle w:val="Copyrightsubtitle"/>
        <w:spacing w:line="240" w:lineRule="auto"/>
        <w:rPr>
          <w:sz w:val="20"/>
          <w:szCs w:val="20"/>
        </w:rPr>
      </w:pPr>
      <w:r w:rsidRPr="000D3D00">
        <w:rPr>
          <w:sz w:val="20"/>
          <w:szCs w:val="20"/>
        </w:rPr>
        <w:t>Third party copyright</w:t>
      </w:r>
    </w:p>
    <w:p w14:paraId="5934383B" w14:textId="77777777" w:rsidR="00822537" w:rsidRPr="00AF60DC" w:rsidRDefault="00822537" w:rsidP="00822537">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435E096C" w14:textId="77777777" w:rsidR="00822537" w:rsidRPr="000D3D00" w:rsidRDefault="00822537" w:rsidP="00822537">
      <w:pPr>
        <w:pStyle w:val="Copyrightsubtitle"/>
        <w:spacing w:line="240" w:lineRule="auto"/>
        <w:rPr>
          <w:sz w:val="20"/>
          <w:szCs w:val="20"/>
        </w:rPr>
      </w:pPr>
      <w:r w:rsidRPr="000D3D00">
        <w:rPr>
          <w:sz w:val="20"/>
          <w:szCs w:val="20"/>
        </w:rPr>
        <w:t xml:space="preserve">An appropriate reference for this publication is: </w:t>
      </w:r>
    </w:p>
    <w:p w14:paraId="099C53D9" w14:textId="7C05B60D" w:rsidR="00822537" w:rsidRDefault="00822537" w:rsidP="00822537">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C10C4F" w:rsidRPr="00C10C4F">
        <w:rPr>
          <w:rFonts w:ascii="Times New Roman" w:hAnsi="Times New Roman"/>
          <w:b w:val="0"/>
          <w:i/>
          <w:iCs/>
          <w:sz w:val="20"/>
          <w:szCs w:val="20"/>
        </w:rPr>
        <w:t>Government investment in major water infrastructure</w:t>
      </w:r>
      <w:r w:rsidR="00C10C4F">
        <w:rPr>
          <w:rFonts w:ascii="Times New Roman" w:hAnsi="Times New Roman"/>
          <w:b w:val="0"/>
          <w:i/>
          <w:iCs/>
          <w:sz w:val="20"/>
          <w:szCs w:val="20"/>
        </w:rPr>
        <w:t>,</w:t>
      </w:r>
      <w:r w:rsidRPr="00791866">
        <w:rPr>
          <w:rFonts w:ascii="Times New Roman" w:hAnsi="Times New Roman"/>
          <w:b w:val="0"/>
          <w:i/>
          <w:iCs/>
          <w:sz w:val="20"/>
          <w:szCs w:val="20"/>
        </w:rPr>
        <w:t xml:space="preserve"> Supporting Paper </w:t>
      </w:r>
      <w:r>
        <w:rPr>
          <w:rFonts w:ascii="Times New Roman" w:hAnsi="Times New Roman"/>
          <w:b w:val="0"/>
          <w:i/>
          <w:iCs/>
          <w:sz w:val="20"/>
          <w:szCs w:val="20"/>
        </w:rPr>
        <w:t>I</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4D49569E" w14:textId="77777777" w:rsidR="00822537" w:rsidRPr="000D3D00" w:rsidRDefault="00822537" w:rsidP="00822537">
      <w:pPr>
        <w:pStyle w:val="Copyrightsubtitle"/>
        <w:spacing w:line="240" w:lineRule="auto"/>
        <w:rPr>
          <w:sz w:val="20"/>
          <w:szCs w:val="20"/>
        </w:rPr>
      </w:pPr>
      <w:r w:rsidRPr="000D3D00">
        <w:rPr>
          <w:sz w:val="20"/>
          <w:szCs w:val="20"/>
        </w:rPr>
        <w:t>Publications enquiries:</w:t>
      </w:r>
    </w:p>
    <w:p w14:paraId="74DCCE47" w14:textId="3F8B66F5" w:rsidR="00242FEA" w:rsidRPr="00C10C4F" w:rsidRDefault="00822537" w:rsidP="00C10C4F">
      <w:pPr>
        <w:pStyle w:val="Copyrightsubtitle"/>
        <w:spacing w:before="120" w:line="240" w:lineRule="auto"/>
      </w:pPr>
      <w:r w:rsidRPr="00C10C4F">
        <w:rPr>
          <w:rFonts w:ascii="Times New Roman" w:hAnsi="Times New Roman"/>
          <w:b w:val="0"/>
          <w:bCs/>
          <w:sz w:val="20"/>
          <w:szCs w:val="20"/>
        </w:rPr>
        <w:t xml:space="preserve">Media, Publications and Web, phone: (03) 9653 2244 or email: </w:t>
      </w:r>
      <w:hyperlink r:id="rId19" w:history="1">
        <w:r w:rsidRPr="00C10C4F">
          <w:rPr>
            <w:rStyle w:val="Hyperlink"/>
            <w:rFonts w:ascii="Times New Roman" w:hAnsi="Times New Roman"/>
            <w:b w:val="0"/>
            <w:bCs/>
            <w:color w:val="auto"/>
            <w:sz w:val="20"/>
            <w:szCs w:val="20"/>
          </w:rPr>
          <w:t>mpw@pc.gov.au</w:t>
        </w:r>
      </w:hyperlink>
    </w:p>
    <w:p w14:paraId="2166429D" w14:textId="77777777" w:rsidR="007C67FF" w:rsidRPr="00C10C4F" w:rsidRDefault="007C67FF" w:rsidP="00242FEA">
      <w:pPr>
        <w:keepNext/>
        <w:spacing w:before="160" w:after="1360" w:line="600" w:lineRule="exact"/>
        <w:ind w:left="907" w:hanging="907"/>
        <w:outlineLvl w:val="0"/>
        <w:rPr>
          <w:kern w:val="28"/>
          <w:sz w:val="52"/>
          <w:szCs w:val="26"/>
        </w:rPr>
        <w:sectPr w:rsidR="007C67FF" w:rsidRPr="00C10C4F" w:rsidSect="00A464B4">
          <w:pgSz w:w="11907" w:h="16840" w:code="9"/>
          <w:pgMar w:top="1985" w:right="1304" w:bottom="1247" w:left="1814" w:header="1701" w:footer="397" w:gutter="0"/>
          <w:pgNumType w:chapSep="period"/>
          <w:cols w:space="720"/>
        </w:sectPr>
      </w:pPr>
    </w:p>
    <w:p w14:paraId="67BB7768" w14:textId="693B422A" w:rsidR="00242FEA" w:rsidRDefault="00242FEA" w:rsidP="00242FEA">
      <w:pPr>
        <w:keepNext/>
        <w:spacing w:before="160" w:after="1360" w:line="600" w:lineRule="exact"/>
        <w:ind w:left="907" w:hanging="907"/>
        <w:outlineLvl w:val="0"/>
        <w:rPr>
          <w:kern w:val="28"/>
          <w:sz w:val="52"/>
          <w:szCs w:val="26"/>
        </w:rPr>
      </w:pPr>
      <w:r w:rsidRPr="00646617">
        <w:rPr>
          <w:kern w:val="28"/>
          <w:sz w:val="52"/>
          <w:szCs w:val="26"/>
        </w:rPr>
        <w:lastRenderedPageBreak/>
        <w:t>Contents</w:t>
      </w:r>
    </w:p>
    <w:sdt>
      <w:sdtPr>
        <w:rPr>
          <w:kern w:val="28"/>
          <w:sz w:val="52"/>
        </w:rPr>
        <w:id w:val="147336408"/>
        <w:docPartObj>
          <w:docPartGallery w:val="Table of Contents"/>
          <w:docPartUnique/>
        </w:docPartObj>
      </w:sdtPr>
      <w:sdtEndPr>
        <w:rPr>
          <w:kern w:val="0"/>
          <w:sz w:val="26"/>
        </w:rPr>
      </w:sdtEndPr>
      <w:sdtContent>
        <w:p w14:paraId="36F01410" w14:textId="58E70258" w:rsidR="00286CA7" w:rsidRDefault="00011666">
          <w:pPr>
            <w:pStyle w:val="TOC1"/>
            <w:rPr>
              <w:rFonts w:asciiTheme="minorHAnsi" w:eastAsiaTheme="minorEastAsia" w:hAnsiTheme="minorHAnsi" w:cstheme="minorBidi"/>
              <w:b w:val="0"/>
              <w:noProof/>
              <w:sz w:val="22"/>
              <w:szCs w:val="22"/>
              <w:lang w:eastAsia="en-AU"/>
            </w:rPr>
          </w:pPr>
          <w:r>
            <w:rPr>
              <w:kern w:val="28"/>
              <w:sz w:val="52"/>
            </w:rPr>
            <w:fldChar w:fldCharType="begin"/>
          </w:r>
          <w:r>
            <w:rPr>
              <w:kern w:val="28"/>
              <w:sz w:val="52"/>
            </w:rPr>
            <w:instrText xml:space="preserve"> TOC \t "Heading 1,1,Heading 2,1,Heading 3,2,Caption,1,Chapter,1,Part Title,1,Heading 1 (no chapter no.),1,Heading 2 (no section no.),1,Heading 3 (hanging),2" </w:instrText>
          </w:r>
          <w:r>
            <w:rPr>
              <w:kern w:val="28"/>
              <w:sz w:val="52"/>
            </w:rPr>
            <w:fldChar w:fldCharType="separate"/>
          </w:r>
          <w:r w:rsidR="00286CA7">
            <w:rPr>
              <w:noProof/>
            </w:rPr>
            <w:t>Key points</w:t>
          </w:r>
          <w:r w:rsidR="00286CA7">
            <w:rPr>
              <w:noProof/>
            </w:rPr>
            <w:tab/>
          </w:r>
          <w:r w:rsidR="00286CA7">
            <w:rPr>
              <w:noProof/>
            </w:rPr>
            <w:fldChar w:fldCharType="begin"/>
          </w:r>
          <w:r w:rsidR="00286CA7">
            <w:rPr>
              <w:noProof/>
            </w:rPr>
            <w:instrText xml:space="preserve"> PAGEREF _Toc62628675 \h </w:instrText>
          </w:r>
          <w:r w:rsidR="00286CA7">
            <w:rPr>
              <w:noProof/>
            </w:rPr>
          </w:r>
          <w:r w:rsidR="00286CA7">
            <w:rPr>
              <w:noProof/>
            </w:rPr>
            <w:fldChar w:fldCharType="separate"/>
          </w:r>
          <w:r w:rsidR="004D286B">
            <w:rPr>
              <w:noProof/>
            </w:rPr>
            <w:t>4</w:t>
          </w:r>
          <w:r w:rsidR="00286CA7">
            <w:rPr>
              <w:noProof/>
            </w:rPr>
            <w:fldChar w:fldCharType="end"/>
          </w:r>
        </w:p>
        <w:p w14:paraId="333E8992" w14:textId="288CB0FA" w:rsidR="00286CA7" w:rsidRDefault="00286CA7">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Background</w:t>
          </w:r>
          <w:r>
            <w:rPr>
              <w:noProof/>
            </w:rPr>
            <w:tab/>
          </w:r>
          <w:r>
            <w:rPr>
              <w:noProof/>
            </w:rPr>
            <w:fldChar w:fldCharType="begin"/>
          </w:r>
          <w:r>
            <w:rPr>
              <w:noProof/>
            </w:rPr>
            <w:instrText xml:space="preserve"> PAGEREF _Toc62628676 \h </w:instrText>
          </w:r>
          <w:r>
            <w:rPr>
              <w:noProof/>
            </w:rPr>
          </w:r>
          <w:r>
            <w:rPr>
              <w:noProof/>
            </w:rPr>
            <w:fldChar w:fldCharType="separate"/>
          </w:r>
          <w:r w:rsidR="004D286B">
            <w:rPr>
              <w:noProof/>
            </w:rPr>
            <w:t>5</w:t>
          </w:r>
          <w:r>
            <w:rPr>
              <w:noProof/>
            </w:rPr>
            <w:fldChar w:fldCharType="end"/>
          </w:r>
        </w:p>
        <w:p w14:paraId="01308521" w14:textId="763541C6"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The cost of uneconomic water investment motivated reform</w:t>
          </w:r>
          <w:r>
            <w:rPr>
              <w:noProof/>
            </w:rPr>
            <w:tab/>
          </w:r>
          <w:r>
            <w:rPr>
              <w:noProof/>
            </w:rPr>
            <w:fldChar w:fldCharType="begin"/>
          </w:r>
          <w:r>
            <w:rPr>
              <w:noProof/>
            </w:rPr>
            <w:instrText xml:space="preserve"> PAGEREF _Toc62628677 \h </w:instrText>
          </w:r>
          <w:r>
            <w:rPr>
              <w:noProof/>
            </w:rPr>
          </w:r>
          <w:r>
            <w:rPr>
              <w:noProof/>
            </w:rPr>
            <w:fldChar w:fldCharType="separate"/>
          </w:r>
          <w:r w:rsidR="004D286B">
            <w:rPr>
              <w:noProof/>
            </w:rPr>
            <w:t>5</w:t>
          </w:r>
          <w:r>
            <w:rPr>
              <w:noProof/>
            </w:rPr>
            <w:fldChar w:fldCharType="end"/>
          </w:r>
        </w:p>
        <w:p w14:paraId="3D6FE35C" w14:textId="6DF5F9F6"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NWI targets economically viable and ecologically sustainable infrastructure</w:t>
          </w:r>
          <w:r>
            <w:rPr>
              <w:noProof/>
            </w:rPr>
            <w:tab/>
          </w:r>
          <w:r>
            <w:rPr>
              <w:noProof/>
            </w:rPr>
            <w:fldChar w:fldCharType="begin"/>
          </w:r>
          <w:r>
            <w:rPr>
              <w:noProof/>
            </w:rPr>
            <w:instrText xml:space="preserve"> PAGEREF _Toc62628678 \h </w:instrText>
          </w:r>
          <w:r>
            <w:rPr>
              <w:noProof/>
            </w:rPr>
          </w:r>
          <w:r>
            <w:rPr>
              <w:noProof/>
            </w:rPr>
            <w:fldChar w:fldCharType="separate"/>
          </w:r>
          <w:r w:rsidR="004D286B">
            <w:rPr>
              <w:noProof/>
            </w:rPr>
            <w:t>6</w:t>
          </w:r>
          <w:r>
            <w:rPr>
              <w:noProof/>
            </w:rPr>
            <w:fldChar w:fldCharType="end"/>
          </w:r>
        </w:p>
        <w:p w14:paraId="087205E3" w14:textId="14633212"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Most infrastructure investment is undertaken by service providers …</w:t>
          </w:r>
          <w:r>
            <w:rPr>
              <w:noProof/>
            </w:rPr>
            <w:tab/>
          </w:r>
          <w:r>
            <w:rPr>
              <w:noProof/>
            </w:rPr>
            <w:fldChar w:fldCharType="begin"/>
          </w:r>
          <w:r>
            <w:rPr>
              <w:noProof/>
            </w:rPr>
            <w:instrText xml:space="preserve"> PAGEREF _Toc62628679 \h </w:instrText>
          </w:r>
          <w:r>
            <w:rPr>
              <w:noProof/>
            </w:rPr>
          </w:r>
          <w:r>
            <w:rPr>
              <w:noProof/>
            </w:rPr>
            <w:fldChar w:fldCharType="separate"/>
          </w:r>
          <w:r w:rsidR="004D286B">
            <w:rPr>
              <w:noProof/>
            </w:rPr>
            <w:t>7</w:t>
          </w:r>
          <w:r>
            <w:rPr>
              <w:noProof/>
            </w:rPr>
            <w:fldChar w:fldCharType="end"/>
          </w:r>
        </w:p>
        <w:p w14:paraId="19587CA8" w14:textId="470B3ECD" w:rsidR="00286CA7" w:rsidRDefault="00286CA7" w:rsidP="00C10C4F">
          <w:pPr>
            <w:pStyle w:val="TOC2"/>
            <w:tabs>
              <w:tab w:val="left" w:pos="1134"/>
            </w:tabs>
            <w:ind w:right="425"/>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sidRPr="00C10C4F">
            <w:rPr>
              <w:noProof/>
              <w:spacing w:val="-4"/>
            </w:rPr>
            <w:t>… but government enthusiasm for public investment is strong</w:t>
          </w:r>
          <w:r>
            <w:rPr>
              <w:noProof/>
            </w:rPr>
            <w:tab/>
          </w:r>
          <w:r>
            <w:rPr>
              <w:noProof/>
            </w:rPr>
            <w:fldChar w:fldCharType="begin"/>
          </w:r>
          <w:r>
            <w:rPr>
              <w:noProof/>
            </w:rPr>
            <w:instrText xml:space="preserve"> PAGEREF _Toc62628680 \h </w:instrText>
          </w:r>
          <w:r>
            <w:rPr>
              <w:noProof/>
            </w:rPr>
          </w:r>
          <w:r>
            <w:rPr>
              <w:noProof/>
            </w:rPr>
            <w:fldChar w:fldCharType="separate"/>
          </w:r>
          <w:r w:rsidR="004D286B">
            <w:rPr>
              <w:noProof/>
            </w:rPr>
            <w:t>7</w:t>
          </w:r>
          <w:r>
            <w:rPr>
              <w:noProof/>
            </w:rPr>
            <w:fldChar w:fldCharType="end"/>
          </w:r>
        </w:p>
        <w:p w14:paraId="72B2EC6E" w14:textId="4ADBC815" w:rsidR="00286CA7" w:rsidRDefault="00286CA7">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Issues with government investment in water infrastructure</w:t>
          </w:r>
          <w:r>
            <w:rPr>
              <w:noProof/>
            </w:rPr>
            <w:tab/>
          </w:r>
          <w:r>
            <w:rPr>
              <w:noProof/>
            </w:rPr>
            <w:fldChar w:fldCharType="begin"/>
          </w:r>
          <w:r>
            <w:rPr>
              <w:noProof/>
            </w:rPr>
            <w:instrText xml:space="preserve"> PAGEREF _Toc62628681 \h </w:instrText>
          </w:r>
          <w:r>
            <w:rPr>
              <w:noProof/>
            </w:rPr>
          </w:r>
          <w:r>
            <w:rPr>
              <w:noProof/>
            </w:rPr>
            <w:fldChar w:fldCharType="separate"/>
          </w:r>
          <w:r w:rsidR="004D286B">
            <w:rPr>
              <w:noProof/>
            </w:rPr>
            <w:t>9</w:t>
          </w:r>
          <w:r>
            <w:rPr>
              <w:noProof/>
            </w:rPr>
            <w:fldChar w:fldCharType="end"/>
          </w:r>
        </w:p>
        <w:p w14:paraId="55252907" w14:textId="140B7539"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Inadequate project assessment and selection processes</w:t>
          </w:r>
          <w:r>
            <w:rPr>
              <w:noProof/>
            </w:rPr>
            <w:tab/>
          </w:r>
          <w:r>
            <w:rPr>
              <w:noProof/>
            </w:rPr>
            <w:fldChar w:fldCharType="begin"/>
          </w:r>
          <w:r>
            <w:rPr>
              <w:noProof/>
            </w:rPr>
            <w:instrText xml:space="preserve"> PAGEREF _Toc62628682 \h </w:instrText>
          </w:r>
          <w:r>
            <w:rPr>
              <w:noProof/>
            </w:rPr>
          </w:r>
          <w:r>
            <w:rPr>
              <w:noProof/>
            </w:rPr>
            <w:fldChar w:fldCharType="separate"/>
          </w:r>
          <w:r w:rsidR="004D286B">
            <w:rPr>
              <w:noProof/>
            </w:rPr>
            <w:t>11</w:t>
          </w:r>
          <w:r>
            <w:rPr>
              <w:noProof/>
            </w:rPr>
            <w:fldChar w:fldCharType="end"/>
          </w:r>
        </w:p>
        <w:p w14:paraId="0DA3CF22" w14:textId="15AD07C4" w:rsidR="00286CA7" w:rsidRDefault="00286CA7">
          <w:pPr>
            <w:pStyle w:val="TOC2"/>
            <w:tabs>
              <w:tab w:val="left" w:pos="1134"/>
            </w:tabs>
            <w:rPr>
              <w:rFonts w:asciiTheme="minorHAnsi" w:eastAsiaTheme="minorEastAsia" w:hAnsiTheme="minorHAnsi" w:cstheme="minorBidi"/>
              <w:noProof/>
              <w:sz w:val="22"/>
              <w:szCs w:val="22"/>
              <w:lang w:eastAsia="en-AU"/>
            </w:rPr>
          </w:pPr>
          <w:r w:rsidRPr="00E914BF">
            <w:rPr>
              <w:noProof/>
              <w:spacing w:val="-2"/>
            </w:rPr>
            <w:t>2.2</w:t>
          </w:r>
          <w:r>
            <w:rPr>
              <w:rFonts w:asciiTheme="minorHAnsi" w:eastAsiaTheme="minorEastAsia" w:hAnsiTheme="minorHAnsi" w:cstheme="minorBidi"/>
              <w:noProof/>
              <w:sz w:val="22"/>
              <w:szCs w:val="22"/>
              <w:lang w:eastAsia="en-AU"/>
            </w:rPr>
            <w:tab/>
          </w:r>
          <w:r w:rsidRPr="00E914BF">
            <w:rPr>
              <w:noProof/>
              <w:spacing w:val="-2"/>
            </w:rPr>
            <w:t>The case for rural water infrastructure subsidies is not clear</w:t>
          </w:r>
          <w:r>
            <w:rPr>
              <w:noProof/>
            </w:rPr>
            <w:tab/>
          </w:r>
          <w:r>
            <w:rPr>
              <w:noProof/>
            </w:rPr>
            <w:fldChar w:fldCharType="begin"/>
          </w:r>
          <w:r>
            <w:rPr>
              <w:noProof/>
            </w:rPr>
            <w:instrText xml:space="preserve"> PAGEREF _Toc62628683 \h </w:instrText>
          </w:r>
          <w:r>
            <w:rPr>
              <w:noProof/>
            </w:rPr>
          </w:r>
          <w:r>
            <w:rPr>
              <w:noProof/>
            </w:rPr>
            <w:fldChar w:fldCharType="separate"/>
          </w:r>
          <w:r w:rsidR="004D286B">
            <w:rPr>
              <w:noProof/>
            </w:rPr>
            <w:t>14</w:t>
          </w:r>
          <w:r>
            <w:rPr>
              <w:noProof/>
            </w:rPr>
            <w:fldChar w:fldCharType="end"/>
          </w:r>
        </w:p>
        <w:p w14:paraId="604DF9CE" w14:textId="37DB42F3"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Climate change elevates the need for careful project selection</w:t>
          </w:r>
          <w:r>
            <w:rPr>
              <w:noProof/>
            </w:rPr>
            <w:tab/>
          </w:r>
          <w:r>
            <w:rPr>
              <w:noProof/>
            </w:rPr>
            <w:fldChar w:fldCharType="begin"/>
          </w:r>
          <w:r>
            <w:rPr>
              <w:noProof/>
            </w:rPr>
            <w:instrText xml:space="preserve"> PAGEREF _Toc62628684 \h </w:instrText>
          </w:r>
          <w:r>
            <w:rPr>
              <w:noProof/>
            </w:rPr>
          </w:r>
          <w:r>
            <w:rPr>
              <w:noProof/>
            </w:rPr>
            <w:fldChar w:fldCharType="separate"/>
          </w:r>
          <w:r w:rsidR="004D286B">
            <w:rPr>
              <w:noProof/>
            </w:rPr>
            <w:t>17</w:t>
          </w:r>
          <w:r>
            <w:rPr>
              <w:noProof/>
            </w:rPr>
            <w:fldChar w:fldCharType="end"/>
          </w:r>
        </w:p>
        <w:p w14:paraId="2A75455B" w14:textId="410D4351"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Should the NWI be amended?</w:t>
          </w:r>
          <w:r>
            <w:rPr>
              <w:noProof/>
            </w:rPr>
            <w:tab/>
          </w:r>
          <w:r>
            <w:rPr>
              <w:noProof/>
            </w:rPr>
            <w:fldChar w:fldCharType="begin"/>
          </w:r>
          <w:r>
            <w:rPr>
              <w:noProof/>
            </w:rPr>
            <w:instrText xml:space="preserve"> PAGEREF _Toc62628685 \h </w:instrText>
          </w:r>
          <w:r>
            <w:rPr>
              <w:noProof/>
            </w:rPr>
          </w:r>
          <w:r>
            <w:rPr>
              <w:noProof/>
            </w:rPr>
            <w:fldChar w:fldCharType="separate"/>
          </w:r>
          <w:r w:rsidR="004D286B">
            <w:rPr>
              <w:noProof/>
            </w:rPr>
            <w:t>17</w:t>
          </w:r>
          <w:r>
            <w:rPr>
              <w:noProof/>
            </w:rPr>
            <w:fldChar w:fldCharType="end"/>
          </w:r>
        </w:p>
        <w:p w14:paraId="6FF26EA6" w14:textId="047F7C08" w:rsidR="00286CA7" w:rsidRDefault="00286CA7">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A framework for investment in major water infrastructure</w:t>
          </w:r>
          <w:r>
            <w:rPr>
              <w:noProof/>
            </w:rPr>
            <w:tab/>
          </w:r>
          <w:r>
            <w:rPr>
              <w:noProof/>
            </w:rPr>
            <w:fldChar w:fldCharType="begin"/>
          </w:r>
          <w:r>
            <w:rPr>
              <w:noProof/>
            </w:rPr>
            <w:instrText xml:space="preserve"> PAGEREF _Toc62628686 \h </w:instrText>
          </w:r>
          <w:r>
            <w:rPr>
              <w:noProof/>
            </w:rPr>
          </w:r>
          <w:r>
            <w:rPr>
              <w:noProof/>
            </w:rPr>
            <w:fldChar w:fldCharType="separate"/>
          </w:r>
          <w:r w:rsidR="004D286B">
            <w:rPr>
              <w:noProof/>
            </w:rPr>
            <w:t>18</w:t>
          </w:r>
          <w:r>
            <w:rPr>
              <w:noProof/>
            </w:rPr>
            <w:fldChar w:fldCharType="end"/>
          </w:r>
        </w:p>
        <w:p w14:paraId="428BD828" w14:textId="2C351127"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Project assessment and selection processes</w:t>
          </w:r>
          <w:r>
            <w:rPr>
              <w:noProof/>
            </w:rPr>
            <w:tab/>
          </w:r>
          <w:r>
            <w:rPr>
              <w:noProof/>
            </w:rPr>
            <w:fldChar w:fldCharType="begin"/>
          </w:r>
          <w:r>
            <w:rPr>
              <w:noProof/>
            </w:rPr>
            <w:instrText xml:space="preserve"> PAGEREF _Toc62628687 \h </w:instrText>
          </w:r>
          <w:r>
            <w:rPr>
              <w:noProof/>
            </w:rPr>
          </w:r>
          <w:r>
            <w:rPr>
              <w:noProof/>
            </w:rPr>
            <w:fldChar w:fldCharType="separate"/>
          </w:r>
          <w:r w:rsidR="004D286B">
            <w:rPr>
              <w:noProof/>
            </w:rPr>
            <w:t>19</w:t>
          </w:r>
          <w:r>
            <w:rPr>
              <w:noProof/>
            </w:rPr>
            <w:fldChar w:fldCharType="end"/>
          </w:r>
        </w:p>
        <w:p w14:paraId="09F04822" w14:textId="4564D079"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Criteria for infrastructure development under the NWI</w:t>
          </w:r>
          <w:r>
            <w:rPr>
              <w:noProof/>
            </w:rPr>
            <w:tab/>
          </w:r>
          <w:r>
            <w:rPr>
              <w:noProof/>
            </w:rPr>
            <w:fldChar w:fldCharType="begin"/>
          </w:r>
          <w:r>
            <w:rPr>
              <w:noProof/>
            </w:rPr>
            <w:instrText xml:space="preserve"> PAGEREF _Toc62628688 \h </w:instrText>
          </w:r>
          <w:r>
            <w:rPr>
              <w:noProof/>
            </w:rPr>
          </w:r>
          <w:r>
            <w:rPr>
              <w:noProof/>
            </w:rPr>
            <w:fldChar w:fldCharType="separate"/>
          </w:r>
          <w:r w:rsidR="004D286B">
            <w:rPr>
              <w:noProof/>
            </w:rPr>
            <w:t>21</w:t>
          </w:r>
          <w:r>
            <w:rPr>
              <w:noProof/>
            </w:rPr>
            <w:fldChar w:fldCharType="end"/>
          </w:r>
        </w:p>
        <w:p w14:paraId="620BEC68" w14:textId="28EA1CD5"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Cost sharing between users and governments</w:t>
          </w:r>
          <w:r>
            <w:rPr>
              <w:noProof/>
            </w:rPr>
            <w:tab/>
          </w:r>
          <w:r>
            <w:rPr>
              <w:noProof/>
            </w:rPr>
            <w:fldChar w:fldCharType="begin"/>
          </w:r>
          <w:r>
            <w:rPr>
              <w:noProof/>
            </w:rPr>
            <w:instrText xml:space="preserve"> PAGEREF _Toc62628689 \h </w:instrText>
          </w:r>
          <w:r>
            <w:rPr>
              <w:noProof/>
            </w:rPr>
          </w:r>
          <w:r>
            <w:rPr>
              <w:noProof/>
            </w:rPr>
            <w:fldChar w:fldCharType="separate"/>
          </w:r>
          <w:r w:rsidR="004D286B">
            <w:rPr>
              <w:noProof/>
            </w:rPr>
            <w:t>26</w:t>
          </w:r>
          <w:r>
            <w:rPr>
              <w:noProof/>
            </w:rPr>
            <w:fldChar w:fldCharType="end"/>
          </w:r>
        </w:p>
        <w:p w14:paraId="7E794A7D" w14:textId="7A57BFE9"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Water allocation</w:t>
          </w:r>
          <w:r>
            <w:rPr>
              <w:noProof/>
            </w:rPr>
            <w:tab/>
          </w:r>
          <w:r>
            <w:rPr>
              <w:noProof/>
            </w:rPr>
            <w:fldChar w:fldCharType="begin"/>
          </w:r>
          <w:r>
            <w:rPr>
              <w:noProof/>
            </w:rPr>
            <w:instrText xml:space="preserve"> PAGEREF _Toc62628690 \h </w:instrText>
          </w:r>
          <w:r>
            <w:rPr>
              <w:noProof/>
            </w:rPr>
          </w:r>
          <w:r>
            <w:rPr>
              <w:noProof/>
            </w:rPr>
            <w:fldChar w:fldCharType="separate"/>
          </w:r>
          <w:r w:rsidR="004D286B">
            <w:rPr>
              <w:noProof/>
            </w:rPr>
            <w:t>31</w:t>
          </w:r>
          <w:r>
            <w:rPr>
              <w:noProof/>
            </w:rPr>
            <w:fldChar w:fldCharType="end"/>
          </w:r>
        </w:p>
        <w:p w14:paraId="0E2B8F28" w14:textId="6CD536A2" w:rsidR="00286CA7" w:rsidRDefault="00286CA7">
          <w:pPr>
            <w:pStyle w:val="TOC2"/>
            <w:tabs>
              <w:tab w:val="left" w:pos="1134"/>
            </w:tabs>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Institutional arrangements</w:t>
          </w:r>
          <w:r>
            <w:rPr>
              <w:noProof/>
            </w:rPr>
            <w:tab/>
          </w:r>
          <w:r>
            <w:rPr>
              <w:noProof/>
            </w:rPr>
            <w:fldChar w:fldCharType="begin"/>
          </w:r>
          <w:r>
            <w:rPr>
              <w:noProof/>
            </w:rPr>
            <w:instrText xml:space="preserve"> PAGEREF _Toc62628691 \h </w:instrText>
          </w:r>
          <w:r>
            <w:rPr>
              <w:noProof/>
            </w:rPr>
          </w:r>
          <w:r>
            <w:rPr>
              <w:noProof/>
            </w:rPr>
            <w:fldChar w:fldCharType="separate"/>
          </w:r>
          <w:r w:rsidR="004D286B">
            <w:rPr>
              <w:noProof/>
            </w:rPr>
            <w:t>32</w:t>
          </w:r>
          <w:r>
            <w:rPr>
              <w:noProof/>
            </w:rPr>
            <w:fldChar w:fldCharType="end"/>
          </w:r>
        </w:p>
        <w:p w14:paraId="381F9AD1" w14:textId="242D157F" w:rsidR="00286CA7" w:rsidRDefault="00286CA7">
          <w:pPr>
            <w:pStyle w:val="TOC1"/>
            <w:rPr>
              <w:rFonts w:asciiTheme="minorHAnsi" w:eastAsiaTheme="minorEastAsia" w:hAnsiTheme="minorHAnsi" w:cstheme="minorBidi"/>
              <w:b w:val="0"/>
              <w:noProof/>
              <w:sz w:val="22"/>
              <w:szCs w:val="22"/>
              <w:lang w:eastAsia="en-AU"/>
            </w:rPr>
          </w:pPr>
          <w:r>
            <w:rPr>
              <w:noProof/>
            </w:rPr>
            <w:t>4</w:t>
          </w:r>
          <w:r>
            <w:rPr>
              <w:rFonts w:asciiTheme="minorHAnsi" w:eastAsiaTheme="minorEastAsia" w:hAnsiTheme="minorHAnsi" w:cstheme="minorBidi"/>
              <w:b w:val="0"/>
              <w:noProof/>
              <w:sz w:val="22"/>
              <w:szCs w:val="22"/>
              <w:lang w:eastAsia="en-AU"/>
            </w:rPr>
            <w:tab/>
          </w:r>
          <w:r>
            <w:rPr>
              <w:noProof/>
            </w:rPr>
            <w:t>NWI renewal</w:t>
          </w:r>
          <w:r>
            <w:rPr>
              <w:noProof/>
            </w:rPr>
            <w:tab/>
          </w:r>
          <w:r>
            <w:rPr>
              <w:noProof/>
            </w:rPr>
            <w:fldChar w:fldCharType="begin"/>
          </w:r>
          <w:r>
            <w:rPr>
              <w:noProof/>
            </w:rPr>
            <w:instrText xml:space="preserve"> PAGEREF _Toc62628692 \h </w:instrText>
          </w:r>
          <w:r>
            <w:rPr>
              <w:noProof/>
            </w:rPr>
          </w:r>
          <w:r>
            <w:rPr>
              <w:noProof/>
            </w:rPr>
            <w:fldChar w:fldCharType="separate"/>
          </w:r>
          <w:r w:rsidR="004D286B">
            <w:rPr>
              <w:noProof/>
            </w:rPr>
            <w:t>34</w:t>
          </w:r>
          <w:r>
            <w:rPr>
              <w:noProof/>
            </w:rPr>
            <w:fldChar w:fldCharType="end"/>
          </w:r>
        </w:p>
        <w:p w14:paraId="2F8320FD" w14:textId="086D4C87" w:rsidR="00286CA7" w:rsidRDefault="00286CA7">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_Toc62628693 \h </w:instrText>
          </w:r>
          <w:r>
            <w:rPr>
              <w:noProof/>
            </w:rPr>
          </w:r>
          <w:r>
            <w:rPr>
              <w:noProof/>
            </w:rPr>
            <w:fldChar w:fldCharType="separate"/>
          </w:r>
          <w:r w:rsidR="004D286B">
            <w:rPr>
              <w:noProof/>
            </w:rPr>
            <w:t>38</w:t>
          </w:r>
          <w:r>
            <w:rPr>
              <w:noProof/>
            </w:rPr>
            <w:fldChar w:fldCharType="end"/>
          </w:r>
        </w:p>
        <w:p w14:paraId="14136362" w14:textId="15DB16A4" w:rsidR="00011666" w:rsidRPr="00C10C4F" w:rsidRDefault="00011666" w:rsidP="00011666">
          <w:pPr>
            <w:pStyle w:val="TOC1"/>
            <w:rPr>
              <w:rStyle w:val="BodyTextChar"/>
            </w:rPr>
          </w:pPr>
          <w:r>
            <w:rPr>
              <w:kern w:val="28"/>
              <w:sz w:val="52"/>
            </w:rPr>
            <w:fldChar w:fldCharType="end"/>
          </w:r>
        </w:p>
      </w:sdtContent>
    </w:sdt>
    <w:p w14:paraId="60034A7D" w14:textId="77777777" w:rsidR="00CC56CA" w:rsidRDefault="00CC56CA" w:rsidP="00CC56CA">
      <w:pPr>
        <w:pStyle w:val="BodyText"/>
        <w:rPr>
          <w:lang w:eastAsia="en-US"/>
        </w:rPr>
        <w:sectPr w:rsidR="00CC56CA" w:rsidSect="00C10C4F">
          <w:headerReference w:type="default" r:id="rId20"/>
          <w:footerReference w:type="default" r:id="rId21"/>
          <w:type w:val="oddPage"/>
          <w:pgSz w:w="11907" w:h="16840" w:code="9"/>
          <w:pgMar w:top="1985" w:right="1304" w:bottom="1247" w:left="1814" w:header="1701" w:footer="397" w:gutter="0"/>
          <w:pgNumType w:chapSep="period"/>
          <w:cols w:space="720"/>
        </w:sectPr>
      </w:pPr>
    </w:p>
    <w:p w14:paraId="11005F5B" w14:textId="5656EE5D" w:rsidR="00CC56CA" w:rsidRPr="00CC56CA" w:rsidRDefault="00CC56CA" w:rsidP="007D4F6C">
      <w:pPr>
        <w:pStyle w:val="BoxSpaceAbove"/>
        <w:spacing w:before="0"/>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5D4227" w14:paraId="27452A29" w14:textId="77777777" w:rsidTr="00D233B3">
        <w:tc>
          <w:tcPr>
            <w:tcW w:w="5000" w:type="pct"/>
            <w:tcBorders>
              <w:top w:val="single" w:sz="4" w:space="0" w:color="78A22F" w:themeColor="accent1"/>
              <w:left w:val="nil"/>
              <w:bottom w:val="nil"/>
              <w:right w:val="nil"/>
            </w:tcBorders>
            <w:shd w:val="clear" w:color="auto" w:fill="F2F2F2"/>
          </w:tcPr>
          <w:p w14:paraId="66CB7B46" w14:textId="37ECFE70" w:rsidR="005D4227" w:rsidRDefault="005D4227" w:rsidP="00242FEA">
            <w:pPr>
              <w:pStyle w:val="Caption"/>
              <w:spacing w:before="120" w:after="0"/>
            </w:pPr>
            <w:bookmarkStart w:id="2" w:name="begin"/>
            <w:bookmarkStart w:id="3" w:name="_Toc62628675"/>
            <w:bookmarkEnd w:id="2"/>
            <w:r>
              <w:t xml:space="preserve">Key </w:t>
            </w:r>
            <w:r w:rsidR="00A06528">
              <w:t>points</w:t>
            </w:r>
            <w:bookmarkEnd w:id="3"/>
          </w:p>
        </w:tc>
      </w:tr>
      <w:tr w:rsidR="005D4227" w14:paraId="1A155413" w14:textId="77777777" w:rsidTr="00D233B3">
        <w:tc>
          <w:tcPr>
            <w:tcW w:w="5000" w:type="pct"/>
            <w:tcBorders>
              <w:top w:val="nil"/>
              <w:left w:val="nil"/>
              <w:bottom w:val="nil"/>
              <w:right w:val="nil"/>
            </w:tcBorders>
            <w:shd w:val="clear" w:color="auto" w:fill="F2F2F2"/>
          </w:tcPr>
          <w:p w14:paraId="32531400" w14:textId="5B83400E" w:rsidR="00584F79" w:rsidRDefault="001F0373" w:rsidP="00393BCA">
            <w:pPr>
              <w:pStyle w:val="KeyPointsListBullet"/>
              <w:ind w:left="284" w:hanging="284"/>
            </w:pPr>
            <w:r>
              <w:t>Under the</w:t>
            </w:r>
            <w:r w:rsidR="00584F79" w:rsidRPr="009D08CC">
              <w:t xml:space="preserve"> National Water Initiative (NWI)</w:t>
            </w:r>
            <w:r>
              <w:t>, all jurisdictions agreed</w:t>
            </w:r>
            <w:r w:rsidR="00584F79" w:rsidRPr="009D08CC">
              <w:t xml:space="preserve"> that </w:t>
            </w:r>
            <w:r w:rsidR="00427623">
              <w:t xml:space="preserve">proposals for </w:t>
            </w:r>
            <w:r w:rsidR="00584F79" w:rsidRPr="009D08CC">
              <w:t xml:space="preserve">new and refurbished water </w:t>
            </w:r>
            <w:r w:rsidR="00F950A2">
              <w:t xml:space="preserve">infrastructure </w:t>
            </w:r>
            <w:r w:rsidR="00F950A2" w:rsidRPr="00173121">
              <w:t>(</w:t>
            </w:r>
            <w:r w:rsidR="00F950A2">
              <w:t xml:space="preserve">such as </w:t>
            </w:r>
            <w:r w:rsidR="0022061F">
              <w:t xml:space="preserve">dams </w:t>
            </w:r>
            <w:r w:rsidR="00F950A2" w:rsidRPr="00173121">
              <w:t xml:space="preserve">and </w:t>
            </w:r>
            <w:r w:rsidR="00F950A2">
              <w:t>irrigation distribution networks)</w:t>
            </w:r>
            <w:r w:rsidR="00584F79" w:rsidRPr="009D08CC">
              <w:t xml:space="preserve"> </w:t>
            </w:r>
            <w:r w:rsidR="008B4E83">
              <w:t>would</w:t>
            </w:r>
            <w:r w:rsidR="00584F79" w:rsidRPr="009D08CC">
              <w:t xml:space="preserve"> be assessed as both economically viable and ecologically sustainable prio</w:t>
            </w:r>
            <w:r w:rsidR="00F950A2">
              <w:t xml:space="preserve">r to </w:t>
            </w:r>
            <w:r w:rsidR="00427623">
              <w:t xml:space="preserve">any </w:t>
            </w:r>
            <w:r w:rsidR="00E532EB">
              <w:t xml:space="preserve">investment occurring, </w:t>
            </w:r>
            <w:r w:rsidR="0035019A">
              <w:t>and that costs would be recovered from users</w:t>
            </w:r>
            <w:r w:rsidR="00DB6373">
              <w:t xml:space="preserve"> in most cases</w:t>
            </w:r>
            <w:r w:rsidR="00CF4385">
              <w:t>.</w:t>
            </w:r>
          </w:p>
          <w:p w14:paraId="33CDD7A7" w14:textId="2521FF59" w:rsidR="00F950A2" w:rsidRDefault="00E532EB" w:rsidP="00C63C5D">
            <w:pPr>
              <w:pStyle w:val="KeyPointsListBullet2"/>
            </w:pPr>
            <w:r>
              <w:t xml:space="preserve">Failure to </w:t>
            </w:r>
            <w:r w:rsidR="001729CB">
              <w:t xml:space="preserve">abide by this principle </w:t>
            </w:r>
            <w:r w:rsidR="00427623">
              <w:t xml:space="preserve">can </w:t>
            </w:r>
            <w:r w:rsidR="00C55854">
              <w:t>burden</w:t>
            </w:r>
            <w:r w:rsidR="00F950A2">
              <w:t xml:space="preserve"> taxpayers with ongoing </w:t>
            </w:r>
            <w:r w:rsidR="00427623">
              <w:t>costs</w:t>
            </w:r>
            <w:r w:rsidR="00F950A2">
              <w:t>,</w:t>
            </w:r>
            <w:r w:rsidR="00B81982">
              <w:t xml:space="preserve"> discourage efficient water use</w:t>
            </w:r>
            <w:r w:rsidR="00F950A2">
              <w:t xml:space="preserve"> and </w:t>
            </w:r>
            <w:r w:rsidR="001729CB">
              <w:t>result in long</w:t>
            </w:r>
            <w:r w:rsidR="001729CB">
              <w:noBreakHyphen/>
              <w:t xml:space="preserve">lived </w:t>
            </w:r>
            <w:r w:rsidR="0022061F">
              <w:t>impact</w:t>
            </w:r>
            <w:r w:rsidR="001729CB">
              <w:t>s</w:t>
            </w:r>
            <w:r w:rsidR="0022061F">
              <w:t xml:space="preserve"> on</w:t>
            </w:r>
            <w:r>
              <w:t xml:space="preserve"> </w:t>
            </w:r>
            <w:r w:rsidR="00427623">
              <w:t xml:space="preserve">communities and </w:t>
            </w:r>
            <w:r w:rsidR="001729CB">
              <w:t xml:space="preserve">the </w:t>
            </w:r>
            <w:r w:rsidR="00427623">
              <w:t>environment.</w:t>
            </w:r>
          </w:p>
          <w:p w14:paraId="7B7756FC" w14:textId="3E06EC73" w:rsidR="0070608C" w:rsidRDefault="004A1B93" w:rsidP="00393BCA">
            <w:pPr>
              <w:pStyle w:val="KeyPointsListBullet"/>
              <w:ind w:left="284" w:hanging="284"/>
            </w:pPr>
            <w:r>
              <w:t>M</w:t>
            </w:r>
            <w:r w:rsidR="00F5519D">
              <w:t xml:space="preserve">ultiple governments are </w:t>
            </w:r>
            <w:r w:rsidR="001729CB">
              <w:t>planning major</w:t>
            </w:r>
            <w:r w:rsidR="00CF4385">
              <w:t xml:space="preserve"> investment</w:t>
            </w:r>
            <w:r w:rsidR="001729CB">
              <w:t>s</w:t>
            </w:r>
            <w:r w:rsidR="000E766A">
              <w:t xml:space="preserve"> in water infrastructure —</w:t>
            </w:r>
            <w:r w:rsidR="001729CB">
              <w:t xml:space="preserve"> </w:t>
            </w:r>
            <w:r w:rsidR="00FD1938">
              <w:t>including</w:t>
            </w:r>
            <w:r w:rsidR="007F1FDB">
              <w:t xml:space="preserve"> </w:t>
            </w:r>
            <w:r w:rsidR="00FD1938">
              <w:t>projects that have not demonstrated compliance with the NWI</w:t>
            </w:r>
            <w:r w:rsidR="001729CB">
              <w:t xml:space="preserve"> </w:t>
            </w:r>
            <w:r>
              <w:t>requirements</w:t>
            </w:r>
            <w:r w:rsidR="003C19E6">
              <w:t>.</w:t>
            </w:r>
          </w:p>
          <w:p w14:paraId="59351B34" w14:textId="4F06CC22" w:rsidR="001671F4" w:rsidRDefault="001729CB" w:rsidP="00393BCA">
            <w:pPr>
              <w:pStyle w:val="KeyPointsListBullet"/>
              <w:ind w:left="284" w:hanging="284"/>
            </w:pPr>
            <w:r>
              <w:t xml:space="preserve">Although the NWI </w:t>
            </w:r>
            <w:r w:rsidR="000E766A">
              <w:t xml:space="preserve">requirements are </w:t>
            </w:r>
            <w:r w:rsidR="00AC152E">
              <w:t>sound</w:t>
            </w:r>
            <w:r>
              <w:t>,</w:t>
            </w:r>
            <w:r w:rsidR="00617BC4">
              <w:t xml:space="preserve"> and should be retained</w:t>
            </w:r>
            <w:r w:rsidR="00AC152E">
              <w:t xml:space="preserve">, </w:t>
            </w:r>
            <w:r w:rsidR="00DF40AB">
              <w:t xml:space="preserve">the agreement </w:t>
            </w:r>
            <w:r w:rsidR="0022061F">
              <w:t>has little to say on</w:t>
            </w:r>
            <w:r w:rsidR="00DF40AB" w:rsidRPr="00DF40AB">
              <w:t xml:space="preserve"> </w:t>
            </w:r>
            <w:r>
              <w:t xml:space="preserve">criteria </w:t>
            </w:r>
            <w:r w:rsidR="00CC0B22">
              <w:t xml:space="preserve">for demonstrating </w:t>
            </w:r>
            <w:r w:rsidR="003C19E6">
              <w:t xml:space="preserve">adherence with </w:t>
            </w:r>
            <w:r w:rsidR="000E766A">
              <w:t>them</w:t>
            </w:r>
            <w:r w:rsidR="00107D53">
              <w:t xml:space="preserve">, </w:t>
            </w:r>
            <w:r w:rsidR="0022061F">
              <w:t xml:space="preserve">or </w:t>
            </w:r>
            <w:r w:rsidR="00B81982">
              <w:t xml:space="preserve">the </w:t>
            </w:r>
            <w:r w:rsidR="008B4E83">
              <w:t>rationale</w:t>
            </w:r>
            <w:r w:rsidR="00B81982">
              <w:t xml:space="preserve"> </w:t>
            </w:r>
            <w:r w:rsidR="008B4E83">
              <w:t xml:space="preserve">for </w:t>
            </w:r>
            <w:r w:rsidR="00DF40AB" w:rsidRPr="00DF40AB">
              <w:t xml:space="preserve">government </w:t>
            </w:r>
            <w:r w:rsidR="00B81982">
              <w:t xml:space="preserve">funding </w:t>
            </w:r>
            <w:r w:rsidR="00DB6373">
              <w:t xml:space="preserve">or financing </w:t>
            </w:r>
            <w:r w:rsidR="008B4E83">
              <w:t>of infrastructure</w:t>
            </w:r>
            <w:r w:rsidR="0022061F">
              <w:t>.</w:t>
            </w:r>
            <w:r w:rsidR="009B0CFA">
              <w:t xml:space="preserve"> </w:t>
            </w:r>
            <w:r w:rsidR="00FD1938">
              <w:t>P</w:t>
            </w:r>
            <w:r w:rsidR="009B0CFA">
              <w:t xml:space="preserve">oor </w:t>
            </w:r>
            <w:r w:rsidR="00CC0B22">
              <w:t xml:space="preserve">project selection and </w:t>
            </w:r>
            <w:r w:rsidR="009B0CFA">
              <w:t>funding decisions still occur.</w:t>
            </w:r>
          </w:p>
          <w:p w14:paraId="1A120CA3" w14:textId="52D213A9" w:rsidR="0076306D" w:rsidRDefault="0076306D" w:rsidP="00393BCA">
            <w:pPr>
              <w:pStyle w:val="KeyPointsListBullet"/>
              <w:ind w:left="284" w:hanging="284"/>
            </w:pPr>
            <w:r>
              <w:t xml:space="preserve">Creation of the National Water Grid Authority suggests that future Australian </w:t>
            </w:r>
            <w:r w:rsidR="0015757E">
              <w:t>g</w:t>
            </w:r>
            <w:r>
              <w:t>overnment</w:t>
            </w:r>
            <w:r>
              <w:noBreakHyphen/>
              <w:t>funded projects will receive greater scrutiny</w:t>
            </w:r>
            <w:r w:rsidR="00F5077B">
              <w:t>.</w:t>
            </w:r>
            <w:r>
              <w:t xml:space="preserve"> but the Authority’s remit is limited to water for primary industry. </w:t>
            </w:r>
            <w:r w:rsidR="007C7A44" w:rsidRPr="00DF0917">
              <w:t>This limitation should be removed</w:t>
            </w:r>
            <w:r>
              <w:t xml:space="preserve">. Moreover, the Authority’s project assessment criteria are relatively </w:t>
            </w:r>
            <w:r w:rsidRPr="007C7A44">
              <w:t>broad</w:t>
            </w:r>
            <w:r>
              <w:t xml:space="preserve"> and may allow subsidisation of private industry.</w:t>
            </w:r>
          </w:p>
          <w:p w14:paraId="31711D71" w14:textId="60491608" w:rsidR="005A0A2C" w:rsidRDefault="0022061F" w:rsidP="00393BCA">
            <w:pPr>
              <w:pStyle w:val="KeyPointsListBullet"/>
              <w:ind w:left="284" w:hanging="284"/>
            </w:pPr>
            <w:r>
              <w:t xml:space="preserve">A </w:t>
            </w:r>
            <w:r w:rsidR="004825A9">
              <w:t xml:space="preserve">renewed </w:t>
            </w:r>
            <w:r w:rsidR="00DF40AB">
              <w:t xml:space="preserve">NWI should </w:t>
            </w:r>
            <w:r w:rsidR="004825A9">
              <w:t xml:space="preserve">address </w:t>
            </w:r>
            <w:r w:rsidR="000E766A">
              <w:t xml:space="preserve">poor project selection and funding decisions </w:t>
            </w:r>
            <w:r w:rsidR="004825A9">
              <w:t xml:space="preserve">through </w:t>
            </w:r>
            <w:r w:rsidR="005A0A2C">
              <w:t xml:space="preserve">a </w:t>
            </w:r>
            <w:r w:rsidR="004A1B93">
              <w:t xml:space="preserve">new </w:t>
            </w:r>
            <w:r w:rsidR="005A0A2C">
              <w:t xml:space="preserve">water infrastructure </w:t>
            </w:r>
            <w:r w:rsidR="003C19E6">
              <w:t>element</w:t>
            </w:r>
            <w:r w:rsidR="004825A9">
              <w:t xml:space="preserve"> that </w:t>
            </w:r>
            <w:r w:rsidR="004A1B93">
              <w:t>establishes:</w:t>
            </w:r>
          </w:p>
          <w:p w14:paraId="717C9CAD" w14:textId="29131587" w:rsidR="00D72C00" w:rsidRDefault="00463E90" w:rsidP="0075470E">
            <w:pPr>
              <w:pStyle w:val="KeyPointsListBullet2"/>
              <w:tabs>
                <w:tab w:val="left" w:pos="5694"/>
              </w:tabs>
            </w:pPr>
            <w:r>
              <w:t xml:space="preserve">a commitment </w:t>
            </w:r>
            <w:r w:rsidR="003B0AB7">
              <w:t>to</w:t>
            </w:r>
            <w:r w:rsidR="00D72C00">
              <w:t xml:space="preserve"> all options </w:t>
            </w:r>
            <w:r w:rsidR="003B0AB7">
              <w:t xml:space="preserve">being </w:t>
            </w:r>
            <w:r w:rsidR="00D72C00">
              <w:t>on the table, including both infrastructure and non</w:t>
            </w:r>
            <w:r w:rsidR="0075470E">
              <w:noBreakHyphen/>
            </w:r>
            <w:r w:rsidR="00D72C00">
              <w:t xml:space="preserve">infrastructure options where these can meet the investment </w:t>
            </w:r>
            <w:proofErr w:type="gramStart"/>
            <w:r w:rsidR="00D72C00">
              <w:t>objective</w:t>
            </w:r>
            <w:proofErr w:type="gramEnd"/>
          </w:p>
          <w:p w14:paraId="485F7829" w14:textId="7E83A95B" w:rsidR="00430D70" w:rsidRDefault="00430D70" w:rsidP="00430D70">
            <w:pPr>
              <w:pStyle w:val="KeyPointsListBullet2"/>
            </w:pPr>
            <w:r>
              <w:t xml:space="preserve">criteria for how project </w:t>
            </w:r>
            <w:r w:rsidR="004825A9">
              <w:t>proposals</w:t>
            </w:r>
            <w:r>
              <w:t xml:space="preserve"> demonstrate adherence to the NWI </w:t>
            </w:r>
            <w:r w:rsidR="000E766A">
              <w:t>requirements</w:t>
            </w:r>
            <w:r>
              <w:t>, including conditions for environmental sustainability</w:t>
            </w:r>
            <w:r w:rsidR="000E766A">
              <w:t xml:space="preserve"> and</w:t>
            </w:r>
            <w:r>
              <w:t xml:space="preserve"> economic viability, as well as principles for cost sharing</w:t>
            </w:r>
            <w:r w:rsidR="004825A9">
              <w:t xml:space="preserve"> between users and (in limited cases) </w:t>
            </w:r>
            <w:proofErr w:type="gramStart"/>
            <w:r w:rsidR="004825A9">
              <w:t>governments</w:t>
            </w:r>
            <w:proofErr w:type="gramEnd"/>
          </w:p>
          <w:p w14:paraId="58ADF644" w14:textId="65F52DB6" w:rsidR="005A0A2C" w:rsidRDefault="001729CB" w:rsidP="003C19E6">
            <w:pPr>
              <w:pStyle w:val="KeyPointsListBullet2"/>
            </w:pPr>
            <w:r>
              <w:t xml:space="preserve">a framework </w:t>
            </w:r>
            <w:r w:rsidR="003D25F7">
              <w:t>for</w:t>
            </w:r>
            <w:r w:rsidR="00430D70">
              <w:t xml:space="preserve"> government</w:t>
            </w:r>
            <w:r w:rsidR="003D25F7">
              <w:t xml:space="preserve"> </w:t>
            </w:r>
            <w:r w:rsidR="005A0A2C">
              <w:t>investment in major</w:t>
            </w:r>
            <w:r w:rsidR="00DB6373">
              <w:t xml:space="preserve"> </w:t>
            </w:r>
            <w:r>
              <w:t xml:space="preserve">water </w:t>
            </w:r>
            <w:r w:rsidR="00DF40AB">
              <w:t>infrastructure</w:t>
            </w:r>
            <w:r w:rsidR="00DB6373">
              <w:t xml:space="preserve">, </w:t>
            </w:r>
            <w:r w:rsidR="005A0A2C">
              <w:t>including project assessment and selection processes</w:t>
            </w:r>
            <w:r w:rsidR="00430D70">
              <w:t xml:space="preserve"> </w:t>
            </w:r>
            <w:r w:rsidR="005A0A2C">
              <w:t>and institutional arrangements</w:t>
            </w:r>
            <w:r w:rsidR="004825A9">
              <w:t>.</w:t>
            </w:r>
          </w:p>
          <w:p w14:paraId="62C961E5" w14:textId="07B9087D" w:rsidR="003C19E6" w:rsidRDefault="003C19E6" w:rsidP="00393BCA">
            <w:pPr>
              <w:pStyle w:val="KeyPointsListBullet"/>
              <w:ind w:left="284" w:hanging="284"/>
            </w:pPr>
            <w:r>
              <w:t xml:space="preserve">Governments should also consider how </w:t>
            </w:r>
            <w:r w:rsidR="0076306D">
              <w:t xml:space="preserve">to ensure </w:t>
            </w:r>
            <w:r>
              <w:t xml:space="preserve">new </w:t>
            </w:r>
            <w:r w:rsidR="00C4289C">
              <w:t xml:space="preserve">infrastructure </w:t>
            </w:r>
            <w:r>
              <w:t xml:space="preserve">development </w:t>
            </w:r>
            <w:r w:rsidR="00C4289C">
              <w:t xml:space="preserve">is </w:t>
            </w:r>
            <w:r w:rsidR="0076306D">
              <w:t xml:space="preserve">culturally responsive to the aspirations of </w:t>
            </w:r>
            <w:r>
              <w:t xml:space="preserve">Traditional </w:t>
            </w:r>
            <w:r w:rsidR="000210D0">
              <w:t>Owners</w:t>
            </w:r>
            <w:r>
              <w:t>.</w:t>
            </w:r>
          </w:p>
          <w:p w14:paraId="4E5C4B47" w14:textId="2512DE20" w:rsidR="00B81982" w:rsidRPr="00B81982" w:rsidRDefault="004A162E" w:rsidP="00393BCA">
            <w:pPr>
              <w:pStyle w:val="KeyPointsListBullet"/>
              <w:ind w:left="284" w:hanging="284"/>
            </w:pPr>
            <w:r>
              <w:t>W</w:t>
            </w:r>
            <w:r w:rsidR="00CE6632">
              <w:t xml:space="preserve">here </w:t>
            </w:r>
            <w:r w:rsidR="00B81982">
              <w:t xml:space="preserve">governments choose to </w:t>
            </w:r>
            <w:r w:rsidR="005A0A2C">
              <w:t xml:space="preserve">subsidise </w:t>
            </w:r>
            <w:r w:rsidR="00B81982">
              <w:t xml:space="preserve">major </w:t>
            </w:r>
            <w:r w:rsidR="0022061F">
              <w:t xml:space="preserve">water </w:t>
            </w:r>
            <w:r w:rsidR="00B81982">
              <w:t xml:space="preserve">infrastructure </w:t>
            </w:r>
            <w:r w:rsidR="00FD1938">
              <w:t>in pursuit of broader strategic objectives, such as regional development</w:t>
            </w:r>
            <w:r>
              <w:t>, a</w:t>
            </w:r>
            <w:r w:rsidR="001729CB">
              <w:t>dditional scrutiny is necessary to ensure water infrastructure is the best means of achieving that objective</w:t>
            </w:r>
            <w:r w:rsidR="005A0A2C">
              <w:t xml:space="preserve"> compared with alternatives</w:t>
            </w:r>
            <w:r w:rsidR="001729CB">
              <w:t>.</w:t>
            </w:r>
          </w:p>
          <w:p w14:paraId="3C650552" w14:textId="60875011" w:rsidR="006A3AA2" w:rsidRPr="00B81982" w:rsidRDefault="006A3AA2" w:rsidP="006A3AA2">
            <w:pPr>
              <w:pStyle w:val="KeyPointsListBullet2"/>
            </w:pPr>
            <w:r>
              <w:t>Any investments made in pursuit of regional development must align with</w:t>
            </w:r>
            <w:r w:rsidRPr="00B81982">
              <w:t xml:space="preserve"> </w:t>
            </w:r>
            <w:r>
              <w:t>high</w:t>
            </w:r>
            <w:r>
              <w:noBreakHyphen/>
              <w:t xml:space="preserve">quality regional </w:t>
            </w:r>
            <w:r w:rsidRPr="00B81982">
              <w:t>strategic planning</w:t>
            </w:r>
            <w:r>
              <w:t xml:space="preserve">, and only occur where water infrastructure has been shown to be a critical component of the most effective regional development option compared </w:t>
            </w:r>
            <w:r w:rsidR="00BB5D8C">
              <w:t xml:space="preserve">with </w:t>
            </w:r>
            <w:r>
              <w:t>alternatives (</w:t>
            </w:r>
            <w:r w:rsidRPr="0003694F">
              <w:t xml:space="preserve">including </w:t>
            </w:r>
            <w:r>
              <w:t xml:space="preserve">those not reliant </w:t>
            </w:r>
            <w:r w:rsidRPr="0003694F">
              <w:t xml:space="preserve">on </w:t>
            </w:r>
            <w:r>
              <w:t xml:space="preserve">new </w:t>
            </w:r>
            <w:r w:rsidRPr="0003694F">
              <w:t>water infrastructure</w:t>
            </w:r>
            <w:r>
              <w:t>).</w:t>
            </w:r>
          </w:p>
          <w:p w14:paraId="7CE28BAD" w14:textId="42177FE8" w:rsidR="005D4227" w:rsidRPr="005D4227" w:rsidRDefault="00D72C00" w:rsidP="00393BCA">
            <w:pPr>
              <w:pStyle w:val="KeyPointsListBullet"/>
              <w:ind w:left="284" w:hanging="284"/>
            </w:pPr>
            <w:r>
              <w:t xml:space="preserve">State and Territory </w:t>
            </w:r>
            <w:r w:rsidR="0015757E">
              <w:t>G</w:t>
            </w:r>
            <w:r>
              <w:t xml:space="preserve">overnments should have primary responsibility for major water infrastructure, with a limited (if any) role for the Australian Government. Independent bodies should assess major business cases prior to funding </w:t>
            </w:r>
            <w:proofErr w:type="gramStart"/>
            <w:r>
              <w:t>decisions, and</w:t>
            </w:r>
            <w:proofErr w:type="gramEnd"/>
            <w:r>
              <w:t xml:space="preserve"> publish </w:t>
            </w:r>
            <w:r w:rsidR="004A1B93">
              <w:t>their findings</w:t>
            </w:r>
            <w:r>
              <w:t>.</w:t>
            </w:r>
          </w:p>
        </w:tc>
      </w:tr>
      <w:tr w:rsidR="005D4227" w14:paraId="281D7EF1" w14:textId="77777777" w:rsidTr="00D233B3">
        <w:tc>
          <w:tcPr>
            <w:tcW w:w="5000" w:type="pct"/>
            <w:tcBorders>
              <w:top w:val="nil"/>
              <w:left w:val="nil"/>
              <w:bottom w:val="single" w:sz="4" w:space="0" w:color="78A22F" w:themeColor="accent1"/>
              <w:right w:val="nil"/>
            </w:tcBorders>
            <w:shd w:val="clear" w:color="auto" w:fill="F2F2F2"/>
          </w:tcPr>
          <w:p w14:paraId="3F4729DB" w14:textId="77777777" w:rsidR="005D4227" w:rsidRDefault="005D4227">
            <w:pPr>
              <w:pStyle w:val="Box"/>
              <w:spacing w:before="0" w:line="120" w:lineRule="exact"/>
            </w:pPr>
          </w:p>
        </w:tc>
      </w:tr>
      <w:tr w:rsidR="005D4227" w14:paraId="04A9DA70" w14:textId="77777777" w:rsidTr="00C63C5D">
        <w:tc>
          <w:tcPr>
            <w:tcW w:w="5000" w:type="pct"/>
            <w:tcBorders>
              <w:top w:val="single" w:sz="4" w:space="0" w:color="78A22F" w:themeColor="accent1"/>
              <w:left w:val="nil"/>
              <w:bottom w:val="nil"/>
              <w:right w:val="nil"/>
            </w:tcBorders>
            <w:shd w:val="clear" w:color="auto" w:fill="auto"/>
          </w:tcPr>
          <w:p w14:paraId="0E9BA8DD" w14:textId="77777777" w:rsidR="005D4227" w:rsidRDefault="005D4227">
            <w:pPr>
              <w:pStyle w:val="Box"/>
              <w:keepNext w:val="0"/>
              <w:spacing w:before="60" w:after="60" w:line="80" w:lineRule="exact"/>
            </w:pPr>
          </w:p>
        </w:tc>
      </w:tr>
    </w:tbl>
    <w:p w14:paraId="028F96A9" w14:textId="09ABC396" w:rsidR="000210D0" w:rsidRDefault="000210D0" w:rsidP="000210D0">
      <w:pPr>
        <w:pStyle w:val="BodyText"/>
      </w:pPr>
      <w:bookmarkStart w:id="4" w:name="ChapterNumber"/>
      <w:bookmarkEnd w:id="4"/>
      <w:r>
        <w:t xml:space="preserve">Major water infrastructure </w:t>
      </w:r>
      <w:r w:rsidR="00F907C3">
        <w:t>(</w:t>
      </w:r>
      <w:r>
        <w:t>including dams, weirs, distr</w:t>
      </w:r>
      <w:r w:rsidRPr="0046235F">
        <w:rPr>
          <w:rStyle w:val="BodyTextChar"/>
        </w:rPr>
        <w:t>ib</w:t>
      </w:r>
      <w:r>
        <w:t>ution networks, desalination plants and water recycling facilities</w:t>
      </w:r>
      <w:r w:rsidR="00F907C3">
        <w:t>)</w:t>
      </w:r>
      <w:r>
        <w:t xml:space="preserve"> is essential to delivering water services. But this infrastructure is costly to build, maintain and ultimately replace, and can create detrimental environmental and social impacts.</w:t>
      </w:r>
    </w:p>
    <w:p w14:paraId="25E26090" w14:textId="1067A139" w:rsidR="00F50E85" w:rsidRDefault="00F50E85" w:rsidP="00F50E85">
      <w:pPr>
        <w:pStyle w:val="BodyText"/>
      </w:pPr>
      <w:r>
        <w:lastRenderedPageBreak/>
        <w:t>Many of these costs are borne upfront, while the benefits accrue over a long operational period and may be difficult to estimate in advance, creating uncertainty over the viability of a proposed development. Yet the substantial costs of new infrastructure must still be paid for — either by users or taxpayers. How costs are shared between those parties affects both the prices faced by water users and any obligation borne by Australian taxpayers.</w:t>
      </w:r>
    </w:p>
    <w:p w14:paraId="635F4822" w14:textId="74A69178" w:rsidR="001671F4" w:rsidRDefault="00333346" w:rsidP="00875B56">
      <w:pPr>
        <w:pStyle w:val="BodyText"/>
      </w:pPr>
      <w:r>
        <w:t>A d</w:t>
      </w:r>
      <w:r w:rsidR="003362D2">
        <w:t xml:space="preserve">ecision to invest in new, </w:t>
      </w:r>
      <w:proofErr w:type="gramStart"/>
      <w:r w:rsidR="003362D2">
        <w:t>expanded</w:t>
      </w:r>
      <w:proofErr w:type="gramEnd"/>
      <w:r w:rsidR="003362D2">
        <w:t xml:space="preserve"> or refurbished water infrastructure</w:t>
      </w:r>
      <w:r>
        <w:t xml:space="preserve"> therefore</w:t>
      </w:r>
      <w:r w:rsidR="003362D2">
        <w:t xml:space="preserve"> </w:t>
      </w:r>
      <w:r>
        <w:t xml:space="preserve">carries risk, and can have </w:t>
      </w:r>
      <w:r w:rsidR="003362D2">
        <w:t>significant financial implications</w:t>
      </w:r>
      <w:r w:rsidR="00875B56">
        <w:t>.</w:t>
      </w:r>
      <w:r w:rsidR="003362D2">
        <w:t xml:space="preserve"> </w:t>
      </w:r>
      <w:r w:rsidR="00CE7402">
        <w:t>Moreover</w:t>
      </w:r>
      <w:r w:rsidR="00875B56">
        <w:t>,</w:t>
      </w:r>
      <w:r w:rsidR="00875B56" w:rsidRPr="00875B56">
        <w:t xml:space="preserve"> long</w:t>
      </w:r>
      <w:r w:rsidR="00875B56" w:rsidRPr="00875B56">
        <w:noBreakHyphen/>
        <w:t>term changes to the use and availability of water resources</w:t>
      </w:r>
      <w:r w:rsidR="00CB488B">
        <w:t xml:space="preserve"> —</w:t>
      </w:r>
      <w:r w:rsidR="00875B56" w:rsidRPr="00875B56">
        <w:t xml:space="preserve"> </w:t>
      </w:r>
      <w:proofErr w:type="gramStart"/>
      <w:r w:rsidR="00875B56" w:rsidRPr="00875B56">
        <w:t>as a result of</w:t>
      </w:r>
      <w:proofErr w:type="gramEnd"/>
      <w:r w:rsidR="00875B56" w:rsidRPr="00875B56">
        <w:t xml:space="preserve"> climate change and </w:t>
      </w:r>
      <w:r w:rsidR="00295196">
        <w:t>demographic</w:t>
      </w:r>
      <w:r w:rsidR="00875B56" w:rsidRPr="00875B56">
        <w:t xml:space="preserve"> facto</w:t>
      </w:r>
      <w:r w:rsidR="00875B56">
        <w:t>r</w:t>
      </w:r>
      <w:r w:rsidR="00CB488B">
        <w:t xml:space="preserve">s — </w:t>
      </w:r>
      <w:r w:rsidR="008B4E83">
        <w:t xml:space="preserve">are likely to generate </w:t>
      </w:r>
      <w:r w:rsidR="00A45649">
        <w:t>more</w:t>
      </w:r>
      <w:r w:rsidR="00875B56" w:rsidRPr="00875B56">
        <w:t xml:space="preserve"> uncertainty and new risks for</w:t>
      </w:r>
      <w:r w:rsidR="005D7FF7">
        <w:t xml:space="preserve"> </w:t>
      </w:r>
      <w:r>
        <w:t xml:space="preserve">the viability of </w:t>
      </w:r>
      <w:r w:rsidR="00BF044D">
        <w:t>future</w:t>
      </w:r>
      <w:r w:rsidR="00875B56" w:rsidRPr="00875B56">
        <w:t xml:space="preserve"> infrastructure developments.</w:t>
      </w:r>
    </w:p>
    <w:p w14:paraId="273B3535" w14:textId="47D1865E" w:rsidR="00875B56" w:rsidRPr="004D6BEE" w:rsidRDefault="00295196" w:rsidP="00875B56">
      <w:pPr>
        <w:pStyle w:val="BodyText"/>
      </w:pPr>
      <w:r>
        <w:t>These factors reinforce the need for good decision</w:t>
      </w:r>
      <w:r w:rsidR="00F75929">
        <w:t xml:space="preserve"> </w:t>
      </w:r>
      <w:r>
        <w:t xml:space="preserve">making — particularly by governments, </w:t>
      </w:r>
      <w:r w:rsidR="00DF3D0B">
        <w:t>who must</w:t>
      </w:r>
      <w:r>
        <w:t xml:space="preserve"> </w:t>
      </w:r>
      <w:r w:rsidR="00DF3D0B">
        <w:t xml:space="preserve">look to maximise the benefits of </w:t>
      </w:r>
      <w:r>
        <w:t xml:space="preserve">taxpayer </w:t>
      </w:r>
      <w:r w:rsidR="00617BC4">
        <w:t>funding</w:t>
      </w:r>
      <w:r w:rsidR="0078170E">
        <w:t xml:space="preserve"> and</w:t>
      </w:r>
      <w:r>
        <w:t xml:space="preserve"> </w:t>
      </w:r>
      <w:r w:rsidR="00D971C8">
        <w:t>avoid</w:t>
      </w:r>
      <w:r w:rsidR="00404200">
        <w:t xml:space="preserve"> </w:t>
      </w:r>
      <w:r w:rsidR="00C81F43">
        <w:t>facilitat</w:t>
      </w:r>
      <w:r w:rsidR="00404200">
        <w:t>ing</w:t>
      </w:r>
      <w:r w:rsidR="00C81F43">
        <w:t xml:space="preserve"> developments </w:t>
      </w:r>
      <w:r>
        <w:t xml:space="preserve">that </w:t>
      </w:r>
      <w:r w:rsidR="00C81F43">
        <w:t xml:space="preserve">are </w:t>
      </w:r>
      <w:r>
        <w:t>not in the best interests of the community</w:t>
      </w:r>
      <w:r w:rsidR="0078170E">
        <w:t xml:space="preserve">, including those which impose </w:t>
      </w:r>
      <w:r w:rsidR="00404200">
        <w:t>unnecessary costs on water users.</w:t>
      </w:r>
    </w:p>
    <w:p w14:paraId="7B2970A6" w14:textId="67E928A4" w:rsidR="001467FB" w:rsidRDefault="001467FB" w:rsidP="0084580C">
      <w:pPr>
        <w:pStyle w:val="BodyText"/>
        <w:keepNext/>
      </w:pPr>
      <w:r w:rsidRPr="001467FB">
        <w:t xml:space="preserve">This </w:t>
      </w:r>
      <w:r w:rsidR="0084580C">
        <w:t>paper</w:t>
      </w:r>
      <w:r w:rsidR="001C72D2">
        <w:t xml:space="preserve"> includes:</w:t>
      </w:r>
    </w:p>
    <w:p w14:paraId="291F6F99" w14:textId="70B2F484" w:rsidR="001C72D2" w:rsidRPr="00295196" w:rsidRDefault="001C72D2" w:rsidP="001C72D2">
      <w:pPr>
        <w:pStyle w:val="ListBullet"/>
      </w:pPr>
      <w:r>
        <w:t xml:space="preserve">background </w:t>
      </w:r>
      <w:r w:rsidR="00F50E85">
        <w:t xml:space="preserve">information </w:t>
      </w:r>
      <w:r>
        <w:t xml:space="preserve">on government investment in water </w:t>
      </w:r>
      <w:r w:rsidRPr="00295196">
        <w:t>infrastructure</w:t>
      </w:r>
      <w:r w:rsidR="0084580C" w:rsidRPr="00295196">
        <w:t xml:space="preserve"> under the </w:t>
      </w:r>
      <w:r w:rsidR="00295196">
        <w:t>National Water Initiative (</w:t>
      </w:r>
      <w:r w:rsidR="0084580C" w:rsidRPr="00295196">
        <w:t>NWI</w:t>
      </w:r>
      <w:r w:rsidR="00295196">
        <w:t>)</w:t>
      </w:r>
      <w:r w:rsidRPr="00295196">
        <w:t xml:space="preserve"> </w:t>
      </w:r>
      <w:r w:rsidR="00295196" w:rsidRPr="00295196">
        <w:t xml:space="preserve">and related </w:t>
      </w:r>
      <w:r w:rsidR="00694D34">
        <w:t>guidance</w:t>
      </w:r>
      <w:r w:rsidR="00295196" w:rsidRPr="00295196">
        <w:t xml:space="preserve"> </w:t>
      </w:r>
      <w:r w:rsidRPr="00295196">
        <w:t>(section 1)</w:t>
      </w:r>
    </w:p>
    <w:p w14:paraId="121C75D1" w14:textId="76FB6035" w:rsidR="001C72D2" w:rsidRDefault="00D235ED" w:rsidP="001C72D2">
      <w:pPr>
        <w:pStyle w:val="ListBullet"/>
      </w:pPr>
      <w:r>
        <w:t xml:space="preserve">issues raised </w:t>
      </w:r>
      <w:r w:rsidR="00107D53">
        <w:t>about current</w:t>
      </w:r>
      <w:r>
        <w:t xml:space="preserve"> </w:t>
      </w:r>
      <w:r w:rsidR="001C72D2">
        <w:t>decision</w:t>
      </w:r>
      <w:r w:rsidR="00CD3361">
        <w:t xml:space="preserve"> </w:t>
      </w:r>
      <w:r w:rsidR="001C72D2">
        <w:t>making</w:t>
      </w:r>
      <w:r w:rsidR="00E42E4E">
        <w:t xml:space="preserve"> </w:t>
      </w:r>
      <w:r w:rsidR="00107D53">
        <w:t>for major</w:t>
      </w:r>
      <w:r w:rsidR="00CD3361">
        <w:t xml:space="preserve"> water infrastructure </w:t>
      </w:r>
      <w:r w:rsidR="00E42E4E">
        <w:t>(section </w:t>
      </w:r>
      <w:r>
        <w:t>2</w:t>
      </w:r>
      <w:r w:rsidR="00491F85">
        <w:t>)</w:t>
      </w:r>
    </w:p>
    <w:p w14:paraId="4E1410B1" w14:textId="1E8B68C2" w:rsidR="00D235ED" w:rsidRDefault="00333346" w:rsidP="001C72D2">
      <w:pPr>
        <w:pStyle w:val="ListBullet"/>
      </w:pPr>
      <w:r>
        <w:t>a framework</w:t>
      </w:r>
      <w:r w:rsidR="001C72D2" w:rsidRPr="00CB488B">
        <w:t xml:space="preserve"> </w:t>
      </w:r>
      <w:r w:rsidR="00D235ED">
        <w:t xml:space="preserve">to guide </w:t>
      </w:r>
      <w:r w:rsidR="001C72D2">
        <w:t xml:space="preserve">government </w:t>
      </w:r>
      <w:r w:rsidR="006B08EE">
        <w:t>investment</w:t>
      </w:r>
      <w:r w:rsidR="00A45649">
        <w:t xml:space="preserve"> in major water infrastructure</w:t>
      </w:r>
      <w:r w:rsidR="00CB488B">
        <w:t xml:space="preserve">, </w:t>
      </w:r>
      <w:r>
        <w:t xml:space="preserve">including </w:t>
      </w:r>
      <w:r w:rsidR="00CE7ECD">
        <w:t xml:space="preserve">the </w:t>
      </w:r>
      <w:r>
        <w:t>principles to be satisfied</w:t>
      </w:r>
      <w:r w:rsidR="00CE7ECD">
        <w:t xml:space="preserve"> </w:t>
      </w:r>
      <w:r>
        <w:t xml:space="preserve">— </w:t>
      </w:r>
      <w:r w:rsidR="00CB488B">
        <w:t>as requested by the inquiry</w:t>
      </w:r>
      <w:r w:rsidR="00567301">
        <w:t>’s</w:t>
      </w:r>
      <w:r w:rsidR="00CB488B">
        <w:t xml:space="preserve"> terms of reference </w:t>
      </w:r>
      <w:r w:rsidR="00A45649">
        <w:t>(section 3)</w:t>
      </w:r>
    </w:p>
    <w:p w14:paraId="5959B8A0" w14:textId="7EB745EA" w:rsidR="001C72D2" w:rsidRDefault="00D235ED" w:rsidP="001C72D2">
      <w:pPr>
        <w:pStyle w:val="ListBullet"/>
      </w:pPr>
      <w:r>
        <w:t xml:space="preserve">the Commission’s view on </w:t>
      </w:r>
      <w:r w:rsidR="00934120">
        <w:t xml:space="preserve">how major water infrastructure should be included </w:t>
      </w:r>
      <w:r>
        <w:t xml:space="preserve">in a renewed NWI </w:t>
      </w:r>
      <w:r w:rsidR="001C72D2">
        <w:t>(section 4).</w:t>
      </w:r>
    </w:p>
    <w:p w14:paraId="27ACF647" w14:textId="218CBA25" w:rsidR="00584F79" w:rsidRDefault="00584F79" w:rsidP="00584F79">
      <w:pPr>
        <w:pStyle w:val="Heading2"/>
      </w:pPr>
      <w:bookmarkStart w:id="5" w:name="_Toc62628676"/>
      <w:r>
        <w:t>1</w:t>
      </w:r>
      <w:r>
        <w:tab/>
        <w:t>Background</w:t>
      </w:r>
      <w:bookmarkEnd w:id="5"/>
    </w:p>
    <w:p w14:paraId="50671ABA" w14:textId="690BBD32" w:rsidR="00A90EB2" w:rsidRDefault="00242FEA" w:rsidP="004C3329">
      <w:pPr>
        <w:pStyle w:val="Heading3"/>
        <w:spacing w:before="280"/>
      </w:pPr>
      <w:bookmarkStart w:id="6" w:name="_Toc62628677"/>
      <w:r>
        <w:t>1.1</w:t>
      </w:r>
      <w:r>
        <w:tab/>
      </w:r>
      <w:r w:rsidR="00A45649" w:rsidRPr="004C3329">
        <w:t>The</w:t>
      </w:r>
      <w:r w:rsidR="00A45649">
        <w:t xml:space="preserve"> c</w:t>
      </w:r>
      <w:r w:rsidR="00A90EB2" w:rsidRPr="00F643E4">
        <w:t xml:space="preserve">ost of </w:t>
      </w:r>
      <w:r w:rsidR="00A45649">
        <w:t>uneconomic</w:t>
      </w:r>
      <w:r w:rsidR="00EF37C7">
        <w:t xml:space="preserve"> </w:t>
      </w:r>
      <w:r w:rsidR="00A45649">
        <w:t xml:space="preserve">water </w:t>
      </w:r>
      <w:r w:rsidR="007C57C1">
        <w:t>investment</w:t>
      </w:r>
      <w:r w:rsidR="008B4E83">
        <w:t xml:space="preserve"> </w:t>
      </w:r>
      <w:r w:rsidR="007C57C1">
        <w:t>motivated</w:t>
      </w:r>
      <w:r w:rsidR="00A90EB2" w:rsidRPr="00F643E4">
        <w:t xml:space="preserve"> reform</w:t>
      </w:r>
      <w:bookmarkEnd w:id="6"/>
    </w:p>
    <w:p w14:paraId="38E07663" w14:textId="15846120" w:rsidR="007A1001" w:rsidRDefault="00DF3D0B" w:rsidP="00CB488B">
      <w:pPr>
        <w:pStyle w:val="BodyText"/>
        <w:rPr>
          <w:rStyle w:val="BodyTextChar"/>
        </w:rPr>
      </w:pPr>
      <w:r>
        <w:t>For much of the 1900s,</w:t>
      </w:r>
      <w:r w:rsidR="00CB488B">
        <w:t xml:space="preserve"> </w:t>
      </w:r>
      <w:r w:rsidR="00D81A66">
        <w:t>g</w:t>
      </w:r>
      <w:r w:rsidR="00CB488B">
        <w:t xml:space="preserve">overnments </w:t>
      </w:r>
      <w:r>
        <w:t xml:space="preserve">took </w:t>
      </w:r>
      <w:r w:rsidR="00CB488B">
        <w:t>a development</w:t>
      </w:r>
      <w:r w:rsidR="00CB488B">
        <w:noBreakHyphen/>
        <w:t xml:space="preserve">oriented approach to water </w:t>
      </w:r>
      <w:r w:rsidR="00A45649">
        <w:t xml:space="preserve">resources </w:t>
      </w:r>
      <w:r w:rsidR="00CB488B">
        <w:t>by encouraging or directly funding the construction of major water infrastructure.</w:t>
      </w:r>
    </w:p>
    <w:p w14:paraId="1373E96B" w14:textId="5B1AB905" w:rsidR="00A45649" w:rsidRDefault="00CB488B" w:rsidP="00CB488B">
      <w:pPr>
        <w:pStyle w:val="BodyText"/>
      </w:pPr>
      <w:r>
        <w:t xml:space="preserve">Some of </w:t>
      </w:r>
      <w:r w:rsidR="00107D53">
        <w:t>these investments</w:t>
      </w:r>
      <w:r>
        <w:t xml:space="preserve"> </w:t>
      </w:r>
      <w:r w:rsidR="00E423BA">
        <w:t xml:space="preserve">were </w:t>
      </w:r>
      <w:r>
        <w:t>not in the best intere</w:t>
      </w:r>
      <w:r w:rsidR="008B4E83">
        <w:t>sts of the Australian community</w:t>
      </w:r>
      <w:r>
        <w:t xml:space="preserve">. </w:t>
      </w:r>
      <w:r w:rsidR="007A1001">
        <w:t>G</w:t>
      </w:r>
      <w:r w:rsidR="00A45649">
        <w:t>overnment subsidisation allowed pricing below cost recovery levels</w:t>
      </w:r>
      <w:r w:rsidR="00C36561">
        <w:t xml:space="preserve">, </w:t>
      </w:r>
      <w:r w:rsidR="00DF1A6F">
        <w:t>which</w:t>
      </w:r>
      <w:r w:rsidR="00C36561">
        <w:t xml:space="preserve"> </w:t>
      </w:r>
      <w:r w:rsidR="00F064D3">
        <w:t xml:space="preserve">spurred </w:t>
      </w:r>
      <w:r w:rsidR="00CE7ECD">
        <w:t xml:space="preserve">yet </w:t>
      </w:r>
      <w:r w:rsidR="00C36561">
        <w:t>more</w:t>
      </w:r>
      <w:r w:rsidR="00A45649">
        <w:t xml:space="preserve"> </w:t>
      </w:r>
      <w:r w:rsidR="00F064D3">
        <w:t xml:space="preserve">proposals to </w:t>
      </w:r>
      <w:r w:rsidR="00A45649">
        <w:t xml:space="preserve">construct unviable water </w:t>
      </w:r>
      <w:r w:rsidR="00DF1A6F">
        <w:t>infrastructure</w:t>
      </w:r>
      <w:r w:rsidR="008B4E83">
        <w:t xml:space="preserve">. </w:t>
      </w:r>
      <w:r w:rsidR="00404200">
        <w:t xml:space="preserve">Often, such calls were loudest during and after </w:t>
      </w:r>
      <w:r w:rsidR="00F50E85">
        <w:t>droughts</w:t>
      </w:r>
      <w:r w:rsidR="00404200">
        <w:t xml:space="preserve">. </w:t>
      </w:r>
      <w:r w:rsidR="00403068">
        <w:t>But these u</w:t>
      </w:r>
      <w:r w:rsidR="00DF3D0B">
        <w:t>nviable infrastructure</w:t>
      </w:r>
      <w:r w:rsidR="00F064D3">
        <w:t xml:space="preserve"> developments</w:t>
      </w:r>
      <w:r w:rsidR="00DF3D0B">
        <w:t xml:space="preserve"> left a legacy of large debts, as well as the ongoing costs of maintaining assets. Much of this </w:t>
      </w:r>
      <w:r w:rsidR="00A45649">
        <w:t xml:space="preserve">burden </w:t>
      </w:r>
      <w:r w:rsidR="00DF3D0B">
        <w:t xml:space="preserve">was </w:t>
      </w:r>
      <w:r w:rsidR="00A45649">
        <w:t>placed on taxpayers</w:t>
      </w:r>
      <w:r w:rsidR="007A1001">
        <w:t>.</w:t>
      </w:r>
    </w:p>
    <w:p w14:paraId="11FE26E2" w14:textId="447F8D37" w:rsidR="00272231" w:rsidRDefault="008E520B" w:rsidP="00C42D5A">
      <w:pPr>
        <w:pStyle w:val="BodyText"/>
      </w:pPr>
      <w:r>
        <w:t xml:space="preserve">The desire to avoid </w:t>
      </w:r>
      <w:r w:rsidR="000E58A1">
        <w:t xml:space="preserve">burdening </w:t>
      </w:r>
      <w:r w:rsidR="00F643E4">
        <w:t xml:space="preserve">water users and </w:t>
      </w:r>
      <w:r w:rsidR="00E77E5D">
        <w:t>taxpayers</w:t>
      </w:r>
      <w:r w:rsidR="000E58A1">
        <w:t xml:space="preserve"> with </w:t>
      </w:r>
      <w:r w:rsidR="00F643E4">
        <w:t>the</w:t>
      </w:r>
      <w:r w:rsidR="000E58A1">
        <w:t xml:space="preserve"> </w:t>
      </w:r>
      <w:r>
        <w:t xml:space="preserve">costs </w:t>
      </w:r>
      <w:r w:rsidR="00F643E4">
        <w:t xml:space="preserve">of uneconomic investment decisions </w:t>
      </w:r>
      <w:r w:rsidR="00D72C00">
        <w:t xml:space="preserve">was </w:t>
      </w:r>
      <w:r w:rsidR="00DF1A6F">
        <w:t xml:space="preserve">one of the key drivers of </w:t>
      </w:r>
      <w:r w:rsidR="008E2C5D">
        <w:t xml:space="preserve">national </w:t>
      </w:r>
      <w:r w:rsidR="00272231">
        <w:t>water reform</w:t>
      </w:r>
      <w:r w:rsidR="000E58A1">
        <w:t xml:space="preserve">, including </w:t>
      </w:r>
      <w:r w:rsidR="00202EEA">
        <w:t>the COAG water reform</w:t>
      </w:r>
      <w:r w:rsidR="00DF1A6F">
        <w:t>s</w:t>
      </w:r>
      <w:r w:rsidR="003B377C">
        <w:t xml:space="preserve"> </w:t>
      </w:r>
      <w:r w:rsidR="004A4F30" w:rsidRPr="004A4F30">
        <w:t>(1994)</w:t>
      </w:r>
      <w:r w:rsidR="00542C21">
        <w:t xml:space="preserve"> </w:t>
      </w:r>
      <w:r w:rsidR="003B377C">
        <w:t>and the NWI</w:t>
      </w:r>
      <w:r w:rsidR="00542C21">
        <w:t xml:space="preserve"> </w:t>
      </w:r>
      <w:r w:rsidR="004A4F30" w:rsidRPr="004A4F30">
        <w:t>(2004)</w:t>
      </w:r>
      <w:r w:rsidR="000E58A1">
        <w:t>.</w:t>
      </w:r>
    </w:p>
    <w:p w14:paraId="07D6EAAA" w14:textId="2C8DE222" w:rsidR="00A90EB2" w:rsidRPr="00AF798B" w:rsidRDefault="00242FEA" w:rsidP="005A4314">
      <w:pPr>
        <w:pStyle w:val="Heading3hanging"/>
      </w:pPr>
      <w:bookmarkStart w:id="7" w:name="_Toc62628678"/>
      <w:r w:rsidRPr="00AF798B">
        <w:lastRenderedPageBreak/>
        <w:t>1.2</w:t>
      </w:r>
      <w:r w:rsidRPr="00AF798B">
        <w:tab/>
      </w:r>
      <w:r w:rsidR="00A90EB2" w:rsidRPr="00AF798B">
        <w:t xml:space="preserve">NWI </w:t>
      </w:r>
      <w:r w:rsidR="001866FF" w:rsidRPr="00AF798B">
        <w:t>targets</w:t>
      </w:r>
      <w:r w:rsidR="00635F99" w:rsidRPr="00AF798B">
        <w:t xml:space="preserve"> </w:t>
      </w:r>
      <w:r w:rsidR="00865960" w:rsidRPr="00AF798B">
        <w:t xml:space="preserve">economically </w:t>
      </w:r>
      <w:r w:rsidR="0012269C" w:rsidRPr="00AF798B">
        <w:t>viable</w:t>
      </w:r>
      <w:r w:rsidR="00603637" w:rsidRPr="00AF798B">
        <w:t xml:space="preserve"> and</w:t>
      </w:r>
      <w:r w:rsidR="00A90EB2" w:rsidRPr="00AF798B">
        <w:t xml:space="preserve"> </w:t>
      </w:r>
      <w:r w:rsidR="00DF1A6F" w:rsidRPr="00AF798B">
        <w:t xml:space="preserve">ecologically sustainable </w:t>
      </w:r>
      <w:r w:rsidR="00DF1A6F" w:rsidRPr="005A4314">
        <w:t>infrastructure</w:t>
      </w:r>
      <w:bookmarkEnd w:id="7"/>
    </w:p>
    <w:p w14:paraId="59BCD5C8" w14:textId="701A7FC3" w:rsidR="00970CDD" w:rsidRDefault="00C42D5A" w:rsidP="00B93196">
      <w:pPr>
        <w:pStyle w:val="BodyText"/>
        <w:keepNext/>
      </w:pPr>
      <w:r>
        <w:t>J</w:t>
      </w:r>
      <w:r w:rsidR="00970CDD">
        <w:t>urisdictions agreed that t</w:t>
      </w:r>
      <w:r w:rsidR="00F643E4">
        <w:t xml:space="preserve">he </w:t>
      </w:r>
      <w:r w:rsidR="00970CDD">
        <w:t xml:space="preserve">outcomes of the </w:t>
      </w:r>
      <w:r w:rsidR="00F643E4">
        <w:t xml:space="preserve">NWI </w:t>
      </w:r>
      <w:r w:rsidR="00F643E4" w:rsidRPr="00F643E4">
        <w:rPr>
          <w:i/>
        </w:rPr>
        <w:t>Best Practice Water Pricing and Institutional Arrangements</w:t>
      </w:r>
      <w:r w:rsidR="00F643E4">
        <w:t xml:space="preserve"> element </w:t>
      </w:r>
      <w:r w:rsidR="00EB4EC3">
        <w:t xml:space="preserve">would </w:t>
      </w:r>
      <w:r w:rsidR="00970CDD">
        <w:t>include:</w:t>
      </w:r>
    </w:p>
    <w:p w14:paraId="700B87D5" w14:textId="301DCDF0" w:rsidR="00970CDD" w:rsidRDefault="00970CDD" w:rsidP="00970CDD">
      <w:pPr>
        <w:pStyle w:val="ListBullet"/>
      </w:pPr>
      <w:r>
        <w:t>promoting economically efficient and sustainable use of</w:t>
      </w:r>
      <w:r w:rsidR="00582C89">
        <w:t xml:space="preserve"> water resources,</w:t>
      </w:r>
      <w:r>
        <w:t xml:space="preserve"> water infrastructure assets</w:t>
      </w:r>
      <w:r w:rsidR="00582C89">
        <w:t xml:space="preserve"> and government resources devoted to the management of </w:t>
      </w:r>
      <w:proofErr w:type="gramStart"/>
      <w:r w:rsidR="00582C89">
        <w:t>water</w:t>
      </w:r>
      <w:proofErr w:type="gramEnd"/>
    </w:p>
    <w:p w14:paraId="19785280" w14:textId="5AC82023" w:rsidR="00970CDD" w:rsidRDefault="00970CDD" w:rsidP="00970CDD">
      <w:pPr>
        <w:pStyle w:val="ListBullet"/>
      </w:pPr>
      <w:r>
        <w:t>giving effect to the princ</w:t>
      </w:r>
      <w:r w:rsidR="00582C89">
        <w:t>iple of user pays</w:t>
      </w:r>
    </w:p>
    <w:p w14:paraId="1039AB1A" w14:textId="07B26A99" w:rsidR="00582C89" w:rsidRDefault="00361629" w:rsidP="00970CDD">
      <w:pPr>
        <w:pStyle w:val="ListBullet"/>
      </w:pPr>
      <w:r>
        <w:t>avoiding perverse or unintended pricing outcomes.</w:t>
      </w:r>
      <w:r w:rsidRPr="00F27690">
        <w:rPr>
          <w:rStyle w:val="FootnoteReference"/>
        </w:rPr>
        <w:footnoteReference w:id="2"/>
      </w:r>
    </w:p>
    <w:p w14:paraId="35973F8A" w14:textId="7093E9FB" w:rsidR="00CD3361" w:rsidRDefault="00C42D5A" w:rsidP="0012269C">
      <w:pPr>
        <w:pStyle w:val="BodyText"/>
        <w:keepNext/>
      </w:pPr>
      <w:r>
        <w:t xml:space="preserve">To guide investment in water infrastructure, </w:t>
      </w:r>
      <w:r w:rsidR="00F064D3">
        <w:t xml:space="preserve">NWI </w:t>
      </w:r>
      <w:r>
        <w:t>s</w:t>
      </w:r>
      <w:r w:rsidR="00CD3361">
        <w:t>ignatories agreed:</w:t>
      </w:r>
    </w:p>
    <w:p w14:paraId="72BD7D48" w14:textId="150EE734" w:rsidR="00CD3361" w:rsidRDefault="008E2C5D" w:rsidP="00CD3361">
      <w:pPr>
        <w:pStyle w:val="Quote"/>
      </w:pPr>
      <w:r>
        <w:rPr>
          <w:sz w:val="24"/>
        </w:rPr>
        <w:t>…</w:t>
      </w:r>
      <w:r w:rsidRPr="008E2C5D">
        <w:t xml:space="preserve"> to ensure that proposals for investment in new or refurbished water infrastructure continue to be assessed as economically viable and ecologically sustainable prior to the investment occurring (noting paragraph 66 (v)).</w:t>
      </w:r>
      <w:r w:rsidRPr="00F27690">
        <w:rPr>
          <w:rStyle w:val="FootnoteReference"/>
        </w:rPr>
        <w:footnoteReference w:id="3"/>
      </w:r>
    </w:p>
    <w:p w14:paraId="6C779C40" w14:textId="4053EBA1" w:rsidR="00357856" w:rsidRDefault="00357856" w:rsidP="00DB2EC5">
      <w:pPr>
        <w:pStyle w:val="BodyText"/>
        <w:keepNext/>
      </w:pPr>
      <w:r>
        <w:t xml:space="preserve">The </w:t>
      </w:r>
      <w:r w:rsidRPr="00DB2EC5">
        <w:rPr>
          <w:i/>
        </w:rPr>
        <w:t>NWI Pricing Principles</w:t>
      </w:r>
      <w:r>
        <w:t xml:space="preserve"> </w:t>
      </w:r>
      <w:r w:rsidR="0012269C">
        <w:t>provide more detail</w:t>
      </w:r>
      <w:r w:rsidR="00970CDD">
        <w:t xml:space="preserve"> on </w:t>
      </w:r>
      <w:r w:rsidR="00EB4EC3">
        <w:t xml:space="preserve">how </w:t>
      </w:r>
      <w:r w:rsidR="007A1001">
        <w:t xml:space="preserve">to implement the </w:t>
      </w:r>
      <w:r w:rsidR="00EB4EC3">
        <w:t>‘</w:t>
      </w:r>
      <w:r w:rsidR="00970CDD">
        <w:t>user pays</w:t>
      </w:r>
      <w:r w:rsidR="00EB4EC3">
        <w:t>’</w:t>
      </w:r>
      <w:r w:rsidR="007A1001">
        <w:t xml:space="preserve"> principle </w:t>
      </w:r>
      <w:r w:rsidR="0012269C">
        <w:t xml:space="preserve">— including </w:t>
      </w:r>
      <w:r w:rsidR="00CB488B">
        <w:t>where</w:t>
      </w:r>
      <w:r w:rsidR="0012269C">
        <w:t xml:space="preserve"> </w:t>
      </w:r>
      <w:r w:rsidR="00AB1112" w:rsidRPr="007A1CEB">
        <w:t xml:space="preserve">assets </w:t>
      </w:r>
      <w:r w:rsidR="00CB488B">
        <w:t xml:space="preserve">have been </w:t>
      </w:r>
      <w:r w:rsidR="00AD5535">
        <w:t>contributed</w:t>
      </w:r>
      <w:r w:rsidR="00AD5535" w:rsidRPr="00AD5535">
        <w:t xml:space="preserve"> by</w:t>
      </w:r>
      <w:r w:rsidR="00DF1A6F" w:rsidRPr="00AD5535">
        <w:t xml:space="preserve"> </w:t>
      </w:r>
      <w:r w:rsidR="00DF1A6F" w:rsidRPr="00F064D3">
        <w:t>governments</w:t>
      </w:r>
      <w:r w:rsidR="008B4E83">
        <w:t>.</w:t>
      </w:r>
    </w:p>
    <w:p w14:paraId="342E9C69" w14:textId="0E620609" w:rsidR="00D82182" w:rsidRPr="00D82182" w:rsidRDefault="00D82182" w:rsidP="00D82182">
      <w:pPr>
        <w:pStyle w:val="Quote"/>
      </w:pPr>
      <w:r w:rsidRPr="00D82182">
        <w:t xml:space="preserve">For new or replacement assets, </w:t>
      </w:r>
      <w:r w:rsidR="0012269C">
        <w:t xml:space="preserve">[user] </w:t>
      </w:r>
      <w:r w:rsidRPr="00D82182">
        <w:t xml:space="preserve">charges will be set to achieve full cost recovery of capital expenditures (net of transparent deductions/offsets for contributed assets and developer charges </w:t>
      </w:r>
      <w:r>
        <w:t xml:space="preserve">… </w:t>
      </w:r>
      <w:r w:rsidRPr="00D82182">
        <w:t>and transparent community service obligations)</w:t>
      </w:r>
      <w:r w:rsidR="00F064D3">
        <w:t xml:space="preserve">. </w:t>
      </w:r>
      <w:r w:rsidR="008E615F" w:rsidRPr="008E615F">
        <w:rPr>
          <w:szCs w:val="24"/>
        </w:rPr>
        <w:t>(NRMMC 2010, p. 6)</w:t>
      </w:r>
    </w:p>
    <w:p w14:paraId="17881FCC" w14:textId="261AEC96" w:rsidR="00CB488B" w:rsidRDefault="0016304A" w:rsidP="00934120">
      <w:pPr>
        <w:pStyle w:val="BodyText"/>
        <w:keepNext/>
      </w:pPr>
      <w:r>
        <w:t>In other words, t</w:t>
      </w:r>
      <w:r w:rsidR="009A01B0" w:rsidRPr="009A01B0">
        <w:t xml:space="preserve">he principles </w:t>
      </w:r>
      <w:r w:rsidR="00C36561">
        <w:t>allow</w:t>
      </w:r>
      <w:r w:rsidR="0012269C">
        <w:t xml:space="preserve"> for </w:t>
      </w:r>
      <w:r w:rsidR="00AB1112" w:rsidRPr="009A01B0">
        <w:t xml:space="preserve">two </w:t>
      </w:r>
      <w:r w:rsidR="00CB488B" w:rsidRPr="009A01B0">
        <w:t xml:space="preserve">circumstances </w:t>
      </w:r>
      <w:r w:rsidR="00AB1112" w:rsidRPr="009A01B0">
        <w:t xml:space="preserve">where the </w:t>
      </w:r>
      <w:r w:rsidR="00FB7AC4">
        <w:t xml:space="preserve">full </w:t>
      </w:r>
      <w:r w:rsidR="00AB1112" w:rsidRPr="009A01B0">
        <w:t>costs of</w:t>
      </w:r>
      <w:r w:rsidR="00C36561">
        <w:t xml:space="preserve"> government</w:t>
      </w:r>
      <w:r w:rsidR="00C36561">
        <w:noBreakHyphen/>
        <w:t>funded</w:t>
      </w:r>
      <w:r w:rsidR="00AB1112" w:rsidRPr="009A01B0">
        <w:t xml:space="preserve"> water infrastructure </w:t>
      </w:r>
      <w:r w:rsidR="00F064D3">
        <w:t xml:space="preserve">are not </w:t>
      </w:r>
      <w:r w:rsidR="00AB1112" w:rsidRPr="009A01B0">
        <w:t xml:space="preserve">recovered from </w:t>
      </w:r>
      <w:r w:rsidR="00AD5535">
        <w:t xml:space="preserve">water </w:t>
      </w:r>
      <w:r w:rsidR="00AB1112" w:rsidRPr="009A01B0">
        <w:t>users</w:t>
      </w:r>
      <w:r w:rsidR="007A1001">
        <w:t>:</w:t>
      </w:r>
    </w:p>
    <w:p w14:paraId="03240E68" w14:textId="71F30264" w:rsidR="00CB488B" w:rsidRPr="00CB488B" w:rsidRDefault="00C42D5A" w:rsidP="009F79F4">
      <w:pPr>
        <w:pStyle w:val="ListNumber"/>
        <w:numPr>
          <w:ilvl w:val="0"/>
          <w:numId w:val="26"/>
        </w:numPr>
      </w:pPr>
      <w:r>
        <w:t>where</w:t>
      </w:r>
      <w:r w:rsidR="0012269C">
        <w:t xml:space="preserve"> assets </w:t>
      </w:r>
      <w:r w:rsidR="007A1001">
        <w:t>ha</w:t>
      </w:r>
      <w:r w:rsidR="00FE6F91">
        <w:t>ve</w:t>
      </w:r>
      <w:r>
        <w:t xml:space="preserve"> been ‘</w:t>
      </w:r>
      <w:r w:rsidR="0012269C">
        <w:t>contributed</w:t>
      </w:r>
      <w:r>
        <w:t>’</w:t>
      </w:r>
      <w:r w:rsidR="0012269C">
        <w:t xml:space="preserve"> </w:t>
      </w:r>
      <w:r w:rsidR="007A1001">
        <w:t>or paid for by a g</w:t>
      </w:r>
      <w:r w:rsidR="0012269C">
        <w:t xml:space="preserve">overnment (or </w:t>
      </w:r>
      <w:r>
        <w:t xml:space="preserve">another party, such as a housing </w:t>
      </w:r>
      <w:r w:rsidR="00DF1A6F">
        <w:t>developer</w:t>
      </w:r>
      <w:r w:rsidR="00AD5535" w:rsidRPr="00F27690">
        <w:rPr>
          <w:rStyle w:val="FootnoteReference"/>
        </w:rPr>
        <w:footnoteReference w:id="4"/>
      </w:r>
      <w:r w:rsidR="0012269C">
        <w:t>)</w:t>
      </w:r>
      <w:r w:rsidR="00AD5535">
        <w:t xml:space="preserve"> with the intent of lowering water prices</w:t>
      </w:r>
      <w:r w:rsidR="0012269C">
        <w:t xml:space="preserve">, </w:t>
      </w:r>
      <w:r w:rsidR="007A1001">
        <w:t>or</w:t>
      </w:r>
    </w:p>
    <w:p w14:paraId="26A5E9E9" w14:textId="6A0AE069" w:rsidR="00CB488B" w:rsidRDefault="0012269C" w:rsidP="00CB488B">
      <w:pPr>
        <w:pStyle w:val="ListNumber"/>
      </w:pPr>
      <w:r w:rsidRPr="00CB488B">
        <w:t xml:space="preserve">where a </w:t>
      </w:r>
      <w:r w:rsidR="00C36561">
        <w:t>g</w:t>
      </w:r>
      <w:r w:rsidRPr="00CB488B">
        <w:t>overnment provides a transparent community service obligation</w:t>
      </w:r>
      <w:r w:rsidR="00CB488B" w:rsidRPr="00CB488B">
        <w:t xml:space="preserve"> </w:t>
      </w:r>
      <w:r w:rsidR="007A1001" w:rsidRPr="00CB488B">
        <w:t>(CSO</w:t>
      </w:r>
      <w:r w:rsidR="007A1001">
        <w:t>)</w:t>
      </w:r>
      <w:r w:rsidR="007A1001" w:rsidRPr="00CB488B">
        <w:t xml:space="preserve"> </w:t>
      </w:r>
      <w:r w:rsidR="00CB488B" w:rsidRPr="00CB488B">
        <w:t xml:space="preserve">to fund </w:t>
      </w:r>
      <w:r w:rsidR="00F064D3">
        <w:t xml:space="preserve">a portion of </w:t>
      </w:r>
      <w:r w:rsidR="00CB488B" w:rsidRPr="00CB488B">
        <w:t>the cost of the infrastructure</w:t>
      </w:r>
      <w:r w:rsidR="007E1704" w:rsidRPr="00CB488B">
        <w:t xml:space="preserve"> </w:t>
      </w:r>
      <w:r w:rsidR="007A1001">
        <w:t>(</w:t>
      </w:r>
      <w:r w:rsidRPr="00CB488B">
        <w:t xml:space="preserve">discussed in </w:t>
      </w:r>
      <w:r w:rsidR="00FB7AC4" w:rsidRPr="00E215CF">
        <w:t>S</w:t>
      </w:r>
      <w:r w:rsidRPr="00E215CF">
        <w:t>P</w:t>
      </w:r>
      <w:r w:rsidR="00FB1D2B">
        <w:t> </w:t>
      </w:r>
      <w:r w:rsidR="00E215CF" w:rsidRPr="00E215CF">
        <w:t>G</w:t>
      </w:r>
      <w:r w:rsidRPr="00E215CF">
        <w:t> </w:t>
      </w:r>
      <w:r w:rsidR="00E215CF" w:rsidRPr="00E215CF">
        <w:rPr>
          <w:i/>
        </w:rPr>
        <w:t>R</w:t>
      </w:r>
      <w:r w:rsidR="00BF1F57" w:rsidRPr="00E215CF">
        <w:rPr>
          <w:i/>
        </w:rPr>
        <w:t>egional</w:t>
      </w:r>
      <w:r w:rsidR="007A1001">
        <w:t>).</w:t>
      </w:r>
    </w:p>
    <w:p w14:paraId="3E4C9EEB" w14:textId="40BEB4E9" w:rsidR="000F25A8" w:rsidRDefault="000F25A8" w:rsidP="00FB7AC4">
      <w:pPr>
        <w:pStyle w:val="BodyText"/>
      </w:pPr>
      <w:r>
        <w:t xml:space="preserve">In either case, </w:t>
      </w:r>
      <w:r w:rsidR="00EC4D47">
        <w:t xml:space="preserve">taxpayers (rather than users) bear </w:t>
      </w:r>
      <w:r w:rsidR="009F79F4">
        <w:t xml:space="preserve">a share of </w:t>
      </w:r>
      <w:r>
        <w:t>the costs of the investment.</w:t>
      </w:r>
    </w:p>
    <w:p w14:paraId="3F60E179" w14:textId="4F15668C" w:rsidR="001671F4" w:rsidRPr="00AF798B" w:rsidRDefault="00242FEA" w:rsidP="00AF798B">
      <w:pPr>
        <w:pStyle w:val="Heading3hanging"/>
      </w:pPr>
      <w:bookmarkStart w:id="8" w:name="_Toc62628679"/>
      <w:r w:rsidRPr="00AF798B">
        <w:lastRenderedPageBreak/>
        <w:t>1.3</w:t>
      </w:r>
      <w:r w:rsidRPr="00AF798B">
        <w:tab/>
      </w:r>
      <w:r w:rsidR="00EF37C7" w:rsidRPr="00AF798B">
        <w:t xml:space="preserve">Most infrastructure </w:t>
      </w:r>
      <w:r w:rsidR="00C638BB" w:rsidRPr="00AF798B">
        <w:t xml:space="preserve">investment is undertaken by </w:t>
      </w:r>
      <w:r w:rsidR="00EF37C7" w:rsidRPr="00AF798B">
        <w:t>service providers</w:t>
      </w:r>
      <w:r w:rsidR="00C638BB" w:rsidRPr="00AF798B">
        <w:t xml:space="preserve"> …</w:t>
      </w:r>
      <w:bookmarkEnd w:id="8"/>
    </w:p>
    <w:p w14:paraId="0DFDDAA2" w14:textId="136650AD" w:rsidR="00EF37C7" w:rsidRPr="0016304A" w:rsidRDefault="00EF37C7" w:rsidP="00FB7AC4">
      <w:pPr>
        <w:pStyle w:val="BodyText"/>
      </w:pPr>
      <w:r>
        <w:t>Planning for</w:t>
      </w:r>
      <w:r w:rsidR="0016304A">
        <w:t xml:space="preserve">, </w:t>
      </w:r>
      <w:r>
        <w:t>constructing</w:t>
      </w:r>
      <w:r w:rsidR="0016304A">
        <w:t xml:space="preserve">, </w:t>
      </w:r>
      <w:proofErr w:type="gramStart"/>
      <w:r w:rsidR="0016304A">
        <w:t>maintaining</w:t>
      </w:r>
      <w:proofErr w:type="gramEnd"/>
      <w:r w:rsidR="0016304A">
        <w:t xml:space="preserve"> and refurbishing</w:t>
      </w:r>
      <w:r>
        <w:t xml:space="preserve"> water infrastructure </w:t>
      </w:r>
      <w:r w:rsidR="008B4E83">
        <w:t xml:space="preserve">is </w:t>
      </w:r>
      <w:r w:rsidR="00C723BC">
        <w:t>a</w:t>
      </w:r>
      <w:r w:rsidR="008B4E83">
        <w:t xml:space="preserve"> </w:t>
      </w:r>
      <w:r>
        <w:t>core business of water service providers</w:t>
      </w:r>
      <w:r w:rsidR="00C638BB">
        <w:t xml:space="preserve"> (</w:t>
      </w:r>
      <w:r w:rsidR="00C638BB" w:rsidRPr="007A1001">
        <w:t xml:space="preserve">urban </w:t>
      </w:r>
      <w:r w:rsidR="007A1001" w:rsidRPr="007A1001">
        <w:t xml:space="preserve">water </w:t>
      </w:r>
      <w:r w:rsidR="00C638BB" w:rsidRPr="007A1001">
        <w:t>utilities, bulk water providers and irrigation operators</w:t>
      </w:r>
      <w:r w:rsidR="00C638BB">
        <w:t>)</w:t>
      </w:r>
      <w:r w:rsidR="008B4E83">
        <w:t>. Th</w:t>
      </w:r>
      <w:r>
        <w:t>e</w:t>
      </w:r>
      <w:r w:rsidR="008B4E83">
        <w:t>ir</w:t>
      </w:r>
      <w:r>
        <w:t xml:space="preserve"> decisions are</w:t>
      </w:r>
      <w:r w:rsidR="008B4E83">
        <w:t xml:space="preserve">, </w:t>
      </w:r>
      <w:r w:rsidR="00107D53">
        <w:t>ideally</w:t>
      </w:r>
      <w:r w:rsidR="008B4E83">
        <w:t>,</w:t>
      </w:r>
      <w:r w:rsidR="00107D53">
        <w:t xml:space="preserve"> </w:t>
      </w:r>
      <w:r>
        <w:t xml:space="preserve">guided by internal assessments of </w:t>
      </w:r>
      <w:r w:rsidR="008B4E83">
        <w:t>the need for infrastructure</w:t>
      </w:r>
      <w:r w:rsidR="00C723BC">
        <w:t xml:space="preserve"> in providing an agreed level of service to their customers,</w:t>
      </w:r>
      <w:r w:rsidR="008B4E83">
        <w:t xml:space="preserve"> </w:t>
      </w:r>
      <w:r w:rsidR="00107D53">
        <w:t xml:space="preserve">and </w:t>
      </w:r>
      <w:r>
        <w:t>the benefits and costs</w:t>
      </w:r>
      <w:r w:rsidR="007A1001">
        <w:t xml:space="preserve"> of alternative </w:t>
      </w:r>
      <w:r w:rsidR="00107D53">
        <w:t>options</w:t>
      </w:r>
      <w:r w:rsidR="00D72C00">
        <w:t>.</w:t>
      </w:r>
      <w:r w:rsidR="00DB2EC5">
        <w:t xml:space="preserve"> </w:t>
      </w:r>
      <w:r w:rsidR="00D72C00">
        <w:t>I</w:t>
      </w:r>
      <w:r w:rsidR="00FB7AC4">
        <w:t xml:space="preserve">nvestments undertaken by </w:t>
      </w:r>
      <w:proofErr w:type="spellStart"/>
      <w:r w:rsidR="00FB7AC4">
        <w:t>corporatised</w:t>
      </w:r>
      <w:proofErr w:type="spellEnd"/>
      <w:r w:rsidR="00FB7AC4">
        <w:t xml:space="preserve"> entities would be expected to be </w:t>
      </w:r>
      <w:r w:rsidR="00DB2EC5">
        <w:t>consistent with the NWI requirement for economic viability</w:t>
      </w:r>
      <w:r w:rsidR="008B4E83">
        <w:t>.</w:t>
      </w:r>
      <w:r w:rsidR="0016304A" w:rsidRPr="0016304A">
        <w:t xml:space="preserve"> </w:t>
      </w:r>
      <w:r w:rsidR="0016304A" w:rsidRPr="00AC40D8">
        <w:t xml:space="preserve">In urban </w:t>
      </w:r>
      <w:r w:rsidR="0016304A">
        <w:t>areas</w:t>
      </w:r>
      <w:r w:rsidR="0016304A" w:rsidRPr="00AC40D8">
        <w:t xml:space="preserve">, water service provider planning </w:t>
      </w:r>
      <w:r w:rsidR="0016304A">
        <w:t>processes generally guide</w:t>
      </w:r>
      <w:r w:rsidR="0016304A" w:rsidRPr="00AC40D8">
        <w:t xml:space="preserve"> infras</w:t>
      </w:r>
      <w:r w:rsidR="0016304A">
        <w:t>tructure decision</w:t>
      </w:r>
      <w:r w:rsidR="00F75929">
        <w:t xml:space="preserve"> </w:t>
      </w:r>
      <w:r w:rsidR="0016304A">
        <w:t>making</w:t>
      </w:r>
      <w:r w:rsidR="008E2535">
        <w:t>, with (in many cases) scrutiny from economic regulators. T</w:t>
      </w:r>
      <w:r w:rsidR="0016304A">
        <w:t xml:space="preserve">hese processes are discussed in </w:t>
      </w:r>
      <w:r w:rsidR="008D074E">
        <w:t>SP</w:t>
      </w:r>
      <w:r w:rsidR="00FB1D2B">
        <w:t> </w:t>
      </w:r>
      <w:r w:rsidR="00E215CF">
        <w:t>F</w:t>
      </w:r>
      <w:r w:rsidR="00E215CF" w:rsidRPr="00E215CF">
        <w:t> </w:t>
      </w:r>
      <w:r w:rsidR="00E215CF">
        <w:rPr>
          <w:i/>
        </w:rPr>
        <w:t>Urban</w:t>
      </w:r>
      <w:r w:rsidR="00E215CF" w:rsidRPr="00E215CF">
        <w:t xml:space="preserve"> </w:t>
      </w:r>
      <w:r w:rsidR="0016304A">
        <w:t xml:space="preserve">and </w:t>
      </w:r>
      <w:r w:rsidR="00E215CF" w:rsidRPr="00E215CF">
        <w:t>SP</w:t>
      </w:r>
      <w:r w:rsidR="00FB1D2B">
        <w:t> </w:t>
      </w:r>
      <w:r w:rsidR="00E215CF" w:rsidRPr="00E215CF">
        <w:t>G </w:t>
      </w:r>
      <w:r w:rsidR="00E215CF" w:rsidRPr="00E215CF">
        <w:rPr>
          <w:i/>
        </w:rPr>
        <w:t>Regional</w:t>
      </w:r>
      <w:r w:rsidR="0016304A">
        <w:t>.</w:t>
      </w:r>
    </w:p>
    <w:p w14:paraId="2114040C" w14:textId="7B41445A" w:rsidR="00C723BC" w:rsidRDefault="00CE7ECD" w:rsidP="007A1001">
      <w:pPr>
        <w:pStyle w:val="BodyText"/>
      </w:pPr>
      <w:r>
        <w:t>In any case, i</w:t>
      </w:r>
      <w:r w:rsidR="00C723BC">
        <w:t xml:space="preserve">nfrastructure development </w:t>
      </w:r>
      <w:r w:rsidR="00804786">
        <w:t xml:space="preserve">proposals are </w:t>
      </w:r>
      <w:r w:rsidR="00C723BC">
        <w:t>then subject to environmental, social</w:t>
      </w:r>
      <w:r w:rsidR="00E370DB">
        <w:t>, cultural heritage</w:t>
      </w:r>
      <w:r w:rsidR="00C723BC">
        <w:t xml:space="preserve"> and other </w:t>
      </w:r>
      <w:r w:rsidR="00804786">
        <w:t xml:space="preserve">government </w:t>
      </w:r>
      <w:r w:rsidR="00C723BC">
        <w:t>approval</w:t>
      </w:r>
      <w:r w:rsidR="00804786">
        <w:t xml:space="preserve"> processes</w:t>
      </w:r>
      <w:r w:rsidR="008E2535">
        <w:t xml:space="preserve">, including water </w:t>
      </w:r>
      <w:r w:rsidR="00463E90">
        <w:t>resource planning.</w:t>
      </w:r>
      <w:r w:rsidR="008E2535">
        <w:t xml:space="preserve"> </w:t>
      </w:r>
      <w:r w:rsidR="00463E90">
        <w:t>C</w:t>
      </w:r>
      <w:r w:rsidR="008E2535">
        <w:t>ollectively,</w:t>
      </w:r>
      <w:r w:rsidR="00DB2EC5">
        <w:t xml:space="preserve"> </w:t>
      </w:r>
      <w:r w:rsidR="008E2535">
        <w:t xml:space="preserve">these </w:t>
      </w:r>
      <w:r w:rsidR="00463E90">
        <w:t xml:space="preserve">processes help </w:t>
      </w:r>
      <w:r w:rsidR="008E2535">
        <w:t xml:space="preserve">ensure </w:t>
      </w:r>
      <w:r w:rsidR="00DB2EC5">
        <w:t>compliance with the NWI requirement for ecological sustainability</w:t>
      </w:r>
      <w:r w:rsidR="008E2535">
        <w:t>.</w:t>
      </w:r>
    </w:p>
    <w:p w14:paraId="28D16692" w14:textId="5637D692" w:rsidR="00A14982" w:rsidRDefault="00242FEA" w:rsidP="00A14982">
      <w:pPr>
        <w:pStyle w:val="Heading3"/>
      </w:pPr>
      <w:bookmarkStart w:id="9" w:name="_Toc62628680"/>
      <w:r>
        <w:t>1.4</w:t>
      </w:r>
      <w:r>
        <w:tab/>
      </w:r>
      <w:r w:rsidR="00C638BB">
        <w:t xml:space="preserve">… but </w:t>
      </w:r>
      <w:r w:rsidR="000C609B">
        <w:t xml:space="preserve">government </w:t>
      </w:r>
      <w:r w:rsidR="00F064D3">
        <w:t xml:space="preserve">enthusiasm </w:t>
      </w:r>
      <w:r w:rsidR="00A14982">
        <w:t xml:space="preserve">for </w:t>
      </w:r>
      <w:r w:rsidR="000C609B">
        <w:t xml:space="preserve">public </w:t>
      </w:r>
      <w:r w:rsidR="00A14982">
        <w:t xml:space="preserve">investment </w:t>
      </w:r>
      <w:r w:rsidR="00F064D3">
        <w:t xml:space="preserve">is </w:t>
      </w:r>
      <w:proofErr w:type="gramStart"/>
      <w:r w:rsidR="00F064D3">
        <w:t>strong</w:t>
      </w:r>
      <w:bookmarkEnd w:id="9"/>
      <w:proofErr w:type="gramEnd"/>
    </w:p>
    <w:p w14:paraId="0458AA76" w14:textId="0FF339E4" w:rsidR="00A14982" w:rsidRDefault="00740EF3" w:rsidP="00A5357D">
      <w:pPr>
        <w:pStyle w:val="BodyText"/>
      </w:pPr>
      <w:r>
        <w:t xml:space="preserve">Government enthusiasm for investing in new water infrastructure (particularly for irrigation) was observed by the Commission in 2017 </w:t>
      </w:r>
      <w:r w:rsidR="005F0A66" w:rsidRPr="005F0A66">
        <w:rPr>
          <w:szCs w:val="24"/>
        </w:rPr>
        <w:t>(PC 2017a, p. 267)</w:t>
      </w:r>
      <w:r w:rsidR="00A5357D">
        <w:t xml:space="preserve">. </w:t>
      </w:r>
      <w:r>
        <w:t>This enthusiasm remains strong, with the Australian Government committing to a 10</w:t>
      </w:r>
      <w:r>
        <w:noBreakHyphen/>
        <w:t xml:space="preserve">year rolling water infrastructure </w:t>
      </w:r>
      <w:proofErr w:type="gramStart"/>
      <w:r>
        <w:t>program</w:t>
      </w:r>
      <w:r w:rsidR="007C4495">
        <w:t xml:space="preserve"> </w:t>
      </w:r>
      <w:r>
        <w:t xml:space="preserve"> under</w:t>
      </w:r>
      <w:proofErr w:type="gramEnd"/>
      <w:r>
        <w:t xml:space="preserve"> the $3.5 billion National Water Infrastructure Development Fund (NWIDF) reflecting this appetite to subsidise major water infrastructure (box 1).</w:t>
      </w:r>
    </w:p>
    <w:p w14:paraId="2403CA00" w14:textId="795AF5B1" w:rsidR="003A2F39" w:rsidRDefault="003A2F39" w:rsidP="003A2F39">
      <w:pPr>
        <w:pStyle w:val="BodyText"/>
      </w:pPr>
      <w:r>
        <w:t xml:space="preserve">The National Water Grid Authority (NWGA) is responsible for the NWIDF. Eligible projects must involve new or additional infrastructure investment </w:t>
      </w:r>
      <w:r w:rsidR="00F907C3">
        <w:t>that</w:t>
      </w:r>
      <w:r>
        <w:t xml:space="preserve"> increase</w:t>
      </w:r>
      <w:r w:rsidR="00F907C3">
        <w:t>s</w:t>
      </w:r>
      <w:r>
        <w:t xml:space="preserve"> water availability, reliability, efficiency and/or quality. Projects are limited to those that provide water for agriculture or primary industry, and they must be brought forward by, or have strong </w:t>
      </w:r>
      <w:r w:rsidR="00F907C3">
        <w:t xml:space="preserve">support from, the relevant </w:t>
      </w:r>
      <w:r>
        <w:t xml:space="preserve">State or Territory Government </w:t>
      </w:r>
      <w:r w:rsidRPr="00F11A60">
        <w:rPr>
          <w:szCs w:val="24"/>
        </w:rPr>
        <w:t>(NWGA 2020b, p. 10)</w:t>
      </w:r>
      <w:r>
        <w:t xml:space="preserve">. </w:t>
      </w:r>
    </w:p>
    <w:p w14:paraId="7A3E7CE3" w14:textId="77777777" w:rsidR="00FD0B39" w:rsidRDefault="00FD0B39" w:rsidP="00FD0B39">
      <w:pPr>
        <w:pStyle w:val="Heading4"/>
      </w:pPr>
      <w:r>
        <w:t xml:space="preserve">Recent crises have led to a greater impetus for </w:t>
      </w:r>
      <w:proofErr w:type="gramStart"/>
      <w:r>
        <w:t>investment</w:t>
      </w:r>
      <w:proofErr w:type="gramEnd"/>
    </w:p>
    <w:p w14:paraId="4A49F89D" w14:textId="77777777" w:rsidR="00FD0B39" w:rsidRDefault="00FD0B39" w:rsidP="00FD0B39">
      <w:pPr>
        <w:pStyle w:val="BodyText"/>
        <w:keepNext/>
      </w:pPr>
      <w:r>
        <w:t>Recent events, including drought in eastern Australia, have prompted further action to expedite major water infrastructure investments.</w:t>
      </w:r>
    </w:p>
    <w:p w14:paraId="12D38B76" w14:textId="027DC780" w:rsidR="00FD0B39" w:rsidRDefault="00FD0B39" w:rsidP="00FD0B39">
      <w:pPr>
        <w:pStyle w:val="ListBullet"/>
      </w:pPr>
      <w:r>
        <w:t>In early 2020, Infrastructure Australia identified ‘</w:t>
      </w:r>
      <w:r w:rsidRPr="00BF1F8A">
        <w:t>Town and city water security</w:t>
      </w:r>
      <w:r>
        <w:t xml:space="preserve">’ as a high priority in its </w:t>
      </w:r>
      <w:r>
        <w:rPr>
          <w:i/>
        </w:rPr>
        <w:t xml:space="preserve">Infrastructure </w:t>
      </w:r>
      <w:r w:rsidRPr="0035717A">
        <w:rPr>
          <w:i/>
        </w:rPr>
        <w:t>Priority List</w:t>
      </w:r>
      <w:r>
        <w:t xml:space="preserve"> </w:t>
      </w:r>
      <w:r w:rsidRPr="00BF1F8A">
        <w:rPr>
          <w:szCs w:val="24"/>
        </w:rPr>
        <w:t>(IA 2020a, p. 65)</w:t>
      </w:r>
      <w:r>
        <w:t>. It suggested incorporating both infrastructure and non</w:t>
      </w:r>
      <w:r>
        <w:noBreakHyphen/>
        <w:t>infrastructure responses, although it did not recommend who should develop or finance the projects.</w:t>
      </w:r>
    </w:p>
    <w:p w14:paraId="680D87AA" w14:textId="556BC3D8" w:rsidR="004A7593" w:rsidRPr="004B2E24" w:rsidRDefault="004A7593" w:rsidP="004A759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4A7593" w14:paraId="15F5C858" w14:textId="77777777" w:rsidTr="005A6312">
        <w:trPr>
          <w:tblHeader/>
        </w:trPr>
        <w:tc>
          <w:tcPr>
            <w:tcW w:w="5000" w:type="pct"/>
            <w:tcBorders>
              <w:top w:val="single" w:sz="6" w:space="0" w:color="78A22F"/>
              <w:left w:val="nil"/>
              <w:bottom w:val="nil"/>
              <w:right w:val="nil"/>
            </w:tcBorders>
            <w:shd w:val="clear" w:color="auto" w:fill="F2F2F2"/>
          </w:tcPr>
          <w:p w14:paraId="6A1A81E3" w14:textId="556BC3D8" w:rsidR="004A7593" w:rsidRDefault="004A7593" w:rsidP="004B2E24">
            <w:pPr>
              <w:pStyle w:val="BoxTitle"/>
            </w:pPr>
            <w:r>
              <w:rPr>
                <w:b w:val="0"/>
              </w:rPr>
              <w:t>Box</w:t>
            </w:r>
            <w:r w:rsidR="004B2E24">
              <w:rPr>
                <w:b w:val="0"/>
              </w:rPr>
              <w:t xml:space="preserve"> 1</w:t>
            </w:r>
            <w:r>
              <w:tab/>
              <w:t xml:space="preserve">Australian Government water infrastructure </w:t>
            </w:r>
            <w:r w:rsidR="00C05A00">
              <w:t>initiatives</w:t>
            </w:r>
          </w:p>
        </w:tc>
      </w:tr>
      <w:tr w:rsidR="004A7593" w14:paraId="4591B7F8" w14:textId="77777777" w:rsidTr="005A6312">
        <w:tc>
          <w:tcPr>
            <w:tcW w:w="5000" w:type="pct"/>
            <w:tcBorders>
              <w:top w:val="nil"/>
              <w:left w:val="nil"/>
              <w:bottom w:val="nil"/>
              <w:right w:val="nil"/>
            </w:tcBorders>
            <w:shd w:val="clear" w:color="auto" w:fill="F2F2F2"/>
          </w:tcPr>
          <w:p w14:paraId="381B2C18" w14:textId="08E88A57" w:rsidR="004A7593" w:rsidRDefault="004A7593" w:rsidP="005A6312">
            <w:pPr>
              <w:pStyle w:val="Box"/>
            </w:pPr>
            <w:r>
              <w:t xml:space="preserve">The Australian Government has committed </w:t>
            </w:r>
            <w:r w:rsidR="00600F4A">
              <w:t xml:space="preserve">to providing $3.5 billion </w:t>
            </w:r>
            <w:r>
              <w:t xml:space="preserve">to </w:t>
            </w:r>
            <w:r w:rsidR="00226D98">
              <w:t xml:space="preserve">fund </w:t>
            </w:r>
            <w:r>
              <w:t>new water infrastructure through development of the National Water Grid. The Grid aims</w:t>
            </w:r>
            <w:r w:rsidR="005F0A66">
              <w:t xml:space="preserve"> to </w:t>
            </w:r>
            <w:r w:rsidR="005F0A66" w:rsidRPr="005F0A66">
              <w:t xml:space="preserve">increase agricultural output, increase the availability and security of water, build resilience to a changing </w:t>
            </w:r>
            <w:proofErr w:type="gramStart"/>
            <w:r w:rsidR="005F0A66" w:rsidRPr="005F0A66">
              <w:t>climate</w:t>
            </w:r>
            <w:proofErr w:type="gramEnd"/>
            <w:r w:rsidR="005F0A66" w:rsidRPr="005F0A66">
              <w:t xml:space="preserve"> and support regional prosperity</w:t>
            </w:r>
            <w:r>
              <w:t>.</w:t>
            </w:r>
          </w:p>
          <w:p w14:paraId="05775769" w14:textId="77777777" w:rsidR="004A7593" w:rsidRDefault="004A7593" w:rsidP="005A6312">
            <w:pPr>
              <w:pStyle w:val="BoxHeading1"/>
            </w:pPr>
            <w:r>
              <w:t>Programs</w:t>
            </w:r>
          </w:p>
          <w:p w14:paraId="4E60FD95" w14:textId="04FC473C" w:rsidR="004A7593" w:rsidRDefault="009F5FFE" w:rsidP="005A6312">
            <w:pPr>
              <w:pStyle w:val="BoxListBullet"/>
            </w:pPr>
            <w:r>
              <w:t>Up to $</w:t>
            </w:r>
            <w:r w:rsidR="00BE5E1B">
              <w:t>3</w:t>
            </w:r>
            <w:r>
              <w:t>.5 billion in water infrastructure funding will be provided through t</w:t>
            </w:r>
            <w:r w:rsidR="004A7593">
              <w:t>he National Water Infrastructure Development Fund (NWIDF)</w:t>
            </w:r>
            <w:r w:rsidR="005F0A66">
              <w:t xml:space="preserve"> over ten years</w:t>
            </w:r>
            <w:r>
              <w:t>.</w:t>
            </w:r>
            <w:r w:rsidR="005F0A66">
              <w:t xml:space="preserve"> As of 11 </w:t>
            </w:r>
            <w:r w:rsidR="00183D03">
              <w:t xml:space="preserve">November 2020, </w:t>
            </w:r>
            <w:r w:rsidR="00600F4A">
              <w:t>$1.5 billion</w:t>
            </w:r>
            <w:r w:rsidR="00183D03">
              <w:t xml:space="preserve"> has been spent or otherwise committed to projects. </w:t>
            </w:r>
          </w:p>
          <w:p w14:paraId="53D67A7B" w14:textId="36D01B40" w:rsidR="000500CD" w:rsidRPr="00784BE6" w:rsidRDefault="001C0FBC" w:rsidP="005A6312">
            <w:pPr>
              <w:pStyle w:val="BoxListBullet"/>
            </w:pPr>
            <w:r>
              <w:t xml:space="preserve">Water projects are also </w:t>
            </w:r>
            <w:r w:rsidR="00994C0E">
              <w:t xml:space="preserve">eligible for </w:t>
            </w:r>
            <w:r w:rsidR="000F25A8">
              <w:t xml:space="preserve">concessional finance from </w:t>
            </w:r>
            <w:r>
              <w:t>t</w:t>
            </w:r>
            <w:r w:rsidR="000500CD">
              <w:t>he $5 billion Northern Australia Infrastructure Facility (NAIF).</w:t>
            </w:r>
          </w:p>
          <w:p w14:paraId="18A24DBE" w14:textId="2970F524" w:rsidR="004A7593" w:rsidRDefault="004A7593" w:rsidP="007507A5">
            <w:pPr>
              <w:pStyle w:val="BoxHeading1"/>
              <w:tabs>
                <w:tab w:val="left" w:pos="5556"/>
              </w:tabs>
            </w:pPr>
            <w:r>
              <w:t>Institutional arrangements</w:t>
            </w:r>
          </w:p>
          <w:p w14:paraId="0E5277DD" w14:textId="56326F0D" w:rsidR="001671F4" w:rsidRDefault="00600F4A" w:rsidP="00600F4A">
            <w:pPr>
              <w:pStyle w:val="BoxListBullet"/>
            </w:pPr>
            <w:r>
              <w:t xml:space="preserve">The National Water Grid Authority (NWGA) was established in late 2019, following a 2019 election commitment. It sits within the Department of Infrastructure, Transport, Regional Development and Communications and administers the NWIDF, with all future commitments subject to its October 2020 </w:t>
            </w:r>
            <w:r w:rsidRPr="000F25A8">
              <w:rPr>
                <w:i/>
              </w:rPr>
              <w:t>Investment Policy Framework</w:t>
            </w:r>
            <w:r>
              <w:rPr>
                <w:i/>
              </w:rPr>
              <w:t>.</w:t>
            </w:r>
          </w:p>
          <w:p w14:paraId="32E4712C" w14:textId="3F110531" w:rsidR="004A7593" w:rsidRPr="0017235E" w:rsidRDefault="004A7593" w:rsidP="005A6312">
            <w:pPr>
              <w:pStyle w:val="BoxListBullet2"/>
            </w:pPr>
            <w:r>
              <w:t>T</w:t>
            </w:r>
            <w:r w:rsidRPr="0017235E">
              <w:t xml:space="preserve">he National Water Grid Advisory Body </w:t>
            </w:r>
            <w:r>
              <w:t>was established in 2020 to</w:t>
            </w:r>
            <w:r w:rsidRPr="0017235E">
              <w:t xml:space="preserve"> provide independent expert advice </w:t>
            </w:r>
            <w:r>
              <w:t xml:space="preserve">to the </w:t>
            </w:r>
            <w:r w:rsidR="005F0A66">
              <w:t xml:space="preserve">Australian Government </w:t>
            </w:r>
            <w:r w:rsidRPr="0017235E">
              <w:t xml:space="preserve">on infrastructure policies, </w:t>
            </w:r>
            <w:proofErr w:type="gramStart"/>
            <w:r w:rsidRPr="0017235E">
              <w:t>projects</w:t>
            </w:r>
            <w:proofErr w:type="gramEnd"/>
            <w:r w:rsidRPr="0017235E">
              <w:t xml:space="preserve"> and investment priorities.</w:t>
            </w:r>
          </w:p>
          <w:p w14:paraId="00D67E61" w14:textId="4F957C93" w:rsidR="004A7593" w:rsidRDefault="004A7593" w:rsidP="005A6312">
            <w:pPr>
              <w:pStyle w:val="BoxListBullet"/>
            </w:pPr>
            <w:r>
              <w:t xml:space="preserve">The </w:t>
            </w:r>
            <w:r w:rsidRPr="008B3524">
              <w:t>North Queensland Water Infrastructure Authority</w:t>
            </w:r>
            <w:r w:rsidR="00600F4A">
              <w:t xml:space="preserve"> </w:t>
            </w:r>
            <w:r>
              <w:t xml:space="preserve">was </w:t>
            </w:r>
            <w:r w:rsidR="00A81D7C">
              <w:t xml:space="preserve">established </w:t>
            </w:r>
            <w:r>
              <w:t xml:space="preserve">on 12 March 2019 to coordinate the delivery of the </w:t>
            </w:r>
            <w:r w:rsidRPr="00A324AB">
              <w:t>Hughenden Irrigation Scheme project and the Hells Gates Dam Scheme</w:t>
            </w:r>
            <w:r w:rsidR="007507A5">
              <w:t xml:space="preserve"> </w:t>
            </w:r>
            <w:r w:rsidR="005F0A66">
              <w:t xml:space="preserve">with funding from </w:t>
            </w:r>
            <w:r w:rsidR="007507A5">
              <w:t>the NWIDF.</w:t>
            </w:r>
            <w:r w:rsidR="00183D03">
              <w:t xml:space="preserve"> It sits within the infrastructure portfolio.</w:t>
            </w:r>
          </w:p>
          <w:p w14:paraId="02A66C34" w14:textId="400E87EA" w:rsidR="004A7593" w:rsidRPr="00FD4D5D" w:rsidRDefault="00B265FA" w:rsidP="0015757E">
            <w:pPr>
              <w:pStyle w:val="BoxListBullet"/>
            </w:pPr>
            <w:r>
              <w:t>Since 1</w:t>
            </w:r>
            <w:r w:rsidR="00463E90">
              <w:t> </w:t>
            </w:r>
            <w:r>
              <w:t xml:space="preserve">January 2021, </w:t>
            </w:r>
            <w:r w:rsidR="004A7593">
              <w:t xml:space="preserve">Infrastructure Australia, the Australian Government’s </w:t>
            </w:r>
            <w:r w:rsidR="004A7593" w:rsidRPr="00BD4069">
              <w:t>independent infrastructure advisor</w:t>
            </w:r>
            <w:r w:rsidR="004A7593">
              <w:t xml:space="preserve">, </w:t>
            </w:r>
            <w:r w:rsidR="003B0AB7">
              <w:t xml:space="preserve">is </w:t>
            </w:r>
            <w:r w:rsidR="004A7593">
              <w:t xml:space="preserve">subject to a </w:t>
            </w:r>
            <w:r w:rsidR="00994C0E">
              <w:t>M</w:t>
            </w:r>
            <w:r w:rsidR="004A7593">
              <w:t xml:space="preserve">inisterial statement of expectations to evaluate </w:t>
            </w:r>
            <w:r w:rsidR="00EF53D3">
              <w:t xml:space="preserve">infrastructure project proposals where </w:t>
            </w:r>
            <w:r w:rsidR="004A7593">
              <w:t xml:space="preserve">Australian </w:t>
            </w:r>
            <w:r w:rsidR="0015757E">
              <w:t>g</w:t>
            </w:r>
            <w:r w:rsidR="004A7593">
              <w:t xml:space="preserve">overnment funding </w:t>
            </w:r>
            <w:r w:rsidR="00EF53D3">
              <w:t xml:space="preserve">of more than </w:t>
            </w:r>
            <w:r w:rsidR="004A7593">
              <w:t>$</w:t>
            </w:r>
            <w:r>
              <w:t>250 </w:t>
            </w:r>
            <w:r w:rsidR="004A7593">
              <w:t>million</w:t>
            </w:r>
            <w:r w:rsidR="00EF53D3">
              <w:t xml:space="preserve"> is sought</w:t>
            </w:r>
            <w:r w:rsidR="004A7593">
              <w:t>.</w:t>
            </w:r>
            <w:r>
              <w:t xml:space="preserve"> </w:t>
            </w:r>
            <w:r w:rsidR="00FB74CC">
              <w:t>T</w:t>
            </w:r>
            <w:r>
              <w:t>he</w:t>
            </w:r>
            <w:r w:rsidR="00463E90">
              <w:t xml:space="preserve"> evaluation</w:t>
            </w:r>
            <w:r>
              <w:t xml:space="preserve"> threshold was $100 million</w:t>
            </w:r>
            <w:r w:rsidR="00FB74CC">
              <w:t xml:space="preserve"> prior to 2021</w:t>
            </w:r>
            <w:r>
              <w:t>.</w:t>
            </w:r>
          </w:p>
        </w:tc>
      </w:tr>
      <w:tr w:rsidR="004A7593" w14:paraId="252C212F" w14:textId="77777777" w:rsidTr="005A6312">
        <w:tc>
          <w:tcPr>
            <w:tcW w:w="5000" w:type="pct"/>
            <w:tcBorders>
              <w:top w:val="nil"/>
              <w:left w:val="nil"/>
              <w:bottom w:val="nil"/>
              <w:right w:val="nil"/>
            </w:tcBorders>
            <w:shd w:val="clear" w:color="auto" w:fill="F2F2F2"/>
          </w:tcPr>
          <w:p w14:paraId="024B7DF7" w14:textId="7D678F71" w:rsidR="004A7593" w:rsidRPr="001E7F15" w:rsidRDefault="004A7593" w:rsidP="005F0A66">
            <w:pPr>
              <w:pStyle w:val="BoxSource"/>
            </w:pPr>
            <w:r w:rsidRPr="001E7F15">
              <w:rPr>
                <w:i/>
              </w:rPr>
              <w:t>Sources</w:t>
            </w:r>
            <w:r w:rsidRPr="001E7F15">
              <w:t xml:space="preserve">: </w:t>
            </w:r>
            <w:r w:rsidR="00A959EA">
              <w:t xml:space="preserve">McCormack </w:t>
            </w:r>
            <w:r w:rsidR="005F0A66" w:rsidRPr="005F0A66">
              <w:rPr>
                <w:rFonts w:cs="Arial"/>
              </w:rPr>
              <w:t>(2019, 2020b)</w:t>
            </w:r>
            <w:r w:rsidR="00A959EA">
              <w:t xml:space="preserve">; </w:t>
            </w:r>
            <w:r w:rsidR="005F0A66">
              <w:t xml:space="preserve">NAIF </w:t>
            </w:r>
            <w:r w:rsidR="005F0A66" w:rsidRPr="005F0A66">
              <w:rPr>
                <w:rFonts w:cs="Arial"/>
              </w:rPr>
              <w:t>(2021)</w:t>
            </w:r>
            <w:r w:rsidR="005F0A66">
              <w:t xml:space="preserve">; </w:t>
            </w:r>
            <w:r w:rsidR="00A959EA" w:rsidRPr="001E7F15">
              <w:t xml:space="preserve">NQWIA </w:t>
            </w:r>
            <w:r w:rsidR="00A959EA" w:rsidRPr="002814F2">
              <w:t xml:space="preserve">(2020); </w:t>
            </w:r>
            <w:r w:rsidRPr="001E7F15">
              <w:t xml:space="preserve">NWGA </w:t>
            </w:r>
            <w:r w:rsidR="00F11A60" w:rsidRPr="00F11A60">
              <w:rPr>
                <w:rFonts w:cs="Arial"/>
              </w:rPr>
              <w:t>(2020b, 2020c, 2020d, 2020a)</w:t>
            </w:r>
            <w:r w:rsidR="00A959EA">
              <w:t>.</w:t>
            </w:r>
          </w:p>
        </w:tc>
      </w:tr>
      <w:tr w:rsidR="004A7593" w14:paraId="435F6F12" w14:textId="77777777" w:rsidTr="005A6312">
        <w:tc>
          <w:tcPr>
            <w:tcW w:w="5000" w:type="pct"/>
            <w:tcBorders>
              <w:top w:val="nil"/>
              <w:left w:val="nil"/>
              <w:bottom w:val="single" w:sz="6" w:space="0" w:color="78A22F"/>
              <w:right w:val="nil"/>
            </w:tcBorders>
            <w:shd w:val="clear" w:color="auto" w:fill="F2F2F2"/>
          </w:tcPr>
          <w:p w14:paraId="2901C140" w14:textId="77777777" w:rsidR="004A7593" w:rsidRDefault="004A7593" w:rsidP="005A6312">
            <w:pPr>
              <w:pStyle w:val="Box"/>
              <w:spacing w:before="0" w:line="120" w:lineRule="exact"/>
            </w:pPr>
          </w:p>
        </w:tc>
      </w:tr>
      <w:tr w:rsidR="004A7593" w:rsidRPr="000863A5" w14:paraId="680BD932" w14:textId="77777777" w:rsidTr="005A6312">
        <w:tc>
          <w:tcPr>
            <w:tcW w:w="5000" w:type="pct"/>
            <w:tcBorders>
              <w:top w:val="single" w:sz="6" w:space="0" w:color="78A22F"/>
              <w:left w:val="nil"/>
              <w:bottom w:val="nil"/>
              <w:right w:val="nil"/>
            </w:tcBorders>
          </w:tcPr>
          <w:p w14:paraId="3F34CF92" w14:textId="224512C2" w:rsidR="004A7593" w:rsidRPr="00626D32" w:rsidRDefault="004A7593" w:rsidP="005A6312">
            <w:pPr>
              <w:pStyle w:val="BoxSpaceBelow"/>
            </w:pPr>
          </w:p>
        </w:tc>
      </w:tr>
    </w:tbl>
    <w:p w14:paraId="293ADFF9" w14:textId="34959750" w:rsidR="00AA47E2" w:rsidRPr="00233911" w:rsidRDefault="004A7593" w:rsidP="00432486">
      <w:pPr>
        <w:pStyle w:val="ListBullet"/>
        <w:keepNext/>
        <w:rPr>
          <w:i/>
        </w:rPr>
      </w:pPr>
      <w:r>
        <w:t>In response to drought</w:t>
      </w:r>
      <w:r w:rsidR="00C723BC">
        <w:t xml:space="preserve"> conditions</w:t>
      </w:r>
      <w:r>
        <w:t>, t</w:t>
      </w:r>
      <w:r w:rsidR="00AA47E2">
        <w:t xml:space="preserve">he </w:t>
      </w:r>
      <w:r w:rsidR="00011902">
        <w:t>New South Wales</w:t>
      </w:r>
      <w:r w:rsidR="00AA47E2">
        <w:t xml:space="preserve"> Government p</w:t>
      </w:r>
      <w:r w:rsidR="00AA47E2" w:rsidRPr="00233911">
        <w:t xml:space="preserve">assed the </w:t>
      </w:r>
      <w:r w:rsidR="00AA47E2" w:rsidRPr="00233911">
        <w:rPr>
          <w:i/>
        </w:rPr>
        <w:t>Water Supply (Critical Needs) Act 2019</w:t>
      </w:r>
      <w:r>
        <w:t xml:space="preserve">. The </w:t>
      </w:r>
      <w:r w:rsidR="005A047B">
        <w:t>Act</w:t>
      </w:r>
      <w:r w:rsidR="005A047B" w:rsidRPr="00233911">
        <w:t xml:space="preserve"> </w:t>
      </w:r>
      <w:r w:rsidR="00AA47E2" w:rsidRPr="00233911">
        <w:t xml:space="preserve">nominated </w:t>
      </w:r>
      <w:r w:rsidR="000C609B">
        <w:t>four</w:t>
      </w:r>
      <w:r w:rsidR="000C609B" w:rsidRPr="00233911">
        <w:t xml:space="preserve"> </w:t>
      </w:r>
      <w:r w:rsidR="00AA47E2" w:rsidRPr="00233911">
        <w:t xml:space="preserve">Critical State Significant Infrastructure Projects for expedited </w:t>
      </w:r>
      <w:r w:rsidR="00251648" w:rsidRPr="00233911">
        <w:t>development</w:t>
      </w:r>
      <w:r w:rsidR="0077700E">
        <w:t> — </w:t>
      </w:r>
      <w:r w:rsidR="005A047B">
        <w:t>the</w:t>
      </w:r>
      <w:r>
        <w:t>:</w:t>
      </w:r>
    </w:p>
    <w:p w14:paraId="52AF141F" w14:textId="5FB91D29" w:rsidR="00AA47E2" w:rsidRPr="00233911" w:rsidRDefault="00AA47E2" w:rsidP="00FA03CA">
      <w:pPr>
        <w:pStyle w:val="ListBullet2"/>
      </w:pPr>
      <w:proofErr w:type="spellStart"/>
      <w:r w:rsidRPr="00233911">
        <w:t>Wyangala</w:t>
      </w:r>
      <w:proofErr w:type="spellEnd"/>
      <w:r w:rsidRPr="00233911">
        <w:t xml:space="preserve"> Dam </w:t>
      </w:r>
      <w:r w:rsidR="00463E90">
        <w:t>wall raising</w:t>
      </w:r>
      <w:r w:rsidR="00BF1F8A">
        <w:t xml:space="preserve"> project</w:t>
      </w:r>
      <w:r w:rsidRPr="00233911">
        <w:t xml:space="preserve"> (Lachlan River)</w:t>
      </w:r>
    </w:p>
    <w:p w14:paraId="21A3B9BD" w14:textId="77777777" w:rsidR="00AA47E2" w:rsidRPr="00233911" w:rsidRDefault="00AA47E2" w:rsidP="00FA03CA">
      <w:pPr>
        <w:pStyle w:val="ListBullet2"/>
      </w:pPr>
      <w:r w:rsidRPr="00233911">
        <w:t>Mole River Dam (Border Rivers)</w:t>
      </w:r>
    </w:p>
    <w:p w14:paraId="2BCF39A9" w14:textId="77777777" w:rsidR="000C609B" w:rsidRDefault="00AA47E2" w:rsidP="00107D53">
      <w:pPr>
        <w:pStyle w:val="ListBullet2"/>
      </w:pPr>
      <w:r w:rsidRPr="00233911">
        <w:t xml:space="preserve">Dungowan </w:t>
      </w:r>
      <w:r w:rsidR="004A7593">
        <w:t>Dam (Peel River)</w:t>
      </w:r>
    </w:p>
    <w:p w14:paraId="4ADBE037" w14:textId="3C77A945" w:rsidR="00107D53" w:rsidRPr="00233911" w:rsidRDefault="000C609B" w:rsidP="00107D53">
      <w:pPr>
        <w:pStyle w:val="ListBullet2"/>
      </w:pPr>
      <w:r>
        <w:t>Western Weirs program</w:t>
      </w:r>
      <w:r w:rsidR="000D3797">
        <w:t xml:space="preserve"> (Barwon</w:t>
      </w:r>
      <w:r w:rsidR="000D3797">
        <w:noBreakHyphen/>
        <w:t>Darling and Lower Darling</w:t>
      </w:r>
      <w:r w:rsidR="003D25F7">
        <w:t xml:space="preserve"> Rivers</w:t>
      </w:r>
      <w:r w:rsidR="000D3797">
        <w:t>)</w:t>
      </w:r>
      <w:r w:rsidR="004A7593">
        <w:t>.</w:t>
      </w:r>
    </w:p>
    <w:p w14:paraId="59BD1064" w14:textId="47F0541A" w:rsidR="00CE7ECD" w:rsidRDefault="00CE7ECD" w:rsidP="00541B5C">
      <w:pPr>
        <w:pStyle w:val="BodyText"/>
      </w:pPr>
      <w:r>
        <w:t xml:space="preserve">Further, </w:t>
      </w:r>
      <w:r w:rsidRPr="004A7593">
        <w:t xml:space="preserve">inquiry </w:t>
      </w:r>
      <w:r w:rsidR="002B035D">
        <w:t xml:space="preserve">participants </w:t>
      </w:r>
      <w:r w:rsidRPr="004A7593">
        <w:t xml:space="preserve">have pointed to the need for significant investment in regional urban water infrastructure </w:t>
      </w:r>
      <w:r>
        <w:t>to address a significant infrastructure backlog, with assets in some areas reaching the end of operational life and in need of replacement (</w:t>
      </w:r>
      <w:proofErr w:type="spellStart"/>
      <w:r w:rsidR="00BF1F8A">
        <w:t>TasWater</w:t>
      </w:r>
      <w:proofErr w:type="spellEnd"/>
      <w:r w:rsidR="00BF1F8A">
        <w:t>, sub. 11, pp. 6</w:t>
      </w:r>
      <w:r w:rsidR="00011902">
        <w:t>–</w:t>
      </w:r>
      <w:r w:rsidR="00BF1F8A">
        <w:t xml:space="preserve">7; </w:t>
      </w:r>
      <w:proofErr w:type="spellStart"/>
      <w:r w:rsidR="00BF1F8A">
        <w:t>Goldenfields</w:t>
      </w:r>
      <w:proofErr w:type="spellEnd"/>
      <w:r w:rsidR="00BF1F8A">
        <w:t xml:space="preserve"> Water County Council, sub. 25, pp. 7</w:t>
      </w:r>
      <w:r w:rsidR="00011902">
        <w:t>–</w:t>
      </w:r>
      <w:r w:rsidR="00BF1F8A">
        <w:t>8; Urban Utilities, sub. 85, p. 3</w:t>
      </w:r>
      <w:r>
        <w:t>). Recent drought brought some of this into sharp relief (</w:t>
      </w:r>
      <w:r w:rsidR="008D074E">
        <w:t>SP</w:t>
      </w:r>
      <w:r w:rsidR="00FB1D2B">
        <w:t> </w:t>
      </w:r>
      <w:r w:rsidR="00E215CF" w:rsidRPr="00E215CF">
        <w:t>G </w:t>
      </w:r>
      <w:r w:rsidR="00E215CF" w:rsidRPr="00E215CF">
        <w:rPr>
          <w:i/>
        </w:rPr>
        <w:t>Regional</w:t>
      </w:r>
      <w:r>
        <w:t xml:space="preserve">). The scale of </w:t>
      </w:r>
      <w:r>
        <w:lastRenderedPageBreak/>
        <w:t xml:space="preserve">renewals needed in some areas would require significant increases in prices, if funded entirely by users: LGAQ (sub. 32, p. 6) </w:t>
      </w:r>
      <w:r w:rsidRPr="00313D0A">
        <w:t>viewed that</w:t>
      </w:r>
      <w:r w:rsidR="00463E90">
        <w:t>, in Queensland,</w:t>
      </w:r>
      <w:r w:rsidRPr="00313D0A">
        <w:t xml:space="preserve"> the ‘capital</w:t>
      </w:r>
      <w:r w:rsidRPr="002814F2">
        <w:t xml:space="preserve"> requirement to maintain service capacity into the medium</w:t>
      </w:r>
      <w:r w:rsidR="00011902">
        <w:noBreakHyphen/>
      </w:r>
      <w:r w:rsidRPr="002814F2">
        <w:t xml:space="preserve">term is beyond the fiscal capacity of local governments operating small regional and remote </w:t>
      </w:r>
      <w:proofErr w:type="gramStart"/>
      <w:r w:rsidRPr="002814F2">
        <w:t>schemes’</w:t>
      </w:r>
      <w:proofErr w:type="gramEnd"/>
      <w:r>
        <w:t>.</w:t>
      </w:r>
    </w:p>
    <w:p w14:paraId="0B363D77" w14:textId="372F7B34" w:rsidR="00584F79" w:rsidRDefault="00575409" w:rsidP="00584F79">
      <w:pPr>
        <w:pStyle w:val="Heading2"/>
      </w:pPr>
      <w:bookmarkStart w:id="10" w:name="_Toc62628681"/>
      <w:r>
        <w:t>2</w:t>
      </w:r>
      <w:r w:rsidR="00584F79">
        <w:tab/>
      </w:r>
      <w:r w:rsidR="008126E2">
        <w:t xml:space="preserve">Issues with </w:t>
      </w:r>
      <w:r w:rsidR="000D3797">
        <w:t xml:space="preserve">government </w:t>
      </w:r>
      <w:r w:rsidR="008126E2">
        <w:t>investment in water infrastructure</w:t>
      </w:r>
      <w:bookmarkEnd w:id="10"/>
    </w:p>
    <w:p w14:paraId="7FB4B075" w14:textId="778DF90D" w:rsidR="001E2FFA" w:rsidRDefault="001E2FFA" w:rsidP="00E43E01">
      <w:pPr>
        <w:pStyle w:val="BodyText"/>
      </w:pPr>
      <w:r>
        <w:t>As part of its assessment of progress against the NWI, the Commission has assess</w:t>
      </w:r>
      <w:r w:rsidR="00463E90">
        <w:t>ed</w:t>
      </w:r>
      <w:r>
        <w:t xml:space="preserve"> </w:t>
      </w:r>
      <w:r w:rsidR="00A81D7C">
        <w:t xml:space="preserve">jurisdictional frameworks for investment </w:t>
      </w:r>
      <w:r>
        <w:t>in major water infrastructure (</w:t>
      </w:r>
      <w:r w:rsidR="00E215CF" w:rsidRPr="00E215CF">
        <w:rPr>
          <w:i/>
        </w:rPr>
        <w:t>A</w:t>
      </w:r>
      <w:r>
        <w:rPr>
          <w:i/>
        </w:rPr>
        <w:t>ssessment</w:t>
      </w:r>
      <w:r w:rsidR="00197E02">
        <w:t>: section 3.2</w:t>
      </w:r>
      <w:r>
        <w:t>). Inquiry participants</w:t>
      </w:r>
      <w:r w:rsidR="00D76691">
        <w:t xml:space="preserve"> have </w:t>
      </w:r>
      <w:r w:rsidR="00D37055">
        <w:t xml:space="preserve">also </w:t>
      </w:r>
      <w:r>
        <w:t xml:space="preserve">suggested that some </w:t>
      </w:r>
      <w:r w:rsidR="00D76691">
        <w:t>government</w:t>
      </w:r>
      <w:r w:rsidR="00D76691">
        <w:noBreakHyphen/>
        <w:t xml:space="preserve">supported projects </w:t>
      </w:r>
      <w:r>
        <w:t xml:space="preserve">do not comply with the NWI </w:t>
      </w:r>
      <w:r w:rsidR="00D76691">
        <w:t>— particularly with respect to economic viability and cost recovery.</w:t>
      </w:r>
      <w:r w:rsidR="00D76691" w:rsidRPr="00F27690">
        <w:rPr>
          <w:rStyle w:val="FootnoteReference"/>
        </w:rPr>
        <w:footnoteReference w:id="5"/>
      </w:r>
      <w:r w:rsidR="00A81D7C">
        <w:t xml:space="preserve"> The Commission has also considered these specific projects.</w:t>
      </w:r>
    </w:p>
    <w:p w14:paraId="51652703" w14:textId="6EB9DC8D" w:rsidR="00463E90" w:rsidRDefault="00D72C00" w:rsidP="00D72C00">
      <w:pPr>
        <w:pStyle w:val="BodyText"/>
      </w:pPr>
      <w:r>
        <w:t>In reviewing major infrastructure proposals since 2017, t</w:t>
      </w:r>
      <w:r w:rsidRPr="00C75019">
        <w:t>he</w:t>
      </w:r>
      <w:r w:rsidRPr="007C1687">
        <w:t xml:space="preserve"> </w:t>
      </w:r>
      <w:r w:rsidRPr="006950D2">
        <w:t>Commission’s assessment</w:t>
      </w:r>
      <w:r>
        <w:t xml:space="preserve"> has indeed found that not all</w:t>
      </w:r>
      <w:r w:rsidR="00463E90">
        <w:t xml:space="preserve"> projects</w:t>
      </w:r>
      <w:r>
        <w:t xml:space="preserve"> adhere to the </w:t>
      </w:r>
      <w:r w:rsidR="00A81D7C">
        <w:t xml:space="preserve">NWI principle </w:t>
      </w:r>
      <w:r>
        <w:t>(</w:t>
      </w:r>
      <w:r w:rsidR="00E215CF">
        <w:rPr>
          <w:i/>
        </w:rPr>
        <w:t>A</w:t>
      </w:r>
      <w:r w:rsidRPr="00C75019">
        <w:rPr>
          <w:i/>
        </w:rPr>
        <w:t>ssessment</w:t>
      </w:r>
      <w:r w:rsidR="00197E02">
        <w:t>: section 3.2</w:t>
      </w:r>
      <w:r>
        <w:t xml:space="preserve">). </w:t>
      </w:r>
      <w:r w:rsidR="00C34B63">
        <w:t>The business cases for t</w:t>
      </w:r>
      <w:r>
        <w:t xml:space="preserve">wo projects </w:t>
      </w:r>
      <w:r w:rsidR="00463E90">
        <w:t>(</w:t>
      </w:r>
      <w:r w:rsidR="00C34B63">
        <w:t xml:space="preserve">Rookwood Weir and </w:t>
      </w:r>
      <w:r w:rsidR="00BC34A2">
        <w:t>Stage </w:t>
      </w:r>
      <w:r w:rsidR="00C34B63">
        <w:t>2 of the Haughton Pipeline Project</w:t>
      </w:r>
      <w:r w:rsidR="00463E90">
        <w:t>)</w:t>
      </w:r>
      <w:r w:rsidR="00C34B63">
        <w:t xml:space="preserve"> conclude that the </w:t>
      </w:r>
      <w:r>
        <w:t>benefit</w:t>
      </w:r>
      <w:r>
        <w:noBreakHyphen/>
        <w:t xml:space="preserve">cost ratios </w:t>
      </w:r>
      <w:r w:rsidR="00C34B63">
        <w:t xml:space="preserve">are likely to be </w:t>
      </w:r>
      <w:r>
        <w:t xml:space="preserve">less than one, indicating that their construction would cost more than the benefits they would generate for the </w:t>
      </w:r>
      <w:r w:rsidR="00D37055">
        <w:t xml:space="preserve">Australian </w:t>
      </w:r>
      <w:r>
        <w:t xml:space="preserve">community. </w:t>
      </w:r>
    </w:p>
    <w:p w14:paraId="765EE828" w14:textId="65D6E9FA" w:rsidR="00D72C00" w:rsidRDefault="00D72C00" w:rsidP="00D72C00">
      <w:pPr>
        <w:pStyle w:val="BodyText"/>
      </w:pPr>
      <w:r>
        <w:t>Other projects</w:t>
      </w:r>
      <w:r w:rsidR="00C34B63">
        <w:t xml:space="preserve">, such as Dungowan Dam and the </w:t>
      </w:r>
      <w:proofErr w:type="spellStart"/>
      <w:r w:rsidR="00C34B63">
        <w:t>Wyangala</w:t>
      </w:r>
      <w:proofErr w:type="spellEnd"/>
      <w:r w:rsidR="00C34B63">
        <w:t xml:space="preserve"> Dam wall raising project</w:t>
      </w:r>
      <w:r w:rsidR="00463E90">
        <w:t xml:space="preserve"> in New South Wales,</w:t>
      </w:r>
      <w:r>
        <w:t xml:space="preserve"> have been approved prior to the development and publication of business cases. </w:t>
      </w:r>
      <w:r w:rsidR="00104449">
        <w:t xml:space="preserve">As discussed below, this is a failure of process that undermines proper scrutiny of investment </w:t>
      </w:r>
      <w:proofErr w:type="gramStart"/>
      <w:r w:rsidR="00104449">
        <w:t>decisions, and</w:t>
      </w:r>
      <w:proofErr w:type="gramEnd"/>
      <w:r w:rsidR="00104449">
        <w:t xml:space="preserve"> can result in poor projec</w:t>
      </w:r>
      <w:r w:rsidR="00691CD4">
        <w:t>ts being funded by governments.</w:t>
      </w:r>
    </w:p>
    <w:p w14:paraId="5E663BB7" w14:textId="5D29FC6D" w:rsidR="00C638BB" w:rsidRDefault="00C34B63" w:rsidP="00C34B63">
      <w:pPr>
        <w:pStyle w:val="BodyText"/>
      </w:pPr>
      <w:r>
        <w:t xml:space="preserve">The Commission’s assessment has concluded, overall, that jurisdictions are only partly achieving their commitments under the </w:t>
      </w:r>
      <w:r w:rsidR="00D37055">
        <w:t>NWI. T</w:t>
      </w:r>
      <w:r w:rsidR="00D37055" w:rsidRPr="007C1687">
        <w:t xml:space="preserve">here </w:t>
      </w:r>
      <w:r w:rsidR="006950D2">
        <w:t>is</w:t>
      </w:r>
      <w:r w:rsidR="005A156C">
        <w:t xml:space="preserve"> </w:t>
      </w:r>
      <w:r>
        <w:t xml:space="preserve">clearly </w:t>
      </w:r>
      <w:r w:rsidR="005A156C">
        <w:t>still</w:t>
      </w:r>
      <w:r w:rsidR="006950D2">
        <w:t xml:space="preserve"> </w:t>
      </w:r>
      <w:r w:rsidR="00E40854" w:rsidRPr="007C1687">
        <w:t xml:space="preserve">more to do </w:t>
      </w:r>
      <w:r w:rsidR="00B94894">
        <w:t xml:space="preserve">to ensure </w:t>
      </w:r>
      <w:r w:rsidR="008126E2">
        <w:t xml:space="preserve">that </w:t>
      </w:r>
      <w:r w:rsidR="00A645DE" w:rsidRPr="007C1687">
        <w:t xml:space="preserve">NWI </w:t>
      </w:r>
      <w:r w:rsidR="008126E2">
        <w:t>signatories</w:t>
      </w:r>
      <w:r w:rsidR="00325353">
        <w:t xml:space="preserve"> (</w:t>
      </w:r>
      <w:r w:rsidR="00246A9C">
        <w:t>the Australia</w:t>
      </w:r>
      <w:r w:rsidR="006950D2">
        <w:t>n</w:t>
      </w:r>
      <w:r w:rsidR="00246A9C">
        <w:t>, State and Territory Governments</w:t>
      </w:r>
      <w:r w:rsidR="00325353">
        <w:t xml:space="preserve">) </w:t>
      </w:r>
      <w:r w:rsidR="005B0C7A">
        <w:t>abide by</w:t>
      </w:r>
      <w:r w:rsidR="006950D2">
        <w:t xml:space="preserve"> </w:t>
      </w:r>
      <w:r w:rsidR="005B0C7A">
        <w:t xml:space="preserve">the </w:t>
      </w:r>
      <w:r w:rsidR="00D85294">
        <w:t>A</w:t>
      </w:r>
      <w:r w:rsidR="008126E2">
        <w:t>greement</w:t>
      </w:r>
      <w:r w:rsidR="00F212BC">
        <w:t xml:space="preserve"> through their decision</w:t>
      </w:r>
      <w:r w:rsidR="00F212BC">
        <w:noBreakHyphen/>
        <w:t>making pr</w:t>
      </w:r>
      <w:r w:rsidR="00C75019">
        <w:t xml:space="preserve">ocesses for new infrastructure — a finding that </w:t>
      </w:r>
      <w:r w:rsidR="00C638BB">
        <w:t>reinforces the Commission</w:t>
      </w:r>
      <w:r w:rsidR="00994C0E">
        <w:t>’s 2017 conclusions</w:t>
      </w:r>
      <w:r w:rsidR="00313D0A">
        <w:t xml:space="preserve"> </w:t>
      </w:r>
      <w:r w:rsidR="00C638BB">
        <w:t>(box</w:t>
      </w:r>
      <w:r w:rsidR="00C75019">
        <w:t> </w:t>
      </w:r>
      <w:r w:rsidR="004B2E24">
        <w:t>2</w:t>
      </w:r>
      <w:r w:rsidR="00C638BB">
        <w:t>)</w:t>
      </w:r>
      <w:r w:rsidR="00C75019">
        <w:t>.</w:t>
      </w:r>
    </w:p>
    <w:p w14:paraId="2EC5BCB6" w14:textId="74E07226" w:rsidR="00FD0B39" w:rsidRDefault="00FD0B39" w:rsidP="00C34B63">
      <w:pPr>
        <w:pStyle w:val="BodyText"/>
      </w:pPr>
      <w:r>
        <w:t>As noted above, investment decisions made by water service providers are generally guided</w:t>
      </w:r>
      <w:r w:rsidRPr="00C75019">
        <w:t xml:space="preserve"> </w:t>
      </w:r>
      <w:r>
        <w:t xml:space="preserve">by planning frameworks </w:t>
      </w:r>
      <w:r w:rsidRPr="00C75019">
        <w:t xml:space="preserve">and </w:t>
      </w:r>
      <w:r>
        <w:t xml:space="preserve">investments are </w:t>
      </w:r>
      <w:r w:rsidRPr="00C75019">
        <w:t>scrutinised (in some cases) by independent economic regulators</w:t>
      </w:r>
      <w:r>
        <w:t>. These processes usually ensure compliance with the NWI principle for new infrastructure (</w:t>
      </w:r>
      <w:r w:rsidRPr="00E215CF">
        <w:rPr>
          <w:i/>
        </w:rPr>
        <w:t>A</w:t>
      </w:r>
      <w:r w:rsidRPr="00D76691">
        <w:rPr>
          <w:i/>
        </w:rPr>
        <w:t>ssessment</w:t>
      </w:r>
      <w:r>
        <w:t>: section 3.2).</w:t>
      </w:r>
    </w:p>
    <w:p w14:paraId="58787E89" w14:textId="0AF799F7" w:rsidR="00C638BB" w:rsidRPr="004B2E24" w:rsidRDefault="00C638BB" w:rsidP="004B2E2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C638BB" w14:paraId="5AEBFF15" w14:textId="77777777" w:rsidTr="005A6312">
        <w:trPr>
          <w:tblHeader/>
        </w:trPr>
        <w:tc>
          <w:tcPr>
            <w:tcW w:w="5000" w:type="pct"/>
            <w:tcBorders>
              <w:top w:val="single" w:sz="6" w:space="0" w:color="78A22F"/>
              <w:left w:val="nil"/>
              <w:bottom w:val="nil"/>
              <w:right w:val="nil"/>
            </w:tcBorders>
            <w:shd w:val="clear" w:color="auto" w:fill="F2F2F2"/>
          </w:tcPr>
          <w:p w14:paraId="219B3925" w14:textId="218EC23A" w:rsidR="00C638BB" w:rsidRDefault="00C638BB" w:rsidP="004B2E24">
            <w:pPr>
              <w:pStyle w:val="BoxTitle"/>
            </w:pPr>
            <w:r>
              <w:rPr>
                <w:b w:val="0"/>
              </w:rPr>
              <w:t>Box </w:t>
            </w:r>
            <w:r w:rsidR="004B2E24">
              <w:rPr>
                <w:b w:val="0"/>
              </w:rPr>
              <w:t>2</w:t>
            </w:r>
            <w:r>
              <w:tab/>
              <w:t xml:space="preserve">The Commission’s 2017 assessment: </w:t>
            </w:r>
            <w:r w:rsidRPr="001A3980">
              <w:t>infrastructure</w:t>
            </w:r>
          </w:p>
        </w:tc>
      </w:tr>
      <w:tr w:rsidR="00C638BB" w14:paraId="68305A39" w14:textId="77777777" w:rsidTr="005A6312">
        <w:tc>
          <w:tcPr>
            <w:tcW w:w="5000" w:type="pct"/>
            <w:tcBorders>
              <w:top w:val="nil"/>
              <w:left w:val="nil"/>
              <w:bottom w:val="nil"/>
              <w:right w:val="nil"/>
            </w:tcBorders>
            <w:shd w:val="clear" w:color="auto" w:fill="F2F2F2"/>
          </w:tcPr>
          <w:p w14:paraId="2AA59CC6" w14:textId="4F067AFD" w:rsidR="00C638BB" w:rsidRDefault="00AF7821" w:rsidP="005A6312">
            <w:pPr>
              <w:pStyle w:val="Box"/>
            </w:pPr>
            <w:r>
              <w:t>T</w:t>
            </w:r>
            <w:r w:rsidR="00C638BB">
              <w:t xml:space="preserve">he Commission’s 2017 </w:t>
            </w:r>
            <w:r w:rsidR="00C638BB">
              <w:rPr>
                <w:i/>
              </w:rPr>
              <w:t xml:space="preserve">National Water Reform </w:t>
            </w:r>
            <w:r w:rsidR="00C638BB">
              <w:t xml:space="preserve">inquiry </w:t>
            </w:r>
            <w:r>
              <w:t xml:space="preserve">report </w:t>
            </w:r>
            <w:r w:rsidR="00C638BB">
              <w:t>concluded that:</w:t>
            </w:r>
          </w:p>
          <w:p w14:paraId="2E7C3119" w14:textId="77777777" w:rsidR="00C638BB" w:rsidRDefault="00C638BB" w:rsidP="005A6312">
            <w:pPr>
              <w:pStyle w:val="BoxQuote"/>
            </w:pPr>
            <w:r>
              <w:t>Much of the recent direct government investment in water infrastructure has been shown to be inconsistent with jurisdictions’ commitments under the [NWI] to ensure all new and refurbished infrastructure is economically viable and environmentally sustainable. (p. 263)</w:t>
            </w:r>
          </w:p>
          <w:p w14:paraId="6D744566" w14:textId="703A87AC" w:rsidR="00C638BB" w:rsidRDefault="00C723BC" w:rsidP="005A6312">
            <w:pPr>
              <w:pStyle w:val="Box"/>
            </w:pPr>
            <w:r>
              <w:t>In assessing</w:t>
            </w:r>
            <w:r w:rsidR="00C638BB">
              <w:t xml:space="preserve"> progress</w:t>
            </w:r>
            <w:r>
              <w:t xml:space="preserve"> against the NWI</w:t>
            </w:r>
            <w:r w:rsidR="00C638BB">
              <w:t>, the Commission concluded that jurisdictions had only partially achieved their commitment</w:t>
            </w:r>
            <w:r>
              <w:t xml:space="preserve"> against the </w:t>
            </w:r>
            <w:r w:rsidR="00AF7821">
              <w:t>A</w:t>
            </w:r>
            <w:r>
              <w:t>greement</w:t>
            </w:r>
            <w:r w:rsidR="00C638BB">
              <w:t>.</w:t>
            </w:r>
          </w:p>
          <w:p w14:paraId="20975889" w14:textId="76EE2B04" w:rsidR="00C638BB" w:rsidRDefault="00C638BB" w:rsidP="005A6312">
            <w:pPr>
              <w:pStyle w:val="BoxListBullet"/>
            </w:pPr>
            <w:r>
              <w:t>For urban water infrastructure</w:t>
            </w:r>
            <w:r w:rsidR="00B54B1B">
              <w:t>,</w:t>
            </w:r>
            <w:r>
              <w:t xml:space="preserve"> the key shortcoming was the ongoing provision of capital grants to water service providers in regional New South Wales and Queensland.</w:t>
            </w:r>
          </w:p>
          <w:p w14:paraId="692C4A9F" w14:textId="0FD67CD7" w:rsidR="00C638BB" w:rsidRDefault="00C638BB" w:rsidP="005A6312">
            <w:pPr>
              <w:pStyle w:val="BoxListBullet"/>
            </w:pPr>
            <w:r>
              <w:t>For non</w:t>
            </w:r>
            <w:r w:rsidR="004D6BEE">
              <w:noBreakHyphen/>
            </w:r>
            <w:r>
              <w:t>urban water infrastructure, the Commission highlighted issues with the transparency of cost</w:t>
            </w:r>
            <w:r w:rsidR="00AF7821">
              <w:t>–</w:t>
            </w:r>
            <w:r>
              <w:t>benefit analys</w:t>
            </w:r>
            <w:r w:rsidR="00B54B1B">
              <w:t>e</w:t>
            </w:r>
            <w:r>
              <w:t>s and inconsistent applicat</w:t>
            </w:r>
            <w:r w:rsidR="005F296D">
              <w:t>ion of the user pays principle.</w:t>
            </w:r>
          </w:p>
          <w:p w14:paraId="6337A135" w14:textId="01BBBF04" w:rsidR="00C638BB" w:rsidRDefault="00C638BB" w:rsidP="00BB5D8C">
            <w:pPr>
              <w:pStyle w:val="Box"/>
            </w:pPr>
            <w:r>
              <w:t xml:space="preserve">The Commission recommended that </w:t>
            </w:r>
            <w:r w:rsidR="00C870ED">
              <w:t>g</w:t>
            </w:r>
            <w:r>
              <w:t>overnments should not provide grant funding for infrastructure, or that part of infrastructure</w:t>
            </w:r>
            <w:r w:rsidR="00A70395">
              <w:t>,</w:t>
            </w:r>
            <w:r>
              <w:t xml:space="preserve"> that is for </w:t>
            </w:r>
            <w:r w:rsidR="00B54B1B">
              <w:t xml:space="preserve">users’ </w:t>
            </w:r>
            <w:r>
              <w:t xml:space="preserve">private benefit. It proposed conditions </w:t>
            </w:r>
            <w:r w:rsidR="00BB5D8C">
              <w:t>for</w:t>
            </w:r>
            <w:r w:rsidR="0035717A">
              <w:t xml:space="preserve"> public</w:t>
            </w:r>
            <w:r>
              <w:t xml:space="preserve"> funding </w:t>
            </w:r>
            <w:r w:rsidR="0035717A">
              <w:t xml:space="preserve">or </w:t>
            </w:r>
            <w:r>
              <w:t xml:space="preserve">financing in </w:t>
            </w:r>
            <w:r w:rsidR="0035717A">
              <w:t xml:space="preserve">a </w:t>
            </w:r>
            <w:r>
              <w:t>future NWI (recommendation 8.1).</w:t>
            </w:r>
          </w:p>
        </w:tc>
      </w:tr>
      <w:tr w:rsidR="00C638BB" w14:paraId="496EF942" w14:textId="77777777" w:rsidTr="005A6312">
        <w:tc>
          <w:tcPr>
            <w:tcW w:w="5000" w:type="pct"/>
            <w:tcBorders>
              <w:top w:val="nil"/>
              <w:left w:val="nil"/>
              <w:bottom w:val="nil"/>
              <w:right w:val="nil"/>
            </w:tcBorders>
            <w:shd w:val="clear" w:color="auto" w:fill="F2F2F2"/>
          </w:tcPr>
          <w:p w14:paraId="22023319" w14:textId="5E53649B" w:rsidR="00C638BB" w:rsidRDefault="00C638BB" w:rsidP="009564F3">
            <w:pPr>
              <w:pStyle w:val="BoxSource"/>
            </w:pPr>
            <w:r>
              <w:rPr>
                <w:i/>
              </w:rPr>
              <w:t>Source</w:t>
            </w:r>
            <w:r w:rsidRPr="00167F06">
              <w:t xml:space="preserve">: </w:t>
            </w:r>
            <w:r>
              <w:t xml:space="preserve">PC </w:t>
            </w:r>
            <w:r w:rsidR="009564F3" w:rsidRPr="009564F3">
              <w:rPr>
                <w:rFonts w:cs="Arial"/>
                <w:szCs w:val="24"/>
              </w:rPr>
              <w:t>(2017a, pp. 263–287)</w:t>
            </w:r>
            <w:r>
              <w:t>.</w:t>
            </w:r>
          </w:p>
        </w:tc>
      </w:tr>
      <w:tr w:rsidR="00C638BB" w14:paraId="2FCC6997" w14:textId="77777777" w:rsidTr="005A6312">
        <w:tc>
          <w:tcPr>
            <w:tcW w:w="5000" w:type="pct"/>
            <w:tcBorders>
              <w:top w:val="nil"/>
              <w:left w:val="nil"/>
              <w:bottom w:val="single" w:sz="6" w:space="0" w:color="78A22F"/>
              <w:right w:val="nil"/>
            </w:tcBorders>
            <w:shd w:val="clear" w:color="auto" w:fill="F2F2F2"/>
          </w:tcPr>
          <w:p w14:paraId="415D3523" w14:textId="77777777" w:rsidR="00C638BB" w:rsidRDefault="00C638BB" w:rsidP="005A6312">
            <w:pPr>
              <w:pStyle w:val="Box"/>
              <w:spacing w:before="0" w:line="120" w:lineRule="exact"/>
            </w:pPr>
          </w:p>
        </w:tc>
      </w:tr>
      <w:tr w:rsidR="00C638BB" w:rsidRPr="000863A5" w14:paraId="013337F9" w14:textId="77777777" w:rsidTr="005A6312">
        <w:tc>
          <w:tcPr>
            <w:tcW w:w="5000" w:type="pct"/>
            <w:tcBorders>
              <w:top w:val="single" w:sz="6" w:space="0" w:color="78A22F"/>
              <w:left w:val="nil"/>
              <w:bottom w:val="nil"/>
              <w:right w:val="nil"/>
            </w:tcBorders>
          </w:tcPr>
          <w:p w14:paraId="4FFB9295" w14:textId="4F35D171" w:rsidR="00C638BB" w:rsidRPr="00626D32" w:rsidRDefault="00C638BB" w:rsidP="005A6312">
            <w:pPr>
              <w:pStyle w:val="BoxSpaceBelow"/>
            </w:pPr>
          </w:p>
        </w:tc>
      </w:tr>
    </w:tbl>
    <w:p w14:paraId="7A248C1B" w14:textId="0194466D" w:rsidR="001671F4" w:rsidRDefault="00F064D3" w:rsidP="00F064D3">
      <w:pPr>
        <w:pStyle w:val="BodyText"/>
      </w:pPr>
      <w:r>
        <w:t xml:space="preserve">However, government investment in major water infrastructure can sit outside these planning frameworks, and scrutiny of these decisions is not as systematic. Further, the </w:t>
      </w:r>
      <w:r w:rsidRPr="00F064D3">
        <w:rPr>
          <w:i/>
        </w:rPr>
        <w:t xml:space="preserve">NWI </w:t>
      </w:r>
      <w:r>
        <w:rPr>
          <w:i/>
        </w:rPr>
        <w:t>P</w:t>
      </w:r>
      <w:r w:rsidRPr="00E55E00">
        <w:rPr>
          <w:i/>
        </w:rPr>
        <w:t xml:space="preserve">ricing </w:t>
      </w:r>
      <w:r>
        <w:rPr>
          <w:i/>
        </w:rPr>
        <w:t>P</w:t>
      </w:r>
      <w:r w:rsidRPr="00E55E00">
        <w:rPr>
          <w:i/>
        </w:rPr>
        <w:t>rinciples</w:t>
      </w:r>
      <w:r>
        <w:t xml:space="preserve"> allow the costs of assets contributed by governments to be excluded from user charges.</w:t>
      </w:r>
    </w:p>
    <w:p w14:paraId="729FA49F" w14:textId="23051D69" w:rsidR="00F064D3" w:rsidRDefault="00F064D3" w:rsidP="00104449">
      <w:pPr>
        <w:pStyle w:val="BodyText"/>
        <w:keepNext/>
      </w:pPr>
      <w:r>
        <w:t>This perpetuates the risk of governments investing in uneconomic infrastructure that imposes a range of long</w:t>
      </w:r>
      <w:r>
        <w:noBreakHyphen/>
        <w:t xml:space="preserve">lived </w:t>
      </w:r>
      <w:r w:rsidRPr="00325353">
        <w:t xml:space="preserve">legacy costs </w:t>
      </w:r>
      <w:r>
        <w:t>upon the community</w:t>
      </w:r>
      <w:r w:rsidRPr="00325353">
        <w:t>.</w:t>
      </w:r>
    </w:p>
    <w:p w14:paraId="7A620C94" w14:textId="17D8326A" w:rsidR="001E2FFA" w:rsidRDefault="00F064D3" w:rsidP="00F064D3">
      <w:pPr>
        <w:pStyle w:val="ListBullet"/>
      </w:pPr>
      <w:r>
        <w:t xml:space="preserve">Water infrastructure can operate for decades, requiring </w:t>
      </w:r>
      <w:r w:rsidR="00CE7ECD">
        <w:t>the capacity</w:t>
      </w:r>
      <w:r>
        <w:t xml:space="preserve"> to </w:t>
      </w:r>
      <w:r w:rsidR="001E2FFA">
        <w:t xml:space="preserve">finance </w:t>
      </w:r>
      <w:r>
        <w:t>the initial investment,</w:t>
      </w:r>
      <w:r w:rsidR="001E2FFA">
        <w:t xml:space="preserve"> and then</w:t>
      </w:r>
      <w:r w:rsidR="00CE7ECD">
        <w:t xml:space="preserve"> adequate</w:t>
      </w:r>
      <w:r w:rsidR="001E2FFA">
        <w:t xml:space="preserve"> funding to</w:t>
      </w:r>
      <w:r>
        <w:t xml:space="preserve"> </w:t>
      </w:r>
      <w:r w:rsidR="001E2FFA">
        <w:t>maintain it</w:t>
      </w:r>
      <w:r>
        <w:t xml:space="preserve"> over its operational life, </w:t>
      </w:r>
      <w:r w:rsidR="001E2FFA">
        <w:t xml:space="preserve">as well as </w:t>
      </w:r>
      <w:r w:rsidR="006336E1">
        <w:t xml:space="preserve">any </w:t>
      </w:r>
      <w:r>
        <w:t xml:space="preserve">necessary replacement. </w:t>
      </w:r>
    </w:p>
    <w:p w14:paraId="794F63A6" w14:textId="7836407E" w:rsidR="001E2FFA" w:rsidRDefault="003B6886" w:rsidP="001E2FFA">
      <w:pPr>
        <w:pStyle w:val="ListBullet2"/>
      </w:pPr>
      <w:r>
        <w:t>These costs are usually borne by users, but if infrastructure is not economically viable, it can impose costs on users that exceed their willingness to pay.</w:t>
      </w:r>
      <w:r w:rsidR="00C870ED">
        <w:t xml:space="preserve"> </w:t>
      </w:r>
      <w:r w:rsidR="00FB74CC">
        <w:t>This can lead to under</w:t>
      </w:r>
      <w:r w:rsidR="00FB74CC">
        <w:noBreakHyphen/>
        <w:t>subscribed infrastructure and, as the Commission noted in 2017</w:t>
      </w:r>
      <w:r w:rsidR="00A81D7C">
        <w:t xml:space="preserve"> in the case of Paradise Dam</w:t>
      </w:r>
      <w:r w:rsidR="00FB74CC">
        <w:t xml:space="preserve">, unsold water entitlements function as an implicit subsidy to water users </w:t>
      </w:r>
      <w:r w:rsidR="00FB74CC" w:rsidRPr="00FB74CC">
        <w:rPr>
          <w:szCs w:val="24"/>
        </w:rPr>
        <w:t>(PC 2017a, p. 256)</w:t>
      </w:r>
      <w:r w:rsidR="00FB74CC">
        <w:t>.</w:t>
      </w:r>
    </w:p>
    <w:p w14:paraId="2A447F10" w14:textId="69A0F67E" w:rsidR="001671F4" w:rsidRDefault="00C870ED" w:rsidP="001E2FFA">
      <w:pPr>
        <w:pStyle w:val="ListBullet2"/>
      </w:pPr>
      <w:r>
        <w:t>Where user</w:t>
      </w:r>
      <w:r>
        <w:noBreakHyphen/>
        <w:t xml:space="preserve">pays is not in place, </w:t>
      </w:r>
      <w:r w:rsidR="00F064D3">
        <w:t xml:space="preserve">the burden </w:t>
      </w:r>
      <w:r>
        <w:t xml:space="preserve">of uneconomic investments can fall on </w:t>
      </w:r>
      <w:r w:rsidR="00F064D3">
        <w:t>governments (and therefore taxpayers)</w:t>
      </w:r>
      <w:r>
        <w:t>, imposing direct costs (in either servicing public</w:t>
      </w:r>
      <w:r w:rsidR="00A016A6">
        <w:t xml:space="preserve"> debt</w:t>
      </w:r>
      <w:r w:rsidR="00CE7ECD">
        <w:t>,</w:t>
      </w:r>
      <w:r>
        <w:t xml:space="preserve"> or the </w:t>
      </w:r>
      <w:r w:rsidR="000B5C35">
        <w:t>second</w:t>
      </w:r>
      <w:r w:rsidR="000B5C35">
        <w:noBreakHyphen/>
        <w:t xml:space="preserve">round </w:t>
      </w:r>
      <w:r>
        <w:t xml:space="preserve">economic costs of </w:t>
      </w:r>
      <w:r w:rsidR="00A016A6">
        <w:t xml:space="preserve">raising </w:t>
      </w:r>
      <w:r>
        <w:t>taxation revenue) and indirect costs (in that</w:t>
      </w:r>
      <w:r w:rsidR="00CE7ECD">
        <w:t xml:space="preserve"> public</w:t>
      </w:r>
      <w:r>
        <w:t xml:space="preserve"> </w:t>
      </w:r>
      <w:r w:rsidR="00CE7ECD">
        <w:t xml:space="preserve">funding </w:t>
      </w:r>
      <w:r w:rsidR="003B6886">
        <w:t xml:space="preserve">is not allocated to more </w:t>
      </w:r>
      <w:r w:rsidR="00CE7ECD">
        <w:t>worthwhile uses)</w:t>
      </w:r>
      <w:r w:rsidR="00F064D3">
        <w:t>.</w:t>
      </w:r>
    </w:p>
    <w:p w14:paraId="240B9A9A" w14:textId="0D5D8F71" w:rsidR="00F064D3" w:rsidRDefault="00F064D3" w:rsidP="00F064D3">
      <w:pPr>
        <w:pStyle w:val="ListBullet"/>
      </w:pPr>
      <w:r w:rsidRPr="00E93063">
        <w:t>Major water infrastructure</w:t>
      </w:r>
      <w:r>
        <w:t xml:space="preserve"> </w:t>
      </w:r>
      <w:r w:rsidR="00CE7ECD">
        <w:t xml:space="preserve">carries significant environmental </w:t>
      </w:r>
      <w:r w:rsidR="00A81D7C">
        <w:t xml:space="preserve">costs </w:t>
      </w:r>
      <w:r w:rsidR="00CE7ECD">
        <w:t xml:space="preserve">— it can </w:t>
      </w:r>
      <w:r w:rsidRPr="00E93063">
        <w:t>significant</w:t>
      </w:r>
      <w:r>
        <w:t>ly</w:t>
      </w:r>
      <w:r w:rsidRPr="00E93063">
        <w:t xml:space="preserve"> </w:t>
      </w:r>
      <w:r>
        <w:t>alter flow regimes</w:t>
      </w:r>
      <w:r w:rsidRPr="00E93063">
        <w:t xml:space="preserve"> </w:t>
      </w:r>
      <w:r>
        <w:t xml:space="preserve">and connectivity along rivers and </w:t>
      </w:r>
      <w:r w:rsidRPr="00E93063">
        <w:t>across</w:t>
      </w:r>
      <w:r>
        <w:t xml:space="preserve"> </w:t>
      </w:r>
      <w:r w:rsidRPr="00E93063">
        <w:t>landscape</w:t>
      </w:r>
      <w:r>
        <w:t>s</w:t>
      </w:r>
      <w:r w:rsidRPr="00E93063">
        <w:t>,</w:t>
      </w:r>
      <w:r>
        <w:t xml:space="preserve"> affecting seasonal wetting and drying cycles and impairing fish migration. These </w:t>
      </w:r>
      <w:r w:rsidRPr="00E93063">
        <w:t>lon</w:t>
      </w:r>
      <w:r>
        <w:t>g</w:t>
      </w:r>
      <w:r>
        <w:noBreakHyphen/>
        <w:t xml:space="preserve">lasting impacts </w:t>
      </w:r>
      <w:r w:rsidR="00313D0A">
        <w:t>can be</w:t>
      </w:r>
      <w:r>
        <w:t xml:space="preserve"> difficult to ameliorate</w:t>
      </w:r>
      <w:r w:rsidRPr="00E93063">
        <w:t>.</w:t>
      </w:r>
      <w:r w:rsidR="00A81D7C">
        <w:t xml:space="preserve"> It is not in the interests of the Australian community to incur these costs if there are no or limited benefits from doing so. </w:t>
      </w:r>
    </w:p>
    <w:p w14:paraId="5E977790" w14:textId="1DF3CCE7" w:rsidR="006336E1" w:rsidRPr="00E93063" w:rsidRDefault="006336E1" w:rsidP="00F064D3">
      <w:pPr>
        <w:pStyle w:val="ListBullet"/>
      </w:pPr>
      <w:r>
        <w:lastRenderedPageBreak/>
        <w:t xml:space="preserve">Projects can also impact on Aboriginal and Torres Strait Islander </w:t>
      </w:r>
      <w:r w:rsidR="00F75929">
        <w:t xml:space="preserve">people’s </w:t>
      </w:r>
      <w:r>
        <w:t>cultural heritage</w:t>
      </w:r>
      <w:r w:rsidR="000F2D57">
        <w:t xml:space="preserve"> and values associated with water and water</w:t>
      </w:r>
      <w:r w:rsidR="000F2D57">
        <w:noBreakHyphen/>
        <w:t>dependent ecosystems</w:t>
      </w:r>
      <w:r>
        <w:t>. For example, constructing a dam can flood sites of cultural significance</w:t>
      </w:r>
      <w:r w:rsidR="000F2D57">
        <w:t>, and disrupt flow regimes that maintain the</w:t>
      </w:r>
      <w:r w:rsidR="00FB74CC">
        <w:t xml:space="preserve"> </w:t>
      </w:r>
      <w:r w:rsidR="00FF479E">
        <w:t>condition of cultural</w:t>
      </w:r>
      <w:r w:rsidR="000F2D57" w:rsidDel="00FF479E">
        <w:t xml:space="preserve"> </w:t>
      </w:r>
      <w:r w:rsidR="000F2D57">
        <w:t>sites</w:t>
      </w:r>
      <w:r>
        <w:t>.</w:t>
      </w:r>
    </w:p>
    <w:p w14:paraId="39164AF4" w14:textId="58214ED1" w:rsidR="004924BE" w:rsidRDefault="00D76691" w:rsidP="00F064D3">
      <w:pPr>
        <w:pStyle w:val="BodyText"/>
      </w:pPr>
      <w:r>
        <w:t>T</w:t>
      </w:r>
      <w:r w:rsidR="008126E2">
        <w:t xml:space="preserve">his section </w:t>
      </w:r>
      <w:r w:rsidR="00B94894">
        <w:t xml:space="preserve">outlines </w:t>
      </w:r>
      <w:r w:rsidR="00F212BC">
        <w:t xml:space="preserve">concerns with </w:t>
      </w:r>
      <w:r w:rsidR="005B0C7A">
        <w:t xml:space="preserve">the processes and frameworks that guide </w:t>
      </w:r>
      <w:r w:rsidR="005B0C7A" w:rsidRPr="00D76691">
        <w:t>how</w:t>
      </w:r>
      <w:r w:rsidR="005B0C7A">
        <w:t xml:space="preserve"> governments invest in major water </w:t>
      </w:r>
      <w:proofErr w:type="gramStart"/>
      <w:r w:rsidR="005B0C7A">
        <w:t xml:space="preserve">infrastructure, </w:t>
      </w:r>
      <w:r w:rsidR="00B94894">
        <w:t>and</w:t>
      </w:r>
      <w:proofErr w:type="gramEnd"/>
      <w:r w:rsidR="00B94894">
        <w:t xml:space="preserve"> </w:t>
      </w:r>
      <w:r w:rsidR="005B0C7A">
        <w:t xml:space="preserve">considers whether </w:t>
      </w:r>
      <w:r w:rsidR="00A50206">
        <w:t xml:space="preserve">the NWI </w:t>
      </w:r>
      <w:r w:rsidR="005B0C7A">
        <w:t xml:space="preserve">should be amended </w:t>
      </w:r>
      <w:r w:rsidR="00F212BC">
        <w:t>to</w:t>
      </w:r>
      <w:r w:rsidR="00A50206">
        <w:t xml:space="preserve"> address those issues.</w:t>
      </w:r>
    </w:p>
    <w:p w14:paraId="53FA7605" w14:textId="2214EB02" w:rsidR="0092225D" w:rsidRDefault="00242FEA" w:rsidP="00281A73">
      <w:pPr>
        <w:pStyle w:val="Heading3"/>
      </w:pPr>
      <w:bookmarkStart w:id="11" w:name="_Toc62628682"/>
      <w:r>
        <w:t>2.1</w:t>
      </w:r>
      <w:r>
        <w:tab/>
      </w:r>
      <w:r w:rsidR="003F7402">
        <w:t>Inadequate p</w:t>
      </w:r>
      <w:r w:rsidR="00D0077A">
        <w:t xml:space="preserve">roject </w:t>
      </w:r>
      <w:r w:rsidR="00426934">
        <w:t xml:space="preserve">assessment and </w:t>
      </w:r>
      <w:r w:rsidR="00D0077A">
        <w:t>selection</w:t>
      </w:r>
      <w:r w:rsidR="00D86B88">
        <w:t xml:space="preserve"> </w:t>
      </w:r>
      <w:r w:rsidR="006336E1">
        <w:t>processes</w:t>
      </w:r>
      <w:bookmarkEnd w:id="11"/>
    </w:p>
    <w:p w14:paraId="02E4D8D3" w14:textId="7778F46E" w:rsidR="00325353" w:rsidRDefault="00F8258D" w:rsidP="00047111">
      <w:pPr>
        <w:pStyle w:val="BodyText"/>
        <w:keepNext/>
      </w:pPr>
      <w:r>
        <w:t xml:space="preserve">Rigorous and transparent assessment processes are key to good infrastructure project selection </w:t>
      </w:r>
      <w:r w:rsidR="0000420D" w:rsidRPr="0000420D">
        <w:rPr>
          <w:szCs w:val="24"/>
        </w:rPr>
        <w:t>(PC 2017a, p. 267)</w:t>
      </w:r>
      <w:r>
        <w:t xml:space="preserve">. </w:t>
      </w:r>
      <w:r w:rsidR="003B6886">
        <w:t xml:space="preserve">Inquiry participants have highlighted </w:t>
      </w:r>
      <w:proofErr w:type="gramStart"/>
      <w:r w:rsidR="003B6886">
        <w:t>a number of</w:t>
      </w:r>
      <w:proofErr w:type="gramEnd"/>
      <w:r w:rsidR="003B6886">
        <w:t xml:space="preserve"> shortcomings in current processes.</w:t>
      </w:r>
    </w:p>
    <w:p w14:paraId="0D7062BD" w14:textId="3B929FD3" w:rsidR="00E7673A" w:rsidRDefault="00D86B88" w:rsidP="00D86B88">
      <w:pPr>
        <w:pStyle w:val="ListBullet"/>
      </w:pPr>
      <w:r>
        <w:t xml:space="preserve">Project selection processes do not </w:t>
      </w:r>
      <w:r w:rsidR="005B0C7A">
        <w:t xml:space="preserve">always identify a clear </w:t>
      </w:r>
      <w:proofErr w:type="gramStart"/>
      <w:r w:rsidR="005B0C7A">
        <w:t>issue, or</w:t>
      </w:r>
      <w:proofErr w:type="gramEnd"/>
      <w:r w:rsidR="005B0C7A">
        <w:t xml:space="preserve"> </w:t>
      </w:r>
      <w:r>
        <w:t xml:space="preserve">consider the full suite of </w:t>
      </w:r>
      <w:r w:rsidRPr="00D86B88">
        <w:t>options</w:t>
      </w:r>
      <w:r w:rsidR="005B0C7A">
        <w:t xml:space="preserve"> to address that issue</w:t>
      </w:r>
      <w:r>
        <w:t xml:space="preserve"> (</w:t>
      </w:r>
      <w:r w:rsidR="004557E3" w:rsidRPr="00832FD0">
        <w:t>Smit et. al., sub. </w:t>
      </w:r>
      <w:r w:rsidR="006336E1" w:rsidRPr="00832FD0">
        <w:t>3</w:t>
      </w:r>
      <w:r w:rsidR="009564F3">
        <w:t>1</w:t>
      </w:r>
      <w:r w:rsidR="00201B2D">
        <w:t>, p. 3</w:t>
      </w:r>
      <w:r>
        <w:t>)</w:t>
      </w:r>
    </w:p>
    <w:p w14:paraId="045C7AB1" w14:textId="26492737" w:rsidR="00D86B88" w:rsidRPr="00D86B88" w:rsidRDefault="00691CD4" w:rsidP="00691CD4">
      <w:pPr>
        <w:pStyle w:val="ListBullet2"/>
      </w:pPr>
      <w:r>
        <w:t>Non</w:t>
      </w:r>
      <w:r>
        <w:noBreakHyphen/>
        <w:t>infrastructure options to improve water availability can include changes to seasonal water allocation policies or trade between sectors. These are often not considered — for example, the Dungowan Dam feasibility study (discussed below) explicitly excluded non</w:t>
      </w:r>
      <w:r>
        <w:noBreakHyphen/>
        <w:t>infrastructure options to address Tamworth’s water supply.</w:t>
      </w:r>
    </w:p>
    <w:p w14:paraId="6FC34F12" w14:textId="5158F3C9" w:rsidR="0035717A" w:rsidRDefault="0034530F" w:rsidP="00614032">
      <w:pPr>
        <w:pStyle w:val="ListBullet"/>
      </w:pPr>
      <w:r>
        <w:t>Business cases are not long</w:t>
      </w:r>
      <w:r>
        <w:noBreakHyphen/>
        <w:t xml:space="preserve">term or comprehensive, and assumptions are not always rigorous or transparent </w:t>
      </w:r>
      <w:r w:rsidRPr="00832FD0">
        <w:t>(</w:t>
      </w:r>
      <w:r>
        <w:t>IWF, sub. 30, pp. 16–20, FNQROC, sub. 51, pp. 2</w:t>
      </w:r>
      <w:r>
        <w:noBreakHyphen/>
        <w:t xml:space="preserve">3; </w:t>
      </w:r>
      <w:r w:rsidRPr="00832FD0">
        <w:t>Engineers Australia, sub. 63</w:t>
      </w:r>
      <w:r>
        <w:t>, p. 19</w:t>
      </w:r>
      <w:r w:rsidRPr="00832FD0">
        <w:t xml:space="preserve">; </w:t>
      </w:r>
      <w:r>
        <w:t>Wentworth Group of Concerned Scientists, sub. 68, p. 5).</w:t>
      </w:r>
    </w:p>
    <w:p w14:paraId="6DA32D7F" w14:textId="3508772B" w:rsidR="006F3C01" w:rsidRDefault="006F3C01" w:rsidP="005F296D">
      <w:pPr>
        <w:pStyle w:val="ListBullet2"/>
      </w:pPr>
      <w:r>
        <w:t xml:space="preserve">For example, </w:t>
      </w:r>
      <w:r w:rsidR="004557E3">
        <w:t>if</w:t>
      </w:r>
      <w:r w:rsidRPr="00D86B88">
        <w:t xml:space="preserve"> assumptions</w:t>
      </w:r>
      <w:r>
        <w:t xml:space="preserve"> </w:t>
      </w:r>
      <w:r w:rsidR="00BB5D8C">
        <w:t xml:space="preserve">concerning </w:t>
      </w:r>
      <w:r>
        <w:t xml:space="preserve">the demand for irrigation water </w:t>
      </w:r>
      <w:r w:rsidR="004557E3">
        <w:t xml:space="preserve">are </w:t>
      </w:r>
      <w:r w:rsidR="005F296D">
        <w:t>too optimistic</w:t>
      </w:r>
      <w:r w:rsidR="004557E3">
        <w:t xml:space="preserve">, there is a high risk that the </w:t>
      </w:r>
      <w:r w:rsidRPr="00380D94">
        <w:t>infras</w:t>
      </w:r>
      <w:r>
        <w:t>tructure</w:t>
      </w:r>
      <w:r w:rsidRPr="00380D94">
        <w:t xml:space="preserve"> </w:t>
      </w:r>
      <w:r w:rsidR="004557E3">
        <w:t xml:space="preserve">will </w:t>
      </w:r>
      <w:r w:rsidR="0010780D">
        <w:t xml:space="preserve">fail to </w:t>
      </w:r>
      <w:r w:rsidRPr="00380D94">
        <w:t xml:space="preserve">recover upfront </w:t>
      </w:r>
      <w:r>
        <w:t>and/</w:t>
      </w:r>
      <w:r w:rsidRPr="00380D94">
        <w:t>o</w:t>
      </w:r>
      <w:r>
        <w:t>r</w:t>
      </w:r>
      <w:r w:rsidRPr="00380D94">
        <w:t xml:space="preserve"> ongoing costs from users </w:t>
      </w:r>
      <w:r>
        <w:t>(</w:t>
      </w:r>
      <w:r w:rsidR="004557E3" w:rsidRPr="004557E3">
        <w:t>WWF Australia, sub. 50</w:t>
      </w:r>
      <w:r w:rsidR="009564F3">
        <w:t>, pp. 9</w:t>
      </w:r>
      <w:r w:rsidR="00E418AA">
        <w:noBreakHyphen/>
      </w:r>
      <w:r w:rsidR="009564F3">
        <w:t>10</w:t>
      </w:r>
      <w:r>
        <w:t>)</w:t>
      </w:r>
      <w:r w:rsidR="0035717A">
        <w:t xml:space="preserve">. </w:t>
      </w:r>
      <w:r>
        <w:t xml:space="preserve">If a substantial proportion of entitlements from a new development remain unsold, this functions as an implicit (and opaque) subsidy to water users </w:t>
      </w:r>
      <w:r w:rsidR="0000420D" w:rsidRPr="0000420D">
        <w:rPr>
          <w:szCs w:val="24"/>
        </w:rPr>
        <w:t>(PC 2017a, p. 256)</w:t>
      </w:r>
      <w:r>
        <w:t>.</w:t>
      </w:r>
    </w:p>
    <w:p w14:paraId="3027DED2" w14:textId="67773192" w:rsidR="00DF5202" w:rsidRDefault="00090DA0" w:rsidP="00125FC6">
      <w:pPr>
        <w:pStyle w:val="ListBullet"/>
      </w:pPr>
      <w:r>
        <w:t xml:space="preserve">Australian, State and Territory </w:t>
      </w:r>
      <w:r w:rsidRPr="004924BE">
        <w:t>gove</w:t>
      </w:r>
      <w:r>
        <w:t xml:space="preserve">rnment </w:t>
      </w:r>
      <w:r w:rsidR="00E7673A">
        <w:t xml:space="preserve">infrastructure priorities are not clear, </w:t>
      </w:r>
      <w:proofErr w:type="gramStart"/>
      <w:r w:rsidR="00E7673A">
        <w:t>consistent</w:t>
      </w:r>
      <w:proofErr w:type="gramEnd"/>
      <w:r w:rsidR="00E7673A">
        <w:t xml:space="preserve"> or aligned, lead</w:t>
      </w:r>
      <w:r w:rsidR="00DF5202">
        <w:t>ing to unnecessary duplication.</w:t>
      </w:r>
    </w:p>
    <w:p w14:paraId="24F597AB" w14:textId="77777777" w:rsidR="00DF5202" w:rsidRDefault="00DF5202" w:rsidP="00DF5202">
      <w:pPr>
        <w:pStyle w:val="ListBullet2"/>
      </w:pPr>
      <w:r>
        <w:t>Some funding commitments (such as for Rookwood Weir) have disregarded the recommendations of Infrastructure Australia’s independent project evaluations.</w:t>
      </w:r>
    </w:p>
    <w:p w14:paraId="643A6A95" w14:textId="661E9733" w:rsidR="00E7673A" w:rsidRDefault="00DF5202" w:rsidP="00DF5202">
      <w:pPr>
        <w:pStyle w:val="ListBullet2"/>
      </w:pPr>
      <w:r>
        <w:t>M</w:t>
      </w:r>
      <w:r w:rsidR="00E7673A">
        <w:t>ultiple projects are being proposed in the same catchment without consideration of interdependencies (Business NSW, sub. 36, pp. 5</w:t>
      </w:r>
      <w:r w:rsidR="00011902">
        <w:t>–</w:t>
      </w:r>
      <w:r w:rsidR="00E7673A">
        <w:t>6)</w:t>
      </w:r>
    </w:p>
    <w:p w14:paraId="06885597" w14:textId="6E51F90C" w:rsidR="00125FC6" w:rsidRPr="00125FC6" w:rsidRDefault="00822E09" w:rsidP="00125FC6">
      <w:pPr>
        <w:pStyle w:val="ListBullet"/>
      </w:pPr>
      <w:r>
        <w:t>E</w:t>
      </w:r>
      <w:r w:rsidR="005F296D">
        <w:t xml:space="preserve">conomic </w:t>
      </w:r>
      <w:r w:rsidR="00125FC6" w:rsidRPr="00125FC6">
        <w:t xml:space="preserve">assessments for water infrastructure </w:t>
      </w:r>
      <w:r>
        <w:t>are</w:t>
      </w:r>
      <w:r w:rsidRPr="00125FC6">
        <w:t xml:space="preserve"> </w:t>
      </w:r>
      <w:r w:rsidR="00125FC6" w:rsidRPr="00125FC6">
        <w:t xml:space="preserve">too narrow </w:t>
      </w:r>
      <w:r w:rsidR="00BB5D8C">
        <w:t xml:space="preserve">compared </w:t>
      </w:r>
      <w:r w:rsidR="00090DA0">
        <w:t>with</w:t>
      </w:r>
      <w:r w:rsidR="00090DA0" w:rsidRPr="00125FC6">
        <w:t xml:space="preserve"> </w:t>
      </w:r>
      <w:r w:rsidR="00125FC6" w:rsidRPr="00125FC6">
        <w:t>the well</w:t>
      </w:r>
      <w:r w:rsidR="00125FC6" w:rsidRPr="00125FC6">
        <w:noBreakHyphen/>
        <w:t>developed</w:t>
      </w:r>
      <w:r w:rsidR="005F296D">
        <w:t xml:space="preserve"> </w:t>
      </w:r>
      <w:r w:rsidR="00125FC6" w:rsidRPr="00125FC6">
        <w:t xml:space="preserve">methodologies in other </w:t>
      </w:r>
      <w:r w:rsidR="005F296D">
        <w:t xml:space="preserve">infrastructure </w:t>
      </w:r>
      <w:r w:rsidR="00125FC6" w:rsidRPr="00125FC6">
        <w:t>sectors.</w:t>
      </w:r>
    </w:p>
    <w:p w14:paraId="0A9F8027" w14:textId="15A5D161" w:rsidR="00125FC6" w:rsidRPr="00125FC6" w:rsidRDefault="00E418AA" w:rsidP="00A81D7C">
      <w:pPr>
        <w:pStyle w:val="ListBullet2"/>
      </w:pPr>
      <w:r>
        <w:t xml:space="preserve">The Far North Queensland Regional Organisation of Councils </w:t>
      </w:r>
      <w:r w:rsidR="00090DA0" w:rsidRPr="00125FC6">
        <w:t xml:space="preserve">(sub. 51, p. 3) noted that: ‘other applications of </w:t>
      </w:r>
      <w:r w:rsidR="00090DA0">
        <w:t xml:space="preserve">[Cost–Benefit Analysis] </w:t>
      </w:r>
      <w:r w:rsidR="00090DA0" w:rsidRPr="00125FC6">
        <w:t xml:space="preserve">have well established methodologies that capture a fair swath of the external benefits that may accrue from </w:t>
      </w:r>
      <w:r w:rsidR="00090DA0" w:rsidRPr="00125FC6">
        <w:lastRenderedPageBreak/>
        <w:t>large scale investments, for example roads. Cost Benefit Analysis of dam investment is more limited in its scope’.</w:t>
      </w:r>
    </w:p>
    <w:p w14:paraId="4CDBD772" w14:textId="253C1FDC" w:rsidR="00D86B88" w:rsidRPr="00F977F5" w:rsidRDefault="006F3C01" w:rsidP="006F3C01">
      <w:pPr>
        <w:pStyle w:val="BodyText"/>
        <w:keepNext/>
      </w:pPr>
      <w:r>
        <w:t>Some participants viewed that c</w:t>
      </w:r>
      <w:r w:rsidR="00D86B88">
        <w:t xml:space="preserve">urrent </w:t>
      </w:r>
      <w:r w:rsidR="00F8258D">
        <w:t>decision</w:t>
      </w:r>
      <w:r w:rsidR="00F8258D">
        <w:noBreakHyphen/>
        <w:t xml:space="preserve">making </w:t>
      </w:r>
      <w:r w:rsidR="00D86B88">
        <w:t xml:space="preserve">processes </w:t>
      </w:r>
      <w:r w:rsidR="00F8258D">
        <w:t>lacked transparency</w:t>
      </w:r>
      <w:r w:rsidR="00D86B88">
        <w:t>. For example, t</w:t>
      </w:r>
      <w:r w:rsidR="00D86B88" w:rsidRPr="00F977F5">
        <w:t>he Institute for Water Futures (</w:t>
      </w:r>
      <w:r w:rsidR="003F7402">
        <w:t xml:space="preserve">IWF, </w:t>
      </w:r>
      <w:r w:rsidR="00D86B88" w:rsidRPr="00F977F5">
        <w:t>sub</w:t>
      </w:r>
      <w:r w:rsidR="00A74B02">
        <w:t>.</w:t>
      </w:r>
      <w:r w:rsidR="00D86B88" w:rsidRPr="00F977F5">
        <w:t> 30</w:t>
      </w:r>
      <w:r w:rsidR="00A016A6">
        <w:t>, p. 16</w:t>
      </w:r>
      <w:r w:rsidR="00D86B88" w:rsidRPr="00F977F5">
        <w:t>)</w:t>
      </w:r>
      <w:r w:rsidR="005F296D">
        <w:t xml:space="preserve"> observed</w:t>
      </w:r>
      <w:r w:rsidR="00D86B88" w:rsidRPr="00F977F5">
        <w:t xml:space="preserve"> the lack of transparency in the </w:t>
      </w:r>
      <w:r w:rsidR="005F296D">
        <w:t>NWGA’s decision</w:t>
      </w:r>
      <w:r w:rsidR="00F75929">
        <w:t xml:space="preserve"> </w:t>
      </w:r>
      <w:r w:rsidR="005F296D">
        <w:t>making.</w:t>
      </w:r>
    </w:p>
    <w:p w14:paraId="28E51E30" w14:textId="7E3093E3" w:rsidR="00D86B88" w:rsidRDefault="00D86B88" w:rsidP="00D86B88">
      <w:pPr>
        <w:pStyle w:val="Quote"/>
      </w:pPr>
      <w:r>
        <w:t xml:space="preserve">There </w:t>
      </w:r>
      <w:r w:rsidRPr="00BE18F1">
        <w:t>is insufficient publicly available information to assess 21 projects</w:t>
      </w:r>
      <w:r>
        <w:t xml:space="preserve"> (with a total Australian Government funding commitment of $1.15</w:t>
      </w:r>
      <w:r w:rsidR="004C3329">
        <w:t> </w:t>
      </w:r>
      <w:r>
        <w:t xml:space="preserve">billion) </w:t>
      </w:r>
      <w:r w:rsidRPr="00BE18F1">
        <w:t>against all NWI criteria</w:t>
      </w:r>
      <w:r w:rsidR="00F17656">
        <w:t>.</w:t>
      </w:r>
    </w:p>
    <w:p w14:paraId="321FCD3A" w14:textId="4E7A9FB6" w:rsidR="009464D7" w:rsidRDefault="003B66F5" w:rsidP="009464D7">
      <w:pPr>
        <w:pStyle w:val="BodyText"/>
      </w:pPr>
      <w:r>
        <w:t>T</w:t>
      </w:r>
      <w:r w:rsidR="003F7402">
        <w:t xml:space="preserve">he IWF </w:t>
      </w:r>
      <w:r w:rsidR="007B14B5">
        <w:t>further pointed out</w:t>
      </w:r>
      <w:r w:rsidR="005F296D">
        <w:t xml:space="preserve"> that</w:t>
      </w:r>
      <w:r w:rsidR="003F7402">
        <w:t xml:space="preserve"> seven projects had received Australian </w:t>
      </w:r>
      <w:r w:rsidR="00090DA0">
        <w:t>G</w:t>
      </w:r>
      <w:r w:rsidR="003F7402">
        <w:t>overnment funding commitments prior to business case development and environmental approvals (sub. 30, p. 17).</w:t>
      </w:r>
      <w:r>
        <w:t xml:space="preserve"> This is a </w:t>
      </w:r>
      <w:r w:rsidR="009464D7">
        <w:t>particular concern</w:t>
      </w:r>
      <w:r>
        <w:t>: business cases</w:t>
      </w:r>
      <w:r w:rsidR="009464D7">
        <w:t xml:space="preserve"> substantiate whether the infrastructure is in the interests of the </w:t>
      </w:r>
      <w:r>
        <w:t xml:space="preserve">Australian </w:t>
      </w:r>
      <w:r w:rsidR="009464D7">
        <w:t>community</w:t>
      </w:r>
      <w:r>
        <w:t>, and</w:t>
      </w:r>
      <w:r w:rsidR="009464D7">
        <w:t xml:space="preserve"> </w:t>
      </w:r>
      <w:r>
        <w:t>they also</w:t>
      </w:r>
      <w:r w:rsidR="009464D7">
        <w:t xml:space="preserve"> </w:t>
      </w:r>
      <w:r>
        <w:t>establish the case (if any)</w:t>
      </w:r>
      <w:r w:rsidR="009464D7">
        <w:t xml:space="preserve"> for </w:t>
      </w:r>
      <w:r w:rsidR="00CE7ECD">
        <w:t xml:space="preserve">funding part of the development through a government subsidy, </w:t>
      </w:r>
      <w:r w:rsidR="009464D7">
        <w:t xml:space="preserve">rather than user charges. Governments are unlikely to back down from funding a project they have already committed to, which creates a risk that </w:t>
      </w:r>
      <w:r>
        <w:t xml:space="preserve">suboptimal </w:t>
      </w:r>
      <w:r w:rsidR="009464D7">
        <w:t xml:space="preserve">projects are funded — even if subsequent analyses show that the projects are not worthwhile </w:t>
      </w:r>
      <w:r w:rsidR="009564F3" w:rsidRPr="009564F3">
        <w:rPr>
          <w:szCs w:val="24"/>
        </w:rPr>
        <w:t>(PC 2014, p. 106)</w:t>
      </w:r>
      <w:r w:rsidR="009464D7">
        <w:t>.</w:t>
      </w:r>
    </w:p>
    <w:p w14:paraId="53D188C9" w14:textId="3AA23D3D" w:rsidR="003009FE" w:rsidRDefault="003009FE" w:rsidP="00A74B02">
      <w:pPr>
        <w:pStyle w:val="BodyText"/>
        <w:keepNext/>
      </w:pPr>
      <w:r>
        <w:t xml:space="preserve">Indeed, it </w:t>
      </w:r>
      <w:r w:rsidR="00691CD4">
        <w:t xml:space="preserve">is </w:t>
      </w:r>
      <w:r>
        <w:t>common for the costs of major water infrastructure projects to increase substantially between early feasibili</w:t>
      </w:r>
      <w:r w:rsidR="00426934">
        <w:t xml:space="preserve">ty work and final construction; a project with marginal net </w:t>
      </w:r>
      <w:r w:rsidR="00E7673A">
        <w:t xml:space="preserve">economic </w:t>
      </w:r>
      <w:r w:rsidR="00426934">
        <w:t xml:space="preserve">benefits may result in imposing a net cost on the community if this occurs. </w:t>
      </w:r>
      <w:r>
        <w:t xml:space="preserve">As outlined by the </w:t>
      </w:r>
      <w:r w:rsidR="009564F3">
        <w:t>IWF</w:t>
      </w:r>
      <w:r>
        <w:t xml:space="preserve"> (sub. 30, p. 17):</w:t>
      </w:r>
    </w:p>
    <w:p w14:paraId="43193DAD" w14:textId="08B408CD" w:rsidR="003009FE" w:rsidRDefault="003009FE" w:rsidP="003009FE">
      <w:pPr>
        <w:pStyle w:val="Quote"/>
      </w:pPr>
      <w:r>
        <w:t>Best</w:t>
      </w:r>
      <w:r w:rsidR="00011902">
        <w:noBreakHyphen/>
      </w:r>
      <w:r>
        <w:t xml:space="preserve">practice processes for public investment are particularly important for construction of </w:t>
      </w:r>
      <w:proofErr w:type="gramStart"/>
      <w:r>
        <w:t>new large</w:t>
      </w:r>
      <w:proofErr w:type="gramEnd"/>
      <w:r>
        <w:t xml:space="preserve"> dams because these projects are highly susceptible to major cost overruns (see Ansar et al. 2014 for a global review). In an Australian context, </w:t>
      </w:r>
      <w:proofErr w:type="spellStart"/>
      <w:r>
        <w:t>Petheram</w:t>
      </w:r>
      <w:proofErr w:type="spellEnd"/>
      <w:r>
        <w:t xml:space="preserve"> et al. (2019) found that the median and mean cost overruns (relative to immediate pre</w:t>
      </w:r>
      <w:r w:rsidR="00011902">
        <w:noBreakHyphen/>
      </w:r>
      <w:r>
        <w:t>construction estimates) were 49% and 120% respectively for a sample of 40 historical projects where sufficient data was available.</w:t>
      </w:r>
    </w:p>
    <w:p w14:paraId="56777086" w14:textId="7F5112E8" w:rsidR="006677E3" w:rsidRPr="00393BCA" w:rsidRDefault="002F4A9D" w:rsidP="00104449">
      <w:pPr>
        <w:pStyle w:val="BodyText"/>
        <w:rPr>
          <w:spacing w:val="-2"/>
        </w:rPr>
      </w:pPr>
      <w:r w:rsidRPr="00393BCA">
        <w:rPr>
          <w:spacing w:val="-2"/>
        </w:rPr>
        <w:t>One example is Dungowan Dam (box 3). The original proposal was based</w:t>
      </w:r>
      <w:r w:rsidR="00104449" w:rsidRPr="00393BCA">
        <w:rPr>
          <w:spacing w:val="-2"/>
        </w:rPr>
        <w:t xml:space="preserve"> </w:t>
      </w:r>
      <w:r w:rsidR="00BB5D8C" w:rsidRPr="00393BCA">
        <w:rPr>
          <w:spacing w:val="-2"/>
        </w:rPr>
        <w:t xml:space="preserve">on </w:t>
      </w:r>
      <w:r w:rsidR="00104449" w:rsidRPr="00393BCA">
        <w:rPr>
          <w:spacing w:val="-2"/>
        </w:rPr>
        <w:t>an indicative cost of $150 million</w:t>
      </w:r>
      <w:r w:rsidR="009564F3" w:rsidRPr="00393BCA">
        <w:rPr>
          <w:spacing w:val="-2"/>
        </w:rPr>
        <w:t xml:space="preserve"> </w:t>
      </w:r>
      <w:r w:rsidR="009564F3" w:rsidRPr="00393BCA">
        <w:rPr>
          <w:spacing w:val="-2"/>
          <w:szCs w:val="24"/>
        </w:rPr>
        <w:t>(PC 2017a, p. 266)</w:t>
      </w:r>
      <w:r w:rsidR="00104449" w:rsidRPr="00393BCA">
        <w:rPr>
          <w:spacing w:val="-2"/>
        </w:rPr>
        <w:t>. This has since been revised to $484 million following a feasibility study, and the costs may change again during business case development.</w:t>
      </w:r>
    </w:p>
    <w:p w14:paraId="2C6A5F73" w14:textId="78522F70" w:rsidR="005F5FB5" w:rsidRDefault="005F5FB5" w:rsidP="005F5FB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5F5FB5" w14:paraId="3436BE50" w14:textId="77777777" w:rsidTr="00C34B63">
        <w:trPr>
          <w:tblHeader/>
        </w:trPr>
        <w:tc>
          <w:tcPr>
            <w:tcW w:w="5000" w:type="pct"/>
            <w:tcBorders>
              <w:top w:val="single" w:sz="6" w:space="0" w:color="78A22F"/>
              <w:left w:val="nil"/>
              <w:bottom w:val="nil"/>
              <w:right w:val="nil"/>
            </w:tcBorders>
            <w:shd w:val="clear" w:color="auto" w:fill="F2F2F2"/>
          </w:tcPr>
          <w:p w14:paraId="07DC946D" w14:textId="3DF60DAF" w:rsidR="005F5FB5" w:rsidRDefault="005F5FB5" w:rsidP="00E215D2">
            <w:pPr>
              <w:pStyle w:val="BoxTitle"/>
            </w:pPr>
            <w:r>
              <w:rPr>
                <w:b w:val="0"/>
              </w:rPr>
              <w:t>Box </w:t>
            </w:r>
            <w:r w:rsidR="00E215D2">
              <w:rPr>
                <w:b w:val="0"/>
              </w:rPr>
              <w:t>3</w:t>
            </w:r>
            <w:r>
              <w:tab/>
              <w:t>Flawed decision</w:t>
            </w:r>
            <w:r w:rsidR="000E766A">
              <w:t xml:space="preserve"> </w:t>
            </w:r>
            <w:r>
              <w:t xml:space="preserve">making for Dungowan </w:t>
            </w:r>
            <w:r w:rsidR="00691CD4">
              <w:t>Dam</w:t>
            </w:r>
          </w:p>
        </w:tc>
      </w:tr>
      <w:tr w:rsidR="00844C56" w14:paraId="5BC63676" w14:textId="77777777" w:rsidTr="00C34B63">
        <w:tc>
          <w:tcPr>
            <w:tcW w:w="5000" w:type="pct"/>
            <w:tcBorders>
              <w:top w:val="nil"/>
              <w:left w:val="nil"/>
              <w:bottom w:val="nil"/>
              <w:right w:val="nil"/>
            </w:tcBorders>
            <w:shd w:val="clear" w:color="auto" w:fill="F2F2F2"/>
          </w:tcPr>
          <w:p w14:paraId="0D7FF9E3" w14:textId="0E9D1A24" w:rsidR="00844C56" w:rsidRPr="00AE13B8" w:rsidRDefault="00844C56" w:rsidP="00844C56">
            <w:pPr>
              <w:pStyle w:val="Box"/>
            </w:pPr>
            <w:r>
              <w:t xml:space="preserve">In 2016, the New South Wales and Australian Governments committed a total of $150 million to the construction of </w:t>
            </w:r>
            <w:r w:rsidRPr="00937666">
              <w:t>Dungowan</w:t>
            </w:r>
            <w:r w:rsidRPr="000C724E">
              <w:t xml:space="preserve"> Dam </w:t>
            </w:r>
            <w:r>
              <w:t xml:space="preserve">on the Peel River </w:t>
            </w:r>
            <w:r w:rsidRPr="00393782">
              <w:rPr>
                <w:rFonts w:cs="Arial"/>
                <w:szCs w:val="24"/>
              </w:rPr>
              <w:t>(ANZIP 2020)</w:t>
            </w:r>
            <w:r>
              <w:t xml:space="preserve">. </w:t>
            </w:r>
            <w:r w:rsidR="009564F3">
              <w:t xml:space="preserve">The rationale for the project was that growth in Tamworth’s urban water demand would affect reliability for general security irrigators in the Peel, as well as downstream licences in the Namoi </w:t>
            </w:r>
            <w:r w:rsidRPr="00AE13B8">
              <w:t>(</w:t>
            </w:r>
            <w:proofErr w:type="spellStart"/>
            <w:r w:rsidRPr="00AE13B8">
              <w:t>WaterNSW</w:t>
            </w:r>
            <w:proofErr w:type="spellEnd"/>
            <w:r w:rsidRPr="00AE13B8">
              <w:t> 2018, p. 26).</w:t>
            </w:r>
          </w:p>
          <w:p w14:paraId="01A23D94" w14:textId="2F989718" w:rsidR="00844C56" w:rsidRDefault="00844C56" w:rsidP="00844C56">
            <w:pPr>
              <w:pStyle w:val="Box"/>
            </w:pPr>
            <w:r>
              <w:t>A 2017 feasibility study estimated a benefit</w:t>
            </w:r>
            <w:r>
              <w:noBreakHyphen/>
              <w:t xml:space="preserve">cost ratio of 1.06 for constructing a new dam, albeit with a far higher project cost of $484 million </w:t>
            </w:r>
            <w:r w:rsidRPr="00BA67A2">
              <w:rPr>
                <w:rFonts w:cs="Arial"/>
                <w:szCs w:val="24"/>
              </w:rPr>
              <w:t>(GHD 2017, p. </w:t>
            </w:r>
            <w:proofErr w:type="spellStart"/>
            <w:r w:rsidRPr="00BA67A2">
              <w:rPr>
                <w:rFonts w:cs="Arial"/>
                <w:szCs w:val="24"/>
              </w:rPr>
              <w:t>i</w:t>
            </w:r>
            <w:proofErr w:type="spellEnd"/>
            <w:r w:rsidRPr="00BA67A2">
              <w:rPr>
                <w:rFonts w:cs="Arial"/>
                <w:szCs w:val="24"/>
              </w:rPr>
              <w:t>)</w:t>
            </w:r>
            <w:r>
              <w:t>. The study’s preferred option was to construct a new 22.5 GL dam, increasing water availability by 6 GL a year on average</w:t>
            </w:r>
            <w:r w:rsidRPr="009564F3">
              <w:t>.</w:t>
            </w:r>
            <w:r w:rsidR="00691CD4">
              <w:t xml:space="preserve"> Most</w:t>
            </w:r>
            <w:r>
              <w:t xml:space="preserve"> of the anticipated benefits derive from improving Tamworth’s water security, with increased irrigated agricultural production representing less than 2 per cent of the project benefits </w:t>
            </w:r>
            <w:r w:rsidRPr="00BA67A2">
              <w:rPr>
                <w:rFonts w:cs="Arial"/>
                <w:szCs w:val="24"/>
              </w:rPr>
              <w:t>(GHD 2017, p. 68)</w:t>
            </w:r>
            <w:r>
              <w:t>.</w:t>
            </w:r>
          </w:p>
          <w:p w14:paraId="48210E83" w14:textId="32C58B40" w:rsidR="00844C56" w:rsidRDefault="00844C56" w:rsidP="00844C56">
            <w:pPr>
              <w:pStyle w:val="Box"/>
            </w:pPr>
            <w:r>
              <w:t xml:space="preserve">In 2019, both governments agreed to provide half of the $484 million construction cost. Early works were scheduled to commence in October 2020, with the final business case to be completed by June 2021 </w:t>
            </w:r>
            <w:r w:rsidRPr="00626C2B">
              <w:rPr>
                <w:rFonts w:cs="Arial"/>
                <w:szCs w:val="24"/>
              </w:rPr>
              <w:t>(</w:t>
            </w:r>
            <w:proofErr w:type="spellStart"/>
            <w:r w:rsidRPr="00626C2B">
              <w:rPr>
                <w:rFonts w:cs="Arial"/>
                <w:szCs w:val="24"/>
              </w:rPr>
              <w:t>WaterNSW</w:t>
            </w:r>
            <w:proofErr w:type="spellEnd"/>
            <w:r w:rsidRPr="00626C2B">
              <w:rPr>
                <w:rFonts w:cs="Arial"/>
                <w:szCs w:val="24"/>
              </w:rPr>
              <w:t> 2020)</w:t>
            </w:r>
            <w:r>
              <w:t>.</w:t>
            </w:r>
            <w:r w:rsidR="009E1961">
              <w:t xml:space="preserve"> </w:t>
            </w:r>
          </w:p>
          <w:p w14:paraId="6BED5399" w14:textId="77777777" w:rsidR="00691CD4" w:rsidRDefault="00691CD4" w:rsidP="0015616D">
            <w:pPr>
              <w:pStyle w:val="BoxHeading1"/>
              <w:spacing w:before="120"/>
            </w:pPr>
            <w:r>
              <w:t>Discussion</w:t>
            </w:r>
          </w:p>
          <w:p w14:paraId="0AAD105E" w14:textId="08650B1A" w:rsidR="00691CD4" w:rsidRDefault="00691CD4" w:rsidP="00691CD4">
            <w:pPr>
              <w:pStyle w:val="Box"/>
            </w:pPr>
            <w:r>
              <w:t xml:space="preserve">The feasibility study underpinning this funding commitment has three key shortcomings. </w:t>
            </w:r>
          </w:p>
          <w:p w14:paraId="1230CCFA" w14:textId="2588B4D4" w:rsidR="00691CD4" w:rsidRDefault="00691CD4" w:rsidP="00691CD4">
            <w:pPr>
              <w:pStyle w:val="BoxListBullet"/>
            </w:pPr>
            <w:r>
              <w:t>The benefit</w:t>
            </w:r>
            <w:r w:rsidR="002F4A9D">
              <w:t>–</w:t>
            </w:r>
            <w:r>
              <w:t>cost ratio of 1.06 is marginal and contingent on optimistic assumptions (such as the willingness of Tamworth residents to pay for fewer water restrictions). Any further increases in construction cost would likely result in the project becoming unviable.</w:t>
            </w:r>
          </w:p>
          <w:p w14:paraId="6711DA9E" w14:textId="79F0CA05" w:rsidR="00844C56" w:rsidRPr="00691CD4" w:rsidRDefault="00844C56" w:rsidP="00844C56">
            <w:pPr>
              <w:pStyle w:val="BoxListBullet"/>
              <w:rPr>
                <w:rStyle w:val="NoteLabel"/>
                <w:b w:val="0"/>
                <w:position w:val="0"/>
                <w:sz w:val="20"/>
              </w:rPr>
            </w:pPr>
            <w:r>
              <w:t>Non</w:t>
            </w:r>
            <w:r>
              <w:noBreakHyphen/>
              <w:t xml:space="preserve">infrastructure options were excluded from the analysis </w:t>
            </w:r>
            <w:r w:rsidRPr="00BA67A2">
              <w:rPr>
                <w:rFonts w:cs="Arial"/>
                <w:szCs w:val="24"/>
              </w:rPr>
              <w:t>(GHD 2017, p. 14)</w:t>
            </w:r>
            <w:r>
              <w:t xml:space="preserve">. </w:t>
            </w:r>
            <w:r w:rsidR="00691CD4">
              <w:t>Some of these options may be considerably more cost</w:t>
            </w:r>
            <w:r w:rsidR="00691CD4">
              <w:noBreakHyphen/>
              <w:t xml:space="preserve">effective — for example, the cost of securing Tamworth’s water supply by directly purchasing general security entitlements is estimated at just 2 per cent of the Dungowan Dam construction </w:t>
            </w:r>
            <w:proofErr w:type="gramStart"/>
            <w:r w:rsidR="00691CD4">
              <w:t>cost</w:t>
            </w:r>
            <w:r>
              <w:t>.</w:t>
            </w:r>
            <w:r>
              <w:rPr>
                <w:rStyle w:val="NoteLabel"/>
              </w:rPr>
              <w:t>a</w:t>
            </w:r>
            <w:proofErr w:type="gramEnd"/>
          </w:p>
          <w:p w14:paraId="4DF7E800" w14:textId="67053DEF" w:rsidR="000A2A74" w:rsidRDefault="000A2A74" w:rsidP="000A2A74">
            <w:pPr>
              <w:pStyle w:val="BoxListBullet"/>
            </w:pPr>
            <w:r>
              <w:t>The project scope was narrowly defined. Although the study was prompted by pressure on Tamworth’s bulk water supplies during the Millennium Drought</w:t>
            </w:r>
            <w:r w:rsidR="009564F3">
              <w:t>,</w:t>
            </w:r>
            <w:r>
              <w:t xml:space="preserve"> the analysis focused on </w:t>
            </w:r>
            <w:r w:rsidRPr="00B24E11">
              <w:t>long</w:t>
            </w:r>
            <w:r w:rsidR="009564F3">
              <w:noBreakHyphen/>
            </w:r>
            <w:r w:rsidRPr="00B24E11">
              <w:t xml:space="preserve">term water </w:t>
            </w:r>
            <w:r>
              <w:t>supply, rather than ensuring water security during extreme events. As noted by t</w:t>
            </w:r>
            <w:r w:rsidRPr="00973D79">
              <w:t>he NSW Water Directorate (sub.</w:t>
            </w:r>
            <w:r>
              <w:t> </w:t>
            </w:r>
            <w:r w:rsidRPr="00973D79">
              <w:t>37, p.</w:t>
            </w:r>
            <w:r>
              <w:t> </w:t>
            </w:r>
            <w:r w:rsidRPr="00973D79">
              <w:t>7)</w:t>
            </w:r>
            <w:r>
              <w:t>, the 2017–19 drought highlighted that</w:t>
            </w:r>
            <w:r w:rsidR="008E351A">
              <w:t xml:space="preserve"> the</w:t>
            </w:r>
            <w:r>
              <w:t xml:space="preserve"> seasonal water allocation process under the catchment water plan was </w:t>
            </w:r>
            <w:r w:rsidRPr="00973D79">
              <w:t xml:space="preserve">not </w:t>
            </w:r>
            <w:r>
              <w:t xml:space="preserve">as </w:t>
            </w:r>
            <w:r w:rsidRPr="00973D79">
              <w:t xml:space="preserve">effective </w:t>
            </w:r>
            <w:r>
              <w:t>as it could be in</w:t>
            </w:r>
            <w:r w:rsidRPr="00973D79">
              <w:t xml:space="preserve"> protecting town water </w:t>
            </w:r>
            <w:r>
              <w:t>security, even with significant investment in water security infrastructure</w:t>
            </w:r>
            <w:r w:rsidR="008E351A">
              <w:t xml:space="preserve"> to date</w:t>
            </w:r>
            <w:r>
              <w:t xml:space="preserve">. Indeed, </w:t>
            </w:r>
            <w:r w:rsidRPr="00F714C4">
              <w:t xml:space="preserve">in the year </w:t>
            </w:r>
            <w:r>
              <w:t xml:space="preserve">prior </w:t>
            </w:r>
            <w:r w:rsidRPr="00F714C4">
              <w:t xml:space="preserve">to Tamworth’s level 5 restrictions, more water was </w:t>
            </w:r>
            <w:r>
              <w:t>allocated</w:t>
            </w:r>
            <w:r w:rsidRPr="00F714C4">
              <w:t xml:space="preserve"> to general security licence holders than for urban water use</w:t>
            </w:r>
            <w:r>
              <w:t xml:space="preserve"> </w:t>
            </w:r>
            <w:r w:rsidRPr="003A616F">
              <w:rPr>
                <w:rFonts w:cs="Arial"/>
                <w:szCs w:val="24"/>
              </w:rPr>
              <w:t>(</w:t>
            </w:r>
            <w:proofErr w:type="spellStart"/>
            <w:r w:rsidRPr="003A616F">
              <w:rPr>
                <w:rFonts w:cs="Arial"/>
                <w:szCs w:val="24"/>
              </w:rPr>
              <w:t>WaterNSW</w:t>
            </w:r>
            <w:proofErr w:type="spellEnd"/>
            <w:r w:rsidRPr="003A616F">
              <w:rPr>
                <w:rFonts w:cs="Arial"/>
                <w:szCs w:val="24"/>
              </w:rPr>
              <w:t> 2019)</w:t>
            </w:r>
            <w:r>
              <w:t>.</w:t>
            </w:r>
          </w:p>
          <w:p w14:paraId="092F044D" w14:textId="695FF8D7" w:rsidR="00691CD4" w:rsidRDefault="00691CD4" w:rsidP="00CA3978">
            <w:pPr>
              <w:pStyle w:val="Box"/>
            </w:pPr>
            <w:r>
              <w:t xml:space="preserve">In terms of these latter points, the proposed dam is a costly way to protect </w:t>
            </w:r>
            <w:r w:rsidRPr="009D3E52">
              <w:t>general security licences</w:t>
            </w:r>
            <w:r>
              <w:t xml:space="preserve">, relative to the value of the water. The dam is estimated to provide an additional 6 GL of water (annual average) which has a current market value of only $11 million. By comparison, if the additional water was issued as entitlements to general security </w:t>
            </w:r>
            <w:r w:rsidRPr="00987C1C">
              <w:t>irrigators</w:t>
            </w:r>
            <w:r>
              <w:t xml:space="preserve"> at full cost, it would be </w:t>
            </w:r>
            <w:r w:rsidR="00864833">
              <w:t xml:space="preserve">valued </w:t>
            </w:r>
            <w:r>
              <w:t xml:space="preserve">at more than $60 000/ML, relative to current prices of </w:t>
            </w:r>
            <w:r w:rsidR="008E351A">
              <w:t xml:space="preserve">about </w:t>
            </w:r>
            <w:r>
              <w:t>$1341/</w:t>
            </w:r>
            <w:proofErr w:type="gramStart"/>
            <w:r>
              <w:t>ML.</w:t>
            </w:r>
            <w:r w:rsidRPr="00393782">
              <w:rPr>
                <w:rStyle w:val="NoteLabel"/>
              </w:rPr>
              <w:t>b</w:t>
            </w:r>
            <w:proofErr w:type="gramEnd"/>
            <w:r>
              <w:t xml:space="preserve"> Irrigators are unlikely to be willing to pay for the additional water</w:t>
            </w:r>
            <w:r w:rsidR="008E351A">
              <w:t>, highlighting the poor viability of the project</w:t>
            </w:r>
            <w:r>
              <w:t>.</w:t>
            </w:r>
          </w:p>
          <w:p w14:paraId="51559872" w14:textId="7A2724C3" w:rsidR="00844C56" w:rsidRPr="007E4026" w:rsidRDefault="00691CD4" w:rsidP="009564F3">
            <w:pPr>
              <w:pStyle w:val="Box"/>
            </w:pPr>
            <w:r>
              <w:t>Moreover, the prospect of ‘new’ water is illusory. Because the proposed project is within a fully</w:t>
            </w:r>
            <w:r>
              <w:noBreakHyphen/>
              <w:t xml:space="preserve">allocated water system, it will result in an implicit (and expensive) transfer of water. Any infrastructure that improves reliability for one user will affect water availability for others. </w:t>
            </w:r>
            <w:r w:rsidR="00844C56">
              <w:t>In this case, the feasibility study identified that a larger storage on the Peel would lead to the water sharing plan cap becoming binding, reducing supplementary access (water extractions during infrequent high</w:t>
            </w:r>
            <w:r w:rsidR="00844C56">
              <w:noBreakHyphen/>
              <w:t xml:space="preserve">flow events) for Namoi River irrigators </w:t>
            </w:r>
            <w:r w:rsidR="00844C56" w:rsidRPr="00BA67A2">
              <w:rPr>
                <w:rFonts w:cs="Arial"/>
                <w:szCs w:val="24"/>
              </w:rPr>
              <w:t>(GHD 2017, p. 19)</w:t>
            </w:r>
            <w:r w:rsidR="00844C56">
              <w:t>.</w:t>
            </w:r>
          </w:p>
        </w:tc>
      </w:tr>
      <w:tr w:rsidR="00844C56" w14:paraId="2FB953B7" w14:textId="77777777" w:rsidTr="00C34B63">
        <w:tc>
          <w:tcPr>
            <w:tcW w:w="5000" w:type="pct"/>
            <w:tcBorders>
              <w:top w:val="nil"/>
              <w:left w:val="nil"/>
              <w:bottom w:val="nil"/>
              <w:right w:val="nil"/>
            </w:tcBorders>
            <w:shd w:val="clear" w:color="auto" w:fill="F2F2F2"/>
          </w:tcPr>
          <w:p w14:paraId="5E244008" w14:textId="04D4443F" w:rsidR="00844C56" w:rsidRDefault="00844C56" w:rsidP="0015616D">
            <w:pPr>
              <w:pStyle w:val="Note"/>
              <w:spacing w:line="260" w:lineRule="exact"/>
            </w:pPr>
            <w:r>
              <w:rPr>
                <w:rStyle w:val="NoteLabel"/>
              </w:rPr>
              <w:t>a </w:t>
            </w:r>
            <w:r w:rsidR="00CE226F">
              <w:t xml:space="preserve">Based on 75 per cent reliability and a Peel </w:t>
            </w:r>
            <w:r w:rsidR="00CE226F" w:rsidRPr="00987C1C">
              <w:t xml:space="preserve">General Security entitlement </w:t>
            </w:r>
            <w:r w:rsidR="00CE226F">
              <w:t>price of $134</w:t>
            </w:r>
            <w:r w:rsidR="000A2A74">
              <w:t>1</w:t>
            </w:r>
            <w:r w:rsidR="00CE226F">
              <w:t>/ML</w:t>
            </w:r>
            <w:r w:rsidR="000E766A">
              <w:t xml:space="preserve">, and a maximum potential shortfall of 5.5 GL by 2065 </w:t>
            </w:r>
            <w:r w:rsidR="009564F3" w:rsidRPr="009564F3">
              <w:rPr>
                <w:rFonts w:cs="Arial"/>
                <w:szCs w:val="24"/>
              </w:rPr>
              <w:t>(GHD 2017, p. 6)</w:t>
            </w:r>
            <w:r w:rsidR="00CE226F">
              <w:t>.</w:t>
            </w:r>
            <w:r>
              <w:t xml:space="preserve"> </w:t>
            </w:r>
            <w:r w:rsidRPr="00134B62">
              <w:rPr>
                <w:rStyle w:val="NoteLabel"/>
              </w:rPr>
              <w:t>b</w:t>
            </w:r>
            <w:r>
              <w:rPr>
                <w:rStyle w:val="NoteLabel"/>
              </w:rPr>
              <w:t> </w:t>
            </w:r>
            <w:r w:rsidRPr="00393782">
              <w:t>Weight</w:t>
            </w:r>
            <w:r>
              <w:t>ed average 2018</w:t>
            </w:r>
            <w:r>
              <w:noBreakHyphen/>
              <w:t xml:space="preserve">19 Peel General Security entitlement price </w:t>
            </w:r>
            <w:r w:rsidRPr="00393782">
              <w:rPr>
                <w:rFonts w:cs="Arial"/>
                <w:szCs w:val="24"/>
              </w:rPr>
              <w:t>(</w:t>
            </w:r>
            <w:proofErr w:type="spellStart"/>
            <w:r w:rsidRPr="00393782">
              <w:rPr>
                <w:rFonts w:cs="Arial"/>
                <w:szCs w:val="24"/>
              </w:rPr>
              <w:t>Aither</w:t>
            </w:r>
            <w:proofErr w:type="spellEnd"/>
            <w:r w:rsidRPr="00393782">
              <w:rPr>
                <w:rFonts w:cs="Arial"/>
                <w:szCs w:val="24"/>
              </w:rPr>
              <w:t> 2019)</w:t>
            </w:r>
            <w:r>
              <w:t>.</w:t>
            </w:r>
          </w:p>
        </w:tc>
      </w:tr>
      <w:tr w:rsidR="005F5FB5" w14:paraId="291049AC" w14:textId="77777777" w:rsidTr="00C34B63">
        <w:tc>
          <w:tcPr>
            <w:tcW w:w="5000" w:type="pct"/>
            <w:tcBorders>
              <w:top w:val="nil"/>
              <w:left w:val="nil"/>
              <w:bottom w:val="single" w:sz="6" w:space="0" w:color="78A22F"/>
              <w:right w:val="nil"/>
            </w:tcBorders>
            <w:shd w:val="clear" w:color="auto" w:fill="F2F2F2"/>
          </w:tcPr>
          <w:p w14:paraId="73CD6107" w14:textId="77777777" w:rsidR="005F5FB5" w:rsidRDefault="005F5FB5" w:rsidP="00C34B63">
            <w:pPr>
              <w:pStyle w:val="Box"/>
              <w:spacing w:before="0" w:line="120" w:lineRule="exact"/>
            </w:pPr>
          </w:p>
        </w:tc>
      </w:tr>
      <w:tr w:rsidR="005F5FB5" w:rsidRPr="000863A5" w14:paraId="6C50CCB0" w14:textId="77777777" w:rsidTr="00C34B63">
        <w:tc>
          <w:tcPr>
            <w:tcW w:w="5000" w:type="pct"/>
            <w:tcBorders>
              <w:top w:val="single" w:sz="6" w:space="0" w:color="78A22F"/>
              <w:left w:val="nil"/>
              <w:bottom w:val="nil"/>
              <w:right w:val="nil"/>
            </w:tcBorders>
          </w:tcPr>
          <w:p w14:paraId="70E71656" w14:textId="7A90C35E" w:rsidR="005F5FB5" w:rsidRPr="00626D32" w:rsidRDefault="005F5FB5" w:rsidP="00C34B63">
            <w:pPr>
              <w:pStyle w:val="BoxSpaceBelow"/>
            </w:pPr>
          </w:p>
        </w:tc>
      </w:tr>
    </w:tbl>
    <w:p w14:paraId="03ACE002" w14:textId="1FBD1629" w:rsidR="00DF0917" w:rsidRDefault="00DF0917" w:rsidP="00DF0917">
      <w:pPr>
        <w:pStyle w:val="BodyText"/>
      </w:pPr>
      <w:r>
        <w:lastRenderedPageBreak/>
        <w:t xml:space="preserve">The creation of a dedicated Australian </w:t>
      </w:r>
      <w:r w:rsidR="0015616D">
        <w:t>G</w:t>
      </w:r>
      <w:r>
        <w:t xml:space="preserve">overnment body to assess water infrastructure projects suggests that future decisions will face greater scrutiny to avoid similar shortcomings. Future Australian Government water infrastructure funding commitments are expected to be subject to the NWGA’s </w:t>
      </w:r>
      <w:r w:rsidRPr="004A101A">
        <w:rPr>
          <w:i/>
        </w:rPr>
        <w:t>Investment Policy Framework</w:t>
      </w:r>
      <w:r>
        <w:t>, published in October 2020 (box 4). Many aspects of this framework represent improvements in project assessment and selection processes that, if implemented, will address some of these shortcomings for future government funding commitments.</w:t>
      </w:r>
    </w:p>
    <w:p w14:paraId="6C809533" w14:textId="638A2F3F" w:rsidR="00730D78" w:rsidRDefault="00730D78" w:rsidP="00730D7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30D78" w14:paraId="4C0D67A5" w14:textId="77777777" w:rsidTr="005A4314">
        <w:trPr>
          <w:tblHeader/>
        </w:trPr>
        <w:tc>
          <w:tcPr>
            <w:tcW w:w="5000" w:type="pct"/>
            <w:tcBorders>
              <w:top w:val="single" w:sz="6" w:space="0" w:color="78A22F"/>
              <w:left w:val="nil"/>
              <w:bottom w:val="nil"/>
              <w:right w:val="nil"/>
            </w:tcBorders>
            <w:shd w:val="clear" w:color="auto" w:fill="F2F2F2"/>
          </w:tcPr>
          <w:p w14:paraId="1BE8C655" w14:textId="77777777" w:rsidR="00730D78" w:rsidRDefault="00730D78" w:rsidP="005A4314">
            <w:pPr>
              <w:pStyle w:val="BoxTitle"/>
            </w:pPr>
            <w:r>
              <w:rPr>
                <w:b w:val="0"/>
              </w:rPr>
              <w:t>Box 4</w:t>
            </w:r>
            <w:r>
              <w:tab/>
              <w:t>Principles of the NWGA Investment Policy Framework</w:t>
            </w:r>
          </w:p>
        </w:tc>
      </w:tr>
      <w:tr w:rsidR="00730D78" w14:paraId="1E3660D6" w14:textId="77777777" w:rsidTr="005A4314">
        <w:tc>
          <w:tcPr>
            <w:tcW w:w="5000" w:type="pct"/>
            <w:tcBorders>
              <w:top w:val="nil"/>
              <w:left w:val="nil"/>
              <w:bottom w:val="nil"/>
              <w:right w:val="nil"/>
            </w:tcBorders>
            <w:shd w:val="clear" w:color="auto" w:fill="F2F2F2"/>
          </w:tcPr>
          <w:p w14:paraId="394E0AB2" w14:textId="02160D7A" w:rsidR="00730D78" w:rsidRDefault="00730D78" w:rsidP="005A4314">
            <w:pPr>
              <w:pStyle w:val="BoxListNumber"/>
              <w:numPr>
                <w:ilvl w:val="0"/>
                <w:numId w:val="27"/>
              </w:numPr>
            </w:pPr>
            <w:r w:rsidRPr="00EA0228">
              <w:t>Projects should be of demonstrable public benefit and have a national interest element, including through securing the nation</w:t>
            </w:r>
            <w:r w:rsidR="00011902">
              <w:t>’</w:t>
            </w:r>
            <w:r w:rsidRPr="00EA0228">
              <w:t xml:space="preserve">s water security, building resilience to future drought, supporting primary </w:t>
            </w:r>
            <w:proofErr w:type="gramStart"/>
            <w:r w:rsidRPr="00EA0228">
              <w:t>industries</w:t>
            </w:r>
            <w:proofErr w:type="gramEnd"/>
            <w:r w:rsidRPr="00EA0228">
              <w:t xml:space="preserve"> and promoting regional prosperity, including through the creation of jobs.</w:t>
            </w:r>
          </w:p>
          <w:p w14:paraId="01FD1BC5" w14:textId="77777777" w:rsidR="00730D78" w:rsidRDefault="00730D78" w:rsidP="005A4314">
            <w:pPr>
              <w:pStyle w:val="BoxListNumber"/>
            </w:pPr>
            <w:r w:rsidRPr="00EA0228">
              <w:t>There must be strong State support including funding contributions, and involvement of the private sector and local government, where appropriate.</w:t>
            </w:r>
          </w:p>
          <w:p w14:paraId="661F0485" w14:textId="77777777" w:rsidR="00730D78" w:rsidRDefault="00730D78" w:rsidP="005A4314">
            <w:pPr>
              <w:pStyle w:val="BoxListNumber"/>
            </w:pPr>
            <w:r w:rsidRPr="00EA0228">
              <w:t xml:space="preserve">The investment should provide the highest net benefit of all options available to increase access to water, </w:t>
            </w:r>
            <w:proofErr w:type="gramStart"/>
            <w:r w:rsidRPr="00EA0228">
              <w:t>taking into account</w:t>
            </w:r>
            <w:proofErr w:type="gramEnd"/>
            <w:r w:rsidRPr="00EA0228">
              <w:t xml:space="preserve"> economic, social and environmental impacts.</w:t>
            </w:r>
          </w:p>
          <w:p w14:paraId="4EFD45BF" w14:textId="77777777" w:rsidR="00730D78" w:rsidRDefault="00730D78" w:rsidP="005A4314">
            <w:pPr>
              <w:pStyle w:val="BoxListNumber"/>
            </w:pPr>
            <w:r w:rsidRPr="00EA0228">
              <w:t>Projects should look to address circumstances which cannot be effectively addressed by private proponents, states or territories or other stakeholders alone.</w:t>
            </w:r>
          </w:p>
          <w:p w14:paraId="6569A2A7" w14:textId="77777777" w:rsidR="00730D78" w:rsidRDefault="00730D78" w:rsidP="005A4314">
            <w:pPr>
              <w:pStyle w:val="BoxListNumber"/>
            </w:pPr>
            <w:r w:rsidRPr="00EA0228">
              <w:t>Projects should align with the National Water Initiative principles including appropriate cost recovery, and where full cost recovery is not deemed feasible, any subsidies are fully transparent.</w:t>
            </w:r>
          </w:p>
          <w:p w14:paraId="2091BA96" w14:textId="77777777" w:rsidR="00730D78" w:rsidRDefault="00730D78" w:rsidP="005A4314">
            <w:pPr>
              <w:pStyle w:val="BoxListNumber"/>
            </w:pPr>
            <w:r w:rsidRPr="00EA0228">
              <w:t xml:space="preserve">If providing capital, a consistent, robust analysis of costs and benefits is </w:t>
            </w:r>
            <w:proofErr w:type="gramStart"/>
            <w:r w:rsidRPr="00EA0228">
              <w:t>used</w:t>
            </w:r>
            <w:proofErr w:type="gramEnd"/>
            <w:r w:rsidRPr="00EA0228">
              <w:t xml:space="preserve"> and assessment of appropriate funding and financing arrangements is undertaken.</w:t>
            </w:r>
          </w:p>
          <w:p w14:paraId="11AFBEC6" w14:textId="77777777" w:rsidR="00730D78" w:rsidRDefault="00730D78" w:rsidP="005A4314">
            <w:pPr>
              <w:pStyle w:val="BoxListNumber"/>
            </w:pPr>
            <w:r w:rsidRPr="00EA0228">
              <w:t>Earlier involvement in project identification and development, including through the NWGA’s science program, support for business case development, and close collaboration with states</w:t>
            </w:r>
            <w:r>
              <w:t xml:space="preserve"> </w:t>
            </w:r>
            <w:r w:rsidRPr="00EA0228">
              <w:t>and territories</w:t>
            </w:r>
            <w:r>
              <w:t xml:space="preserve"> </w:t>
            </w:r>
            <w:r w:rsidRPr="00EA0228">
              <w:t>and other project proponents.</w:t>
            </w:r>
          </w:p>
        </w:tc>
      </w:tr>
      <w:tr w:rsidR="00730D78" w14:paraId="2138B834" w14:textId="77777777" w:rsidTr="005A4314">
        <w:tc>
          <w:tcPr>
            <w:tcW w:w="5000" w:type="pct"/>
            <w:tcBorders>
              <w:top w:val="nil"/>
              <w:left w:val="nil"/>
              <w:bottom w:val="nil"/>
              <w:right w:val="nil"/>
            </w:tcBorders>
            <w:shd w:val="clear" w:color="auto" w:fill="F2F2F2"/>
          </w:tcPr>
          <w:p w14:paraId="272DC058" w14:textId="2D67B1F8" w:rsidR="00730D78" w:rsidRDefault="00730D78" w:rsidP="00F11A60">
            <w:pPr>
              <w:pStyle w:val="BoxSource"/>
            </w:pPr>
            <w:r>
              <w:rPr>
                <w:i/>
              </w:rPr>
              <w:t>Source</w:t>
            </w:r>
            <w:r w:rsidRPr="00167F06">
              <w:t>:</w:t>
            </w:r>
            <w:r>
              <w:t xml:space="preserve"> NWGA </w:t>
            </w:r>
            <w:r w:rsidR="00F11A60" w:rsidRPr="00F11A60">
              <w:rPr>
                <w:rFonts w:cs="Arial"/>
                <w:szCs w:val="24"/>
              </w:rPr>
              <w:t>(2020b, p. 4)</w:t>
            </w:r>
            <w:r>
              <w:t>.</w:t>
            </w:r>
          </w:p>
        </w:tc>
      </w:tr>
      <w:tr w:rsidR="00730D78" w14:paraId="3A369F19" w14:textId="77777777" w:rsidTr="005A4314">
        <w:tc>
          <w:tcPr>
            <w:tcW w:w="5000" w:type="pct"/>
            <w:tcBorders>
              <w:top w:val="nil"/>
              <w:left w:val="nil"/>
              <w:bottom w:val="single" w:sz="6" w:space="0" w:color="78A22F"/>
              <w:right w:val="nil"/>
            </w:tcBorders>
            <w:shd w:val="clear" w:color="auto" w:fill="F2F2F2"/>
          </w:tcPr>
          <w:p w14:paraId="17FF5A44" w14:textId="77777777" w:rsidR="00730D78" w:rsidRDefault="00730D78" w:rsidP="005A4314">
            <w:pPr>
              <w:pStyle w:val="Box"/>
              <w:spacing w:before="0" w:line="120" w:lineRule="exact"/>
            </w:pPr>
          </w:p>
        </w:tc>
      </w:tr>
      <w:tr w:rsidR="00730D78" w:rsidRPr="000863A5" w14:paraId="0C9DA5FC" w14:textId="77777777" w:rsidTr="005A4314">
        <w:tc>
          <w:tcPr>
            <w:tcW w:w="5000" w:type="pct"/>
            <w:tcBorders>
              <w:top w:val="single" w:sz="6" w:space="0" w:color="78A22F"/>
              <w:left w:val="nil"/>
              <w:bottom w:val="nil"/>
              <w:right w:val="nil"/>
            </w:tcBorders>
          </w:tcPr>
          <w:p w14:paraId="5C8244FE" w14:textId="77777777" w:rsidR="00730D78" w:rsidRPr="00626D32" w:rsidRDefault="00730D78" w:rsidP="005A4314">
            <w:pPr>
              <w:pStyle w:val="BoxSpaceBelow"/>
            </w:pPr>
          </w:p>
        </w:tc>
      </w:tr>
    </w:tbl>
    <w:p w14:paraId="11909529" w14:textId="004C4125" w:rsidR="004A101A" w:rsidRDefault="004A101A" w:rsidP="004A101A">
      <w:pPr>
        <w:pStyle w:val="BodyText"/>
      </w:pPr>
      <w:r>
        <w:t xml:space="preserve">However, of the $3.5 billion made available by the Australian Government under the NWIDF, more than $1.5 billion has (as of </w:t>
      </w:r>
      <w:r w:rsidR="00E2355B">
        <w:t>11 </w:t>
      </w:r>
      <w:r>
        <w:t xml:space="preserve">November 2020) already been committed, with about $470 million reflecting completed projects or projects under contract, and a further $1 billion committed to projects in the planning stage </w:t>
      </w:r>
      <w:r w:rsidR="00F11A60" w:rsidRPr="00F11A60">
        <w:rPr>
          <w:szCs w:val="24"/>
        </w:rPr>
        <w:t>(NWGA 2020c)</w:t>
      </w:r>
      <w:r>
        <w:t>. The Commission’s assessment found that many of these projects have unviable or marginal benefit–cost ratios, and some do not have completed business cases.</w:t>
      </w:r>
    </w:p>
    <w:p w14:paraId="7DE69B2C" w14:textId="45BBAC20" w:rsidR="004924BE" w:rsidRPr="003F7402" w:rsidRDefault="00242FEA" w:rsidP="004A101A">
      <w:pPr>
        <w:pStyle w:val="Heading3"/>
        <w:spacing w:before="360"/>
        <w:rPr>
          <w:spacing w:val="-2"/>
        </w:rPr>
      </w:pPr>
      <w:bookmarkStart w:id="12" w:name="_Toc62628683"/>
      <w:r>
        <w:rPr>
          <w:spacing w:val="-2"/>
        </w:rPr>
        <w:t>2.2</w:t>
      </w:r>
      <w:r>
        <w:rPr>
          <w:spacing w:val="-2"/>
        </w:rPr>
        <w:tab/>
      </w:r>
      <w:r w:rsidR="006F3C01" w:rsidRPr="003F7402">
        <w:rPr>
          <w:spacing w:val="-2"/>
        </w:rPr>
        <w:t xml:space="preserve">The case for </w:t>
      </w:r>
      <w:r w:rsidR="003E51D9" w:rsidRPr="003F7402">
        <w:rPr>
          <w:spacing w:val="-2"/>
        </w:rPr>
        <w:t xml:space="preserve">rural </w:t>
      </w:r>
      <w:r w:rsidR="00C504D2" w:rsidRPr="003F7402">
        <w:rPr>
          <w:spacing w:val="-2"/>
        </w:rPr>
        <w:t xml:space="preserve">water infrastructure </w:t>
      </w:r>
      <w:r w:rsidR="00CE7ECD">
        <w:rPr>
          <w:spacing w:val="-2"/>
        </w:rPr>
        <w:t xml:space="preserve">subsidies </w:t>
      </w:r>
      <w:r w:rsidR="006F3C01" w:rsidRPr="003F7402">
        <w:rPr>
          <w:spacing w:val="-2"/>
        </w:rPr>
        <w:t xml:space="preserve">is </w:t>
      </w:r>
      <w:r w:rsidR="00CE7ECD">
        <w:rPr>
          <w:spacing w:val="-2"/>
        </w:rPr>
        <w:t xml:space="preserve">not </w:t>
      </w:r>
      <w:proofErr w:type="gramStart"/>
      <w:r w:rsidR="006F3C01" w:rsidRPr="003F7402">
        <w:rPr>
          <w:spacing w:val="-2"/>
        </w:rPr>
        <w:t>clear</w:t>
      </w:r>
      <w:bookmarkEnd w:id="12"/>
      <w:proofErr w:type="gramEnd"/>
    </w:p>
    <w:p w14:paraId="59B2E3D7" w14:textId="5227849C" w:rsidR="001671F4" w:rsidRDefault="00C2310E" w:rsidP="00073FAC">
      <w:pPr>
        <w:pStyle w:val="BodyText"/>
      </w:pPr>
      <w:r>
        <w:t xml:space="preserve">In principle, government infrastructure funding can be warranted where projects </w:t>
      </w:r>
      <w:r w:rsidR="0010780D">
        <w:t>generate</w:t>
      </w:r>
      <w:r>
        <w:t xml:space="preserve"> public </w:t>
      </w:r>
      <w:r w:rsidR="0010780D">
        <w:t xml:space="preserve">benefits </w:t>
      </w:r>
      <w:r>
        <w:t xml:space="preserve">— </w:t>
      </w:r>
      <w:r w:rsidR="001C61DC">
        <w:t>for example</w:t>
      </w:r>
      <w:r>
        <w:t>, where non</w:t>
      </w:r>
      <w:r>
        <w:noBreakHyphen/>
        <w:t>users receive economic benefits from the infrastructure</w:t>
      </w:r>
      <w:r w:rsidR="001C61DC">
        <w:t xml:space="preserve"> (indirect beneficiaries), or where it would be too costly (or inequitable) to identify and charge each individual user</w:t>
      </w:r>
      <w:r>
        <w:t xml:space="preserve">. </w:t>
      </w:r>
      <w:r w:rsidR="00A43B7B">
        <w:t xml:space="preserve">The </w:t>
      </w:r>
      <w:r w:rsidR="000B5C35">
        <w:t>presence</w:t>
      </w:r>
      <w:r w:rsidR="00A43B7B">
        <w:t xml:space="preserve"> of public benefits</w:t>
      </w:r>
      <w:r w:rsidR="001C61DC">
        <w:t xml:space="preserve"> </w:t>
      </w:r>
      <w:r>
        <w:t xml:space="preserve">may lead to </w:t>
      </w:r>
      <w:r w:rsidR="001C61DC">
        <w:t>under</w:t>
      </w:r>
      <w:r w:rsidR="001C61DC">
        <w:noBreakHyphen/>
      </w:r>
      <w:r>
        <w:t xml:space="preserve">provision of </w:t>
      </w:r>
      <w:r w:rsidR="001C61DC">
        <w:t>otherwise</w:t>
      </w:r>
      <w:r>
        <w:t xml:space="preserve"> worthwhile infrastructure if </w:t>
      </w:r>
      <w:r w:rsidR="00A43B7B">
        <w:t xml:space="preserve">investment funding is </w:t>
      </w:r>
      <w:r>
        <w:t xml:space="preserve">left solely </w:t>
      </w:r>
      <w:r>
        <w:lastRenderedPageBreak/>
        <w:t xml:space="preserve">to the private sector </w:t>
      </w:r>
      <w:r w:rsidR="001C61DC" w:rsidRPr="001C61DC">
        <w:rPr>
          <w:szCs w:val="24"/>
        </w:rPr>
        <w:t>(PC 2014, p. 110)</w:t>
      </w:r>
      <w:r w:rsidR="001C61DC">
        <w:t>.</w:t>
      </w:r>
      <w:r w:rsidR="00073FAC">
        <w:t xml:space="preserve"> Similarly, i</w:t>
      </w:r>
      <w:r w:rsidR="005F296D">
        <w:t>n cases of high</w:t>
      </w:r>
      <w:r w:rsidR="005F296D">
        <w:noBreakHyphen/>
        <w:t xml:space="preserve">cost regional urban </w:t>
      </w:r>
      <w:r w:rsidR="000B5C35">
        <w:t xml:space="preserve">water </w:t>
      </w:r>
      <w:r w:rsidR="005F296D">
        <w:t xml:space="preserve">supply, </w:t>
      </w:r>
      <w:r w:rsidR="00B66D50">
        <w:t xml:space="preserve">a degree of government funding </w:t>
      </w:r>
      <w:r w:rsidR="005F296D">
        <w:t xml:space="preserve">may be justified </w:t>
      </w:r>
      <w:r w:rsidR="00E86765">
        <w:t xml:space="preserve">on equity grounds </w:t>
      </w:r>
      <w:r w:rsidR="005F296D">
        <w:t xml:space="preserve">to </w:t>
      </w:r>
      <w:r w:rsidR="00750C14">
        <w:t xml:space="preserve">ensure access to </w:t>
      </w:r>
      <w:r w:rsidR="00631B48">
        <w:t>a basic essential service</w:t>
      </w:r>
      <w:r w:rsidR="00B66D50">
        <w:t xml:space="preserve"> (</w:t>
      </w:r>
      <w:r w:rsidR="008D074E">
        <w:t>SP</w:t>
      </w:r>
      <w:r w:rsidR="00FB1D2B">
        <w:t> </w:t>
      </w:r>
      <w:r w:rsidR="00E215CF" w:rsidRPr="00E215CF">
        <w:t>G </w:t>
      </w:r>
      <w:r w:rsidR="00E215CF" w:rsidRPr="00E215CF">
        <w:rPr>
          <w:i/>
        </w:rPr>
        <w:t>Regional</w:t>
      </w:r>
      <w:r w:rsidR="00B66D50">
        <w:t>)</w:t>
      </w:r>
      <w:r w:rsidR="005F296D">
        <w:t>.</w:t>
      </w:r>
    </w:p>
    <w:p w14:paraId="196AC096" w14:textId="2342D457" w:rsidR="00073FAC" w:rsidRDefault="00073FAC" w:rsidP="00073FAC">
      <w:pPr>
        <w:pStyle w:val="BodyText"/>
      </w:pPr>
      <w:r>
        <w:t xml:space="preserve">In </w:t>
      </w:r>
      <w:r w:rsidR="00E7673A">
        <w:t xml:space="preserve">those </w:t>
      </w:r>
      <w:r w:rsidR="00CE7ECD">
        <w:t>case</w:t>
      </w:r>
      <w:r w:rsidR="00E7673A">
        <w:t>s</w:t>
      </w:r>
      <w:r>
        <w:t xml:space="preserve">, </w:t>
      </w:r>
      <w:r w:rsidR="00CE7ECD">
        <w:t xml:space="preserve">a government subsidy for a share of </w:t>
      </w:r>
      <w:r w:rsidR="00515F38">
        <w:t xml:space="preserve">infrastructure </w:t>
      </w:r>
      <w:r>
        <w:t>costs</w:t>
      </w:r>
      <w:r w:rsidR="00CE7ECD">
        <w:t xml:space="preserve"> can be warranted</w:t>
      </w:r>
      <w:r>
        <w:t>.</w:t>
      </w:r>
    </w:p>
    <w:p w14:paraId="045FA15C" w14:textId="2BA2021C" w:rsidR="00870E5A" w:rsidRPr="00011902" w:rsidRDefault="00CE226F" w:rsidP="00870E5A">
      <w:pPr>
        <w:pStyle w:val="BodyText"/>
        <w:keepNext/>
      </w:pPr>
      <w:bookmarkStart w:id="13" w:name="_Hlk59092111"/>
      <w:r>
        <w:t>However</w:t>
      </w:r>
      <w:r w:rsidR="00870E5A">
        <w:t xml:space="preserve">, </w:t>
      </w:r>
      <w:r w:rsidR="009E2B68">
        <w:t>t</w:t>
      </w:r>
      <w:r w:rsidR="00870E5A" w:rsidRPr="00B66D50">
        <w:t xml:space="preserve">he NWGA’s </w:t>
      </w:r>
      <w:r w:rsidR="00870E5A" w:rsidRPr="000B5C35">
        <w:rPr>
          <w:i/>
        </w:rPr>
        <w:t xml:space="preserve">Investment Policy </w:t>
      </w:r>
      <w:proofErr w:type="gramStart"/>
      <w:r w:rsidR="00870E5A" w:rsidRPr="000B5C35">
        <w:rPr>
          <w:i/>
        </w:rPr>
        <w:t>Framework</w:t>
      </w:r>
      <w:r w:rsidR="00870E5A" w:rsidRPr="00B66D50">
        <w:t xml:space="preserve">  </w:t>
      </w:r>
      <w:r w:rsidR="00870E5A">
        <w:t>takes</w:t>
      </w:r>
      <w:proofErr w:type="gramEnd"/>
      <w:r w:rsidR="00870E5A">
        <w:t xml:space="preserve"> a broader view</w:t>
      </w:r>
      <w:r w:rsidR="00E7673A">
        <w:t xml:space="preserve"> of the rationale for government investment</w:t>
      </w:r>
      <w:r w:rsidR="009E2B68">
        <w:t xml:space="preserve"> in major water infrastructure</w:t>
      </w:r>
      <w:r w:rsidR="00E2355B">
        <w:t xml:space="preserve"> (</w:t>
      </w:r>
      <w:r w:rsidR="00E2355B" w:rsidRPr="003A2F39">
        <w:t>box 4: principle 1</w:t>
      </w:r>
      <w:r w:rsidR="00E2355B">
        <w:t>)</w:t>
      </w:r>
      <w:r w:rsidR="004A101A">
        <w:t xml:space="preserve">. </w:t>
      </w:r>
      <w:proofErr w:type="gramStart"/>
      <w:r w:rsidR="004A101A">
        <w:t>Reflecting the objectives of the National Water Grid (box 1)</w:t>
      </w:r>
      <w:r w:rsidR="008C39D1">
        <w:t xml:space="preserve">, </w:t>
      </w:r>
      <w:r w:rsidR="004A101A">
        <w:t>there</w:t>
      </w:r>
      <w:proofErr w:type="gramEnd"/>
      <w:r w:rsidR="004A101A">
        <w:t xml:space="preserve"> is </w:t>
      </w:r>
      <w:r w:rsidR="008C39D1">
        <w:t xml:space="preserve">an emphasis </w:t>
      </w:r>
      <w:r w:rsidR="004A101A">
        <w:t xml:space="preserve">on investments that support </w:t>
      </w:r>
      <w:r w:rsidR="008C39D1">
        <w:t>regional development</w:t>
      </w:r>
      <w:r w:rsidR="00E7673A">
        <w:t xml:space="preserve">. </w:t>
      </w:r>
      <w:r w:rsidR="004A101A">
        <w:t xml:space="preserve">The NWGA </w:t>
      </w:r>
      <w:r w:rsidR="00F11A60" w:rsidRPr="00F11A60">
        <w:rPr>
          <w:szCs w:val="24"/>
        </w:rPr>
        <w:t>(2020b, p. 4)</w:t>
      </w:r>
      <w:r w:rsidR="004A101A">
        <w:t xml:space="preserve"> </w:t>
      </w:r>
      <w:r w:rsidR="00870E5A">
        <w:t xml:space="preserve">will consider Australian </w:t>
      </w:r>
      <w:r w:rsidR="0015757E">
        <w:t>g</w:t>
      </w:r>
      <w:r w:rsidR="00870E5A">
        <w:t xml:space="preserve">overnment </w:t>
      </w:r>
      <w:r w:rsidR="00870E5A" w:rsidRPr="00B66D50">
        <w:t>fund</w:t>
      </w:r>
      <w:r w:rsidR="00870E5A">
        <w:t>ing for</w:t>
      </w:r>
      <w:r w:rsidR="00870E5A" w:rsidRPr="00B66D50">
        <w:t xml:space="preserve"> projects that are:</w:t>
      </w:r>
    </w:p>
    <w:p w14:paraId="63BE08CE" w14:textId="582BA02E" w:rsidR="00870E5A" w:rsidRPr="00011902" w:rsidRDefault="00870E5A" w:rsidP="00870E5A">
      <w:pPr>
        <w:pStyle w:val="Quote"/>
      </w:pPr>
      <w:r>
        <w:t>… </w:t>
      </w:r>
      <w:r w:rsidRPr="00EA0228">
        <w:t>of demonstrable public benefit and have a national interest element, including through securing the nation</w:t>
      </w:r>
      <w:r w:rsidR="00011902">
        <w:t>’</w:t>
      </w:r>
      <w:r w:rsidRPr="00EA0228">
        <w:t xml:space="preserve">s water security, building resilience to future drought, supporting primary </w:t>
      </w:r>
      <w:proofErr w:type="gramStart"/>
      <w:r w:rsidRPr="00EA0228">
        <w:t>industries</w:t>
      </w:r>
      <w:proofErr w:type="gramEnd"/>
      <w:r w:rsidRPr="00EA0228">
        <w:t xml:space="preserve"> and promoting regional prosperity, including through the creation of jobs</w:t>
      </w:r>
      <w:r>
        <w:t>.</w:t>
      </w:r>
    </w:p>
    <w:bookmarkEnd w:id="13"/>
    <w:p w14:paraId="13727769" w14:textId="6522258E" w:rsidR="00870E5A" w:rsidRDefault="00870E5A" w:rsidP="00712E20">
      <w:pPr>
        <w:pStyle w:val="BodyText"/>
        <w:keepNext/>
      </w:pPr>
      <w:r>
        <w:t xml:space="preserve">Under their </w:t>
      </w:r>
      <w:r w:rsidR="00E7673A">
        <w:t>investment principles</w:t>
      </w:r>
      <w:r>
        <w:t>,</w:t>
      </w:r>
      <w:r w:rsidR="008C39D1">
        <w:t xml:space="preserve"> the NWGA also considers that</w:t>
      </w:r>
      <w:r>
        <w:t xml:space="preserve"> Australian government involvement can </w:t>
      </w:r>
      <w:r w:rsidR="00712E20">
        <w:t xml:space="preserve">be </w:t>
      </w:r>
      <w:r>
        <w:t>justified</w:t>
      </w:r>
      <w:r w:rsidR="00712E20">
        <w:t xml:space="preserve"> to </w:t>
      </w:r>
      <w:r w:rsidR="00E7673A">
        <w:t>‘</w:t>
      </w:r>
      <w:r w:rsidR="00712E20">
        <w:t>address circumstances which cannot be effectively addressed by private proponents, states or territories or other stakeholders alone’</w:t>
      </w:r>
      <w:r w:rsidR="00E7673A">
        <w:t xml:space="preserve"> </w:t>
      </w:r>
      <w:r w:rsidR="00E2355B">
        <w:t>(box 4: principle 4)</w:t>
      </w:r>
      <w:r w:rsidR="00712E20">
        <w:t>.</w:t>
      </w:r>
    </w:p>
    <w:p w14:paraId="59E15218" w14:textId="0585090E" w:rsidR="00290C26" w:rsidRDefault="00CE226F" w:rsidP="00CE7ECD">
      <w:pPr>
        <w:pStyle w:val="BodyText"/>
        <w:keepNext/>
      </w:pPr>
      <w:bookmarkStart w:id="14" w:name="_Hlk59092134"/>
      <w:r>
        <w:t>Generally, funding major infrastructure for the benefit of irrigated agriculture amounts to subsidising a commercial operation and undermines the NWI user</w:t>
      </w:r>
      <w:r>
        <w:noBreakHyphen/>
        <w:t>pays principle.</w:t>
      </w:r>
      <w:r w:rsidR="00631B48">
        <w:t xml:space="preserve"> </w:t>
      </w:r>
      <w:r w:rsidR="00870E5A">
        <w:t xml:space="preserve">This is the case for both new developments, and for projects that aim to improve reliability for existing users. </w:t>
      </w:r>
      <w:r w:rsidR="0067497C">
        <w:t>A</w:t>
      </w:r>
      <w:r w:rsidR="005F296D">
        <w:t>s the Commission noted previously:</w:t>
      </w:r>
    </w:p>
    <w:bookmarkEnd w:id="14"/>
    <w:p w14:paraId="5FDFEA91" w14:textId="20E41E36" w:rsidR="00290C26" w:rsidRDefault="00290C26" w:rsidP="00290C26">
      <w:pPr>
        <w:pStyle w:val="Quote"/>
      </w:pPr>
      <w:r>
        <w:t xml:space="preserve">Past irrigation infrastructure projects have been justified by private benefits captured by irrigators. The use of government grants to build such infrastructure results in the associated cost being borne by taxpayers even though they (as part of the broader community) receive little of the resultant benefits. </w:t>
      </w:r>
      <w:r w:rsidR="0000420D" w:rsidRPr="0000420D">
        <w:rPr>
          <w:szCs w:val="24"/>
        </w:rPr>
        <w:t>(PC 2017a, p. 279)</w:t>
      </w:r>
    </w:p>
    <w:p w14:paraId="6D011DA7" w14:textId="1612D097" w:rsidR="00BE7363" w:rsidRPr="00011902" w:rsidRDefault="00CE226F" w:rsidP="00E215D2">
      <w:pPr>
        <w:pStyle w:val="BodyText"/>
      </w:pPr>
      <w:bookmarkStart w:id="15" w:name="_Hlk59092157"/>
      <w:bookmarkEnd w:id="15"/>
      <w:r>
        <w:t xml:space="preserve">The NWGA framework excludes projects that supply water for the exclusive use of a private business or individual </w:t>
      </w:r>
      <w:r w:rsidR="00F11A60" w:rsidRPr="00F11A60">
        <w:rPr>
          <w:szCs w:val="24"/>
        </w:rPr>
        <w:t>(NWGA 2020b, p. 1)</w:t>
      </w:r>
      <w:r>
        <w:t xml:space="preserve">, and it does prioritise investments that ‘provide the highest net benefit of all options available to increase access to water, </w:t>
      </w:r>
      <w:proofErr w:type="gramStart"/>
      <w:r>
        <w:t>taking into account</w:t>
      </w:r>
      <w:proofErr w:type="gramEnd"/>
      <w:r>
        <w:t xml:space="preserve"> economic, social and environmental impacts</w:t>
      </w:r>
      <w:r w:rsidR="00A66BE2">
        <w:t>’</w:t>
      </w:r>
      <w:r w:rsidR="00BC34A2">
        <w:t xml:space="preserve"> (box </w:t>
      </w:r>
      <w:r w:rsidR="00E2355B">
        <w:t>4</w:t>
      </w:r>
      <w:r w:rsidR="00BC34A2">
        <w:t>: principle 3)</w:t>
      </w:r>
      <w:r>
        <w:t xml:space="preserve">. </w:t>
      </w:r>
      <w:r w:rsidR="00A66BE2">
        <w:t>While</w:t>
      </w:r>
      <w:r>
        <w:t xml:space="preserve"> selecting the option with the highest net benefit is good practice, </w:t>
      </w:r>
      <w:r w:rsidR="00590A15">
        <w:t xml:space="preserve">the framework </w:t>
      </w:r>
      <w:r>
        <w:t xml:space="preserve">does not require a </w:t>
      </w:r>
      <w:r>
        <w:rPr>
          <w:i/>
        </w:rPr>
        <w:t xml:space="preserve">positive </w:t>
      </w:r>
      <w:r>
        <w:t xml:space="preserve">net benefit. </w:t>
      </w:r>
      <w:r w:rsidR="00A66BE2">
        <w:t>Moreover, it excludes solutions that may address the investment objective through non</w:t>
      </w:r>
      <w:r w:rsidR="00011902">
        <w:noBreakHyphen/>
      </w:r>
      <w:r w:rsidR="00A66BE2">
        <w:t>water infrastructure means, such as inter</w:t>
      </w:r>
      <w:r w:rsidR="00A66BE2">
        <w:noBreakHyphen/>
        <w:t>sectoral trade, or changes to seasonal water allocation policies.</w:t>
      </w:r>
    </w:p>
    <w:p w14:paraId="195AF299" w14:textId="78D3B9ED" w:rsidR="00DF0917" w:rsidRDefault="00DF0917" w:rsidP="00DF0917">
      <w:pPr>
        <w:pStyle w:val="BodyText"/>
      </w:pPr>
      <w:bookmarkStart w:id="16" w:name="_Hlk60149649"/>
      <w:bookmarkStart w:id="17" w:name="_Hlk59092171"/>
      <w:r>
        <w:t>The NWGA framework may facilitate funding for projects that would not pass a strict economic viability test (based on delivering positive net benefits), because the framework’s broad ‘national interest’ test recognises some objectives, such as promoting regional prosperity (box 4</w:t>
      </w:r>
      <w:r w:rsidR="0065294C">
        <w:t>: principle 1</w:t>
      </w:r>
      <w:r>
        <w:t xml:space="preserve">), that would not be considered as part of that economic assessment. </w:t>
      </w:r>
      <w:bookmarkEnd w:id="16"/>
      <w:r>
        <w:t>These impacts are not included in a net benefit test as all public investment creates some flow</w:t>
      </w:r>
      <w:r>
        <w:noBreakHyphen/>
        <w:t>on economic impacts, but these often represent a transfer of resources and jobs between regions.</w:t>
      </w:r>
    </w:p>
    <w:p w14:paraId="5F86F231" w14:textId="5E87EE95" w:rsidR="00CE226F" w:rsidRDefault="00DF0917" w:rsidP="00DF0917">
      <w:pPr>
        <w:pStyle w:val="BodyText"/>
      </w:pPr>
      <w:r>
        <w:lastRenderedPageBreak/>
        <w:t>With governments looking to increase infrastructure spending, a ‘just add water’ approach assumes that increased access to water through new or expanded infrastructure</w:t>
      </w:r>
      <w:proofErr w:type="gramStart"/>
      <w:r>
        <w:t>, in itself, is</w:t>
      </w:r>
      <w:proofErr w:type="gramEnd"/>
      <w:r>
        <w:t xml:space="preserve"> a cost</w:t>
      </w:r>
      <w:r>
        <w:noBreakHyphen/>
        <w:t xml:space="preserve">effective way to deliver the government’s objective to </w:t>
      </w:r>
      <w:r w:rsidRPr="007D7D78">
        <w:t>promote regional development</w:t>
      </w:r>
      <w:r>
        <w:t xml:space="preserve">. The availability of Australian </w:t>
      </w:r>
      <w:r w:rsidR="007B5E94">
        <w:t>G</w:t>
      </w:r>
      <w:r>
        <w:t>overnment funding through the NWIDF and its broad public interest test risks biasing State and Territory priorities towards infrastructure solutions — ignoring other, more cost</w:t>
      </w:r>
      <w:r>
        <w:noBreakHyphen/>
        <w:t xml:space="preserve">effective means (outside of water infrastructure) to enable regional economic growth or improve water security. </w:t>
      </w:r>
    </w:p>
    <w:bookmarkEnd w:id="17"/>
    <w:p w14:paraId="5706369D" w14:textId="74DA5D13" w:rsidR="00CE226F" w:rsidRDefault="003C2714" w:rsidP="00CE226F">
      <w:pPr>
        <w:pStyle w:val="BodyText"/>
      </w:pPr>
      <w:r>
        <w:t xml:space="preserve">This approach </w:t>
      </w:r>
      <w:r w:rsidR="00CE226F">
        <w:t>also assumes that additional water will be put to productive use and generate employment — an assumption that is not always borne out.</w:t>
      </w:r>
      <w:r w:rsidR="00CE226F" w:rsidRPr="00F27690">
        <w:rPr>
          <w:rStyle w:val="FootnoteReference"/>
        </w:rPr>
        <w:footnoteReference w:id="6"/>
      </w:r>
      <w:r w:rsidR="00CE226F">
        <w:t xml:space="preserve"> The Commission’s 2017 analysis suggested that major irrigation infrastructure developments tended to create few jobs, and often at a high cost (</w:t>
      </w:r>
      <w:r w:rsidR="004B2E24">
        <w:t>table </w:t>
      </w:r>
      <w:r w:rsidR="004B2E24" w:rsidRPr="004B2E24">
        <w:t>1</w:t>
      </w:r>
      <w:r w:rsidR="00CE226F">
        <w:t>).</w:t>
      </w:r>
    </w:p>
    <w:p w14:paraId="7817BBF7" w14:textId="7D32AB2A" w:rsidR="004C3260" w:rsidRDefault="004C3260" w:rsidP="004C3260">
      <w:pPr>
        <w:pStyle w:val="BodyText"/>
        <w:keepNext/>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4C3260" w14:paraId="23563DFE" w14:textId="77777777" w:rsidTr="00541B5C">
        <w:trPr>
          <w:tblHeader/>
        </w:trPr>
        <w:tc>
          <w:tcPr>
            <w:tcW w:w="5000" w:type="pct"/>
            <w:tcBorders>
              <w:top w:val="single" w:sz="6" w:space="0" w:color="78A22F"/>
              <w:left w:val="nil"/>
              <w:bottom w:val="nil"/>
              <w:right w:val="nil"/>
            </w:tcBorders>
            <w:shd w:val="clear" w:color="auto" w:fill="auto"/>
          </w:tcPr>
          <w:p w14:paraId="3D05D201" w14:textId="0262DC8B" w:rsidR="004C3260" w:rsidRPr="0048734A" w:rsidRDefault="004C3260" w:rsidP="004B2E24">
            <w:pPr>
              <w:pStyle w:val="TableTitle"/>
              <w:rPr>
                <w:rStyle w:val="DraftingNote"/>
                <w:b/>
                <w:color w:val="auto"/>
                <w:u w:val="none"/>
              </w:rPr>
            </w:pPr>
            <w:r>
              <w:rPr>
                <w:b w:val="0"/>
              </w:rPr>
              <w:t>Table </w:t>
            </w:r>
            <w:r w:rsidR="004B2E24">
              <w:rPr>
                <w:b w:val="0"/>
              </w:rPr>
              <w:t>1</w:t>
            </w:r>
            <w:r>
              <w:tab/>
            </w:r>
            <w:r w:rsidRPr="00E44059">
              <w:t>Sample of irrigation infrastructure project outcome</w:t>
            </w:r>
            <w:r w:rsidR="0048734A">
              <w:t>s</w:t>
            </w:r>
          </w:p>
        </w:tc>
      </w:tr>
      <w:tr w:rsidR="004C3260" w14:paraId="59F6EEA4" w14:textId="77777777" w:rsidTr="00CD4D3C">
        <w:trPr>
          <w:trHeight w:val="2762"/>
        </w:trPr>
        <w:tc>
          <w:tcPr>
            <w:tcW w:w="5000" w:type="pct"/>
            <w:tcBorders>
              <w:top w:val="nil"/>
              <w:left w:val="nil"/>
              <w:bottom w:val="nil"/>
              <w:right w:val="nil"/>
            </w:tcBorders>
            <w:shd w:val="clear" w:color="auto" w:fill="auto"/>
          </w:tcPr>
          <w:tbl>
            <w:tblPr>
              <w:tblStyle w:val="assessmenttablev1"/>
              <w:tblW w:w="4972" w:type="pct"/>
              <w:tblLook w:val="0020" w:firstRow="1" w:lastRow="0" w:firstColumn="0" w:lastColumn="0" w:noHBand="0" w:noVBand="0"/>
            </w:tblPr>
            <w:tblGrid>
              <w:gridCol w:w="2377"/>
              <w:gridCol w:w="2324"/>
              <w:gridCol w:w="1879"/>
              <w:gridCol w:w="1877"/>
            </w:tblGrid>
            <w:tr w:rsidR="004C3260" w14:paraId="7CFB1D56" w14:textId="77777777" w:rsidTr="0099288C">
              <w:trPr>
                <w:cnfStyle w:val="100000000000" w:firstRow="1" w:lastRow="0" w:firstColumn="0" w:lastColumn="0" w:oddVBand="0" w:evenVBand="0" w:oddHBand="0" w:evenHBand="0" w:firstRowFirstColumn="0" w:firstRowLastColumn="0" w:lastRowFirstColumn="0" w:lastRowLastColumn="0"/>
                <w:trHeight w:val="358"/>
              </w:trPr>
              <w:tc>
                <w:tcPr>
                  <w:tcW w:w="1405" w:type="pct"/>
                  <w:tcBorders>
                    <w:top w:val="single" w:sz="6" w:space="0" w:color="BFBFBF"/>
                    <w:bottom w:val="single" w:sz="6" w:space="0" w:color="D9D9D9" w:themeColor="background1" w:themeShade="D9"/>
                  </w:tcBorders>
                </w:tcPr>
                <w:p w14:paraId="3E94F3A5" w14:textId="77777777" w:rsidR="004C3260" w:rsidRDefault="004C3260" w:rsidP="00541B5C">
                  <w:pPr>
                    <w:pStyle w:val="TableColumnHeading"/>
                    <w:jc w:val="left"/>
                  </w:pPr>
                </w:p>
              </w:tc>
              <w:tc>
                <w:tcPr>
                  <w:tcW w:w="1374" w:type="pct"/>
                  <w:tcBorders>
                    <w:top w:val="single" w:sz="6" w:space="0" w:color="BFBFBF"/>
                    <w:bottom w:val="single" w:sz="6" w:space="0" w:color="D9D9D9" w:themeColor="background1" w:themeShade="D9"/>
                  </w:tcBorders>
                </w:tcPr>
                <w:p w14:paraId="7353C785" w14:textId="5026D945" w:rsidR="004C3260" w:rsidRDefault="004C3260" w:rsidP="00541B5C">
                  <w:pPr>
                    <w:pStyle w:val="TableColumnHeading"/>
                    <w:jc w:val="left"/>
                  </w:pPr>
                  <w:r>
                    <w:t>Ord Stage 2</w:t>
                  </w:r>
                </w:p>
              </w:tc>
              <w:tc>
                <w:tcPr>
                  <w:tcW w:w="1111" w:type="pct"/>
                  <w:tcBorders>
                    <w:top w:val="single" w:sz="6" w:space="0" w:color="BFBFBF"/>
                    <w:bottom w:val="single" w:sz="6" w:space="0" w:color="D9D9D9" w:themeColor="background1" w:themeShade="D9"/>
                  </w:tcBorders>
                </w:tcPr>
                <w:p w14:paraId="701A3D90" w14:textId="77777777" w:rsidR="004C3260" w:rsidRDefault="004C3260" w:rsidP="00541B5C">
                  <w:pPr>
                    <w:pStyle w:val="TableColumnHeading"/>
                    <w:jc w:val="left"/>
                  </w:pPr>
                  <w:r>
                    <w:t>Duck</w:t>
                  </w:r>
                </w:p>
              </w:tc>
              <w:tc>
                <w:tcPr>
                  <w:tcW w:w="1110" w:type="pct"/>
                  <w:tcBorders>
                    <w:top w:val="single" w:sz="6" w:space="0" w:color="BFBFBF"/>
                    <w:bottom w:val="single" w:sz="6" w:space="0" w:color="D9D9D9" w:themeColor="background1" w:themeShade="D9"/>
                  </w:tcBorders>
                </w:tcPr>
                <w:p w14:paraId="39B8AE15" w14:textId="77777777" w:rsidR="004C3260" w:rsidRDefault="004C3260" w:rsidP="00541B5C">
                  <w:pPr>
                    <w:pStyle w:val="TableColumnHeading"/>
                    <w:ind w:right="28"/>
                    <w:jc w:val="left"/>
                  </w:pPr>
                  <w:r>
                    <w:t>Swan Valley</w:t>
                  </w:r>
                </w:p>
              </w:tc>
            </w:tr>
            <w:tr w:rsidR="004C3260" w14:paraId="4C262CF7" w14:textId="77777777" w:rsidTr="0099288C">
              <w:trPr>
                <w:cnfStyle w:val="000000100000" w:firstRow="0" w:lastRow="0" w:firstColumn="0" w:lastColumn="0" w:oddVBand="0" w:evenVBand="0" w:oddHBand="1" w:evenHBand="0" w:firstRowFirstColumn="0" w:firstRowLastColumn="0" w:lastRowFirstColumn="0" w:lastRowLastColumn="0"/>
                <w:trHeight w:val="284"/>
              </w:trPr>
              <w:tc>
                <w:tcPr>
                  <w:tcW w:w="1405" w:type="pct"/>
                  <w:tcBorders>
                    <w:top w:val="single" w:sz="6" w:space="0" w:color="D9D9D9" w:themeColor="background1" w:themeShade="D9"/>
                  </w:tcBorders>
                </w:tcPr>
                <w:p w14:paraId="48A177E9" w14:textId="77777777" w:rsidR="004C3260" w:rsidRDefault="004C3260" w:rsidP="00F53C8A">
                  <w:pPr>
                    <w:pStyle w:val="TableBodyText"/>
                    <w:jc w:val="left"/>
                  </w:pPr>
                  <w:r w:rsidRPr="00864221">
                    <w:t>Jurisdiction</w:t>
                  </w:r>
                </w:p>
              </w:tc>
              <w:tc>
                <w:tcPr>
                  <w:tcW w:w="1374" w:type="pct"/>
                  <w:tcBorders>
                    <w:top w:val="single" w:sz="6" w:space="0" w:color="D9D9D9" w:themeColor="background1" w:themeShade="D9"/>
                  </w:tcBorders>
                </w:tcPr>
                <w:p w14:paraId="7581EF4C" w14:textId="77777777" w:rsidR="004C3260" w:rsidRDefault="004C3260" w:rsidP="00F53C8A">
                  <w:pPr>
                    <w:pStyle w:val="TableBodyText"/>
                    <w:jc w:val="left"/>
                  </w:pPr>
                  <w:r>
                    <w:t>WA</w:t>
                  </w:r>
                </w:p>
              </w:tc>
              <w:tc>
                <w:tcPr>
                  <w:tcW w:w="1111" w:type="pct"/>
                  <w:tcBorders>
                    <w:top w:val="single" w:sz="6" w:space="0" w:color="D9D9D9" w:themeColor="background1" w:themeShade="D9"/>
                  </w:tcBorders>
                </w:tcPr>
                <w:p w14:paraId="14C625A8" w14:textId="77777777" w:rsidR="004C3260" w:rsidRDefault="004C3260" w:rsidP="00F53C8A">
                  <w:pPr>
                    <w:pStyle w:val="TableBodyText"/>
                    <w:jc w:val="left"/>
                  </w:pPr>
                  <w:r>
                    <w:t>Tas</w:t>
                  </w:r>
                </w:p>
              </w:tc>
              <w:tc>
                <w:tcPr>
                  <w:tcW w:w="1110" w:type="pct"/>
                  <w:tcBorders>
                    <w:top w:val="single" w:sz="6" w:space="0" w:color="D9D9D9" w:themeColor="background1" w:themeShade="D9"/>
                  </w:tcBorders>
                </w:tcPr>
                <w:p w14:paraId="109F5901" w14:textId="77777777" w:rsidR="004C3260" w:rsidRDefault="004C3260" w:rsidP="00F53C8A">
                  <w:pPr>
                    <w:pStyle w:val="TableBodyText"/>
                    <w:jc w:val="left"/>
                  </w:pPr>
                  <w:r>
                    <w:t>Tas</w:t>
                  </w:r>
                </w:p>
              </w:tc>
            </w:tr>
            <w:tr w:rsidR="004C3260" w14:paraId="4240AD63" w14:textId="77777777" w:rsidTr="0099288C">
              <w:trPr>
                <w:cnfStyle w:val="000000010000" w:firstRow="0" w:lastRow="0" w:firstColumn="0" w:lastColumn="0" w:oddVBand="0" w:evenVBand="0" w:oddHBand="0" w:evenHBand="1" w:firstRowFirstColumn="0" w:firstRowLastColumn="0" w:lastRowFirstColumn="0" w:lastRowLastColumn="0"/>
                <w:trHeight w:val="247"/>
              </w:trPr>
              <w:tc>
                <w:tcPr>
                  <w:tcW w:w="1405" w:type="pct"/>
                </w:tcPr>
                <w:p w14:paraId="6F97E302" w14:textId="77777777" w:rsidR="004C3260" w:rsidRDefault="004C3260" w:rsidP="00541B5C">
                  <w:pPr>
                    <w:pStyle w:val="TableBodyText"/>
                    <w:jc w:val="left"/>
                  </w:pPr>
                  <w:r>
                    <w:t xml:space="preserve">Cost to government </w:t>
                  </w:r>
                  <w:r>
                    <w:br/>
                    <w:t>($m)</w:t>
                  </w:r>
                </w:p>
              </w:tc>
              <w:tc>
                <w:tcPr>
                  <w:tcW w:w="1374" w:type="pct"/>
                </w:tcPr>
                <w:p w14:paraId="30ECB76B" w14:textId="77777777" w:rsidR="004C3260" w:rsidRDefault="004C3260" w:rsidP="00541B5C">
                  <w:pPr>
                    <w:pStyle w:val="TableBodyText"/>
                    <w:jc w:val="left"/>
                  </w:pPr>
                  <w:r>
                    <w:t>334</w:t>
                  </w:r>
                  <w:r w:rsidRPr="000D601C">
                    <w:rPr>
                      <w:rStyle w:val="NoteLabel"/>
                    </w:rPr>
                    <w:t>a</w:t>
                  </w:r>
                </w:p>
              </w:tc>
              <w:tc>
                <w:tcPr>
                  <w:tcW w:w="1111" w:type="pct"/>
                </w:tcPr>
                <w:p w14:paraId="044548BC" w14:textId="5D3B653F" w:rsidR="004C3260" w:rsidRDefault="00AB7E4E" w:rsidP="0027746F">
                  <w:pPr>
                    <w:pStyle w:val="TableBodyText"/>
                    <w:spacing w:before="60"/>
                    <w:jc w:val="left"/>
                  </w:pPr>
                  <w:r>
                    <w:t>32</w:t>
                  </w:r>
                </w:p>
              </w:tc>
              <w:tc>
                <w:tcPr>
                  <w:tcW w:w="1110" w:type="pct"/>
                </w:tcPr>
                <w:p w14:paraId="710404FF" w14:textId="2C67BE1A" w:rsidR="004C3260" w:rsidRDefault="004C3260" w:rsidP="0027746F">
                  <w:pPr>
                    <w:pStyle w:val="TableBodyText"/>
                    <w:spacing w:before="60"/>
                    <w:ind w:right="28"/>
                    <w:jc w:val="left"/>
                  </w:pPr>
                  <w:r>
                    <w:t>1</w:t>
                  </w:r>
                  <w:r w:rsidR="00DA6EC0">
                    <w:t>8</w:t>
                  </w:r>
                </w:p>
              </w:tc>
            </w:tr>
            <w:tr w:rsidR="004C3260" w14:paraId="0A07BC3D" w14:textId="77777777" w:rsidTr="0099288C">
              <w:trPr>
                <w:cnfStyle w:val="000000100000" w:firstRow="0" w:lastRow="0" w:firstColumn="0" w:lastColumn="0" w:oddVBand="0" w:evenVBand="0" w:oddHBand="1" w:evenHBand="0" w:firstRowFirstColumn="0" w:firstRowLastColumn="0" w:lastRowFirstColumn="0" w:lastRowLastColumn="0"/>
                <w:trHeight w:val="234"/>
              </w:trPr>
              <w:tc>
                <w:tcPr>
                  <w:tcW w:w="1405" w:type="pct"/>
                </w:tcPr>
                <w:p w14:paraId="46488775" w14:textId="0A918532" w:rsidR="004C3260" w:rsidRDefault="004C3260" w:rsidP="00541B5C">
                  <w:pPr>
                    <w:pStyle w:val="TableBodyText"/>
                    <w:jc w:val="left"/>
                  </w:pPr>
                  <w:r>
                    <w:t xml:space="preserve">Project </w:t>
                  </w:r>
                  <w:r w:rsidR="00B2431B">
                    <w:t>completion</w:t>
                  </w:r>
                </w:p>
              </w:tc>
              <w:tc>
                <w:tcPr>
                  <w:tcW w:w="1374" w:type="pct"/>
                </w:tcPr>
                <w:p w14:paraId="67815AD5" w14:textId="0BAF92E7" w:rsidR="004C3260" w:rsidRDefault="004C3260" w:rsidP="00541B5C">
                  <w:pPr>
                    <w:pStyle w:val="TableBodyText"/>
                    <w:jc w:val="left"/>
                  </w:pPr>
                  <w:r w:rsidRPr="000D601C">
                    <w:t>2014</w:t>
                  </w:r>
                </w:p>
              </w:tc>
              <w:tc>
                <w:tcPr>
                  <w:tcW w:w="1111" w:type="pct"/>
                </w:tcPr>
                <w:p w14:paraId="68869A95" w14:textId="69A3632F" w:rsidR="004C3260" w:rsidRDefault="004C3260" w:rsidP="00541B5C">
                  <w:pPr>
                    <w:pStyle w:val="TableBodyText"/>
                    <w:jc w:val="left"/>
                  </w:pPr>
                  <w:r>
                    <w:t>2018</w:t>
                  </w:r>
                </w:p>
              </w:tc>
              <w:tc>
                <w:tcPr>
                  <w:tcW w:w="1110" w:type="pct"/>
                </w:tcPr>
                <w:p w14:paraId="0EE533FA" w14:textId="3C20F5EA" w:rsidR="004C3260" w:rsidRDefault="004C3260" w:rsidP="00541B5C">
                  <w:pPr>
                    <w:pStyle w:val="TableBodyText"/>
                    <w:ind w:right="28"/>
                    <w:jc w:val="left"/>
                  </w:pPr>
                  <w:r>
                    <w:t>2018</w:t>
                  </w:r>
                </w:p>
              </w:tc>
            </w:tr>
            <w:tr w:rsidR="004C3260" w14:paraId="64A910B4" w14:textId="77777777" w:rsidTr="0099288C">
              <w:trPr>
                <w:cnfStyle w:val="000000010000" w:firstRow="0" w:lastRow="0" w:firstColumn="0" w:lastColumn="0" w:oddVBand="0" w:evenVBand="0" w:oddHBand="0" w:evenHBand="1" w:firstRowFirstColumn="0" w:firstRowLastColumn="0" w:lastRowFirstColumn="0" w:lastRowLastColumn="0"/>
                <w:trHeight w:val="444"/>
              </w:trPr>
              <w:tc>
                <w:tcPr>
                  <w:tcW w:w="1405" w:type="pct"/>
                </w:tcPr>
                <w:p w14:paraId="65CD2F66" w14:textId="77777777" w:rsidR="004C3260" w:rsidRDefault="004C3260" w:rsidP="00541B5C">
                  <w:pPr>
                    <w:pStyle w:val="TableBodyText"/>
                    <w:jc w:val="left"/>
                  </w:pPr>
                  <w:r>
                    <w:t>Number of irrigators holding entitlements</w:t>
                  </w:r>
                </w:p>
              </w:tc>
              <w:tc>
                <w:tcPr>
                  <w:tcW w:w="1374" w:type="pct"/>
                </w:tcPr>
                <w:p w14:paraId="0BA04196" w14:textId="050D36D5" w:rsidR="004C3260" w:rsidRPr="00185F5F" w:rsidRDefault="004C3260" w:rsidP="00541B5C">
                  <w:pPr>
                    <w:pStyle w:val="TableBodyText"/>
                    <w:jc w:val="left"/>
                    <w:rPr>
                      <w:b/>
                      <w:bCs/>
                    </w:rPr>
                  </w:pPr>
                  <w:r>
                    <w:t>1</w:t>
                  </w:r>
                  <w:r w:rsidR="00A34D44">
                    <w:t>50</w:t>
                  </w:r>
                  <w:r w:rsidR="00A34D44">
                    <w:rPr>
                      <w:rStyle w:val="NoteLabel"/>
                    </w:rPr>
                    <w:t>b</w:t>
                  </w:r>
                </w:p>
              </w:tc>
              <w:tc>
                <w:tcPr>
                  <w:tcW w:w="1111" w:type="pct"/>
                </w:tcPr>
                <w:p w14:paraId="1E00CFB1" w14:textId="77777777" w:rsidR="004C3260" w:rsidRDefault="004C3260" w:rsidP="0027746F">
                  <w:pPr>
                    <w:pStyle w:val="TableBodyText"/>
                    <w:spacing w:before="60"/>
                    <w:jc w:val="left"/>
                  </w:pPr>
                  <w:r>
                    <w:t>26</w:t>
                  </w:r>
                </w:p>
              </w:tc>
              <w:tc>
                <w:tcPr>
                  <w:tcW w:w="1110" w:type="pct"/>
                </w:tcPr>
                <w:p w14:paraId="202C759F" w14:textId="22F4B70D" w:rsidR="004C3260" w:rsidRDefault="004C3260" w:rsidP="0027746F">
                  <w:pPr>
                    <w:pStyle w:val="TableBodyText"/>
                    <w:spacing w:before="60"/>
                    <w:ind w:right="28"/>
                    <w:jc w:val="left"/>
                  </w:pPr>
                  <w:r>
                    <w:t>1</w:t>
                  </w:r>
                  <w:r w:rsidR="00F473BB">
                    <w:t>5</w:t>
                  </w:r>
                </w:p>
              </w:tc>
            </w:tr>
            <w:tr w:rsidR="004C3260" w14:paraId="3B7EE9E8" w14:textId="77777777" w:rsidTr="0099288C">
              <w:trPr>
                <w:cnfStyle w:val="000000100000" w:firstRow="0" w:lastRow="0" w:firstColumn="0" w:lastColumn="0" w:oddVBand="0" w:evenVBand="0" w:oddHBand="1" w:evenHBand="0" w:firstRowFirstColumn="0" w:firstRowLastColumn="0" w:lastRowFirstColumn="0" w:lastRowLastColumn="0"/>
                <w:trHeight w:val="247"/>
              </w:trPr>
              <w:tc>
                <w:tcPr>
                  <w:tcW w:w="1405" w:type="pct"/>
                </w:tcPr>
                <w:p w14:paraId="44F2AF38" w14:textId="77777777" w:rsidR="004C3260" w:rsidRDefault="004C3260" w:rsidP="00541B5C">
                  <w:pPr>
                    <w:pStyle w:val="TableBodyText"/>
                    <w:jc w:val="left"/>
                  </w:pPr>
                  <w:r>
                    <w:t>Ongoing jobs created</w:t>
                  </w:r>
                </w:p>
              </w:tc>
              <w:tc>
                <w:tcPr>
                  <w:tcW w:w="1374" w:type="pct"/>
                </w:tcPr>
                <w:p w14:paraId="2D38CB6A" w14:textId="211F2BC4" w:rsidR="004C3260" w:rsidRDefault="004C3260" w:rsidP="00541B5C">
                  <w:pPr>
                    <w:pStyle w:val="TableBodyText"/>
                    <w:jc w:val="left"/>
                  </w:pPr>
                  <w:r>
                    <w:t>61</w:t>
                  </w:r>
                  <w:r w:rsidR="005E7E7A">
                    <w:rPr>
                      <w:rStyle w:val="NoteLabel"/>
                    </w:rPr>
                    <w:t>c</w:t>
                  </w:r>
                </w:p>
              </w:tc>
              <w:tc>
                <w:tcPr>
                  <w:tcW w:w="1111" w:type="pct"/>
                </w:tcPr>
                <w:p w14:paraId="76E073B3" w14:textId="43DEC0F7" w:rsidR="004C3260" w:rsidRDefault="004C3260" w:rsidP="00541B5C">
                  <w:pPr>
                    <w:pStyle w:val="TableBodyText"/>
                    <w:jc w:val="left"/>
                  </w:pPr>
                  <w:r>
                    <w:t>5</w:t>
                  </w:r>
                  <w:r w:rsidR="0049605F">
                    <w:t>0</w:t>
                  </w:r>
                  <w:r w:rsidR="005E7E7A">
                    <w:rPr>
                      <w:rStyle w:val="NoteLabel"/>
                    </w:rPr>
                    <w:t>d</w:t>
                  </w:r>
                </w:p>
              </w:tc>
              <w:tc>
                <w:tcPr>
                  <w:tcW w:w="1110" w:type="pct"/>
                </w:tcPr>
                <w:p w14:paraId="1BC3A433" w14:textId="539D9780" w:rsidR="004C3260" w:rsidRDefault="00125AD6" w:rsidP="00541B5C">
                  <w:pPr>
                    <w:pStyle w:val="TableBodyText"/>
                    <w:ind w:right="28"/>
                    <w:jc w:val="left"/>
                  </w:pPr>
                  <w:r>
                    <w:t>16</w:t>
                  </w:r>
                  <w:r w:rsidR="00E41136">
                    <w:rPr>
                      <w:rStyle w:val="NoteLabel"/>
                    </w:rPr>
                    <w:t>e</w:t>
                  </w:r>
                </w:p>
              </w:tc>
            </w:tr>
            <w:tr w:rsidR="00B2431B" w14:paraId="65ABDC8C" w14:textId="77777777" w:rsidTr="0099288C">
              <w:trPr>
                <w:cnfStyle w:val="000000010000" w:firstRow="0" w:lastRow="0" w:firstColumn="0" w:lastColumn="0" w:oddVBand="0" w:evenVBand="0" w:oddHBand="0" w:evenHBand="1" w:firstRowFirstColumn="0" w:firstRowLastColumn="0" w:lastRowFirstColumn="0" w:lastRowLastColumn="0"/>
                <w:trHeight w:val="432"/>
              </w:trPr>
              <w:tc>
                <w:tcPr>
                  <w:tcW w:w="1405" w:type="pct"/>
                  <w:tcBorders>
                    <w:bottom w:val="single" w:sz="6" w:space="0" w:color="D9D9D9" w:themeColor="background1" w:themeShade="D9"/>
                  </w:tcBorders>
                </w:tcPr>
                <w:p w14:paraId="0EE037A9" w14:textId="5FC9E62F" w:rsidR="00B2431B" w:rsidRDefault="00B2431B" w:rsidP="00B2431B">
                  <w:pPr>
                    <w:pStyle w:val="TableBodyText"/>
                    <w:jc w:val="left"/>
                  </w:pPr>
                  <w:r>
                    <w:t>Cost per job created</w:t>
                  </w:r>
                  <w:r>
                    <w:rPr>
                      <w:rStyle w:val="NoteLabel"/>
                    </w:rPr>
                    <w:t>f</w:t>
                  </w:r>
                  <w:r>
                    <w:br/>
                    <w:t>($m per full</w:t>
                  </w:r>
                  <w:r>
                    <w:noBreakHyphen/>
                    <w:t>time equivalent)</w:t>
                  </w:r>
                </w:p>
              </w:tc>
              <w:tc>
                <w:tcPr>
                  <w:tcW w:w="1374" w:type="pct"/>
                  <w:tcBorders>
                    <w:bottom w:val="single" w:sz="6" w:space="0" w:color="D9D9D9" w:themeColor="background1" w:themeShade="D9"/>
                  </w:tcBorders>
                </w:tcPr>
                <w:p w14:paraId="4AC401B8" w14:textId="36302C57" w:rsidR="00B2431B" w:rsidRDefault="00B2431B" w:rsidP="00B2431B">
                  <w:pPr>
                    <w:pStyle w:val="TableBodyText"/>
                    <w:jc w:val="left"/>
                  </w:pPr>
                  <w:r>
                    <w:t>5.5</w:t>
                  </w:r>
                  <w:r>
                    <w:rPr>
                      <w:rStyle w:val="NoteLabel"/>
                    </w:rPr>
                    <w:t>c</w:t>
                  </w:r>
                </w:p>
              </w:tc>
              <w:tc>
                <w:tcPr>
                  <w:tcW w:w="1111" w:type="pct"/>
                  <w:tcBorders>
                    <w:bottom w:val="single" w:sz="6" w:space="0" w:color="D9D9D9" w:themeColor="background1" w:themeShade="D9"/>
                  </w:tcBorders>
                </w:tcPr>
                <w:p w14:paraId="5C82D9F1" w14:textId="3C99DDAC" w:rsidR="00B2431B" w:rsidRDefault="00B2431B" w:rsidP="0027746F">
                  <w:pPr>
                    <w:pStyle w:val="TableBodyText"/>
                    <w:spacing w:before="60"/>
                    <w:jc w:val="left"/>
                  </w:pPr>
                  <w:r>
                    <w:t>0.6</w:t>
                  </w:r>
                </w:p>
              </w:tc>
              <w:tc>
                <w:tcPr>
                  <w:tcW w:w="1110" w:type="pct"/>
                  <w:tcBorders>
                    <w:bottom w:val="single" w:sz="6" w:space="0" w:color="D9D9D9" w:themeColor="background1" w:themeShade="D9"/>
                  </w:tcBorders>
                </w:tcPr>
                <w:p w14:paraId="22EFD42F" w14:textId="4E00301F" w:rsidR="00B2431B" w:rsidRDefault="00B2431B" w:rsidP="0027746F">
                  <w:pPr>
                    <w:pStyle w:val="TableBodyText"/>
                    <w:spacing w:before="60"/>
                    <w:ind w:right="28"/>
                    <w:jc w:val="left"/>
                  </w:pPr>
                  <w:r>
                    <w:t>1.1</w:t>
                  </w:r>
                </w:p>
              </w:tc>
            </w:tr>
          </w:tbl>
          <w:p w14:paraId="0D38E006" w14:textId="77777777" w:rsidR="004C3260" w:rsidRDefault="004C3260" w:rsidP="00541B5C">
            <w:pPr>
              <w:pStyle w:val="Box"/>
            </w:pPr>
          </w:p>
        </w:tc>
      </w:tr>
      <w:tr w:rsidR="004C3260" w14:paraId="08F8CBDB" w14:textId="77777777" w:rsidTr="00541B5C">
        <w:tc>
          <w:tcPr>
            <w:tcW w:w="5000" w:type="pct"/>
            <w:tcBorders>
              <w:top w:val="nil"/>
              <w:left w:val="nil"/>
              <w:bottom w:val="nil"/>
              <w:right w:val="nil"/>
            </w:tcBorders>
            <w:shd w:val="clear" w:color="auto" w:fill="auto"/>
          </w:tcPr>
          <w:p w14:paraId="712DE6B6" w14:textId="6D0481A8" w:rsidR="004C3260" w:rsidRDefault="0069072D" w:rsidP="004C3329">
            <w:pPr>
              <w:pStyle w:val="Note"/>
              <w:spacing w:line="260" w:lineRule="exact"/>
              <w:rPr>
                <w:i/>
              </w:rPr>
            </w:pPr>
            <w:r w:rsidRPr="000D601C">
              <w:rPr>
                <w:rStyle w:val="NoteLabel"/>
              </w:rPr>
              <w:t>a</w:t>
            </w:r>
            <w:r>
              <w:rPr>
                <w:rStyle w:val="NoteLabel"/>
              </w:rPr>
              <w:t> </w:t>
            </w:r>
            <w:r w:rsidR="004C3260" w:rsidRPr="000D601C">
              <w:t>Funding from the Western Australian Government for irrigation infrastructure</w:t>
            </w:r>
            <w:r w:rsidR="004C3260">
              <w:t xml:space="preserve"> </w:t>
            </w:r>
            <w:r w:rsidR="004C3260" w:rsidRPr="000D601C">
              <w:t>works only. A further $195</w:t>
            </w:r>
            <w:r w:rsidR="004C3260">
              <w:t> </w:t>
            </w:r>
            <w:r w:rsidR="004C3260" w:rsidRPr="000D601C">
              <w:t>million was provided by the Australian Government for supporting social projects and infrastructure.</w:t>
            </w:r>
            <w:r w:rsidR="004C3260">
              <w:t xml:space="preserve"> </w:t>
            </w:r>
            <w:r w:rsidR="00CA4FE2">
              <w:rPr>
                <w:rStyle w:val="NoteLabel"/>
              </w:rPr>
              <w:t>b</w:t>
            </w:r>
            <w:r w:rsidR="004C3260">
              <w:rPr>
                <w:rStyle w:val="NoteLabel"/>
              </w:rPr>
              <w:t> </w:t>
            </w:r>
            <w:r w:rsidR="00AA6A7E">
              <w:t>There are approximately 100 surface water and 50 groundwater licences in the Ord River region</w:t>
            </w:r>
            <w:r w:rsidR="005B01E8">
              <w:t>;</w:t>
            </w:r>
            <w:r w:rsidR="00066FF9">
              <w:t xml:space="preserve"> </w:t>
            </w:r>
            <w:r w:rsidR="00845C2E">
              <w:t>data</w:t>
            </w:r>
            <w:r w:rsidR="005B01E8">
              <w:t xml:space="preserve"> </w:t>
            </w:r>
            <w:r w:rsidR="0010739A">
              <w:t>limited to</w:t>
            </w:r>
            <w:r w:rsidR="00845C2E">
              <w:t xml:space="preserve"> </w:t>
            </w:r>
            <w:r w:rsidR="0010739A">
              <w:t xml:space="preserve">the </w:t>
            </w:r>
            <w:r w:rsidR="004C3329">
              <w:t>Stage </w:t>
            </w:r>
            <w:r w:rsidR="00845C2E">
              <w:t xml:space="preserve">2 </w:t>
            </w:r>
            <w:r w:rsidR="001E3F3C">
              <w:t xml:space="preserve">area </w:t>
            </w:r>
            <w:r w:rsidR="009520F7">
              <w:t>were not available</w:t>
            </w:r>
            <w:r w:rsidR="00AA6A7E">
              <w:t xml:space="preserve">. </w:t>
            </w:r>
            <w:r w:rsidR="004C2891">
              <w:rPr>
                <w:rStyle w:val="NoteLabel"/>
              </w:rPr>
              <w:t>c </w:t>
            </w:r>
            <w:r w:rsidR="00AA6A7E">
              <w:t>E</w:t>
            </w:r>
            <w:r w:rsidR="004C3260" w:rsidRPr="000D601C">
              <w:t>xclude</w:t>
            </w:r>
            <w:r w:rsidR="000C77D0">
              <w:t>s</w:t>
            </w:r>
            <w:r w:rsidR="004C3260" w:rsidRPr="000D601C">
              <w:t xml:space="preserve"> 10–15</w:t>
            </w:r>
            <w:r w:rsidR="004C3329">
              <w:t> </w:t>
            </w:r>
            <w:r w:rsidR="004C3260" w:rsidRPr="000D601C">
              <w:t>seasonal workers. Cost per job excludes</w:t>
            </w:r>
            <w:r w:rsidR="004C3260">
              <w:t xml:space="preserve"> </w:t>
            </w:r>
            <w:r w:rsidR="004C3260" w:rsidRPr="000D601C">
              <w:t>Australian Government</w:t>
            </w:r>
            <w:r w:rsidR="00B2431B">
              <w:t xml:space="preserve"> funding</w:t>
            </w:r>
            <w:r w:rsidR="004C3260" w:rsidRPr="000D601C">
              <w:t xml:space="preserve">. </w:t>
            </w:r>
            <w:r w:rsidR="004C2891">
              <w:rPr>
                <w:rStyle w:val="NoteLabel"/>
              </w:rPr>
              <w:t>d</w:t>
            </w:r>
            <w:r w:rsidR="00CA4FE2">
              <w:rPr>
                <w:rStyle w:val="NoteLabel"/>
              </w:rPr>
              <w:t> </w:t>
            </w:r>
            <w:r w:rsidR="000964F0">
              <w:t>Approximate</w:t>
            </w:r>
            <w:r w:rsidR="00CA4FE2" w:rsidRPr="000D601C">
              <w:t xml:space="preserve">. </w:t>
            </w:r>
            <w:proofErr w:type="spellStart"/>
            <w:r w:rsidR="004C2891">
              <w:rPr>
                <w:rStyle w:val="NoteLabel"/>
              </w:rPr>
              <w:t>e</w:t>
            </w:r>
            <w:proofErr w:type="spellEnd"/>
            <w:r w:rsidR="004C3260">
              <w:rPr>
                <w:rStyle w:val="NoteLabel"/>
              </w:rPr>
              <w:t> </w:t>
            </w:r>
            <w:r w:rsidR="0010739A">
              <w:t>E</w:t>
            </w:r>
            <w:r w:rsidR="009520F7">
              <w:t>s</w:t>
            </w:r>
            <w:r w:rsidR="00E41136">
              <w:t>timate</w:t>
            </w:r>
            <w:r w:rsidR="0010739A">
              <w:t>;</w:t>
            </w:r>
            <w:r w:rsidR="009520F7">
              <w:t xml:space="preserve"> actual data not available</w:t>
            </w:r>
            <w:r w:rsidR="00E41136">
              <w:t xml:space="preserve">. </w:t>
            </w:r>
            <w:r w:rsidR="00E41136">
              <w:rPr>
                <w:rStyle w:val="NoteLabel"/>
              </w:rPr>
              <w:t>f </w:t>
            </w:r>
            <w:r w:rsidR="00E41136">
              <w:t>C</w:t>
            </w:r>
            <w:r w:rsidR="004C3260" w:rsidRPr="000D601C">
              <w:t xml:space="preserve">alculated by dividing the cost </w:t>
            </w:r>
            <w:r w:rsidR="00914469">
              <w:t xml:space="preserve">to </w:t>
            </w:r>
            <w:r w:rsidR="004C3260" w:rsidRPr="000D601C">
              <w:t>government by the number of jobs created.</w:t>
            </w:r>
          </w:p>
        </w:tc>
      </w:tr>
      <w:tr w:rsidR="004C3260" w14:paraId="6C12CD5A" w14:textId="77777777" w:rsidTr="00541B5C">
        <w:tc>
          <w:tcPr>
            <w:tcW w:w="5000" w:type="pct"/>
            <w:tcBorders>
              <w:top w:val="nil"/>
              <w:left w:val="nil"/>
              <w:bottom w:val="nil"/>
              <w:right w:val="nil"/>
            </w:tcBorders>
            <w:shd w:val="clear" w:color="auto" w:fill="auto"/>
          </w:tcPr>
          <w:p w14:paraId="4BB14E39" w14:textId="1E7B8887" w:rsidR="004C3260" w:rsidRPr="00F53C8A" w:rsidRDefault="004C3260" w:rsidP="00F75929">
            <w:pPr>
              <w:pStyle w:val="Source"/>
            </w:pPr>
            <w:r w:rsidRPr="00F53C8A">
              <w:t>Source</w:t>
            </w:r>
            <w:r w:rsidR="005A7526" w:rsidRPr="00F53C8A">
              <w:t>s</w:t>
            </w:r>
            <w:r w:rsidRPr="00F53C8A">
              <w:t>:</w:t>
            </w:r>
            <w:r w:rsidR="00E31000" w:rsidRPr="00F53C8A">
              <w:t xml:space="preserve"> </w:t>
            </w:r>
            <w:r w:rsidR="00F75929">
              <w:t>BOM</w:t>
            </w:r>
            <w:r w:rsidR="00E31000" w:rsidRPr="00F53C8A">
              <w:t xml:space="preserve"> </w:t>
            </w:r>
            <w:r w:rsidR="000A4430" w:rsidRPr="00F53C8A">
              <w:t>(2018)</w:t>
            </w:r>
            <w:r w:rsidR="00E31000" w:rsidRPr="00F53C8A">
              <w:t>;</w:t>
            </w:r>
            <w:r w:rsidR="00A3700E" w:rsidRPr="00F53C8A">
              <w:t xml:space="preserve"> </w:t>
            </w:r>
            <w:r w:rsidR="006907B9" w:rsidRPr="00F53C8A">
              <w:t xml:space="preserve">Minister for Agriculture and Water Resources and Senator for Tasmania </w:t>
            </w:r>
            <w:r w:rsidR="00CE4737" w:rsidRPr="00F53C8A">
              <w:t>(2019)</w:t>
            </w:r>
            <w:r w:rsidR="006907B9" w:rsidRPr="00F53C8A">
              <w:t xml:space="preserve">; </w:t>
            </w:r>
            <w:r w:rsidR="00BC7E41" w:rsidRPr="00F53C8A">
              <w:t xml:space="preserve">Minister for </w:t>
            </w:r>
            <w:r w:rsidR="00E44490" w:rsidRPr="00F53C8A">
              <w:t xml:space="preserve">Agriculture and Water Resources, Minister for Primary Industries and Water (Tas) and Federal Member for Lyons </w:t>
            </w:r>
            <w:r w:rsidR="00B5005E" w:rsidRPr="00F53C8A">
              <w:t>(2016, p. 2)</w:t>
            </w:r>
            <w:r w:rsidR="00E44490" w:rsidRPr="00F53C8A">
              <w:t xml:space="preserve">; </w:t>
            </w:r>
            <w:r w:rsidR="00BC7E41" w:rsidRPr="00F53C8A">
              <w:t xml:space="preserve">Minister for Primary Industries and Water (Tas) (2018); </w:t>
            </w:r>
            <w:r w:rsidR="00EF084A" w:rsidRPr="00F53C8A">
              <w:t xml:space="preserve">Public Accounts Committee </w:t>
            </w:r>
            <w:r w:rsidR="00216724" w:rsidRPr="00F53C8A">
              <w:t>(2019, p. 3)</w:t>
            </w:r>
            <w:r w:rsidR="00A3700E" w:rsidRPr="00F53C8A">
              <w:t>;</w:t>
            </w:r>
            <w:r w:rsidR="00EA68AE" w:rsidRPr="00F53C8A">
              <w:t xml:space="preserve"> Tasmanian Irrigation </w:t>
            </w:r>
            <w:r w:rsidR="00F27690" w:rsidRPr="00F27690">
              <w:rPr>
                <w:rFonts w:cs="Arial"/>
              </w:rPr>
              <w:t>(2018b, 2018a, 2020)</w:t>
            </w:r>
            <w:r w:rsidR="00EA68AE" w:rsidRPr="00F53C8A">
              <w:t>;</w:t>
            </w:r>
            <w:r w:rsidR="00A3700E" w:rsidRPr="00F53C8A">
              <w:t xml:space="preserve"> </w:t>
            </w:r>
            <w:r w:rsidR="00BB5D8C" w:rsidRPr="00F53C8A">
              <w:t xml:space="preserve">Western Australian </w:t>
            </w:r>
            <w:r w:rsidR="00A3700E" w:rsidRPr="00F53C8A">
              <w:t xml:space="preserve">Auditor General </w:t>
            </w:r>
            <w:r w:rsidR="00025727" w:rsidRPr="00F53C8A">
              <w:t>(2016, pp. 7, 23)</w:t>
            </w:r>
            <w:r w:rsidRPr="00F53C8A">
              <w:t>.</w:t>
            </w:r>
          </w:p>
        </w:tc>
      </w:tr>
      <w:tr w:rsidR="004C3260" w14:paraId="0DC0336E" w14:textId="77777777" w:rsidTr="00541B5C">
        <w:tc>
          <w:tcPr>
            <w:tcW w:w="5000" w:type="pct"/>
            <w:tcBorders>
              <w:top w:val="nil"/>
              <w:left w:val="nil"/>
              <w:bottom w:val="single" w:sz="6" w:space="0" w:color="78A22F"/>
              <w:right w:val="nil"/>
            </w:tcBorders>
            <w:shd w:val="clear" w:color="auto" w:fill="auto"/>
          </w:tcPr>
          <w:p w14:paraId="285CDE12" w14:textId="77777777" w:rsidR="004C3260" w:rsidRDefault="004C3260" w:rsidP="00541B5C">
            <w:pPr>
              <w:pStyle w:val="Box"/>
              <w:spacing w:before="0" w:line="120" w:lineRule="exact"/>
            </w:pPr>
          </w:p>
        </w:tc>
      </w:tr>
      <w:tr w:rsidR="004C3260" w:rsidRPr="000863A5" w14:paraId="0A268282" w14:textId="77777777" w:rsidTr="00541B5C">
        <w:tc>
          <w:tcPr>
            <w:tcW w:w="5000" w:type="pct"/>
            <w:tcBorders>
              <w:top w:val="single" w:sz="6" w:space="0" w:color="78A22F"/>
              <w:left w:val="nil"/>
              <w:bottom w:val="nil"/>
              <w:right w:val="nil"/>
            </w:tcBorders>
          </w:tcPr>
          <w:p w14:paraId="2181C31A" w14:textId="70A9FA16" w:rsidR="004C3260" w:rsidRPr="00626D32" w:rsidRDefault="004C3260" w:rsidP="00541B5C">
            <w:pPr>
              <w:pStyle w:val="BoxSpaceBelow"/>
            </w:pPr>
          </w:p>
        </w:tc>
      </w:tr>
    </w:tbl>
    <w:p w14:paraId="4A8E61D7" w14:textId="76B7DB67" w:rsidR="00ED67E0" w:rsidRPr="00290C26" w:rsidRDefault="00290C26" w:rsidP="0067497C">
      <w:pPr>
        <w:pStyle w:val="BodyText"/>
        <w:keepNext/>
      </w:pPr>
      <w:r>
        <w:t xml:space="preserve">In part, </w:t>
      </w:r>
      <w:r w:rsidR="0067497C">
        <w:t>this</w:t>
      </w:r>
      <w:r w:rsidR="00BB383B">
        <w:t xml:space="preserve"> situation</w:t>
      </w:r>
      <w:r>
        <w:t xml:space="preserve"> reflects a lack of specificity in the NWI</w:t>
      </w:r>
      <w:r w:rsidR="001C61DC">
        <w:t xml:space="preserve"> as to </w:t>
      </w:r>
      <w:r w:rsidR="00B147A5">
        <w:t>when</w:t>
      </w:r>
      <w:r w:rsidR="001C61DC">
        <w:t xml:space="preserve"> government subsidies are </w:t>
      </w:r>
      <w:r w:rsidR="006C2FB6">
        <w:t>permitted</w:t>
      </w:r>
      <w:r>
        <w:t xml:space="preserve">. </w:t>
      </w:r>
      <w:r w:rsidR="00F977F5" w:rsidRPr="00290C26">
        <w:t>As highlighted by the IWF (sub</w:t>
      </w:r>
      <w:r w:rsidR="00A74B02">
        <w:t>.</w:t>
      </w:r>
      <w:r w:rsidR="00F977F5" w:rsidRPr="00290C26">
        <w:t> 30</w:t>
      </w:r>
      <w:r w:rsidRPr="00290C26">
        <w:t>, p. 14</w:t>
      </w:r>
      <w:r>
        <w:t>):</w:t>
      </w:r>
    </w:p>
    <w:p w14:paraId="68D68C67" w14:textId="30AA3F76" w:rsidR="00290C26" w:rsidRPr="004D6BEE" w:rsidRDefault="00290C26" w:rsidP="00290C26">
      <w:pPr>
        <w:pStyle w:val="Quote"/>
      </w:pPr>
      <w:r>
        <w:t xml:space="preserve">The NWI allows for the provision of community service obligations (CSOs) for water storage and delivery in both urban and rural systems (NWI para 66 v c) but offers no guidance on when </w:t>
      </w:r>
      <w:r>
        <w:lastRenderedPageBreak/>
        <w:t xml:space="preserve">and how they should be implemented. Further, the NWI does not provide a framework to guide CSO development and </w:t>
      </w:r>
      <w:r w:rsidR="0098527C">
        <w:t>application</w:t>
      </w:r>
      <w:r>
        <w:t>.</w:t>
      </w:r>
    </w:p>
    <w:p w14:paraId="1D4805F2" w14:textId="77777777" w:rsidR="006A5BDB" w:rsidRDefault="006A5BDB" w:rsidP="006A5BDB">
      <w:pPr>
        <w:pStyle w:val="BodyText"/>
      </w:pPr>
      <w:r>
        <w:t>Overall, this approach perpetuates the risk of public investment in projects that are unlikely to achieve their anticipated ends (in terms of regional development), as well as ongoing public subsidies for costs that should be paid for by water users.</w:t>
      </w:r>
    </w:p>
    <w:p w14:paraId="4939B4E3" w14:textId="4B5DA37F" w:rsidR="004924BE" w:rsidRPr="00ED67E0" w:rsidRDefault="00242FEA" w:rsidP="001C6F1C">
      <w:pPr>
        <w:pStyle w:val="Heading3"/>
        <w:spacing w:before="360"/>
      </w:pPr>
      <w:bookmarkStart w:id="18" w:name="_Toc62628684"/>
      <w:r>
        <w:t>2.3</w:t>
      </w:r>
      <w:r>
        <w:tab/>
      </w:r>
      <w:r w:rsidR="003F7402">
        <w:t xml:space="preserve">Climate change elevates the need for careful project </w:t>
      </w:r>
      <w:proofErr w:type="gramStart"/>
      <w:r w:rsidR="003F7402">
        <w:t>selection</w:t>
      </w:r>
      <w:bookmarkEnd w:id="18"/>
      <w:proofErr w:type="gramEnd"/>
    </w:p>
    <w:p w14:paraId="136B4EB9" w14:textId="0668FDE0" w:rsidR="00E2355B" w:rsidRPr="00832FD0" w:rsidRDefault="00E2355B" w:rsidP="00E2355B">
      <w:pPr>
        <w:pStyle w:val="BodyText"/>
      </w:pPr>
      <w:r w:rsidRPr="006F3C01">
        <w:t>Planning for long</w:t>
      </w:r>
      <w:r w:rsidRPr="006F3C01">
        <w:noBreakHyphen/>
        <w:t>lived water infrastructure in an increasingly dynamic world is difficult</w:t>
      </w:r>
      <w:r>
        <w:t>, and</w:t>
      </w:r>
      <w:r w:rsidRPr="006F3C01">
        <w:t xml:space="preserve"> </w:t>
      </w:r>
      <w:r>
        <w:t>with a changing c</w:t>
      </w:r>
      <w:r w:rsidRPr="00C74BAD">
        <w:t>limate</w:t>
      </w:r>
      <w:r>
        <w:t xml:space="preserve">, parts of Australia are experiencing more variable patterns of rainfall, </w:t>
      </w:r>
      <w:proofErr w:type="gramStart"/>
      <w:r>
        <w:t>streamflow</w:t>
      </w:r>
      <w:proofErr w:type="gramEnd"/>
      <w:r>
        <w:t xml:space="preserve"> and evaporation (</w:t>
      </w:r>
      <w:r w:rsidRPr="0079538D">
        <w:t>IWF, sub. 30</w:t>
      </w:r>
      <w:r>
        <w:t>, pp. 12</w:t>
      </w:r>
      <w:r w:rsidR="00011902">
        <w:t>–</w:t>
      </w:r>
      <w:r>
        <w:t>13</w:t>
      </w:r>
      <w:r w:rsidRPr="0079538D">
        <w:t xml:space="preserve">; </w:t>
      </w:r>
      <w:r w:rsidRPr="00832FD0">
        <w:t>EDO, sub. 54</w:t>
      </w:r>
      <w:r>
        <w:t>, p. 14</w:t>
      </w:r>
      <w:r w:rsidRPr="00832FD0">
        <w:t>;</w:t>
      </w:r>
      <w:r>
        <w:t xml:space="preserve"> </w:t>
      </w:r>
      <w:r w:rsidRPr="00832FD0">
        <w:t>Engineers Australia, sub</w:t>
      </w:r>
      <w:r w:rsidR="00A74B02">
        <w:t>.</w:t>
      </w:r>
      <w:r w:rsidRPr="00832FD0">
        <w:t> 63</w:t>
      </w:r>
      <w:r>
        <w:t>, p. 19</w:t>
      </w:r>
      <w:r w:rsidRPr="00832FD0">
        <w:t>)</w:t>
      </w:r>
      <w:r>
        <w:t>.</w:t>
      </w:r>
    </w:p>
    <w:p w14:paraId="27ADF881" w14:textId="77777777" w:rsidR="00965A3A" w:rsidRDefault="0079538D" w:rsidP="001C61DC">
      <w:pPr>
        <w:pStyle w:val="BodyText"/>
        <w:keepNext/>
      </w:pPr>
      <w:r>
        <w:t>This has implications for infrastructure planning.</w:t>
      </w:r>
    </w:p>
    <w:p w14:paraId="67DAF43F" w14:textId="6F757D6D" w:rsidR="00EF37C7" w:rsidRPr="00A84108" w:rsidRDefault="00EF37C7" w:rsidP="003F7402">
      <w:pPr>
        <w:pStyle w:val="ListBullet"/>
      </w:pPr>
      <w:r w:rsidRPr="00A84108">
        <w:t xml:space="preserve">The expected yield and reliability of new (and existing) infrastructure </w:t>
      </w:r>
      <w:r w:rsidR="00A84108">
        <w:t xml:space="preserve">assets </w:t>
      </w:r>
      <w:r w:rsidRPr="00A84108">
        <w:t>will change</w:t>
      </w:r>
      <w:r w:rsidR="00A84108" w:rsidRPr="00A84108">
        <w:t xml:space="preserve">, and estimates may become </w:t>
      </w:r>
      <w:r w:rsidRPr="00A84108">
        <w:t xml:space="preserve">less reliable because of uncertainty </w:t>
      </w:r>
      <w:r w:rsidR="00BB5D8C">
        <w:t>over</w:t>
      </w:r>
      <w:r w:rsidR="00BB5D8C" w:rsidRPr="00A84108">
        <w:t xml:space="preserve"> </w:t>
      </w:r>
      <w:r w:rsidRPr="00A84108">
        <w:t>the magnitude of rainfall</w:t>
      </w:r>
      <w:r w:rsidR="00A84108" w:rsidRPr="00A84108">
        <w:t xml:space="preserve"> or </w:t>
      </w:r>
      <w:r w:rsidRPr="00A84108">
        <w:t>runoff changes</w:t>
      </w:r>
      <w:r w:rsidR="00325353" w:rsidRPr="00A84108">
        <w:t>.</w:t>
      </w:r>
      <w:r w:rsidR="00C504D2">
        <w:t xml:space="preserve"> </w:t>
      </w:r>
      <w:r w:rsidR="005F296D">
        <w:t xml:space="preserve">This affects estimates of sustainable extraction from </w:t>
      </w:r>
      <w:proofErr w:type="gramStart"/>
      <w:r w:rsidR="003F7402">
        <w:t>particular</w:t>
      </w:r>
      <w:r w:rsidR="005F296D">
        <w:t xml:space="preserve"> catchments</w:t>
      </w:r>
      <w:proofErr w:type="gramEnd"/>
      <w:r w:rsidR="005F296D">
        <w:t xml:space="preserve"> (</w:t>
      </w:r>
      <w:r w:rsidR="00E2355B">
        <w:t>EDO, sub. 54, p. 16</w:t>
      </w:r>
      <w:r w:rsidR="005F296D">
        <w:t>)</w:t>
      </w:r>
      <w:r w:rsidR="0048734A">
        <w:t>, as well as increasing the likely cost of water to users as infrastructure development and operational costs will have to be spread across lower water allocations.</w:t>
      </w:r>
    </w:p>
    <w:p w14:paraId="55D90BA6" w14:textId="1F63B612" w:rsidR="00EF37C7" w:rsidRPr="00A84108" w:rsidRDefault="00965A3A" w:rsidP="003F7402">
      <w:pPr>
        <w:pStyle w:val="ListBullet"/>
      </w:pPr>
      <w:r>
        <w:t>A</w:t>
      </w:r>
      <w:r w:rsidR="00EF37C7" w:rsidRPr="00A84108">
        <w:t xml:space="preserve"> drier climate may create a ‘premium’ for water security</w:t>
      </w:r>
      <w:r w:rsidR="00A84108" w:rsidRPr="00A84108">
        <w:t>,</w:t>
      </w:r>
      <w:r w:rsidR="00EF37C7" w:rsidRPr="00A84108">
        <w:t xml:space="preserve"> and </w:t>
      </w:r>
      <w:r w:rsidR="00A84108" w:rsidRPr="00A84108">
        <w:t xml:space="preserve">greater value for </w:t>
      </w:r>
      <w:r w:rsidR="00EF37C7" w:rsidRPr="00A84108">
        <w:t xml:space="preserve">water source diversification </w:t>
      </w:r>
      <w:r w:rsidR="00A84108" w:rsidRPr="00A84108">
        <w:t xml:space="preserve">in urban areas </w:t>
      </w:r>
      <w:r w:rsidR="00EF37C7" w:rsidRPr="00A84108">
        <w:t>(</w:t>
      </w:r>
      <w:r w:rsidR="00E215CF" w:rsidRPr="00E215CF">
        <w:t>SP</w:t>
      </w:r>
      <w:r w:rsidR="00FB1D2B">
        <w:t> </w:t>
      </w:r>
      <w:r w:rsidR="00E215CF">
        <w:t>F</w:t>
      </w:r>
      <w:r w:rsidR="00E215CF" w:rsidRPr="00E215CF">
        <w:t> </w:t>
      </w:r>
      <w:r w:rsidR="00E215CF">
        <w:rPr>
          <w:i/>
        </w:rPr>
        <w:t>Urban</w:t>
      </w:r>
      <w:r w:rsidR="00EF37C7" w:rsidRPr="00A84108">
        <w:t xml:space="preserve">). </w:t>
      </w:r>
      <w:r w:rsidR="00393280">
        <w:t>But i</w:t>
      </w:r>
      <w:r w:rsidR="00EF37C7" w:rsidRPr="00A84108">
        <w:t xml:space="preserve">t may also </w:t>
      </w:r>
      <w:r w:rsidR="005F296D">
        <w:t>lead to</w:t>
      </w:r>
      <w:r w:rsidR="00EF37C7" w:rsidRPr="00A84108">
        <w:t xml:space="preserve"> </w:t>
      </w:r>
      <w:r w:rsidR="00393280">
        <w:t xml:space="preserve">increasing </w:t>
      </w:r>
      <w:r w:rsidR="00EF37C7" w:rsidRPr="00A84108">
        <w:t xml:space="preserve">demands on governments to help communities and industries </w:t>
      </w:r>
      <w:r w:rsidR="00AC33BE">
        <w:t xml:space="preserve">contend </w:t>
      </w:r>
      <w:r w:rsidR="00EF37C7" w:rsidRPr="00A84108">
        <w:t xml:space="preserve">with drier </w:t>
      </w:r>
      <w:r w:rsidR="0098527C" w:rsidRPr="00A84108">
        <w:t>conditions</w:t>
      </w:r>
      <w:r w:rsidR="00393280">
        <w:t xml:space="preserve">, particularly </w:t>
      </w:r>
      <w:r w:rsidR="007D1ABF">
        <w:t>if there are critical shortages</w:t>
      </w:r>
      <w:r w:rsidR="001C61DC">
        <w:t xml:space="preserve"> in a water system</w:t>
      </w:r>
      <w:r w:rsidR="00073FAC">
        <w:t xml:space="preserve"> during </w:t>
      </w:r>
      <w:r w:rsidR="007D1ABF">
        <w:t>drought</w:t>
      </w:r>
      <w:r w:rsidR="00EF37C7" w:rsidRPr="00A84108">
        <w:t>.</w:t>
      </w:r>
    </w:p>
    <w:p w14:paraId="45899954" w14:textId="3B7C3C97" w:rsidR="0098527C" w:rsidRPr="00A84108" w:rsidRDefault="0098527C" w:rsidP="0098527C">
      <w:pPr>
        <w:pStyle w:val="ListBullet"/>
      </w:pPr>
      <w:r>
        <w:t>E</w:t>
      </w:r>
      <w:r w:rsidRPr="00A84108">
        <w:t xml:space="preserve">conomic change, </w:t>
      </w:r>
      <w:proofErr w:type="gramStart"/>
      <w:r w:rsidRPr="00A84108">
        <w:t>as a result of</w:t>
      </w:r>
      <w:proofErr w:type="gramEnd"/>
      <w:r w:rsidRPr="00A84108">
        <w:t xml:space="preserve"> climate change and other economic drivers, will continue to affect land use patterns in regional Australia. </w:t>
      </w:r>
      <w:r>
        <w:t>T</w:t>
      </w:r>
      <w:r w:rsidRPr="00A84108">
        <w:t xml:space="preserve">his </w:t>
      </w:r>
      <w:r w:rsidR="00153260">
        <w:t xml:space="preserve">will </w:t>
      </w:r>
      <w:r w:rsidRPr="00A84108">
        <w:t xml:space="preserve">create demand risks for </w:t>
      </w:r>
      <w:r>
        <w:t xml:space="preserve">fixed </w:t>
      </w:r>
      <w:r w:rsidRPr="00A84108">
        <w:t xml:space="preserve">infrastructure, such as </w:t>
      </w:r>
      <w:r>
        <w:t xml:space="preserve">irrigation </w:t>
      </w:r>
      <w:r w:rsidRPr="00A84108">
        <w:t xml:space="preserve">distribution networks </w:t>
      </w:r>
      <w:r w:rsidR="00393280">
        <w:t xml:space="preserve">where </w:t>
      </w:r>
      <w:r>
        <w:t>supply cost</w:t>
      </w:r>
      <w:r w:rsidR="00393280">
        <w:t>s</w:t>
      </w:r>
      <w:r>
        <w:t xml:space="preserve"> may be particularly sensitive to reductions in water use.</w:t>
      </w:r>
    </w:p>
    <w:p w14:paraId="1F181FE1" w14:textId="366B1B9E" w:rsidR="005F296D" w:rsidRDefault="00A84108" w:rsidP="00C5718D">
      <w:pPr>
        <w:pStyle w:val="BodyText"/>
      </w:pPr>
      <w:r w:rsidRPr="008538F2">
        <w:t>Each of these factors</w:t>
      </w:r>
      <w:r w:rsidR="008538F2" w:rsidRPr="008538F2">
        <w:t xml:space="preserve"> affect</w:t>
      </w:r>
      <w:r w:rsidR="00365204">
        <w:t>s</w:t>
      </w:r>
      <w:r w:rsidR="008538F2" w:rsidRPr="008538F2">
        <w:t xml:space="preserve"> </w:t>
      </w:r>
      <w:r w:rsidR="0048734A">
        <w:t xml:space="preserve">the </w:t>
      </w:r>
      <w:r w:rsidR="008538F2" w:rsidRPr="008538F2">
        <w:t>viability of current and future infrastructure</w:t>
      </w:r>
      <w:r w:rsidRPr="008538F2">
        <w:t>, emphasis</w:t>
      </w:r>
      <w:r w:rsidR="00073FAC">
        <w:t>ing</w:t>
      </w:r>
      <w:r w:rsidRPr="008538F2">
        <w:t xml:space="preserve"> the need to ensure that proposals </w:t>
      </w:r>
      <w:r w:rsidR="005F296D">
        <w:t>for government</w:t>
      </w:r>
      <w:r w:rsidR="005F296D">
        <w:noBreakHyphen/>
        <w:t xml:space="preserve">funded </w:t>
      </w:r>
      <w:r w:rsidRPr="008538F2">
        <w:t xml:space="preserve">water infrastructure </w:t>
      </w:r>
      <w:r w:rsidR="005F296D">
        <w:t xml:space="preserve">are </w:t>
      </w:r>
      <w:r w:rsidR="00B47262">
        <w:t>rigorously assessed.</w:t>
      </w:r>
    </w:p>
    <w:p w14:paraId="4D0FD59F" w14:textId="2722F2BD" w:rsidR="00A84108" w:rsidRPr="008538F2" w:rsidRDefault="006A6B74" w:rsidP="00C5718D">
      <w:pPr>
        <w:pStyle w:val="BodyText"/>
      </w:pPr>
      <w:r>
        <w:t>C</w:t>
      </w:r>
      <w:r w:rsidR="00340528">
        <w:t xml:space="preserve">areful consideration </w:t>
      </w:r>
      <w:r>
        <w:t xml:space="preserve">of proposals </w:t>
      </w:r>
      <w:r w:rsidR="00340528">
        <w:t xml:space="preserve">is unlikely to occur where </w:t>
      </w:r>
      <w:r w:rsidR="005F296D">
        <w:t>g</w:t>
      </w:r>
      <w:r w:rsidR="00340528">
        <w:t xml:space="preserve">overnments commit funding prior to the development of robust business cases, </w:t>
      </w:r>
      <w:r w:rsidR="005F296D">
        <w:t>where project selection and assess</w:t>
      </w:r>
      <w:r w:rsidR="000A18C7">
        <w:t>ment</w:t>
      </w:r>
      <w:r w:rsidR="005F296D">
        <w:t xml:space="preserve"> processes are uncoordinated and opaque, </w:t>
      </w:r>
      <w:r w:rsidR="00340528">
        <w:t xml:space="preserve">or where </w:t>
      </w:r>
      <w:r w:rsidR="005F296D">
        <w:t>assumptions underpinning economic</w:t>
      </w:r>
      <w:r w:rsidR="00340528">
        <w:t xml:space="preserve"> analyses </w:t>
      </w:r>
      <w:r w:rsidR="003D25F7">
        <w:t>or purported regional development outcomes a</w:t>
      </w:r>
      <w:r w:rsidR="00340528">
        <w:t xml:space="preserve">re not published </w:t>
      </w:r>
      <w:r w:rsidR="00073FAC">
        <w:t xml:space="preserve">and </w:t>
      </w:r>
      <w:r w:rsidR="00340528">
        <w:t>scrutinised by the wider community</w:t>
      </w:r>
      <w:r w:rsidR="00073FAC">
        <w:t xml:space="preserve"> or independent expert bodies</w:t>
      </w:r>
      <w:r w:rsidR="00340528">
        <w:t>.</w:t>
      </w:r>
    </w:p>
    <w:p w14:paraId="591750FE" w14:textId="094742E2" w:rsidR="00EE597A" w:rsidRDefault="00242FEA" w:rsidP="00EE597A">
      <w:pPr>
        <w:pStyle w:val="Heading3"/>
        <w:spacing w:before="360"/>
      </w:pPr>
      <w:bookmarkStart w:id="19" w:name="_Toc62628685"/>
      <w:r>
        <w:t>2.4</w:t>
      </w:r>
      <w:r>
        <w:tab/>
      </w:r>
      <w:r w:rsidR="00D66A95">
        <w:t>Should the NWI be amended?</w:t>
      </w:r>
      <w:bookmarkEnd w:id="19"/>
    </w:p>
    <w:p w14:paraId="1C7EB11C" w14:textId="7831997C" w:rsidR="0098527C" w:rsidRPr="006F3C01" w:rsidRDefault="0098527C" w:rsidP="0098527C">
      <w:pPr>
        <w:pStyle w:val="BodyText"/>
      </w:pPr>
      <w:r w:rsidRPr="00A84108">
        <w:t xml:space="preserve">Maintaining </w:t>
      </w:r>
      <w:r>
        <w:t xml:space="preserve">the </w:t>
      </w:r>
      <w:r w:rsidR="00BC34A2">
        <w:t>past</w:t>
      </w:r>
      <w:r w:rsidR="007C7A44">
        <w:t xml:space="preserve"> </w:t>
      </w:r>
      <w:r>
        <w:t xml:space="preserve">approach to major infrastructure project selection </w:t>
      </w:r>
      <w:r w:rsidRPr="00A84108">
        <w:t xml:space="preserve">is likely to impose </w:t>
      </w:r>
      <w:r>
        <w:t xml:space="preserve">more </w:t>
      </w:r>
      <w:r w:rsidR="00FE08FF">
        <w:t xml:space="preserve">unnecessary </w:t>
      </w:r>
      <w:r w:rsidRPr="00A84108">
        <w:t>costs on taxpayers, water users and the environment.</w:t>
      </w:r>
    </w:p>
    <w:p w14:paraId="3F5DBC8F" w14:textId="649276C3" w:rsidR="00BC524B" w:rsidRDefault="006A6B74" w:rsidP="00A74B02">
      <w:pPr>
        <w:pStyle w:val="BodyText"/>
        <w:keepNext/>
      </w:pPr>
      <w:r>
        <w:lastRenderedPageBreak/>
        <w:t>T</w:t>
      </w:r>
      <w:r w:rsidR="00EE597A">
        <w:t>h</w:t>
      </w:r>
      <w:r>
        <w:t>is</w:t>
      </w:r>
      <w:r w:rsidR="00EE597A">
        <w:t xml:space="preserve"> </w:t>
      </w:r>
      <w:r>
        <w:t>situation</w:t>
      </w:r>
      <w:r w:rsidR="003D25F7">
        <w:t>, in part,</w:t>
      </w:r>
      <w:r>
        <w:t xml:space="preserve"> </w:t>
      </w:r>
      <w:r w:rsidR="00EE597A">
        <w:t>reflect</w:t>
      </w:r>
      <w:r>
        <w:t>s</w:t>
      </w:r>
      <w:r w:rsidR="00EE597A">
        <w:t xml:space="preserve"> </w:t>
      </w:r>
      <w:r w:rsidR="003D25F7">
        <w:t>s</w:t>
      </w:r>
      <w:r w:rsidR="00C5718D">
        <w:t>hortcoming</w:t>
      </w:r>
      <w:r w:rsidR="003D25F7">
        <w:t>s</w:t>
      </w:r>
      <w:r w:rsidR="00EE597A">
        <w:t xml:space="preserve"> of the NWI</w:t>
      </w:r>
      <w:r w:rsidR="009464D7">
        <w:t xml:space="preserve"> and its minimalist requirements for new developments</w:t>
      </w:r>
      <w:r w:rsidR="00EE597A">
        <w:t xml:space="preserve">. </w:t>
      </w:r>
      <w:r w:rsidR="00515F84">
        <w:t>T</w:t>
      </w:r>
      <w:r w:rsidR="00EE597A">
        <w:t xml:space="preserve">he </w:t>
      </w:r>
      <w:r w:rsidR="0035717A">
        <w:t xml:space="preserve">principle </w:t>
      </w:r>
      <w:r w:rsidR="00EE597A">
        <w:t xml:space="preserve">concerning new infrastructure </w:t>
      </w:r>
      <w:r w:rsidR="00073FAC">
        <w:t xml:space="preserve">is </w:t>
      </w:r>
      <w:r w:rsidR="009B033C">
        <w:t>sound</w:t>
      </w:r>
      <w:r w:rsidR="00515F84">
        <w:t xml:space="preserve"> and, if </w:t>
      </w:r>
      <w:r w:rsidR="00153260">
        <w:t>complied with</w:t>
      </w:r>
      <w:r w:rsidR="00515F84">
        <w:t xml:space="preserve">, would ensure that government investment only occurs rarely and where clearly justified. But on </w:t>
      </w:r>
      <w:r w:rsidR="00073FAC">
        <w:t>its</w:t>
      </w:r>
      <w:r w:rsidR="00515F84">
        <w:t xml:space="preserve"> own, </w:t>
      </w:r>
      <w:r w:rsidR="00515F38">
        <w:t xml:space="preserve">it is </w:t>
      </w:r>
      <w:r w:rsidR="00811AAA">
        <w:t xml:space="preserve">inadequate </w:t>
      </w:r>
      <w:r w:rsidR="0035717A">
        <w:t>to ensure</w:t>
      </w:r>
      <w:r w:rsidR="00811AAA">
        <w:t xml:space="preserve"> </w:t>
      </w:r>
      <w:r w:rsidR="008B0FFD">
        <w:t xml:space="preserve">that </w:t>
      </w:r>
      <w:r w:rsidR="00365204">
        <w:t xml:space="preserve">only </w:t>
      </w:r>
      <w:r w:rsidR="008B0FFD">
        <w:t>the most beneficial projects are selected</w:t>
      </w:r>
      <w:r w:rsidR="00BC524B" w:rsidRPr="00BC524B">
        <w:t xml:space="preserve"> </w:t>
      </w:r>
      <w:r w:rsidR="009464D7">
        <w:t>(</w:t>
      </w:r>
      <w:r w:rsidR="008B0FFD">
        <w:t>or funded</w:t>
      </w:r>
      <w:r w:rsidR="009464D7">
        <w:t>)</w:t>
      </w:r>
      <w:r w:rsidR="00E82266">
        <w:t xml:space="preserve"> </w:t>
      </w:r>
      <w:r w:rsidR="0035717A">
        <w:t>by governments</w:t>
      </w:r>
      <w:r w:rsidR="00EE597A">
        <w:t>. Particularly, the NWI</w:t>
      </w:r>
      <w:r w:rsidR="00DC5306">
        <w:t xml:space="preserve"> does not</w:t>
      </w:r>
      <w:r w:rsidR="00EE597A">
        <w:t>:</w:t>
      </w:r>
    </w:p>
    <w:p w14:paraId="3ACE587C" w14:textId="185893EB" w:rsidR="00365204" w:rsidRDefault="00365204" w:rsidP="00DC5306">
      <w:pPr>
        <w:pStyle w:val="ListBullet"/>
      </w:pPr>
      <w:r>
        <w:t xml:space="preserve">provide a framework to ensure only the most worthwhile projects are </w:t>
      </w:r>
      <w:proofErr w:type="gramStart"/>
      <w:r>
        <w:t>selected</w:t>
      </w:r>
      <w:proofErr w:type="gramEnd"/>
    </w:p>
    <w:p w14:paraId="6BC31817" w14:textId="6D89688D" w:rsidR="00DF0917" w:rsidRPr="00E8793F" w:rsidRDefault="00DC5306" w:rsidP="00DF0917">
      <w:pPr>
        <w:pStyle w:val="ListBullet"/>
        <w:rPr>
          <w:spacing w:val="-4"/>
        </w:rPr>
      </w:pPr>
      <w:r w:rsidRPr="00E8793F">
        <w:rPr>
          <w:spacing w:val="-4"/>
        </w:rPr>
        <w:t xml:space="preserve">specify the circumstances </w:t>
      </w:r>
      <w:r w:rsidR="009464D7" w:rsidRPr="00E8793F">
        <w:rPr>
          <w:spacing w:val="-4"/>
        </w:rPr>
        <w:t>where</w:t>
      </w:r>
      <w:r w:rsidRPr="00E8793F">
        <w:rPr>
          <w:spacing w:val="-4"/>
        </w:rPr>
        <w:t xml:space="preserve"> government subsidies for water infrastructure are justified</w:t>
      </w:r>
      <w:r w:rsidR="00365204" w:rsidRPr="00E8793F">
        <w:rPr>
          <w:spacing w:val="-4"/>
        </w:rPr>
        <w:t>.</w:t>
      </w:r>
    </w:p>
    <w:p w14:paraId="69F9AF37" w14:textId="0959B609" w:rsidR="00DF0917" w:rsidRDefault="00DF0917" w:rsidP="00DF0917">
      <w:pPr>
        <w:pStyle w:val="BodyText"/>
      </w:pPr>
      <w:r>
        <w:t>Some of these shortcomings appear to have been addressed recently through other policy tools, including some State</w:t>
      </w:r>
      <w:r>
        <w:noBreakHyphen/>
        <w:t xml:space="preserve">based infrastructure prioritisation publications, as well as the NWGA’s 2020 </w:t>
      </w:r>
      <w:r>
        <w:rPr>
          <w:i/>
        </w:rPr>
        <w:t>Investment Policy Framework</w:t>
      </w:r>
      <w:r>
        <w:t xml:space="preserve"> which includes NWI compliance as a principle. However, the questionable economic merits of some</w:t>
      </w:r>
      <w:r w:rsidRPr="00120CDD">
        <w:t xml:space="preserve"> </w:t>
      </w:r>
      <w:r>
        <w:t xml:space="preserve">prior Australian </w:t>
      </w:r>
      <w:r w:rsidR="0015757E">
        <w:t>g</w:t>
      </w:r>
      <w:r>
        <w:t>overnment commitments, alongside the NWGA’s broad public benefit test, are not consistent with NWI principles. Further improvements are required.</w:t>
      </w:r>
    </w:p>
    <w:p w14:paraId="26C6EC3A" w14:textId="64F30F5D" w:rsidR="0048734A" w:rsidRDefault="00DF0917" w:rsidP="0048734A">
      <w:pPr>
        <w:pStyle w:val="BodyText"/>
      </w:pPr>
      <w:r>
        <w:t>Including a comprehensive decision</w:t>
      </w:r>
      <w:r>
        <w:noBreakHyphen/>
        <w:t xml:space="preserve">making framework in the NWI would ensure principles that represent an agreed position with all State and Territory </w:t>
      </w:r>
      <w:r w:rsidR="0015757E">
        <w:t>G</w:t>
      </w:r>
      <w:r>
        <w:t>overnments are embedded as part of longer</w:t>
      </w:r>
      <w:r>
        <w:noBreakHyphen/>
        <w:t xml:space="preserve">term water reform, ensuring government decisions can be held to account in implementing </w:t>
      </w:r>
      <w:r w:rsidR="00BD2CE6">
        <w:t xml:space="preserve">a sound investment </w:t>
      </w:r>
      <w:r>
        <w:t>framework.</w:t>
      </w:r>
    </w:p>
    <w:p w14:paraId="49809103" w14:textId="7557E9C4" w:rsidR="00E86765" w:rsidRDefault="00E86765" w:rsidP="00E86765">
      <w:pPr>
        <w:pStyle w:val="Heading2"/>
      </w:pPr>
      <w:bookmarkStart w:id="20" w:name="_Toc62628686"/>
      <w:r>
        <w:t>3</w:t>
      </w:r>
      <w:r>
        <w:tab/>
        <w:t xml:space="preserve">A framework </w:t>
      </w:r>
      <w:r w:rsidR="00EF4BA3">
        <w:t>for</w:t>
      </w:r>
      <w:r>
        <w:t xml:space="preserve"> investment in major water infrastructure</w:t>
      </w:r>
      <w:bookmarkEnd w:id="20"/>
    </w:p>
    <w:p w14:paraId="6DF89FB8" w14:textId="145383B8" w:rsidR="00336382" w:rsidRDefault="00F27A4B" w:rsidP="00B0718D">
      <w:pPr>
        <w:pStyle w:val="BodyText"/>
      </w:pPr>
      <w:r>
        <w:t>The terms of reference ask the Commission to consider t</w:t>
      </w:r>
      <w:r w:rsidRPr="00F27A4B">
        <w:t xml:space="preserve">he </w:t>
      </w:r>
      <w:r>
        <w:t>‘</w:t>
      </w:r>
      <w:r w:rsidRPr="00F27A4B">
        <w:t xml:space="preserve">principles to be satisfied for any government investment in major water infrastructure </w:t>
      </w:r>
      <w:proofErr w:type="gramStart"/>
      <w:r w:rsidRPr="00F27A4B">
        <w:t>projects</w:t>
      </w:r>
      <w:r>
        <w:t>’</w:t>
      </w:r>
      <w:proofErr w:type="gramEnd"/>
      <w:r>
        <w:t>.</w:t>
      </w:r>
    </w:p>
    <w:p w14:paraId="164F2487" w14:textId="6C9F11CE" w:rsidR="00EC2E9D" w:rsidRDefault="00B66EE4" w:rsidP="001E7BDE">
      <w:pPr>
        <w:pStyle w:val="BodyText"/>
      </w:pPr>
      <w:r>
        <w:t xml:space="preserve">The NWI is sound in principle: proposals should be demonstrated as both </w:t>
      </w:r>
      <w:r w:rsidRPr="002C58AA">
        <w:t>ecologically sustainable</w:t>
      </w:r>
      <w:r>
        <w:t xml:space="preserve"> and economically viable </w:t>
      </w:r>
      <w:r w:rsidRPr="00ED67E0">
        <w:t>prior</w:t>
      </w:r>
      <w:r>
        <w:t xml:space="preserve"> to investment (although neither term is defined), and in accordance with the pricing requirements, users should ultimately bear the costs of infrastructure.</w:t>
      </w:r>
      <w:r w:rsidR="001E7BDE">
        <w:t xml:space="preserve"> </w:t>
      </w:r>
      <w:r w:rsidR="00EC2E9D">
        <w:t>This principle should continue to guide all investment</w:t>
      </w:r>
      <w:r w:rsidR="00411A4C">
        <w:t>s</w:t>
      </w:r>
      <w:r w:rsidR="00EC2E9D">
        <w:t xml:space="preserve"> in major water infrastructure — including by governments.</w:t>
      </w:r>
      <w:r w:rsidR="00F962B6" w:rsidRPr="00F27690">
        <w:rPr>
          <w:rStyle w:val="FootnoteReference"/>
        </w:rPr>
        <w:footnoteReference w:id="7"/>
      </w:r>
      <w:r w:rsidR="00EC2E9D">
        <w:t xml:space="preserve"> (The Commission is also considering whether this principle should be expanded to incorporate Aboriginal and Torres Strait Islander </w:t>
      </w:r>
      <w:r w:rsidR="00F75929">
        <w:t xml:space="preserve">people’s </w:t>
      </w:r>
      <w:r w:rsidR="00EC2E9D">
        <w:t xml:space="preserve">aspirations </w:t>
      </w:r>
      <w:r w:rsidR="00365204">
        <w:t>in the planning of</w:t>
      </w:r>
      <w:r w:rsidR="00EC2E9D">
        <w:t xml:space="preserve"> new developments. This is discussed below).</w:t>
      </w:r>
    </w:p>
    <w:p w14:paraId="3B4D3C61" w14:textId="04A2F4C0" w:rsidR="001E7BDE" w:rsidRDefault="001E7BDE" w:rsidP="001E7BDE">
      <w:pPr>
        <w:pStyle w:val="BodyText"/>
      </w:pPr>
      <w:r>
        <w:t xml:space="preserve">Yet the Commission’s assessment has highlighted project selection </w:t>
      </w:r>
      <w:r w:rsidR="00D86B88">
        <w:t xml:space="preserve">that </w:t>
      </w:r>
      <w:r w:rsidR="00A0466A">
        <w:t xml:space="preserve">is </w:t>
      </w:r>
      <w:r w:rsidR="00272FA5">
        <w:t xml:space="preserve">inconsistent with the NWI </w:t>
      </w:r>
      <w:r w:rsidR="009464D7">
        <w:t xml:space="preserve">— </w:t>
      </w:r>
      <w:r w:rsidR="00272FA5">
        <w:t>and</w:t>
      </w:r>
      <w:r>
        <w:t xml:space="preserve"> with public infrastructure funding principles more generally.</w:t>
      </w:r>
      <w:r w:rsidR="001A04C5">
        <w:t xml:space="preserve"> </w:t>
      </w:r>
      <w:r w:rsidR="00365204">
        <w:t>The</w:t>
      </w:r>
      <w:r w:rsidR="001A04C5">
        <w:t xml:space="preserve"> issue is not one of principle, but of implementation.</w:t>
      </w:r>
    </w:p>
    <w:p w14:paraId="50084075" w14:textId="28A668D1" w:rsidR="001A04C5" w:rsidRDefault="001A04C5" w:rsidP="001A04C5">
      <w:pPr>
        <w:pStyle w:val="BodyText"/>
        <w:keepNext/>
      </w:pPr>
      <w:r>
        <w:lastRenderedPageBreak/>
        <w:t xml:space="preserve">This section outlines a framework to guide </w:t>
      </w:r>
      <w:r w:rsidR="00411A4C">
        <w:t xml:space="preserve">government </w:t>
      </w:r>
      <w:r>
        <w:t>investment in major water infrastructure, including:</w:t>
      </w:r>
    </w:p>
    <w:p w14:paraId="54107487" w14:textId="2322FDF4" w:rsidR="001A04C5" w:rsidRDefault="001A04C5" w:rsidP="001A04C5">
      <w:pPr>
        <w:pStyle w:val="ListBullet"/>
      </w:pPr>
      <w:r>
        <w:t>high</w:t>
      </w:r>
      <w:r>
        <w:noBreakHyphen/>
        <w:t>quality and transparent project selection and assessment processes</w:t>
      </w:r>
    </w:p>
    <w:p w14:paraId="7F3BF5FA" w14:textId="00918DF2" w:rsidR="001A04C5" w:rsidRDefault="001A04C5" w:rsidP="001A04C5">
      <w:pPr>
        <w:pStyle w:val="ListBullet"/>
      </w:pPr>
      <w:r>
        <w:t>clearly</w:t>
      </w:r>
      <w:r>
        <w:noBreakHyphen/>
        <w:t>defined criteria</w:t>
      </w:r>
      <w:r w:rsidR="00411A4C">
        <w:t xml:space="preserve"> </w:t>
      </w:r>
      <w:r>
        <w:t xml:space="preserve">to give effect to the NWI infrastructure </w:t>
      </w:r>
      <w:r w:rsidR="00F71594">
        <w:t>principle</w:t>
      </w:r>
      <w:r w:rsidR="00411A4C">
        <w:t xml:space="preserve"> in project </w:t>
      </w:r>
      <w:proofErr w:type="gramStart"/>
      <w:r w:rsidR="00411A4C">
        <w:t>assessment</w:t>
      </w:r>
      <w:proofErr w:type="gramEnd"/>
    </w:p>
    <w:p w14:paraId="6E963E5F" w14:textId="03FAB05C" w:rsidR="001A04C5" w:rsidRDefault="00E8551B" w:rsidP="001A04C5">
      <w:pPr>
        <w:pStyle w:val="ListBullet"/>
      </w:pPr>
      <w:r>
        <w:t xml:space="preserve">principles for </w:t>
      </w:r>
      <w:r w:rsidR="00411A4C">
        <w:t>cost</w:t>
      </w:r>
      <w:r w:rsidR="00411A4C">
        <w:noBreakHyphen/>
      </w:r>
      <w:r w:rsidR="001A04C5">
        <w:t xml:space="preserve">sharing (including government subsidies) and allocating water from new </w:t>
      </w:r>
      <w:proofErr w:type="gramStart"/>
      <w:r w:rsidR="001A04C5">
        <w:t>developments</w:t>
      </w:r>
      <w:proofErr w:type="gramEnd"/>
    </w:p>
    <w:p w14:paraId="5B9E1A27" w14:textId="2452F9D9" w:rsidR="001A04C5" w:rsidRDefault="001A04C5" w:rsidP="001A04C5">
      <w:pPr>
        <w:pStyle w:val="ListBullet"/>
      </w:pPr>
      <w:r>
        <w:t>institutional arrangem</w:t>
      </w:r>
      <w:r w:rsidR="00F71594">
        <w:t>ents to underpin the framework.</w:t>
      </w:r>
    </w:p>
    <w:p w14:paraId="4497BD92" w14:textId="4868CB5B" w:rsidR="001A04C5" w:rsidRDefault="001A04C5" w:rsidP="001A04C5">
      <w:pPr>
        <w:pStyle w:val="BodyText"/>
      </w:pPr>
      <w:r>
        <w:t>Section 4 provides the Commission’s overall advice</w:t>
      </w:r>
      <w:r w:rsidR="00F71594">
        <w:t xml:space="preserve"> on</w:t>
      </w:r>
      <w:r>
        <w:t xml:space="preserve"> NWI renewal.</w:t>
      </w:r>
    </w:p>
    <w:p w14:paraId="702A58A9" w14:textId="290412DA" w:rsidR="00CC5390" w:rsidRDefault="00242FEA" w:rsidP="00A4414F">
      <w:pPr>
        <w:pStyle w:val="Heading3"/>
        <w:spacing w:before="360"/>
      </w:pPr>
      <w:bookmarkStart w:id="21" w:name="_Toc62628687"/>
      <w:r>
        <w:t>3.1</w:t>
      </w:r>
      <w:r>
        <w:tab/>
      </w:r>
      <w:r w:rsidR="00F0620C">
        <w:t xml:space="preserve">Project </w:t>
      </w:r>
      <w:r w:rsidR="001D7A56">
        <w:t xml:space="preserve">assessment and </w:t>
      </w:r>
      <w:r w:rsidR="00F0620C">
        <w:t>selection</w:t>
      </w:r>
      <w:r w:rsidR="000C44A9">
        <w:t xml:space="preserve"> </w:t>
      </w:r>
      <w:r w:rsidR="00F04658">
        <w:t>processes</w:t>
      </w:r>
      <w:bookmarkEnd w:id="21"/>
    </w:p>
    <w:p w14:paraId="402B40B1" w14:textId="5F8F61C9" w:rsidR="00CD4D3C" w:rsidRDefault="00CD4D3C" w:rsidP="00CD4D3C">
      <w:pPr>
        <w:pStyle w:val="BodyText"/>
      </w:pPr>
      <w:r>
        <w:t>The objective of project selection is to ensure, at a minimum, that any major water infrastructure development is in the public interest</w:t>
      </w:r>
      <w:r w:rsidR="006C2704">
        <w:t>;</w:t>
      </w:r>
      <w:r>
        <w:t xml:space="preserve"> </w:t>
      </w:r>
      <w:r w:rsidR="006C2704">
        <w:t>that is, the benefits of the option selected clearly outweigh the cost, and no alternative to address the issue at hand is likely to deliver a larger net benefit</w:t>
      </w:r>
      <w:r w:rsidR="00750C14">
        <w:t>.</w:t>
      </w:r>
      <w:r>
        <w:t xml:space="preserve"> This should be based on a robust and transparent assessment of the relative merits of different </w:t>
      </w:r>
      <w:r w:rsidR="00426934">
        <w:t>options (including non</w:t>
      </w:r>
      <w:r w:rsidR="00426934">
        <w:noBreakHyphen/>
        <w:t>infrastructure options)</w:t>
      </w:r>
      <w:r>
        <w:t>.</w:t>
      </w:r>
    </w:p>
    <w:p w14:paraId="03248A4B" w14:textId="76428CF2" w:rsidR="00F71594" w:rsidRDefault="00F71594" w:rsidP="00F71594">
      <w:pPr>
        <w:pStyle w:val="BodyText"/>
      </w:pPr>
      <w:r>
        <w:t>In 2019, Infrastructure Australia published a set of principles to guide infrastructure decision</w:t>
      </w:r>
      <w:r>
        <w:noBreakHyphen/>
        <w:t>making</w:t>
      </w:r>
      <w:r w:rsidR="00411A4C">
        <w:t xml:space="preserve"> processes</w:t>
      </w:r>
      <w:r>
        <w:t xml:space="preserve"> </w:t>
      </w:r>
      <w:r w:rsidR="00411A4C">
        <w:t xml:space="preserve">across all sectors </w:t>
      </w:r>
      <w:r>
        <w:t>(bo</w:t>
      </w:r>
      <w:r w:rsidRPr="00E215D2">
        <w:t>x </w:t>
      </w:r>
      <w:r w:rsidR="00E215D2" w:rsidRPr="00E215D2">
        <w:t>5</w:t>
      </w:r>
      <w:r>
        <w:t xml:space="preserve">). The principles were developed in response to </w:t>
      </w:r>
      <w:r w:rsidRPr="00A836B2">
        <w:t>Infrastructure Australia’s concerns</w:t>
      </w:r>
      <w:r>
        <w:t xml:space="preserve"> over transparency in decision</w:t>
      </w:r>
      <w:r w:rsidR="00F75929">
        <w:t xml:space="preserve"> </w:t>
      </w:r>
      <w:r>
        <w:t xml:space="preserve">making, projects being developed without fully considering all available options to address the problem, and projects being committed to before a business case or economic assessment had been prepared </w:t>
      </w:r>
      <w:r w:rsidR="00E2355B" w:rsidRPr="00E2355B">
        <w:rPr>
          <w:szCs w:val="24"/>
        </w:rPr>
        <w:t>(IA 2018b, p. 1)</w:t>
      </w:r>
      <w:r>
        <w:t>.</w:t>
      </w:r>
    </w:p>
    <w:p w14:paraId="2BDA1293" w14:textId="2D7B011A" w:rsidR="00F71594" w:rsidRDefault="00FF7043" w:rsidP="00F71594">
      <w:pPr>
        <w:pStyle w:val="BodyText"/>
      </w:pPr>
      <w:r>
        <w:t>As discussed in section 2, similar issues afflict decision</w:t>
      </w:r>
      <w:r>
        <w:noBreakHyphen/>
        <w:t xml:space="preserve">making processes for </w:t>
      </w:r>
      <w:r w:rsidRPr="009541F3">
        <w:t xml:space="preserve">major water infrastructure — particularly, </w:t>
      </w:r>
      <w:r>
        <w:t>long</w:t>
      </w:r>
      <w:r>
        <w:noBreakHyphen/>
        <w:t xml:space="preserve">term planning is not consistently used to </w:t>
      </w:r>
      <w:r w:rsidR="00411A4C">
        <w:t>identify</w:t>
      </w:r>
      <w:r w:rsidRPr="009541F3">
        <w:t xml:space="preserve"> </w:t>
      </w:r>
      <w:r w:rsidR="00411A4C">
        <w:t xml:space="preserve">explicit </w:t>
      </w:r>
      <w:r w:rsidRPr="009541F3">
        <w:t>problem</w:t>
      </w:r>
      <w:r w:rsidR="00411A4C">
        <w:t>s or opportunities</w:t>
      </w:r>
      <w:r w:rsidRPr="009541F3">
        <w:t xml:space="preserve">, </w:t>
      </w:r>
      <w:r>
        <w:t xml:space="preserve">multiple options </w:t>
      </w:r>
      <w:r w:rsidR="0048734A">
        <w:t>(</w:t>
      </w:r>
      <w:r w:rsidR="00411A4C">
        <w:t>including both infrastructure and non</w:t>
      </w:r>
      <w:r w:rsidR="00411A4C">
        <w:noBreakHyphen/>
        <w:t>infrastructure solutions) are not always considered</w:t>
      </w:r>
      <w:r>
        <w:t xml:space="preserve">, and </w:t>
      </w:r>
      <w:r w:rsidR="00411A4C">
        <w:t xml:space="preserve">governments have announced their </w:t>
      </w:r>
      <w:r>
        <w:t>preferred options prior to business case development</w:t>
      </w:r>
      <w:r w:rsidR="00411A4C">
        <w:t xml:space="preserve"> on </w:t>
      </w:r>
      <w:proofErr w:type="gramStart"/>
      <w:r w:rsidR="00411A4C">
        <w:t>a number of</w:t>
      </w:r>
      <w:proofErr w:type="gramEnd"/>
      <w:r w:rsidR="00411A4C">
        <w:t xml:space="preserve"> occasions</w:t>
      </w:r>
      <w:r w:rsidRPr="009541F3">
        <w:t>.</w:t>
      </w:r>
    </w:p>
    <w:p w14:paraId="68075523" w14:textId="186F1D6B" w:rsidR="00F71594" w:rsidRDefault="00F71594" w:rsidP="00F7159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71594" w14:paraId="2764F91B" w14:textId="77777777" w:rsidTr="00A3117A">
        <w:trPr>
          <w:tblHeader/>
        </w:trPr>
        <w:tc>
          <w:tcPr>
            <w:tcW w:w="5000" w:type="pct"/>
            <w:tcBorders>
              <w:top w:val="single" w:sz="6" w:space="0" w:color="78A22F"/>
              <w:left w:val="nil"/>
              <w:bottom w:val="nil"/>
              <w:right w:val="nil"/>
            </w:tcBorders>
            <w:shd w:val="clear" w:color="auto" w:fill="F2F2F2"/>
          </w:tcPr>
          <w:p w14:paraId="7C5A1859" w14:textId="1E6600BE" w:rsidR="00F71594" w:rsidRDefault="00F71594" w:rsidP="00E215D2">
            <w:pPr>
              <w:pStyle w:val="BoxTitle"/>
            </w:pPr>
            <w:r>
              <w:rPr>
                <w:b w:val="0"/>
              </w:rPr>
              <w:t xml:space="preserve">Box </w:t>
            </w:r>
            <w:r w:rsidR="00E215D2">
              <w:rPr>
                <w:b w:val="0"/>
              </w:rPr>
              <w:t>5</w:t>
            </w:r>
            <w:r>
              <w:tab/>
              <w:t>Infrastructure Australia’s decision</w:t>
            </w:r>
            <w:r>
              <w:noBreakHyphen/>
              <w:t>making principles</w:t>
            </w:r>
          </w:p>
        </w:tc>
      </w:tr>
      <w:tr w:rsidR="00F71594" w14:paraId="70C3A1BA" w14:textId="77777777" w:rsidTr="00A3117A">
        <w:tc>
          <w:tcPr>
            <w:tcW w:w="5000" w:type="pct"/>
            <w:tcBorders>
              <w:top w:val="nil"/>
              <w:left w:val="nil"/>
              <w:bottom w:val="nil"/>
              <w:right w:val="nil"/>
            </w:tcBorders>
            <w:shd w:val="clear" w:color="auto" w:fill="F2F2F2"/>
          </w:tcPr>
          <w:p w14:paraId="67B55480" w14:textId="31B13D9E" w:rsidR="00F71594" w:rsidRDefault="00F71594" w:rsidP="00A3117A">
            <w:pPr>
              <w:pStyle w:val="Box"/>
            </w:pPr>
            <w:r>
              <w:t>In 201</w:t>
            </w:r>
            <w:r w:rsidR="00E2355B">
              <w:t>8</w:t>
            </w:r>
            <w:r>
              <w:t>, Infrastructure Australia published a set of principles to guide infrastructure decision making.</w:t>
            </w:r>
          </w:p>
          <w:p w14:paraId="3277AE95" w14:textId="77777777" w:rsidR="00F71594" w:rsidRDefault="00F71594" w:rsidP="00FD0670">
            <w:pPr>
              <w:pStyle w:val="BoxListNumber"/>
              <w:numPr>
                <w:ilvl w:val="0"/>
                <w:numId w:val="33"/>
              </w:numPr>
            </w:pPr>
            <w:r>
              <w:t>Governments should quantify infrastructure problems and opportunities as part of long</w:t>
            </w:r>
            <w:r>
              <w:noBreakHyphen/>
              <w:t>term planning processes.</w:t>
            </w:r>
          </w:p>
          <w:p w14:paraId="34715C2D" w14:textId="77777777" w:rsidR="00F71594" w:rsidRDefault="00F71594" w:rsidP="00A3117A">
            <w:pPr>
              <w:pStyle w:val="BoxListNumber"/>
            </w:pPr>
            <w:r>
              <w:t>Proponents should identify potential infrastructure needs in response to quantified infrastructure problems.</w:t>
            </w:r>
          </w:p>
          <w:p w14:paraId="7BEA0036" w14:textId="4D6EEE02" w:rsidR="00F71594" w:rsidRDefault="00F71594" w:rsidP="00DE0FB7">
            <w:pPr>
              <w:pStyle w:val="BoxListNumber"/>
            </w:pPr>
            <w:r>
              <w:t>Proponents should invest in development studies to scope potential responses</w:t>
            </w:r>
            <w:r w:rsidR="00E2355B">
              <w:t>. This</w:t>
            </w:r>
            <w:r w:rsidR="00CD4D3C">
              <w:t xml:space="preserve"> includ</w:t>
            </w:r>
            <w:r w:rsidR="00E2355B">
              <w:t>es</w:t>
            </w:r>
            <w:r w:rsidR="00CD4D3C">
              <w:t xml:space="preserve"> </w:t>
            </w:r>
            <w:r w:rsidR="00E561A7">
              <w:t>responses</w:t>
            </w:r>
            <w:r w:rsidR="00CD4D3C">
              <w:t xml:space="preserve"> that make better use of existing infrastructure, or reform of regulatory and pricing settings</w:t>
            </w:r>
            <w:r>
              <w:t>.</w:t>
            </w:r>
          </w:p>
          <w:p w14:paraId="5B171DF6" w14:textId="77777777" w:rsidR="00F71594" w:rsidRDefault="00F71594" w:rsidP="00A3117A">
            <w:pPr>
              <w:pStyle w:val="BoxListNumber"/>
            </w:pPr>
            <w:r>
              <w:t>Where an infrastructure need is identified, governments should take steps to ensure potential responses can be delivered efficiently and affordably.</w:t>
            </w:r>
          </w:p>
          <w:p w14:paraId="20E55A6F" w14:textId="77777777" w:rsidR="00F71594" w:rsidRDefault="00F71594" w:rsidP="00A3117A">
            <w:pPr>
              <w:pStyle w:val="BoxListNumber"/>
            </w:pPr>
            <w:r>
              <w:t>Governments should undertake detailed analysis of a potential project through a full business case and should not announce a preferred option or cost profile before undertaking detailed analysis involving multiple options.</w:t>
            </w:r>
          </w:p>
          <w:p w14:paraId="19CB15AA" w14:textId="77777777" w:rsidR="00F71594" w:rsidRDefault="00F71594" w:rsidP="00A3117A">
            <w:pPr>
              <w:pStyle w:val="BoxListNumber"/>
            </w:pPr>
            <w:r>
              <w:t>Proponents should assess the viability of alternative funding sources for each potential project.</w:t>
            </w:r>
          </w:p>
          <w:p w14:paraId="1F0ADD39" w14:textId="77777777" w:rsidR="00F71594" w:rsidRDefault="00F71594" w:rsidP="00A3117A">
            <w:pPr>
              <w:pStyle w:val="BoxListNumber"/>
            </w:pPr>
            <w:r>
              <w:t xml:space="preserve">Project proposals should be independently assessed by an appropriate </w:t>
            </w:r>
            <w:proofErr w:type="gramStart"/>
            <w:r>
              <w:t>third party</w:t>
            </w:r>
            <w:proofErr w:type="gramEnd"/>
            <w:r>
              <w:t xml:space="preserve"> organisation.</w:t>
            </w:r>
          </w:p>
          <w:p w14:paraId="7ED58B9A" w14:textId="77777777" w:rsidR="00F71594" w:rsidRDefault="00F71594" w:rsidP="00A3117A">
            <w:pPr>
              <w:pStyle w:val="BoxListNumber"/>
            </w:pPr>
            <w:r>
              <w:t>Governments and proponents should undertake meaningful stakeholder engagement at each stage, from problem identification and option development to project delivery.</w:t>
            </w:r>
          </w:p>
          <w:p w14:paraId="6159801D" w14:textId="77777777" w:rsidR="00F71594" w:rsidRDefault="00F71594" w:rsidP="00A3117A">
            <w:pPr>
              <w:pStyle w:val="BoxListNumber"/>
            </w:pPr>
            <w:r>
              <w:t>Governments and proponents should publicly release all information supporting their infrastructure decisions.</w:t>
            </w:r>
          </w:p>
          <w:p w14:paraId="4194CB67" w14:textId="77777777" w:rsidR="00F71594" w:rsidRDefault="00F71594" w:rsidP="00A3117A">
            <w:pPr>
              <w:pStyle w:val="BoxListNumber"/>
            </w:pPr>
            <w:r>
              <w:t xml:space="preserve">Governments should commit to, </w:t>
            </w:r>
            <w:proofErr w:type="gramStart"/>
            <w:r>
              <w:t>develop</w:t>
            </w:r>
            <w:proofErr w:type="gramEnd"/>
            <w:r>
              <w:t xml:space="preserve"> and release post</w:t>
            </w:r>
            <w:r>
              <w:noBreakHyphen/>
              <w:t>completion reviews.</w:t>
            </w:r>
          </w:p>
          <w:p w14:paraId="044BF35B" w14:textId="77777777" w:rsidR="00F71594" w:rsidRDefault="00F71594" w:rsidP="00A3117A">
            <w:pPr>
              <w:pStyle w:val="BoxListNumber"/>
            </w:pPr>
            <w:r>
              <w:t>Where projects are funded as part of a broader program, the corresponding decision</w:t>
            </w:r>
            <w:r>
              <w:noBreakHyphen/>
              <w:t>making processes should be robust, transparent and prioritise value for money.</w:t>
            </w:r>
          </w:p>
        </w:tc>
      </w:tr>
      <w:tr w:rsidR="00F71594" w14:paraId="20578C78" w14:textId="77777777" w:rsidTr="00A3117A">
        <w:tc>
          <w:tcPr>
            <w:tcW w:w="5000" w:type="pct"/>
            <w:tcBorders>
              <w:top w:val="nil"/>
              <w:left w:val="nil"/>
              <w:bottom w:val="nil"/>
              <w:right w:val="nil"/>
            </w:tcBorders>
            <w:shd w:val="clear" w:color="auto" w:fill="F2F2F2"/>
          </w:tcPr>
          <w:p w14:paraId="1C205B34" w14:textId="78E053FC" w:rsidR="00F71594" w:rsidRDefault="00F71594" w:rsidP="00E2355B">
            <w:pPr>
              <w:pStyle w:val="BoxSource"/>
            </w:pPr>
            <w:r>
              <w:rPr>
                <w:i/>
              </w:rPr>
              <w:t>Source</w:t>
            </w:r>
            <w:r w:rsidRPr="00167F06">
              <w:t xml:space="preserve">: </w:t>
            </w:r>
            <w:r w:rsidR="00E2355B">
              <w:t>IA</w:t>
            </w:r>
            <w:r>
              <w:t xml:space="preserve"> </w:t>
            </w:r>
            <w:r w:rsidRPr="004A4F30">
              <w:rPr>
                <w:rFonts w:cs="Arial"/>
              </w:rPr>
              <w:t>(2018b)</w:t>
            </w:r>
            <w:r>
              <w:t>.</w:t>
            </w:r>
          </w:p>
        </w:tc>
      </w:tr>
      <w:tr w:rsidR="00F71594" w14:paraId="01C5FAFF" w14:textId="77777777" w:rsidTr="00A3117A">
        <w:tc>
          <w:tcPr>
            <w:tcW w:w="5000" w:type="pct"/>
            <w:tcBorders>
              <w:top w:val="nil"/>
              <w:left w:val="nil"/>
              <w:bottom w:val="single" w:sz="6" w:space="0" w:color="78A22F"/>
              <w:right w:val="nil"/>
            </w:tcBorders>
            <w:shd w:val="clear" w:color="auto" w:fill="F2F2F2"/>
          </w:tcPr>
          <w:p w14:paraId="59B4A25F" w14:textId="77777777" w:rsidR="00F71594" w:rsidRDefault="00F71594" w:rsidP="00A3117A">
            <w:pPr>
              <w:pStyle w:val="Box"/>
              <w:spacing w:before="0" w:line="120" w:lineRule="exact"/>
            </w:pPr>
          </w:p>
        </w:tc>
      </w:tr>
      <w:tr w:rsidR="00F71594" w:rsidRPr="000863A5" w14:paraId="1CE57204" w14:textId="77777777" w:rsidTr="00A3117A">
        <w:tc>
          <w:tcPr>
            <w:tcW w:w="5000" w:type="pct"/>
            <w:tcBorders>
              <w:top w:val="single" w:sz="6" w:space="0" w:color="78A22F"/>
              <w:left w:val="nil"/>
              <w:bottom w:val="nil"/>
              <w:right w:val="nil"/>
            </w:tcBorders>
          </w:tcPr>
          <w:p w14:paraId="233AAC01" w14:textId="7D98D8EA" w:rsidR="00F71594" w:rsidRPr="00626D32" w:rsidRDefault="00F71594" w:rsidP="00A3117A">
            <w:pPr>
              <w:pStyle w:val="BoxSpaceBelow"/>
            </w:pPr>
          </w:p>
        </w:tc>
      </w:tr>
    </w:tbl>
    <w:p w14:paraId="128C5DA0" w14:textId="0FF295A7" w:rsidR="00FD20DF" w:rsidRDefault="00FF7043" w:rsidP="009A654A">
      <w:pPr>
        <w:pStyle w:val="BodyText"/>
        <w:keepNext/>
      </w:pPr>
      <w:r>
        <w:t>In general, Infrastructure Australia’s principles would provide a sound basis to underpin water infrastructure project selection processes, and b</w:t>
      </w:r>
      <w:r w:rsidRPr="009541F3">
        <w:t>etter adherence to this decision</w:t>
      </w:r>
      <w:r w:rsidRPr="009541F3">
        <w:noBreakHyphen/>
        <w:t xml:space="preserve">making process </w:t>
      </w:r>
      <w:r>
        <w:t xml:space="preserve">would help avoid uneconomic </w:t>
      </w:r>
      <w:r w:rsidR="00CD4D3C">
        <w:t>investments</w:t>
      </w:r>
      <w:r>
        <w:t>. A</w:t>
      </w:r>
      <w:r w:rsidR="00FD20DF">
        <w:t xml:space="preserve">t the very least, </w:t>
      </w:r>
      <w:r w:rsidR="00F71594">
        <w:t xml:space="preserve">project proponents </w:t>
      </w:r>
      <w:r w:rsidR="00FD20DF">
        <w:t>should ensure they:</w:t>
      </w:r>
    </w:p>
    <w:p w14:paraId="6C43AB98" w14:textId="21E02CD7" w:rsidR="00FD20DF" w:rsidRPr="00FD20DF" w:rsidRDefault="00FD20DF" w:rsidP="00873329">
      <w:pPr>
        <w:pStyle w:val="ListBullet"/>
      </w:pPr>
      <w:r w:rsidRPr="00FD20DF">
        <w:t xml:space="preserve">identify </w:t>
      </w:r>
      <w:r w:rsidR="00290A19">
        <w:t xml:space="preserve">and quantify </w:t>
      </w:r>
      <w:r w:rsidRPr="00FD20DF">
        <w:t>a clear problem or opportunity</w:t>
      </w:r>
      <w:r w:rsidR="00411A4C">
        <w:t>,</w:t>
      </w:r>
      <w:r w:rsidRPr="00FD20DF">
        <w:t xml:space="preserve"> </w:t>
      </w:r>
      <w:r w:rsidR="00F71594">
        <w:t>with reference to existing long</w:t>
      </w:r>
      <w:r w:rsidR="00F71594">
        <w:noBreakHyphen/>
        <w:t xml:space="preserve">term </w:t>
      </w:r>
      <w:proofErr w:type="gramStart"/>
      <w:r w:rsidR="00F71594">
        <w:t>pla</w:t>
      </w:r>
      <w:r w:rsidR="00411A4C">
        <w:t>n</w:t>
      </w:r>
      <w:r w:rsidR="00F71594">
        <w:t>n</w:t>
      </w:r>
      <w:r w:rsidR="00411A4C">
        <w:t>ing</w:t>
      </w:r>
      <w:proofErr w:type="gramEnd"/>
    </w:p>
    <w:p w14:paraId="5E496B03" w14:textId="3D656861" w:rsidR="00FD20DF" w:rsidRPr="00FD20DF" w:rsidRDefault="00FD20DF" w:rsidP="00FD20DF">
      <w:pPr>
        <w:pStyle w:val="ListBullet"/>
      </w:pPr>
      <w:r>
        <w:t>under</w:t>
      </w:r>
      <w:r w:rsidR="000D3F92">
        <w:t>take</w:t>
      </w:r>
      <w:r>
        <w:t xml:space="preserve"> options assessments and feasibility studies to identify the </w:t>
      </w:r>
      <w:r w:rsidR="000D3F92">
        <w:t xml:space="preserve">most </w:t>
      </w:r>
      <w:r>
        <w:t>promising solutions</w:t>
      </w:r>
      <w:r w:rsidR="002C650D">
        <w:t xml:space="preserve"> </w:t>
      </w:r>
      <w:r>
        <w:t>(which may not require additional water infrastructure</w:t>
      </w:r>
      <w:r w:rsidR="00F71594">
        <w:t>,</w:t>
      </w:r>
      <w:r w:rsidR="00290A19">
        <w:t xml:space="preserve"> nor government investment</w:t>
      </w:r>
      <w:r w:rsidR="00241586">
        <w:t> — all options should be on the table</w:t>
      </w:r>
      <w:r>
        <w:t>)</w:t>
      </w:r>
    </w:p>
    <w:p w14:paraId="2C9C7F6A" w14:textId="139C00D3" w:rsidR="00864833" w:rsidRDefault="0048734A" w:rsidP="0048734A">
      <w:pPr>
        <w:pStyle w:val="ListBullet"/>
      </w:pPr>
      <w:r>
        <w:t>develop</w:t>
      </w:r>
      <w:r w:rsidRPr="000D3F92">
        <w:t xml:space="preserve"> a robust business case</w:t>
      </w:r>
      <w:r w:rsidR="00011902">
        <w:t xml:space="preserve"> </w:t>
      </w:r>
      <w:r w:rsidRPr="000D3F92">
        <w:t>to establish whether th</w:t>
      </w:r>
      <w:r>
        <w:t>os</w:t>
      </w:r>
      <w:r w:rsidRPr="000D3F92">
        <w:t>e</w:t>
      </w:r>
      <w:r>
        <w:t xml:space="preserve"> options are </w:t>
      </w:r>
      <w:r w:rsidRPr="000D3F92">
        <w:t>economically and</w:t>
      </w:r>
      <w:r>
        <w:t>/or</w:t>
      </w:r>
      <w:r w:rsidRPr="000D3F92">
        <w:t xml:space="preserve"> commercially viable</w:t>
      </w:r>
      <w:r w:rsidR="00241586">
        <w:t xml:space="preserve"> (based on criteria discussed below)</w:t>
      </w:r>
    </w:p>
    <w:p w14:paraId="218DFCC5" w14:textId="2F88D1B7" w:rsidR="00864833" w:rsidRDefault="00864833" w:rsidP="0048734A">
      <w:pPr>
        <w:pStyle w:val="ListBullet"/>
      </w:pPr>
      <w:r>
        <w:t>subject the business case to</w:t>
      </w:r>
      <w:r w:rsidR="0048734A">
        <w:t xml:space="preserve"> </w:t>
      </w:r>
      <w:bookmarkStart w:id="22" w:name="_Hlk60150382"/>
      <w:r w:rsidR="0048734A">
        <w:t xml:space="preserve">public and/or independent </w:t>
      </w:r>
      <w:proofErr w:type="gramStart"/>
      <w:r w:rsidR="0048734A">
        <w:t>critique</w:t>
      </w:r>
      <w:proofErr w:type="gramEnd"/>
      <w:r w:rsidR="0048734A">
        <w:t xml:space="preserve"> </w:t>
      </w:r>
      <w:bookmarkEnd w:id="22"/>
    </w:p>
    <w:p w14:paraId="389984A1" w14:textId="5A6A7F6C" w:rsidR="0048734A" w:rsidRPr="000D3F92" w:rsidRDefault="0048734A" w:rsidP="0048734A">
      <w:pPr>
        <w:pStyle w:val="ListBullet"/>
      </w:pPr>
      <w:r>
        <w:t xml:space="preserve">select the most worthwhile option based on that </w:t>
      </w:r>
      <w:r w:rsidR="00241586">
        <w:t>business case</w:t>
      </w:r>
      <w:r>
        <w:t>.</w:t>
      </w:r>
    </w:p>
    <w:p w14:paraId="54AA314B" w14:textId="56FA2C7E" w:rsidR="001671F4" w:rsidRDefault="00201EE2" w:rsidP="000D3F92">
      <w:pPr>
        <w:pStyle w:val="BodyText"/>
      </w:pPr>
      <w:r>
        <w:lastRenderedPageBreak/>
        <w:t xml:space="preserve">Each stage of </w:t>
      </w:r>
      <w:r w:rsidR="00F71594">
        <w:t>the decision</w:t>
      </w:r>
      <w:r w:rsidR="00F71594">
        <w:noBreakHyphen/>
        <w:t xml:space="preserve">making process </w:t>
      </w:r>
      <w:r>
        <w:t xml:space="preserve">should be coupled with meaningful stakeholder engagement, including with </w:t>
      </w:r>
      <w:r w:rsidR="00E8551B" w:rsidRPr="00C36561">
        <w:t xml:space="preserve">local </w:t>
      </w:r>
      <w:r w:rsidR="00E8551B">
        <w:t>governments</w:t>
      </w:r>
      <w:r w:rsidR="00E8551B" w:rsidRPr="00C36561">
        <w:t xml:space="preserve">, </w:t>
      </w:r>
      <w:r w:rsidR="00E8551B">
        <w:t xml:space="preserve">communities, natural resource management bodies, </w:t>
      </w:r>
      <w:r>
        <w:t>Traditional Owners</w:t>
      </w:r>
      <w:r w:rsidR="00E8551B">
        <w:t xml:space="preserve">, </w:t>
      </w:r>
      <w:r w:rsidR="00E8551B" w:rsidRPr="00C36561">
        <w:t xml:space="preserve">water service providers </w:t>
      </w:r>
      <w:r w:rsidR="00E8551B">
        <w:t xml:space="preserve">and </w:t>
      </w:r>
      <w:r w:rsidR="00E8551B" w:rsidRPr="00C36561">
        <w:t>infrastructure</w:t>
      </w:r>
      <w:r w:rsidR="00205B27">
        <w:t xml:space="preserve"> advisory bodies</w:t>
      </w:r>
      <w:r>
        <w:t>.</w:t>
      </w:r>
    </w:p>
    <w:p w14:paraId="7761B0C5" w14:textId="232BBC2C" w:rsidR="000D3F92" w:rsidRPr="000D3F92" w:rsidRDefault="00411A4C" w:rsidP="000D3F92">
      <w:pPr>
        <w:pStyle w:val="BodyText"/>
      </w:pPr>
      <w:r>
        <w:t>Importantly, g</w:t>
      </w:r>
      <w:r w:rsidR="000D3F92">
        <w:t>overnment funding</w:t>
      </w:r>
      <w:r w:rsidR="002C650D">
        <w:t xml:space="preserve"> or financing</w:t>
      </w:r>
      <w:r w:rsidR="000D3F92">
        <w:t xml:space="preserve"> </w:t>
      </w:r>
      <w:r>
        <w:t xml:space="preserve">for a project should </w:t>
      </w:r>
      <w:r w:rsidR="001D7A56">
        <w:t xml:space="preserve">only be committed to following </w:t>
      </w:r>
      <w:r>
        <w:t xml:space="preserve">an assessment of all sources of funding (consistent with </w:t>
      </w:r>
      <w:r w:rsidR="00E215D2">
        <w:t xml:space="preserve">box 5: </w:t>
      </w:r>
      <w:r>
        <w:t xml:space="preserve">principle 6), </w:t>
      </w:r>
      <w:r w:rsidR="001D7A56">
        <w:t>which occurs</w:t>
      </w:r>
      <w:r>
        <w:t xml:space="preserve"> </w:t>
      </w:r>
      <w:r w:rsidR="00FD20DF" w:rsidRPr="000D3F92">
        <w:t xml:space="preserve">after the </w:t>
      </w:r>
      <w:r w:rsidR="000D3F92" w:rsidRPr="007E440B">
        <w:t>business case</w:t>
      </w:r>
      <w:r w:rsidR="000D3F92" w:rsidRPr="000D3F92">
        <w:t xml:space="preserve"> </w:t>
      </w:r>
      <w:r w:rsidR="000D3F92">
        <w:t xml:space="preserve">is prepared. </w:t>
      </w:r>
      <w:r w:rsidR="001D7A56">
        <w:t>(</w:t>
      </w:r>
      <w:r>
        <w:t xml:space="preserve">The conditions for where government investment may be warranted is discussed below </w:t>
      </w:r>
      <w:r w:rsidR="002C650D">
        <w:t xml:space="preserve">as part of </w:t>
      </w:r>
      <w:r w:rsidR="00FD20DF" w:rsidRPr="000D3F92">
        <w:t>cost sharing arrangements</w:t>
      </w:r>
      <w:r>
        <w:t>.</w:t>
      </w:r>
      <w:r w:rsidR="001D7A56">
        <w:t>)</w:t>
      </w:r>
    </w:p>
    <w:p w14:paraId="60B015D8" w14:textId="77777777" w:rsidR="002400F8" w:rsidRDefault="002400F8" w:rsidP="002400F8">
      <w:pPr>
        <w:pStyle w:val="Heading4"/>
      </w:pPr>
      <w:r>
        <w:t>Post-completion review</w:t>
      </w:r>
    </w:p>
    <w:p w14:paraId="51493C7E" w14:textId="11A00E8F" w:rsidR="002400F8" w:rsidRDefault="002400F8" w:rsidP="002400F8">
      <w:pPr>
        <w:pStyle w:val="BodyText"/>
        <w:keepNext/>
      </w:pPr>
      <w:r>
        <w:t>A clear evidence base should be developed to support an adaptive approach to improve the quality of business cases</w:t>
      </w:r>
      <w:r w:rsidR="001D7A56">
        <w:t xml:space="preserve"> and to support effective project selection</w:t>
      </w:r>
      <w:r>
        <w:t>. As Engineers Australia (sub</w:t>
      </w:r>
      <w:r w:rsidR="00A74B02">
        <w:t>.</w:t>
      </w:r>
      <w:r>
        <w:t> 63</w:t>
      </w:r>
      <w:r w:rsidR="00E2355B">
        <w:t>, p. 19</w:t>
      </w:r>
      <w:r>
        <w:t xml:space="preserve">) noted, there is clear value in a public review of the outcomes of major projects. For example, the Infrastructure Australia </w:t>
      </w:r>
      <w:r w:rsidRPr="004A4F30">
        <w:rPr>
          <w:szCs w:val="24"/>
        </w:rPr>
        <w:t>(2018b, p. 3)</w:t>
      </w:r>
      <w:r>
        <w:t xml:space="preserve"> model of a post</w:t>
      </w:r>
      <w:r>
        <w:noBreakHyphen/>
        <w:t xml:space="preserve">completion review </w:t>
      </w:r>
      <w:r w:rsidR="001D7A56">
        <w:t>(</w:t>
      </w:r>
      <w:r w:rsidR="00E215D2">
        <w:t xml:space="preserve">box 5: </w:t>
      </w:r>
      <w:r w:rsidR="001D7A56">
        <w:t xml:space="preserve">principle 10) </w:t>
      </w:r>
      <w:r>
        <w:t>focuses on:</w:t>
      </w:r>
    </w:p>
    <w:p w14:paraId="01A285AB" w14:textId="77777777" w:rsidR="002400F8" w:rsidRDefault="002400F8" w:rsidP="002400F8">
      <w:pPr>
        <w:pStyle w:val="QuoteBullet"/>
      </w:pPr>
      <w:r>
        <w:t xml:space="preserve">measuring whether the economic case for a project established in its business case is realised over time through performance </w:t>
      </w:r>
      <w:proofErr w:type="gramStart"/>
      <w:r>
        <w:t>measures</w:t>
      </w:r>
      <w:proofErr w:type="gramEnd"/>
    </w:p>
    <w:p w14:paraId="52EEA712" w14:textId="77777777" w:rsidR="002400F8" w:rsidRDefault="002400F8" w:rsidP="002400F8">
      <w:pPr>
        <w:pStyle w:val="QuoteBullet"/>
      </w:pPr>
      <w:r>
        <w:t>whether the project was delivered on time and on budget</w:t>
      </w:r>
    </w:p>
    <w:p w14:paraId="288C2EFD" w14:textId="77777777" w:rsidR="002400F8" w:rsidRDefault="002400F8" w:rsidP="002400F8">
      <w:pPr>
        <w:pStyle w:val="QuoteBullet"/>
      </w:pPr>
      <w:r>
        <w:t>whether unforeseen risks emerged and how they were managed</w:t>
      </w:r>
    </w:p>
    <w:p w14:paraId="24F36FDC" w14:textId="77777777" w:rsidR="002400F8" w:rsidRDefault="002400F8" w:rsidP="002400F8">
      <w:pPr>
        <w:pStyle w:val="QuoteBullet"/>
      </w:pPr>
      <w:r w:rsidRPr="00067962">
        <w:t>extracting lessons to feed into future infrastructure development and delivery processes.</w:t>
      </w:r>
    </w:p>
    <w:p w14:paraId="11D6079D" w14:textId="1D9D5A8E" w:rsidR="002400F8" w:rsidRDefault="002400F8" w:rsidP="002400F8">
      <w:pPr>
        <w:pStyle w:val="BodyText"/>
      </w:pPr>
      <w:r>
        <w:t>Ensuring post</w:t>
      </w:r>
      <w:r>
        <w:noBreakHyphen/>
        <w:t xml:space="preserve">completion reviews of major water projects would, over time, help </w:t>
      </w:r>
      <w:r w:rsidR="001D7A56">
        <w:t>project proponents</w:t>
      </w:r>
      <w:r>
        <w:t xml:space="preserve"> address the risk of overly</w:t>
      </w:r>
      <w:r>
        <w:noBreakHyphen/>
        <w:t>optimistic project estimates (such as water demand, job creation or social benefits) by better refining the assumptions used to underpin those estimates.</w:t>
      </w:r>
    </w:p>
    <w:p w14:paraId="5D465EEC" w14:textId="351B7C24" w:rsidR="003A7270" w:rsidRDefault="00242FEA" w:rsidP="003A7270">
      <w:pPr>
        <w:pStyle w:val="Heading3"/>
      </w:pPr>
      <w:bookmarkStart w:id="23" w:name="_Toc62628688"/>
      <w:r>
        <w:t>3.2</w:t>
      </w:r>
      <w:r>
        <w:tab/>
      </w:r>
      <w:r w:rsidR="003A7270">
        <w:t>Criteria for infrastructure development under the NWI</w:t>
      </w:r>
      <w:bookmarkEnd w:id="23"/>
    </w:p>
    <w:p w14:paraId="64DF339C" w14:textId="0E046473" w:rsidR="00FA395C" w:rsidRDefault="00FA395C" w:rsidP="00FA395C">
      <w:pPr>
        <w:pStyle w:val="BodyText"/>
      </w:pPr>
      <w:r>
        <w:t xml:space="preserve">The following considers the necessary </w:t>
      </w:r>
      <w:r w:rsidR="00F71594">
        <w:t xml:space="preserve">criteria </w:t>
      </w:r>
      <w:r>
        <w:t xml:space="preserve">to be fulfilled </w:t>
      </w:r>
      <w:proofErr w:type="gramStart"/>
      <w:r>
        <w:t>in order for</w:t>
      </w:r>
      <w:proofErr w:type="gramEnd"/>
      <w:r>
        <w:t xml:space="preserve"> a major water infrastructure project </w:t>
      </w:r>
      <w:r w:rsidR="00FF7043">
        <w:t>to comply with the NWI principle</w:t>
      </w:r>
      <w:r w:rsidR="00290A19">
        <w:t xml:space="preserve"> </w:t>
      </w:r>
      <w:r w:rsidR="00E370DB">
        <w:t xml:space="preserve">— irrespective of </w:t>
      </w:r>
      <w:r w:rsidR="00290A19">
        <w:t>who funds it and how</w:t>
      </w:r>
      <w:r>
        <w:t>.</w:t>
      </w:r>
      <w:r w:rsidR="009541F3">
        <w:t xml:space="preserve"> </w:t>
      </w:r>
      <w:r w:rsidR="00F71594">
        <w:t>T</w:t>
      </w:r>
      <w:r w:rsidR="009541F3">
        <w:t>he detailed business case</w:t>
      </w:r>
      <w:r w:rsidR="00F71594">
        <w:t xml:space="preserve"> for a major project should demonstrate how these criteria are fulfilled</w:t>
      </w:r>
      <w:r w:rsidR="009541F3">
        <w:t>,</w:t>
      </w:r>
      <w:r w:rsidR="009A654A">
        <w:t xml:space="preserve"> as part of the project selection process and</w:t>
      </w:r>
      <w:r w:rsidR="00201EE2">
        <w:t xml:space="preserve"> prior </w:t>
      </w:r>
      <w:r w:rsidR="00AF1DAE">
        <w:t xml:space="preserve">to </w:t>
      </w:r>
      <w:r w:rsidR="009A654A">
        <w:t xml:space="preserve">both </w:t>
      </w:r>
      <w:r w:rsidR="00201EE2">
        <w:t>the commencement of works and</w:t>
      </w:r>
      <w:r w:rsidR="009541F3">
        <w:t xml:space="preserve"> any commitment of public funding to construction</w:t>
      </w:r>
      <w:r w:rsidR="009A654A">
        <w:t xml:space="preserve">. </w:t>
      </w:r>
    </w:p>
    <w:p w14:paraId="78037D19" w14:textId="4112494D" w:rsidR="00A4414F" w:rsidRDefault="003F7189" w:rsidP="00CC5390">
      <w:pPr>
        <w:pStyle w:val="Heading4"/>
      </w:pPr>
      <w:r>
        <w:t>Environmental sustainability</w:t>
      </w:r>
    </w:p>
    <w:p w14:paraId="4F6DEDE3" w14:textId="5105A4A2" w:rsidR="00F962B6" w:rsidRDefault="00345B07" w:rsidP="00A4414F">
      <w:pPr>
        <w:pStyle w:val="BodyText"/>
      </w:pPr>
      <w:r>
        <w:t>E</w:t>
      </w:r>
      <w:r w:rsidR="00A4414F">
        <w:t xml:space="preserve">nvironmental sustainability </w:t>
      </w:r>
      <w:r w:rsidR="00F962B6">
        <w:t xml:space="preserve">is </w:t>
      </w:r>
      <w:r>
        <w:t xml:space="preserve">a </w:t>
      </w:r>
      <w:r w:rsidR="00A4414F">
        <w:t xml:space="preserve">fundamental </w:t>
      </w:r>
      <w:r>
        <w:t xml:space="preserve">requirement of </w:t>
      </w:r>
      <w:r w:rsidR="00A4414F">
        <w:t xml:space="preserve">any </w:t>
      </w:r>
      <w:r w:rsidR="00F962B6">
        <w:t xml:space="preserve">major development, and the environmental impacts of a proposed development should be </w:t>
      </w:r>
      <w:r w:rsidR="009A654A">
        <w:t>identified as part of</w:t>
      </w:r>
      <w:r w:rsidR="00F962B6">
        <w:t xml:space="preserve"> the business case (including in the assessment of benefits and costs</w:t>
      </w:r>
      <w:r w:rsidR="009A654A">
        <w:t xml:space="preserve"> of the project</w:t>
      </w:r>
      <w:r w:rsidR="00F962B6">
        <w:t xml:space="preserve">) </w:t>
      </w:r>
      <w:r w:rsidR="009A654A">
        <w:t>to</w:t>
      </w:r>
      <w:r w:rsidR="00F962B6">
        <w:t xml:space="preserve"> inform the project selection processes.</w:t>
      </w:r>
    </w:p>
    <w:p w14:paraId="38E31E05" w14:textId="2C0B993B" w:rsidR="00A4414F" w:rsidRDefault="00E370DB" w:rsidP="00F962B6">
      <w:pPr>
        <w:pStyle w:val="BodyText"/>
        <w:keepNext/>
      </w:pPr>
      <w:r>
        <w:lastRenderedPageBreak/>
        <w:t xml:space="preserve">In keeping with current practice, </w:t>
      </w:r>
      <w:r w:rsidR="00F962B6">
        <w:t>environmental sustainability is also contingent on</w:t>
      </w:r>
      <w:r w:rsidR="00A4414F">
        <w:t>:</w:t>
      </w:r>
    </w:p>
    <w:p w14:paraId="2BA36BA7" w14:textId="18666FFB" w:rsidR="00864CE6" w:rsidRDefault="00F962B6" w:rsidP="00864CE6">
      <w:pPr>
        <w:pStyle w:val="ListBullet"/>
      </w:pPr>
      <w:r>
        <w:t xml:space="preserve">compliance with </w:t>
      </w:r>
      <w:r w:rsidR="00864CE6">
        <w:t>high</w:t>
      </w:r>
      <w:r w:rsidR="00864CE6">
        <w:noBreakHyphen/>
        <w:t>quality and NWI</w:t>
      </w:r>
      <w:r w:rsidR="00864CE6">
        <w:noBreakHyphen/>
        <w:t>consistent entitlement and planning frameworks</w:t>
      </w:r>
      <w:r>
        <w:t>, which should</w:t>
      </w:r>
      <w:r w:rsidR="00864CE6">
        <w:t xml:space="preserve"> </w:t>
      </w:r>
      <w:r w:rsidR="00864CE6" w:rsidRPr="00201EE2">
        <w:t>be in place</w:t>
      </w:r>
      <w:r w:rsidR="00E31941">
        <w:t xml:space="preserve"> prior to construction</w:t>
      </w:r>
      <w:r w:rsidR="00BD7E7C">
        <w:t>,</w:t>
      </w:r>
    </w:p>
    <w:p w14:paraId="0436A914" w14:textId="33AD8F87" w:rsidR="00864CE6" w:rsidRDefault="00864CE6" w:rsidP="00864CE6">
      <w:pPr>
        <w:pStyle w:val="ListBullet"/>
      </w:pPr>
      <w:r>
        <w:t xml:space="preserve">compliance with State, Territory and/or Australian </w:t>
      </w:r>
      <w:r w:rsidR="0015757E">
        <w:t>g</w:t>
      </w:r>
      <w:r>
        <w:t>overnment environmental approval processes</w:t>
      </w:r>
      <w:r w:rsidR="009A654A">
        <w:t xml:space="preserve"> (which is determined after project selection)</w:t>
      </w:r>
      <w:r w:rsidR="00201EE2">
        <w:t>.</w:t>
      </w:r>
    </w:p>
    <w:p w14:paraId="7728AFE3" w14:textId="5BAC0D6C" w:rsidR="00A4414F" w:rsidRDefault="00345B07" w:rsidP="00132761">
      <w:pPr>
        <w:pStyle w:val="Heading5"/>
      </w:pPr>
      <w:r>
        <w:t>Ensuring</w:t>
      </w:r>
      <w:r w:rsidR="00A4414F">
        <w:t xml:space="preserve"> water plans </w:t>
      </w:r>
      <w:r>
        <w:t xml:space="preserve">are </w:t>
      </w:r>
      <w:r w:rsidR="00E2355B">
        <w:t xml:space="preserve">of </w:t>
      </w:r>
      <w:r>
        <w:t xml:space="preserve">high </w:t>
      </w:r>
      <w:proofErr w:type="gramStart"/>
      <w:r>
        <w:t>quality</w:t>
      </w:r>
      <w:proofErr w:type="gramEnd"/>
    </w:p>
    <w:p w14:paraId="630FC6E7" w14:textId="6D2F1FBE" w:rsidR="001671F4" w:rsidRDefault="000D3F92" w:rsidP="00A4414F">
      <w:pPr>
        <w:pStyle w:val="BodyText"/>
      </w:pPr>
      <w:r>
        <w:t>A</w:t>
      </w:r>
      <w:r w:rsidR="00A4414F">
        <w:t xml:space="preserve">s discussed in </w:t>
      </w:r>
      <w:r w:rsidR="002C650D" w:rsidRPr="00E215CF">
        <w:t>S</w:t>
      </w:r>
      <w:r w:rsidR="00A4414F" w:rsidRPr="00E215CF">
        <w:t>P</w:t>
      </w:r>
      <w:r w:rsidR="00FB1D2B">
        <w:t> </w:t>
      </w:r>
      <w:proofErr w:type="gramStart"/>
      <w:r w:rsidR="00E215CF" w:rsidRPr="00E215CF">
        <w:t>A</w:t>
      </w:r>
      <w:proofErr w:type="gramEnd"/>
      <w:r w:rsidR="00A4414F" w:rsidRPr="00E215CF">
        <w:t> </w:t>
      </w:r>
      <w:r w:rsidR="009F34FB" w:rsidRPr="00E215CF">
        <w:rPr>
          <w:i/>
        </w:rPr>
        <w:t xml:space="preserve">Entitlements and </w:t>
      </w:r>
      <w:r w:rsidR="00694D84">
        <w:rPr>
          <w:i/>
        </w:rPr>
        <w:t>P</w:t>
      </w:r>
      <w:r w:rsidR="00A4414F" w:rsidRPr="00E215CF">
        <w:rPr>
          <w:i/>
        </w:rPr>
        <w:t>lanning</w:t>
      </w:r>
      <w:r w:rsidR="00A4414F">
        <w:t>, the NWI’s water planning framew</w:t>
      </w:r>
      <w:r w:rsidR="002873A7">
        <w:t xml:space="preserve">ork </w:t>
      </w:r>
      <w:r w:rsidR="00F06960">
        <w:t xml:space="preserve">does not </w:t>
      </w:r>
      <w:r w:rsidR="002873A7">
        <w:t>adequate</w:t>
      </w:r>
      <w:r w:rsidR="00F06960">
        <w:t>ly</w:t>
      </w:r>
      <w:r w:rsidR="002873A7">
        <w:t xml:space="preserve"> </w:t>
      </w:r>
      <w:r w:rsidR="00F06960">
        <w:t xml:space="preserve">account for </w:t>
      </w:r>
      <w:r w:rsidR="00A4414F">
        <w:t xml:space="preserve">the </w:t>
      </w:r>
      <w:r w:rsidR="002873A7">
        <w:t>long</w:t>
      </w:r>
      <w:r w:rsidR="002873A7">
        <w:noBreakHyphen/>
        <w:t xml:space="preserve">term </w:t>
      </w:r>
      <w:r w:rsidR="00A4414F">
        <w:t>impact of climate change on</w:t>
      </w:r>
      <w:r w:rsidR="002873A7">
        <w:t xml:space="preserve"> water</w:t>
      </w:r>
      <w:r w:rsidR="00A4414F">
        <w:t xml:space="preserve"> resource availability and reliability.</w:t>
      </w:r>
    </w:p>
    <w:p w14:paraId="7D314A34" w14:textId="53FE676E" w:rsidR="00F04658" w:rsidRPr="00E561A7" w:rsidRDefault="00E561A7" w:rsidP="00CE17C4">
      <w:pPr>
        <w:pStyle w:val="BodyText"/>
        <w:keepNext/>
      </w:pPr>
      <w:r>
        <w:t>To ensure future major developments are environmentally sustainable over the long term, and to provide greater assurance over the reliability characteristics of any consumptive entitlements provided, a high</w:t>
      </w:r>
      <w:r>
        <w:noBreakHyphen/>
        <w:t xml:space="preserve">quality water plan (based on the best available information and best practice) should be in place </w:t>
      </w:r>
      <w:r w:rsidRPr="00E370DB">
        <w:rPr>
          <w:i/>
        </w:rPr>
        <w:t>before</w:t>
      </w:r>
      <w:r>
        <w:t xml:space="preserve"> infrastructure is constructed. To ensure environmental sustainability of a new development, a high</w:t>
      </w:r>
      <w:r>
        <w:noBreakHyphen/>
        <w:t>quality water plan should:</w:t>
      </w:r>
    </w:p>
    <w:p w14:paraId="08608ADA" w14:textId="0330E55C" w:rsidR="00E561A7" w:rsidRDefault="00E561A7" w:rsidP="00E561A7">
      <w:pPr>
        <w:pStyle w:val="ListBullet"/>
      </w:pPr>
      <w:r>
        <w:t xml:space="preserve">establish the environmental water provisions necessary to meet agreed environmental outcomes </w:t>
      </w:r>
      <w:r w:rsidR="00DE0FB7">
        <w:t xml:space="preserve">against </w:t>
      </w:r>
      <w:r w:rsidR="00426934">
        <w:t>anticipated</w:t>
      </w:r>
      <w:r w:rsidR="00DE0FB7">
        <w:t xml:space="preserve"> </w:t>
      </w:r>
      <w:r>
        <w:t>regional</w:t>
      </w:r>
      <w:r w:rsidR="00DE0FB7">
        <w:noBreakHyphen/>
        <w:t>scale</w:t>
      </w:r>
      <w:r>
        <w:t xml:space="preserve"> climate </w:t>
      </w:r>
      <w:proofErr w:type="gramStart"/>
      <w:r>
        <w:t>change</w:t>
      </w:r>
      <w:proofErr w:type="gramEnd"/>
    </w:p>
    <w:p w14:paraId="7ABB7C66" w14:textId="130CDF0C" w:rsidR="00E561A7" w:rsidRDefault="00E561A7" w:rsidP="00E561A7">
      <w:pPr>
        <w:pStyle w:val="ListBullet"/>
      </w:pPr>
      <w:r>
        <w:t>set out the social</w:t>
      </w:r>
      <w:r w:rsidR="00CF066B">
        <w:t>, economic</w:t>
      </w:r>
      <w:r>
        <w:t xml:space="preserve"> and cultural outcomes sought from the water </w:t>
      </w:r>
      <w:proofErr w:type="gramStart"/>
      <w:r>
        <w:t>plan</w:t>
      </w:r>
      <w:proofErr w:type="gramEnd"/>
    </w:p>
    <w:p w14:paraId="05A03F88" w14:textId="77777777" w:rsidR="00E561A7" w:rsidRDefault="00E561A7" w:rsidP="00E561A7">
      <w:pPr>
        <w:pStyle w:val="ListBullet"/>
      </w:pPr>
      <w:r>
        <w:t xml:space="preserve">clearly define the expected reliability of water rights, </w:t>
      </w:r>
      <w:proofErr w:type="gramStart"/>
      <w:r>
        <w:t>taking into account</w:t>
      </w:r>
      <w:proofErr w:type="gramEnd"/>
      <w:r>
        <w:t xml:space="preserve"> the likely impacts of climate change on the region</w:t>
      </w:r>
    </w:p>
    <w:p w14:paraId="0B5434C6" w14:textId="4532B7ED" w:rsidR="00E561A7" w:rsidRDefault="00E561A7" w:rsidP="00E561A7">
      <w:pPr>
        <w:pStyle w:val="ListBullet"/>
      </w:pPr>
      <w:r>
        <w:t xml:space="preserve">be developed with robust community </w:t>
      </w:r>
      <w:r w:rsidR="004F7072">
        <w:t>engagement</w:t>
      </w:r>
      <w:r>
        <w:t xml:space="preserve"> to </w:t>
      </w:r>
      <w:r w:rsidR="004F7072">
        <w:t>reflect</w:t>
      </w:r>
      <w:r>
        <w:t xml:space="preserve"> community values</w:t>
      </w:r>
      <w:r w:rsidR="00DE0FB7">
        <w:t>.</w:t>
      </w:r>
      <w:r w:rsidR="00DE0FB7" w:rsidRPr="00011902">
        <w:t xml:space="preserve"> </w:t>
      </w:r>
      <w:r w:rsidR="004F7072" w:rsidRPr="00C527AF">
        <w:t>(</w:t>
      </w:r>
      <w:r w:rsidR="00E215CF" w:rsidRPr="00E215CF">
        <w:t>SP</w:t>
      </w:r>
      <w:r w:rsidR="00FB1D2B">
        <w:t> </w:t>
      </w:r>
      <w:proofErr w:type="gramStart"/>
      <w:r w:rsidR="00E215CF" w:rsidRPr="00E215CF">
        <w:t>A</w:t>
      </w:r>
      <w:proofErr w:type="gramEnd"/>
      <w:r w:rsidR="00E215CF" w:rsidRPr="00E215CF">
        <w:t> </w:t>
      </w:r>
      <w:r w:rsidR="00E215CF" w:rsidRPr="00E215CF">
        <w:rPr>
          <w:i/>
        </w:rPr>
        <w:t xml:space="preserve">Entitlements and </w:t>
      </w:r>
      <w:r w:rsidR="00694D84">
        <w:rPr>
          <w:i/>
        </w:rPr>
        <w:t>P</w:t>
      </w:r>
      <w:r w:rsidR="00E215CF" w:rsidRPr="00E215CF">
        <w:rPr>
          <w:i/>
        </w:rPr>
        <w:t>lanning</w:t>
      </w:r>
      <w:r w:rsidR="004F7072">
        <w:t>).</w:t>
      </w:r>
    </w:p>
    <w:p w14:paraId="0F64352A" w14:textId="115C8DB1" w:rsidR="00DE0FB7" w:rsidRDefault="00DE0FB7" w:rsidP="00DE0FB7">
      <w:pPr>
        <w:pStyle w:val="BodyText"/>
      </w:pPr>
      <w:r w:rsidRPr="002C650D">
        <w:t xml:space="preserve">Where a major development is </w:t>
      </w:r>
      <w:r>
        <w:t>approved</w:t>
      </w:r>
      <w:r w:rsidRPr="002C650D">
        <w:t xml:space="preserve"> in an area without a water plan in place, the relevant State or Territory government should develop </w:t>
      </w:r>
      <w:r>
        <w:t xml:space="preserve">a </w:t>
      </w:r>
      <w:r w:rsidRPr="002C650D">
        <w:t xml:space="preserve">plan </w:t>
      </w:r>
      <w:r>
        <w:t xml:space="preserve">that </w:t>
      </w:r>
      <w:r w:rsidR="00426934">
        <w:t xml:space="preserve">specifies the agreed environmental outcomes, </w:t>
      </w:r>
      <w:r>
        <w:t>account</w:t>
      </w:r>
      <w:r w:rsidR="00426934">
        <w:t>ing</w:t>
      </w:r>
      <w:r>
        <w:t xml:space="preserve"> for the </w:t>
      </w:r>
      <w:r w:rsidR="00426934">
        <w:t xml:space="preserve">anticipated </w:t>
      </w:r>
      <w:r>
        <w:t xml:space="preserve">impact of </w:t>
      </w:r>
      <w:r w:rsidR="00426934">
        <w:t>the water infrastructure</w:t>
      </w:r>
      <w:r>
        <w:t xml:space="preserve">, and ensure that the </w:t>
      </w:r>
      <w:r w:rsidRPr="002C650D">
        <w:t xml:space="preserve">plan </w:t>
      </w:r>
      <w:r>
        <w:t xml:space="preserve">is </w:t>
      </w:r>
      <w:r w:rsidRPr="002C650D">
        <w:t xml:space="preserve">in </w:t>
      </w:r>
      <w:r>
        <w:t>place</w:t>
      </w:r>
      <w:r w:rsidRPr="002C650D">
        <w:t xml:space="preserve"> before the infrastructure is commissioned.</w:t>
      </w:r>
    </w:p>
    <w:p w14:paraId="0AD5523B" w14:textId="24680EDA" w:rsidR="009E1DF6" w:rsidRPr="002C650D" w:rsidRDefault="00C527AF" w:rsidP="00DE0FB7">
      <w:pPr>
        <w:pStyle w:val="BodyText"/>
      </w:pPr>
      <w:r>
        <w:t>Projects</w:t>
      </w:r>
      <w:r w:rsidR="009E1DF6">
        <w:t xml:space="preserve"> </w:t>
      </w:r>
      <w:r>
        <w:t>must</w:t>
      </w:r>
      <w:r w:rsidR="009E1DF6">
        <w:t xml:space="preserve"> also comply with </w:t>
      </w:r>
      <w:r>
        <w:t xml:space="preserve">relevant </w:t>
      </w:r>
      <w:r w:rsidR="009E1DF6">
        <w:t xml:space="preserve">State, Territory and/or Australian </w:t>
      </w:r>
      <w:r w:rsidR="0015757E">
        <w:t>g</w:t>
      </w:r>
      <w:r w:rsidR="009E1DF6">
        <w:t>overnment en</w:t>
      </w:r>
      <w:r>
        <w:t xml:space="preserve">vironmental approval processes. Although this </w:t>
      </w:r>
      <w:r w:rsidR="009E1DF6">
        <w:t>occur</w:t>
      </w:r>
      <w:r>
        <w:t>s</w:t>
      </w:r>
      <w:r w:rsidR="009E1DF6">
        <w:t xml:space="preserve"> after project selection</w:t>
      </w:r>
      <w:r>
        <w:t>, the costs of complying with those approvals should be considered as part of the business case</w:t>
      </w:r>
      <w:r w:rsidR="009E1DF6">
        <w:t>.</w:t>
      </w:r>
    </w:p>
    <w:p w14:paraId="2F008EAD" w14:textId="3102BCD4" w:rsidR="004D1FA7" w:rsidRDefault="006950D2" w:rsidP="00CC5390">
      <w:pPr>
        <w:pStyle w:val="Heading4"/>
      </w:pPr>
      <w:r w:rsidRPr="00FC44A8">
        <w:t>Economic viability</w:t>
      </w:r>
    </w:p>
    <w:p w14:paraId="02528099" w14:textId="396BD196" w:rsidR="00B01A3B" w:rsidRDefault="00B01A3B" w:rsidP="00B01A3B">
      <w:pPr>
        <w:pStyle w:val="BodyText"/>
      </w:pPr>
      <w:r>
        <w:t xml:space="preserve">As required by the NWI, the economic viability of any new infrastructure should be established during the development of a </w:t>
      </w:r>
      <w:r w:rsidR="00DF0917">
        <w:t xml:space="preserve">comprehensive </w:t>
      </w:r>
      <w:r>
        <w:t xml:space="preserve">business case. This helps ensure that the full range of options are considered, the option which offers the greatest net benefit to the community is </w:t>
      </w:r>
      <w:proofErr w:type="gramStart"/>
      <w:r>
        <w:t>selected ,</w:t>
      </w:r>
      <w:proofErr w:type="gramEnd"/>
      <w:r>
        <w:t xml:space="preserve"> and projects that represent a net cost to the Australian community are avoided. </w:t>
      </w:r>
    </w:p>
    <w:p w14:paraId="4C7218C9" w14:textId="0368A58F" w:rsidR="00FC44A8" w:rsidRDefault="00125FC6" w:rsidP="00FC44A8">
      <w:pPr>
        <w:pStyle w:val="BodyText"/>
      </w:pPr>
      <w:r>
        <w:lastRenderedPageBreak/>
        <w:t>Cost</w:t>
      </w:r>
      <w:r w:rsidR="00C07E9D">
        <w:t>–</w:t>
      </w:r>
      <w:r>
        <w:t xml:space="preserve">benefit </w:t>
      </w:r>
      <w:r w:rsidR="00FC44A8">
        <w:t xml:space="preserve">analysis </w:t>
      </w:r>
      <w:r w:rsidR="00E2355B">
        <w:t xml:space="preserve">(CBA) </w:t>
      </w:r>
      <w:r w:rsidR="00FC44A8">
        <w:t xml:space="preserve">is the key tool </w:t>
      </w:r>
      <w:r>
        <w:t xml:space="preserve">underpinning </w:t>
      </w:r>
      <w:r w:rsidR="00B360E2">
        <w:t>an</w:t>
      </w:r>
      <w:r>
        <w:t xml:space="preserve"> economic appraisal</w:t>
      </w:r>
      <w:r w:rsidR="00FC44A8">
        <w:t xml:space="preserve">. </w:t>
      </w:r>
      <w:r w:rsidR="00B360E2">
        <w:t>It allows</w:t>
      </w:r>
      <w:r w:rsidR="00FC44A8" w:rsidRPr="00E229D4">
        <w:t xml:space="preserve"> ‘the economic, social and environmental merit of a project proposal to be identified</w:t>
      </w:r>
      <w:r>
        <w:t xml:space="preserve">, measured, valued and compared’ </w:t>
      </w:r>
      <w:r w:rsidR="004A4F30" w:rsidRPr="004A4F30">
        <w:rPr>
          <w:szCs w:val="24"/>
        </w:rPr>
        <w:t>(IA </w:t>
      </w:r>
      <w:r w:rsidR="004A4F30" w:rsidRPr="00752124">
        <w:rPr>
          <w:szCs w:val="24"/>
        </w:rPr>
        <w:t>2018a, p. 18)</w:t>
      </w:r>
      <w:r w:rsidR="00FC44A8">
        <w:t xml:space="preserve">. </w:t>
      </w:r>
      <w:r w:rsidR="00B360E2">
        <w:t xml:space="preserve">This </w:t>
      </w:r>
      <w:r w:rsidR="00FC44A8">
        <w:t xml:space="preserve">demonstrates whether a project is in the best interests of the Australian community in aggregate, </w:t>
      </w:r>
      <w:r w:rsidR="00B360E2">
        <w:t>while also considering the nature and</w:t>
      </w:r>
      <w:r w:rsidR="00FC44A8">
        <w:t xml:space="preserve"> dist</w:t>
      </w:r>
      <w:r>
        <w:t xml:space="preserve">ribution of benefits and </w:t>
      </w:r>
      <w:proofErr w:type="gramStart"/>
      <w:r>
        <w:t>costs</w:t>
      </w:r>
      <w:r w:rsidR="00666780">
        <w:t>, and</w:t>
      </w:r>
      <w:proofErr w:type="gramEnd"/>
      <w:r w:rsidR="00666780">
        <w:t xml:space="preserve"> comparing each of those to alternative</w:t>
      </w:r>
      <w:r w:rsidR="00CE5BD8">
        <w:t xml:space="preserve"> ways of addressing the policy issue (such as alternative infrastructure projects, or changes to policy or regulatory settings)</w:t>
      </w:r>
      <w:r>
        <w:t>.</w:t>
      </w:r>
    </w:p>
    <w:p w14:paraId="25502308" w14:textId="19DD5388" w:rsidR="00DE0FB7" w:rsidRDefault="00DE0FB7" w:rsidP="00DE0FB7">
      <w:pPr>
        <w:pStyle w:val="BodyText"/>
      </w:pPr>
      <w:r w:rsidRPr="00FC44A8">
        <w:t xml:space="preserve">The basic principle is that the detailed business case for a major infrastructure development should demonstrate that the expected benefits of the project exceed the likely costs </w:t>
      </w:r>
      <w:r>
        <w:t xml:space="preserve">over its full expected lifetime </w:t>
      </w:r>
      <w:r w:rsidRPr="00FC44A8">
        <w:t xml:space="preserve">— usually </w:t>
      </w:r>
      <w:r>
        <w:t>considered</w:t>
      </w:r>
      <w:r w:rsidRPr="00FC44A8">
        <w:t xml:space="preserve"> as a benefit</w:t>
      </w:r>
      <w:r>
        <w:t>–</w:t>
      </w:r>
      <w:r w:rsidRPr="00FC44A8">
        <w:t xml:space="preserve">cost ratio (BCR) </w:t>
      </w:r>
      <w:r>
        <w:t>greater than</w:t>
      </w:r>
      <w:r w:rsidRPr="00FC44A8">
        <w:t xml:space="preserve"> one.</w:t>
      </w:r>
      <w:r>
        <w:t xml:space="preserve"> </w:t>
      </w:r>
      <w:r w:rsidR="00C527AF">
        <w:t xml:space="preserve">That said, </w:t>
      </w:r>
      <w:r>
        <w:t xml:space="preserve">economic assessments inevitably rely on assumptions, </w:t>
      </w:r>
      <w:proofErr w:type="gramStart"/>
      <w:r>
        <w:t>forecasts</w:t>
      </w:r>
      <w:proofErr w:type="gramEnd"/>
      <w:r>
        <w:t xml:space="preserve"> and projections</w:t>
      </w:r>
      <w:r w:rsidR="00C527AF">
        <w:t xml:space="preserve"> — each of </w:t>
      </w:r>
      <w:r>
        <w:t>which embod</w:t>
      </w:r>
      <w:r w:rsidR="00C527AF">
        <w:t>ies</w:t>
      </w:r>
      <w:r>
        <w:t xml:space="preserve"> a level of uncertainty. </w:t>
      </w:r>
      <w:r w:rsidR="00C527AF">
        <w:t>Marginally positive</w:t>
      </w:r>
      <w:r>
        <w:t xml:space="preserve"> BCRs warrant close attention</w:t>
      </w:r>
      <w:r w:rsidR="003A7469">
        <w:t xml:space="preserve">. </w:t>
      </w:r>
      <w:r w:rsidR="00DF0917">
        <w:t xml:space="preserve">For example, the </w:t>
      </w:r>
      <w:r w:rsidR="003A7469">
        <w:t>Commission has previously found that ‘</w:t>
      </w:r>
      <w:r w:rsidR="003A7469" w:rsidRPr="003A7469">
        <w:t xml:space="preserve">unless the tendency for optimism bias </w:t>
      </w:r>
      <w:r w:rsidR="00E8626B">
        <w:t xml:space="preserve">[overestimated benefits and underestimated costs] </w:t>
      </w:r>
      <w:r w:rsidR="003A7469" w:rsidRPr="003A7469">
        <w:t>is successfully overcome</w:t>
      </w:r>
      <w:r w:rsidR="00E2355B">
        <w:t xml:space="preserve"> …</w:t>
      </w:r>
      <w:r w:rsidR="00011902">
        <w:t xml:space="preserve"> </w:t>
      </w:r>
      <w:r w:rsidR="003A7469" w:rsidRPr="003A7469">
        <w:t>a project with a benefit–cost ratio just over one will likely impose net costs</w:t>
      </w:r>
      <w:r w:rsidR="003A7469">
        <w:t xml:space="preserve">’ </w:t>
      </w:r>
      <w:r w:rsidR="003A7469" w:rsidRPr="003A7469">
        <w:rPr>
          <w:szCs w:val="24"/>
        </w:rPr>
        <w:t>(PC 2014, p. 93)</w:t>
      </w:r>
      <w:r w:rsidR="003A7469">
        <w:t>.</w:t>
      </w:r>
      <w:r w:rsidR="00C527AF">
        <w:t xml:space="preserve"> </w:t>
      </w:r>
      <w:r w:rsidR="00B01A3B">
        <w:t xml:space="preserve">Such projects should not be considered as economically sound unless supported by appropriate risk and sensitivity analyses that account for the possibility of key assumptions not holding, particularly </w:t>
      </w:r>
      <w:proofErr w:type="gramStart"/>
      <w:r w:rsidR="00B01A3B">
        <w:t>in regard to</w:t>
      </w:r>
      <w:proofErr w:type="gramEnd"/>
      <w:r w:rsidR="00B01A3B">
        <w:t xml:space="preserve"> demand for water (discussed below).</w:t>
      </w:r>
    </w:p>
    <w:p w14:paraId="6E62BCEB" w14:textId="27573BAF" w:rsidR="00C527AF" w:rsidRDefault="00C527AF" w:rsidP="00DE0FB7">
      <w:pPr>
        <w:pStyle w:val="BodyText"/>
      </w:pPr>
      <w:r>
        <w:t>In general, the quality of water infrastructure businesses cases can be variable. These analyses should be robust</w:t>
      </w:r>
      <w:r w:rsidR="00E8626B">
        <w:t xml:space="preserve">. Achieving this </w:t>
      </w:r>
      <w:r>
        <w:t>requires a few conditions to be met.</w:t>
      </w:r>
    </w:p>
    <w:p w14:paraId="04DD2A06" w14:textId="445CF55F" w:rsidR="00FC44A8" w:rsidRDefault="00125FC6" w:rsidP="00000AAA">
      <w:pPr>
        <w:pStyle w:val="Heading5"/>
      </w:pPr>
      <w:r>
        <w:t xml:space="preserve">Transparent and </w:t>
      </w:r>
      <w:r w:rsidR="002504A6">
        <w:t xml:space="preserve">rigorous </w:t>
      </w:r>
      <w:r>
        <w:t>economic assessment</w:t>
      </w:r>
    </w:p>
    <w:p w14:paraId="40F64A20" w14:textId="62E60042" w:rsidR="00B66EE4" w:rsidRDefault="00B66EE4" w:rsidP="00B66EE4">
      <w:pPr>
        <w:pStyle w:val="BodyText"/>
      </w:pPr>
      <w:r>
        <w:t>Economic a</w:t>
      </w:r>
      <w:r w:rsidRPr="00D90EF1">
        <w:t>ssessments must consider long</w:t>
      </w:r>
      <w:r w:rsidRPr="00D90EF1">
        <w:noBreakHyphen/>
        <w:t xml:space="preserve">term benefits and costs for users </w:t>
      </w:r>
      <w:r>
        <w:t xml:space="preserve">(including irrigators, </w:t>
      </w:r>
      <w:proofErr w:type="gramStart"/>
      <w:r>
        <w:t>communities</w:t>
      </w:r>
      <w:proofErr w:type="gramEnd"/>
      <w:r>
        <w:t xml:space="preserve"> and Traditional Owners) </w:t>
      </w:r>
      <w:r w:rsidRPr="00D90EF1">
        <w:t xml:space="preserve">from </w:t>
      </w:r>
      <w:r>
        <w:t>improved</w:t>
      </w:r>
      <w:r w:rsidRPr="00D90EF1">
        <w:t xml:space="preserve"> access to water</w:t>
      </w:r>
      <w:r>
        <w:t>, relative to a clearly defined base case. Assessments should also consider the benefits and costs for non</w:t>
      </w:r>
      <w:r>
        <w:noBreakHyphen/>
        <w:t xml:space="preserve">users, including </w:t>
      </w:r>
      <w:r w:rsidRPr="00D90EF1">
        <w:t xml:space="preserve">downstream </w:t>
      </w:r>
      <w:r>
        <w:t>communities</w:t>
      </w:r>
      <w:r w:rsidRPr="00D90EF1">
        <w:t xml:space="preserve">, </w:t>
      </w:r>
      <w:r>
        <w:t xml:space="preserve">the </w:t>
      </w:r>
      <w:r w:rsidRPr="00D90EF1">
        <w:t>environment</w:t>
      </w:r>
      <w:r>
        <w:t xml:space="preserve">, </w:t>
      </w:r>
      <w:r w:rsidRPr="00D90EF1">
        <w:t xml:space="preserve">and Aboriginal </w:t>
      </w:r>
      <w:r>
        <w:t>and Torres Strait Islander people’s cultural heritage and values associated with water</w:t>
      </w:r>
      <w:r w:rsidRPr="00D90EF1">
        <w:t>.</w:t>
      </w:r>
    </w:p>
    <w:p w14:paraId="0D1CC43D" w14:textId="5E0F5434" w:rsidR="001671F4" w:rsidRDefault="003126AE" w:rsidP="00FC44A8">
      <w:pPr>
        <w:pStyle w:val="BodyText"/>
      </w:pPr>
      <w:r>
        <w:t xml:space="preserve">Many of these benefits and costs are difficult to </w:t>
      </w:r>
      <w:proofErr w:type="gramStart"/>
      <w:r>
        <w:t>quantify, and</w:t>
      </w:r>
      <w:proofErr w:type="gramEnd"/>
      <w:r>
        <w:t xml:space="preserve"> will often be reliant on assumptions. </w:t>
      </w:r>
      <w:r w:rsidR="00666780">
        <w:t>For example, although c</w:t>
      </w:r>
      <w:r w:rsidR="00666780" w:rsidRPr="00D90EF1">
        <w:t xml:space="preserve">limate change may </w:t>
      </w:r>
      <w:r w:rsidR="00666780">
        <w:t>create</w:t>
      </w:r>
      <w:r w:rsidR="00666780" w:rsidRPr="00D90EF1">
        <w:t xml:space="preserve"> a premium for water security, </w:t>
      </w:r>
      <w:r w:rsidR="00666780">
        <w:t xml:space="preserve">uncertainty over future rainfall and evaporation </w:t>
      </w:r>
      <w:r w:rsidR="00666780" w:rsidRPr="00D90EF1">
        <w:t>create</w:t>
      </w:r>
      <w:r w:rsidR="00666780">
        <w:t>s</w:t>
      </w:r>
      <w:r w:rsidR="00666780" w:rsidRPr="00D90EF1">
        <w:t xml:space="preserve"> </w:t>
      </w:r>
      <w:r w:rsidR="00666780">
        <w:t xml:space="preserve">further </w:t>
      </w:r>
      <w:r w:rsidR="00666780" w:rsidRPr="00D90EF1">
        <w:t xml:space="preserve">uncertainty over the </w:t>
      </w:r>
      <w:r w:rsidR="00666780">
        <w:t>likely</w:t>
      </w:r>
      <w:r w:rsidR="00666780" w:rsidRPr="00D90EF1">
        <w:t xml:space="preserve"> benefits and costs </w:t>
      </w:r>
      <w:r w:rsidR="00666780">
        <w:t xml:space="preserve">of an infrastructure investment. </w:t>
      </w:r>
      <w:r w:rsidR="00D90EF1">
        <w:t xml:space="preserve">An important way to ensure </w:t>
      </w:r>
      <w:r w:rsidR="00B360E2">
        <w:t>the</w:t>
      </w:r>
      <w:r w:rsidR="00D90EF1">
        <w:t xml:space="preserve"> assumptions </w:t>
      </w:r>
      <w:r w:rsidR="00B360E2">
        <w:t xml:space="preserve">underpinning these estimates </w:t>
      </w:r>
      <w:r w:rsidR="00D90EF1">
        <w:t xml:space="preserve">are robust is for them to be subject to public scrutiny. </w:t>
      </w:r>
      <w:r w:rsidR="00FC44A8">
        <w:t>For major</w:t>
      </w:r>
      <w:r w:rsidR="00D90EF1">
        <w:t xml:space="preserve"> water infrastructure projects</w:t>
      </w:r>
      <w:r w:rsidR="00FC44A8">
        <w:t>, business cases should be published as a matter of course</w:t>
      </w:r>
      <w:r w:rsidR="000D601C">
        <w:t>.</w:t>
      </w:r>
      <w:r w:rsidR="001D7A56">
        <w:t xml:space="preserve"> T</w:t>
      </w:r>
      <w:r w:rsidR="005018F4">
        <w:t>his is not currently the case in all jurisdictions</w:t>
      </w:r>
      <w:r w:rsidR="00666780">
        <w:t xml:space="preserve"> (</w:t>
      </w:r>
      <w:r w:rsidR="00E215CF">
        <w:rPr>
          <w:i/>
        </w:rPr>
        <w:t>A</w:t>
      </w:r>
      <w:r w:rsidR="00666780">
        <w:rPr>
          <w:i/>
        </w:rPr>
        <w:t>ssessment</w:t>
      </w:r>
      <w:r w:rsidR="00197E02">
        <w:t>: section 3.2</w:t>
      </w:r>
      <w:r w:rsidR="00666780">
        <w:t>)</w:t>
      </w:r>
      <w:r w:rsidR="00FC44A8">
        <w:t>.</w:t>
      </w:r>
    </w:p>
    <w:p w14:paraId="1D68722B" w14:textId="43125E89" w:rsidR="004808B5" w:rsidRDefault="004808B5" w:rsidP="004808B5">
      <w:pPr>
        <w:pStyle w:val="BodyText"/>
      </w:pPr>
      <w:r>
        <w:t xml:space="preserve">However, some </w:t>
      </w:r>
      <w:r w:rsidR="002B035D">
        <w:t xml:space="preserve">participants </w:t>
      </w:r>
      <w:r>
        <w:t>highlighted the need to recognise commercially sensitive information from project partners (</w:t>
      </w:r>
      <w:r w:rsidR="00E2355B">
        <w:t xml:space="preserve">for example, </w:t>
      </w:r>
      <w:r>
        <w:t>BHP, sub. 26</w:t>
      </w:r>
      <w:r w:rsidR="00E2355B">
        <w:t>, p. 5</w:t>
      </w:r>
      <w:r>
        <w:t xml:space="preserve">). </w:t>
      </w:r>
      <w:r w:rsidR="00E2355B">
        <w:t xml:space="preserve">Failing to publish business cases </w:t>
      </w:r>
      <w:proofErr w:type="gramStart"/>
      <w:r w:rsidR="00E2355B">
        <w:t>on the basis of</w:t>
      </w:r>
      <w:proofErr w:type="gramEnd"/>
      <w:r w:rsidR="00E2355B">
        <w:t xml:space="preserve"> commercial confidentiality </w:t>
      </w:r>
      <w:r>
        <w:t xml:space="preserve">should not be the norm. </w:t>
      </w:r>
      <w:r w:rsidRPr="000B5183">
        <w:t xml:space="preserve">In some instances, sensitive information may simply be redacted from publicly available business cases, if this does not significantly detract from assessing investment merits. </w:t>
      </w:r>
      <w:r>
        <w:t xml:space="preserve">But in cases of material commercial sensitivity, a qualified independent body should assess the business </w:t>
      </w:r>
      <w:r>
        <w:lastRenderedPageBreak/>
        <w:t>cases for major projects in</w:t>
      </w:r>
      <w:r>
        <w:noBreakHyphen/>
        <w:t>house and publish a review prior to governments committing funding, as Infrastructure Australia currently does for some major Australian Government investments. (This is also considered as part of the institutional arrangements below.)</w:t>
      </w:r>
    </w:p>
    <w:p w14:paraId="3DE1748B" w14:textId="1FF7D6C6" w:rsidR="004D1FA7" w:rsidRPr="00000AAA" w:rsidRDefault="00FB6A94" w:rsidP="00000AAA">
      <w:pPr>
        <w:pStyle w:val="Heading5"/>
      </w:pPr>
      <w:r w:rsidRPr="00000AAA">
        <w:t>Validat</w:t>
      </w:r>
      <w:r w:rsidR="00333BAF">
        <w:t>ing</w:t>
      </w:r>
      <w:r w:rsidRPr="00000AAA">
        <w:t xml:space="preserve"> </w:t>
      </w:r>
      <w:r w:rsidR="004D1FA7" w:rsidRPr="00000AAA">
        <w:t xml:space="preserve">demand for water </w:t>
      </w:r>
      <w:r w:rsidR="004808B5" w:rsidRPr="00000AAA">
        <w:t>infrastructure</w:t>
      </w:r>
    </w:p>
    <w:p w14:paraId="5B264AE6" w14:textId="15594096" w:rsidR="009D7907" w:rsidRPr="004F1E90" w:rsidRDefault="004572A4" w:rsidP="00000AAA">
      <w:pPr>
        <w:pStyle w:val="BodyText"/>
        <w:rPr>
          <w:spacing w:val="-2"/>
        </w:rPr>
      </w:pPr>
      <w:r w:rsidRPr="004F1E90">
        <w:rPr>
          <w:spacing w:val="-2"/>
        </w:rPr>
        <w:t>As noted above, overly</w:t>
      </w:r>
      <w:r w:rsidRPr="004F1E90">
        <w:rPr>
          <w:spacing w:val="-2"/>
        </w:rPr>
        <w:noBreakHyphen/>
        <w:t xml:space="preserve">optimistic estimates of private sector demand </w:t>
      </w:r>
      <w:proofErr w:type="gramStart"/>
      <w:r w:rsidRPr="004F1E90">
        <w:rPr>
          <w:spacing w:val="-2"/>
        </w:rPr>
        <w:t>are</w:t>
      </w:r>
      <w:proofErr w:type="gramEnd"/>
      <w:r w:rsidRPr="004F1E90">
        <w:rPr>
          <w:spacing w:val="-2"/>
        </w:rPr>
        <w:t xml:space="preserve"> a key shortcoming of some major water infrastructure projects </w:t>
      </w:r>
      <w:r w:rsidR="00E2355B" w:rsidRPr="004F1E90">
        <w:rPr>
          <w:spacing w:val="-2"/>
          <w:szCs w:val="24"/>
        </w:rPr>
        <w:t>(PC 2017a, p. 273)</w:t>
      </w:r>
      <w:r w:rsidR="00B94894" w:rsidRPr="004F1E90">
        <w:rPr>
          <w:spacing w:val="-2"/>
        </w:rPr>
        <w:t xml:space="preserve">. </w:t>
      </w:r>
      <w:r w:rsidR="009D7907" w:rsidRPr="004F1E90">
        <w:rPr>
          <w:spacing w:val="-2"/>
        </w:rPr>
        <w:t xml:space="preserve">This ‘optimism </w:t>
      </w:r>
      <w:proofErr w:type="spellStart"/>
      <w:r w:rsidR="009D7907" w:rsidRPr="004F1E90">
        <w:rPr>
          <w:spacing w:val="-2"/>
        </w:rPr>
        <w:t>bias’</w:t>
      </w:r>
      <w:proofErr w:type="spellEnd"/>
      <w:r w:rsidR="009D7907" w:rsidRPr="004F1E90">
        <w:rPr>
          <w:spacing w:val="-2"/>
        </w:rPr>
        <w:t xml:space="preserve"> is a key risk in </w:t>
      </w:r>
      <w:r w:rsidR="00D90EF1" w:rsidRPr="004F1E90">
        <w:rPr>
          <w:spacing w:val="-2"/>
        </w:rPr>
        <w:t>many</w:t>
      </w:r>
      <w:r w:rsidR="009D7907" w:rsidRPr="004F1E90">
        <w:rPr>
          <w:spacing w:val="-2"/>
        </w:rPr>
        <w:t xml:space="preserve"> infrastructure projects </w:t>
      </w:r>
      <w:r w:rsidR="004A4F30" w:rsidRPr="004F1E90">
        <w:rPr>
          <w:spacing w:val="-2"/>
          <w:szCs w:val="24"/>
        </w:rPr>
        <w:t>(PC 2014)</w:t>
      </w:r>
      <w:r w:rsidR="009D7907" w:rsidRPr="004F1E90">
        <w:rPr>
          <w:spacing w:val="-2"/>
        </w:rPr>
        <w:t xml:space="preserve">, putting </w:t>
      </w:r>
      <w:r w:rsidR="00B360E2" w:rsidRPr="004F1E90">
        <w:rPr>
          <w:spacing w:val="-2"/>
        </w:rPr>
        <w:t>further</w:t>
      </w:r>
      <w:r w:rsidR="009D7907" w:rsidRPr="004F1E90">
        <w:rPr>
          <w:spacing w:val="-2"/>
        </w:rPr>
        <w:t xml:space="preserve"> uncertainty </w:t>
      </w:r>
      <w:r w:rsidR="00BB5D8C" w:rsidRPr="004F1E90">
        <w:rPr>
          <w:spacing w:val="-2"/>
        </w:rPr>
        <w:t xml:space="preserve">over </w:t>
      </w:r>
      <w:r w:rsidR="00E87DC3" w:rsidRPr="004F1E90">
        <w:rPr>
          <w:spacing w:val="-2"/>
        </w:rPr>
        <w:t xml:space="preserve">the viability of </w:t>
      </w:r>
      <w:r w:rsidR="009D7907" w:rsidRPr="004F1E90">
        <w:rPr>
          <w:spacing w:val="-2"/>
        </w:rPr>
        <w:t>some projects</w:t>
      </w:r>
      <w:r w:rsidR="00E31941" w:rsidRPr="004F1E90">
        <w:rPr>
          <w:spacing w:val="-2"/>
        </w:rPr>
        <w:t>:</w:t>
      </w:r>
      <w:r w:rsidR="009D7907" w:rsidRPr="004F1E90">
        <w:rPr>
          <w:spacing w:val="-2"/>
        </w:rPr>
        <w:t xml:space="preserve"> many of the mooted economic benef</w:t>
      </w:r>
      <w:r w:rsidR="0085491D" w:rsidRPr="004F1E90">
        <w:rPr>
          <w:spacing w:val="-2"/>
        </w:rPr>
        <w:t>its may simply not materialise</w:t>
      </w:r>
      <w:r w:rsidRPr="004F1E90">
        <w:rPr>
          <w:spacing w:val="-2"/>
        </w:rPr>
        <w:t>, and projects with marginally positive net benefits may turn out not to be worthwhile</w:t>
      </w:r>
      <w:r w:rsidR="0085491D" w:rsidRPr="004F1E90">
        <w:rPr>
          <w:spacing w:val="-2"/>
        </w:rPr>
        <w:t>.</w:t>
      </w:r>
    </w:p>
    <w:p w14:paraId="0ECA6570" w14:textId="77777777" w:rsidR="001671F4" w:rsidRDefault="009D7907" w:rsidP="00B94894">
      <w:pPr>
        <w:pStyle w:val="BodyText"/>
      </w:pPr>
      <w:r>
        <w:t>Tools exist to help</w:t>
      </w:r>
      <w:r w:rsidR="00A4414F">
        <w:t xml:space="preserve"> address this bias </w:t>
      </w:r>
      <w:proofErr w:type="gramStart"/>
      <w:r w:rsidR="00A4414F">
        <w:t xml:space="preserve">upfront, </w:t>
      </w:r>
      <w:r w:rsidR="00E87DC3">
        <w:t>and</w:t>
      </w:r>
      <w:proofErr w:type="gramEnd"/>
      <w:r>
        <w:t xml:space="preserve"> help to ‘de</w:t>
      </w:r>
      <w:r w:rsidR="004D6BEE">
        <w:noBreakHyphen/>
      </w:r>
      <w:r>
        <w:t xml:space="preserve">risk’ public investment by demonstrating that the project is worthwhile </w:t>
      </w:r>
      <w:r w:rsidR="00A4414F">
        <w:t>under</w:t>
      </w:r>
      <w:r>
        <w:t xml:space="preserve"> a range of </w:t>
      </w:r>
      <w:r w:rsidR="00A4414F">
        <w:t>scenarios</w:t>
      </w:r>
      <w:r w:rsidR="00B360E2">
        <w:t xml:space="preserve"> (and limiting the government’s ongoing liability in the event that reality falls materially short of expectations)</w:t>
      </w:r>
      <w:r w:rsidR="00E87DC3">
        <w:t>.</w:t>
      </w:r>
    </w:p>
    <w:p w14:paraId="6987352F" w14:textId="02A854D0" w:rsidR="00277CAF" w:rsidRDefault="0085491D" w:rsidP="0085491D">
      <w:pPr>
        <w:pStyle w:val="BodyText"/>
      </w:pPr>
      <w:r>
        <w:t>In keeping with better practice, s</w:t>
      </w:r>
      <w:r w:rsidR="00BF30ED">
        <w:t xml:space="preserve">ensitivity analysis </w:t>
      </w:r>
      <w:r w:rsidR="009D7907">
        <w:t xml:space="preserve">should be utilised to consider </w:t>
      </w:r>
      <w:r>
        <w:t xml:space="preserve">the impacts of </w:t>
      </w:r>
      <w:r w:rsidR="009D7907">
        <w:t xml:space="preserve">alternative scenarios — such as </w:t>
      </w:r>
      <w:r w:rsidR="00277CAF" w:rsidRPr="00277CAF">
        <w:t xml:space="preserve">climate change and </w:t>
      </w:r>
      <w:r w:rsidR="009D7907">
        <w:t xml:space="preserve">regional </w:t>
      </w:r>
      <w:r w:rsidR="00277CAF" w:rsidRPr="00277CAF">
        <w:t>economic change</w:t>
      </w:r>
      <w:r w:rsidR="009D7907">
        <w:t xml:space="preserve"> —</w:t>
      </w:r>
      <w:r w:rsidR="00BF30ED">
        <w:t xml:space="preserve"> on demand and supply for water.</w:t>
      </w:r>
    </w:p>
    <w:p w14:paraId="4CABDF9A" w14:textId="0400AB5A" w:rsidR="000864B6" w:rsidRDefault="00E31941" w:rsidP="00E31941">
      <w:pPr>
        <w:pStyle w:val="BodyText"/>
      </w:pPr>
      <w:r>
        <w:t xml:space="preserve">It should also become common practice to </w:t>
      </w:r>
      <w:r w:rsidR="00F06960">
        <w:t>secure</w:t>
      </w:r>
      <w:r w:rsidR="009D7907">
        <w:t xml:space="preserve"> demand for </w:t>
      </w:r>
      <w:r>
        <w:t xml:space="preserve">any </w:t>
      </w:r>
      <w:r w:rsidR="009D7907">
        <w:t>new irrigation infrastructure</w:t>
      </w:r>
      <w:r w:rsidR="00F06960">
        <w:t xml:space="preserve"> upfront</w:t>
      </w:r>
      <w:r w:rsidR="009D7907">
        <w:t xml:space="preserve">, </w:t>
      </w:r>
      <w:r w:rsidR="00F06960">
        <w:t xml:space="preserve">for example, by </w:t>
      </w:r>
      <w:r>
        <w:t xml:space="preserve">auctioning </w:t>
      </w:r>
      <w:r w:rsidR="009D7907">
        <w:t>a share of water access entitlements to users prior to construction</w:t>
      </w:r>
      <w:r w:rsidR="000D601C">
        <w:t xml:space="preserve"> — as has been done in the Tasmanian Irrigation program </w:t>
      </w:r>
      <w:r w:rsidR="00E2355B" w:rsidRPr="00E2355B">
        <w:rPr>
          <w:szCs w:val="24"/>
        </w:rPr>
        <w:t>(PC 2017a, p. 286)</w:t>
      </w:r>
      <w:r w:rsidR="0050759B">
        <w:t>.</w:t>
      </w:r>
      <w:r w:rsidR="009D7907">
        <w:t xml:space="preserve"> This ensures ‘buy</w:t>
      </w:r>
      <w:r w:rsidR="009D7907">
        <w:noBreakHyphen/>
        <w:t xml:space="preserve">in’ and </w:t>
      </w:r>
      <w:r w:rsidR="00FC44A8">
        <w:t>provides investor certainty.</w:t>
      </w:r>
      <w:r w:rsidR="000864B6">
        <w:t xml:space="preserve"> The Queensland Government has also published guidelines on how to assess demand for water in business case development, including a customer commitment strategy through the phases of project development </w:t>
      </w:r>
      <w:r w:rsidR="00333BAF" w:rsidRPr="00333BAF">
        <w:rPr>
          <w:szCs w:val="24"/>
        </w:rPr>
        <w:t>(DNRME (Qld) 2020)</w:t>
      </w:r>
      <w:r w:rsidR="000864B6">
        <w:t>.</w:t>
      </w:r>
    </w:p>
    <w:p w14:paraId="2137928E" w14:textId="2757D7F1" w:rsidR="00EC29F1" w:rsidRDefault="00A554D5" w:rsidP="00EC29F1">
      <w:pPr>
        <w:pStyle w:val="Heading5"/>
      </w:pPr>
      <w:r>
        <w:t>Identifying</w:t>
      </w:r>
      <w:r w:rsidR="00EC29F1">
        <w:t xml:space="preserve"> social</w:t>
      </w:r>
      <w:r w:rsidR="000508A1">
        <w:t xml:space="preserve"> and distributional</w:t>
      </w:r>
      <w:r w:rsidR="00ED4C22">
        <w:t xml:space="preserve"> impacts</w:t>
      </w:r>
    </w:p>
    <w:p w14:paraId="0A34181B" w14:textId="54B4BF3F" w:rsidR="001671F4" w:rsidRDefault="00FC44A8" w:rsidP="00FC44A8">
      <w:pPr>
        <w:pStyle w:val="BodyText"/>
      </w:pPr>
      <w:r>
        <w:rPr>
          <w:rStyle w:val="BodyTextChar"/>
        </w:rPr>
        <w:t xml:space="preserve">A </w:t>
      </w:r>
      <w:r w:rsidR="0043760F">
        <w:rPr>
          <w:rStyle w:val="BodyTextChar"/>
        </w:rPr>
        <w:t>robust</w:t>
      </w:r>
      <w:r>
        <w:rPr>
          <w:rStyle w:val="BodyTextChar"/>
        </w:rPr>
        <w:t xml:space="preserve"> CBA should </w:t>
      </w:r>
      <w:r w:rsidR="005B2770">
        <w:rPr>
          <w:rStyle w:val="BodyTextChar"/>
        </w:rPr>
        <w:t xml:space="preserve">also </w:t>
      </w:r>
      <w:r>
        <w:t xml:space="preserve">consider the wider socioeconomic </w:t>
      </w:r>
      <w:r w:rsidRPr="00CC5390">
        <w:t>impacts</w:t>
      </w:r>
      <w:r>
        <w:t xml:space="preserve"> of major infrastructure, which can be positive or negative </w:t>
      </w:r>
      <w:r w:rsidR="004A4F30" w:rsidRPr="004A4F30">
        <w:rPr>
          <w:szCs w:val="24"/>
        </w:rPr>
        <w:t>(IA </w:t>
      </w:r>
      <w:r w:rsidR="004A4F30" w:rsidRPr="00F01E5E">
        <w:rPr>
          <w:szCs w:val="24"/>
        </w:rPr>
        <w:t>2018a, p.</w:t>
      </w:r>
      <w:r w:rsidR="004A4F30" w:rsidRPr="00752124">
        <w:rPr>
          <w:szCs w:val="24"/>
        </w:rPr>
        <w:t> 32)</w:t>
      </w:r>
      <w:r w:rsidR="000E5F54">
        <w:t xml:space="preserve">, and </w:t>
      </w:r>
      <w:r w:rsidR="00CB7ADD">
        <w:t>include distributional effects, such as income losses or gains for different regions or income groups</w:t>
      </w:r>
      <w:r w:rsidR="000E5F54">
        <w:t>. The</w:t>
      </w:r>
      <w:r w:rsidR="0064130D">
        <w:t>se</w:t>
      </w:r>
      <w:r w:rsidR="001D7A56">
        <w:t xml:space="preserve"> impacts</w:t>
      </w:r>
      <w:r w:rsidR="000E5F54">
        <w:t xml:space="preserve"> are</w:t>
      </w:r>
      <w:r>
        <w:t xml:space="preserve"> not </w:t>
      </w:r>
      <w:r w:rsidR="007C0978">
        <w:t xml:space="preserve">always </w:t>
      </w:r>
      <w:r>
        <w:t xml:space="preserve">considered </w:t>
      </w:r>
      <w:r w:rsidR="00B360E2">
        <w:t>within the</w:t>
      </w:r>
      <w:r w:rsidR="005B2770">
        <w:t xml:space="preserve"> economic </w:t>
      </w:r>
      <w:r w:rsidR="00B360E2">
        <w:t xml:space="preserve">costs and benefits that </w:t>
      </w:r>
      <w:r w:rsidR="005B2770">
        <w:t xml:space="preserve">form </w:t>
      </w:r>
      <w:r>
        <w:t>the benefit</w:t>
      </w:r>
      <w:r w:rsidR="00C43EDE">
        <w:t>–</w:t>
      </w:r>
      <w:r>
        <w:t>cost ratio</w:t>
      </w:r>
      <w:r w:rsidR="007C0978">
        <w:t xml:space="preserve"> — in many cases</w:t>
      </w:r>
      <w:r w:rsidR="000E5F54">
        <w:t xml:space="preserve"> t</w:t>
      </w:r>
      <w:r>
        <w:t xml:space="preserve">hey represent transfers between </w:t>
      </w:r>
      <w:r w:rsidR="005B2770">
        <w:t>sectors</w:t>
      </w:r>
      <w:r>
        <w:t xml:space="preserve"> of the economy, rather than economi</w:t>
      </w:r>
      <w:r w:rsidR="00CB7ADD">
        <w:t xml:space="preserve">c </w:t>
      </w:r>
      <w:r w:rsidR="000E5F54">
        <w:t xml:space="preserve">gains </w:t>
      </w:r>
      <w:r>
        <w:t>or new activity</w:t>
      </w:r>
      <w:r w:rsidR="005B2770">
        <w:t>. However,</w:t>
      </w:r>
      <w:r w:rsidR="00455078">
        <w:t xml:space="preserve"> they</w:t>
      </w:r>
      <w:r w:rsidR="00CB7ADD">
        <w:t xml:space="preserve"> can be a</w:t>
      </w:r>
      <w:r w:rsidR="00B360E2">
        <w:t xml:space="preserve"> key area of community concern</w:t>
      </w:r>
      <w:r w:rsidR="00FB6A94">
        <w:t>.</w:t>
      </w:r>
    </w:p>
    <w:p w14:paraId="45DF262A" w14:textId="6D660A3C" w:rsidR="00CB7ADD" w:rsidRDefault="00794070" w:rsidP="00FC44A8">
      <w:pPr>
        <w:pStyle w:val="BodyText"/>
      </w:pPr>
      <w:r>
        <w:t xml:space="preserve">Identifying the </w:t>
      </w:r>
      <w:r w:rsidR="00A3117A">
        <w:t xml:space="preserve">anticipated </w:t>
      </w:r>
      <w:r>
        <w:t>socioeconomic impacts</w:t>
      </w:r>
      <w:r w:rsidR="00FB6A94">
        <w:t xml:space="preserve"> </w:t>
      </w:r>
      <w:r>
        <w:t xml:space="preserve">of major water infrastructure </w:t>
      </w:r>
      <w:r w:rsidR="00FB6A94">
        <w:t>can help</w:t>
      </w:r>
      <w:r>
        <w:t xml:space="preserve"> governments manage negative adjustment pressures resulting from the </w:t>
      </w:r>
      <w:r w:rsidR="00C90F3C">
        <w:t>development</w:t>
      </w:r>
      <w:r w:rsidR="00A3117A">
        <w:t xml:space="preserve"> if it occurs</w:t>
      </w:r>
      <w:r>
        <w:t>, especially in shared systems (</w:t>
      </w:r>
      <w:r w:rsidR="00F06960">
        <w:t>S</w:t>
      </w:r>
      <w:r>
        <w:t>P</w:t>
      </w:r>
      <w:r w:rsidR="008D074E">
        <w:t> </w:t>
      </w:r>
      <w:r w:rsidR="00E215CF">
        <w:t>H</w:t>
      </w:r>
      <w:r>
        <w:t> </w:t>
      </w:r>
      <w:r w:rsidR="00F06960">
        <w:rPr>
          <w:i/>
        </w:rPr>
        <w:t>Rural</w:t>
      </w:r>
      <w:r>
        <w:t>).</w:t>
      </w:r>
    </w:p>
    <w:p w14:paraId="088A1E06" w14:textId="0075C6CB" w:rsidR="004C3260" w:rsidRDefault="00CB7ADD" w:rsidP="004C3260">
      <w:pPr>
        <w:pStyle w:val="BodyText"/>
      </w:pPr>
      <w:r>
        <w:t xml:space="preserve">Further, some government funding decisions are made </w:t>
      </w:r>
      <w:proofErr w:type="gramStart"/>
      <w:r>
        <w:t>in an attempt to</w:t>
      </w:r>
      <w:proofErr w:type="gramEnd"/>
      <w:r>
        <w:t xml:space="preserve"> </w:t>
      </w:r>
      <w:r w:rsidR="00B360E2">
        <w:t>influence</w:t>
      </w:r>
      <w:r>
        <w:t xml:space="preserve"> such distributional impacts (for example, favouring economic activity in one region over another</w:t>
      </w:r>
      <w:r w:rsidR="004C3260">
        <w:t xml:space="preserve"> in order to encourage regional development</w:t>
      </w:r>
      <w:r>
        <w:t xml:space="preserve">). Where </w:t>
      </w:r>
      <w:r w:rsidR="004C3260">
        <w:t xml:space="preserve">governments </w:t>
      </w:r>
      <w:r>
        <w:t>do so</w:t>
      </w:r>
      <w:r w:rsidR="00FC44A8">
        <w:t xml:space="preserve">, </w:t>
      </w:r>
      <w:r w:rsidR="00B0078A">
        <w:t xml:space="preserve">a high standard of rigour and transparency must be applied to the analysis to justify the public expenditure </w:t>
      </w:r>
      <w:r w:rsidR="00B360E2">
        <w:t xml:space="preserve">— </w:t>
      </w:r>
      <w:r w:rsidR="007C6C94">
        <w:lastRenderedPageBreak/>
        <w:t xml:space="preserve">prior examples have shown that, </w:t>
      </w:r>
      <w:proofErr w:type="gramStart"/>
      <w:r w:rsidR="007C6C94">
        <w:t>similar to</w:t>
      </w:r>
      <w:proofErr w:type="gramEnd"/>
      <w:r w:rsidR="007C6C94">
        <w:t xml:space="preserve"> estimates of water uptake, estimates of job creation can undershoot expectations (at times, spectacularly).</w:t>
      </w:r>
    </w:p>
    <w:p w14:paraId="113B8FE9" w14:textId="479B84E7" w:rsidR="007C6C94" w:rsidRDefault="007C6C94" w:rsidP="007C6C94">
      <w:pPr>
        <w:pStyle w:val="Heading4"/>
      </w:pPr>
      <w:bookmarkStart w:id="24" w:name="_Hlk58492635"/>
      <w:r>
        <w:t xml:space="preserve">Culturally responsive infrastructure development </w:t>
      </w:r>
      <w:r w:rsidR="0035199F">
        <w:t xml:space="preserve">processes </w:t>
      </w:r>
      <w:r>
        <w:t xml:space="preserve">that incorporate Aboriginal and Torres Strait Islander </w:t>
      </w:r>
      <w:r w:rsidR="004C3329">
        <w:t xml:space="preserve">people’s </w:t>
      </w:r>
      <w:r>
        <w:t xml:space="preserve">values </w:t>
      </w:r>
    </w:p>
    <w:p w14:paraId="28D85F71" w14:textId="175D3D0C" w:rsidR="002445FF" w:rsidRPr="004C7EC2" w:rsidRDefault="002445FF" w:rsidP="002445FF">
      <w:pPr>
        <w:pStyle w:val="BodyText"/>
      </w:pPr>
      <w:r>
        <w:t>In addition to the</w:t>
      </w:r>
      <w:r w:rsidR="00A554D5">
        <w:t xml:space="preserve"> existing</w:t>
      </w:r>
      <w:r>
        <w:t xml:space="preserve"> NWI principle</w:t>
      </w:r>
      <w:r w:rsidR="00FE7BAC">
        <w:t xml:space="preserve"> for new developments</w:t>
      </w:r>
      <w:r>
        <w:t xml:space="preserve">, </w:t>
      </w:r>
      <w:r w:rsidR="00FE7BAC">
        <w:t xml:space="preserve">proponents </w:t>
      </w:r>
      <w:r w:rsidR="0026644C">
        <w:t xml:space="preserve">should </w:t>
      </w:r>
      <w:r w:rsidR="00FE7BAC">
        <w:t>specifically account for</w:t>
      </w:r>
      <w:r>
        <w:t xml:space="preserve"> impacts on Aboriginal and Torres Strait Islander </w:t>
      </w:r>
      <w:r w:rsidR="00F75929">
        <w:t xml:space="preserve">people’s </w:t>
      </w:r>
      <w:r>
        <w:t xml:space="preserve">heritage and other cultural values associated with water. </w:t>
      </w:r>
    </w:p>
    <w:p w14:paraId="3F2F554B" w14:textId="5872AC19" w:rsidR="00A3117A" w:rsidRDefault="00A3117A" w:rsidP="00A3117A">
      <w:pPr>
        <w:pStyle w:val="BodyText"/>
      </w:pPr>
      <w:r>
        <w:t>Currently,</w:t>
      </w:r>
      <w:r w:rsidR="002445FF">
        <w:t xml:space="preserve"> this </w:t>
      </w:r>
      <w:r>
        <w:t xml:space="preserve">is usually done through </w:t>
      </w:r>
      <w:r w:rsidR="00FE7BAC">
        <w:t xml:space="preserve">compliance with any State, </w:t>
      </w:r>
      <w:r w:rsidR="002445FF">
        <w:t xml:space="preserve">Territory </w:t>
      </w:r>
      <w:r w:rsidR="00FE7BAC">
        <w:t xml:space="preserve">and Australian </w:t>
      </w:r>
      <w:r w:rsidR="0015757E">
        <w:t>g</w:t>
      </w:r>
      <w:r w:rsidR="00FE7BAC">
        <w:t xml:space="preserve">overnment </w:t>
      </w:r>
      <w:r w:rsidR="002445FF">
        <w:t xml:space="preserve">cultural heritage assessments </w:t>
      </w:r>
      <w:r w:rsidR="007C0978">
        <w:t>that occur once a project has been selected</w:t>
      </w:r>
      <w:r w:rsidR="002445FF">
        <w:t>, as well as engagement with</w:t>
      </w:r>
      <w:r w:rsidR="007C0978">
        <w:t xml:space="preserve"> the</w:t>
      </w:r>
      <w:r w:rsidR="002445FF">
        <w:t xml:space="preserve"> relevant </w:t>
      </w:r>
      <w:r w:rsidR="007C0978">
        <w:t>T</w:t>
      </w:r>
      <w:r w:rsidR="002445FF">
        <w:t xml:space="preserve">raditional </w:t>
      </w:r>
      <w:r w:rsidR="007C0978">
        <w:t>O</w:t>
      </w:r>
      <w:r w:rsidR="002445FF">
        <w:t>wner</w:t>
      </w:r>
      <w:r w:rsidR="007C0978">
        <w:t>s</w:t>
      </w:r>
      <w:r w:rsidR="002445FF">
        <w:t>.</w:t>
      </w:r>
      <w:r w:rsidR="000F0547">
        <w:t xml:space="preserve"> </w:t>
      </w:r>
      <w:r>
        <w:t xml:space="preserve">(The existing approval requirements are outlined in </w:t>
      </w:r>
      <w:r w:rsidR="00E215CF" w:rsidRPr="00E215CF">
        <w:t>SP</w:t>
      </w:r>
      <w:r w:rsidR="008D074E">
        <w:t> </w:t>
      </w:r>
      <w:r w:rsidR="00E215CF" w:rsidRPr="00E215CF">
        <w:t>D </w:t>
      </w:r>
      <w:r w:rsidR="00E215CF" w:rsidRPr="00E215CF">
        <w:rPr>
          <w:i/>
        </w:rPr>
        <w:t xml:space="preserve">Cultural </w:t>
      </w:r>
      <w:r w:rsidR="007B5E94">
        <w:rPr>
          <w:i/>
        </w:rPr>
        <w:t>a</w:t>
      </w:r>
      <w:r w:rsidRPr="00E215CF">
        <w:rPr>
          <w:i/>
        </w:rPr>
        <w:t>ccess</w:t>
      </w:r>
      <w:r w:rsidR="00E215CF" w:rsidRPr="00E215CF">
        <w:t>:</w:t>
      </w:r>
      <w:r w:rsidRPr="00E215CF">
        <w:t xml:space="preserve"> section 4</w:t>
      </w:r>
      <w:r w:rsidRPr="0026644C">
        <w:t>.</w:t>
      </w:r>
      <w:r>
        <w:t>)</w:t>
      </w:r>
    </w:p>
    <w:p w14:paraId="751ACA2C" w14:textId="0878E380" w:rsidR="00B66EE4" w:rsidRDefault="00B66EE4" w:rsidP="00B66EE4">
      <w:pPr>
        <w:pStyle w:val="BodyText"/>
      </w:pPr>
      <w:r>
        <w:t xml:space="preserve">However, to better support the aspirations of Traditional Owners — including pursuit of the inland water target under the National Agreement on </w:t>
      </w:r>
      <w:r w:rsidRPr="00E215CF">
        <w:t>Closing the Gap</w:t>
      </w:r>
      <w:r>
        <w:t xml:space="preserve"> — a renewed NWI should ensure that any new developments are culturally responsive. </w:t>
      </w:r>
      <w:r w:rsidR="00136489">
        <w:t>T</w:t>
      </w:r>
      <w:r>
        <w:t>hat</w:t>
      </w:r>
      <w:r w:rsidDel="008E31C6">
        <w:t xml:space="preserve"> is,</w:t>
      </w:r>
      <w:r>
        <w:t xml:space="preserve"> the aspirations and concerns of Traditional Owners </w:t>
      </w:r>
      <w:r w:rsidR="00136489">
        <w:t>should be</w:t>
      </w:r>
      <w:r>
        <w:t xml:space="preserve"> understood, </w:t>
      </w:r>
      <w:proofErr w:type="gramStart"/>
      <w:r>
        <w:t>discussed</w:t>
      </w:r>
      <w:proofErr w:type="gramEnd"/>
      <w:r>
        <w:t xml:space="preserve"> and considered in developing plans for major infrastructure. And </w:t>
      </w:r>
      <w:r w:rsidR="00136489">
        <w:t xml:space="preserve">project </w:t>
      </w:r>
      <w:r>
        <w:t>p</w:t>
      </w:r>
      <w:r w:rsidRPr="00D9383F">
        <w:t xml:space="preserve">roponents </w:t>
      </w:r>
      <w:r w:rsidR="00136489">
        <w:t xml:space="preserve">should </w:t>
      </w:r>
      <w:r w:rsidRPr="00D9383F">
        <w:t xml:space="preserve">specifically </w:t>
      </w:r>
      <w:r>
        <w:t xml:space="preserve">identify and </w:t>
      </w:r>
      <w:r w:rsidRPr="00D9383F">
        <w:t>account for impacts on Aboriginal and Torres Strait Islander</w:t>
      </w:r>
      <w:r>
        <w:t xml:space="preserve"> people’s</w:t>
      </w:r>
      <w:r w:rsidRPr="00D9383F">
        <w:t xml:space="preserve"> heritage and other cultural values associated with water</w:t>
      </w:r>
      <w:r>
        <w:t>.</w:t>
      </w:r>
    </w:p>
    <w:p w14:paraId="1FCAE1D6" w14:textId="4E8A2DDC" w:rsidR="00B66EE4" w:rsidRDefault="00B66EE4" w:rsidP="00B66EE4">
      <w:pPr>
        <w:pStyle w:val="BodyText"/>
      </w:pPr>
      <w:r>
        <w:t>In undeveloped systems, there</w:t>
      </w:r>
      <w:r w:rsidRPr="00D919A3">
        <w:t xml:space="preserve"> is an opportunity to consider the provision of Indigenous access entitlements</w:t>
      </w:r>
      <w:r w:rsidR="00865955">
        <w:t>. These may be</w:t>
      </w:r>
      <w:r w:rsidRPr="00D919A3">
        <w:t xml:space="preserve"> </w:t>
      </w:r>
      <w:r>
        <w:t xml:space="preserve">in lieu of identified impacts </w:t>
      </w:r>
      <w:r w:rsidR="00865955">
        <w:t xml:space="preserve">or to </w:t>
      </w:r>
      <w:r w:rsidRPr="00D919A3">
        <w:t>contribut</w:t>
      </w:r>
      <w:r w:rsidR="00865955">
        <w:t>e</w:t>
      </w:r>
      <w:r w:rsidRPr="00D919A3">
        <w:t xml:space="preserve"> to </w:t>
      </w:r>
      <w:r>
        <w:t xml:space="preserve">the future development of that community and to assist in </w:t>
      </w:r>
      <w:r w:rsidRPr="00D919A3">
        <w:t xml:space="preserve">meeting commitments under </w:t>
      </w:r>
      <w:r>
        <w:t xml:space="preserve">the National Agreement on </w:t>
      </w:r>
      <w:r w:rsidRPr="00D919A3">
        <w:t>Closing the Gap.</w:t>
      </w:r>
      <w:r>
        <w:t xml:space="preserve"> </w:t>
      </w:r>
      <w:r w:rsidR="00865955">
        <w:t xml:space="preserve">The provision of </w:t>
      </w:r>
      <w:r w:rsidR="00252E44">
        <w:t xml:space="preserve">those </w:t>
      </w:r>
      <w:r w:rsidR="00865955">
        <w:t>entitlements</w:t>
      </w:r>
      <w:r>
        <w:t xml:space="preserve"> should be seriously considered by governments. </w:t>
      </w:r>
    </w:p>
    <w:p w14:paraId="45469F4A" w14:textId="797F6BA7" w:rsidR="00B66EE4" w:rsidRPr="00D07C2A" w:rsidRDefault="00B66EE4" w:rsidP="00B66EE4">
      <w:pPr>
        <w:pStyle w:val="BodyText"/>
      </w:pPr>
      <w:r>
        <w:t>Further, some Traditional Owners have raised concerns about consultation processes for new developments (</w:t>
      </w:r>
      <w:r w:rsidRPr="00E215CF">
        <w:t>SP</w:t>
      </w:r>
      <w:r>
        <w:t> </w:t>
      </w:r>
      <w:r w:rsidRPr="00E215CF">
        <w:t>D </w:t>
      </w:r>
      <w:r w:rsidRPr="00E215CF">
        <w:rPr>
          <w:i/>
        </w:rPr>
        <w:t xml:space="preserve">Cultural </w:t>
      </w:r>
      <w:r w:rsidR="00B939A5">
        <w:rPr>
          <w:i/>
        </w:rPr>
        <w:t>a</w:t>
      </w:r>
      <w:r w:rsidRPr="00E215CF">
        <w:rPr>
          <w:i/>
        </w:rPr>
        <w:t>ccess</w:t>
      </w:r>
      <w:r>
        <w:t xml:space="preserve">). The Commission considers </w:t>
      </w:r>
      <w:r w:rsidRPr="004C477E">
        <w:t xml:space="preserve">that jurisdictions should </w:t>
      </w:r>
      <w:r>
        <w:t>ensure new developments are undertaken with high</w:t>
      </w:r>
      <w:r>
        <w:noBreakHyphen/>
        <w:t>quality engagement with Aboriginal and Torres Strait Islander people.</w:t>
      </w:r>
    </w:p>
    <w:p w14:paraId="4A666BFF" w14:textId="2851E918" w:rsidR="00A554D5" w:rsidRDefault="00A3117A" w:rsidP="00A3117A">
      <w:pPr>
        <w:pStyle w:val="BodyText"/>
      </w:pPr>
      <w:r>
        <w:t xml:space="preserve">The Commission welcomes views on how these values could be </w:t>
      </w:r>
      <w:r w:rsidR="004808B5">
        <w:t xml:space="preserve">promoted </w:t>
      </w:r>
      <w:r>
        <w:t xml:space="preserve">in the NWI water infrastructure element — noting that this should </w:t>
      </w:r>
      <w:r w:rsidR="007C0978">
        <w:t>not pre</w:t>
      </w:r>
      <w:r w:rsidR="007C0978">
        <w:noBreakHyphen/>
        <w:t>empt</w:t>
      </w:r>
      <w:r>
        <w:t xml:space="preserve"> the co</w:t>
      </w:r>
      <w:r>
        <w:noBreakHyphen/>
        <w:t xml:space="preserve">design process for a new element on Aboriginal and Torres Strait Islander </w:t>
      </w:r>
      <w:r w:rsidR="00365854">
        <w:t xml:space="preserve">people’s </w:t>
      </w:r>
      <w:r>
        <w:t>water access (</w:t>
      </w:r>
      <w:r w:rsidR="007C0978">
        <w:t xml:space="preserve">as discussed in </w:t>
      </w:r>
      <w:r w:rsidR="00E215CF" w:rsidRPr="00E215CF">
        <w:t>SP</w:t>
      </w:r>
      <w:r w:rsidR="008D074E">
        <w:t> </w:t>
      </w:r>
      <w:r w:rsidR="00E215CF" w:rsidRPr="00E215CF">
        <w:t>D </w:t>
      </w:r>
      <w:r w:rsidR="00E215CF" w:rsidRPr="00E215CF">
        <w:rPr>
          <w:i/>
        </w:rPr>
        <w:t xml:space="preserve">Cultural </w:t>
      </w:r>
      <w:r w:rsidR="007B5E94">
        <w:rPr>
          <w:i/>
        </w:rPr>
        <w:t>a</w:t>
      </w:r>
      <w:r w:rsidR="00E215CF" w:rsidRPr="00E215CF">
        <w:rPr>
          <w:i/>
        </w:rPr>
        <w:t>ccess</w:t>
      </w:r>
      <w:r>
        <w:t>).</w:t>
      </w:r>
    </w:p>
    <w:bookmarkEnd w:id="24"/>
    <w:p w14:paraId="76296364" w14:textId="4CDEBA18" w:rsidR="00A3117A" w:rsidRPr="004E3B94" w:rsidRDefault="00A3117A" w:rsidP="00A3117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A3117A" w14:paraId="493EA8B6" w14:textId="77777777" w:rsidTr="00A3117A">
        <w:trPr>
          <w:tblHeader/>
        </w:trPr>
        <w:tc>
          <w:tcPr>
            <w:tcW w:w="5000" w:type="pct"/>
            <w:tcBorders>
              <w:top w:val="single" w:sz="6" w:space="0" w:color="78A22F"/>
              <w:left w:val="nil"/>
              <w:bottom w:val="nil"/>
              <w:right w:val="nil"/>
            </w:tcBorders>
            <w:shd w:val="clear" w:color="auto" w:fill="auto"/>
          </w:tcPr>
          <w:p w14:paraId="2CD6D88F" w14:textId="4CFBB281" w:rsidR="00A3117A" w:rsidRPr="00CE4C64" w:rsidRDefault="00A3117A" w:rsidP="004F1E90">
            <w:pPr>
              <w:pStyle w:val="InformationRequestTitle"/>
              <w:spacing w:before="120"/>
            </w:pPr>
            <w:r w:rsidRPr="006E7EE2">
              <w:t xml:space="preserve">Information </w:t>
            </w:r>
            <w:r w:rsidRPr="00580F7B">
              <w:t>request</w:t>
            </w:r>
            <w:r w:rsidR="00DA2CA5">
              <w:t> 13.1</w:t>
            </w:r>
          </w:p>
        </w:tc>
      </w:tr>
      <w:tr w:rsidR="00A3117A" w:rsidRPr="00750BE2" w14:paraId="08AFDE28" w14:textId="77777777" w:rsidTr="00A3117A">
        <w:tc>
          <w:tcPr>
            <w:tcW w:w="5000" w:type="pct"/>
            <w:tcBorders>
              <w:top w:val="nil"/>
              <w:left w:val="nil"/>
              <w:bottom w:val="nil"/>
              <w:right w:val="nil"/>
            </w:tcBorders>
            <w:shd w:val="clear" w:color="auto" w:fill="auto"/>
          </w:tcPr>
          <w:p w14:paraId="03DB21E4" w14:textId="6A7E5860" w:rsidR="00A3117A" w:rsidRPr="006E7EE2" w:rsidRDefault="007C6C94" w:rsidP="004B5FBF">
            <w:pPr>
              <w:pStyle w:val="InformationRequest"/>
              <w:keepNext/>
            </w:pPr>
            <w:r>
              <w:t>How could a refreshed National Water Initiative ensure that major water infrastructure investments most effectively promote the aspirations of Traditional Owners and protect Aboriginal and Torres Strait Islander</w:t>
            </w:r>
            <w:r w:rsidR="00BC3FBC">
              <w:t xml:space="preserve"> people’s</w:t>
            </w:r>
            <w:r>
              <w:t xml:space="preserve"> heritage and cultural values? Should the </w:t>
            </w:r>
            <w:r w:rsidR="00B66EE4">
              <w:t xml:space="preserve">principle </w:t>
            </w:r>
            <w:r>
              <w:t>guiding new infrastructure be amended to ensure</w:t>
            </w:r>
            <w:r w:rsidR="004B5FBF">
              <w:t xml:space="preserve"> that planning processes for</w:t>
            </w:r>
            <w:r>
              <w:t xml:space="preserve"> developments are culturally responsive (</w:t>
            </w:r>
            <w:r w:rsidR="004B5FBF">
              <w:t xml:space="preserve">in addition to those developments being </w:t>
            </w:r>
            <w:r>
              <w:t>environmentally sustainable and economically viable)?</w:t>
            </w:r>
          </w:p>
        </w:tc>
      </w:tr>
      <w:tr w:rsidR="00A3117A" w14:paraId="00760AF7" w14:textId="77777777" w:rsidTr="00A3117A">
        <w:tc>
          <w:tcPr>
            <w:tcW w:w="5000" w:type="pct"/>
            <w:tcBorders>
              <w:top w:val="nil"/>
              <w:left w:val="nil"/>
              <w:bottom w:val="single" w:sz="6" w:space="0" w:color="78A22F"/>
              <w:right w:val="nil"/>
            </w:tcBorders>
            <w:shd w:val="clear" w:color="auto" w:fill="auto"/>
          </w:tcPr>
          <w:p w14:paraId="5DEA4C18" w14:textId="77777777" w:rsidR="00A3117A" w:rsidRDefault="00A3117A" w:rsidP="00A3117A">
            <w:pPr>
              <w:pStyle w:val="Space"/>
              <w:keepLines/>
            </w:pPr>
          </w:p>
        </w:tc>
      </w:tr>
      <w:tr w:rsidR="00A3117A" w:rsidRPr="000863A5" w14:paraId="55C2B366" w14:textId="77777777" w:rsidTr="00A3117A">
        <w:tc>
          <w:tcPr>
            <w:tcW w:w="5000" w:type="pct"/>
            <w:tcBorders>
              <w:top w:val="single" w:sz="6" w:space="0" w:color="78A22F"/>
              <w:left w:val="nil"/>
              <w:bottom w:val="nil"/>
              <w:right w:val="nil"/>
            </w:tcBorders>
          </w:tcPr>
          <w:p w14:paraId="4B8F5BD4" w14:textId="233F4249" w:rsidR="00A3117A" w:rsidRPr="00626D32" w:rsidRDefault="00A3117A" w:rsidP="00A3117A">
            <w:pPr>
              <w:pStyle w:val="BoxSpaceBelow"/>
              <w:keepLines/>
            </w:pPr>
          </w:p>
        </w:tc>
      </w:tr>
    </w:tbl>
    <w:p w14:paraId="2BA9692D" w14:textId="467F7816" w:rsidR="006950D2" w:rsidRDefault="00242FEA" w:rsidP="00A3117A">
      <w:pPr>
        <w:pStyle w:val="Heading3"/>
      </w:pPr>
      <w:bookmarkStart w:id="25" w:name="_Toc62628689"/>
      <w:r>
        <w:t>3.3</w:t>
      </w:r>
      <w:r>
        <w:tab/>
      </w:r>
      <w:r w:rsidR="003F7189">
        <w:t>C</w:t>
      </w:r>
      <w:r w:rsidR="00386398">
        <w:t>ost sharing</w:t>
      </w:r>
      <w:r w:rsidR="00E93C98">
        <w:t xml:space="preserve"> between users and governments</w:t>
      </w:r>
      <w:bookmarkEnd w:id="25"/>
    </w:p>
    <w:p w14:paraId="689825DF" w14:textId="247EAC06" w:rsidR="004808B5" w:rsidRPr="002873A7" w:rsidRDefault="004808B5" w:rsidP="004808B5">
      <w:pPr>
        <w:pStyle w:val="BodyText"/>
      </w:pPr>
      <w:r>
        <w:t xml:space="preserve">The funding and financing arrangements for a project, including any government subsidies, should only be determined after the </w:t>
      </w:r>
      <w:bookmarkStart w:id="26" w:name="_Hlk59089915"/>
      <w:r w:rsidR="00D64BF1" w:rsidRPr="006E78F6">
        <w:t xml:space="preserve">project has met all other criteria under the framework </w:t>
      </w:r>
      <w:r w:rsidR="003A7469" w:rsidRPr="006E78F6">
        <w:t>through the development of a business case</w:t>
      </w:r>
      <w:bookmarkEnd w:id="26"/>
      <w:r w:rsidR="003A7469">
        <w:t xml:space="preserve">. </w:t>
      </w:r>
    </w:p>
    <w:p w14:paraId="7BCFE240" w14:textId="72317440" w:rsidR="0026644C" w:rsidRPr="00B54ABC" w:rsidRDefault="005C6170" w:rsidP="004C7EC2">
      <w:pPr>
        <w:pStyle w:val="BodyText"/>
        <w:keepNext/>
      </w:pPr>
      <w:r>
        <w:t xml:space="preserve">The specific cost sharing arrangements will vary from project to </w:t>
      </w:r>
      <w:proofErr w:type="gramStart"/>
      <w:r>
        <w:t>project, but</w:t>
      </w:r>
      <w:proofErr w:type="gramEnd"/>
      <w:r>
        <w:t xml:space="preserve"> depend</w:t>
      </w:r>
      <w:r w:rsidR="007C0978">
        <w:t xml:space="preserve"> in part</w:t>
      </w:r>
      <w:r>
        <w:t xml:space="preserve"> on upfront economic and financial assessments </w:t>
      </w:r>
      <w:r w:rsidR="00D035F6">
        <w:t>of</w:t>
      </w:r>
      <w:r>
        <w:t xml:space="preserve"> economic and commercial viability</w:t>
      </w:r>
      <w:r w:rsidR="007C0978">
        <w:t>, and the distribution of benefits and costs from the project</w:t>
      </w:r>
      <w:r>
        <w:t>.</w:t>
      </w:r>
      <w:r w:rsidR="007C0978" w:rsidRPr="00F27690">
        <w:rPr>
          <w:rStyle w:val="FootnoteReference"/>
        </w:rPr>
        <w:footnoteReference w:id="8"/>
      </w:r>
      <w:r w:rsidR="004808B5">
        <w:t xml:space="preserve"> </w:t>
      </w:r>
      <w:r w:rsidR="0026644C">
        <w:t>The following should operate as high</w:t>
      </w:r>
      <w:r w:rsidR="0026644C">
        <w:noBreakHyphen/>
        <w:t>level principles</w:t>
      </w:r>
      <w:r w:rsidR="00120BED">
        <w:t xml:space="preserve"> for cost </w:t>
      </w:r>
      <w:r w:rsidR="0026644C">
        <w:t>sharing</w:t>
      </w:r>
      <w:r w:rsidR="0026644C" w:rsidRPr="00B54ABC">
        <w:t>.</w:t>
      </w:r>
      <w:r w:rsidR="003A7469" w:rsidRPr="00B54ABC">
        <w:t xml:space="preserve"> </w:t>
      </w:r>
    </w:p>
    <w:p w14:paraId="7127A636" w14:textId="2C58B387" w:rsidR="0026644C" w:rsidRDefault="007C6C94" w:rsidP="007C6C94">
      <w:pPr>
        <w:pStyle w:val="ListBullet"/>
      </w:pPr>
      <w:r>
        <w:t>Infrastructure investment that is both economically and commercially viable should be undertaken by the relevant water service provider, with full cost recovery from users and generally without government subsidy.</w:t>
      </w:r>
    </w:p>
    <w:p w14:paraId="2EB233E7" w14:textId="5745C1D3" w:rsidR="007C6C94" w:rsidRDefault="007C6C94" w:rsidP="007C6C94">
      <w:pPr>
        <w:pStyle w:val="ListBullet2"/>
      </w:pPr>
      <w:r>
        <w:t xml:space="preserve">The role of government should be limited to project approval, such as environmental, </w:t>
      </w:r>
      <w:proofErr w:type="gramStart"/>
      <w:r>
        <w:t>social</w:t>
      </w:r>
      <w:proofErr w:type="gramEnd"/>
      <w:r>
        <w:t xml:space="preserve"> and cultural heritage impact assessments. Any government expenditure should be recouped from users, except in cases of substantial public benefits.</w:t>
      </w:r>
    </w:p>
    <w:p w14:paraId="0F53B12C" w14:textId="183BB3E3" w:rsidR="004C3260" w:rsidRDefault="004C3260" w:rsidP="0026644C">
      <w:pPr>
        <w:pStyle w:val="ListBullet2"/>
      </w:pPr>
      <w:r>
        <w:t xml:space="preserve">Public benefits can include flood mitigation and recreational use of </w:t>
      </w:r>
      <w:proofErr w:type="gramStart"/>
      <w:r>
        <w:t>dams, but</w:t>
      </w:r>
      <w:proofErr w:type="gramEnd"/>
      <w:r>
        <w:t xml:space="preserve"> does not extend to regional development or similar strategic investments. (Investment for these purposes is considered below</w:t>
      </w:r>
      <w:r w:rsidR="00C51B64">
        <w:t>.</w:t>
      </w:r>
      <w:r>
        <w:t>)</w:t>
      </w:r>
    </w:p>
    <w:p w14:paraId="084E594D" w14:textId="19238D32" w:rsidR="0026644C" w:rsidRDefault="0026644C" w:rsidP="0026644C">
      <w:pPr>
        <w:pStyle w:val="ListBullet"/>
      </w:pPr>
      <w:r>
        <w:t>Major water infrastructure that is not economically viable should not proceed, except where necessary to provide a basic essential service.</w:t>
      </w:r>
    </w:p>
    <w:p w14:paraId="40C49E36" w14:textId="6FABFC46" w:rsidR="0026644C" w:rsidRDefault="0026644C" w:rsidP="0026644C">
      <w:pPr>
        <w:pStyle w:val="ListBullet2"/>
      </w:pPr>
      <w:r w:rsidRPr="00EB5E5C">
        <w:t xml:space="preserve">Some small projects may not </w:t>
      </w:r>
      <w:r>
        <w:t xml:space="preserve">pass a strict benefit–cost </w:t>
      </w:r>
      <w:proofErr w:type="gramStart"/>
      <w:r>
        <w:t>test,</w:t>
      </w:r>
      <w:r w:rsidRPr="00EB5E5C">
        <w:t xml:space="preserve"> but</w:t>
      </w:r>
      <w:proofErr w:type="gramEnd"/>
      <w:r w:rsidRPr="00EB5E5C">
        <w:t xml:space="preserve"> </w:t>
      </w:r>
      <w:r>
        <w:t xml:space="preserve">may be </w:t>
      </w:r>
      <w:r w:rsidRPr="00EB5E5C">
        <w:t>nece</w:t>
      </w:r>
      <w:r>
        <w:t>ssary</w:t>
      </w:r>
      <w:r w:rsidRPr="00EB5E5C">
        <w:t xml:space="preserve"> to maintain </w:t>
      </w:r>
      <w:r>
        <w:t xml:space="preserve">an </w:t>
      </w:r>
      <w:r w:rsidRPr="00EB5E5C">
        <w:t>essential service</w:t>
      </w:r>
      <w:r>
        <w:t xml:space="preserve"> in high</w:t>
      </w:r>
      <w:r>
        <w:noBreakHyphen/>
        <w:t>cost regional or remote areas</w:t>
      </w:r>
      <w:r w:rsidRPr="00EB5E5C">
        <w:t xml:space="preserve">. </w:t>
      </w:r>
      <w:r>
        <w:t>T</w:t>
      </w:r>
      <w:r w:rsidRPr="00EB5E5C">
        <w:t xml:space="preserve">ransparency </w:t>
      </w:r>
      <w:r w:rsidR="00BB5D8C">
        <w:t>concerning</w:t>
      </w:r>
      <w:r w:rsidR="00BB5D8C" w:rsidRPr="00EB5E5C">
        <w:t xml:space="preserve"> </w:t>
      </w:r>
      <w:r>
        <w:t xml:space="preserve">any </w:t>
      </w:r>
      <w:r w:rsidRPr="00EB5E5C">
        <w:t xml:space="preserve">government </w:t>
      </w:r>
      <w:r>
        <w:t xml:space="preserve">funding </w:t>
      </w:r>
      <w:r w:rsidRPr="00EB5E5C">
        <w:t xml:space="preserve">is </w:t>
      </w:r>
      <w:r>
        <w:t>required</w:t>
      </w:r>
      <w:r w:rsidRPr="00EB5E5C">
        <w:t xml:space="preserve">, and water service </w:t>
      </w:r>
      <w:r>
        <w:t xml:space="preserve">provider </w:t>
      </w:r>
      <w:r w:rsidRPr="00EB5E5C">
        <w:t>planning should guide that process.</w:t>
      </w:r>
      <w:r>
        <w:t xml:space="preserve"> (</w:t>
      </w:r>
      <w:r w:rsidR="004C3260">
        <w:t>However, a transparent CSO is generally preferable to infrastructure expenditure; t</w:t>
      </w:r>
      <w:r>
        <w:t xml:space="preserve">his is discussed in </w:t>
      </w:r>
      <w:r w:rsidR="00FB7AC4" w:rsidRPr="008D074E">
        <w:t>S</w:t>
      </w:r>
      <w:r w:rsidRPr="008D074E">
        <w:t>P</w:t>
      </w:r>
      <w:r w:rsidR="008D074E" w:rsidRPr="008D074E">
        <w:t> </w:t>
      </w:r>
      <w:r w:rsidR="00E215CF" w:rsidRPr="008D074E">
        <w:t>G</w:t>
      </w:r>
      <w:r w:rsidRPr="00A9482A">
        <w:rPr>
          <w:i/>
        </w:rPr>
        <w:t> </w:t>
      </w:r>
      <w:r w:rsidR="00E215CF">
        <w:rPr>
          <w:i/>
        </w:rPr>
        <w:t>R</w:t>
      </w:r>
      <w:r w:rsidRPr="00A9482A">
        <w:rPr>
          <w:i/>
        </w:rPr>
        <w:t>egional</w:t>
      </w:r>
      <w:r w:rsidRPr="00125FC6">
        <w:t>.</w:t>
      </w:r>
      <w:r>
        <w:t>)</w:t>
      </w:r>
    </w:p>
    <w:p w14:paraId="1D64F32E" w14:textId="0C3C10C9" w:rsidR="00D035F6" w:rsidRDefault="007C6C94" w:rsidP="007C6C94">
      <w:pPr>
        <w:pStyle w:val="ListBullet"/>
      </w:pPr>
      <w:r>
        <w:lastRenderedPageBreak/>
        <w:t>Where governments choose to subsidise infrastructure in pursuit of a strategic objective, including in support of projects that are not commercially viable, additional scrutiny is required to m</w:t>
      </w:r>
      <w:r w:rsidRPr="00532713">
        <w:t xml:space="preserve">aximise </w:t>
      </w:r>
      <w:r>
        <w:t>the effectiveness of that investment,</w:t>
      </w:r>
      <w:r w:rsidRPr="00532713">
        <w:t xml:space="preserve"> while minimising the costs and risks to taxpayers</w:t>
      </w:r>
      <w:r>
        <w:t xml:space="preserve"> (discussed below).</w:t>
      </w:r>
    </w:p>
    <w:p w14:paraId="72C9422B" w14:textId="3B875CDB" w:rsidR="00000AAA" w:rsidRDefault="00D035F6" w:rsidP="00000AAA">
      <w:pPr>
        <w:pStyle w:val="Heading4"/>
      </w:pPr>
      <w:r>
        <w:t xml:space="preserve">Full cost recovery from users should remain the </w:t>
      </w:r>
      <w:proofErr w:type="gramStart"/>
      <w:r>
        <w:t>norm</w:t>
      </w:r>
      <w:proofErr w:type="gramEnd"/>
      <w:r>
        <w:t xml:space="preserve"> </w:t>
      </w:r>
    </w:p>
    <w:p w14:paraId="56B9862E" w14:textId="44ECD094" w:rsidR="00B66EE4" w:rsidRDefault="00B66EE4" w:rsidP="00B66EE4">
      <w:pPr>
        <w:pStyle w:val="BodyText"/>
        <w:keepNext/>
      </w:pPr>
      <w:r>
        <w:t>Some major infrastructure developments can provide both private and public benefits, and, consistent with the user pays principle, the beneficiaries of the investment should bear the cost. For example, the N</w:t>
      </w:r>
      <w:r w:rsidR="000B56B3">
        <w:t xml:space="preserve">ational Farmers Federation </w:t>
      </w:r>
      <w:r>
        <w:t>(sub. 42, p. 29) suggested that:</w:t>
      </w:r>
    </w:p>
    <w:p w14:paraId="39EFD9B5" w14:textId="77777777" w:rsidR="001671F4" w:rsidRDefault="008B3C8E" w:rsidP="008B3C8E">
      <w:pPr>
        <w:pStyle w:val="Quote"/>
      </w:pPr>
      <w:r w:rsidRPr="008B3C8E">
        <w:t>Future approaches to water pricing should recognise that there are multiple benefits, including private and public, of water infrastructure that should be reflected in cost sharing arrangements.</w:t>
      </w:r>
    </w:p>
    <w:p w14:paraId="2B150B5B" w14:textId="11461EEC" w:rsidR="00B66EE4" w:rsidRPr="004F1E90" w:rsidRDefault="00120BED" w:rsidP="00B66EE4">
      <w:pPr>
        <w:pStyle w:val="BodyText"/>
        <w:rPr>
          <w:spacing w:val="-2"/>
        </w:rPr>
      </w:pPr>
      <w:r w:rsidRPr="004F1E90">
        <w:rPr>
          <w:spacing w:val="-2"/>
        </w:rPr>
        <w:t>The Commission considered this issue at length in its 2017 inquiry</w:t>
      </w:r>
      <w:r w:rsidR="00D035F6" w:rsidRPr="004F1E90">
        <w:rPr>
          <w:spacing w:val="-2"/>
        </w:rPr>
        <w:t xml:space="preserve">. </w:t>
      </w:r>
      <w:r w:rsidR="002F4888" w:rsidRPr="004F1E90">
        <w:rPr>
          <w:spacing w:val="-2"/>
        </w:rPr>
        <w:t>While acknowledging that</w:t>
      </w:r>
      <w:r w:rsidR="00D035F6" w:rsidRPr="004F1E90">
        <w:rPr>
          <w:spacing w:val="-2"/>
        </w:rPr>
        <w:t xml:space="preserve"> there are multiple benefits from major infrastructure, the mere existence of a public benefit is not sufficient to justify government funding </w:t>
      </w:r>
      <w:r w:rsidR="00C51B64" w:rsidRPr="004F1E90">
        <w:rPr>
          <w:spacing w:val="-2"/>
          <w:szCs w:val="24"/>
        </w:rPr>
        <w:t>(PC 2017a, p. 271)</w:t>
      </w:r>
      <w:r w:rsidR="00D035F6" w:rsidRPr="004F1E90">
        <w:rPr>
          <w:spacing w:val="-2"/>
        </w:rPr>
        <w:t xml:space="preserve">. </w:t>
      </w:r>
      <w:r w:rsidR="00B66EE4" w:rsidRPr="004F1E90">
        <w:rPr>
          <w:spacing w:val="-2"/>
        </w:rPr>
        <w:t xml:space="preserve">Where public benefits are small or not genuinely additional (that is, would have been realised anyway), government funding is essentially a subsidy to commercial operations, undermining the user pays </w:t>
      </w:r>
      <w:proofErr w:type="gramStart"/>
      <w:r w:rsidR="00B66EE4" w:rsidRPr="004F1E90">
        <w:rPr>
          <w:spacing w:val="-2"/>
        </w:rPr>
        <w:t>principle  and</w:t>
      </w:r>
      <w:proofErr w:type="gramEnd"/>
      <w:r w:rsidR="00B66EE4" w:rsidRPr="004F1E90">
        <w:rPr>
          <w:spacing w:val="-2"/>
        </w:rPr>
        <w:t xml:space="preserve"> distorting private decisions. Further, partial funding requires complex assessments of contribution levels and the form of government assistance — a difficult design task that is (particularly) unlikely to be warranted for projects with small public benefits.</w:t>
      </w:r>
    </w:p>
    <w:p w14:paraId="34A7994A" w14:textId="28DF5ECD" w:rsidR="00D035F6" w:rsidRDefault="00B66EE4" w:rsidP="00D035F6">
      <w:pPr>
        <w:pStyle w:val="BodyText"/>
      </w:pPr>
      <w:r>
        <w:t xml:space="preserve">Where the </w:t>
      </w:r>
      <w:r w:rsidRPr="00A9482A">
        <w:t xml:space="preserve">public benefits </w:t>
      </w:r>
      <w:r>
        <w:t>are substantial, widely shared and/or it is not cost</w:t>
      </w:r>
      <w:r>
        <w:noBreakHyphen/>
        <w:t xml:space="preserve">effective to </w:t>
      </w:r>
      <w:r w:rsidR="00D035F6">
        <w:t xml:space="preserve">recover relevant costs directly from the community, there may be a role for government to fund that part of the infrastructure required to deliver the additional benefits </w:t>
      </w:r>
      <w:r w:rsidR="00D035F6" w:rsidRPr="0000420D">
        <w:rPr>
          <w:szCs w:val="24"/>
        </w:rPr>
        <w:t>(PC 2017a, p. 272)</w:t>
      </w:r>
      <w:r w:rsidR="00D035F6">
        <w:t>. As for other government infrastructure subsidies, this should occur as a transparent CSO payment to the infrastructure operator.</w:t>
      </w:r>
    </w:p>
    <w:p w14:paraId="355DFCA7" w14:textId="78837DC1" w:rsidR="00B66EE4" w:rsidRDefault="00B66EE4" w:rsidP="00B66EE4">
      <w:pPr>
        <w:pStyle w:val="BodyText"/>
      </w:pPr>
      <w:r>
        <w:t xml:space="preserve">This, however, should remain the exception rather than the rule, and full cost recovery from users should remain the norm for all new water infrastructure. </w:t>
      </w:r>
    </w:p>
    <w:p w14:paraId="0E929486" w14:textId="77777777" w:rsidR="003D295B" w:rsidRDefault="003D295B" w:rsidP="003D295B">
      <w:pPr>
        <w:pStyle w:val="Heading4"/>
      </w:pPr>
      <w:r>
        <w:t>Government infrastructure funding in pursuit of strategic objectives</w:t>
      </w:r>
    </w:p>
    <w:p w14:paraId="66D8CEF5" w14:textId="6AEC9572" w:rsidR="00000AAA" w:rsidRDefault="00B66EE4" w:rsidP="005E316F">
      <w:pPr>
        <w:pStyle w:val="BodyText"/>
        <w:keepNext/>
      </w:pPr>
      <w:r>
        <w:t>However, at times, governments choose to fund major water infrastructure in pursuit of broader strategic objectives. These may include:</w:t>
      </w:r>
    </w:p>
    <w:p w14:paraId="45FA44DA" w14:textId="7ADC381F" w:rsidR="00C81F43" w:rsidRDefault="00C81F43" w:rsidP="00C81F43">
      <w:pPr>
        <w:pStyle w:val="ListBullet"/>
      </w:pPr>
      <w:r>
        <w:t>regional or industry development, such as enabling irrigated agriculture</w:t>
      </w:r>
      <w:r w:rsidR="005C6170">
        <w:t xml:space="preserve"> or job creation</w:t>
      </w:r>
      <w:r w:rsidR="004F5B62">
        <w:t xml:space="preserve"> in a particular </w:t>
      </w:r>
      <w:proofErr w:type="gramStart"/>
      <w:r w:rsidR="004F5B62">
        <w:t>region</w:t>
      </w:r>
      <w:proofErr w:type="gramEnd"/>
    </w:p>
    <w:p w14:paraId="3D4F210F" w14:textId="5B54ACB0" w:rsidR="00FD20DF" w:rsidRDefault="004F5B62" w:rsidP="00FD20DF">
      <w:pPr>
        <w:pStyle w:val="ListBullet"/>
      </w:pPr>
      <w:r>
        <w:t xml:space="preserve">ensuring access to an essential service, such as </w:t>
      </w:r>
      <w:r w:rsidR="00FD20DF">
        <w:t>town water supply</w:t>
      </w:r>
    </w:p>
    <w:p w14:paraId="4CFF0ADA" w14:textId="5A71B075" w:rsidR="001671F4" w:rsidRDefault="00871345" w:rsidP="00FD20DF">
      <w:pPr>
        <w:pStyle w:val="ListBullet"/>
      </w:pPr>
      <w:r>
        <w:t>short</w:t>
      </w:r>
      <w:r>
        <w:noBreakHyphen/>
        <w:t xml:space="preserve">term </w:t>
      </w:r>
      <w:r w:rsidR="00FD20DF">
        <w:t>stimulus in response to an economic shock.</w:t>
      </w:r>
    </w:p>
    <w:p w14:paraId="75454F08" w14:textId="112E1C52" w:rsidR="004622C6" w:rsidRPr="004F1E90" w:rsidRDefault="004622C6" w:rsidP="004622C6">
      <w:pPr>
        <w:pStyle w:val="BodyText"/>
        <w:rPr>
          <w:spacing w:val="-4"/>
        </w:rPr>
      </w:pPr>
      <w:r w:rsidRPr="004F1E90">
        <w:rPr>
          <w:spacing w:val="-4"/>
        </w:rPr>
        <w:t xml:space="preserve">Decisions to invest in pursuit of these strategic objectives are ultimately a matter for </w:t>
      </w:r>
      <w:r w:rsidR="00B66EE4" w:rsidRPr="004F1E90">
        <w:rPr>
          <w:spacing w:val="-4"/>
        </w:rPr>
        <w:t xml:space="preserve">governments. But </w:t>
      </w:r>
      <w:r w:rsidRPr="004F1E90">
        <w:rPr>
          <w:spacing w:val="-4"/>
        </w:rPr>
        <w:t xml:space="preserve">this should not </w:t>
      </w:r>
      <w:r w:rsidR="004F5B62" w:rsidRPr="004F1E90">
        <w:rPr>
          <w:spacing w:val="-4"/>
        </w:rPr>
        <w:t>provide a</w:t>
      </w:r>
      <w:r w:rsidRPr="004F1E90">
        <w:rPr>
          <w:spacing w:val="-4"/>
        </w:rPr>
        <w:t xml:space="preserve"> blank che</w:t>
      </w:r>
      <w:r w:rsidR="007D58EB" w:rsidRPr="004F1E90">
        <w:rPr>
          <w:spacing w:val="-4"/>
        </w:rPr>
        <w:t>que</w:t>
      </w:r>
      <w:r w:rsidRPr="004F1E90">
        <w:rPr>
          <w:spacing w:val="-4"/>
        </w:rPr>
        <w:t xml:space="preserve"> </w:t>
      </w:r>
      <w:r w:rsidR="004F5B62" w:rsidRPr="004F1E90">
        <w:rPr>
          <w:spacing w:val="-4"/>
        </w:rPr>
        <w:t>to bypass project selection processes</w:t>
      </w:r>
      <w:r w:rsidR="00871345" w:rsidRPr="004F1E90">
        <w:rPr>
          <w:spacing w:val="-4"/>
        </w:rPr>
        <w:t>, including those that require governments to consider all options for achieving their objective</w:t>
      </w:r>
      <w:r w:rsidRPr="004F1E90">
        <w:rPr>
          <w:spacing w:val="-4"/>
        </w:rPr>
        <w:t xml:space="preserve">. </w:t>
      </w:r>
    </w:p>
    <w:p w14:paraId="3090D133" w14:textId="77777777" w:rsidR="00B66EE4" w:rsidRPr="004F1E90" w:rsidRDefault="00B66EE4" w:rsidP="00B66EE4">
      <w:pPr>
        <w:pStyle w:val="BodyText"/>
        <w:rPr>
          <w:spacing w:val="-4"/>
        </w:rPr>
      </w:pPr>
      <w:r w:rsidRPr="004F1E90">
        <w:rPr>
          <w:spacing w:val="-4"/>
        </w:rPr>
        <w:lastRenderedPageBreak/>
        <w:t>Ultimately, governments should look to maximise their chance of successfully achieving their objectives, while minimising the costs and risks to taxpayers. As a principle, they should justify how water infrastructure is the most effective means of achieving that broader policy objective, compared with alternatives. This could be done by demonstrating alignment with relevant long</w:t>
      </w:r>
      <w:r w:rsidRPr="004F1E90">
        <w:rPr>
          <w:spacing w:val="-4"/>
        </w:rPr>
        <w:noBreakHyphen/>
        <w:t>term planning (as discussed as part of the project selection process above).</w:t>
      </w:r>
    </w:p>
    <w:p w14:paraId="51DAB4F4" w14:textId="6191EDD8" w:rsidR="002958B6" w:rsidRPr="00011902" w:rsidRDefault="007B0341" w:rsidP="002958B6">
      <w:pPr>
        <w:pStyle w:val="Heading5"/>
      </w:pPr>
      <w:r>
        <w:t>Major developments in pursuit of r</w:t>
      </w:r>
      <w:r w:rsidR="004622C6">
        <w:t>egional development</w:t>
      </w:r>
      <w:r w:rsidR="00644DDC">
        <w:t xml:space="preserve"> require </w:t>
      </w:r>
      <w:proofErr w:type="gramStart"/>
      <w:r w:rsidR="00644DDC">
        <w:t>scrutiny</w:t>
      </w:r>
      <w:proofErr w:type="gramEnd"/>
    </w:p>
    <w:p w14:paraId="202DDFAB" w14:textId="5ED2A993" w:rsidR="00871345" w:rsidRDefault="00871345" w:rsidP="002958B6">
      <w:pPr>
        <w:pStyle w:val="BodyText"/>
        <w:keepNext/>
      </w:pPr>
      <w:r>
        <w:t>Decisions made by governments to invest in water infrastructure in pursuit of regional development require additional scrutiny</w:t>
      </w:r>
      <w:r w:rsidR="00CD585C">
        <w:t>, largely because</w:t>
      </w:r>
      <w:r>
        <w:t xml:space="preserve"> </w:t>
      </w:r>
      <w:r w:rsidR="00CD585C">
        <w:t>p</w:t>
      </w:r>
      <w:r>
        <w:t>revious efforts to spur economic development through major water infrastructure have</w:t>
      </w:r>
      <w:r w:rsidR="00CD585C">
        <w:t xml:space="preserve"> imposed </w:t>
      </w:r>
      <w:proofErr w:type="gramStart"/>
      <w:r w:rsidR="00CD585C">
        <w:t>costs, but</w:t>
      </w:r>
      <w:proofErr w:type="gramEnd"/>
      <w:r>
        <w:t xml:space="preserve"> had mixed success (section 2)</w:t>
      </w:r>
      <w:r w:rsidR="00CD585C">
        <w:t>.</w:t>
      </w:r>
      <w:r>
        <w:t xml:space="preserve"> </w:t>
      </w:r>
      <w:r w:rsidR="00CD585C">
        <w:t>The key issues stem</w:t>
      </w:r>
      <w:r>
        <w:t xml:space="preserve"> from:</w:t>
      </w:r>
    </w:p>
    <w:p w14:paraId="41922B5C" w14:textId="77777777" w:rsidR="00871345" w:rsidRDefault="00871345" w:rsidP="00871345">
      <w:pPr>
        <w:pStyle w:val="ListBullet"/>
      </w:pPr>
      <w:r>
        <w:t>overly</w:t>
      </w:r>
      <w:r>
        <w:noBreakHyphen/>
        <w:t>optimistic estimates of demand for water and flow</w:t>
      </w:r>
      <w:r>
        <w:noBreakHyphen/>
        <w:t>on impacts of water infrastructure</w:t>
      </w:r>
    </w:p>
    <w:p w14:paraId="47760CFB" w14:textId="7DDFC11A" w:rsidR="00871345" w:rsidRDefault="00871345" w:rsidP="00871345">
      <w:pPr>
        <w:pStyle w:val="ListBullet"/>
      </w:pPr>
      <w:r>
        <w:t>a failure to consider alternatives to water infrastructu</w:t>
      </w:r>
      <w:r w:rsidR="00126E89">
        <w:t xml:space="preserve">re in spurring regional </w:t>
      </w:r>
      <w:proofErr w:type="gramStart"/>
      <w:r w:rsidR="00126E89">
        <w:t>growth</w:t>
      </w:r>
      <w:proofErr w:type="gramEnd"/>
    </w:p>
    <w:p w14:paraId="5CB340FC" w14:textId="15F814C6" w:rsidR="00871345" w:rsidRDefault="00871345" w:rsidP="00871345">
      <w:pPr>
        <w:pStyle w:val="ListBullet"/>
      </w:pPr>
      <w:r>
        <w:t>a lack of facilitating arrangements in place to maximise the effectiveness of any investment in water infrastructure</w:t>
      </w:r>
      <w:r w:rsidR="007D58EB">
        <w:t>.</w:t>
      </w:r>
    </w:p>
    <w:p w14:paraId="431BB25E" w14:textId="1BE6C411" w:rsidR="00871345" w:rsidRPr="004F1E90" w:rsidRDefault="00871345" w:rsidP="00871345">
      <w:pPr>
        <w:pStyle w:val="BodyText"/>
        <w:rPr>
          <w:spacing w:val="-2"/>
        </w:rPr>
      </w:pPr>
      <w:r w:rsidRPr="004F1E90">
        <w:rPr>
          <w:spacing w:val="-2"/>
        </w:rPr>
        <w:t xml:space="preserve">As discussed above, </w:t>
      </w:r>
      <w:r w:rsidR="00126E89" w:rsidRPr="004F1E90">
        <w:rPr>
          <w:spacing w:val="-2"/>
        </w:rPr>
        <w:t>optimism bias in water infrastructure can be managed by enforcing pre</w:t>
      </w:r>
      <w:r w:rsidR="00126E89" w:rsidRPr="004F1E90">
        <w:rPr>
          <w:spacing w:val="-2"/>
        </w:rPr>
        <w:noBreakHyphen/>
        <w:t>commitment on potential users. Further, h</w:t>
      </w:r>
      <w:r w:rsidRPr="004F1E90">
        <w:rPr>
          <w:spacing w:val="-2"/>
        </w:rPr>
        <w:t xml:space="preserve">aving </w:t>
      </w:r>
      <w:r w:rsidR="007D58EB" w:rsidRPr="004F1E90">
        <w:rPr>
          <w:spacing w:val="-2"/>
        </w:rPr>
        <w:t>high</w:t>
      </w:r>
      <w:r w:rsidR="007D58EB" w:rsidRPr="004F1E90">
        <w:rPr>
          <w:spacing w:val="-2"/>
        </w:rPr>
        <w:noBreakHyphen/>
        <w:t xml:space="preserve">quality </w:t>
      </w:r>
      <w:r w:rsidRPr="004F1E90">
        <w:rPr>
          <w:spacing w:val="-2"/>
        </w:rPr>
        <w:t xml:space="preserve">estimates for the employment and other socioeconomic impacts of the infrastructure (developed in </w:t>
      </w:r>
      <w:r w:rsidR="007D58EB" w:rsidRPr="004F1E90">
        <w:rPr>
          <w:spacing w:val="-2"/>
        </w:rPr>
        <w:t xml:space="preserve">a robust </w:t>
      </w:r>
      <w:r w:rsidRPr="004F1E90">
        <w:rPr>
          <w:spacing w:val="-2"/>
        </w:rPr>
        <w:t xml:space="preserve">business case) </w:t>
      </w:r>
      <w:r w:rsidR="007D58EB" w:rsidRPr="004F1E90">
        <w:rPr>
          <w:spacing w:val="-2"/>
        </w:rPr>
        <w:t>will also reduce the scope for optimism bias</w:t>
      </w:r>
      <w:r w:rsidR="00126E89" w:rsidRPr="004F1E90">
        <w:rPr>
          <w:spacing w:val="-2"/>
        </w:rPr>
        <w:t xml:space="preserve">, </w:t>
      </w:r>
      <w:r w:rsidR="007D58EB" w:rsidRPr="004F1E90">
        <w:rPr>
          <w:spacing w:val="-2"/>
        </w:rPr>
        <w:t xml:space="preserve">as will </w:t>
      </w:r>
      <w:r w:rsidR="00126E89" w:rsidRPr="004F1E90">
        <w:rPr>
          <w:spacing w:val="-2"/>
        </w:rPr>
        <w:t>post</w:t>
      </w:r>
      <w:r w:rsidR="00126E89" w:rsidRPr="004F1E90">
        <w:rPr>
          <w:spacing w:val="-2"/>
        </w:rPr>
        <w:noBreakHyphen/>
        <w:t>project assessment</w:t>
      </w:r>
      <w:r w:rsidR="007D58EB" w:rsidRPr="004F1E90">
        <w:rPr>
          <w:spacing w:val="-2"/>
        </w:rPr>
        <w:t>s</w:t>
      </w:r>
      <w:r w:rsidR="00126E89" w:rsidRPr="004F1E90">
        <w:rPr>
          <w:spacing w:val="-2"/>
        </w:rPr>
        <w:t xml:space="preserve"> of how accurate those estimates were</w:t>
      </w:r>
      <w:r w:rsidRPr="004F1E90">
        <w:rPr>
          <w:spacing w:val="-2"/>
        </w:rPr>
        <w:t>.</w:t>
      </w:r>
      <w:r w:rsidR="00126E89" w:rsidRPr="004F1E90">
        <w:rPr>
          <w:spacing w:val="-2"/>
        </w:rPr>
        <w:t xml:space="preserve"> This can contribute to more realistic estimates over time.</w:t>
      </w:r>
    </w:p>
    <w:p w14:paraId="6AE7D6B5" w14:textId="52C05AB2" w:rsidR="003D295B" w:rsidRDefault="003D295B" w:rsidP="007C6C94">
      <w:pPr>
        <w:pStyle w:val="BodyText"/>
        <w:keepNext/>
      </w:pPr>
      <w:r>
        <w:t xml:space="preserve">A key shortcoming is the propensity of governments to view rural water infrastructure in isolation from other options to promote regional development. All public expenditure will create </w:t>
      </w:r>
      <w:r>
        <w:rPr>
          <w:i/>
        </w:rPr>
        <w:t xml:space="preserve">some </w:t>
      </w:r>
      <w:r>
        <w:t>degree of economic activity —</w:t>
      </w:r>
      <w:r w:rsidR="005E316F">
        <w:t xml:space="preserve"> </w:t>
      </w:r>
      <w:r w:rsidR="00CA0461">
        <w:t>but governments must direct</w:t>
      </w:r>
      <w:r>
        <w:t xml:space="preserve"> </w:t>
      </w:r>
      <w:r w:rsidR="00CA0461">
        <w:t xml:space="preserve">their limited </w:t>
      </w:r>
      <w:r>
        <w:t xml:space="preserve">funds </w:t>
      </w:r>
      <w:r w:rsidR="00CA0461">
        <w:t xml:space="preserve">to </w:t>
      </w:r>
      <w:r>
        <w:t xml:space="preserve">projects that provide the greatest return for public investment over the long term. As </w:t>
      </w:r>
      <w:r w:rsidRPr="0000420D">
        <w:t>highlighted by the Commission in 2017:</w:t>
      </w:r>
    </w:p>
    <w:p w14:paraId="151F2022" w14:textId="3A44063D" w:rsidR="007B0341" w:rsidRPr="00C92175" w:rsidRDefault="007B0341" w:rsidP="007B0341">
      <w:pPr>
        <w:pStyle w:val="Quote"/>
      </w:pPr>
      <w:r>
        <w:t xml:space="preserve">… the commitment of government to water infrastructure projects may preclude alternative investments in more effective projects to promote regional development. … There is little evidence to suggest that the regional development benefits claimed to accrue from the construction of water infrastructure to support irrigated agriculture are greater than those that would accrue from alternative </w:t>
      </w:r>
      <w:r w:rsidRPr="00C92175">
        <w:t xml:space="preserve">investments. </w:t>
      </w:r>
      <w:r w:rsidR="0000420D" w:rsidRPr="0000420D">
        <w:rPr>
          <w:szCs w:val="24"/>
        </w:rPr>
        <w:t>(PC 2017a, p. 277)</w:t>
      </w:r>
    </w:p>
    <w:p w14:paraId="129C42BA" w14:textId="70D95AB9" w:rsidR="00126E89" w:rsidRDefault="00126E89" w:rsidP="00126E89">
      <w:pPr>
        <w:pStyle w:val="BodyText"/>
      </w:pPr>
      <w:r>
        <w:t>T</w:t>
      </w:r>
      <w:r w:rsidRPr="0000420D">
        <w:t xml:space="preserve">he practical reality </w:t>
      </w:r>
      <w:r>
        <w:t xml:space="preserve">is </w:t>
      </w:r>
      <w:r w:rsidRPr="0000420D">
        <w:t xml:space="preserve">that the evidence of </w:t>
      </w:r>
      <w:r>
        <w:t xml:space="preserve">job creation from regional projects </w:t>
      </w:r>
      <w:r w:rsidRPr="0000420D">
        <w:t>is</w:t>
      </w:r>
      <w:r w:rsidR="00CD585C">
        <w:t xml:space="preserve"> often </w:t>
      </w:r>
      <w:r w:rsidRPr="0000420D">
        <w:t xml:space="preserve">weak </w:t>
      </w:r>
      <w:r w:rsidR="00C51B64" w:rsidRPr="00C51B64">
        <w:rPr>
          <w:szCs w:val="24"/>
        </w:rPr>
        <w:t>(PC 2017b, pp. 275–277)</w:t>
      </w:r>
      <w:r>
        <w:t>.</w:t>
      </w:r>
      <w:r w:rsidRPr="0000420D">
        <w:t xml:space="preserve"> </w:t>
      </w:r>
      <w:r>
        <w:t>J</w:t>
      </w:r>
      <w:r w:rsidRPr="0000420D">
        <w:t xml:space="preserve">ob creation is </w:t>
      </w:r>
      <w:r>
        <w:t xml:space="preserve">often </w:t>
      </w:r>
      <w:r w:rsidRPr="0000420D">
        <w:t>job diversion</w:t>
      </w:r>
      <w:r>
        <w:t>, and</w:t>
      </w:r>
      <w:r w:rsidRPr="0000420D">
        <w:t xml:space="preserve"> </w:t>
      </w:r>
      <w:r>
        <w:t>p</w:t>
      </w:r>
      <w:r w:rsidRPr="0000420D">
        <w:t>eople have many job opportunities so that policy measures that encourage them to work in one job will often entail them giving up another opportunity.</w:t>
      </w:r>
      <w:r>
        <w:t xml:space="preserve"> In the case of water, the Commission has previously found that few direct jobs are created from major water infrastructure developments (and oft</w:t>
      </w:r>
      <w:r w:rsidR="007D58EB">
        <w:t>en at a high cost;</w:t>
      </w:r>
      <w:r>
        <w:t xml:space="preserve"> </w:t>
      </w:r>
      <w:r w:rsidRPr="004B2E24">
        <w:t>table</w:t>
      </w:r>
      <w:r w:rsidR="004B2E24">
        <w:t> </w:t>
      </w:r>
      <w:r w:rsidR="004B2E24" w:rsidRPr="004B2E24">
        <w:t>1</w:t>
      </w:r>
      <w:r>
        <w:t>).</w:t>
      </w:r>
    </w:p>
    <w:p w14:paraId="76B44126" w14:textId="7D1F6C54" w:rsidR="00126E89" w:rsidRPr="001B24D7" w:rsidRDefault="00126E89" w:rsidP="00126E89">
      <w:pPr>
        <w:pStyle w:val="BodyText"/>
        <w:rPr>
          <w:spacing w:val="-4"/>
        </w:rPr>
      </w:pPr>
      <w:r w:rsidRPr="001B24D7">
        <w:rPr>
          <w:spacing w:val="-4"/>
        </w:rPr>
        <w:t xml:space="preserve">Further, the success of water infrastructure in supporting regional development is often dependent on facilitating arrangements, such as transport infrastructure and supporting </w:t>
      </w:r>
      <w:r w:rsidRPr="001B24D7">
        <w:rPr>
          <w:spacing w:val="-4"/>
        </w:rPr>
        <w:lastRenderedPageBreak/>
        <w:t>industries. These may not be in place — or considered in</w:t>
      </w:r>
      <w:r w:rsidR="007D58EB" w:rsidRPr="001B24D7">
        <w:rPr>
          <w:spacing w:val="-4"/>
        </w:rPr>
        <w:t xml:space="preserve"> infrastructure</w:t>
      </w:r>
      <w:r w:rsidRPr="001B24D7">
        <w:rPr>
          <w:spacing w:val="-4"/>
        </w:rPr>
        <w:t xml:space="preserve"> proposals — and are often a more substantive barrier to regional development than the absence of water infrastructure. </w:t>
      </w:r>
    </w:p>
    <w:p w14:paraId="7C8B0F08" w14:textId="076CD0D9" w:rsidR="007D58EB" w:rsidRDefault="007D58EB" w:rsidP="007D58EB">
      <w:pPr>
        <w:pStyle w:val="BodyText"/>
        <w:keepNext/>
      </w:pPr>
      <w:r>
        <w:t>To help address these shortcomings, g</w:t>
      </w:r>
      <w:r w:rsidR="008E19EB">
        <w:t>overnments should demonstrate that water infrastructure is likely to be the most effective way to facilitate economic development in an area,</w:t>
      </w:r>
      <w:r w:rsidR="00126E89">
        <w:t xml:space="preserve"> and ensure they consider facilitating arrangements</w:t>
      </w:r>
      <w:r w:rsidR="007B0341">
        <w:t>.</w:t>
      </w:r>
      <w:r w:rsidR="00CD585C">
        <w:t xml:space="preserve"> </w:t>
      </w:r>
      <w:r>
        <w:t>As put by t</w:t>
      </w:r>
      <w:r w:rsidRPr="00C92175">
        <w:t>he Institute for Water Futures (sub.</w:t>
      </w:r>
      <w:r>
        <w:t> </w:t>
      </w:r>
      <w:r w:rsidRPr="00C92175">
        <w:t>30, p. 18)</w:t>
      </w:r>
      <w:r>
        <w:t>:</w:t>
      </w:r>
    </w:p>
    <w:p w14:paraId="7DCC9B64" w14:textId="45BEB4D2" w:rsidR="007D58EB" w:rsidRDefault="007D58EB" w:rsidP="007D58EB">
      <w:pPr>
        <w:pStyle w:val="Quote"/>
      </w:pPr>
      <w:r>
        <w:t xml:space="preserve">… </w:t>
      </w:r>
      <w:r w:rsidRPr="00C92175">
        <w:t>project proponents or state/territory government partners should be required to conduct a cost</w:t>
      </w:r>
      <w:r w:rsidR="00C51B64">
        <w:t>–</w:t>
      </w:r>
      <w:r w:rsidRPr="00C92175">
        <w:t>benefit analysis for the use of Australian government funding for alternative regional growth programs in the specific location, including but not restricted to infrastructure construction.</w:t>
      </w:r>
    </w:p>
    <w:p w14:paraId="047791BC" w14:textId="293C9C1B" w:rsidR="001671F4" w:rsidRDefault="007B0341" w:rsidP="00A74B02">
      <w:pPr>
        <w:pStyle w:val="BodyText"/>
        <w:keepNext/>
      </w:pPr>
      <w:r>
        <w:t xml:space="preserve">At a minimum, </w:t>
      </w:r>
      <w:r w:rsidRPr="00C92175">
        <w:t xml:space="preserve">governments should demonstrate that </w:t>
      </w:r>
      <w:r w:rsidR="007D58EB">
        <w:t>major development</w:t>
      </w:r>
      <w:r w:rsidR="005F7CC7" w:rsidRPr="00C92175">
        <w:t xml:space="preserve"> </w:t>
      </w:r>
      <w:r w:rsidRPr="00C92175">
        <w:t>forms part of an existing</w:t>
      </w:r>
      <w:r>
        <w:t>,</w:t>
      </w:r>
      <w:r w:rsidRPr="00C92175">
        <w:t xml:space="preserve"> </w:t>
      </w:r>
      <w:proofErr w:type="gramStart"/>
      <w:r w:rsidRPr="00C92175">
        <w:t>comprehensive</w:t>
      </w:r>
      <w:proofErr w:type="gramEnd"/>
      <w:r w:rsidRPr="00C92175">
        <w:t xml:space="preserve"> and </w:t>
      </w:r>
      <w:r>
        <w:t xml:space="preserve">public </w:t>
      </w:r>
      <w:r w:rsidRPr="00C92175">
        <w:t>regional strateg</w:t>
      </w:r>
      <w:r w:rsidR="00C46B09">
        <w:t>ic plan</w:t>
      </w:r>
      <w:r w:rsidRPr="00C92175">
        <w:t>, and that</w:t>
      </w:r>
      <w:r>
        <w:t xml:space="preserve"> any necessary</w:t>
      </w:r>
      <w:r w:rsidRPr="00C92175">
        <w:t xml:space="preserve"> supporting infrastructure is </w:t>
      </w:r>
      <w:r>
        <w:t xml:space="preserve">(or will be) </w:t>
      </w:r>
      <w:r w:rsidRPr="00C92175">
        <w:t>in place</w:t>
      </w:r>
      <w:r w:rsidR="007D58EB">
        <w:t xml:space="preserve"> to maximise the benefits of the investment</w:t>
      </w:r>
      <w:r w:rsidRPr="00C92175">
        <w:t>.</w:t>
      </w:r>
      <w:r>
        <w:t xml:space="preserve"> </w:t>
      </w:r>
      <w:r w:rsidR="00C46B09">
        <w:t xml:space="preserve">As outlined in the Commission’s 2017 </w:t>
      </w:r>
      <w:r w:rsidR="00C46B09">
        <w:rPr>
          <w:i/>
        </w:rPr>
        <w:t xml:space="preserve">Transitioning Regional Economies </w:t>
      </w:r>
      <w:r w:rsidR="00C46B09">
        <w:t xml:space="preserve">study </w:t>
      </w:r>
      <w:r w:rsidR="00C46B09" w:rsidRPr="00C46B09">
        <w:rPr>
          <w:szCs w:val="24"/>
        </w:rPr>
        <w:t>(PC 2017b, pp. 166–169)</w:t>
      </w:r>
      <w:r w:rsidR="00C46B09">
        <w:t>, a high</w:t>
      </w:r>
      <w:r w:rsidR="00C46B09">
        <w:noBreakHyphen/>
        <w:t>quality</w:t>
      </w:r>
      <w:r w:rsidR="0000420D">
        <w:t xml:space="preserve"> regional strategy </w:t>
      </w:r>
      <w:r w:rsidR="00C46B09">
        <w:t>should</w:t>
      </w:r>
      <w:r w:rsidR="0000420D">
        <w:t>:</w:t>
      </w:r>
    </w:p>
    <w:p w14:paraId="5F3DFA1C" w14:textId="79561CF8" w:rsidR="00C46B09" w:rsidRDefault="00C46B09" w:rsidP="0000420D">
      <w:pPr>
        <w:pStyle w:val="ListBullet"/>
      </w:pPr>
      <w:r>
        <w:t>be led by t</w:t>
      </w:r>
      <w:r w:rsidR="00C51B64">
        <w:t>he relevant State or Territory G</w:t>
      </w:r>
      <w:r>
        <w:t xml:space="preserve">overnment, and developed at a regional scale with input from local governments and the broader </w:t>
      </w:r>
      <w:proofErr w:type="gramStart"/>
      <w:r>
        <w:t>community</w:t>
      </w:r>
      <w:proofErr w:type="gramEnd"/>
    </w:p>
    <w:p w14:paraId="34BA92BE" w14:textId="37DB7B9E" w:rsidR="00C46B09" w:rsidRDefault="00C46B09" w:rsidP="0000420D">
      <w:pPr>
        <w:pStyle w:val="ListBullet"/>
      </w:pPr>
      <w:r>
        <w:t xml:space="preserve">identify the capabilities and attributes of the </w:t>
      </w:r>
      <w:proofErr w:type="gramStart"/>
      <w:r>
        <w:t>region</w:t>
      </w:r>
      <w:proofErr w:type="gramEnd"/>
    </w:p>
    <w:p w14:paraId="25034E7F" w14:textId="0C12DE8F" w:rsidR="00C46B09" w:rsidRDefault="00C46B09" w:rsidP="0000420D">
      <w:pPr>
        <w:pStyle w:val="ListBullet"/>
      </w:pPr>
      <w:r>
        <w:t xml:space="preserve">identify priority actions and processes to facilitate regional economic </w:t>
      </w:r>
      <w:proofErr w:type="gramStart"/>
      <w:r>
        <w:t>development</w:t>
      </w:r>
      <w:proofErr w:type="gramEnd"/>
    </w:p>
    <w:p w14:paraId="01170636" w14:textId="3E7AC88E" w:rsidR="007B0341" w:rsidRDefault="00C46B09" w:rsidP="00C46B09">
      <w:pPr>
        <w:pStyle w:val="ListBullet2"/>
      </w:pPr>
      <w:r>
        <w:t xml:space="preserve">this </w:t>
      </w:r>
      <w:r w:rsidR="005F7CC7">
        <w:t xml:space="preserve">work </w:t>
      </w:r>
      <w:r>
        <w:t>should consider</w:t>
      </w:r>
      <w:r w:rsidR="0000420D">
        <w:t xml:space="preserve"> multiple </w:t>
      </w:r>
      <w:r w:rsidR="007B0341">
        <w:t xml:space="preserve">potential sources of local economic development </w:t>
      </w:r>
      <w:r w:rsidR="0000420D">
        <w:t>(</w:t>
      </w:r>
      <w:r w:rsidR="007B0341">
        <w:t xml:space="preserve">rather than focus </w:t>
      </w:r>
      <w:r w:rsidR="005F7CC7">
        <w:t xml:space="preserve">only </w:t>
      </w:r>
      <w:r w:rsidR="007B0341">
        <w:t>on water</w:t>
      </w:r>
      <w:r w:rsidR="005F7CC7">
        <w:t xml:space="preserve"> </w:t>
      </w:r>
      <w:r w:rsidR="007B0341">
        <w:t>infrastructure</w:t>
      </w:r>
      <w:r w:rsidR="0000420D">
        <w:t>)</w:t>
      </w:r>
      <w:r>
        <w:t>.</w:t>
      </w:r>
    </w:p>
    <w:p w14:paraId="65A6AC23" w14:textId="0D8611F4" w:rsidR="00FD20DF" w:rsidRDefault="00FD20DF" w:rsidP="00FD20DF">
      <w:pPr>
        <w:pStyle w:val="BodyText"/>
      </w:pPr>
      <w:r w:rsidRPr="007F3B8C">
        <w:t xml:space="preserve">As State and Territory Governments are responsible for </w:t>
      </w:r>
      <w:r w:rsidR="004F5B62">
        <w:t>regional development</w:t>
      </w:r>
      <w:r w:rsidRPr="007F3B8C">
        <w:t xml:space="preserve"> polic</w:t>
      </w:r>
      <w:r w:rsidR="007D58EB">
        <w:t>y</w:t>
      </w:r>
      <w:r w:rsidRPr="007F3B8C">
        <w:t>, they are best placed to determine the need for</w:t>
      </w:r>
      <w:r>
        <w:t>,</w:t>
      </w:r>
      <w:r w:rsidRPr="007F3B8C">
        <w:t xml:space="preserve"> and feasibility of</w:t>
      </w:r>
      <w:r>
        <w:t>,</w:t>
      </w:r>
      <w:r w:rsidRPr="007F3B8C">
        <w:t xml:space="preserve"> major water infrastructure development, and </w:t>
      </w:r>
      <w:r>
        <w:t xml:space="preserve">to </w:t>
      </w:r>
      <w:r w:rsidRPr="007F3B8C">
        <w:t xml:space="preserve">align any </w:t>
      </w:r>
      <w:r w:rsidR="00CD585C">
        <w:t xml:space="preserve">such </w:t>
      </w:r>
      <w:r w:rsidRPr="007F3B8C">
        <w:t>development</w:t>
      </w:r>
      <w:r>
        <w:t>s</w:t>
      </w:r>
      <w:r w:rsidRPr="007F3B8C">
        <w:t xml:space="preserve"> with </w:t>
      </w:r>
      <w:r w:rsidR="00CD585C">
        <w:t xml:space="preserve">regional </w:t>
      </w:r>
      <w:r w:rsidRPr="007F3B8C">
        <w:t xml:space="preserve">priorities. Strategic </w:t>
      </w:r>
      <w:r>
        <w:t>frameworks that clearly outline and align infrastructure investment</w:t>
      </w:r>
      <w:r w:rsidRPr="007F3B8C">
        <w:t xml:space="preserve"> </w:t>
      </w:r>
      <w:r>
        <w:t xml:space="preserve">priorities, </w:t>
      </w:r>
      <w:r w:rsidRPr="007F3B8C">
        <w:t xml:space="preserve">such as Queensland’s </w:t>
      </w:r>
      <w:r w:rsidRPr="004476C3">
        <w:rPr>
          <w:i/>
        </w:rPr>
        <w:t>Bulk Water Opportunities Statement</w:t>
      </w:r>
      <w:r w:rsidRPr="007F3B8C">
        <w:t xml:space="preserve">, provide a good basis for this </w:t>
      </w:r>
      <w:r w:rsidR="00305925">
        <w:t xml:space="preserve">type of decision making </w:t>
      </w:r>
      <w:r>
        <w:t>(</w:t>
      </w:r>
      <w:r w:rsidRPr="002D38EF">
        <w:t>box </w:t>
      </w:r>
      <w:r w:rsidR="00E215D2" w:rsidRPr="00E215D2">
        <w:t>6</w:t>
      </w:r>
      <w:r>
        <w:t>)</w:t>
      </w:r>
      <w:r w:rsidRPr="007F3B8C">
        <w:t>.</w:t>
      </w:r>
      <w:r w:rsidR="00CD585C">
        <w:t xml:space="preserve"> </w:t>
      </w:r>
      <w:r w:rsidR="007D58EB">
        <w:t>L</w:t>
      </w:r>
      <w:r w:rsidR="00CD585C">
        <w:t>ong</w:t>
      </w:r>
      <w:r w:rsidR="00CD585C">
        <w:noBreakHyphen/>
        <w:t xml:space="preserve">term planning </w:t>
      </w:r>
      <w:r w:rsidR="007D58EB">
        <w:t xml:space="preserve">of this nature </w:t>
      </w:r>
      <w:r w:rsidR="00CD585C">
        <w:t>is also consistent with Infrastructure Australia’s decis</w:t>
      </w:r>
      <w:r w:rsidR="00E215D2">
        <w:t>ion</w:t>
      </w:r>
      <w:r w:rsidR="00E215D2">
        <w:noBreakHyphen/>
        <w:t xml:space="preserve">making principles (box 5: </w:t>
      </w:r>
      <w:r w:rsidR="00CD585C">
        <w:t>principle 1).</w:t>
      </w:r>
    </w:p>
    <w:p w14:paraId="65FB1D31" w14:textId="309E20C2" w:rsidR="00000AAA" w:rsidRDefault="00233333" w:rsidP="00000AAA">
      <w:pPr>
        <w:pStyle w:val="BodyText"/>
      </w:pPr>
      <w:r>
        <w:t>In a</w:t>
      </w:r>
      <w:r w:rsidR="00000AAA">
        <w:t xml:space="preserve">ny </w:t>
      </w:r>
      <w:r>
        <w:t xml:space="preserve">case, </w:t>
      </w:r>
      <w:r w:rsidR="00000AAA">
        <w:t xml:space="preserve">Australian </w:t>
      </w:r>
      <w:r w:rsidR="007B5E94">
        <w:t>G</w:t>
      </w:r>
      <w:r w:rsidR="00000AAA">
        <w:t xml:space="preserve">overnment funding for major water infrastructure </w:t>
      </w:r>
      <w:r w:rsidR="003D295B">
        <w:t xml:space="preserve">should not exceed </w:t>
      </w:r>
      <w:r w:rsidR="00000AAA">
        <w:t>the contribution of t</w:t>
      </w:r>
      <w:r w:rsidR="00C51B64">
        <w:t>he relevant State or Territory G</w:t>
      </w:r>
      <w:r w:rsidR="00000AAA">
        <w:t>overnment</w:t>
      </w:r>
      <w:r w:rsidR="00CD585C">
        <w:t>. This helps</w:t>
      </w:r>
      <w:r w:rsidR="00000AAA">
        <w:t xml:space="preserve"> </w:t>
      </w:r>
      <w:r w:rsidR="00F01E5E">
        <w:t>ensure buy</w:t>
      </w:r>
      <w:r w:rsidR="00F01E5E">
        <w:noBreakHyphen/>
        <w:t xml:space="preserve">in from the relevant government, </w:t>
      </w:r>
      <w:r w:rsidR="00CD585C">
        <w:t xml:space="preserve">supports consistency in priorities between levels of governments, and reflects the comparative advantage of </w:t>
      </w:r>
      <w:r w:rsidR="00F01E5E">
        <w:t xml:space="preserve">State and Territory </w:t>
      </w:r>
      <w:r w:rsidR="0015757E">
        <w:t>G</w:t>
      </w:r>
      <w:r w:rsidR="00F01E5E">
        <w:t>overnment</w:t>
      </w:r>
      <w:r w:rsidR="00CD585C">
        <w:t>s</w:t>
      </w:r>
      <w:r w:rsidR="00F01E5E">
        <w:t xml:space="preserve"> </w:t>
      </w:r>
      <w:r w:rsidR="00CD585C">
        <w:t xml:space="preserve">in aligning </w:t>
      </w:r>
      <w:r w:rsidR="00F01E5E">
        <w:t xml:space="preserve">any water infrastructure with local </w:t>
      </w:r>
      <w:r w:rsidR="00CD585C">
        <w:t>planning</w:t>
      </w:r>
      <w:r w:rsidR="00F01E5E">
        <w:t>.</w:t>
      </w:r>
    </w:p>
    <w:p w14:paraId="4626B081" w14:textId="6B6B7BE7" w:rsidR="00FD20DF" w:rsidRDefault="00FD20DF" w:rsidP="00FD20D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D20DF" w14:paraId="2E564F96" w14:textId="77777777" w:rsidTr="007B0341">
        <w:trPr>
          <w:tblHeader/>
        </w:trPr>
        <w:tc>
          <w:tcPr>
            <w:tcW w:w="5000" w:type="pct"/>
            <w:tcBorders>
              <w:top w:val="single" w:sz="6" w:space="0" w:color="78A22F"/>
              <w:left w:val="nil"/>
              <w:bottom w:val="nil"/>
              <w:right w:val="nil"/>
            </w:tcBorders>
            <w:shd w:val="clear" w:color="auto" w:fill="F2F2F2"/>
          </w:tcPr>
          <w:p w14:paraId="554E0D05" w14:textId="6228DD00" w:rsidR="00FD20DF" w:rsidRDefault="00FD20DF" w:rsidP="00E215D2">
            <w:pPr>
              <w:pStyle w:val="BoxTitle"/>
            </w:pPr>
            <w:r w:rsidRPr="00E215D2">
              <w:rPr>
                <w:b w:val="0"/>
              </w:rPr>
              <w:t>Box</w:t>
            </w:r>
            <w:r w:rsidR="00E215D2" w:rsidRPr="00E215D2">
              <w:rPr>
                <w:b w:val="0"/>
              </w:rPr>
              <w:t> 6</w:t>
            </w:r>
            <w:r>
              <w:tab/>
              <w:t xml:space="preserve">Queensland’s </w:t>
            </w:r>
            <w:r w:rsidRPr="000D79AE">
              <w:t>Bulk Water Opportunities Statement</w:t>
            </w:r>
          </w:p>
        </w:tc>
      </w:tr>
      <w:tr w:rsidR="00FD20DF" w14:paraId="01041B58" w14:textId="77777777" w:rsidTr="007B0341">
        <w:tc>
          <w:tcPr>
            <w:tcW w:w="5000" w:type="pct"/>
            <w:tcBorders>
              <w:top w:val="nil"/>
              <w:left w:val="nil"/>
              <w:bottom w:val="nil"/>
              <w:right w:val="nil"/>
            </w:tcBorders>
            <w:shd w:val="clear" w:color="auto" w:fill="F2F2F2"/>
          </w:tcPr>
          <w:p w14:paraId="4037EE01" w14:textId="5A716F96" w:rsidR="00FD20DF" w:rsidRPr="000D79AE" w:rsidRDefault="00FD20DF" w:rsidP="007B0341">
            <w:pPr>
              <w:pStyle w:val="Box"/>
            </w:pPr>
            <w:r w:rsidRPr="000D79AE">
              <w:t>The Queensland Government</w:t>
            </w:r>
            <w:r>
              <w:t>’s</w:t>
            </w:r>
            <w:r w:rsidRPr="000D79AE">
              <w:t xml:space="preserve"> </w:t>
            </w:r>
            <w:r w:rsidRPr="000D79AE">
              <w:rPr>
                <w:i/>
              </w:rPr>
              <w:t>Bulk Water Opportunities Statement</w:t>
            </w:r>
            <w:r>
              <w:rPr>
                <w:i/>
              </w:rPr>
              <w:t xml:space="preserve"> </w:t>
            </w:r>
            <w:r w:rsidRPr="000D79AE">
              <w:rPr>
                <w:i/>
              </w:rPr>
              <w:t>Strategic Framework</w:t>
            </w:r>
            <w:r w:rsidRPr="000D79AE">
              <w:t xml:space="preserve"> outlines the</w:t>
            </w:r>
            <w:r w:rsidR="001C162C">
              <w:t xml:space="preserve"> state’s</w:t>
            </w:r>
            <w:r w:rsidRPr="000D79AE">
              <w:t xml:space="preserve"> ‘framework for sustainable regional economic development through better use of existing bulk water infrastructure and effective investment in new infrastructure’</w:t>
            </w:r>
            <w:r>
              <w:t xml:space="preserve"> (p. 1)</w:t>
            </w:r>
            <w:r w:rsidRPr="000D79AE">
              <w:t>. It specifies that Queensland’s investment priorities are based on:</w:t>
            </w:r>
          </w:p>
          <w:p w14:paraId="3CB28543" w14:textId="77777777" w:rsidR="00FD20DF" w:rsidRPr="000D79AE" w:rsidRDefault="00FD20DF" w:rsidP="007B0341">
            <w:pPr>
              <w:pStyle w:val="BoxListBullet"/>
            </w:pPr>
            <w:r w:rsidRPr="000D79AE">
              <w:t>improving the safety and reliability of dams and urban water supplies</w:t>
            </w:r>
          </w:p>
          <w:p w14:paraId="27AF4092" w14:textId="4CD2B126" w:rsidR="00FD20DF" w:rsidRPr="000D79AE" w:rsidRDefault="00FD20DF" w:rsidP="007B0341">
            <w:pPr>
              <w:pStyle w:val="BoxListBullet"/>
            </w:pPr>
            <w:r w:rsidRPr="000D79AE">
              <w:t>using existing water resources more efficiently</w:t>
            </w:r>
          </w:p>
          <w:p w14:paraId="094CE3BB" w14:textId="77777777" w:rsidR="00FD20DF" w:rsidRPr="000D79AE" w:rsidRDefault="00FD20DF" w:rsidP="007B0341">
            <w:pPr>
              <w:pStyle w:val="BoxListBullet"/>
            </w:pPr>
            <w:r w:rsidRPr="000D79AE">
              <w:t>supporting commercially</w:t>
            </w:r>
            <w:r w:rsidRPr="000D79AE">
              <w:noBreakHyphen/>
              <w:t>viable infrastructure development by bulk water providers</w:t>
            </w:r>
          </w:p>
          <w:p w14:paraId="65C9235F" w14:textId="77777777" w:rsidR="00FD20DF" w:rsidRPr="000D79AE" w:rsidRDefault="00FD20DF" w:rsidP="007B0341">
            <w:pPr>
              <w:pStyle w:val="BoxListBullet"/>
            </w:pPr>
            <w:r w:rsidRPr="000D79AE">
              <w:t>considering projects that will provide regional economic benefits.</w:t>
            </w:r>
          </w:p>
          <w:p w14:paraId="2D57C584" w14:textId="77777777" w:rsidR="00ED5BFB" w:rsidRDefault="00B66EE4" w:rsidP="00787565">
            <w:pPr>
              <w:pStyle w:val="Box"/>
            </w:pPr>
            <w:r>
              <w:t>The framework also outlines the Queensland Government’s principles for investment in bulk water supply infrastructure, which include that</w:t>
            </w:r>
            <w:r w:rsidR="00ED5BFB">
              <w:t>:</w:t>
            </w:r>
          </w:p>
          <w:p w14:paraId="705ED451" w14:textId="551F0C60" w:rsidR="00FD20DF" w:rsidRPr="000D79AE" w:rsidRDefault="00B66EE4" w:rsidP="00ED5BFB">
            <w:pPr>
              <w:pStyle w:val="BoxQuote"/>
            </w:pPr>
            <w:r>
              <w:t>‘[p]</w:t>
            </w:r>
            <w:proofErr w:type="spellStart"/>
            <w:r>
              <w:t>rojects</w:t>
            </w:r>
            <w:proofErr w:type="spellEnd"/>
            <w:r>
              <w:t xml:space="preserve"> should align with the National Water Initiative principles, including appropriate cost recovery. If full cost recovery is not deemed feasible (including capital), any federal, state or local government subsidies should be transparent to the community’ (p. 6).</w:t>
            </w:r>
          </w:p>
        </w:tc>
      </w:tr>
      <w:tr w:rsidR="00FD20DF" w14:paraId="445F9116" w14:textId="77777777" w:rsidTr="007B0341">
        <w:tc>
          <w:tcPr>
            <w:tcW w:w="5000" w:type="pct"/>
            <w:tcBorders>
              <w:top w:val="nil"/>
              <w:left w:val="nil"/>
              <w:bottom w:val="nil"/>
              <w:right w:val="nil"/>
            </w:tcBorders>
            <w:shd w:val="clear" w:color="auto" w:fill="F2F2F2"/>
          </w:tcPr>
          <w:p w14:paraId="1599B273" w14:textId="03D4F219" w:rsidR="00FD20DF" w:rsidRDefault="00FD20DF" w:rsidP="007B0341">
            <w:pPr>
              <w:pStyle w:val="BoxSource"/>
            </w:pPr>
            <w:r>
              <w:rPr>
                <w:i/>
              </w:rPr>
              <w:t>Source</w:t>
            </w:r>
            <w:r w:rsidRPr="00167F06">
              <w:t>:</w:t>
            </w:r>
            <w:r>
              <w:t xml:space="preserve"> DNRME</w:t>
            </w:r>
            <w:r w:rsidR="0065294C">
              <w:t xml:space="preserve"> </w:t>
            </w:r>
            <w:r>
              <w:t>(Qld)</w:t>
            </w:r>
            <w:r w:rsidRPr="00167F06">
              <w:t xml:space="preserve"> </w:t>
            </w:r>
            <w:r w:rsidR="004A4F30" w:rsidRPr="004A4F30">
              <w:rPr>
                <w:rFonts w:cs="Arial"/>
              </w:rPr>
              <w:t>(2019)</w:t>
            </w:r>
            <w:r>
              <w:t>.</w:t>
            </w:r>
          </w:p>
        </w:tc>
      </w:tr>
      <w:tr w:rsidR="00FD20DF" w14:paraId="43460403" w14:textId="77777777" w:rsidTr="007B0341">
        <w:tc>
          <w:tcPr>
            <w:tcW w:w="5000" w:type="pct"/>
            <w:tcBorders>
              <w:top w:val="nil"/>
              <w:left w:val="nil"/>
              <w:bottom w:val="single" w:sz="6" w:space="0" w:color="78A22F"/>
              <w:right w:val="nil"/>
            </w:tcBorders>
            <w:shd w:val="clear" w:color="auto" w:fill="F2F2F2"/>
          </w:tcPr>
          <w:p w14:paraId="214DDDE3" w14:textId="77777777" w:rsidR="00FD20DF" w:rsidRDefault="00FD20DF" w:rsidP="007B0341">
            <w:pPr>
              <w:pStyle w:val="Box"/>
              <w:spacing w:before="0" w:line="120" w:lineRule="exact"/>
            </w:pPr>
          </w:p>
        </w:tc>
      </w:tr>
      <w:tr w:rsidR="00FD20DF" w:rsidRPr="000863A5" w14:paraId="68932C9D" w14:textId="77777777" w:rsidTr="007B0341">
        <w:tc>
          <w:tcPr>
            <w:tcW w:w="5000" w:type="pct"/>
            <w:tcBorders>
              <w:top w:val="single" w:sz="6" w:space="0" w:color="78A22F"/>
              <w:left w:val="nil"/>
              <w:bottom w:val="nil"/>
              <w:right w:val="nil"/>
            </w:tcBorders>
          </w:tcPr>
          <w:p w14:paraId="7014C9EB" w14:textId="5E52BE20" w:rsidR="00FD20DF" w:rsidRPr="00626D32" w:rsidRDefault="00FD20DF" w:rsidP="007B0341">
            <w:pPr>
              <w:pStyle w:val="BoxSpaceBelow"/>
            </w:pPr>
          </w:p>
        </w:tc>
      </w:tr>
    </w:tbl>
    <w:p w14:paraId="3C7A4ABD" w14:textId="3510337C" w:rsidR="00C81F43" w:rsidRDefault="00C81F43" w:rsidP="00C81F43">
      <w:pPr>
        <w:pStyle w:val="Heading5"/>
      </w:pPr>
      <w:r>
        <w:t xml:space="preserve">Investments made </w:t>
      </w:r>
      <w:r w:rsidR="00000AAA">
        <w:t>to deliver essential services</w:t>
      </w:r>
      <w:r>
        <w:t xml:space="preserve"> must be </w:t>
      </w:r>
      <w:proofErr w:type="gramStart"/>
      <w:r>
        <w:t>transparent</w:t>
      </w:r>
      <w:proofErr w:type="gramEnd"/>
    </w:p>
    <w:p w14:paraId="01237D9C" w14:textId="4993E540" w:rsidR="001671F4" w:rsidRDefault="00B36C06" w:rsidP="00C81F43">
      <w:pPr>
        <w:pStyle w:val="BodyText"/>
      </w:pPr>
      <w:r>
        <w:t>As noted above, o</w:t>
      </w:r>
      <w:r w:rsidR="00C81F43">
        <w:t xml:space="preserve">ne justification used for public infrastructure funding is equity — the need to ensure a basic level of essential service in regional and remote </w:t>
      </w:r>
      <w:r w:rsidR="00000AAA">
        <w:t>communities</w:t>
      </w:r>
      <w:r w:rsidR="00C81F43">
        <w:t xml:space="preserve">. </w:t>
      </w:r>
      <w:r w:rsidR="00375B6E">
        <w:t xml:space="preserve">While the case for government </w:t>
      </w:r>
      <w:r w:rsidR="008E19EB">
        <w:t>involvement</w:t>
      </w:r>
      <w:r w:rsidR="00375B6E">
        <w:t xml:space="preserve"> here is clearer, major </w:t>
      </w:r>
      <w:r w:rsidR="00F01E5E">
        <w:t xml:space="preserve">water </w:t>
      </w:r>
      <w:r w:rsidR="00375B6E">
        <w:t>infrastructure is not always the most effective or least</w:t>
      </w:r>
      <w:r w:rsidR="00375B6E">
        <w:noBreakHyphen/>
        <w:t xml:space="preserve">cost instrument to ensure regional </w:t>
      </w:r>
      <w:r w:rsidR="00CD585C">
        <w:t xml:space="preserve">urban </w:t>
      </w:r>
      <w:r w:rsidR="00375B6E">
        <w:t>water security.</w:t>
      </w:r>
    </w:p>
    <w:p w14:paraId="1BA16E71" w14:textId="6A75146E" w:rsidR="001671F4" w:rsidRDefault="006C46E7" w:rsidP="00C81F43">
      <w:pPr>
        <w:pStyle w:val="BodyText"/>
      </w:pPr>
      <w:r>
        <w:t>Any investment should provide a fit</w:t>
      </w:r>
      <w:r>
        <w:noBreakHyphen/>
        <w:t>for</w:t>
      </w:r>
      <w:r>
        <w:noBreakHyphen/>
        <w:t xml:space="preserve">purpose solution that aligns with the </w:t>
      </w:r>
      <w:r w:rsidR="00CD585C">
        <w:t>relevant service provider’s</w:t>
      </w:r>
      <w:r>
        <w:t xml:space="preserve"> agreed levels of </w:t>
      </w:r>
      <w:proofErr w:type="gramStart"/>
      <w:r>
        <w:t>service, and</w:t>
      </w:r>
      <w:proofErr w:type="gramEnd"/>
      <w:r>
        <w:t xml:space="preserve"> does not burden smaller providers </w:t>
      </w:r>
      <w:r w:rsidR="00CD585C">
        <w:t xml:space="preserve">(or their users) </w:t>
      </w:r>
      <w:r>
        <w:t xml:space="preserve">with significant ongoing maintenance or operational costs. An effective way to do this is to ensure projects </w:t>
      </w:r>
      <w:r w:rsidR="008E19EB">
        <w:t>align</w:t>
      </w:r>
      <w:r w:rsidR="00375B6E">
        <w:t xml:space="preserve"> with local </w:t>
      </w:r>
      <w:r>
        <w:t>long</w:t>
      </w:r>
      <w:r>
        <w:noBreakHyphen/>
        <w:t xml:space="preserve">term </w:t>
      </w:r>
      <w:r w:rsidR="00375B6E">
        <w:t xml:space="preserve">planning by the relevant water service provider. </w:t>
      </w:r>
      <w:r w:rsidR="00C81F43">
        <w:t xml:space="preserve">For example, as put by </w:t>
      </w:r>
      <w:r w:rsidR="00B66EE4">
        <w:t>the Local Government Association of Queensland</w:t>
      </w:r>
      <w:r w:rsidR="00C81F43">
        <w:t xml:space="preserve"> (sub. 32, p. 8), ‘</w:t>
      </w:r>
      <w:r w:rsidR="00C81F43" w:rsidRPr="002D38EF">
        <w:t>projects must demonstrate commitment to long</w:t>
      </w:r>
      <w:r w:rsidR="00C81F43">
        <w:noBreakHyphen/>
      </w:r>
      <w:r w:rsidR="00C81F43" w:rsidRPr="002D38EF">
        <w:t>term water and wastewater service delivery planning, management,</w:t>
      </w:r>
      <w:r w:rsidR="00C81F43">
        <w:t xml:space="preserve"> and maintenance for the region’.</w:t>
      </w:r>
      <w:r w:rsidR="00CD585C">
        <w:t xml:space="preserve"> Government investment could be made contingent on an appropriate standard of planning being in place (these issues are considered in SP</w:t>
      </w:r>
      <w:r w:rsidR="008D074E">
        <w:t> </w:t>
      </w:r>
      <w:r w:rsidR="00E215CF">
        <w:t>G</w:t>
      </w:r>
      <w:r w:rsidR="00CD585C">
        <w:t> </w:t>
      </w:r>
      <w:r w:rsidR="00CD585C">
        <w:rPr>
          <w:i/>
        </w:rPr>
        <w:t>Regional</w:t>
      </w:r>
      <w:r w:rsidR="00CD585C">
        <w:t>).</w:t>
      </w:r>
    </w:p>
    <w:p w14:paraId="7553BB49" w14:textId="68CD90BB" w:rsidR="001671F4" w:rsidRDefault="00B36C06" w:rsidP="00C81F43">
      <w:pPr>
        <w:pStyle w:val="BodyText"/>
      </w:pPr>
      <w:proofErr w:type="gramStart"/>
      <w:r>
        <w:t>In p</w:t>
      </w:r>
      <w:r w:rsidR="00841FE5">
        <w:t>articular, where</w:t>
      </w:r>
      <w:proofErr w:type="gramEnd"/>
      <w:r w:rsidR="00841FE5">
        <w:t xml:space="preserve"> investments</w:t>
      </w:r>
      <w:r w:rsidR="00CD585C">
        <w:t xml:space="preserve"> are not</w:t>
      </w:r>
      <w:r w:rsidR="00841FE5">
        <w:t xml:space="preserve"> economic</w:t>
      </w:r>
      <w:r w:rsidR="00CD585C">
        <w:t>ally viable</w:t>
      </w:r>
      <w:r w:rsidR="00841FE5">
        <w:t>, governments need to demonstrate (</w:t>
      </w:r>
      <w:r w:rsidR="00CD585C">
        <w:t xml:space="preserve">ideally </w:t>
      </w:r>
      <w:r w:rsidR="00841FE5">
        <w:t>through</w:t>
      </w:r>
      <w:r w:rsidR="006C46E7">
        <w:t xml:space="preserve"> existing long</w:t>
      </w:r>
      <w:r w:rsidR="006C46E7">
        <w:noBreakHyphen/>
        <w:t>term infrastructure planning</w:t>
      </w:r>
      <w:r w:rsidR="00841FE5">
        <w:t>) that the investment is the most cost</w:t>
      </w:r>
      <w:r w:rsidR="00841FE5">
        <w:noBreakHyphen/>
        <w:t xml:space="preserve">effective option to </w:t>
      </w:r>
      <w:r w:rsidR="006C46E7">
        <w:t xml:space="preserve">deliver </w:t>
      </w:r>
      <w:r w:rsidR="00841FE5">
        <w:t>that essential service.</w:t>
      </w:r>
    </w:p>
    <w:p w14:paraId="36B3DD16" w14:textId="17210D6D" w:rsidR="00677DE9" w:rsidRDefault="00CA0461" w:rsidP="003B02EE">
      <w:pPr>
        <w:pStyle w:val="Heading5"/>
      </w:pPr>
      <w:r>
        <w:t>Major w</w:t>
      </w:r>
      <w:r w:rsidR="00233333">
        <w:t>ater infrastructure projects are not an effective form of e</w:t>
      </w:r>
      <w:r w:rsidR="00677DE9">
        <w:t xml:space="preserve">conomic </w:t>
      </w:r>
      <w:proofErr w:type="gramStart"/>
      <w:r w:rsidR="00677DE9">
        <w:t>stimulus</w:t>
      </w:r>
      <w:proofErr w:type="gramEnd"/>
    </w:p>
    <w:p w14:paraId="66A09751" w14:textId="20297E40" w:rsidR="001671F4" w:rsidRDefault="00532713" w:rsidP="003B02EE">
      <w:pPr>
        <w:pStyle w:val="BodyText"/>
      </w:pPr>
      <w:r w:rsidRPr="00532713">
        <w:t xml:space="preserve">During major recessions </w:t>
      </w:r>
      <w:r w:rsidR="00552F81">
        <w:t>(</w:t>
      </w:r>
      <w:r w:rsidRPr="00532713">
        <w:t>such as the one Australia is</w:t>
      </w:r>
      <w:r w:rsidR="00233333">
        <w:t xml:space="preserve"> currently</w:t>
      </w:r>
      <w:r w:rsidRPr="00532713">
        <w:t xml:space="preserve"> experiencing</w:t>
      </w:r>
      <w:r w:rsidR="00552F81">
        <w:t>),</w:t>
      </w:r>
      <w:r w:rsidRPr="00532713">
        <w:t xml:space="preserve"> policies </w:t>
      </w:r>
      <w:r w:rsidR="00233333">
        <w:t xml:space="preserve">that </w:t>
      </w:r>
      <w:r w:rsidRPr="00532713">
        <w:t xml:space="preserve">stimulate demand </w:t>
      </w:r>
      <w:r w:rsidR="00233333">
        <w:t xml:space="preserve">and </w:t>
      </w:r>
      <w:r w:rsidRPr="00532713">
        <w:t xml:space="preserve">increase employment rates can provide </w:t>
      </w:r>
      <w:r w:rsidRPr="00233333">
        <w:t>economic</w:t>
      </w:r>
      <w:r w:rsidRPr="00532713">
        <w:t xml:space="preserve"> benefits. </w:t>
      </w:r>
      <w:r w:rsidR="00233333">
        <w:t>S</w:t>
      </w:r>
      <w:r w:rsidRPr="00532713">
        <w:t xml:space="preserve">uch circumstances </w:t>
      </w:r>
      <w:r w:rsidR="00552F81">
        <w:t xml:space="preserve">usually </w:t>
      </w:r>
      <w:r w:rsidRPr="00532713">
        <w:t xml:space="preserve">suggest general macroeconomic policies </w:t>
      </w:r>
      <w:r w:rsidR="00FA0CB2">
        <w:t xml:space="preserve">(like reductions in interest </w:t>
      </w:r>
      <w:r w:rsidR="00FA0CB2">
        <w:lastRenderedPageBreak/>
        <w:t xml:space="preserve">rates) </w:t>
      </w:r>
      <w:r w:rsidRPr="00532713">
        <w:t>and/or the cautious encouragement of the highest</w:t>
      </w:r>
      <w:r w:rsidRPr="00532713">
        <w:noBreakHyphen/>
        <w:t>value short</w:t>
      </w:r>
      <w:r w:rsidR="00011902">
        <w:noBreakHyphen/>
      </w:r>
      <w:r w:rsidRPr="00532713">
        <w:t>run (‘shovel</w:t>
      </w:r>
      <w:r w:rsidR="00011902">
        <w:noBreakHyphen/>
      </w:r>
      <w:r w:rsidRPr="00532713">
        <w:t xml:space="preserve">ready’) </w:t>
      </w:r>
      <w:r w:rsidR="007C6C94" w:rsidRPr="00532713">
        <w:t>investments to utilise excess labour</w:t>
      </w:r>
      <w:r w:rsidR="007C6C94">
        <w:t>.</w:t>
      </w:r>
      <w:r w:rsidR="007C6C94" w:rsidRPr="00532713">
        <w:t xml:space="preserve"> </w:t>
      </w:r>
      <w:r w:rsidR="007C6C94">
        <w:t>P</w:t>
      </w:r>
      <w:r w:rsidR="007C6C94" w:rsidRPr="00532713">
        <w:t xml:space="preserve">olicymakers should </w:t>
      </w:r>
      <w:r w:rsidR="007C6C94">
        <w:t xml:space="preserve">not favour </w:t>
      </w:r>
      <w:proofErr w:type="gramStart"/>
      <w:r w:rsidR="007C6C94">
        <w:t>particular</w:t>
      </w:r>
      <w:r w:rsidR="007C6C94" w:rsidRPr="00532713">
        <w:t xml:space="preserve"> location</w:t>
      </w:r>
      <w:r w:rsidR="007C6C94">
        <w:t>s</w:t>
      </w:r>
      <w:proofErr w:type="gramEnd"/>
      <w:r w:rsidR="007C6C94" w:rsidRPr="00532713">
        <w:t xml:space="preserve"> and </w:t>
      </w:r>
      <w:r w:rsidR="007C6C94">
        <w:t xml:space="preserve">or </w:t>
      </w:r>
      <w:r w:rsidR="007C6C94" w:rsidRPr="00532713">
        <w:t>infrastructure</w:t>
      </w:r>
      <w:r w:rsidR="007C6C94">
        <w:t xml:space="preserve"> sectors — they should </w:t>
      </w:r>
      <w:r w:rsidR="007C6C94" w:rsidRPr="00532713">
        <w:t>focus instead on maximising the effectiveness of the investment</w:t>
      </w:r>
      <w:r w:rsidR="007C6C94">
        <w:t xml:space="preserve"> by targeting those regions and sectors most affected by an economic downturn, or where investment is likely to best support economic recovery</w:t>
      </w:r>
      <w:r w:rsidR="007C6C94" w:rsidRPr="00532713">
        <w:t>.</w:t>
      </w:r>
    </w:p>
    <w:p w14:paraId="5121205B" w14:textId="1E206D7B" w:rsidR="001671F4" w:rsidRDefault="00FA0CB2" w:rsidP="009A0047">
      <w:pPr>
        <w:pStyle w:val="BodyText"/>
        <w:keepNext/>
      </w:pPr>
      <w:r>
        <w:t>Where infrastructure investments are adopted</w:t>
      </w:r>
      <w:r w:rsidR="007D58EB">
        <w:t xml:space="preserve"> as a solution</w:t>
      </w:r>
      <w:r w:rsidR="00532713" w:rsidRPr="00532713">
        <w:t xml:space="preserve">, the usual discipline of </w:t>
      </w:r>
      <w:r w:rsidR="00C51B64">
        <w:t xml:space="preserve">CBA </w:t>
      </w:r>
      <w:r w:rsidR="00532713" w:rsidRPr="00532713">
        <w:t xml:space="preserve">should still apply so that there is an explicit awareness of the </w:t>
      </w:r>
      <w:r w:rsidR="007D58EB">
        <w:t>relative</w:t>
      </w:r>
      <w:r w:rsidR="00532713" w:rsidRPr="00532713">
        <w:t xml:space="preserve"> price of job creation for a range of alternative investment proposals. </w:t>
      </w:r>
      <w:r w:rsidR="00233333" w:rsidRPr="000906AF">
        <w:t xml:space="preserve">As </w:t>
      </w:r>
      <w:r w:rsidR="00233333">
        <w:t>noted</w:t>
      </w:r>
      <w:r w:rsidR="00233333" w:rsidRPr="000906AF">
        <w:t xml:space="preserve"> by the Queensland Productivity Commission</w:t>
      </w:r>
      <w:r w:rsidR="00233333">
        <w:t xml:space="preserve"> (QPC)</w:t>
      </w:r>
      <w:r w:rsidR="00233333" w:rsidRPr="000906AF">
        <w:t xml:space="preserve"> </w:t>
      </w:r>
      <w:r w:rsidR="00233333" w:rsidRPr="004A4F30">
        <w:rPr>
          <w:szCs w:val="24"/>
        </w:rPr>
        <w:t>(2020, p. 23)</w:t>
      </w:r>
      <w:r w:rsidR="00233333" w:rsidRPr="000906AF">
        <w:t>:</w:t>
      </w:r>
    </w:p>
    <w:p w14:paraId="7C8946CB" w14:textId="64ACB824" w:rsidR="00233333" w:rsidRDefault="00233333" w:rsidP="00233333">
      <w:pPr>
        <w:pStyle w:val="Quote"/>
      </w:pPr>
      <w:r w:rsidRPr="000906AF">
        <w:t xml:space="preserve">… infrastructure projects that meet a genuine economic need aid economic recovery and create employment. They can provide an opportunity to improve productivity, social </w:t>
      </w:r>
      <w:proofErr w:type="gramStart"/>
      <w:r w:rsidRPr="000906AF">
        <w:t>outcomes</w:t>
      </w:r>
      <w:proofErr w:type="gramEnd"/>
      <w:r w:rsidRPr="000906AF">
        <w:t xml:space="preserve"> and future resilience … This means that robust project selection during crises is essential to promoting … long</w:t>
      </w:r>
      <w:r>
        <w:noBreakHyphen/>
      </w:r>
      <w:r w:rsidRPr="000906AF">
        <w:t>run economic growth and resilience.</w:t>
      </w:r>
    </w:p>
    <w:p w14:paraId="396DE20B" w14:textId="539BB532" w:rsidR="00233333" w:rsidRDefault="00233333" w:rsidP="00A74B02">
      <w:pPr>
        <w:pStyle w:val="BodyText"/>
      </w:pPr>
      <w:r>
        <w:t xml:space="preserve">The QPC also proposed a set of criteria for ensuring that crisis infrastructure spending will aid recovery, which emphasise the need for infrastructure to address the specific problems emerging during any economic crisis, rather than stimulating industries unaffected by the economic shock </w:t>
      </w:r>
      <w:r w:rsidRPr="004A4F30">
        <w:rPr>
          <w:szCs w:val="24"/>
        </w:rPr>
        <w:t>(QPC 2020, p. 24)</w:t>
      </w:r>
      <w:r>
        <w:t>. Their criteria point to the need for a clear net benefit from any project, including social benefits (such as improving equity in access to public services) and improved resilience to natural disasters and climate change.</w:t>
      </w:r>
    </w:p>
    <w:p w14:paraId="380837CF" w14:textId="15E0DA58" w:rsidR="008E54D6" w:rsidRDefault="00233333" w:rsidP="00BC79EF">
      <w:pPr>
        <w:pStyle w:val="BodyText"/>
      </w:pPr>
      <w:r>
        <w:t>Considering the long timeframe and large scale of major water infrastructure developments, these do not fit the criteria f</w:t>
      </w:r>
      <w:r w:rsidR="00FA0CB2">
        <w:t>or</w:t>
      </w:r>
      <w:r>
        <w:t xml:space="preserve"> an effective stimulus response. Many are not ‘shovel</w:t>
      </w:r>
      <w:r>
        <w:noBreakHyphen/>
        <w:t>ready’, and do not target the employment sectors or regions most affected by</w:t>
      </w:r>
      <w:r w:rsidR="00552F81">
        <w:t xml:space="preserve"> the current </w:t>
      </w:r>
      <w:r>
        <w:t>recession. Further, t</w:t>
      </w:r>
      <w:r w:rsidR="00644DDC">
        <w:t>he long</w:t>
      </w:r>
      <w:r w:rsidR="00644DDC">
        <w:noBreakHyphen/>
        <w:t xml:space="preserve">term ongoing costs of maintaining and replacing major water infrastructure means that a hasty decision made on a major development can create an ongoing impost on users and/or taxpayers if that infrastructure proves to be unviable. </w:t>
      </w:r>
    </w:p>
    <w:p w14:paraId="6E23E5E5" w14:textId="42ABEC43" w:rsidR="00BE1649" w:rsidRDefault="00242FEA" w:rsidP="00BE1649">
      <w:pPr>
        <w:pStyle w:val="Heading3"/>
      </w:pPr>
      <w:bookmarkStart w:id="27" w:name="_Toc62628690"/>
      <w:r>
        <w:t>3.4</w:t>
      </w:r>
      <w:r>
        <w:tab/>
      </w:r>
      <w:r w:rsidR="00F61D94">
        <w:t>W</w:t>
      </w:r>
      <w:r w:rsidR="0001450E">
        <w:t xml:space="preserve">ater </w:t>
      </w:r>
      <w:r w:rsidR="00F61D94">
        <w:t>allocation</w:t>
      </w:r>
      <w:bookmarkEnd w:id="27"/>
    </w:p>
    <w:p w14:paraId="046E1905" w14:textId="0AF55779" w:rsidR="009E1257" w:rsidRPr="009E1257" w:rsidRDefault="009E1257" w:rsidP="00BE1649">
      <w:pPr>
        <w:pStyle w:val="BodyText"/>
      </w:pPr>
      <w:r w:rsidRPr="009E1257">
        <w:t xml:space="preserve">Where a major project </w:t>
      </w:r>
      <w:r w:rsidR="00733C1E">
        <w:t>creates</w:t>
      </w:r>
      <w:r w:rsidRPr="009E1257">
        <w:t xml:space="preserve"> additional water </w:t>
      </w:r>
      <w:r w:rsidR="00733C1E">
        <w:t>rights</w:t>
      </w:r>
      <w:r w:rsidRPr="009E1257">
        <w:t xml:space="preserve">, State and Territory </w:t>
      </w:r>
      <w:r w:rsidR="0015757E">
        <w:t>G</w:t>
      </w:r>
      <w:r w:rsidRPr="009E1257">
        <w:t xml:space="preserve">overnments </w:t>
      </w:r>
      <w:r w:rsidR="00733C1E">
        <w:t xml:space="preserve">must </w:t>
      </w:r>
      <w:r w:rsidRPr="009E1257">
        <w:t xml:space="preserve">decide how </w:t>
      </w:r>
      <w:r w:rsidR="00733C1E">
        <w:t xml:space="preserve">those </w:t>
      </w:r>
      <w:r w:rsidRPr="009E1257">
        <w:t xml:space="preserve">rights are </w:t>
      </w:r>
      <w:r w:rsidR="00837F43">
        <w:t xml:space="preserve">assigned </w:t>
      </w:r>
      <w:r w:rsidR="00F47730">
        <w:t xml:space="preserve">between </w:t>
      </w:r>
      <w:r w:rsidR="00733C1E">
        <w:t xml:space="preserve">different </w:t>
      </w:r>
      <w:r w:rsidR="00BC79EF">
        <w:t>users</w:t>
      </w:r>
      <w:r w:rsidRPr="009E1257">
        <w:t>.</w:t>
      </w:r>
    </w:p>
    <w:p w14:paraId="6E3894A0" w14:textId="2A4E64BE" w:rsidR="00F61D94" w:rsidRPr="00F61D94" w:rsidRDefault="009E1257" w:rsidP="009E1257">
      <w:pPr>
        <w:pStyle w:val="BodyText"/>
      </w:pPr>
      <w:r w:rsidRPr="009E1257">
        <w:t xml:space="preserve">The NWI suggests </w:t>
      </w:r>
      <w:r w:rsidR="00F47730">
        <w:t xml:space="preserve">that </w:t>
      </w:r>
      <w:r w:rsidRPr="009E1257">
        <w:t>market</w:t>
      </w:r>
      <w:r w:rsidRPr="009E1257">
        <w:noBreakHyphen/>
        <w:t xml:space="preserve">based mechanisms should be used ‘to the extent practicable’, although acknowledges that </w:t>
      </w:r>
      <w:r w:rsidR="00F47730">
        <w:t>allocations are</w:t>
      </w:r>
      <w:r w:rsidRPr="009E1257">
        <w:t xml:space="preserve"> a decision for State and Territory </w:t>
      </w:r>
      <w:r w:rsidR="0015757E">
        <w:t>G</w:t>
      </w:r>
      <w:r w:rsidRPr="009E1257">
        <w:t>overnments.</w:t>
      </w:r>
      <w:r w:rsidRPr="00F27690">
        <w:rPr>
          <w:rStyle w:val="FootnoteReference"/>
        </w:rPr>
        <w:footnoteReference w:id="9"/>
      </w:r>
      <w:r w:rsidRPr="009E1257">
        <w:t xml:space="preserve"> This remains sound as an approach</w:t>
      </w:r>
      <w:r w:rsidR="00BC79EF">
        <w:t>:</w:t>
      </w:r>
      <w:r w:rsidR="00733C1E">
        <w:t xml:space="preserve"> </w:t>
      </w:r>
      <w:r w:rsidRPr="009E1257">
        <w:t>market</w:t>
      </w:r>
      <w:r w:rsidRPr="009E1257">
        <w:noBreakHyphen/>
        <w:t>based approach</w:t>
      </w:r>
      <w:r w:rsidR="00733C1E">
        <w:t>es</w:t>
      </w:r>
      <w:r w:rsidRPr="009E1257">
        <w:t xml:space="preserve"> </w:t>
      </w:r>
      <w:r w:rsidR="00733C1E">
        <w:t xml:space="preserve">encourage movement of water to </w:t>
      </w:r>
      <w:r w:rsidR="00F47730">
        <w:t xml:space="preserve">its </w:t>
      </w:r>
      <w:r w:rsidR="00733C1E">
        <w:t>highest</w:t>
      </w:r>
      <w:r w:rsidR="00733C1E">
        <w:noBreakHyphen/>
        <w:t xml:space="preserve">value use. </w:t>
      </w:r>
      <w:r w:rsidR="00B66EE4">
        <w:t>And market</w:t>
      </w:r>
      <w:r w:rsidR="00B66EE4">
        <w:noBreakHyphen/>
        <w:t xml:space="preserve">based mechanisms </w:t>
      </w:r>
      <w:r w:rsidR="00B66EE4" w:rsidRPr="009E1257">
        <w:t xml:space="preserve">include </w:t>
      </w:r>
      <w:r w:rsidR="00B66EE4">
        <w:t xml:space="preserve">the </w:t>
      </w:r>
      <w:r w:rsidR="00B66EE4" w:rsidRPr="009E1257">
        <w:t>pre</w:t>
      </w:r>
      <w:r w:rsidR="00B66EE4">
        <w:noBreakHyphen/>
      </w:r>
      <w:r w:rsidR="00B66EE4" w:rsidRPr="009E1257">
        <w:t>sale of entitlements prior to construction</w:t>
      </w:r>
      <w:r w:rsidR="00B66EE4">
        <w:t xml:space="preserve">, which has a range of other benefits (such as </w:t>
      </w:r>
      <w:r w:rsidR="00ED5BFB">
        <w:t xml:space="preserve">helping to address </w:t>
      </w:r>
      <w:r w:rsidR="00B66EE4">
        <w:t>optimism bias, discussed above).</w:t>
      </w:r>
    </w:p>
    <w:p w14:paraId="61F983B2" w14:textId="30044A64" w:rsidR="000645C5" w:rsidRDefault="0022061F" w:rsidP="009E1257">
      <w:pPr>
        <w:pStyle w:val="BodyText"/>
      </w:pPr>
      <w:r>
        <w:t>However, S</w:t>
      </w:r>
      <w:r w:rsidR="009E1257" w:rsidRPr="009E1257">
        <w:t xml:space="preserve">tate and Territory </w:t>
      </w:r>
      <w:r w:rsidR="0015757E">
        <w:t>G</w:t>
      </w:r>
      <w:r w:rsidR="009E1257" w:rsidRPr="009E1257">
        <w:t xml:space="preserve">overnments may </w:t>
      </w:r>
      <w:r w:rsidR="009E1257">
        <w:t xml:space="preserve">also </w:t>
      </w:r>
      <w:r w:rsidR="009E1257" w:rsidRPr="009E1257">
        <w:t xml:space="preserve">choose to grant some entitlements </w:t>
      </w:r>
      <w:r w:rsidR="00733C1E">
        <w:t xml:space="preserve">to </w:t>
      </w:r>
      <w:proofErr w:type="gramStart"/>
      <w:r w:rsidR="00733C1E">
        <w:t>particular sectors</w:t>
      </w:r>
      <w:proofErr w:type="gramEnd"/>
      <w:r w:rsidR="009E1257" w:rsidRPr="009E1257">
        <w:t xml:space="preserve">, </w:t>
      </w:r>
      <w:r w:rsidR="00E8551B">
        <w:t>including</w:t>
      </w:r>
      <w:r w:rsidR="009E1257" w:rsidRPr="009E1257">
        <w:t xml:space="preserve"> urban </w:t>
      </w:r>
      <w:r w:rsidR="00E8551B">
        <w:t>providers</w:t>
      </w:r>
      <w:r w:rsidR="00E8551B" w:rsidRPr="009E1257">
        <w:t xml:space="preserve"> </w:t>
      </w:r>
      <w:r w:rsidR="009E1257" w:rsidRPr="009E1257">
        <w:t>or T</w:t>
      </w:r>
      <w:r w:rsidR="00F61D94" w:rsidRPr="009E1257">
        <w:t xml:space="preserve">raditional </w:t>
      </w:r>
      <w:r w:rsidR="009E1257" w:rsidRPr="009E1257">
        <w:t>O</w:t>
      </w:r>
      <w:r w:rsidR="00F61D94" w:rsidRPr="009E1257">
        <w:t>wners</w:t>
      </w:r>
      <w:r w:rsidR="009E1257" w:rsidRPr="009E1257">
        <w:t xml:space="preserve">. </w:t>
      </w:r>
      <w:r w:rsidR="002F42A8">
        <w:t xml:space="preserve">Although </w:t>
      </w:r>
      <w:r>
        <w:t xml:space="preserve">not a </w:t>
      </w:r>
      <w:r>
        <w:lastRenderedPageBreak/>
        <w:t>market</w:t>
      </w:r>
      <w:r>
        <w:noBreakHyphen/>
        <w:t>based approach, this is not inconsistent with allocating water to its highest</w:t>
      </w:r>
      <w:r>
        <w:noBreakHyphen/>
        <w:t xml:space="preserve">value </w:t>
      </w:r>
      <w:r w:rsidR="003D295B">
        <w:t>use</w:t>
      </w:r>
      <w:r>
        <w:t xml:space="preserve">. </w:t>
      </w:r>
      <w:r w:rsidR="000645C5">
        <w:t xml:space="preserve">As discussed </w:t>
      </w:r>
      <w:r w:rsidR="00CA08E7">
        <w:t>above</w:t>
      </w:r>
      <w:r w:rsidR="000645C5">
        <w:t>, governments should</w:t>
      </w:r>
      <w:r w:rsidR="00D64BF1">
        <w:t xml:space="preserve"> </w:t>
      </w:r>
      <w:r w:rsidR="000645C5">
        <w:t xml:space="preserve">consider </w:t>
      </w:r>
      <w:r w:rsidR="00924446">
        <w:t xml:space="preserve">providing water </w:t>
      </w:r>
      <w:r w:rsidR="000645C5">
        <w:t>entitlements to Traditional Owners</w:t>
      </w:r>
      <w:r w:rsidR="00CA08E7">
        <w:t xml:space="preserve"> in less developed systems</w:t>
      </w:r>
      <w:r w:rsidR="00D64BF1">
        <w:t xml:space="preserve">, </w:t>
      </w:r>
      <w:r w:rsidR="00CA08E7">
        <w:t xml:space="preserve">including </w:t>
      </w:r>
      <w:r w:rsidR="00D64BF1">
        <w:t>where this</w:t>
      </w:r>
      <w:r w:rsidR="000645C5">
        <w:t xml:space="preserve"> contribute</w:t>
      </w:r>
      <w:r w:rsidR="00D64BF1">
        <w:t>s</w:t>
      </w:r>
      <w:r w:rsidR="000645C5">
        <w:t xml:space="preserve"> to meeting commitments under </w:t>
      </w:r>
      <w:r w:rsidR="005E316F">
        <w:t xml:space="preserve">the National Agreement on </w:t>
      </w:r>
      <w:r w:rsidR="000645C5" w:rsidRPr="005E316F">
        <w:t>Closing the Gap</w:t>
      </w:r>
      <w:r w:rsidR="000645C5">
        <w:t>, and closely engage with relevant Traditional Owners in these decisions</w:t>
      </w:r>
      <w:r w:rsidR="000645C5">
        <w:rPr>
          <w:i/>
        </w:rPr>
        <w:t>.</w:t>
      </w:r>
    </w:p>
    <w:p w14:paraId="723780E4" w14:textId="2FA6AD61" w:rsidR="00BE1649" w:rsidRPr="000C44A9" w:rsidRDefault="000645C5" w:rsidP="009E1257">
      <w:pPr>
        <w:pStyle w:val="BodyText"/>
      </w:pPr>
      <w:r>
        <w:t xml:space="preserve">In allocating water from a new development, </w:t>
      </w:r>
      <w:r w:rsidR="0022061F">
        <w:t xml:space="preserve">State and Territory </w:t>
      </w:r>
      <w:r w:rsidR="0015757E">
        <w:t>G</w:t>
      </w:r>
      <w:r w:rsidR="009E1257" w:rsidRPr="009E1257">
        <w:t>overnments should be transparent</w:t>
      </w:r>
      <w:r w:rsidR="009E1257">
        <w:t xml:space="preserve"> on the reasons for </w:t>
      </w:r>
      <w:r w:rsidR="00F47730">
        <w:t xml:space="preserve">their </w:t>
      </w:r>
      <w:proofErr w:type="gramStart"/>
      <w:r w:rsidR="00F47730">
        <w:t>choices</w:t>
      </w:r>
      <w:r w:rsidR="009A0047">
        <w:t>, and</w:t>
      </w:r>
      <w:proofErr w:type="gramEnd"/>
      <w:r w:rsidR="009A0047">
        <w:t xml:space="preserve"> aim to allocate water to its highest value use where practicable.</w:t>
      </w:r>
    </w:p>
    <w:p w14:paraId="6ABA164F" w14:textId="2A680D59" w:rsidR="004D1FA7" w:rsidRDefault="00242FEA" w:rsidP="00BE1649">
      <w:pPr>
        <w:pStyle w:val="Heading3"/>
        <w:spacing w:before="360"/>
      </w:pPr>
      <w:bookmarkStart w:id="28" w:name="_Toc62628691"/>
      <w:r>
        <w:t>3.5</w:t>
      </w:r>
      <w:r>
        <w:tab/>
      </w:r>
      <w:r w:rsidR="004D1FA7">
        <w:t>Institutional arrangements</w:t>
      </w:r>
      <w:bookmarkEnd w:id="28"/>
    </w:p>
    <w:p w14:paraId="094A9727" w14:textId="68DE3877" w:rsidR="007D3A3B" w:rsidRDefault="007D3A3B" w:rsidP="007D3A3B">
      <w:pPr>
        <w:pStyle w:val="BodyText"/>
      </w:pPr>
      <w:r>
        <w:t xml:space="preserve">Government investment in major water infrastructure often falls outside of the usual institutional arrangements (that is, decisions made by water service providers). Clearer institutional roles and responsibilities for governments should underpin an agreed assessment and selection process (discussed above) to coordinate any government investment. This ensures that risks are identified and managed, accountability is clearly </w:t>
      </w:r>
      <w:proofErr w:type="gramStart"/>
      <w:r>
        <w:t>allocated</w:t>
      </w:r>
      <w:proofErr w:type="gramEnd"/>
      <w:r>
        <w:t xml:space="preserve"> and decisions are made on the basis of the best available information.</w:t>
      </w:r>
    </w:p>
    <w:p w14:paraId="53C76080" w14:textId="3B1E7FD9" w:rsidR="0045423A" w:rsidRPr="0045423A" w:rsidRDefault="0045423A" w:rsidP="0045423A">
      <w:pPr>
        <w:pStyle w:val="Heading4"/>
      </w:pPr>
      <w:r>
        <w:t xml:space="preserve">State </w:t>
      </w:r>
      <w:r w:rsidR="00F0620C">
        <w:t>and Territory G</w:t>
      </w:r>
      <w:r>
        <w:t>overnments have primary responsibility</w:t>
      </w:r>
      <w:r w:rsidR="00F0620C">
        <w:t xml:space="preserve"> for </w:t>
      </w:r>
      <w:r w:rsidR="008D5FCF">
        <w:t>major</w:t>
      </w:r>
      <w:r w:rsidR="00177E9B">
        <w:t xml:space="preserve"> water </w:t>
      </w:r>
      <w:proofErr w:type="gramStart"/>
      <w:r w:rsidR="00F0620C">
        <w:t>infrastructure</w:t>
      </w:r>
      <w:proofErr w:type="gramEnd"/>
    </w:p>
    <w:p w14:paraId="6A337D6B" w14:textId="74F7947A" w:rsidR="00277CAF" w:rsidRDefault="00277B0A" w:rsidP="00277B0A">
      <w:pPr>
        <w:pStyle w:val="BodyText"/>
      </w:pPr>
      <w:r>
        <w:t>State</w:t>
      </w:r>
      <w:r w:rsidR="004D1FA7">
        <w:t xml:space="preserve"> and T</w:t>
      </w:r>
      <w:r>
        <w:t>erritory Governments</w:t>
      </w:r>
      <w:r w:rsidR="00177E9B">
        <w:t xml:space="preserve"> should have primar</w:t>
      </w:r>
      <w:r w:rsidR="00733C1E">
        <w:t xml:space="preserve">y responsibility for proposing </w:t>
      </w:r>
      <w:r w:rsidR="009A0047">
        <w:t>(</w:t>
      </w:r>
      <w:r w:rsidR="00733C1E">
        <w:t xml:space="preserve">and </w:t>
      </w:r>
      <w:r w:rsidR="00177E9B">
        <w:t>overseeing</w:t>
      </w:r>
      <w:r w:rsidR="009A0047">
        <w:t>)</w:t>
      </w:r>
      <w:r w:rsidR="00177E9B">
        <w:t xml:space="preserve"> </w:t>
      </w:r>
      <w:r w:rsidR="00733C1E">
        <w:t xml:space="preserve">major </w:t>
      </w:r>
      <w:r w:rsidR="00177E9B">
        <w:t>water infrastructure</w:t>
      </w:r>
      <w:r w:rsidR="00733C1E">
        <w:t xml:space="preserve"> developments</w:t>
      </w:r>
      <w:r w:rsidR="00E8551B">
        <w:t xml:space="preserve"> in their jurisdictions</w:t>
      </w:r>
      <w:r w:rsidR="00D64BF1">
        <w:t>, and for undertaking many of project selection and assessment processes discussed above</w:t>
      </w:r>
      <w:r w:rsidR="00177E9B">
        <w:t xml:space="preserve">. </w:t>
      </w:r>
      <w:r w:rsidR="00733C1E">
        <w:t xml:space="preserve">This </w:t>
      </w:r>
      <w:r w:rsidR="007B1A81">
        <w:t>corresponds</w:t>
      </w:r>
      <w:r w:rsidR="00177E9B">
        <w:t xml:space="preserve"> with</w:t>
      </w:r>
      <w:r w:rsidR="004D1FA7">
        <w:t xml:space="preserve"> </w:t>
      </w:r>
      <w:r w:rsidR="00177E9B">
        <w:t xml:space="preserve">their current </w:t>
      </w:r>
      <w:r w:rsidR="00552F81">
        <w:t xml:space="preserve">ownership of bulk water service providers (in many cases), as well as their </w:t>
      </w:r>
      <w:r>
        <w:t>responsibilit</w:t>
      </w:r>
      <w:r w:rsidR="00F17422">
        <w:t>ies</w:t>
      </w:r>
      <w:r>
        <w:t xml:space="preserve"> for </w:t>
      </w:r>
      <w:r w:rsidR="00E22699">
        <w:t xml:space="preserve">water resource management, </w:t>
      </w:r>
      <w:r>
        <w:t>infrastructure development</w:t>
      </w:r>
      <w:r w:rsidR="009A0047">
        <w:t>, regional development (as noted above)</w:t>
      </w:r>
      <w:r>
        <w:t xml:space="preserve"> </w:t>
      </w:r>
      <w:r w:rsidR="00E22699">
        <w:t>and</w:t>
      </w:r>
      <w:r w:rsidR="00552F81">
        <w:t xml:space="preserve"> most stages of</w:t>
      </w:r>
      <w:r w:rsidR="00E22699">
        <w:t xml:space="preserve"> project approval </w:t>
      </w:r>
      <w:r w:rsidR="00BE1649">
        <w:t>(</w:t>
      </w:r>
      <w:r w:rsidR="00067962">
        <w:t>such</w:t>
      </w:r>
      <w:r w:rsidR="00BE1649">
        <w:t xml:space="preserve"> </w:t>
      </w:r>
      <w:r w:rsidR="00067962">
        <w:t xml:space="preserve">as </w:t>
      </w:r>
      <w:r w:rsidR="00F17422">
        <w:t xml:space="preserve">requiring </w:t>
      </w:r>
      <w:r w:rsidR="00067962">
        <w:t xml:space="preserve">environmental impact </w:t>
      </w:r>
      <w:r w:rsidR="00F17422">
        <w:t>assessments</w:t>
      </w:r>
      <w:r w:rsidR="00BE1649">
        <w:t>)</w:t>
      </w:r>
      <w:r>
        <w:t>.</w:t>
      </w:r>
      <w:r w:rsidR="00552F81" w:rsidRPr="00F27690">
        <w:rPr>
          <w:rStyle w:val="FootnoteReference"/>
        </w:rPr>
        <w:footnoteReference w:id="10"/>
      </w:r>
      <w:r>
        <w:t xml:space="preserve"> </w:t>
      </w:r>
    </w:p>
    <w:p w14:paraId="64E98F5E" w14:textId="7181A764" w:rsidR="0045423A" w:rsidRDefault="0045423A" w:rsidP="0045423A">
      <w:pPr>
        <w:pStyle w:val="Heading4"/>
      </w:pPr>
      <w:r>
        <w:t xml:space="preserve">The Australian Government’s role </w:t>
      </w:r>
      <w:r w:rsidR="009A0047">
        <w:t xml:space="preserve">should be </w:t>
      </w:r>
      <w:proofErr w:type="gramStart"/>
      <w:r w:rsidR="002F42A8">
        <w:t>limited</w:t>
      </w:r>
      <w:proofErr w:type="gramEnd"/>
    </w:p>
    <w:p w14:paraId="23FF53B8" w14:textId="74E6188C" w:rsidR="00BE1649" w:rsidRDefault="008C2716" w:rsidP="00BE1649">
      <w:pPr>
        <w:pStyle w:val="BodyText"/>
      </w:pPr>
      <w:r>
        <w:t>The Commission does not see a national interest argument that justifies</w:t>
      </w:r>
      <w:r w:rsidR="005311A1">
        <w:t xml:space="preserve"> a general</w:t>
      </w:r>
      <w:r w:rsidR="00733C1E">
        <w:t xml:space="preserve"> or ongoing</w:t>
      </w:r>
      <w:r w:rsidR="005311A1">
        <w:t xml:space="preserve"> role for</w:t>
      </w:r>
      <w:r>
        <w:t xml:space="preserve"> </w:t>
      </w:r>
      <w:r w:rsidR="00733C1E">
        <w:t xml:space="preserve">the </w:t>
      </w:r>
      <w:r>
        <w:t>Au</w:t>
      </w:r>
      <w:r w:rsidR="00277B0A">
        <w:t xml:space="preserve">stralian Government </w:t>
      </w:r>
      <w:r w:rsidR="002E043A">
        <w:t>in</w:t>
      </w:r>
      <w:r w:rsidR="00277B0A">
        <w:t xml:space="preserve"> water infrastructure </w:t>
      </w:r>
      <w:r w:rsidR="002E043A">
        <w:t>decision</w:t>
      </w:r>
      <w:r w:rsidR="00F75929">
        <w:t xml:space="preserve"> </w:t>
      </w:r>
      <w:r w:rsidR="002E043A">
        <w:t xml:space="preserve">making </w:t>
      </w:r>
      <w:r w:rsidR="00277B0A">
        <w:t>— particularly</w:t>
      </w:r>
      <w:r w:rsidR="00D64BF1">
        <w:t>,</w:t>
      </w:r>
      <w:r w:rsidR="00277B0A">
        <w:t xml:space="preserve"> </w:t>
      </w:r>
      <w:r w:rsidR="00552F81">
        <w:t xml:space="preserve">with </w:t>
      </w:r>
      <w:r w:rsidR="00277B0A">
        <w:t>regional development under the purview of State and Territory Governments.</w:t>
      </w:r>
      <w:r w:rsidR="005311A1">
        <w:t xml:space="preserve"> </w:t>
      </w:r>
      <w:r w:rsidR="005311A1" w:rsidRPr="00BE1649">
        <w:t xml:space="preserve">An exception may be in shared systems, where the benefits of infrastructure </w:t>
      </w:r>
      <w:r w:rsidR="00C14832" w:rsidRPr="00BE1649">
        <w:t>are</w:t>
      </w:r>
      <w:r w:rsidR="005311A1" w:rsidRPr="00BE1649">
        <w:t xml:space="preserve"> </w:t>
      </w:r>
      <w:r w:rsidR="00C14832" w:rsidRPr="00BE1649">
        <w:t xml:space="preserve">divided </w:t>
      </w:r>
      <w:r w:rsidR="005311A1" w:rsidRPr="00BE1649">
        <w:t>across multiple jurisdictions</w:t>
      </w:r>
      <w:bookmarkStart w:id="29" w:name="_Hlk62145464"/>
      <w:r w:rsidR="005311A1" w:rsidRPr="00BE1649">
        <w:t>.</w:t>
      </w:r>
      <w:r w:rsidR="00F0620C" w:rsidRPr="00BE1649">
        <w:t xml:space="preserve"> </w:t>
      </w:r>
      <w:r w:rsidR="00BE1649" w:rsidRPr="00BE1649">
        <w:t xml:space="preserve">And </w:t>
      </w:r>
      <w:r w:rsidR="00F634A7">
        <w:t>agencies funded by the</w:t>
      </w:r>
      <w:r w:rsidR="00F634A7" w:rsidRPr="00BE1649">
        <w:t xml:space="preserve"> </w:t>
      </w:r>
      <w:r w:rsidR="00BE1649" w:rsidRPr="00BE1649">
        <w:t xml:space="preserve">Australian Government </w:t>
      </w:r>
      <w:r w:rsidR="00F634A7">
        <w:t xml:space="preserve">(for example, BOM and CSIRO) </w:t>
      </w:r>
      <w:r w:rsidR="00552F81">
        <w:t>can</w:t>
      </w:r>
      <w:r w:rsidR="00552F81" w:rsidRPr="00BE1649">
        <w:t xml:space="preserve"> </w:t>
      </w:r>
      <w:r w:rsidR="00BE1649" w:rsidRPr="00BE1649">
        <w:t xml:space="preserve">have a role </w:t>
      </w:r>
      <w:r w:rsidR="008B6471">
        <w:t>in</w:t>
      </w:r>
      <w:r w:rsidR="008B6471" w:rsidRPr="00BE1649">
        <w:t xml:space="preserve"> </w:t>
      </w:r>
      <w:r w:rsidR="00BE1649" w:rsidRPr="00BE1649">
        <w:t xml:space="preserve">providing credible information on climate change and water resource availability </w:t>
      </w:r>
      <w:r w:rsidR="00BE1649">
        <w:t>(</w:t>
      </w:r>
      <w:r w:rsidR="00FB7AC4" w:rsidRPr="004A1B93">
        <w:t>S</w:t>
      </w:r>
      <w:r w:rsidR="00992CDB" w:rsidRPr="004A1B93">
        <w:t>P</w:t>
      </w:r>
      <w:r w:rsidR="0086073E">
        <w:t> E</w:t>
      </w:r>
      <w:r w:rsidR="00992CDB" w:rsidRPr="004A1B93">
        <w:t> </w:t>
      </w:r>
      <w:r w:rsidR="0086073E" w:rsidRPr="0086073E">
        <w:rPr>
          <w:i/>
        </w:rPr>
        <w:t>I</w:t>
      </w:r>
      <w:r w:rsidR="00992CDB" w:rsidRPr="0086073E">
        <w:rPr>
          <w:i/>
        </w:rPr>
        <w:t>ntegrity</w:t>
      </w:r>
      <w:r w:rsidR="00BE1649">
        <w:t>).</w:t>
      </w:r>
      <w:bookmarkEnd w:id="29"/>
    </w:p>
    <w:p w14:paraId="1E5D184B" w14:textId="3504071E" w:rsidR="000E2274" w:rsidRDefault="00D71305" w:rsidP="002E043A">
      <w:pPr>
        <w:pStyle w:val="BodyText"/>
      </w:pPr>
      <w:r>
        <w:lastRenderedPageBreak/>
        <w:t>There are some in</w:t>
      </w:r>
      <w:r>
        <w:noBreakHyphen/>
      </w:r>
      <w:proofErr w:type="gramStart"/>
      <w:r>
        <w:t>principle</w:t>
      </w:r>
      <w:proofErr w:type="gramEnd"/>
      <w:r>
        <w:t xml:space="preserve"> arguments for Australian </w:t>
      </w:r>
      <w:r w:rsidR="007B5E94">
        <w:t>G</w:t>
      </w:r>
      <w:r>
        <w:t xml:space="preserve">overnment </w:t>
      </w:r>
      <w:r w:rsidR="000E2274">
        <w:t xml:space="preserve">funding of major infrastructure, as Australian </w:t>
      </w:r>
      <w:r w:rsidR="007B5E94">
        <w:t>G</w:t>
      </w:r>
      <w:r w:rsidR="000E2274">
        <w:t xml:space="preserve">overnment taxation is generally </w:t>
      </w:r>
      <w:r w:rsidR="007C6C94">
        <w:t xml:space="preserve">more efficient </w:t>
      </w:r>
      <w:r w:rsidR="000E2274">
        <w:t xml:space="preserve">than State government revenue raising </w:t>
      </w:r>
      <w:r w:rsidR="000E2274" w:rsidRPr="000E2274">
        <w:rPr>
          <w:szCs w:val="24"/>
        </w:rPr>
        <w:t>(PC 2014, p. 286)</w:t>
      </w:r>
      <w:r w:rsidR="000E2274">
        <w:t xml:space="preserve">. </w:t>
      </w:r>
      <w:r w:rsidR="00AC4A93">
        <w:t>A</w:t>
      </w:r>
      <w:r w:rsidR="00C14832">
        <w:t xml:space="preserve">ny Australian </w:t>
      </w:r>
      <w:r w:rsidR="007B5E94">
        <w:t>G</w:t>
      </w:r>
      <w:r w:rsidR="00C14832">
        <w:t xml:space="preserve">overnment </w:t>
      </w:r>
      <w:r w:rsidR="00BE1649">
        <w:t>funding</w:t>
      </w:r>
      <w:r w:rsidR="00C14832">
        <w:t xml:space="preserve"> should only be provided on a case</w:t>
      </w:r>
      <w:r w:rsidR="00C14832">
        <w:noBreakHyphen/>
        <w:t>by</w:t>
      </w:r>
      <w:r w:rsidR="00C14832">
        <w:noBreakHyphen/>
        <w:t xml:space="preserve">case </w:t>
      </w:r>
      <w:r w:rsidR="00BE1649">
        <w:t xml:space="preserve">basis </w:t>
      </w:r>
      <w:r w:rsidR="00C14832">
        <w:t xml:space="preserve">where it aligns to </w:t>
      </w:r>
      <w:r w:rsidR="00C92175">
        <w:t>nationally</w:t>
      </w:r>
      <w:r w:rsidR="004D6BEE">
        <w:noBreakHyphen/>
      </w:r>
      <w:r w:rsidR="00C92175">
        <w:t xml:space="preserve">significant </w:t>
      </w:r>
      <w:r w:rsidR="00BE1649">
        <w:t xml:space="preserve">priorities </w:t>
      </w:r>
      <w:r w:rsidR="00552F81">
        <w:t>(identified by Infrastructure Australia</w:t>
      </w:r>
      <w:r w:rsidR="00E8551B">
        <w:t xml:space="preserve"> or a similar independent body)</w:t>
      </w:r>
      <w:r w:rsidR="00BE1649">
        <w:t xml:space="preserve">, or </w:t>
      </w:r>
      <w:r w:rsidR="00F0620C">
        <w:t xml:space="preserve">where State and Territory prioritisation processes identify and select major projects with significant </w:t>
      </w:r>
      <w:r w:rsidR="00BE1649">
        <w:t>public benefits</w:t>
      </w:r>
      <w:r w:rsidR="007B0341">
        <w:t xml:space="preserve"> that accrue outside of that jurisdiction</w:t>
      </w:r>
      <w:r w:rsidR="00BE1649">
        <w:t>.</w:t>
      </w:r>
      <w:r w:rsidR="000645C5">
        <w:t xml:space="preserve"> </w:t>
      </w:r>
    </w:p>
    <w:p w14:paraId="0C62939F" w14:textId="7BA176EA" w:rsidR="007C6C94" w:rsidRPr="000123F5" w:rsidRDefault="007C6C94" w:rsidP="007C6C94">
      <w:pPr>
        <w:pStyle w:val="BodyText"/>
      </w:pPr>
      <w:r>
        <w:t>Such funding, if warranted, should be sector</w:t>
      </w:r>
      <w:r>
        <w:noBreakHyphen/>
        <w:t>blind</w:t>
      </w:r>
      <w:r w:rsidR="00FE08FF">
        <w:t>;</w:t>
      </w:r>
      <w:r>
        <w:t xml:space="preserve"> that is, Australian </w:t>
      </w:r>
      <w:r w:rsidR="007B5E94">
        <w:t>G</w:t>
      </w:r>
      <w:r>
        <w:t xml:space="preserve">overnment investment in worthwhile projects should not be limited to providing water for agriculture if there are material net benefits in investing </w:t>
      </w:r>
      <w:r w:rsidR="00DF0917">
        <w:t xml:space="preserve">in other sectors, such as </w:t>
      </w:r>
      <w:r>
        <w:t xml:space="preserve">in regional urban water </w:t>
      </w:r>
      <w:r w:rsidR="00FE08FF">
        <w:t>projects</w:t>
      </w:r>
      <w:r>
        <w:t>.</w:t>
      </w:r>
      <w:r w:rsidR="00F7560E">
        <w:t xml:space="preserve"> Projects that provide water for urban needs, w</w:t>
      </w:r>
      <w:r w:rsidR="00B66AE6">
        <w:t>ithout an irrigated agriculture</w:t>
      </w:r>
      <w:r w:rsidR="00F7560E">
        <w:t xml:space="preserve"> component, are currently ineligible for funding under the NWGA’s </w:t>
      </w:r>
      <w:r w:rsidR="00F7560E">
        <w:rPr>
          <w:i/>
          <w:iCs/>
        </w:rPr>
        <w:t>Investment Policy Framework</w:t>
      </w:r>
      <w:r w:rsidR="00F7560E">
        <w:t>. This limitation should be removed.</w:t>
      </w:r>
    </w:p>
    <w:p w14:paraId="59A067CD" w14:textId="2EA11967" w:rsidR="003D295B" w:rsidRPr="004E3B94" w:rsidRDefault="003D295B" w:rsidP="00130FD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3D295B" w14:paraId="14CE60A9" w14:textId="77777777" w:rsidTr="00130FD6">
        <w:trPr>
          <w:tblHeader/>
        </w:trPr>
        <w:tc>
          <w:tcPr>
            <w:tcW w:w="5000" w:type="pct"/>
            <w:tcBorders>
              <w:top w:val="single" w:sz="6" w:space="0" w:color="78A22F"/>
              <w:left w:val="nil"/>
              <w:bottom w:val="nil"/>
              <w:right w:val="nil"/>
            </w:tcBorders>
            <w:shd w:val="clear" w:color="auto" w:fill="E5F1D0"/>
            <w:tcMar>
              <w:left w:w="170" w:type="dxa"/>
              <w:right w:w="170" w:type="dxa"/>
            </w:tcMar>
          </w:tcPr>
          <w:p w14:paraId="79BAF823" w14:textId="2D6E9264" w:rsidR="003D295B" w:rsidRPr="00CE4C64" w:rsidRDefault="004572A4" w:rsidP="0015616D">
            <w:pPr>
              <w:pStyle w:val="RecTitle"/>
              <w:spacing w:before="120"/>
              <w:rPr>
                <w:noProof/>
              </w:rPr>
            </w:pPr>
            <w:r>
              <w:t xml:space="preserve">Draft </w:t>
            </w:r>
            <w:r w:rsidR="003D295B" w:rsidRPr="00580F7B">
              <w:t>Recommendation</w:t>
            </w:r>
            <w:r w:rsidR="003D295B">
              <w:t xml:space="preserve"> </w:t>
            </w:r>
            <w:r w:rsidR="00C00F11">
              <w:t>13.1</w:t>
            </w:r>
          </w:p>
        </w:tc>
      </w:tr>
      <w:tr w:rsidR="00F7560E" w:rsidRPr="00750BE2" w14:paraId="721BF00A" w14:textId="77777777" w:rsidTr="00130FD6">
        <w:tc>
          <w:tcPr>
            <w:tcW w:w="5000" w:type="pct"/>
            <w:tcBorders>
              <w:top w:val="nil"/>
              <w:left w:val="nil"/>
              <w:bottom w:val="nil"/>
              <w:right w:val="nil"/>
            </w:tcBorders>
            <w:shd w:val="clear" w:color="auto" w:fill="E5F1D0"/>
            <w:tcMar>
              <w:left w:w="170" w:type="dxa"/>
              <w:right w:w="170" w:type="dxa"/>
            </w:tcMar>
          </w:tcPr>
          <w:p w14:paraId="4C5EF64E" w14:textId="3E6C541E" w:rsidR="00F7560E" w:rsidRDefault="00DF0917" w:rsidP="00A65A70">
            <w:pPr>
              <w:pStyle w:val="Rec"/>
              <w:keepNext/>
            </w:pPr>
            <w:r>
              <w:t xml:space="preserve">Australian Government investment in major water infrastructure should neither prioritise a particular sector or class of water user, nor be limited to providing water for primary industry. The National Water Grid Authority should broaden its </w:t>
            </w:r>
            <w:r w:rsidRPr="0030448F">
              <w:rPr>
                <w:i/>
              </w:rPr>
              <w:t>Investment Policy Framework</w:t>
            </w:r>
            <w:r>
              <w:t xml:space="preserve"> to allow funding for all projects where government involvement may be warranted, including supporting access to essential town water supplies.</w:t>
            </w:r>
          </w:p>
        </w:tc>
      </w:tr>
      <w:tr w:rsidR="00F7560E" w14:paraId="5D9B7FCD" w14:textId="77777777" w:rsidTr="00130FD6">
        <w:tc>
          <w:tcPr>
            <w:tcW w:w="5000" w:type="pct"/>
            <w:tcBorders>
              <w:top w:val="nil"/>
              <w:left w:val="nil"/>
              <w:bottom w:val="single" w:sz="6" w:space="0" w:color="78A22F"/>
              <w:right w:val="nil"/>
            </w:tcBorders>
            <w:shd w:val="clear" w:color="auto" w:fill="E5F1D0"/>
            <w:tcMar>
              <w:left w:w="170" w:type="dxa"/>
              <w:right w:w="170" w:type="dxa"/>
            </w:tcMar>
          </w:tcPr>
          <w:p w14:paraId="34D4AA71" w14:textId="77777777" w:rsidR="00F7560E" w:rsidRDefault="00F7560E" w:rsidP="00F7560E">
            <w:pPr>
              <w:pStyle w:val="Space"/>
              <w:keepLines/>
            </w:pPr>
          </w:p>
        </w:tc>
      </w:tr>
      <w:tr w:rsidR="00F7560E" w:rsidRPr="000863A5" w14:paraId="7DE5B611" w14:textId="77777777" w:rsidTr="00130FD6">
        <w:tc>
          <w:tcPr>
            <w:tcW w:w="5000" w:type="pct"/>
            <w:tcBorders>
              <w:top w:val="single" w:sz="6" w:space="0" w:color="78A22F"/>
              <w:left w:val="nil"/>
              <w:bottom w:val="nil"/>
              <w:right w:val="nil"/>
            </w:tcBorders>
            <w:tcMar>
              <w:left w:w="170" w:type="dxa"/>
              <w:right w:w="170" w:type="dxa"/>
            </w:tcMar>
          </w:tcPr>
          <w:p w14:paraId="3182B1A4" w14:textId="7757D954" w:rsidR="00F7560E" w:rsidRPr="00626D32" w:rsidRDefault="00F7560E" w:rsidP="00F7560E">
            <w:pPr>
              <w:pStyle w:val="BoxSpaceBelow"/>
              <w:keepLines/>
            </w:pPr>
          </w:p>
        </w:tc>
      </w:tr>
    </w:tbl>
    <w:p w14:paraId="7427FD97" w14:textId="5F44545B" w:rsidR="0045423A" w:rsidRDefault="0045423A" w:rsidP="0045423A">
      <w:pPr>
        <w:pStyle w:val="Heading4"/>
      </w:pPr>
      <w:r>
        <w:t xml:space="preserve">An independent </w:t>
      </w:r>
      <w:r w:rsidR="00765AD9">
        <w:t xml:space="preserve">body </w:t>
      </w:r>
      <w:r>
        <w:t xml:space="preserve">should scrutinise </w:t>
      </w:r>
      <w:r w:rsidR="008C2716">
        <w:t xml:space="preserve">significant </w:t>
      </w:r>
      <w:r w:rsidR="00BB4A4E">
        <w:t xml:space="preserve">business </w:t>
      </w:r>
      <w:proofErr w:type="gramStart"/>
      <w:r w:rsidR="00BB4A4E">
        <w:t>cases</w:t>
      </w:r>
      <w:proofErr w:type="gramEnd"/>
    </w:p>
    <w:p w14:paraId="73F9C408" w14:textId="28A6AB38" w:rsidR="0045423A" w:rsidRPr="00E669FD" w:rsidRDefault="00E669FD" w:rsidP="0045423A">
      <w:pPr>
        <w:pStyle w:val="BodyText"/>
      </w:pPr>
      <w:r>
        <w:t xml:space="preserve">Because of the nature of the </w:t>
      </w:r>
      <w:r w:rsidR="00733C1E">
        <w:t>NWI</w:t>
      </w:r>
      <w:r>
        <w:t xml:space="preserve">, </w:t>
      </w:r>
      <w:r w:rsidR="00AB21E6">
        <w:t xml:space="preserve">it would be impractical for </w:t>
      </w:r>
      <w:r w:rsidR="005018F4">
        <w:t xml:space="preserve">a </w:t>
      </w:r>
      <w:r w:rsidR="00E8551B">
        <w:t>renewed</w:t>
      </w:r>
      <w:r w:rsidR="005018F4">
        <w:t xml:space="preserve"> </w:t>
      </w:r>
      <w:r w:rsidR="00FA2399">
        <w:t xml:space="preserve">Agreement </w:t>
      </w:r>
      <w:r w:rsidR="00AB21E6">
        <w:t xml:space="preserve">to </w:t>
      </w:r>
      <w:r w:rsidR="00733C1E">
        <w:t xml:space="preserve">specify </w:t>
      </w:r>
      <w:r w:rsidR="00515A3B">
        <w:t xml:space="preserve">a </w:t>
      </w:r>
      <w:r w:rsidR="00644DDC">
        <w:t xml:space="preserve">standard </w:t>
      </w:r>
      <w:r w:rsidRPr="00E669FD">
        <w:t xml:space="preserve">for </w:t>
      </w:r>
      <w:r w:rsidR="00C51B64">
        <w:t>CBA</w:t>
      </w:r>
      <w:r>
        <w:t>.</w:t>
      </w:r>
      <w:r w:rsidRPr="00E669FD">
        <w:t xml:space="preserve"> </w:t>
      </w:r>
      <w:r w:rsidR="00AB21E6">
        <w:t xml:space="preserve">An alternative model to ensure the quality of proposals is to require a </w:t>
      </w:r>
      <w:r w:rsidR="00BE1649">
        <w:t>qualified</w:t>
      </w:r>
      <w:r w:rsidRPr="00E669FD">
        <w:t xml:space="preserve"> institution </w:t>
      </w:r>
      <w:r>
        <w:t xml:space="preserve">to </w:t>
      </w:r>
      <w:r w:rsidRPr="00E669FD">
        <w:t xml:space="preserve">review </w:t>
      </w:r>
      <w:r>
        <w:t xml:space="preserve">the </w:t>
      </w:r>
      <w:r w:rsidRPr="00E669FD">
        <w:t xml:space="preserve">business cases for major </w:t>
      </w:r>
      <w:r>
        <w:t xml:space="preserve">water </w:t>
      </w:r>
      <w:r w:rsidRPr="00E669FD">
        <w:t xml:space="preserve">projects </w:t>
      </w:r>
      <w:r w:rsidR="00AB21E6">
        <w:t xml:space="preserve">and </w:t>
      </w:r>
      <w:r w:rsidR="0030448F">
        <w:t>confirm that</w:t>
      </w:r>
      <w:r w:rsidR="0030448F" w:rsidRPr="00E669FD">
        <w:t xml:space="preserve"> </w:t>
      </w:r>
      <w:r>
        <w:t xml:space="preserve">the analyses are </w:t>
      </w:r>
      <w:r w:rsidR="00AB21E6" w:rsidRPr="00E669FD">
        <w:t>rigoro</w:t>
      </w:r>
      <w:r w:rsidR="00AB21E6">
        <w:t>us (or otherwise)</w:t>
      </w:r>
      <w:r w:rsidRPr="00E669FD">
        <w:t>.</w:t>
      </w:r>
      <w:r w:rsidR="00733C1E">
        <w:t xml:space="preserve"> (</w:t>
      </w:r>
      <w:proofErr w:type="gramStart"/>
      <w:r w:rsidR="00E8551B">
        <w:t>However</w:t>
      </w:r>
      <w:proofErr w:type="gramEnd"/>
      <w:r w:rsidR="00E8551B">
        <w:t xml:space="preserve"> t</w:t>
      </w:r>
      <w:r w:rsidR="00733C1E">
        <w:t>his should not replace the requirement to publish feasibility studies and business cases for major projects</w:t>
      </w:r>
      <w:r w:rsidR="00FA2399">
        <w:t>.</w:t>
      </w:r>
      <w:r w:rsidR="00733C1E">
        <w:t>)</w:t>
      </w:r>
    </w:p>
    <w:p w14:paraId="38C55006" w14:textId="080A7BFF" w:rsidR="00277B0A" w:rsidRPr="000645C5" w:rsidRDefault="00277B0A" w:rsidP="00B265FA">
      <w:pPr>
        <w:pStyle w:val="BodyText"/>
      </w:pPr>
      <w:r>
        <w:t>This already occurs for Australian Government investments</w:t>
      </w:r>
      <w:r w:rsidR="00E669FD">
        <w:t xml:space="preserve">, where all water </w:t>
      </w:r>
      <w:proofErr w:type="gramStart"/>
      <w:r w:rsidR="00E669FD">
        <w:t xml:space="preserve">infrastructure </w:t>
      </w:r>
      <w:r w:rsidR="009362E7">
        <w:t>]</w:t>
      </w:r>
      <w:r w:rsidR="00FA2399">
        <w:t>proposals</w:t>
      </w:r>
      <w:proofErr w:type="gramEnd"/>
      <w:r w:rsidR="00FA2399">
        <w:t xml:space="preserve"> </w:t>
      </w:r>
      <w:r w:rsidR="00733C1E">
        <w:t xml:space="preserve">requesting </w:t>
      </w:r>
      <w:r w:rsidR="00AB21E6">
        <w:t xml:space="preserve">more than </w:t>
      </w:r>
      <w:r>
        <w:t>$</w:t>
      </w:r>
      <w:r w:rsidR="00B265FA">
        <w:t>250</w:t>
      </w:r>
      <w:r>
        <w:t> million</w:t>
      </w:r>
      <w:r w:rsidR="00E669FD">
        <w:t xml:space="preserve"> </w:t>
      </w:r>
      <w:r w:rsidR="00AB21E6">
        <w:t>of</w:t>
      </w:r>
      <w:r w:rsidR="004E24ED">
        <w:t xml:space="preserve"> Australian Government</w:t>
      </w:r>
      <w:r w:rsidR="00AB21E6">
        <w:t xml:space="preserve"> funding </w:t>
      </w:r>
      <w:r w:rsidR="00FA2399">
        <w:t xml:space="preserve">are </w:t>
      </w:r>
      <w:r w:rsidR="00B265FA">
        <w:t xml:space="preserve">evaluated </w:t>
      </w:r>
      <w:r w:rsidR="00E669FD">
        <w:t>by Infrastructure Australia</w:t>
      </w:r>
      <w:r w:rsidR="00765AD9">
        <w:t xml:space="preserve"> </w:t>
      </w:r>
      <w:r w:rsidR="00992CDB">
        <w:t>(box</w:t>
      </w:r>
      <w:r w:rsidR="00992CDB">
        <w:rPr>
          <w:i/>
        </w:rPr>
        <w:t> </w:t>
      </w:r>
      <w:r w:rsidR="00E215D2" w:rsidRPr="00E215D2">
        <w:t>1</w:t>
      </w:r>
      <w:r w:rsidR="00AB21E6">
        <w:t>).</w:t>
      </w:r>
      <w:r w:rsidR="00733C1E">
        <w:t xml:space="preserve"> </w:t>
      </w:r>
      <w:r w:rsidR="00987052">
        <w:t>F</w:t>
      </w:r>
      <w:r w:rsidR="00515A3B">
        <w:t>our projects have been reviewed since 2015</w:t>
      </w:r>
      <w:r w:rsidR="002400F8">
        <w:t>,</w:t>
      </w:r>
      <w:r w:rsidR="00515A3B" w:rsidRPr="00F27690">
        <w:rPr>
          <w:rStyle w:val="FootnoteReference"/>
        </w:rPr>
        <w:footnoteReference w:id="11"/>
      </w:r>
      <w:r w:rsidR="00515A3B">
        <w:t xml:space="preserve"> </w:t>
      </w:r>
      <w:r w:rsidR="002400F8">
        <w:t xml:space="preserve">although </w:t>
      </w:r>
      <w:proofErr w:type="gramStart"/>
      <w:r w:rsidR="00515A3B">
        <w:t>a number of</w:t>
      </w:r>
      <w:proofErr w:type="gramEnd"/>
      <w:r w:rsidR="00515A3B">
        <w:t xml:space="preserve"> projects meeting that threshold </w:t>
      </w:r>
      <w:r w:rsidR="00B66AA4">
        <w:t xml:space="preserve">are yet to </w:t>
      </w:r>
      <w:r w:rsidR="00B66AA4" w:rsidRPr="000645C5">
        <w:t>be reviewed</w:t>
      </w:r>
      <w:r w:rsidR="00515A3B" w:rsidRPr="000645C5">
        <w:t>.</w:t>
      </w:r>
      <w:r w:rsidR="00B265FA">
        <w:t xml:space="preserve"> Further, the increase in the review threshold from $100 million to $250 million will reduce the number of major water projects that are subject to independent scrutiny. </w:t>
      </w:r>
    </w:p>
    <w:p w14:paraId="18A3AB06" w14:textId="2F520124" w:rsidR="001671F4" w:rsidRDefault="005D4596" w:rsidP="005D4596">
      <w:pPr>
        <w:pStyle w:val="BodyText"/>
      </w:pPr>
      <w:r>
        <w:t xml:space="preserve">In September 2020, the Australian Government announced the independent National Water Grid Advisory Body would be </w:t>
      </w:r>
      <w:bookmarkStart w:id="30" w:name="_Hlk62468502"/>
      <w:r>
        <w:t xml:space="preserve">established to provide expert advice </w:t>
      </w:r>
      <w:r w:rsidR="00515A3B">
        <w:t xml:space="preserve">to the NWGA </w:t>
      </w:r>
      <w:r>
        <w:t xml:space="preserve">on water </w:t>
      </w:r>
      <w:r>
        <w:lastRenderedPageBreak/>
        <w:t xml:space="preserve">infrastructure </w:t>
      </w:r>
      <w:bookmarkEnd w:id="30"/>
      <w:r w:rsidR="000210D0" w:rsidRPr="000210D0">
        <w:rPr>
          <w:szCs w:val="24"/>
        </w:rPr>
        <w:t>(McCormack 2020a)</w:t>
      </w:r>
      <w:r>
        <w:t xml:space="preserve">. It is not yet clear what form </w:t>
      </w:r>
      <w:r w:rsidR="00515A3B">
        <w:t>their</w:t>
      </w:r>
      <w:r>
        <w:t xml:space="preserve"> advice will take, nor how transparent </w:t>
      </w:r>
      <w:r w:rsidR="00515A3B">
        <w:t>its processes will be. Transparency will be essential to provide public assurance that the Body’s advice is</w:t>
      </w:r>
      <w:r w:rsidR="002400F8">
        <w:t xml:space="preserve"> </w:t>
      </w:r>
      <w:r w:rsidR="00E8551B">
        <w:t>genuinely</w:t>
      </w:r>
      <w:r w:rsidR="00515A3B">
        <w:t xml:space="preserve"> independent of </w:t>
      </w:r>
      <w:r w:rsidR="002400F8">
        <w:t>the NWGA</w:t>
      </w:r>
      <w:r w:rsidR="00A90711">
        <w:t xml:space="preserve"> and placing proper scrutiny on project assessments</w:t>
      </w:r>
      <w:r w:rsidR="00B265FA">
        <w:t xml:space="preserve"> — particularly</w:t>
      </w:r>
      <w:r w:rsidR="004E24ED">
        <w:t xml:space="preserve"> </w:t>
      </w:r>
      <w:proofErr w:type="gramStart"/>
      <w:r w:rsidR="004E24ED">
        <w:t>in light of</w:t>
      </w:r>
      <w:proofErr w:type="gramEnd"/>
      <w:r w:rsidR="00B265FA">
        <w:t xml:space="preserve"> the reduced scope of Infrastructure Australia project evaluations. </w:t>
      </w:r>
    </w:p>
    <w:p w14:paraId="3291DE10" w14:textId="31B34732" w:rsidR="009362E7" w:rsidRDefault="009362E7" w:rsidP="009362E7">
      <w:pPr>
        <w:pStyle w:val="BodyText"/>
      </w:pPr>
      <w:r>
        <w:t>To ensure business case oversight is (and is seen to be) independent and rigorous, reviewing bodies should make public their reasons for supporting a proposal, rather than just stating support for them.</w:t>
      </w:r>
    </w:p>
    <w:p w14:paraId="19525FC4" w14:textId="74D4E007" w:rsidR="00BB4A4E" w:rsidRPr="00BB4A4E" w:rsidRDefault="00BB4A4E" w:rsidP="00BB4A4E">
      <w:pPr>
        <w:pStyle w:val="Heading2"/>
      </w:pPr>
      <w:bookmarkStart w:id="31" w:name="_Toc62628692"/>
      <w:r>
        <w:t>4</w:t>
      </w:r>
      <w:r>
        <w:tab/>
        <w:t xml:space="preserve">NWI </w:t>
      </w:r>
      <w:r w:rsidR="00575409" w:rsidRPr="00BB4A4E">
        <w:t>renewal</w:t>
      </w:r>
      <w:bookmarkEnd w:id="31"/>
    </w:p>
    <w:p w14:paraId="168A7BAA" w14:textId="7EBD524F" w:rsidR="00E8551B" w:rsidRDefault="008C0B51" w:rsidP="00A423FD">
      <w:pPr>
        <w:pStyle w:val="BodyText"/>
      </w:pPr>
      <w:r>
        <w:t>To help minimise the costs of poor infrastructure investments</w:t>
      </w:r>
      <w:r w:rsidR="002400F8">
        <w:t xml:space="preserve">, and to maximise the outcomes </w:t>
      </w:r>
      <w:r w:rsidR="005A0A2C">
        <w:t xml:space="preserve">of </w:t>
      </w:r>
      <w:r w:rsidR="002400F8">
        <w:t>investments that do take place,</w:t>
      </w:r>
      <w:r>
        <w:t xml:space="preserve"> a renewed </w:t>
      </w:r>
      <w:r w:rsidR="00575409">
        <w:t xml:space="preserve">NWI should </w:t>
      </w:r>
      <w:r>
        <w:t xml:space="preserve">include an element dedicated to new </w:t>
      </w:r>
      <w:r w:rsidR="00A423FD">
        <w:t xml:space="preserve">major </w:t>
      </w:r>
      <w:r w:rsidR="002400F8">
        <w:t>water infrastructure</w:t>
      </w:r>
      <w:r>
        <w:t xml:space="preserve">. </w:t>
      </w:r>
    </w:p>
    <w:p w14:paraId="400B9B0F" w14:textId="77777777" w:rsidR="00A423FD" w:rsidRDefault="002400F8" w:rsidP="00733DFD">
      <w:pPr>
        <w:pStyle w:val="BodyText"/>
      </w:pPr>
      <w:r>
        <w:t>In the first instance, t</w:t>
      </w:r>
      <w:r w:rsidR="008C0B51">
        <w:t>he current high</w:t>
      </w:r>
      <w:r w:rsidR="008C0B51">
        <w:noBreakHyphen/>
        <w:t>level principle covering investment in new or refurbished infrastructure is sound and should be retained</w:t>
      </w:r>
      <w:r>
        <w:t xml:space="preserve"> as guidance for all investment</w:t>
      </w:r>
      <w:r w:rsidR="000F1F1A">
        <w:t>.</w:t>
      </w:r>
      <w:r w:rsidR="00296778">
        <w:t xml:space="preserve"> Jurisdictions should agree to</w:t>
      </w:r>
      <w:r>
        <w:t xml:space="preserve"> </w:t>
      </w:r>
      <w:r w:rsidR="00296778">
        <w:t xml:space="preserve">criteria that demonstrate how adherence to the principle is to be fulfilled (regardless of who </w:t>
      </w:r>
      <w:r w:rsidR="00430D70">
        <w:t>the proponent is</w:t>
      </w:r>
      <w:r w:rsidR="00296778">
        <w:t xml:space="preserve">). </w:t>
      </w:r>
    </w:p>
    <w:p w14:paraId="3D965F2C" w14:textId="1DA20703" w:rsidR="001671F4" w:rsidRDefault="00296778" w:rsidP="00733DFD">
      <w:pPr>
        <w:pStyle w:val="BodyText"/>
      </w:pPr>
      <w:r>
        <w:t>T</w:t>
      </w:r>
      <w:r w:rsidR="002400F8">
        <w:t xml:space="preserve">he element should </w:t>
      </w:r>
      <w:r>
        <w:t xml:space="preserve">also establish </w:t>
      </w:r>
      <w:r w:rsidR="002400F8">
        <w:t>a</w:t>
      </w:r>
      <w:r w:rsidR="001A692F">
        <w:t>n agreed</w:t>
      </w:r>
      <w:r w:rsidR="002400F8">
        <w:t xml:space="preserve"> framework to guide </w:t>
      </w:r>
      <w:r>
        <w:t xml:space="preserve">government </w:t>
      </w:r>
      <w:r w:rsidR="002400F8">
        <w:t>investment in major developments</w:t>
      </w:r>
      <w:r w:rsidR="00E57B3F">
        <w:t>.</w:t>
      </w:r>
      <w:r w:rsidR="00A423FD">
        <w:t xml:space="preserve"> This framework is not intended to replace the NWGA’s </w:t>
      </w:r>
      <w:r w:rsidR="00A423FD" w:rsidRPr="00A423FD">
        <w:rPr>
          <w:i/>
        </w:rPr>
        <w:t>Investment Policy Framework</w:t>
      </w:r>
      <w:r w:rsidR="00A423FD">
        <w:t>, but instead to refine it</w:t>
      </w:r>
      <w:r w:rsidR="000E2274">
        <w:t>,</w:t>
      </w:r>
      <w:r w:rsidR="00A423FD">
        <w:t xml:space="preserve"> and </w:t>
      </w:r>
      <w:r w:rsidR="000E2274">
        <w:t xml:space="preserve">to ensure </w:t>
      </w:r>
      <w:r w:rsidR="00A423FD">
        <w:t xml:space="preserve">consistent principles </w:t>
      </w:r>
      <w:r w:rsidR="000E2274">
        <w:t xml:space="preserve">are agreed to </w:t>
      </w:r>
      <w:r w:rsidR="00A423FD">
        <w:t xml:space="preserve">in </w:t>
      </w:r>
      <w:r w:rsidR="000E2274">
        <w:t>a renewed NWI</w:t>
      </w:r>
      <w:r w:rsidR="00A423FD">
        <w:t>.</w:t>
      </w:r>
    </w:p>
    <w:p w14:paraId="1706D176" w14:textId="2C44E45D" w:rsidR="00296778" w:rsidRDefault="00296778" w:rsidP="00296778">
      <w:pPr>
        <w:pStyle w:val="BodyText"/>
      </w:pPr>
      <w:r>
        <w:t>As raised in section 3, the high</w:t>
      </w:r>
      <w:r>
        <w:noBreakHyphen/>
        <w:t xml:space="preserve">level principle for investment proposals could be broadened to more explicitly encompass Aboriginal and Torres Strait Islander </w:t>
      </w:r>
      <w:r w:rsidR="00F75929">
        <w:t xml:space="preserve">people’s </w:t>
      </w:r>
      <w:r>
        <w:t xml:space="preserve">heritage and cultural values associated with water to support the aspirations of Traditional Owners and accord with the inland water target being developed under the </w:t>
      </w:r>
      <w:r w:rsidRPr="005E316F">
        <w:t>National Agreement on Closing the Gap</w:t>
      </w:r>
      <w:r>
        <w:t>.</w:t>
      </w:r>
    </w:p>
    <w:p w14:paraId="04BC3EA7" w14:textId="1D94128F" w:rsidR="00296778" w:rsidRDefault="00296778" w:rsidP="00733DFD">
      <w:pPr>
        <w:pStyle w:val="BodyText"/>
      </w:pPr>
      <w:r>
        <w:t>The Commission welcomes views on how these values could be incorporated in the NWI water infrastructure element — noting that this should not pre</w:t>
      </w:r>
      <w:r>
        <w:noBreakHyphen/>
        <w:t>empt the co</w:t>
      </w:r>
      <w:r>
        <w:noBreakHyphen/>
        <w:t xml:space="preserve">design process for a new element on Aboriginal and Torres Strait Islander </w:t>
      </w:r>
      <w:r w:rsidR="00F75929">
        <w:t xml:space="preserve">people’s </w:t>
      </w:r>
      <w:r>
        <w:t>water access (</w:t>
      </w:r>
      <w:r w:rsidR="00E215CF" w:rsidRPr="00E215CF">
        <w:t>SP</w:t>
      </w:r>
      <w:r w:rsidR="008D074E">
        <w:t> </w:t>
      </w:r>
      <w:r w:rsidR="00E215CF" w:rsidRPr="00E215CF">
        <w:t>D </w:t>
      </w:r>
      <w:r w:rsidR="00E215CF" w:rsidRPr="00E215CF">
        <w:rPr>
          <w:i/>
        </w:rPr>
        <w:t xml:space="preserve">Cultural </w:t>
      </w:r>
      <w:r w:rsidR="007B5E94">
        <w:rPr>
          <w:i/>
        </w:rPr>
        <w:t>a</w:t>
      </w:r>
      <w:r w:rsidR="00E215CF" w:rsidRPr="00E215CF">
        <w:rPr>
          <w:i/>
        </w:rPr>
        <w:t>ccess</w:t>
      </w:r>
      <w:r>
        <w:t>).</w:t>
      </w:r>
    </w:p>
    <w:p w14:paraId="7CAF211A" w14:textId="7C1B4797" w:rsidR="00733DFD" w:rsidRPr="00F94210" w:rsidRDefault="00733DFD" w:rsidP="002231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33DFD" w:rsidRPr="00F94210" w14:paraId="62B8C294" w14:textId="77777777" w:rsidTr="00617BC4">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6595DED3" w14:textId="5CE3CC07" w:rsidR="00733DFD" w:rsidRPr="00F94210" w:rsidRDefault="001B7693" w:rsidP="00FD0B39">
            <w:pPr>
              <w:pStyle w:val="FindingTitle"/>
              <w:spacing w:before="120"/>
              <w:rPr>
                <w:noProof/>
              </w:rPr>
            </w:pPr>
            <w:r>
              <w:t xml:space="preserve">Draft </w:t>
            </w:r>
            <w:r w:rsidR="001C7D76">
              <w:t>NWI renewal</w:t>
            </w:r>
            <w:r w:rsidR="00733DFD">
              <w:t xml:space="preserve"> advice </w:t>
            </w:r>
            <w:r w:rsidR="00C00F11">
              <w:t>13.1</w:t>
            </w:r>
            <w:r w:rsidR="0068550D">
              <w:t>:</w:t>
            </w:r>
            <w:r w:rsidR="00C00F11">
              <w:t xml:space="preserve"> A </w:t>
            </w:r>
            <w:r w:rsidR="00733DFD">
              <w:t xml:space="preserve">New Water Infrastructure </w:t>
            </w:r>
            <w:r w:rsidR="000F1F1A">
              <w:t>element</w:t>
            </w:r>
          </w:p>
          <w:p w14:paraId="18208CE4" w14:textId="6C40E563" w:rsidR="00430D70" w:rsidRDefault="00733DFD">
            <w:pPr>
              <w:pStyle w:val="Finding"/>
            </w:pPr>
            <w:r w:rsidRPr="00345B07">
              <w:t xml:space="preserve">In renegotiating the </w:t>
            </w:r>
            <w:r w:rsidR="00041C4C">
              <w:t>National Water Initiative</w:t>
            </w:r>
            <w:r>
              <w:t>, jurisdictions should develop an element to guide investment in water infrastructure</w:t>
            </w:r>
            <w:r w:rsidR="00430D70">
              <w:t>.</w:t>
            </w:r>
          </w:p>
          <w:p w14:paraId="60CB9688" w14:textId="794C2F94" w:rsidR="00733DFD" w:rsidRDefault="00733DFD">
            <w:pPr>
              <w:pStyle w:val="Finding"/>
            </w:pPr>
            <w:r>
              <w:t>The</w:t>
            </w:r>
            <w:r w:rsidR="00025C12">
              <w:t xml:space="preserve"> new</w:t>
            </w:r>
            <w:r>
              <w:t xml:space="preserve"> element should </w:t>
            </w:r>
            <w:r w:rsidR="00025C12">
              <w:t>restate</w:t>
            </w:r>
            <w:r>
              <w:t xml:space="preserve"> the high</w:t>
            </w:r>
            <w:r>
              <w:noBreakHyphen/>
            </w:r>
            <w:r w:rsidRPr="00733DFD">
              <w:t>level principle that all infrastructure</w:t>
            </w:r>
            <w:r w:rsidR="002400F8">
              <w:t xml:space="preserve"> is to</w:t>
            </w:r>
            <w:r w:rsidRPr="00733DFD">
              <w:t xml:space="preserve"> be </w:t>
            </w:r>
            <w:r w:rsidR="002400F8">
              <w:t>assessed</w:t>
            </w:r>
            <w:r w:rsidR="002400F8" w:rsidRPr="00733DFD">
              <w:t xml:space="preserve"> </w:t>
            </w:r>
            <w:r w:rsidRPr="00733DFD">
              <w:t xml:space="preserve">as </w:t>
            </w:r>
            <w:r w:rsidR="00E211BB" w:rsidRPr="00733DFD">
              <w:t xml:space="preserve">economically viable </w:t>
            </w:r>
            <w:r w:rsidR="00E211BB">
              <w:t xml:space="preserve">and </w:t>
            </w:r>
            <w:r w:rsidRPr="00733DFD">
              <w:t>environmentally sustainable prio</w:t>
            </w:r>
            <w:r>
              <w:t>r to the commitment of funding</w:t>
            </w:r>
            <w:r w:rsidR="002400F8">
              <w:t>,</w:t>
            </w:r>
            <w:r>
              <w:t xml:space="preserve"> with </w:t>
            </w:r>
            <w:r w:rsidRPr="00345B07">
              <w:t>cost</w:t>
            </w:r>
            <w:r w:rsidR="00296778">
              <w:t xml:space="preserve"> </w:t>
            </w:r>
            <w:r w:rsidRPr="00345B07">
              <w:t xml:space="preserve">recovery from users as the </w:t>
            </w:r>
            <w:r w:rsidR="00296778">
              <w:t>norm</w:t>
            </w:r>
            <w:r>
              <w:t>.</w:t>
            </w:r>
            <w:r w:rsidR="00430D70">
              <w:t xml:space="preserve"> </w:t>
            </w:r>
            <w:r w:rsidR="00C00F11">
              <w:t>Jurisdictions should agree to criteria on how adherence with the principle can be demonstrated.</w:t>
            </w:r>
          </w:p>
          <w:p w14:paraId="42055C75" w14:textId="378664D9" w:rsidR="00430D70" w:rsidRPr="00F94210" w:rsidRDefault="00430D70" w:rsidP="000E2274">
            <w:pPr>
              <w:pStyle w:val="Finding"/>
            </w:pPr>
            <w:r>
              <w:t>The new element should also include a</w:t>
            </w:r>
            <w:r w:rsidR="000E2274">
              <w:t>n agreed</w:t>
            </w:r>
            <w:r>
              <w:t xml:space="preserve"> framework to guide government investment in major </w:t>
            </w:r>
            <w:r w:rsidR="000E2274">
              <w:t>water infrastructure</w:t>
            </w:r>
            <w:r>
              <w:t>.</w:t>
            </w:r>
          </w:p>
        </w:tc>
      </w:tr>
      <w:tr w:rsidR="00733DFD" w:rsidRPr="00F94210" w14:paraId="53BE9722" w14:textId="77777777" w:rsidTr="00617BC4">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650D8BF1" w14:textId="77777777" w:rsidR="00733DFD" w:rsidRPr="00F94210" w:rsidRDefault="00733DFD" w:rsidP="00617BC4">
            <w:pPr>
              <w:keepNext/>
              <w:keepLines/>
              <w:spacing w:line="120" w:lineRule="exact"/>
              <w:jc w:val="both"/>
              <w:rPr>
                <w:rFonts w:ascii="Arial" w:hAnsi="Arial"/>
                <w:sz w:val="20"/>
                <w:szCs w:val="20"/>
              </w:rPr>
            </w:pPr>
          </w:p>
        </w:tc>
      </w:tr>
      <w:tr w:rsidR="00733DFD" w:rsidRPr="00F94210" w14:paraId="3A96179C" w14:textId="77777777" w:rsidTr="00617BC4">
        <w:tc>
          <w:tcPr>
            <w:tcW w:w="5000" w:type="pct"/>
            <w:tcBorders>
              <w:top w:val="single" w:sz="6" w:space="0" w:color="0070C0"/>
              <w:left w:val="nil"/>
              <w:bottom w:val="nil"/>
              <w:right w:val="nil"/>
            </w:tcBorders>
            <w:tcMar>
              <w:left w:w="170" w:type="dxa"/>
              <w:right w:w="170" w:type="dxa"/>
            </w:tcMar>
          </w:tcPr>
          <w:p w14:paraId="51B8D37C" w14:textId="77777777" w:rsidR="00733DFD" w:rsidRPr="00F94210" w:rsidRDefault="00733DFD" w:rsidP="00617BC4">
            <w:pPr>
              <w:keepLines/>
              <w:spacing w:before="60" w:after="60" w:line="80" w:lineRule="exact"/>
              <w:jc w:val="both"/>
              <w:rPr>
                <w:rFonts w:ascii="Arial" w:hAnsi="Arial"/>
                <w:sz w:val="14"/>
                <w:szCs w:val="20"/>
              </w:rPr>
            </w:pPr>
          </w:p>
        </w:tc>
      </w:tr>
    </w:tbl>
    <w:p w14:paraId="1874AD20" w14:textId="62571921" w:rsidR="00296778" w:rsidRDefault="00296778" w:rsidP="008C76F3">
      <w:pPr>
        <w:pStyle w:val="BodyText"/>
        <w:keepNext/>
      </w:pPr>
      <w:r>
        <w:t>J</w:t>
      </w:r>
      <w:r w:rsidR="00733DFD">
        <w:t xml:space="preserve">urisdictions should </w:t>
      </w:r>
      <w:r w:rsidR="00E57B3F">
        <w:t xml:space="preserve">agree to </w:t>
      </w:r>
      <w:r>
        <w:t xml:space="preserve">more specific </w:t>
      </w:r>
      <w:r w:rsidR="007F219C">
        <w:t>criteria</w:t>
      </w:r>
      <w:r w:rsidR="006E2F47">
        <w:t xml:space="preserve"> for </w:t>
      </w:r>
      <w:r w:rsidR="00733DFD">
        <w:rPr>
          <w:i/>
        </w:rPr>
        <w:t xml:space="preserve">how </w:t>
      </w:r>
      <w:r>
        <w:t>adherence</w:t>
      </w:r>
      <w:r w:rsidR="00733DFD">
        <w:t xml:space="preserve"> </w:t>
      </w:r>
      <w:r>
        <w:t xml:space="preserve">to </w:t>
      </w:r>
      <w:r w:rsidR="006E2F47">
        <w:t xml:space="preserve">the NWI </w:t>
      </w:r>
      <w:r w:rsidR="00733DFD">
        <w:t xml:space="preserve">principle </w:t>
      </w:r>
      <w:r>
        <w:t xml:space="preserve">should </w:t>
      </w:r>
      <w:r w:rsidR="00733DFD">
        <w:t>be demonstrated</w:t>
      </w:r>
      <w:r>
        <w:t>, including:</w:t>
      </w:r>
    </w:p>
    <w:p w14:paraId="14875809" w14:textId="77777777" w:rsidR="00296778" w:rsidRDefault="00296778" w:rsidP="00A40589">
      <w:pPr>
        <w:pStyle w:val="ListBullet"/>
      </w:pPr>
      <w:r>
        <w:t xml:space="preserve">conditions for ensuring environmental sustainability and economic </w:t>
      </w:r>
      <w:proofErr w:type="gramStart"/>
      <w:r>
        <w:t>viability</w:t>
      </w:r>
      <w:proofErr w:type="gramEnd"/>
    </w:p>
    <w:p w14:paraId="3ACE7C73" w14:textId="3BE81633" w:rsidR="00296778" w:rsidRDefault="00296778" w:rsidP="00A40589">
      <w:pPr>
        <w:pStyle w:val="ListBullet"/>
      </w:pPr>
      <w:r>
        <w:t>principles for cost sharing, including any government funding, and water allocation.</w:t>
      </w:r>
    </w:p>
    <w:p w14:paraId="51F6F351" w14:textId="2A170D2C" w:rsidR="001671F4" w:rsidRDefault="00296778">
      <w:pPr>
        <w:pStyle w:val="BodyText"/>
      </w:pPr>
      <w:r>
        <w:t xml:space="preserve">Further, the framework should clarify the conditions </w:t>
      </w:r>
      <w:r w:rsidR="00BB5D8C">
        <w:t xml:space="preserve">concerning </w:t>
      </w:r>
      <w:r>
        <w:t>where governments subsidise major water infrastructure in pursuit of a</w:t>
      </w:r>
      <w:r w:rsidRPr="00C735B9">
        <w:t xml:space="preserve"> strategic </w:t>
      </w:r>
      <w:r>
        <w:t xml:space="preserve">objective </w:t>
      </w:r>
      <w:r w:rsidRPr="00C735B9">
        <w:t xml:space="preserve">(such as regional </w:t>
      </w:r>
      <w:r>
        <w:t>development). The aim should be to ensure that any such investments are likely to be effective in their goal, while minimising the risks and costs of uneconomic investments on users and taxpayers.</w:t>
      </w:r>
    </w:p>
    <w:p w14:paraId="063C67B9" w14:textId="4DAF1CF6" w:rsidR="00733DFD" w:rsidRPr="00F94210" w:rsidRDefault="00733DFD" w:rsidP="002231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733DFD" w:rsidRPr="00F94210" w14:paraId="0355B2E3" w14:textId="77777777" w:rsidTr="00617BC4">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663C938" w14:textId="479BDCA7" w:rsidR="00733DFD" w:rsidRPr="00F94210" w:rsidRDefault="001B7693" w:rsidP="00FD0B39">
            <w:pPr>
              <w:pStyle w:val="FindingTitle"/>
              <w:spacing w:before="120"/>
              <w:rPr>
                <w:noProof/>
              </w:rPr>
            </w:pPr>
            <w:r>
              <w:t xml:space="preserve">Draft </w:t>
            </w:r>
            <w:r w:rsidR="0055514B">
              <w:t xml:space="preserve">NWI renewal </w:t>
            </w:r>
            <w:r w:rsidR="00733DFD">
              <w:t>advice</w:t>
            </w:r>
            <w:r w:rsidR="00C00F11">
              <w:t xml:space="preserve"> 13.2</w:t>
            </w:r>
            <w:r w:rsidR="0068550D">
              <w:t>:</w:t>
            </w:r>
            <w:r w:rsidR="00733DFD">
              <w:t xml:space="preserve"> </w:t>
            </w:r>
            <w:r w:rsidR="007F219C">
              <w:t>Assessment Criteria</w:t>
            </w:r>
            <w:r w:rsidR="00924446">
              <w:t xml:space="preserve"> </w:t>
            </w:r>
            <w:r w:rsidR="00733DFD">
              <w:t xml:space="preserve">for Water Infrastructure </w:t>
            </w:r>
          </w:p>
          <w:p w14:paraId="6A83004D" w14:textId="6463FF59" w:rsidR="001671F4" w:rsidRDefault="00025C12" w:rsidP="00025C12">
            <w:pPr>
              <w:pStyle w:val="Finding"/>
            </w:pPr>
            <w:r>
              <w:t>As part of the</w:t>
            </w:r>
            <w:r w:rsidR="00D62C2C">
              <w:t xml:space="preserve"> new</w:t>
            </w:r>
            <w:r>
              <w:t xml:space="preserve"> infrastructure element, </w:t>
            </w:r>
            <w:r w:rsidR="0055514B">
              <w:t>j</w:t>
            </w:r>
            <w:r>
              <w:t xml:space="preserve">urisdictions should agree </w:t>
            </w:r>
            <w:r w:rsidR="00430D70">
              <w:t xml:space="preserve">to criteria </w:t>
            </w:r>
            <w:r>
              <w:t>on how project</w:t>
            </w:r>
            <w:r w:rsidR="007F219C">
              <w:t>s</w:t>
            </w:r>
            <w:r>
              <w:t xml:space="preserve"> can demonstrate </w:t>
            </w:r>
            <w:r w:rsidR="00296778">
              <w:t xml:space="preserve">adherence </w:t>
            </w:r>
            <w:r>
              <w:t>with the</w:t>
            </w:r>
            <w:r w:rsidR="00041C4C">
              <w:t xml:space="preserve"> National Water Initiative</w:t>
            </w:r>
            <w:r>
              <w:t xml:space="preserve"> </w:t>
            </w:r>
            <w:r w:rsidR="00041C4C">
              <w:t>(</w:t>
            </w:r>
            <w:r w:rsidR="006E2F47">
              <w:t>NWI</w:t>
            </w:r>
            <w:r w:rsidR="00041C4C">
              <w:t xml:space="preserve">) </w:t>
            </w:r>
            <w:r w:rsidR="00585ECE">
              <w:t xml:space="preserve">requirements </w:t>
            </w:r>
            <w:r>
              <w:t>for infrastructure</w:t>
            </w:r>
            <w:r w:rsidR="0034582A">
              <w:t>.</w:t>
            </w:r>
          </w:p>
          <w:p w14:paraId="1804314F" w14:textId="2DDF2244" w:rsidR="00D62C2C" w:rsidRDefault="00D62C2C" w:rsidP="00D62C2C">
            <w:pPr>
              <w:pStyle w:val="Finding"/>
            </w:pPr>
            <w:r>
              <w:t xml:space="preserve">Economic viability should be demonstrated by a positive benefit–cost ratio determined through a transparent and rigorous cost–benefit </w:t>
            </w:r>
            <w:r w:rsidR="009362E7">
              <w:t>assessment</w:t>
            </w:r>
            <w:r>
              <w:t>, with:</w:t>
            </w:r>
          </w:p>
          <w:p w14:paraId="67FD51CB" w14:textId="77777777" w:rsidR="00585ECE" w:rsidRDefault="00585ECE" w:rsidP="00585ECE">
            <w:pPr>
              <w:pStyle w:val="FindingBullet"/>
            </w:pPr>
            <w:r>
              <w:t>an assessment of a range of options, including non</w:t>
            </w:r>
            <w:r>
              <w:noBreakHyphen/>
              <w:t xml:space="preserve">infrastructure options </w:t>
            </w:r>
            <w:r w:rsidRPr="006C253A">
              <w:t>where these can meet the investment objective</w:t>
            </w:r>
            <w:r>
              <w:t xml:space="preserve">, and selection based on the highest (positive) expected net </w:t>
            </w:r>
            <w:proofErr w:type="gramStart"/>
            <w:r>
              <w:t>benefit</w:t>
            </w:r>
            <w:proofErr w:type="gramEnd"/>
          </w:p>
          <w:p w14:paraId="7C37B8CD" w14:textId="77777777" w:rsidR="00585ECE" w:rsidRDefault="00585ECE" w:rsidP="00585ECE">
            <w:pPr>
              <w:pStyle w:val="FindingBullet"/>
            </w:pPr>
            <w:r>
              <w:t>transparency supported by publication of business cases as a matter of course (except where commercially</w:t>
            </w:r>
            <w:r>
              <w:noBreakHyphen/>
              <w:t>sensitive data limits publication, in which case the business case should be reviewed by a qualified independent body)</w:t>
            </w:r>
          </w:p>
          <w:p w14:paraId="00B98B6F" w14:textId="77777777" w:rsidR="00585ECE" w:rsidRDefault="00585ECE" w:rsidP="00585ECE">
            <w:pPr>
              <w:pStyle w:val="FindingBullet"/>
            </w:pPr>
            <w:r>
              <w:t xml:space="preserve">use of </w:t>
            </w:r>
            <w:r w:rsidRPr="00DE6E83">
              <w:t>entitlement pre</w:t>
            </w:r>
            <w:r>
              <w:noBreakHyphen/>
            </w:r>
            <w:r w:rsidRPr="00DE6E83">
              <w:t xml:space="preserve">sale </w:t>
            </w:r>
            <w:r>
              <w:t xml:space="preserve">to limit optimism </w:t>
            </w:r>
            <w:proofErr w:type="gramStart"/>
            <w:r>
              <w:t>bias</w:t>
            </w:r>
            <w:proofErr w:type="gramEnd"/>
          </w:p>
          <w:p w14:paraId="6926D7A5" w14:textId="77777777" w:rsidR="00585ECE" w:rsidRPr="0027646F" w:rsidRDefault="00585ECE" w:rsidP="00585ECE">
            <w:pPr>
              <w:pStyle w:val="FindingBullet"/>
            </w:pPr>
            <w:r>
              <w:t>robust estimates of social and distributional impacts.</w:t>
            </w:r>
          </w:p>
          <w:p w14:paraId="038206AA" w14:textId="282D23CF" w:rsidR="0030448F" w:rsidRDefault="0030448F" w:rsidP="0030448F">
            <w:pPr>
              <w:pStyle w:val="Finding"/>
            </w:pPr>
            <w:r>
              <w:t>Environmental sustainability should be demonstrated through environmental,</w:t>
            </w:r>
            <w:r w:rsidR="0015616D">
              <w:t xml:space="preserve"> social, and</w:t>
            </w:r>
            <w:r>
              <w:t xml:space="preserve"> </w:t>
            </w:r>
            <w:r w:rsidR="0015616D">
              <w:t xml:space="preserve">Aboriginal and Torres Strait Islander people’s cultural </w:t>
            </w:r>
            <w:r>
              <w:t>heritage</w:t>
            </w:r>
            <w:r w:rsidDel="0015616D">
              <w:t xml:space="preserve"> </w:t>
            </w:r>
            <w:r>
              <w:t xml:space="preserve">impact </w:t>
            </w:r>
            <w:r w:rsidR="00227700">
              <w:t>approvals</w:t>
            </w:r>
            <w:r>
              <w:t>, and compliance with a high</w:t>
            </w:r>
            <w:r>
              <w:noBreakHyphen/>
              <w:t>quality and NWI</w:t>
            </w:r>
            <w:r>
              <w:noBreakHyphen/>
              <w:t>consistent water plan that:</w:t>
            </w:r>
          </w:p>
          <w:p w14:paraId="5ACD4F5A" w14:textId="77777777" w:rsidR="00585ECE" w:rsidRDefault="00585ECE" w:rsidP="00585ECE">
            <w:pPr>
              <w:pStyle w:val="FindingBullet"/>
            </w:pPr>
            <w:r>
              <w:t xml:space="preserve">establishes the environmental water provisions necessary to meet agreed environmental outcomes under a changing </w:t>
            </w:r>
            <w:proofErr w:type="gramStart"/>
            <w:r>
              <w:t>climate</w:t>
            </w:r>
            <w:proofErr w:type="gramEnd"/>
          </w:p>
          <w:p w14:paraId="116A0FAE" w14:textId="77777777" w:rsidR="00585ECE" w:rsidRDefault="00585ECE" w:rsidP="00585ECE">
            <w:pPr>
              <w:pStyle w:val="FindingBullet"/>
            </w:pPr>
            <w:r>
              <w:t xml:space="preserve">sets out the social, economic and cultural outcomes sought from the water </w:t>
            </w:r>
            <w:proofErr w:type="gramStart"/>
            <w:r>
              <w:t>plan</w:t>
            </w:r>
            <w:proofErr w:type="gramEnd"/>
          </w:p>
          <w:p w14:paraId="2CE853D7" w14:textId="77777777" w:rsidR="00585ECE" w:rsidRDefault="00585ECE" w:rsidP="00585ECE">
            <w:pPr>
              <w:pStyle w:val="FindingBullet"/>
            </w:pPr>
            <w:r>
              <w:t xml:space="preserve">clearly defines the expected reliability of water rights, </w:t>
            </w:r>
            <w:proofErr w:type="gramStart"/>
            <w:r>
              <w:t>taking into account</w:t>
            </w:r>
            <w:proofErr w:type="gramEnd"/>
            <w:r>
              <w:t xml:space="preserve"> the likely impacts of climate change.</w:t>
            </w:r>
          </w:p>
          <w:p w14:paraId="080C0134" w14:textId="6FDF143C" w:rsidR="00733DFD" w:rsidRDefault="00025C12" w:rsidP="00025C12">
            <w:pPr>
              <w:pStyle w:val="Finding"/>
            </w:pPr>
            <w:r>
              <w:t>C</w:t>
            </w:r>
            <w:r w:rsidR="00733DFD">
              <w:t xml:space="preserve">osts </w:t>
            </w:r>
            <w:r>
              <w:t xml:space="preserve">should be </w:t>
            </w:r>
            <w:r w:rsidR="00733DFD">
              <w:t>recovered from users as the norm</w:t>
            </w:r>
            <w:r>
              <w:t>,</w:t>
            </w:r>
            <w:r w:rsidR="00733DFD">
              <w:t xml:space="preserve"> except where government funding </w:t>
            </w:r>
            <w:r>
              <w:t>is</w:t>
            </w:r>
            <w:r w:rsidR="00733DFD">
              <w:t xml:space="preserve"> provided </w:t>
            </w:r>
            <w:r w:rsidR="00733DFD" w:rsidRPr="00F2065A">
              <w:t xml:space="preserve">through </w:t>
            </w:r>
            <w:r>
              <w:t xml:space="preserve">a </w:t>
            </w:r>
            <w:r w:rsidR="00733DFD" w:rsidRPr="00F2065A">
              <w:t xml:space="preserve">transparent </w:t>
            </w:r>
            <w:r w:rsidR="00DE09F8">
              <w:t>subsidy</w:t>
            </w:r>
            <w:r w:rsidR="00733DFD">
              <w:t xml:space="preserve">. </w:t>
            </w:r>
            <w:r>
              <w:t xml:space="preserve">This should be limited to </w:t>
            </w:r>
            <w:r w:rsidR="00202D0C">
              <w:t xml:space="preserve">situations </w:t>
            </w:r>
            <w:r w:rsidR="00733DFD">
              <w:t>where:</w:t>
            </w:r>
          </w:p>
          <w:p w14:paraId="4F96CCFB" w14:textId="1431D2C6" w:rsidR="00733DFD" w:rsidRDefault="00733DFD" w:rsidP="00025C12">
            <w:pPr>
              <w:pStyle w:val="FindingBullet"/>
            </w:pPr>
            <w:r>
              <w:t xml:space="preserve">substantial public benefits </w:t>
            </w:r>
            <w:r w:rsidR="00202D0C">
              <w:t xml:space="preserve">associated with </w:t>
            </w:r>
            <w:r>
              <w:t xml:space="preserve">water infrastructure impose additional costs that are best borne by </w:t>
            </w:r>
            <w:proofErr w:type="gramStart"/>
            <w:r>
              <w:t>governments</w:t>
            </w:r>
            <w:proofErr w:type="gramEnd"/>
          </w:p>
          <w:p w14:paraId="7FF530AF" w14:textId="7C3D8B6C" w:rsidR="00585ECE" w:rsidRDefault="00585ECE" w:rsidP="00585ECE">
            <w:pPr>
              <w:pStyle w:val="FindingBullet"/>
            </w:pPr>
            <w:r>
              <w:t xml:space="preserve">an equity argument exists to support access to an essential service </w:t>
            </w:r>
            <w:r w:rsidRPr="00F2065A">
              <w:t>(</w:t>
            </w:r>
            <w:r>
              <w:t>for example,</w:t>
            </w:r>
            <w:r w:rsidRPr="00F2065A">
              <w:t xml:space="preserve"> </w:t>
            </w:r>
            <w:r>
              <w:t>high</w:t>
            </w:r>
            <w:r>
              <w:noBreakHyphen/>
              <w:t xml:space="preserve">cost </w:t>
            </w:r>
            <w:r w:rsidRPr="00F2065A">
              <w:t xml:space="preserve">regional town water </w:t>
            </w:r>
            <w:r>
              <w:t>systems where the cost of supplying a basic level of services is considered unaffordable</w:t>
            </w:r>
            <w:r w:rsidRPr="00F2065A">
              <w:t>)</w:t>
            </w:r>
            <w:r>
              <w:t>.</w:t>
            </w:r>
          </w:p>
          <w:p w14:paraId="1C00D6F8" w14:textId="1ECC165A" w:rsidR="000123F5" w:rsidRDefault="000123F5" w:rsidP="000123F5">
            <w:pPr>
              <w:pStyle w:val="Finding"/>
            </w:pPr>
            <w:r>
              <w:t xml:space="preserve">Governments should not subsidise major water infrastructure for </w:t>
            </w:r>
            <w:r w:rsidR="00382930">
              <w:t xml:space="preserve">strategic objectives, such as </w:t>
            </w:r>
            <w:r>
              <w:t>regional development</w:t>
            </w:r>
            <w:r w:rsidR="00382930">
              <w:t>,</w:t>
            </w:r>
            <w:r>
              <w:t xml:space="preserve"> unless they demonstrate that the project is </w:t>
            </w:r>
            <w:r w:rsidRPr="00CC0B22">
              <w:t xml:space="preserve">the most effective means of addressing </w:t>
            </w:r>
            <w:r>
              <w:t>that</w:t>
            </w:r>
            <w:r w:rsidRPr="00CC0B22">
              <w:t xml:space="preserve"> objective</w:t>
            </w:r>
            <w:r>
              <w:t>. This requires alignment with broader high</w:t>
            </w:r>
            <w:r>
              <w:noBreakHyphen/>
              <w:t>quality and long</w:t>
            </w:r>
            <w:r>
              <w:noBreakHyphen/>
              <w:t>term strategic regional planning processes.</w:t>
            </w:r>
          </w:p>
          <w:p w14:paraId="13F04362" w14:textId="0C1E3391" w:rsidR="00733DFD" w:rsidRPr="00F94210" w:rsidRDefault="00B66AE6" w:rsidP="005A0A2C">
            <w:pPr>
              <w:pStyle w:val="Finding"/>
            </w:pPr>
            <w:r w:rsidRPr="007F56A1">
              <w:t>Jurisdictions</w:t>
            </w:r>
            <w:r>
              <w:t xml:space="preserve"> should maintain the principle supporting use of market mechanisms for allocating water. However, they should</w:t>
            </w:r>
            <w:r w:rsidRPr="00EB3B83">
              <w:t xml:space="preserve"> consider allocating entitlements in undeveloped systems to Traditional </w:t>
            </w:r>
            <w:proofErr w:type="gramStart"/>
            <w:r w:rsidRPr="00EB3B83">
              <w:t>Owners</w:t>
            </w:r>
            <w:r>
              <w:t>, and</w:t>
            </w:r>
            <w:proofErr w:type="gramEnd"/>
            <w:r>
              <w:t xml:space="preserve"> ensure that project </w:t>
            </w:r>
            <w:r w:rsidR="008955ED">
              <w:t>assessment</w:t>
            </w:r>
            <w:r w:rsidR="0015616D">
              <w:t xml:space="preserve"> </w:t>
            </w:r>
            <w:r>
              <w:t>processes are culturally responsive.</w:t>
            </w:r>
          </w:p>
        </w:tc>
      </w:tr>
      <w:tr w:rsidR="00733DFD" w:rsidRPr="00F94210" w14:paraId="1D08B513" w14:textId="77777777" w:rsidTr="00617BC4">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09BC6F5B" w14:textId="77777777" w:rsidR="00733DFD" w:rsidRPr="00F94210" w:rsidRDefault="00733DFD" w:rsidP="00617BC4">
            <w:pPr>
              <w:keepNext/>
              <w:keepLines/>
              <w:spacing w:line="120" w:lineRule="exact"/>
              <w:jc w:val="both"/>
              <w:rPr>
                <w:rFonts w:ascii="Arial" w:hAnsi="Arial"/>
                <w:sz w:val="20"/>
                <w:szCs w:val="20"/>
              </w:rPr>
            </w:pPr>
          </w:p>
        </w:tc>
      </w:tr>
      <w:tr w:rsidR="00733DFD" w:rsidRPr="00F94210" w14:paraId="075E819B" w14:textId="77777777" w:rsidTr="00617BC4">
        <w:tc>
          <w:tcPr>
            <w:tcW w:w="5000" w:type="pct"/>
            <w:tcBorders>
              <w:top w:val="single" w:sz="6" w:space="0" w:color="0070C0"/>
              <w:left w:val="nil"/>
              <w:bottom w:val="nil"/>
              <w:right w:val="nil"/>
            </w:tcBorders>
            <w:tcMar>
              <w:left w:w="170" w:type="dxa"/>
              <w:right w:w="170" w:type="dxa"/>
            </w:tcMar>
          </w:tcPr>
          <w:p w14:paraId="72176A86" w14:textId="77777777" w:rsidR="00733DFD" w:rsidRPr="00F94210" w:rsidRDefault="00733DFD" w:rsidP="00617BC4">
            <w:pPr>
              <w:keepLines/>
              <w:spacing w:before="60" w:after="60" w:line="80" w:lineRule="exact"/>
              <w:jc w:val="both"/>
              <w:rPr>
                <w:rFonts w:ascii="Arial" w:hAnsi="Arial"/>
                <w:sz w:val="14"/>
                <w:szCs w:val="20"/>
              </w:rPr>
            </w:pPr>
          </w:p>
        </w:tc>
      </w:tr>
    </w:tbl>
    <w:p w14:paraId="604EDFC9" w14:textId="692CD0EC" w:rsidR="00B66AA4" w:rsidRDefault="00B66AA4" w:rsidP="00B66AA4">
      <w:pPr>
        <w:pStyle w:val="BodyText"/>
      </w:pPr>
      <w:r>
        <w:t>In renegotiating the NWI, jurisdictions should agree to clear</w:t>
      </w:r>
      <w:r w:rsidR="00011902">
        <w:t xml:space="preserve"> </w:t>
      </w:r>
      <w:r w:rsidRPr="002A797B">
        <w:t>institutional roles and responsibilities to coordinate any government investment</w:t>
      </w:r>
      <w:r w:rsidR="00011902">
        <w:t>.</w:t>
      </w:r>
    </w:p>
    <w:p w14:paraId="211224B7" w14:textId="77777777" w:rsidR="00296778" w:rsidRPr="00F94210" w:rsidRDefault="00296778" w:rsidP="002231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89"/>
      </w:tblGrid>
      <w:tr w:rsidR="00296778" w:rsidRPr="00F94210" w14:paraId="7BEA994C" w14:textId="77777777" w:rsidTr="00541B5C">
        <w:trPr>
          <w:tblHeader/>
        </w:trPr>
        <w:tc>
          <w:tcPr>
            <w:tcW w:w="5000" w:type="pct"/>
            <w:tcBorders>
              <w:top w:val="single" w:sz="6" w:space="0" w:color="0070C0"/>
              <w:left w:val="nil"/>
              <w:bottom w:val="nil"/>
              <w:right w:val="nil"/>
            </w:tcBorders>
            <w:shd w:val="clear" w:color="auto" w:fill="CBDDF2" w:themeFill="background2" w:themeFillTint="33"/>
            <w:tcMar>
              <w:left w:w="170" w:type="dxa"/>
              <w:right w:w="170" w:type="dxa"/>
            </w:tcMar>
          </w:tcPr>
          <w:p w14:paraId="50173262" w14:textId="518BBFB2" w:rsidR="00296778" w:rsidRPr="00F94210" w:rsidRDefault="001B7693" w:rsidP="00FD0B39">
            <w:pPr>
              <w:pStyle w:val="FindingTitle"/>
              <w:spacing w:before="120"/>
              <w:rPr>
                <w:noProof/>
              </w:rPr>
            </w:pPr>
            <w:r>
              <w:t xml:space="preserve">Draft </w:t>
            </w:r>
            <w:r w:rsidR="00296778">
              <w:t xml:space="preserve">NWI renewal advice </w:t>
            </w:r>
            <w:r w:rsidR="00C00F11">
              <w:t>13.3</w:t>
            </w:r>
            <w:r w:rsidR="0068550D">
              <w:t>:</w:t>
            </w:r>
            <w:r w:rsidR="00296778">
              <w:t xml:space="preserve"> </w:t>
            </w:r>
            <w:r w:rsidR="000123F5">
              <w:t>institutional arrangements</w:t>
            </w:r>
          </w:p>
          <w:p w14:paraId="60994467" w14:textId="3237A822" w:rsidR="000123F5" w:rsidRDefault="000123F5" w:rsidP="000123F5">
            <w:pPr>
              <w:pStyle w:val="Finding"/>
            </w:pPr>
            <w:r>
              <w:t>A new water infrastructure element should clarify relevant institutional roles and responsibilities</w:t>
            </w:r>
            <w:r w:rsidR="00D62C2C">
              <w:t xml:space="preserve"> underpinning the framework for government investment.</w:t>
            </w:r>
          </w:p>
          <w:p w14:paraId="72E1FDC7" w14:textId="77777777" w:rsidR="000123F5" w:rsidRDefault="000123F5" w:rsidP="000123F5">
            <w:pPr>
              <w:pStyle w:val="FindingBullet"/>
            </w:pPr>
            <w:r>
              <w:t>State and Territory Governments should have primary responsibility for proposing (and overseeing) major water infrastructure developments in their jurisdictions.</w:t>
            </w:r>
          </w:p>
          <w:p w14:paraId="115EA2D8" w14:textId="3EB446E1" w:rsidR="001703F4" w:rsidRDefault="000123F5" w:rsidP="002B4C10">
            <w:pPr>
              <w:pStyle w:val="FindingBullet"/>
            </w:pPr>
            <w:r>
              <w:t xml:space="preserve">Australian </w:t>
            </w:r>
            <w:r w:rsidR="00CD6A11">
              <w:t>G</w:t>
            </w:r>
            <w:r>
              <w:t xml:space="preserve">overnment funding should not exceed the contribution of the relevant State or Territory </w:t>
            </w:r>
            <w:r w:rsidR="00201B2D">
              <w:t>G</w:t>
            </w:r>
            <w:r>
              <w:t>overnment.</w:t>
            </w:r>
          </w:p>
          <w:p w14:paraId="70014615" w14:textId="186628C7" w:rsidR="00296778" w:rsidRPr="00F94210" w:rsidRDefault="000123F5" w:rsidP="002B4C10">
            <w:pPr>
              <w:pStyle w:val="FindingBullet"/>
            </w:pPr>
            <w:r>
              <w:t xml:space="preserve">Independent infrastructure advisory bodies should </w:t>
            </w:r>
            <w:r w:rsidR="001703F4">
              <w:t xml:space="preserve">transparently </w:t>
            </w:r>
            <w:r>
              <w:t>review the business cases of major projects.</w:t>
            </w:r>
            <w:r w:rsidR="00382930">
              <w:t xml:space="preserve"> </w:t>
            </w:r>
          </w:p>
        </w:tc>
      </w:tr>
      <w:tr w:rsidR="00296778" w:rsidRPr="00F94210" w14:paraId="37261235" w14:textId="77777777" w:rsidTr="00541B5C">
        <w:tc>
          <w:tcPr>
            <w:tcW w:w="5000" w:type="pct"/>
            <w:tcBorders>
              <w:top w:val="nil"/>
              <w:left w:val="nil"/>
              <w:bottom w:val="single" w:sz="6" w:space="0" w:color="0070C0"/>
              <w:right w:val="nil"/>
            </w:tcBorders>
            <w:shd w:val="clear" w:color="auto" w:fill="CBDDF2" w:themeFill="background2" w:themeFillTint="33"/>
            <w:tcMar>
              <w:left w:w="170" w:type="dxa"/>
              <w:right w:w="170" w:type="dxa"/>
            </w:tcMar>
          </w:tcPr>
          <w:p w14:paraId="7207FA9B" w14:textId="77777777" w:rsidR="00296778" w:rsidRPr="00F94210" w:rsidRDefault="00296778" w:rsidP="00541B5C">
            <w:pPr>
              <w:keepNext/>
              <w:keepLines/>
              <w:spacing w:line="120" w:lineRule="exact"/>
              <w:jc w:val="both"/>
              <w:rPr>
                <w:rFonts w:ascii="Arial" w:hAnsi="Arial"/>
                <w:sz w:val="20"/>
                <w:szCs w:val="20"/>
              </w:rPr>
            </w:pPr>
          </w:p>
        </w:tc>
      </w:tr>
      <w:tr w:rsidR="00296778" w:rsidRPr="00F94210" w14:paraId="5B98664A" w14:textId="77777777" w:rsidTr="00541B5C">
        <w:tc>
          <w:tcPr>
            <w:tcW w:w="5000" w:type="pct"/>
            <w:tcBorders>
              <w:top w:val="single" w:sz="6" w:space="0" w:color="0070C0"/>
              <w:left w:val="nil"/>
              <w:bottom w:val="nil"/>
              <w:right w:val="nil"/>
            </w:tcBorders>
            <w:tcMar>
              <w:left w:w="170" w:type="dxa"/>
              <w:right w:w="170" w:type="dxa"/>
            </w:tcMar>
          </w:tcPr>
          <w:p w14:paraId="4A954582" w14:textId="77777777" w:rsidR="00296778" w:rsidRPr="00F94210" w:rsidRDefault="00296778" w:rsidP="00541B5C">
            <w:pPr>
              <w:keepLines/>
              <w:spacing w:before="60" w:after="60" w:line="80" w:lineRule="exact"/>
              <w:jc w:val="both"/>
              <w:rPr>
                <w:rFonts w:ascii="Arial" w:hAnsi="Arial"/>
                <w:sz w:val="14"/>
                <w:szCs w:val="20"/>
              </w:rPr>
            </w:pPr>
          </w:p>
        </w:tc>
      </w:tr>
    </w:tbl>
    <w:p w14:paraId="75DE4979" w14:textId="77777777" w:rsidR="00223135" w:rsidRDefault="00223135" w:rsidP="00223135">
      <w:pPr>
        <w:pStyle w:val="BodyText"/>
      </w:pPr>
      <w:bookmarkStart w:id="32" w:name="_Toc62628693"/>
      <w:r>
        <w:br w:type="page"/>
      </w:r>
    </w:p>
    <w:p w14:paraId="502415E8" w14:textId="0661ED6E" w:rsidR="00F3131F" w:rsidRPr="00313FA3" w:rsidRDefault="00F3131F" w:rsidP="00EA2DD5">
      <w:pPr>
        <w:pStyle w:val="Heading2"/>
      </w:pPr>
      <w:r w:rsidRPr="00313FA3">
        <w:lastRenderedPageBreak/>
        <w:t>References</w:t>
      </w:r>
      <w:bookmarkEnd w:id="32"/>
    </w:p>
    <w:p w14:paraId="71046BB0" w14:textId="1E0D6EBE" w:rsidR="00A464B4" w:rsidRPr="00B959CB" w:rsidRDefault="00A464B4" w:rsidP="00B959CB">
      <w:pPr>
        <w:pStyle w:val="Reference"/>
      </w:pPr>
      <w:proofErr w:type="spellStart"/>
      <w:r w:rsidRPr="00B959CB">
        <w:t>Aither</w:t>
      </w:r>
      <w:proofErr w:type="spellEnd"/>
      <w:r w:rsidRPr="00B959CB">
        <w:t xml:space="preserve"> 2019, Water Markets Report: 2018-19 Review and 2019-20 Outlook, Melbourne.</w:t>
      </w:r>
    </w:p>
    <w:p w14:paraId="51A44343" w14:textId="77777777" w:rsidR="00A464B4" w:rsidRPr="00B959CB" w:rsidRDefault="00A464B4" w:rsidP="00B959CB">
      <w:pPr>
        <w:pStyle w:val="Reference"/>
      </w:pPr>
      <w:r w:rsidRPr="00B959CB">
        <w:t>ANZIP (Australia &amp; New Zealand Infrastructure Pipeline) 2020, Dungowan Dam Replacement, https://infrastructurepipeline.org/project/dungowan-dam-replacement/ (accessed 18 December 2020).</w:t>
      </w:r>
    </w:p>
    <w:p w14:paraId="25B532CA" w14:textId="148565DE" w:rsidR="00A464B4" w:rsidRPr="00B959CB" w:rsidRDefault="00A464B4" w:rsidP="00B959CB">
      <w:pPr>
        <w:pStyle w:val="Reference"/>
      </w:pPr>
      <w:r w:rsidRPr="00B959CB">
        <w:t xml:space="preserve">BOM (Bureau of Meteorology) 2018, Ord: Water access and use, </w:t>
      </w:r>
      <w:r w:rsidR="00C8599C" w:rsidRPr="00B959CB">
        <w:t>www</w:t>
      </w:r>
      <w:r w:rsidRPr="00B959CB">
        <w:t>.bom.gov.au/</w:t>
      </w:r>
      <w:r w:rsidR="00C8599C" w:rsidRPr="00B959CB">
        <w:t xml:space="preserve"> </w:t>
      </w:r>
      <w:r w:rsidRPr="00B959CB">
        <w:t>water/nwa/2018/ord/supportinginformation/wateraccessanduse.shtml</w:t>
      </w:r>
      <w:proofErr w:type="gramStart"/>
      <w:r w:rsidRPr="00B959CB">
        <w:t>#:~</w:t>
      </w:r>
      <w:proofErr w:type="gramEnd"/>
      <w:r w:rsidRPr="00B959CB">
        <w:t>:text=Groundwater%20rights&amp;text=There%20are%20approximately%2050%20groundwater,sourced%20from%20combined%20fractured%20rock. (accessed 15 December 2020).</w:t>
      </w:r>
    </w:p>
    <w:p w14:paraId="336A33DE" w14:textId="77777777" w:rsidR="00A464B4" w:rsidRPr="00B959CB" w:rsidRDefault="00A464B4" w:rsidP="00B959CB">
      <w:pPr>
        <w:pStyle w:val="Reference"/>
      </w:pPr>
      <w:r w:rsidRPr="00B959CB">
        <w:t>COAG (Council of Australian Governments) 1994, Water Reform Framework, Canberra.</w:t>
      </w:r>
    </w:p>
    <w:p w14:paraId="0C54A63D" w14:textId="09487DCD" w:rsidR="00A464B4" w:rsidRPr="00B959CB" w:rsidRDefault="00A464B4" w:rsidP="00B959CB">
      <w:pPr>
        <w:pStyle w:val="Reference"/>
      </w:pPr>
      <w:r w:rsidRPr="00B959CB">
        <w:t>——</w:t>
      </w:r>
      <w:r w:rsidR="00C8599C" w:rsidRPr="00B959CB">
        <w:t> </w:t>
      </w:r>
      <w:r w:rsidRPr="00B959CB">
        <w:t>2004, Intergovernmental Agreement on a National Water Initiative, Canberra.</w:t>
      </w:r>
    </w:p>
    <w:p w14:paraId="267A3CCA" w14:textId="6469D14A" w:rsidR="00A464B4" w:rsidRPr="00B959CB" w:rsidRDefault="00A464B4" w:rsidP="00B959CB">
      <w:pPr>
        <w:pStyle w:val="Reference"/>
      </w:pPr>
      <w:r w:rsidRPr="00B959CB">
        <w:t xml:space="preserve">Courtney, S. (Minister for Primary Industries and Water (Tas)) 2018, Duck Irrigation Scheme to deliver greater water security, </w:t>
      </w:r>
      <w:r w:rsidR="00C8599C" w:rsidRPr="00B959CB">
        <w:t>www</w:t>
      </w:r>
      <w:r w:rsidRPr="00B959CB">
        <w:t>.premier.tas.gov.au/releases/duck_</w:t>
      </w:r>
      <w:r w:rsidR="00C8599C" w:rsidRPr="00B959CB">
        <w:t xml:space="preserve"> </w:t>
      </w:r>
      <w:proofErr w:type="spellStart"/>
      <w:r w:rsidRPr="00B959CB">
        <w:t>irrigation_scheme_to_deliver_greater_water_security</w:t>
      </w:r>
      <w:proofErr w:type="spellEnd"/>
      <w:r w:rsidRPr="00B959CB">
        <w:t xml:space="preserve"> (accessed 15 December 2020).</w:t>
      </w:r>
    </w:p>
    <w:p w14:paraId="3A7AE7ED" w14:textId="77777777" w:rsidR="00A464B4" w:rsidRPr="00B959CB" w:rsidRDefault="00A464B4" w:rsidP="00B959CB">
      <w:pPr>
        <w:pStyle w:val="Reference"/>
      </w:pPr>
      <w:r w:rsidRPr="00B959CB">
        <w:t>DNRME (Qld) (Department of Natural Resources, Mines and Energy (Qld)) 2019, Queensland bulk water opportunities statement - strategic framework, Brisbane.</w:t>
      </w:r>
    </w:p>
    <w:p w14:paraId="18204112" w14:textId="7CD88246" w:rsidR="00A464B4" w:rsidRPr="00B959CB" w:rsidRDefault="00A464B4" w:rsidP="00B959CB">
      <w:pPr>
        <w:pStyle w:val="Reference"/>
      </w:pPr>
      <w:r w:rsidRPr="00B959CB">
        <w:t>——</w:t>
      </w:r>
      <w:r w:rsidR="00C8599C" w:rsidRPr="00B959CB">
        <w:t> </w:t>
      </w:r>
      <w:r w:rsidRPr="00B959CB">
        <w:t>2020, Assessing demand for water: Guidance for project proponents, Brisbane.</w:t>
      </w:r>
    </w:p>
    <w:p w14:paraId="286D1E71" w14:textId="77777777" w:rsidR="00A464B4" w:rsidRPr="00B959CB" w:rsidRDefault="00A464B4" w:rsidP="00B959CB">
      <w:pPr>
        <w:pStyle w:val="Reference"/>
      </w:pPr>
      <w:r w:rsidRPr="00B959CB">
        <w:t xml:space="preserve">GHD 2017, Dungowan Dam and Peel Valley Feasibility Study Feasibility Assessment Report, Report to </w:t>
      </w:r>
      <w:proofErr w:type="spellStart"/>
      <w:r w:rsidRPr="00B959CB">
        <w:t>WaterNSW</w:t>
      </w:r>
      <w:proofErr w:type="spellEnd"/>
      <w:r w:rsidRPr="00B959CB">
        <w:t>.</w:t>
      </w:r>
    </w:p>
    <w:p w14:paraId="7D3592CA" w14:textId="77777777" w:rsidR="00A464B4" w:rsidRPr="00223135" w:rsidRDefault="00A464B4" w:rsidP="00B959CB">
      <w:pPr>
        <w:pStyle w:val="Reference"/>
        <w:rPr>
          <w:spacing w:val="-4"/>
        </w:rPr>
      </w:pPr>
      <w:r w:rsidRPr="00223135">
        <w:rPr>
          <w:spacing w:val="-4"/>
        </w:rPr>
        <w:t>IA (Infrastructure Australia) 2015, Assessment Brief - Tasmanian Irrigation Tranche 2, Sydney.</w:t>
      </w:r>
    </w:p>
    <w:p w14:paraId="0B4D4300" w14:textId="4AC098C5" w:rsidR="00A464B4" w:rsidRPr="00B959CB" w:rsidRDefault="00A464B4" w:rsidP="00B959CB">
      <w:pPr>
        <w:pStyle w:val="Reference"/>
      </w:pPr>
      <w:r w:rsidRPr="00B959CB">
        <w:t>——</w:t>
      </w:r>
      <w:r w:rsidR="00C8599C" w:rsidRPr="00B959CB">
        <w:t> </w:t>
      </w:r>
      <w:r w:rsidRPr="00B959CB">
        <w:t xml:space="preserve">2017, Project Evaluation Summary - </w:t>
      </w:r>
      <w:proofErr w:type="spellStart"/>
      <w:r w:rsidRPr="00B959CB">
        <w:t>Myalup</w:t>
      </w:r>
      <w:proofErr w:type="spellEnd"/>
      <w:r w:rsidRPr="00B959CB">
        <w:t>-Wellington Water Project, Sydney.</w:t>
      </w:r>
    </w:p>
    <w:p w14:paraId="2E1014F8" w14:textId="0FB9438C" w:rsidR="00A464B4" w:rsidRPr="00B959CB" w:rsidRDefault="00A464B4" w:rsidP="00B959CB">
      <w:pPr>
        <w:pStyle w:val="Reference"/>
      </w:pPr>
      <w:r w:rsidRPr="00B959CB">
        <w:t>——</w:t>
      </w:r>
      <w:r w:rsidR="00C8599C" w:rsidRPr="00B959CB">
        <w:t> </w:t>
      </w:r>
      <w:r w:rsidRPr="00B959CB">
        <w:t>2018a, Assessment Framework, March, Sydney.</w:t>
      </w:r>
    </w:p>
    <w:p w14:paraId="3A0129E3" w14:textId="13E55118" w:rsidR="00A464B4" w:rsidRPr="00B959CB" w:rsidRDefault="00A464B4" w:rsidP="00B959CB">
      <w:pPr>
        <w:pStyle w:val="Reference"/>
      </w:pPr>
      <w:r w:rsidRPr="00B959CB">
        <w:t>——</w:t>
      </w:r>
      <w:r w:rsidR="00C8599C" w:rsidRPr="00B959CB">
        <w:t> </w:t>
      </w:r>
      <w:r w:rsidRPr="00B959CB">
        <w:t>2018b, Infrastructure Decision-making Principles, Sydney.</w:t>
      </w:r>
    </w:p>
    <w:p w14:paraId="59B0C15B" w14:textId="3A1DF6ED" w:rsidR="00A464B4" w:rsidRPr="00223135" w:rsidRDefault="00A464B4" w:rsidP="00B959CB">
      <w:pPr>
        <w:pStyle w:val="Reference"/>
        <w:rPr>
          <w:spacing w:val="-4"/>
        </w:rPr>
      </w:pPr>
      <w:r w:rsidRPr="00223135">
        <w:rPr>
          <w:spacing w:val="-4"/>
        </w:rPr>
        <w:t>——</w:t>
      </w:r>
      <w:r w:rsidR="00C8599C" w:rsidRPr="00223135">
        <w:rPr>
          <w:spacing w:val="-4"/>
        </w:rPr>
        <w:t> </w:t>
      </w:r>
      <w:r w:rsidRPr="00223135">
        <w:rPr>
          <w:spacing w:val="-4"/>
        </w:rPr>
        <w:t>2018c, Project Evaluation Summary - Lower Fitzroy River Infrastructure Project, Sydney.</w:t>
      </w:r>
    </w:p>
    <w:p w14:paraId="6CF69C5E" w14:textId="72DD218E" w:rsidR="00A464B4" w:rsidRPr="00223135" w:rsidRDefault="00A464B4" w:rsidP="00B959CB">
      <w:pPr>
        <w:pStyle w:val="Reference"/>
        <w:rPr>
          <w:spacing w:val="-4"/>
        </w:rPr>
      </w:pPr>
      <w:r w:rsidRPr="00223135">
        <w:rPr>
          <w:spacing w:val="-4"/>
        </w:rPr>
        <w:t>——</w:t>
      </w:r>
      <w:r w:rsidR="00C8599C" w:rsidRPr="00223135">
        <w:rPr>
          <w:spacing w:val="-4"/>
        </w:rPr>
        <w:t> </w:t>
      </w:r>
      <w:r w:rsidRPr="00223135">
        <w:rPr>
          <w:spacing w:val="-4"/>
        </w:rPr>
        <w:t>2020a, Infrastructure Priority List, Project and Initiative Summaries, February, Sydney.</w:t>
      </w:r>
    </w:p>
    <w:p w14:paraId="4BD9B9F5" w14:textId="1D66E83C" w:rsidR="00A464B4" w:rsidRPr="00B959CB" w:rsidRDefault="00A464B4" w:rsidP="00B959CB">
      <w:pPr>
        <w:pStyle w:val="Reference"/>
      </w:pPr>
      <w:r w:rsidRPr="00B959CB">
        <w:t>——</w:t>
      </w:r>
      <w:r w:rsidR="00C8599C" w:rsidRPr="00B959CB">
        <w:t> </w:t>
      </w:r>
      <w:r w:rsidRPr="00B959CB">
        <w:t>2020b, Stage 2 Haughton Pipeline Project: Project business case evaluation summary, Sydney.</w:t>
      </w:r>
    </w:p>
    <w:p w14:paraId="7ABFD6EC" w14:textId="77777777" w:rsidR="00A464B4" w:rsidRPr="00B959CB" w:rsidRDefault="00A464B4" w:rsidP="00B959CB">
      <w:pPr>
        <w:pStyle w:val="Reference"/>
      </w:pPr>
      <w:r w:rsidRPr="00B959CB">
        <w:t>Joyce, B., Rockliff, J. and Hutchinson, E. (Minister for Agriculture and Water Resources, Minister for Primary Industries and Water (Tas) and Federal Member for Lyons) 2016, Coalition Invests in the Future of Irrigated Agriculture in Tasmania, Media Release.</w:t>
      </w:r>
    </w:p>
    <w:p w14:paraId="2CA523A8" w14:textId="77777777" w:rsidR="00A464B4" w:rsidRPr="00B959CB" w:rsidRDefault="00A464B4" w:rsidP="00B959CB">
      <w:pPr>
        <w:pStyle w:val="Reference"/>
      </w:pPr>
      <w:proofErr w:type="spellStart"/>
      <w:r w:rsidRPr="00B959CB">
        <w:t>Littleproud</w:t>
      </w:r>
      <w:proofErr w:type="spellEnd"/>
      <w:r w:rsidRPr="00B959CB">
        <w:t>, D. and Martin, S. (Minister for Agriculture and Water Resources and Senator for Tasmania) 2019, Joint Media Release: Duck Irrigation Scheme improving Tasmania’s water security, Media Release.</w:t>
      </w:r>
    </w:p>
    <w:p w14:paraId="5655AAB0" w14:textId="77777777" w:rsidR="00A464B4" w:rsidRPr="00B959CB" w:rsidRDefault="00A464B4" w:rsidP="00B959CB">
      <w:pPr>
        <w:pStyle w:val="Reference"/>
      </w:pPr>
      <w:r w:rsidRPr="00B959CB">
        <w:t>McCormack, M. 2019, National Water Grid Authority for the future, Media Release, https://minister.infrastructure.gov.au/mccormack/media-release/national-water-grid-authority-future (accessed 19 January 2021).</w:t>
      </w:r>
    </w:p>
    <w:p w14:paraId="2F8206CB" w14:textId="3102C1D7" w:rsidR="00A464B4" w:rsidRPr="00B959CB" w:rsidRDefault="00A464B4" w:rsidP="000C09E7">
      <w:pPr>
        <w:pStyle w:val="Reference"/>
        <w:spacing w:before="100"/>
      </w:pPr>
      <w:r w:rsidRPr="00B959CB">
        <w:lastRenderedPageBreak/>
        <w:t>——</w:t>
      </w:r>
      <w:r w:rsidR="00C8599C" w:rsidRPr="00B959CB">
        <w:t> </w:t>
      </w:r>
      <w:r w:rsidRPr="00B959CB">
        <w:t>2020a, National Water Grid Advisory Body appointed, https://minister.infra</w:t>
      </w:r>
      <w:r w:rsidR="00C8599C" w:rsidRPr="00B959CB">
        <w:t xml:space="preserve"> </w:t>
      </w:r>
      <w:r w:rsidRPr="00B959CB">
        <w:t>structure.gov.au/mccormack/media-release/national-water-grid-advisory-body-appointed (accessed 20 November 2020).</w:t>
      </w:r>
    </w:p>
    <w:p w14:paraId="2A4B5FF5" w14:textId="53F6AD99" w:rsidR="00A464B4" w:rsidRPr="00B959CB" w:rsidRDefault="00A464B4" w:rsidP="000C09E7">
      <w:pPr>
        <w:pStyle w:val="Reference"/>
        <w:spacing w:before="100"/>
      </w:pPr>
      <w:r w:rsidRPr="00B959CB">
        <w:t>——</w:t>
      </w:r>
      <w:r w:rsidR="00C8599C" w:rsidRPr="00B959CB">
        <w:t> </w:t>
      </w:r>
      <w:r w:rsidRPr="00B959CB">
        <w:t>2020b, Statement of Expectations - Infrastructure Australia, Canberra.</w:t>
      </w:r>
    </w:p>
    <w:p w14:paraId="28ACF50D" w14:textId="77777777" w:rsidR="00A464B4" w:rsidRPr="0027024E" w:rsidRDefault="00A464B4" w:rsidP="000C09E7">
      <w:pPr>
        <w:pStyle w:val="Reference"/>
        <w:spacing w:before="100"/>
        <w:rPr>
          <w:spacing w:val="-4"/>
        </w:rPr>
      </w:pPr>
      <w:r w:rsidRPr="0027024E">
        <w:rPr>
          <w:spacing w:val="-4"/>
        </w:rPr>
        <w:t>NAIF (Northern Australia Infrastructure Facility) 2021, Investment Guidelines, https://naif.gov.au/about-naif-finance/investment-guidelines/ (accessed 19 January 2021).</w:t>
      </w:r>
    </w:p>
    <w:p w14:paraId="0E41AC4C" w14:textId="67B5202F" w:rsidR="00A464B4" w:rsidRPr="00B959CB" w:rsidRDefault="00A464B4" w:rsidP="000C09E7">
      <w:pPr>
        <w:pStyle w:val="Reference"/>
        <w:spacing w:before="100"/>
      </w:pPr>
      <w:r w:rsidRPr="00B959CB">
        <w:t xml:space="preserve">NQWIA (North Queensland Water Infrastructure Authority) 2020, North Queensland Water Infrastructure Authority, </w:t>
      </w:r>
      <w:r w:rsidR="00C8599C" w:rsidRPr="00B959CB">
        <w:t>www</w:t>
      </w:r>
      <w:r w:rsidRPr="00B959CB">
        <w:t>.nqwia.gov.au/home (accessed 3 August 2020).</w:t>
      </w:r>
    </w:p>
    <w:p w14:paraId="087B9869" w14:textId="77777777" w:rsidR="00A464B4" w:rsidRPr="00B959CB" w:rsidRDefault="00A464B4" w:rsidP="000C09E7">
      <w:pPr>
        <w:pStyle w:val="Reference"/>
        <w:spacing w:before="100"/>
      </w:pPr>
      <w:r w:rsidRPr="00B959CB">
        <w:t>NRMMC (Natural Resource Management Ministerial Council) 2010, National Water Initiative Pricing Principles.</w:t>
      </w:r>
    </w:p>
    <w:p w14:paraId="08929B7C" w14:textId="6D39FE1B" w:rsidR="00A464B4" w:rsidRPr="00B959CB" w:rsidRDefault="00A464B4" w:rsidP="000C09E7">
      <w:pPr>
        <w:pStyle w:val="Reference"/>
        <w:spacing w:before="100"/>
      </w:pPr>
      <w:r w:rsidRPr="00B959CB">
        <w:t xml:space="preserve">NWGA (National Water Grid Authority) 2020a, National Water Grid Advisory Body, </w:t>
      </w:r>
      <w:r w:rsidR="00C8599C" w:rsidRPr="00B959CB">
        <w:t>www</w:t>
      </w:r>
      <w:r w:rsidRPr="00B959CB">
        <w:t>.nationalwatergrid.gov.au/about/advisory-body (accessed 19 January 2021).</w:t>
      </w:r>
    </w:p>
    <w:p w14:paraId="7B63A562" w14:textId="65633184" w:rsidR="00A464B4" w:rsidRPr="00B959CB" w:rsidRDefault="00A464B4" w:rsidP="000C09E7">
      <w:pPr>
        <w:pStyle w:val="Reference"/>
        <w:spacing w:before="100"/>
      </w:pPr>
      <w:r w:rsidRPr="00B959CB">
        <w:t>——</w:t>
      </w:r>
      <w:r w:rsidR="00C8599C" w:rsidRPr="00B959CB">
        <w:t> </w:t>
      </w:r>
      <w:r w:rsidRPr="00B959CB">
        <w:t>2020b, National Water Infrastructure Investment Policy Framework, Canberra.</w:t>
      </w:r>
    </w:p>
    <w:p w14:paraId="38CC896D" w14:textId="342805D7" w:rsidR="00A464B4" w:rsidRPr="00B959CB" w:rsidRDefault="00A464B4" w:rsidP="000C09E7">
      <w:pPr>
        <w:pStyle w:val="Reference"/>
        <w:spacing w:before="100"/>
      </w:pPr>
      <w:r w:rsidRPr="00B959CB">
        <w:t>——</w:t>
      </w:r>
      <w:r w:rsidR="00C8599C" w:rsidRPr="00B959CB">
        <w:t> </w:t>
      </w:r>
      <w:r w:rsidRPr="00B959CB">
        <w:t xml:space="preserve">2020c, Status of the 22 National Water Infrastructure Development Fund (NWIDF) capital projects (as </w:t>
      </w:r>
      <w:proofErr w:type="gramStart"/>
      <w:r w:rsidRPr="00B959CB">
        <w:t>at</w:t>
      </w:r>
      <w:proofErr w:type="gramEnd"/>
      <w:r w:rsidRPr="00B959CB">
        <w:t xml:space="preserve"> 11 November 2020), Canberra.</w:t>
      </w:r>
    </w:p>
    <w:p w14:paraId="19C0F8EF" w14:textId="6386E2DB" w:rsidR="00A464B4" w:rsidRPr="00B959CB" w:rsidRDefault="00A464B4" w:rsidP="000C09E7">
      <w:pPr>
        <w:pStyle w:val="Reference"/>
        <w:spacing w:before="100"/>
      </w:pPr>
      <w:r w:rsidRPr="00B959CB">
        <w:t>——</w:t>
      </w:r>
      <w:r w:rsidR="00C8599C" w:rsidRPr="00B959CB">
        <w:t> </w:t>
      </w:r>
      <w:r w:rsidRPr="00B959CB">
        <w:t>2020d, The National Water Grid: Investing in Australia’s water future, Canberra.</w:t>
      </w:r>
    </w:p>
    <w:p w14:paraId="1B1AB69A" w14:textId="77777777" w:rsidR="00A464B4" w:rsidRPr="00B959CB" w:rsidRDefault="00A464B4" w:rsidP="000C09E7">
      <w:pPr>
        <w:pStyle w:val="Reference"/>
        <w:spacing w:before="100"/>
      </w:pPr>
      <w:r w:rsidRPr="00B959CB">
        <w:t>PAC (Public Accounts Committee) 2019, Where to from here? The status of the Ord-East Kimberley Development Plan, Report 9, Legislative Assembly Western Australia, Perth.</w:t>
      </w:r>
    </w:p>
    <w:p w14:paraId="6ADBFA40" w14:textId="77777777" w:rsidR="00A464B4" w:rsidRPr="00B959CB" w:rsidRDefault="00A464B4" w:rsidP="000C09E7">
      <w:pPr>
        <w:pStyle w:val="Reference"/>
        <w:spacing w:before="100"/>
      </w:pPr>
      <w:r w:rsidRPr="00B959CB">
        <w:t>PC (Productivity Commission) 2014, Public Infrastructure, Report no. 71, Canberra.</w:t>
      </w:r>
    </w:p>
    <w:p w14:paraId="141C4DF5" w14:textId="19D0EBFD" w:rsidR="00A464B4" w:rsidRPr="00B959CB" w:rsidRDefault="00A464B4" w:rsidP="000C09E7">
      <w:pPr>
        <w:pStyle w:val="Reference"/>
        <w:spacing w:before="100"/>
      </w:pPr>
      <w:r w:rsidRPr="00B959CB">
        <w:t>——</w:t>
      </w:r>
      <w:r w:rsidR="00C8599C" w:rsidRPr="00B959CB">
        <w:t> </w:t>
      </w:r>
      <w:r w:rsidRPr="00B959CB">
        <w:t>2017a, National Water Reform, Report no. 87, Canberra.</w:t>
      </w:r>
    </w:p>
    <w:p w14:paraId="1CE76847" w14:textId="587F2630" w:rsidR="00A464B4" w:rsidRPr="00B959CB" w:rsidRDefault="00A464B4" w:rsidP="000C09E7">
      <w:pPr>
        <w:pStyle w:val="Reference"/>
        <w:spacing w:before="100"/>
      </w:pPr>
      <w:r w:rsidRPr="00B959CB">
        <w:t>——</w:t>
      </w:r>
      <w:r w:rsidR="00C8599C" w:rsidRPr="00B959CB">
        <w:t> </w:t>
      </w:r>
      <w:r w:rsidRPr="00B959CB">
        <w:t>2017b, Transitioning Regional Economies, Study Report, Canberra.</w:t>
      </w:r>
    </w:p>
    <w:p w14:paraId="74982F13" w14:textId="77777777" w:rsidR="00A464B4" w:rsidRPr="00B959CB" w:rsidRDefault="00A464B4" w:rsidP="000C09E7">
      <w:pPr>
        <w:pStyle w:val="Reference"/>
        <w:spacing w:before="100"/>
      </w:pPr>
      <w:r w:rsidRPr="00B959CB">
        <w:t>QPC (Queensland Productivity Commission) 2020, Building economic resilience in Queensland, Research paper.</w:t>
      </w:r>
    </w:p>
    <w:p w14:paraId="0D52F074" w14:textId="77777777" w:rsidR="00A464B4" w:rsidRPr="00B959CB" w:rsidRDefault="00A464B4" w:rsidP="000C09E7">
      <w:pPr>
        <w:pStyle w:val="Reference"/>
        <w:spacing w:before="100"/>
      </w:pPr>
      <w:proofErr w:type="spellStart"/>
      <w:r w:rsidRPr="00B959CB">
        <w:t>SunWater</w:t>
      </w:r>
      <w:proofErr w:type="spellEnd"/>
      <w:r w:rsidRPr="00B959CB">
        <w:t xml:space="preserve"> 2020, Fact Sheet: Bundaberg Water Supply Scheme, Brisbane.</w:t>
      </w:r>
    </w:p>
    <w:p w14:paraId="41DF520E" w14:textId="744D8714" w:rsidR="00A464B4" w:rsidRPr="00B959CB" w:rsidRDefault="00A464B4" w:rsidP="000C09E7">
      <w:pPr>
        <w:pStyle w:val="Reference"/>
        <w:spacing w:before="100"/>
      </w:pPr>
      <w:r w:rsidRPr="00B959CB">
        <w:t xml:space="preserve">TI (Tasmanian Irrigation Pty Limited) 2018a, Duck Irrigation Scheme, </w:t>
      </w:r>
      <w:r w:rsidR="00C8599C" w:rsidRPr="00B959CB">
        <w:t>www</w:t>
      </w:r>
      <w:r w:rsidRPr="00B959CB">
        <w:t>.tasmanian</w:t>
      </w:r>
      <w:r w:rsidR="00C8599C" w:rsidRPr="00B959CB">
        <w:t xml:space="preserve"> </w:t>
      </w:r>
      <w:r w:rsidRPr="00B959CB">
        <w:t>irrigation.com.au/schemes/duck-irrigation-scheme (accessed 19 January 2021).</w:t>
      </w:r>
    </w:p>
    <w:p w14:paraId="2F5BBA9B" w14:textId="66697697" w:rsidR="00A464B4" w:rsidRPr="00B959CB" w:rsidRDefault="00A464B4" w:rsidP="000C09E7">
      <w:pPr>
        <w:pStyle w:val="Reference"/>
        <w:spacing w:before="100"/>
      </w:pPr>
      <w:r w:rsidRPr="00B959CB">
        <w:t>——</w:t>
      </w:r>
      <w:r w:rsidR="00C8599C" w:rsidRPr="00B959CB">
        <w:t> </w:t>
      </w:r>
      <w:r w:rsidRPr="00B959CB">
        <w:t xml:space="preserve">2018b, Swan Valley Irrigation Scheme, </w:t>
      </w:r>
      <w:r w:rsidR="00C8599C" w:rsidRPr="00B959CB">
        <w:t>www</w:t>
      </w:r>
      <w:r w:rsidRPr="00B959CB">
        <w:t>.tasmanianirrigation.com.au/schemes/</w:t>
      </w:r>
      <w:r w:rsidR="00C8599C" w:rsidRPr="00B959CB">
        <w:t xml:space="preserve"> </w:t>
      </w:r>
      <w:r w:rsidRPr="00B959CB">
        <w:t>swan-valley (accessed 19 January 2021).</w:t>
      </w:r>
    </w:p>
    <w:p w14:paraId="6D1285C7" w14:textId="1E911F56" w:rsidR="00A464B4" w:rsidRPr="00B959CB" w:rsidRDefault="00A464B4" w:rsidP="000C09E7">
      <w:pPr>
        <w:pStyle w:val="Reference"/>
        <w:spacing w:before="100"/>
      </w:pPr>
      <w:r w:rsidRPr="00B959CB">
        <w:t>——</w:t>
      </w:r>
      <w:r w:rsidR="00C8599C" w:rsidRPr="00B959CB">
        <w:t> </w:t>
      </w:r>
      <w:r w:rsidRPr="00B959CB">
        <w:t>2020, Irrigation Rights: entitlement to an annual volume in an irrigations scheme, https://app.powerbi.com/view?r=eyJrIjoiNWFkOWM1ZTYtNTJhZC00ZDkxLTliZTYtMzliYmEwNGVhZjRhIiwidCI6IjBlNWRiMWFmLTExYWUtNDE2Yy1hNzMxLTlmYmNhOTJjMTZkNiJ9 (accessed 16 October 2020).</w:t>
      </w:r>
    </w:p>
    <w:p w14:paraId="7AA30958" w14:textId="77777777" w:rsidR="00A464B4" w:rsidRPr="00B959CB" w:rsidRDefault="00A464B4" w:rsidP="000C09E7">
      <w:pPr>
        <w:pStyle w:val="Reference"/>
        <w:spacing w:before="100"/>
      </w:pPr>
      <w:proofErr w:type="spellStart"/>
      <w:r w:rsidRPr="00B959CB">
        <w:t>WaterNSW</w:t>
      </w:r>
      <w:proofErr w:type="spellEnd"/>
      <w:r w:rsidRPr="00B959CB">
        <w:t xml:space="preserve"> 2018, 20 Year Infrastructure Options Study - Rural Valleys, Summary Report, Parramatta.</w:t>
      </w:r>
    </w:p>
    <w:p w14:paraId="5BAA5E17" w14:textId="04FF3459" w:rsidR="00A464B4" w:rsidRPr="00B959CB" w:rsidRDefault="00A464B4" w:rsidP="000C09E7">
      <w:pPr>
        <w:pStyle w:val="Reference"/>
        <w:spacing w:before="100"/>
      </w:pPr>
      <w:r w:rsidRPr="00B959CB">
        <w:t>——</w:t>
      </w:r>
      <w:r w:rsidR="00C8599C" w:rsidRPr="00B959CB">
        <w:t> </w:t>
      </w:r>
      <w:r w:rsidRPr="00B959CB">
        <w:t>2019, Water Balance Report: Peel Valley 2018-2019, Parramatta.</w:t>
      </w:r>
    </w:p>
    <w:p w14:paraId="31E89291" w14:textId="4007AD30" w:rsidR="00A464B4" w:rsidRPr="00B959CB" w:rsidRDefault="00A464B4" w:rsidP="000C09E7">
      <w:pPr>
        <w:pStyle w:val="Reference"/>
        <w:spacing w:before="100"/>
      </w:pPr>
      <w:r w:rsidRPr="00B959CB">
        <w:t>——</w:t>
      </w:r>
      <w:r w:rsidR="00C8599C" w:rsidRPr="00B959CB">
        <w:t> </w:t>
      </w:r>
      <w:r w:rsidRPr="00B959CB">
        <w:t xml:space="preserve">2020, Dungowan Dam, </w:t>
      </w:r>
      <w:r w:rsidR="00C8599C" w:rsidRPr="00B959CB">
        <w:t>www</w:t>
      </w:r>
      <w:r w:rsidRPr="00B959CB">
        <w:t>.waternsw.com.au/projects/new-dams-for-nsw/</w:t>
      </w:r>
      <w:r w:rsidR="00C8599C" w:rsidRPr="00B959CB">
        <w:t xml:space="preserve"> </w:t>
      </w:r>
      <w:proofErr w:type="spellStart"/>
      <w:r w:rsidRPr="00B959CB">
        <w:t>dungowan</w:t>
      </w:r>
      <w:proofErr w:type="spellEnd"/>
      <w:r w:rsidRPr="00B959CB">
        <w:t>-dam (accessed 18 November 2020).</w:t>
      </w:r>
    </w:p>
    <w:p w14:paraId="3389DEAD" w14:textId="53D6BB59" w:rsidR="002B41E2" w:rsidRPr="00B959CB" w:rsidRDefault="00A464B4" w:rsidP="000C09E7">
      <w:pPr>
        <w:pStyle w:val="Reference"/>
        <w:spacing w:before="100"/>
      </w:pPr>
      <w:r w:rsidRPr="00B959CB">
        <w:t>Western Australian Auditor General 2016, Ord-East Kimberley Development, 20, Perth.</w:t>
      </w:r>
    </w:p>
    <w:sectPr w:rsidR="002B41E2" w:rsidRPr="00B959CB" w:rsidSect="0023264B">
      <w:headerReference w:type="even" r:id="rId22"/>
      <w:headerReference w:type="default" r:id="rId23"/>
      <w:footerReference w:type="even" r:id="rId24"/>
      <w:footerReference w:type="default" r:id="rId25"/>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574BC" w14:textId="77777777" w:rsidR="007125CB" w:rsidRDefault="007125CB">
      <w:r>
        <w:separator/>
      </w:r>
    </w:p>
  </w:endnote>
  <w:endnote w:type="continuationSeparator" w:id="0">
    <w:p w14:paraId="5EE27487" w14:textId="77777777" w:rsidR="007125CB" w:rsidRDefault="007125CB">
      <w:r>
        <w:continuationSeparator/>
      </w:r>
    </w:p>
  </w:endnote>
  <w:endnote w:type="continuationNotice" w:id="1">
    <w:p w14:paraId="1C9BB0C2" w14:textId="77777777" w:rsidR="007125CB" w:rsidRDefault="0071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C67FF" w14:paraId="1DB1C243" w14:textId="77777777" w:rsidTr="005F48ED">
      <w:trPr>
        <w:trHeight w:hRule="exact" w:val="567"/>
      </w:trPr>
      <w:tc>
        <w:tcPr>
          <w:tcW w:w="510" w:type="dxa"/>
        </w:tcPr>
        <w:p w14:paraId="5931DD00" w14:textId="77777777" w:rsidR="007C67FF" w:rsidRDefault="007C67FF">
          <w:pPr>
            <w:pStyle w:val="Footer"/>
            <w:ind w:right="360" w:firstLine="360"/>
          </w:pPr>
        </w:p>
      </w:tc>
      <w:tc>
        <w:tcPr>
          <w:tcW w:w="7767" w:type="dxa"/>
        </w:tcPr>
        <w:p w14:paraId="68F834BF" w14:textId="77777777" w:rsidR="007C67FF" w:rsidRPr="00B959CB" w:rsidRDefault="007C67FF" w:rsidP="00B959CB">
          <w:pPr>
            <w:pStyle w:val="Footer"/>
            <w:jc w:val="right"/>
            <w:rPr>
              <w:rFonts w:cs="Arial"/>
            </w:rPr>
          </w:pPr>
          <w:r w:rsidRPr="00B959CB">
            <w:rPr>
              <w:rFonts w:cs="Arial"/>
            </w:rPr>
            <w:t>GOVERNMENT INVESTMENT IN MAJOR WATER INFRASTRUCTURE</w:t>
          </w:r>
        </w:p>
        <w:p w14:paraId="150C64DF" w14:textId="77777777" w:rsidR="007C67FF" w:rsidRPr="00BA5B14" w:rsidRDefault="007C67FF" w:rsidP="00083BB7">
          <w:pPr>
            <w:pStyle w:val="FooterDraftReport"/>
            <w:jc w:val="right"/>
          </w:pPr>
          <w:r w:rsidRPr="00D35F51">
            <w:rPr>
              <w:rFonts w:cs="Times New Roman"/>
            </w:rPr>
            <w:t>draft report</w:t>
          </w:r>
        </w:p>
      </w:tc>
      <w:tc>
        <w:tcPr>
          <w:tcW w:w="510" w:type="dxa"/>
        </w:tcPr>
        <w:p w14:paraId="17867E8E" w14:textId="77777777" w:rsidR="007C67FF" w:rsidRPr="00A24443" w:rsidRDefault="007C67F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33</w:t>
          </w:r>
          <w:r w:rsidRPr="00A24443">
            <w:rPr>
              <w:rStyle w:val="PageNumber"/>
              <w:caps w:val="0"/>
            </w:rPr>
            <w:fldChar w:fldCharType="end"/>
          </w:r>
        </w:p>
      </w:tc>
    </w:tr>
  </w:tbl>
  <w:p w14:paraId="4776526A" w14:textId="77777777" w:rsidR="007C67FF" w:rsidRDefault="007C67FF">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0C4F" w14:paraId="19E67009" w14:textId="77777777" w:rsidTr="005F48ED">
      <w:trPr>
        <w:trHeight w:hRule="exact" w:val="567"/>
      </w:trPr>
      <w:tc>
        <w:tcPr>
          <w:tcW w:w="510" w:type="dxa"/>
        </w:tcPr>
        <w:p w14:paraId="63D552F5" w14:textId="77777777" w:rsidR="00C10C4F" w:rsidRPr="00A24443" w:rsidRDefault="00C10C4F"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32</w:t>
          </w:r>
          <w:r w:rsidRPr="00A24443">
            <w:rPr>
              <w:rStyle w:val="PageNumber"/>
              <w:caps w:val="0"/>
            </w:rPr>
            <w:fldChar w:fldCharType="end"/>
          </w:r>
        </w:p>
      </w:tc>
      <w:tc>
        <w:tcPr>
          <w:tcW w:w="7767" w:type="dxa"/>
        </w:tcPr>
        <w:p w14:paraId="09DC6603" w14:textId="456C814F" w:rsidR="00C10C4F" w:rsidRDefault="00C10C4F" w:rsidP="0013739A">
          <w:pPr>
            <w:pStyle w:val="Footer"/>
            <w:rPr>
              <w:rFonts w:cs="Arial"/>
            </w:rPr>
          </w:pPr>
          <w:r>
            <w:rPr>
              <w:rFonts w:cs="Arial"/>
            </w:rPr>
            <w:t>National Water Reform 2020</w:t>
          </w:r>
        </w:p>
        <w:p w14:paraId="67422EDE" w14:textId="77777777" w:rsidR="00C10C4F" w:rsidRPr="00083BB7" w:rsidRDefault="00C10C4F" w:rsidP="00083BB7">
          <w:pPr>
            <w:pStyle w:val="Footer"/>
            <w:spacing w:before="40"/>
            <w:rPr>
              <w:rFonts w:cs="Arial"/>
              <w:color w:val="808080"/>
            </w:rPr>
          </w:pPr>
          <w:r w:rsidRPr="00083BB7">
            <w:rPr>
              <w:color w:val="808080"/>
            </w:rPr>
            <w:t>draft report</w:t>
          </w:r>
        </w:p>
      </w:tc>
      <w:tc>
        <w:tcPr>
          <w:tcW w:w="510" w:type="dxa"/>
        </w:tcPr>
        <w:p w14:paraId="710CFA2C" w14:textId="77777777" w:rsidR="00C10C4F" w:rsidRDefault="00C10C4F" w:rsidP="0019293B">
          <w:pPr>
            <w:pStyle w:val="Footer"/>
          </w:pPr>
        </w:p>
      </w:tc>
    </w:tr>
  </w:tbl>
  <w:p w14:paraId="3864BB19" w14:textId="77777777" w:rsidR="00C10C4F" w:rsidRDefault="00C10C4F"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C10C4F" w14:paraId="4B395D2D" w14:textId="77777777" w:rsidTr="005F48ED">
      <w:trPr>
        <w:trHeight w:hRule="exact" w:val="567"/>
      </w:trPr>
      <w:tc>
        <w:tcPr>
          <w:tcW w:w="510" w:type="dxa"/>
        </w:tcPr>
        <w:p w14:paraId="3C503E7C" w14:textId="77777777" w:rsidR="00C10C4F" w:rsidRDefault="00C10C4F">
          <w:pPr>
            <w:pStyle w:val="Footer"/>
            <w:ind w:right="360" w:firstLine="360"/>
          </w:pPr>
        </w:p>
      </w:tc>
      <w:tc>
        <w:tcPr>
          <w:tcW w:w="7767" w:type="dxa"/>
        </w:tcPr>
        <w:p w14:paraId="6D79EF6A" w14:textId="77777777" w:rsidR="00C10C4F" w:rsidRPr="00B959CB" w:rsidRDefault="00C10C4F" w:rsidP="00B959CB">
          <w:pPr>
            <w:pStyle w:val="Footer"/>
            <w:jc w:val="right"/>
            <w:rPr>
              <w:rFonts w:cs="Arial"/>
            </w:rPr>
          </w:pPr>
          <w:r w:rsidRPr="00B959CB">
            <w:rPr>
              <w:rFonts w:cs="Arial"/>
            </w:rPr>
            <w:t>GOVERNMENT INVESTMENT IN MAJOR WATER INFRASTRUCTURE</w:t>
          </w:r>
        </w:p>
        <w:p w14:paraId="79E2A393" w14:textId="77777777" w:rsidR="00C10C4F" w:rsidRPr="00BA5B14" w:rsidRDefault="00C10C4F" w:rsidP="00083BB7">
          <w:pPr>
            <w:pStyle w:val="FooterDraftReport"/>
            <w:jc w:val="right"/>
          </w:pPr>
          <w:r w:rsidRPr="00D35F51">
            <w:rPr>
              <w:rFonts w:cs="Times New Roman"/>
            </w:rPr>
            <w:t>draft report</w:t>
          </w:r>
        </w:p>
      </w:tc>
      <w:tc>
        <w:tcPr>
          <w:tcW w:w="510" w:type="dxa"/>
        </w:tcPr>
        <w:p w14:paraId="06AA382A" w14:textId="77777777" w:rsidR="00C10C4F" w:rsidRPr="00A24443" w:rsidRDefault="00C10C4F">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33</w:t>
          </w:r>
          <w:r w:rsidRPr="00A24443">
            <w:rPr>
              <w:rStyle w:val="PageNumber"/>
              <w:caps w:val="0"/>
            </w:rPr>
            <w:fldChar w:fldCharType="end"/>
          </w:r>
        </w:p>
      </w:tc>
    </w:tr>
  </w:tbl>
  <w:p w14:paraId="72B870D8" w14:textId="77777777" w:rsidR="00C10C4F" w:rsidRDefault="00C10C4F">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6552F" w14:textId="77777777" w:rsidR="007125CB" w:rsidRDefault="007125CB">
      <w:r>
        <w:separator/>
      </w:r>
    </w:p>
  </w:footnote>
  <w:footnote w:type="continuationSeparator" w:id="0">
    <w:p w14:paraId="12F41DB3" w14:textId="77777777" w:rsidR="007125CB" w:rsidRDefault="007125CB">
      <w:r>
        <w:continuationSeparator/>
      </w:r>
    </w:p>
  </w:footnote>
  <w:footnote w:type="continuationNotice" w:id="1">
    <w:p w14:paraId="12E12BA5" w14:textId="77777777" w:rsidR="007125CB" w:rsidRDefault="007125CB"/>
  </w:footnote>
  <w:footnote w:id="2">
    <w:p w14:paraId="62B02B73" w14:textId="75777AE4" w:rsidR="007125CB" w:rsidRDefault="007125CB">
      <w:pPr>
        <w:pStyle w:val="FootnoteText"/>
      </w:pPr>
      <w:r w:rsidRPr="00F27690">
        <w:rPr>
          <w:rStyle w:val="FootnoteReference"/>
        </w:rPr>
        <w:footnoteRef/>
      </w:r>
      <w:r>
        <w:tab/>
        <w:t>NWI paragraph 64.</w:t>
      </w:r>
    </w:p>
  </w:footnote>
  <w:footnote w:id="3">
    <w:p w14:paraId="2A742F76" w14:textId="6BC3B3D2" w:rsidR="007125CB" w:rsidRDefault="007125CB">
      <w:pPr>
        <w:pStyle w:val="FootnoteText"/>
      </w:pPr>
      <w:r w:rsidRPr="00F27690">
        <w:rPr>
          <w:rStyle w:val="FootnoteReference"/>
        </w:rPr>
        <w:footnoteRef/>
      </w:r>
      <w:r>
        <w:tab/>
        <w:t xml:space="preserve">NWI paragraph 69. NWI paragraph 66(v) requires that infrastructure costs </w:t>
      </w:r>
      <w:r>
        <w:t xml:space="preserve">are recovered through user charges (set at lower bound levels) for all rural systems, with movement towards upper bound pricing where practicable. It also considers that, where subsidies are provided to </w:t>
      </w:r>
      <w:r w:rsidRPr="00491F85">
        <w:t>meet social and public health obligations</w:t>
      </w:r>
      <w:r>
        <w:t xml:space="preserve"> in areas where </w:t>
      </w:r>
      <w:r w:rsidRPr="00491F85">
        <w:t>full cost recovery is unlikely to be achieved</w:t>
      </w:r>
      <w:r>
        <w:t>, any government</w:t>
      </w:r>
      <w:r>
        <w:noBreakHyphen/>
        <w:t xml:space="preserve">provided </w:t>
      </w:r>
      <w:r w:rsidRPr="00491F85">
        <w:t>community service obligations (CSOs)</w:t>
      </w:r>
      <w:r>
        <w:t xml:space="preserve"> should be publicly reported</w:t>
      </w:r>
      <w:r w:rsidRPr="00491F85">
        <w:t>.</w:t>
      </w:r>
      <w:r>
        <w:t xml:space="preserve"> (Lower and upper bound pricing are discussed more in </w:t>
      </w:r>
      <w:r w:rsidRPr="00A207A2">
        <w:rPr>
          <w:i/>
          <w:iCs/>
        </w:rPr>
        <w:t>Assessment</w:t>
      </w:r>
      <w:r>
        <w:t>.)</w:t>
      </w:r>
    </w:p>
  </w:footnote>
  <w:footnote w:id="4">
    <w:p w14:paraId="1EACED8F" w14:textId="02D3EA61" w:rsidR="007125CB" w:rsidRDefault="007125CB">
      <w:pPr>
        <w:pStyle w:val="FootnoteText"/>
      </w:pPr>
      <w:r w:rsidRPr="00F27690">
        <w:rPr>
          <w:rStyle w:val="FootnoteReference"/>
        </w:rPr>
        <w:footnoteRef/>
      </w:r>
      <w:r>
        <w:tab/>
        <w:t xml:space="preserve">A developer may still pass on those costs to the final purchaser of the </w:t>
      </w:r>
      <w:r>
        <w:t>development so the user of the infrastructure ultimately pays.</w:t>
      </w:r>
    </w:p>
  </w:footnote>
  <w:footnote w:id="5">
    <w:p w14:paraId="493A1CE6" w14:textId="7BDD5575" w:rsidR="007125CB" w:rsidRDefault="007125CB" w:rsidP="00D76691">
      <w:pPr>
        <w:pStyle w:val="FootnoteText"/>
      </w:pPr>
      <w:r w:rsidRPr="00F27690">
        <w:rPr>
          <w:rStyle w:val="FootnoteReference"/>
        </w:rPr>
        <w:footnoteRef/>
      </w:r>
      <w:r>
        <w:tab/>
        <w:t>IWF, sub. </w:t>
      </w:r>
      <w:r w:rsidRPr="00832FD0">
        <w:t>30</w:t>
      </w:r>
      <w:r>
        <w:t>, pp. 16</w:t>
      </w:r>
      <w:r>
        <w:noBreakHyphen/>
        <w:t>17; Smit et. al., sub. 31, p. 3; AFA, sub. 45, pp. 9</w:t>
      </w:r>
      <w:r>
        <w:noBreakHyphen/>
        <w:t>10; WWF Australia, sub. 50, pp. 8</w:t>
      </w:r>
      <w:r>
        <w:noBreakHyphen/>
        <w:t>10; EDO, sub. 54, p. 16; Lifeblood Alliance, sub. 70, pp. 27</w:t>
      </w:r>
      <w:r>
        <w:noBreakHyphen/>
        <w:t>28.</w:t>
      </w:r>
    </w:p>
  </w:footnote>
  <w:footnote w:id="6">
    <w:p w14:paraId="27961227" w14:textId="27E2B665" w:rsidR="007125CB" w:rsidRDefault="007125CB" w:rsidP="00CE226F">
      <w:pPr>
        <w:pStyle w:val="FootnoteText"/>
      </w:pPr>
      <w:r w:rsidRPr="00F27690">
        <w:rPr>
          <w:rStyle w:val="FootnoteReference"/>
        </w:rPr>
        <w:footnoteRef/>
      </w:r>
      <w:r>
        <w:tab/>
        <w:t xml:space="preserve">For example, in 2017 the Commission noted that 85–90 per cent of the water made available by the construction of Paradise Dam had not yet been sold to users </w:t>
      </w:r>
      <w:r w:rsidRPr="0000420D">
        <w:rPr>
          <w:szCs w:val="24"/>
        </w:rPr>
        <w:t>(PC 2017a, p. 275)</w:t>
      </w:r>
      <w:r>
        <w:t xml:space="preserve">. As of May 2020, 80 per cent of the Paradise Dam entitlements remained unsold </w:t>
      </w:r>
      <w:r w:rsidRPr="00ED1844">
        <w:rPr>
          <w:szCs w:val="24"/>
        </w:rPr>
        <w:t>(</w:t>
      </w:r>
      <w:r w:rsidRPr="00ED1844">
        <w:rPr>
          <w:szCs w:val="24"/>
        </w:rPr>
        <w:t>SunWater 2020, p. 9)</w:t>
      </w:r>
      <w:r>
        <w:t xml:space="preserve">. </w:t>
      </w:r>
    </w:p>
  </w:footnote>
  <w:footnote w:id="7">
    <w:p w14:paraId="6B29C7DD" w14:textId="69E3F616" w:rsidR="007125CB" w:rsidRDefault="007125CB">
      <w:pPr>
        <w:pStyle w:val="FootnoteText"/>
      </w:pPr>
      <w:r w:rsidRPr="00F27690">
        <w:rPr>
          <w:rStyle w:val="FootnoteReference"/>
        </w:rPr>
        <w:footnoteRef/>
      </w:r>
      <w:r>
        <w:tab/>
        <w:t xml:space="preserve">The one exception where government investment in economically unviable infrastructure may be justified is to provide safe drinking water to a regional or remote community. This case is considered below. </w:t>
      </w:r>
    </w:p>
  </w:footnote>
  <w:footnote w:id="8">
    <w:p w14:paraId="71A4C0A4" w14:textId="7EA245A8" w:rsidR="007125CB" w:rsidRDefault="007125CB">
      <w:pPr>
        <w:pStyle w:val="FootnoteText"/>
      </w:pPr>
      <w:r w:rsidRPr="00F27690">
        <w:rPr>
          <w:rStyle w:val="FootnoteReference"/>
        </w:rPr>
        <w:footnoteRef/>
      </w:r>
      <w:r>
        <w:tab/>
        <w:t>Economic viability requires a benefit–cost ratio exceeding one, as determined by the business case. Commercial viability is determined by whether infrastructure users are willing (and able) to pay the full costs of infrastructure construction and maintenance — simply put, whether the benefits that accrue to infrastructure users are sufficient for them to fund the project without a subsidy, in which case a commercially</w:t>
      </w:r>
      <w:r>
        <w:noBreakHyphen/>
        <w:t>focused service provider would have incentive to develop the infrastructure.</w:t>
      </w:r>
    </w:p>
  </w:footnote>
  <w:footnote w:id="9">
    <w:p w14:paraId="58627459" w14:textId="31512C79" w:rsidR="007125CB" w:rsidRDefault="007125CB">
      <w:pPr>
        <w:pStyle w:val="FootnoteText"/>
      </w:pPr>
      <w:r w:rsidRPr="00F27690">
        <w:rPr>
          <w:rStyle w:val="FootnoteReference"/>
        </w:rPr>
        <w:footnoteRef/>
      </w:r>
      <w:r>
        <w:tab/>
        <w:t xml:space="preserve">NWI paragraphs 70–72. </w:t>
      </w:r>
    </w:p>
  </w:footnote>
  <w:footnote w:id="10">
    <w:p w14:paraId="10A59346" w14:textId="7A97ACD9" w:rsidR="007125CB" w:rsidRPr="00552F81" w:rsidRDefault="007125CB">
      <w:pPr>
        <w:pStyle w:val="FootnoteText"/>
      </w:pPr>
      <w:r w:rsidRPr="00F27690">
        <w:rPr>
          <w:rStyle w:val="FootnoteReference"/>
        </w:rPr>
        <w:footnoteRef/>
      </w:r>
      <w:r>
        <w:tab/>
        <w:t xml:space="preserve">The Australian Government has some responsibilities for major developments under the </w:t>
      </w:r>
      <w:r w:rsidRPr="00552F81">
        <w:rPr>
          <w:i/>
        </w:rPr>
        <w:t>Environment Protection and Biodiversity Conservation Act 1999</w:t>
      </w:r>
      <w:r>
        <w:t xml:space="preserve"> (</w:t>
      </w:r>
      <w:r>
        <w:t xml:space="preserve">Cth). </w:t>
      </w:r>
    </w:p>
  </w:footnote>
  <w:footnote w:id="11">
    <w:p w14:paraId="4023046F" w14:textId="14EE1186" w:rsidR="007125CB" w:rsidRDefault="007125CB">
      <w:pPr>
        <w:pStyle w:val="FootnoteText"/>
      </w:pPr>
      <w:r w:rsidRPr="00F27690">
        <w:rPr>
          <w:rStyle w:val="FootnoteReference"/>
        </w:rPr>
        <w:footnoteRef/>
      </w:r>
      <w:r>
        <w:tab/>
        <w:t xml:space="preserve">Tasmanian Irrigation Tranche Two (Tas), </w:t>
      </w:r>
      <w:r>
        <w:t>Myalup</w:t>
      </w:r>
      <w:r>
        <w:noBreakHyphen/>
        <w:t xml:space="preserve">Wellington Water Project (WA), Lower Fitzroy River Infrastructure Project (Rookwood Weir) (Qld) and Haughton Pipeline Project Stage 2 (Qld) </w:t>
      </w:r>
      <w:r w:rsidRPr="00987052">
        <w:rPr>
          <w:szCs w:val="24"/>
        </w:rPr>
        <w:t>(IA 2015, 2017, 2018c, 2020b)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C67FF" w14:paraId="348F500B" w14:textId="77777777">
      <w:tc>
        <w:tcPr>
          <w:tcW w:w="6634" w:type="dxa"/>
          <w:tcBorders>
            <w:top w:val="single" w:sz="6" w:space="0" w:color="auto"/>
          </w:tcBorders>
        </w:tcPr>
        <w:p w14:paraId="1B00FB8E" w14:textId="77777777" w:rsidR="007C67FF" w:rsidRDefault="007C67FF" w:rsidP="00E669E2">
          <w:pPr>
            <w:pStyle w:val="HeaderOdd"/>
          </w:pPr>
        </w:p>
      </w:tc>
      <w:tc>
        <w:tcPr>
          <w:tcW w:w="2155" w:type="dxa"/>
          <w:tcBorders>
            <w:top w:val="single" w:sz="24" w:space="0" w:color="auto"/>
          </w:tcBorders>
        </w:tcPr>
        <w:p w14:paraId="0FBF2F89" w14:textId="77777777" w:rsidR="007C67FF" w:rsidRDefault="007C67FF" w:rsidP="00E669E2">
          <w:pPr>
            <w:pStyle w:val="HeaderOdd"/>
          </w:pPr>
        </w:p>
      </w:tc>
    </w:tr>
  </w:tbl>
  <w:p w14:paraId="78FE9574" w14:textId="77777777" w:rsidR="007C67FF" w:rsidRDefault="007C67FF"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C10C4F" w14:paraId="7A01C7CE" w14:textId="77777777">
      <w:tc>
        <w:tcPr>
          <w:tcW w:w="2155" w:type="dxa"/>
          <w:tcBorders>
            <w:top w:val="single" w:sz="24" w:space="0" w:color="auto"/>
          </w:tcBorders>
        </w:tcPr>
        <w:p w14:paraId="6E7BA8D3" w14:textId="77777777" w:rsidR="00C10C4F" w:rsidRDefault="00C10C4F" w:rsidP="007C67FF">
          <w:pPr>
            <w:pStyle w:val="HeaderEven"/>
            <w:jc w:val="center"/>
          </w:pPr>
        </w:p>
      </w:tc>
      <w:tc>
        <w:tcPr>
          <w:tcW w:w="6634" w:type="dxa"/>
          <w:tcBorders>
            <w:top w:val="single" w:sz="6" w:space="0" w:color="auto"/>
          </w:tcBorders>
        </w:tcPr>
        <w:p w14:paraId="190899D2" w14:textId="77777777" w:rsidR="00C10C4F" w:rsidRDefault="00C10C4F" w:rsidP="0019293B">
          <w:pPr>
            <w:pStyle w:val="HeaderEven"/>
          </w:pPr>
        </w:p>
      </w:tc>
    </w:tr>
  </w:tbl>
  <w:p w14:paraId="315B24B8" w14:textId="77777777" w:rsidR="00C10C4F" w:rsidRDefault="00C10C4F"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C10C4F" w14:paraId="1320EDD7" w14:textId="77777777">
      <w:tc>
        <w:tcPr>
          <w:tcW w:w="6634" w:type="dxa"/>
          <w:tcBorders>
            <w:top w:val="single" w:sz="6" w:space="0" w:color="auto"/>
          </w:tcBorders>
        </w:tcPr>
        <w:p w14:paraId="72BFB5E1" w14:textId="77777777" w:rsidR="00C10C4F" w:rsidRDefault="00C10C4F" w:rsidP="00E669E2">
          <w:pPr>
            <w:pStyle w:val="HeaderOdd"/>
          </w:pPr>
        </w:p>
      </w:tc>
      <w:tc>
        <w:tcPr>
          <w:tcW w:w="2155" w:type="dxa"/>
          <w:tcBorders>
            <w:top w:val="single" w:sz="24" w:space="0" w:color="auto"/>
          </w:tcBorders>
        </w:tcPr>
        <w:p w14:paraId="3FB1629D" w14:textId="77777777" w:rsidR="00C10C4F" w:rsidRDefault="00C10C4F" w:rsidP="00E669E2">
          <w:pPr>
            <w:pStyle w:val="HeaderOdd"/>
          </w:pPr>
        </w:p>
      </w:tc>
    </w:tr>
  </w:tbl>
  <w:p w14:paraId="71510B8C" w14:textId="77777777" w:rsidR="00C10C4F" w:rsidRDefault="00C10C4F"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7951ABE"/>
    <w:multiLevelType w:val="hybridMultilevel"/>
    <w:tmpl w:val="CEAAD7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29B706B"/>
    <w:multiLevelType w:val="hybridMultilevel"/>
    <w:tmpl w:val="E786BA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AD64BC3"/>
    <w:multiLevelType w:val="hybridMultilevel"/>
    <w:tmpl w:val="07C0CDB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9746F78"/>
    <w:multiLevelType w:val="hybridMultilevel"/>
    <w:tmpl w:val="E51A94A4"/>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15:restartNumberingAfterBreak="0">
    <w:nsid w:val="39E3672E"/>
    <w:multiLevelType w:val="hybridMultilevel"/>
    <w:tmpl w:val="33D4CE52"/>
    <w:lvl w:ilvl="0" w:tplc="F5BE12B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9"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0"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9345DCC"/>
    <w:multiLevelType w:val="hybridMultilevel"/>
    <w:tmpl w:val="66D80292"/>
    <w:lvl w:ilvl="0" w:tplc="7820FFA8">
      <w:start w:val="10"/>
      <w:numFmt w:val="bullet"/>
      <w:lvlText w:val=""/>
      <w:lvlJc w:val="left"/>
      <w:pPr>
        <w:ind w:left="720" w:hanging="360"/>
      </w:pPr>
      <w:rPr>
        <w:rFonts w:ascii="Symbol" w:eastAsia="Times New Roman" w:hAnsi="Symbol" w:cs="Times New Roman" w:hint="default"/>
        <w:b/>
        <w:color w:val="FF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747578C8"/>
    <w:multiLevelType w:val="hybridMultilevel"/>
    <w:tmpl w:val="275E89F0"/>
    <w:lvl w:ilvl="0" w:tplc="D618E43A">
      <w:start w:val="10"/>
      <w:numFmt w:val="bullet"/>
      <w:lvlText w:val="-"/>
      <w:lvlJc w:val="left"/>
      <w:pPr>
        <w:ind w:left="408" w:hanging="360"/>
      </w:pPr>
      <w:rPr>
        <w:rFonts w:ascii="Times New Roman" w:eastAsia="Times New Roman" w:hAnsi="Times New Roman" w:cs="Times New Roman" w:hint="default"/>
      </w:rPr>
    </w:lvl>
    <w:lvl w:ilvl="1" w:tplc="0C090003" w:tentative="1">
      <w:start w:val="1"/>
      <w:numFmt w:val="bullet"/>
      <w:lvlText w:val="o"/>
      <w:lvlJc w:val="left"/>
      <w:pPr>
        <w:ind w:left="1128" w:hanging="360"/>
      </w:pPr>
      <w:rPr>
        <w:rFonts w:ascii="Courier New" w:hAnsi="Courier New" w:cs="Courier New" w:hint="default"/>
      </w:rPr>
    </w:lvl>
    <w:lvl w:ilvl="2" w:tplc="0C090005" w:tentative="1">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26"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5"/>
  </w:num>
  <w:num w:numId="2">
    <w:abstractNumId w:val="2"/>
  </w:num>
  <w:num w:numId="3">
    <w:abstractNumId w:val="18"/>
  </w:num>
  <w:num w:numId="4">
    <w:abstractNumId w:val="3"/>
  </w:num>
  <w:num w:numId="5">
    <w:abstractNumId w:val="24"/>
  </w:num>
  <w:num w:numId="6">
    <w:abstractNumId w:val="20"/>
  </w:num>
  <w:num w:numId="7">
    <w:abstractNumId w:val="8"/>
  </w:num>
  <w:num w:numId="8">
    <w:abstractNumId w:val="19"/>
  </w:num>
  <w:num w:numId="9">
    <w:abstractNumId w:val="7"/>
  </w:num>
  <w:num w:numId="10">
    <w:abstractNumId w:val="6"/>
  </w:num>
  <w:num w:numId="11">
    <w:abstractNumId w:val="12"/>
  </w:num>
  <w:num w:numId="12">
    <w:abstractNumId w:val="14"/>
  </w:num>
  <w:num w:numId="13">
    <w:abstractNumId w:val="4"/>
  </w:num>
  <w:num w:numId="14">
    <w:abstractNumId w:val="21"/>
  </w:num>
  <w:num w:numId="15">
    <w:abstractNumId w:val="26"/>
  </w:num>
  <w:num w:numId="16">
    <w:abstractNumId w:val="17"/>
  </w:num>
  <w:num w:numId="17">
    <w:abstractNumId w:val="27"/>
  </w:num>
  <w:num w:numId="18">
    <w:abstractNumId w:val="23"/>
  </w:num>
  <w:num w:numId="19">
    <w:abstractNumId w:val="10"/>
  </w:num>
  <w:num w:numId="20">
    <w:abstractNumId w:val="5"/>
  </w:num>
  <w:num w:numId="21">
    <w:abstractNumId w:val="0"/>
  </w:num>
  <w:num w:numId="22">
    <w:abstractNumId w:val="6"/>
  </w:num>
  <w:num w:numId="23">
    <w:abstractNumId w:val="25"/>
  </w:num>
  <w:num w:numId="24">
    <w:abstractNumId w:val="9"/>
  </w:num>
  <w:num w:numId="25">
    <w:abstractNumId w:val="16"/>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1"/>
  </w:num>
  <w:num w:numId="30">
    <w:abstractNumId w:val="13"/>
  </w:num>
  <w:num w:numId="31">
    <w:abstractNumId w:val="15"/>
  </w:num>
  <w:num w:numId="32">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72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Government investment in water infrastructure"/>
    <w:docVar w:name="ShortReportTitle" w:val="National Water Reform 2020"/>
  </w:docVars>
  <w:rsids>
    <w:rsidRoot w:val="005D4227"/>
    <w:rsid w:val="00000AAA"/>
    <w:rsid w:val="000016C1"/>
    <w:rsid w:val="0000420D"/>
    <w:rsid w:val="00006DF5"/>
    <w:rsid w:val="00011666"/>
    <w:rsid w:val="00011902"/>
    <w:rsid w:val="00011969"/>
    <w:rsid w:val="00011CC2"/>
    <w:rsid w:val="00012337"/>
    <w:rsid w:val="000123F5"/>
    <w:rsid w:val="0001450E"/>
    <w:rsid w:val="00016A6E"/>
    <w:rsid w:val="000171E9"/>
    <w:rsid w:val="00017637"/>
    <w:rsid w:val="00020235"/>
    <w:rsid w:val="000210D0"/>
    <w:rsid w:val="000227D5"/>
    <w:rsid w:val="00023DED"/>
    <w:rsid w:val="000245AA"/>
    <w:rsid w:val="00025386"/>
    <w:rsid w:val="00025727"/>
    <w:rsid w:val="00025C12"/>
    <w:rsid w:val="000268DD"/>
    <w:rsid w:val="00027F51"/>
    <w:rsid w:val="00031353"/>
    <w:rsid w:val="00032003"/>
    <w:rsid w:val="0003664B"/>
    <w:rsid w:val="00036712"/>
    <w:rsid w:val="000373E6"/>
    <w:rsid w:val="00037808"/>
    <w:rsid w:val="0004111F"/>
    <w:rsid w:val="00041C4C"/>
    <w:rsid w:val="00043CB4"/>
    <w:rsid w:val="000443C0"/>
    <w:rsid w:val="00045515"/>
    <w:rsid w:val="00047111"/>
    <w:rsid w:val="00047741"/>
    <w:rsid w:val="00047E50"/>
    <w:rsid w:val="000500CD"/>
    <w:rsid w:val="000508A1"/>
    <w:rsid w:val="000511BC"/>
    <w:rsid w:val="00053822"/>
    <w:rsid w:val="00055077"/>
    <w:rsid w:val="00055620"/>
    <w:rsid w:val="000565B3"/>
    <w:rsid w:val="00056B81"/>
    <w:rsid w:val="00061D9F"/>
    <w:rsid w:val="0006271E"/>
    <w:rsid w:val="00062EEF"/>
    <w:rsid w:val="000645C5"/>
    <w:rsid w:val="00064E59"/>
    <w:rsid w:val="00066309"/>
    <w:rsid w:val="00066FF9"/>
    <w:rsid w:val="00067962"/>
    <w:rsid w:val="0007150B"/>
    <w:rsid w:val="00072955"/>
    <w:rsid w:val="00073CF4"/>
    <w:rsid w:val="00073FAC"/>
    <w:rsid w:val="00080EDF"/>
    <w:rsid w:val="00083BB7"/>
    <w:rsid w:val="00084886"/>
    <w:rsid w:val="000851AE"/>
    <w:rsid w:val="000864B6"/>
    <w:rsid w:val="000874AA"/>
    <w:rsid w:val="000906AF"/>
    <w:rsid w:val="00090DA0"/>
    <w:rsid w:val="00092381"/>
    <w:rsid w:val="00092CC0"/>
    <w:rsid w:val="000938F5"/>
    <w:rsid w:val="00094617"/>
    <w:rsid w:val="00095663"/>
    <w:rsid w:val="000961F0"/>
    <w:rsid w:val="000964F0"/>
    <w:rsid w:val="00096E55"/>
    <w:rsid w:val="00097221"/>
    <w:rsid w:val="00097598"/>
    <w:rsid w:val="0009771B"/>
    <w:rsid w:val="0009783E"/>
    <w:rsid w:val="000A18C7"/>
    <w:rsid w:val="000A2A74"/>
    <w:rsid w:val="000A2C20"/>
    <w:rsid w:val="000A30D5"/>
    <w:rsid w:val="000A3251"/>
    <w:rsid w:val="000A4430"/>
    <w:rsid w:val="000A67F2"/>
    <w:rsid w:val="000A7525"/>
    <w:rsid w:val="000B1022"/>
    <w:rsid w:val="000B3486"/>
    <w:rsid w:val="000B3779"/>
    <w:rsid w:val="000B44D0"/>
    <w:rsid w:val="000B4B81"/>
    <w:rsid w:val="000B56B3"/>
    <w:rsid w:val="000B5C35"/>
    <w:rsid w:val="000B601B"/>
    <w:rsid w:val="000C09E7"/>
    <w:rsid w:val="000C1B6F"/>
    <w:rsid w:val="000C207E"/>
    <w:rsid w:val="000C37D9"/>
    <w:rsid w:val="000C44A9"/>
    <w:rsid w:val="000C4EFA"/>
    <w:rsid w:val="000C54C3"/>
    <w:rsid w:val="000C609B"/>
    <w:rsid w:val="000C77D0"/>
    <w:rsid w:val="000C7EA4"/>
    <w:rsid w:val="000D3689"/>
    <w:rsid w:val="000D3797"/>
    <w:rsid w:val="000D3D10"/>
    <w:rsid w:val="000D3F92"/>
    <w:rsid w:val="000D41E9"/>
    <w:rsid w:val="000D4326"/>
    <w:rsid w:val="000D601C"/>
    <w:rsid w:val="000D795A"/>
    <w:rsid w:val="000D79AE"/>
    <w:rsid w:val="000E0C23"/>
    <w:rsid w:val="000E2274"/>
    <w:rsid w:val="000E3647"/>
    <w:rsid w:val="000E58A1"/>
    <w:rsid w:val="000E5F54"/>
    <w:rsid w:val="000E766A"/>
    <w:rsid w:val="000F0035"/>
    <w:rsid w:val="000F04E7"/>
    <w:rsid w:val="000F0547"/>
    <w:rsid w:val="000F060A"/>
    <w:rsid w:val="000F1F1A"/>
    <w:rsid w:val="000F25A8"/>
    <w:rsid w:val="000F2D57"/>
    <w:rsid w:val="000F2E0B"/>
    <w:rsid w:val="000F4138"/>
    <w:rsid w:val="000F420B"/>
    <w:rsid w:val="000F539C"/>
    <w:rsid w:val="00102374"/>
    <w:rsid w:val="00102F8C"/>
    <w:rsid w:val="00103A4B"/>
    <w:rsid w:val="00104449"/>
    <w:rsid w:val="00104D78"/>
    <w:rsid w:val="0010739A"/>
    <w:rsid w:val="0010780D"/>
    <w:rsid w:val="00107D53"/>
    <w:rsid w:val="00110116"/>
    <w:rsid w:val="00110DD2"/>
    <w:rsid w:val="00111007"/>
    <w:rsid w:val="00112ED9"/>
    <w:rsid w:val="00120072"/>
    <w:rsid w:val="00120BED"/>
    <w:rsid w:val="0012269C"/>
    <w:rsid w:val="00122887"/>
    <w:rsid w:val="00125AD6"/>
    <w:rsid w:val="00125FC6"/>
    <w:rsid w:val="00126437"/>
    <w:rsid w:val="00126BA6"/>
    <w:rsid w:val="00126E89"/>
    <w:rsid w:val="00126EB8"/>
    <w:rsid w:val="001274D4"/>
    <w:rsid w:val="00130FD6"/>
    <w:rsid w:val="001313C9"/>
    <w:rsid w:val="0013180A"/>
    <w:rsid w:val="00132761"/>
    <w:rsid w:val="001342B3"/>
    <w:rsid w:val="001346CF"/>
    <w:rsid w:val="001363AA"/>
    <w:rsid w:val="00136489"/>
    <w:rsid w:val="00136A7D"/>
    <w:rsid w:val="0013739A"/>
    <w:rsid w:val="00140AB3"/>
    <w:rsid w:val="00142165"/>
    <w:rsid w:val="00144239"/>
    <w:rsid w:val="001467FB"/>
    <w:rsid w:val="001512DC"/>
    <w:rsid w:val="00153260"/>
    <w:rsid w:val="001538EF"/>
    <w:rsid w:val="00154DBA"/>
    <w:rsid w:val="0015616D"/>
    <w:rsid w:val="00156D0A"/>
    <w:rsid w:val="0015757E"/>
    <w:rsid w:val="00157D2B"/>
    <w:rsid w:val="00162434"/>
    <w:rsid w:val="00162904"/>
    <w:rsid w:val="0016304A"/>
    <w:rsid w:val="00164E6C"/>
    <w:rsid w:val="00166FE1"/>
    <w:rsid w:val="001671F4"/>
    <w:rsid w:val="001703F4"/>
    <w:rsid w:val="00171050"/>
    <w:rsid w:val="0017226D"/>
    <w:rsid w:val="001729CB"/>
    <w:rsid w:val="00176677"/>
    <w:rsid w:val="00176A19"/>
    <w:rsid w:val="001773DC"/>
    <w:rsid w:val="00177E9B"/>
    <w:rsid w:val="00180FA2"/>
    <w:rsid w:val="00183D03"/>
    <w:rsid w:val="00183E82"/>
    <w:rsid w:val="00185F5F"/>
    <w:rsid w:val="001866FF"/>
    <w:rsid w:val="001878BB"/>
    <w:rsid w:val="00191AE0"/>
    <w:rsid w:val="0019293B"/>
    <w:rsid w:val="00193B8A"/>
    <w:rsid w:val="0019426B"/>
    <w:rsid w:val="00196A21"/>
    <w:rsid w:val="00197E02"/>
    <w:rsid w:val="001A04C5"/>
    <w:rsid w:val="001A3980"/>
    <w:rsid w:val="001A692F"/>
    <w:rsid w:val="001A6A4B"/>
    <w:rsid w:val="001B24D7"/>
    <w:rsid w:val="001B2FB5"/>
    <w:rsid w:val="001B3FAA"/>
    <w:rsid w:val="001B7326"/>
    <w:rsid w:val="001B7693"/>
    <w:rsid w:val="001C0865"/>
    <w:rsid w:val="001C0AED"/>
    <w:rsid w:val="001C0FBC"/>
    <w:rsid w:val="001C1198"/>
    <w:rsid w:val="001C162C"/>
    <w:rsid w:val="001C19D1"/>
    <w:rsid w:val="001C25B9"/>
    <w:rsid w:val="001C3ABA"/>
    <w:rsid w:val="001C5111"/>
    <w:rsid w:val="001C61DC"/>
    <w:rsid w:val="001C622C"/>
    <w:rsid w:val="001C6F1C"/>
    <w:rsid w:val="001C72D2"/>
    <w:rsid w:val="001C7ACA"/>
    <w:rsid w:val="001C7D76"/>
    <w:rsid w:val="001D0082"/>
    <w:rsid w:val="001D4FC4"/>
    <w:rsid w:val="001D7A56"/>
    <w:rsid w:val="001E1113"/>
    <w:rsid w:val="001E2FFA"/>
    <w:rsid w:val="001E3F3C"/>
    <w:rsid w:val="001E53DF"/>
    <w:rsid w:val="001E7882"/>
    <w:rsid w:val="001E7BDE"/>
    <w:rsid w:val="001E7BE8"/>
    <w:rsid w:val="001E7F15"/>
    <w:rsid w:val="001F0248"/>
    <w:rsid w:val="001F0373"/>
    <w:rsid w:val="001F2D6A"/>
    <w:rsid w:val="001F3EB3"/>
    <w:rsid w:val="001F4F86"/>
    <w:rsid w:val="001F7984"/>
    <w:rsid w:val="001F7E51"/>
    <w:rsid w:val="0020040B"/>
    <w:rsid w:val="00201897"/>
    <w:rsid w:val="00201B2D"/>
    <w:rsid w:val="00201EE2"/>
    <w:rsid w:val="00201FA3"/>
    <w:rsid w:val="00202696"/>
    <w:rsid w:val="00202C2C"/>
    <w:rsid w:val="00202D0C"/>
    <w:rsid w:val="00202EEA"/>
    <w:rsid w:val="00203050"/>
    <w:rsid w:val="00205B27"/>
    <w:rsid w:val="00207F0B"/>
    <w:rsid w:val="00211029"/>
    <w:rsid w:val="00211906"/>
    <w:rsid w:val="002135AB"/>
    <w:rsid w:val="00214235"/>
    <w:rsid w:val="002144BE"/>
    <w:rsid w:val="0021564C"/>
    <w:rsid w:val="00215E92"/>
    <w:rsid w:val="00216724"/>
    <w:rsid w:val="0022061F"/>
    <w:rsid w:val="00222A92"/>
    <w:rsid w:val="00223135"/>
    <w:rsid w:val="00224B81"/>
    <w:rsid w:val="00226B4B"/>
    <w:rsid w:val="00226D98"/>
    <w:rsid w:val="002275E1"/>
    <w:rsid w:val="00227700"/>
    <w:rsid w:val="00227B59"/>
    <w:rsid w:val="00231E56"/>
    <w:rsid w:val="002320B8"/>
    <w:rsid w:val="0023264B"/>
    <w:rsid w:val="00233333"/>
    <w:rsid w:val="00233911"/>
    <w:rsid w:val="00234F0F"/>
    <w:rsid w:val="002400F8"/>
    <w:rsid w:val="00241586"/>
    <w:rsid w:val="00242279"/>
    <w:rsid w:val="00242FEA"/>
    <w:rsid w:val="00243997"/>
    <w:rsid w:val="002445FF"/>
    <w:rsid w:val="0024516C"/>
    <w:rsid w:val="00245C82"/>
    <w:rsid w:val="00245FB3"/>
    <w:rsid w:val="00246A9C"/>
    <w:rsid w:val="00247B54"/>
    <w:rsid w:val="00247F9F"/>
    <w:rsid w:val="002504A6"/>
    <w:rsid w:val="0025070A"/>
    <w:rsid w:val="00251377"/>
    <w:rsid w:val="00251648"/>
    <w:rsid w:val="00252E44"/>
    <w:rsid w:val="0025687D"/>
    <w:rsid w:val="002571B9"/>
    <w:rsid w:val="00261699"/>
    <w:rsid w:val="00262BC4"/>
    <w:rsid w:val="0026532E"/>
    <w:rsid w:val="0026644C"/>
    <w:rsid w:val="00266F41"/>
    <w:rsid w:val="002678E2"/>
    <w:rsid w:val="00267CC1"/>
    <w:rsid w:val="00267D80"/>
    <w:rsid w:val="0027024E"/>
    <w:rsid w:val="00272231"/>
    <w:rsid w:val="002724BA"/>
    <w:rsid w:val="00272FA5"/>
    <w:rsid w:val="0027646F"/>
    <w:rsid w:val="0027746F"/>
    <w:rsid w:val="00277B0A"/>
    <w:rsid w:val="00277CAF"/>
    <w:rsid w:val="002814F2"/>
    <w:rsid w:val="00281A73"/>
    <w:rsid w:val="002823A6"/>
    <w:rsid w:val="00282696"/>
    <w:rsid w:val="002842BF"/>
    <w:rsid w:val="00286CA7"/>
    <w:rsid w:val="002873A7"/>
    <w:rsid w:val="00290437"/>
    <w:rsid w:val="00290A19"/>
    <w:rsid w:val="00290C26"/>
    <w:rsid w:val="00291818"/>
    <w:rsid w:val="00291B40"/>
    <w:rsid w:val="00292A61"/>
    <w:rsid w:val="0029504A"/>
    <w:rsid w:val="00295196"/>
    <w:rsid w:val="002958B6"/>
    <w:rsid w:val="00296744"/>
    <w:rsid w:val="00296778"/>
    <w:rsid w:val="00296EB7"/>
    <w:rsid w:val="002971A3"/>
    <w:rsid w:val="002A0C2C"/>
    <w:rsid w:val="002A0CB9"/>
    <w:rsid w:val="002A3EFC"/>
    <w:rsid w:val="002A69E9"/>
    <w:rsid w:val="002B031E"/>
    <w:rsid w:val="002B035D"/>
    <w:rsid w:val="002B07AA"/>
    <w:rsid w:val="002B2B22"/>
    <w:rsid w:val="002B2C89"/>
    <w:rsid w:val="002B301B"/>
    <w:rsid w:val="002B4008"/>
    <w:rsid w:val="002B41E2"/>
    <w:rsid w:val="002B4C10"/>
    <w:rsid w:val="002B56D3"/>
    <w:rsid w:val="002B573A"/>
    <w:rsid w:val="002C0F58"/>
    <w:rsid w:val="002C349A"/>
    <w:rsid w:val="002C439F"/>
    <w:rsid w:val="002C46B9"/>
    <w:rsid w:val="002C58AA"/>
    <w:rsid w:val="002C5A8C"/>
    <w:rsid w:val="002C650D"/>
    <w:rsid w:val="002C6BBC"/>
    <w:rsid w:val="002C77E5"/>
    <w:rsid w:val="002D0C42"/>
    <w:rsid w:val="002D0E8E"/>
    <w:rsid w:val="002D1D86"/>
    <w:rsid w:val="002D38EF"/>
    <w:rsid w:val="002E043A"/>
    <w:rsid w:val="002E1587"/>
    <w:rsid w:val="002E7BBA"/>
    <w:rsid w:val="002F0F20"/>
    <w:rsid w:val="002F42A8"/>
    <w:rsid w:val="002F4396"/>
    <w:rsid w:val="002F4888"/>
    <w:rsid w:val="002F4A9D"/>
    <w:rsid w:val="002F7503"/>
    <w:rsid w:val="003009FE"/>
    <w:rsid w:val="00301189"/>
    <w:rsid w:val="00301B9D"/>
    <w:rsid w:val="00301E4A"/>
    <w:rsid w:val="00302E02"/>
    <w:rsid w:val="0030448F"/>
    <w:rsid w:val="00305925"/>
    <w:rsid w:val="003126AE"/>
    <w:rsid w:val="00313803"/>
    <w:rsid w:val="00313D0A"/>
    <w:rsid w:val="00313D75"/>
    <w:rsid w:val="00313DFD"/>
    <w:rsid w:val="00313FA3"/>
    <w:rsid w:val="003160F7"/>
    <w:rsid w:val="003168B8"/>
    <w:rsid w:val="00322924"/>
    <w:rsid w:val="00322D64"/>
    <w:rsid w:val="00323E09"/>
    <w:rsid w:val="00325353"/>
    <w:rsid w:val="0032565E"/>
    <w:rsid w:val="00325BD0"/>
    <w:rsid w:val="003263F6"/>
    <w:rsid w:val="00332F41"/>
    <w:rsid w:val="00333346"/>
    <w:rsid w:val="00333932"/>
    <w:rsid w:val="00333BAF"/>
    <w:rsid w:val="00334C20"/>
    <w:rsid w:val="003362D2"/>
    <w:rsid w:val="00336314"/>
    <w:rsid w:val="00336382"/>
    <w:rsid w:val="003365C2"/>
    <w:rsid w:val="00336628"/>
    <w:rsid w:val="00340528"/>
    <w:rsid w:val="00342469"/>
    <w:rsid w:val="00343D26"/>
    <w:rsid w:val="003445E5"/>
    <w:rsid w:val="00344D9F"/>
    <w:rsid w:val="0034530F"/>
    <w:rsid w:val="0034582A"/>
    <w:rsid w:val="00345A50"/>
    <w:rsid w:val="00345B07"/>
    <w:rsid w:val="00346083"/>
    <w:rsid w:val="00347390"/>
    <w:rsid w:val="0035019A"/>
    <w:rsid w:val="00350943"/>
    <w:rsid w:val="003518AA"/>
    <w:rsid w:val="0035199F"/>
    <w:rsid w:val="00352165"/>
    <w:rsid w:val="00353182"/>
    <w:rsid w:val="00354B87"/>
    <w:rsid w:val="0035549E"/>
    <w:rsid w:val="003565D9"/>
    <w:rsid w:val="0035717A"/>
    <w:rsid w:val="00357856"/>
    <w:rsid w:val="003602E1"/>
    <w:rsid w:val="003606BA"/>
    <w:rsid w:val="00361629"/>
    <w:rsid w:val="00362AD0"/>
    <w:rsid w:val="00363F9F"/>
    <w:rsid w:val="00365204"/>
    <w:rsid w:val="00365854"/>
    <w:rsid w:val="0037026F"/>
    <w:rsid w:val="00371240"/>
    <w:rsid w:val="0037412D"/>
    <w:rsid w:val="003744FB"/>
    <w:rsid w:val="00374731"/>
    <w:rsid w:val="00375B6E"/>
    <w:rsid w:val="003761D5"/>
    <w:rsid w:val="00376B99"/>
    <w:rsid w:val="00376E59"/>
    <w:rsid w:val="00377EC1"/>
    <w:rsid w:val="00380340"/>
    <w:rsid w:val="00380A0A"/>
    <w:rsid w:val="00380D94"/>
    <w:rsid w:val="003819C9"/>
    <w:rsid w:val="00382930"/>
    <w:rsid w:val="00383C77"/>
    <w:rsid w:val="0038401B"/>
    <w:rsid w:val="003849D5"/>
    <w:rsid w:val="00385D59"/>
    <w:rsid w:val="00386398"/>
    <w:rsid w:val="003877DA"/>
    <w:rsid w:val="00387CFB"/>
    <w:rsid w:val="00387F6F"/>
    <w:rsid w:val="00390BAD"/>
    <w:rsid w:val="00390EFF"/>
    <w:rsid w:val="003919F9"/>
    <w:rsid w:val="00391C29"/>
    <w:rsid w:val="003920CF"/>
    <w:rsid w:val="00393280"/>
    <w:rsid w:val="00393615"/>
    <w:rsid w:val="00393BCA"/>
    <w:rsid w:val="003951D1"/>
    <w:rsid w:val="003960BF"/>
    <w:rsid w:val="003A2F39"/>
    <w:rsid w:val="003A3B23"/>
    <w:rsid w:val="003A3D23"/>
    <w:rsid w:val="003A5884"/>
    <w:rsid w:val="003A7270"/>
    <w:rsid w:val="003A7469"/>
    <w:rsid w:val="003B02EE"/>
    <w:rsid w:val="003B0AB7"/>
    <w:rsid w:val="003B15B3"/>
    <w:rsid w:val="003B23C2"/>
    <w:rsid w:val="003B2BBB"/>
    <w:rsid w:val="003B377C"/>
    <w:rsid w:val="003B421B"/>
    <w:rsid w:val="003B4228"/>
    <w:rsid w:val="003B4EFD"/>
    <w:rsid w:val="003B66F5"/>
    <w:rsid w:val="003B6886"/>
    <w:rsid w:val="003B71D9"/>
    <w:rsid w:val="003C19E6"/>
    <w:rsid w:val="003C1B4D"/>
    <w:rsid w:val="003C2714"/>
    <w:rsid w:val="003C329D"/>
    <w:rsid w:val="003C38B5"/>
    <w:rsid w:val="003C48DA"/>
    <w:rsid w:val="003C5CF9"/>
    <w:rsid w:val="003C5D99"/>
    <w:rsid w:val="003D0183"/>
    <w:rsid w:val="003D1087"/>
    <w:rsid w:val="003D11AE"/>
    <w:rsid w:val="003D25F7"/>
    <w:rsid w:val="003D295B"/>
    <w:rsid w:val="003E2F59"/>
    <w:rsid w:val="003E362C"/>
    <w:rsid w:val="003E51D9"/>
    <w:rsid w:val="003E746B"/>
    <w:rsid w:val="003F0789"/>
    <w:rsid w:val="003F0B11"/>
    <w:rsid w:val="003F101F"/>
    <w:rsid w:val="003F3C08"/>
    <w:rsid w:val="003F5F8E"/>
    <w:rsid w:val="003F6E35"/>
    <w:rsid w:val="003F7189"/>
    <w:rsid w:val="003F7402"/>
    <w:rsid w:val="00401882"/>
    <w:rsid w:val="00403068"/>
    <w:rsid w:val="0040385D"/>
    <w:rsid w:val="00404200"/>
    <w:rsid w:val="0040743C"/>
    <w:rsid w:val="004100C8"/>
    <w:rsid w:val="00411A4C"/>
    <w:rsid w:val="00411DBD"/>
    <w:rsid w:val="00412ACE"/>
    <w:rsid w:val="004145D2"/>
    <w:rsid w:val="00415931"/>
    <w:rsid w:val="0042034D"/>
    <w:rsid w:val="00420525"/>
    <w:rsid w:val="00422883"/>
    <w:rsid w:val="00423B6D"/>
    <w:rsid w:val="00424362"/>
    <w:rsid w:val="00425128"/>
    <w:rsid w:val="00425255"/>
    <w:rsid w:val="00426934"/>
    <w:rsid w:val="00426CB4"/>
    <w:rsid w:val="00427623"/>
    <w:rsid w:val="004309DB"/>
    <w:rsid w:val="00430D70"/>
    <w:rsid w:val="00431249"/>
    <w:rsid w:val="00432486"/>
    <w:rsid w:val="00434C19"/>
    <w:rsid w:val="004356C1"/>
    <w:rsid w:val="004361E8"/>
    <w:rsid w:val="0043760F"/>
    <w:rsid w:val="00437614"/>
    <w:rsid w:val="0044148B"/>
    <w:rsid w:val="004425E4"/>
    <w:rsid w:val="00443361"/>
    <w:rsid w:val="00445974"/>
    <w:rsid w:val="004471F0"/>
    <w:rsid w:val="004476C3"/>
    <w:rsid w:val="00450810"/>
    <w:rsid w:val="004533F1"/>
    <w:rsid w:val="00453D68"/>
    <w:rsid w:val="0045423A"/>
    <w:rsid w:val="004544DF"/>
    <w:rsid w:val="00455078"/>
    <w:rsid w:val="004557E3"/>
    <w:rsid w:val="00456164"/>
    <w:rsid w:val="004572A4"/>
    <w:rsid w:val="004579DD"/>
    <w:rsid w:val="00460F20"/>
    <w:rsid w:val="004614F6"/>
    <w:rsid w:val="004622C6"/>
    <w:rsid w:val="0046235F"/>
    <w:rsid w:val="00462C59"/>
    <w:rsid w:val="0046368F"/>
    <w:rsid w:val="00463E90"/>
    <w:rsid w:val="00464F43"/>
    <w:rsid w:val="004667C0"/>
    <w:rsid w:val="00466C89"/>
    <w:rsid w:val="0047025F"/>
    <w:rsid w:val="00470737"/>
    <w:rsid w:val="00470AC9"/>
    <w:rsid w:val="00477144"/>
    <w:rsid w:val="004808B5"/>
    <w:rsid w:val="004825A9"/>
    <w:rsid w:val="004833A7"/>
    <w:rsid w:val="00484248"/>
    <w:rsid w:val="00486871"/>
    <w:rsid w:val="0048734A"/>
    <w:rsid w:val="00491068"/>
    <w:rsid w:val="00491380"/>
    <w:rsid w:val="00491F85"/>
    <w:rsid w:val="004924BE"/>
    <w:rsid w:val="00494511"/>
    <w:rsid w:val="0049459F"/>
    <w:rsid w:val="0049605F"/>
    <w:rsid w:val="00497FAF"/>
    <w:rsid w:val="004A07CD"/>
    <w:rsid w:val="004A101A"/>
    <w:rsid w:val="004A162E"/>
    <w:rsid w:val="004A1B93"/>
    <w:rsid w:val="004A2363"/>
    <w:rsid w:val="004A38DD"/>
    <w:rsid w:val="004A45DB"/>
    <w:rsid w:val="004A4F30"/>
    <w:rsid w:val="004A6CB5"/>
    <w:rsid w:val="004A71ED"/>
    <w:rsid w:val="004A7593"/>
    <w:rsid w:val="004B2E24"/>
    <w:rsid w:val="004B43AE"/>
    <w:rsid w:val="004B47FE"/>
    <w:rsid w:val="004B526E"/>
    <w:rsid w:val="004B5FBF"/>
    <w:rsid w:val="004B72B2"/>
    <w:rsid w:val="004C063A"/>
    <w:rsid w:val="004C2891"/>
    <w:rsid w:val="004C30ED"/>
    <w:rsid w:val="004C3260"/>
    <w:rsid w:val="004C3329"/>
    <w:rsid w:val="004C7EC2"/>
    <w:rsid w:val="004D16C6"/>
    <w:rsid w:val="004D1B33"/>
    <w:rsid w:val="004D1FA7"/>
    <w:rsid w:val="004D286B"/>
    <w:rsid w:val="004D2A9A"/>
    <w:rsid w:val="004D3ADC"/>
    <w:rsid w:val="004D3E14"/>
    <w:rsid w:val="004D5675"/>
    <w:rsid w:val="004D5BEB"/>
    <w:rsid w:val="004D6BEE"/>
    <w:rsid w:val="004E15B3"/>
    <w:rsid w:val="004E1D0A"/>
    <w:rsid w:val="004E24ED"/>
    <w:rsid w:val="004E7B10"/>
    <w:rsid w:val="004E7FEB"/>
    <w:rsid w:val="004F1E90"/>
    <w:rsid w:val="004F5B62"/>
    <w:rsid w:val="004F6DA0"/>
    <w:rsid w:val="004F7072"/>
    <w:rsid w:val="00500FE3"/>
    <w:rsid w:val="00501097"/>
    <w:rsid w:val="005018F4"/>
    <w:rsid w:val="00502297"/>
    <w:rsid w:val="00502DEE"/>
    <w:rsid w:val="00503326"/>
    <w:rsid w:val="00505FFA"/>
    <w:rsid w:val="00506B28"/>
    <w:rsid w:val="0050759B"/>
    <w:rsid w:val="00507AFD"/>
    <w:rsid w:val="00507B8B"/>
    <w:rsid w:val="0051293B"/>
    <w:rsid w:val="00512D7D"/>
    <w:rsid w:val="0051306E"/>
    <w:rsid w:val="00515A3B"/>
    <w:rsid w:val="00515F38"/>
    <w:rsid w:val="00515F84"/>
    <w:rsid w:val="00516E38"/>
    <w:rsid w:val="00517795"/>
    <w:rsid w:val="00523639"/>
    <w:rsid w:val="005263D1"/>
    <w:rsid w:val="005279D7"/>
    <w:rsid w:val="005308FE"/>
    <w:rsid w:val="005311A1"/>
    <w:rsid w:val="00531FE5"/>
    <w:rsid w:val="005324BD"/>
    <w:rsid w:val="00532713"/>
    <w:rsid w:val="00535178"/>
    <w:rsid w:val="00535B7F"/>
    <w:rsid w:val="00535DFE"/>
    <w:rsid w:val="00536127"/>
    <w:rsid w:val="00536987"/>
    <w:rsid w:val="0053726C"/>
    <w:rsid w:val="005402FA"/>
    <w:rsid w:val="0054039E"/>
    <w:rsid w:val="00540627"/>
    <w:rsid w:val="00541B5C"/>
    <w:rsid w:val="00541E1A"/>
    <w:rsid w:val="00542C21"/>
    <w:rsid w:val="00543083"/>
    <w:rsid w:val="00544DB8"/>
    <w:rsid w:val="00552F81"/>
    <w:rsid w:val="0055514B"/>
    <w:rsid w:val="00555E44"/>
    <w:rsid w:val="00561BBE"/>
    <w:rsid w:val="00564603"/>
    <w:rsid w:val="00565E78"/>
    <w:rsid w:val="00566E3A"/>
    <w:rsid w:val="00567301"/>
    <w:rsid w:val="005673D4"/>
    <w:rsid w:val="00570166"/>
    <w:rsid w:val="005729BD"/>
    <w:rsid w:val="00573437"/>
    <w:rsid w:val="00573655"/>
    <w:rsid w:val="00573BE3"/>
    <w:rsid w:val="005749EE"/>
    <w:rsid w:val="00575409"/>
    <w:rsid w:val="00580154"/>
    <w:rsid w:val="00580F7B"/>
    <w:rsid w:val="00582C89"/>
    <w:rsid w:val="00583C39"/>
    <w:rsid w:val="005842C3"/>
    <w:rsid w:val="00584961"/>
    <w:rsid w:val="00584F79"/>
    <w:rsid w:val="005850E7"/>
    <w:rsid w:val="00585ECE"/>
    <w:rsid w:val="00586A90"/>
    <w:rsid w:val="00587AB4"/>
    <w:rsid w:val="00587F28"/>
    <w:rsid w:val="005909CF"/>
    <w:rsid w:val="00590A15"/>
    <w:rsid w:val="00591DD8"/>
    <w:rsid w:val="00591E71"/>
    <w:rsid w:val="005934E4"/>
    <w:rsid w:val="00597896"/>
    <w:rsid w:val="005A047B"/>
    <w:rsid w:val="005A0A2C"/>
    <w:rsid w:val="005A0D41"/>
    <w:rsid w:val="005A156C"/>
    <w:rsid w:val="005A2CAB"/>
    <w:rsid w:val="005A3761"/>
    <w:rsid w:val="005A3BDC"/>
    <w:rsid w:val="005A4314"/>
    <w:rsid w:val="005A6312"/>
    <w:rsid w:val="005A7526"/>
    <w:rsid w:val="005B01E8"/>
    <w:rsid w:val="005B0C7A"/>
    <w:rsid w:val="005B188A"/>
    <w:rsid w:val="005B2770"/>
    <w:rsid w:val="005B4F31"/>
    <w:rsid w:val="005C323C"/>
    <w:rsid w:val="005C3B8E"/>
    <w:rsid w:val="005C400B"/>
    <w:rsid w:val="005C44FE"/>
    <w:rsid w:val="005C5342"/>
    <w:rsid w:val="005C5AA1"/>
    <w:rsid w:val="005C6170"/>
    <w:rsid w:val="005D0A27"/>
    <w:rsid w:val="005D102D"/>
    <w:rsid w:val="005D1C27"/>
    <w:rsid w:val="005D329F"/>
    <w:rsid w:val="005D361E"/>
    <w:rsid w:val="005D4227"/>
    <w:rsid w:val="005D4596"/>
    <w:rsid w:val="005D477E"/>
    <w:rsid w:val="005D47BA"/>
    <w:rsid w:val="005D4C25"/>
    <w:rsid w:val="005D5EE7"/>
    <w:rsid w:val="005D6B51"/>
    <w:rsid w:val="005D6E97"/>
    <w:rsid w:val="005D7FF7"/>
    <w:rsid w:val="005E316F"/>
    <w:rsid w:val="005E723E"/>
    <w:rsid w:val="005E7E7A"/>
    <w:rsid w:val="005E7FAC"/>
    <w:rsid w:val="005F0A66"/>
    <w:rsid w:val="005F117D"/>
    <w:rsid w:val="005F296D"/>
    <w:rsid w:val="005F2BD9"/>
    <w:rsid w:val="005F48ED"/>
    <w:rsid w:val="005F5FB5"/>
    <w:rsid w:val="005F7CC7"/>
    <w:rsid w:val="00600396"/>
    <w:rsid w:val="00600F4A"/>
    <w:rsid w:val="00601A26"/>
    <w:rsid w:val="00602A63"/>
    <w:rsid w:val="00603637"/>
    <w:rsid w:val="00606490"/>
    <w:rsid w:val="00606E78"/>
    <w:rsid w:val="00607BF1"/>
    <w:rsid w:val="00611EF6"/>
    <w:rsid w:val="00613C08"/>
    <w:rsid w:val="00614032"/>
    <w:rsid w:val="00614AFB"/>
    <w:rsid w:val="00616126"/>
    <w:rsid w:val="006173C5"/>
    <w:rsid w:val="00617BC4"/>
    <w:rsid w:val="00627D6F"/>
    <w:rsid w:val="00630D4D"/>
    <w:rsid w:val="00631B48"/>
    <w:rsid w:val="00632A74"/>
    <w:rsid w:val="0063314F"/>
    <w:rsid w:val="00633292"/>
    <w:rsid w:val="006336E1"/>
    <w:rsid w:val="0063578F"/>
    <w:rsid w:val="00635F99"/>
    <w:rsid w:val="006375A9"/>
    <w:rsid w:val="00640B16"/>
    <w:rsid w:val="0064130D"/>
    <w:rsid w:val="00644385"/>
    <w:rsid w:val="00644DDC"/>
    <w:rsid w:val="006462E6"/>
    <w:rsid w:val="00647DC1"/>
    <w:rsid w:val="006509C2"/>
    <w:rsid w:val="00650F3C"/>
    <w:rsid w:val="006517F6"/>
    <w:rsid w:val="0065294C"/>
    <w:rsid w:val="006545C9"/>
    <w:rsid w:val="00654D42"/>
    <w:rsid w:val="00655B50"/>
    <w:rsid w:val="00656839"/>
    <w:rsid w:val="006572B7"/>
    <w:rsid w:val="00664FA7"/>
    <w:rsid w:val="00666780"/>
    <w:rsid w:val="00666E02"/>
    <w:rsid w:val="006673FB"/>
    <w:rsid w:val="006677E3"/>
    <w:rsid w:val="00667D5A"/>
    <w:rsid w:val="00670EAC"/>
    <w:rsid w:val="00671F4D"/>
    <w:rsid w:val="006729EF"/>
    <w:rsid w:val="0067321C"/>
    <w:rsid w:val="00673A96"/>
    <w:rsid w:val="00673C7D"/>
    <w:rsid w:val="0067497C"/>
    <w:rsid w:val="00677DE9"/>
    <w:rsid w:val="00684385"/>
    <w:rsid w:val="006847CF"/>
    <w:rsid w:val="0068550D"/>
    <w:rsid w:val="00686D31"/>
    <w:rsid w:val="0068715F"/>
    <w:rsid w:val="00687B76"/>
    <w:rsid w:val="0069072D"/>
    <w:rsid w:val="006907B9"/>
    <w:rsid w:val="00691734"/>
    <w:rsid w:val="00691CD4"/>
    <w:rsid w:val="00694D34"/>
    <w:rsid w:val="00694D84"/>
    <w:rsid w:val="006950D2"/>
    <w:rsid w:val="00696401"/>
    <w:rsid w:val="00696967"/>
    <w:rsid w:val="00696C39"/>
    <w:rsid w:val="006A334F"/>
    <w:rsid w:val="006A34D6"/>
    <w:rsid w:val="006A3AA2"/>
    <w:rsid w:val="006A4655"/>
    <w:rsid w:val="006A5BDB"/>
    <w:rsid w:val="006A66BD"/>
    <w:rsid w:val="006A6B74"/>
    <w:rsid w:val="006A6D9F"/>
    <w:rsid w:val="006A7758"/>
    <w:rsid w:val="006A7982"/>
    <w:rsid w:val="006B055D"/>
    <w:rsid w:val="006B08EE"/>
    <w:rsid w:val="006B2B3C"/>
    <w:rsid w:val="006B36EB"/>
    <w:rsid w:val="006B3FEE"/>
    <w:rsid w:val="006B4897"/>
    <w:rsid w:val="006B6F81"/>
    <w:rsid w:val="006B75F9"/>
    <w:rsid w:val="006B77BC"/>
    <w:rsid w:val="006C1D81"/>
    <w:rsid w:val="006C1EA1"/>
    <w:rsid w:val="006C2704"/>
    <w:rsid w:val="006C2FB6"/>
    <w:rsid w:val="006C46E7"/>
    <w:rsid w:val="006C7038"/>
    <w:rsid w:val="006C70AB"/>
    <w:rsid w:val="006C7315"/>
    <w:rsid w:val="006D1DAA"/>
    <w:rsid w:val="006E0C0D"/>
    <w:rsid w:val="006E2F47"/>
    <w:rsid w:val="006E73EF"/>
    <w:rsid w:val="006E78F6"/>
    <w:rsid w:val="006F1575"/>
    <w:rsid w:val="006F3C01"/>
    <w:rsid w:val="006F60B8"/>
    <w:rsid w:val="006F7C62"/>
    <w:rsid w:val="007057B5"/>
    <w:rsid w:val="0070608C"/>
    <w:rsid w:val="007079C9"/>
    <w:rsid w:val="007112DA"/>
    <w:rsid w:val="007125CB"/>
    <w:rsid w:val="00712CD6"/>
    <w:rsid w:val="00712E20"/>
    <w:rsid w:val="007138C9"/>
    <w:rsid w:val="00714D4D"/>
    <w:rsid w:val="00715C2B"/>
    <w:rsid w:val="00717A5B"/>
    <w:rsid w:val="00722791"/>
    <w:rsid w:val="00723786"/>
    <w:rsid w:val="007244C6"/>
    <w:rsid w:val="007266D3"/>
    <w:rsid w:val="00727B1E"/>
    <w:rsid w:val="00730D78"/>
    <w:rsid w:val="00731F86"/>
    <w:rsid w:val="00732029"/>
    <w:rsid w:val="0073221D"/>
    <w:rsid w:val="00733C1E"/>
    <w:rsid w:val="00733C34"/>
    <w:rsid w:val="00733DFD"/>
    <w:rsid w:val="007340AE"/>
    <w:rsid w:val="00735F02"/>
    <w:rsid w:val="00737F03"/>
    <w:rsid w:val="00740EF3"/>
    <w:rsid w:val="007414AD"/>
    <w:rsid w:val="00742E91"/>
    <w:rsid w:val="00743533"/>
    <w:rsid w:val="00743C8D"/>
    <w:rsid w:val="0074410F"/>
    <w:rsid w:val="007507A5"/>
    <w:rsid w:val="00750C14"/>
    <w:rsid w:val="00752124"/>
    <w:rsid w:val="00753F21"/>
    <w:rsid w:val="0075470E"/>
    <w:rsid w:val="00756381"/>
    <w:rsid w:val="00756D3F"/>
    <w:rsid w:val="00757D23"/>
    <w:rsid w:val="007604BB"/>
    <w:rsid w:val="00760B65"/>
    <w:rsid w:val="00761768"/>
    <w:rsid w:val="00762B14"/>
    <w:rsid w:val="0076306D"/>
    <w:rsid w:val="007638FE"/>
    <w:rsid w:val="00765AD9"/>
    <w:rsid w:val="00766C8F"/>
    <w:rsid w:val="00767538"/>
    <w:rsid w:val="007721BE"/>
    <w:rsid w:val="00772909"/>
    <w:rsid w:val="00772B94"/>
    <w:rsid w:val="00776DF3"/>
    <w:rsid w:val="0077700E"/>
    <w:rsid w:val="007801F8"/>
    <w:rsid w:val="0078170E"/>
    <w:rsid w:val="00784BE6"/>
    <w:rsid w:val="00784DA2"/>
    <w:rsid w:val="00785232"/>
    <w:rsid w:val="00787565"/>
    <w:rsid w:val="0078771F"/>
    <w:rsid w:val="007900B5"/>
    <w:rsid w:val="00790708"/>
    <w:rsid w:val="007917CA"/>
    <w:rsid w:val="00793D81"/>
    <w:rsid w:val="00794070"/>
    <w:rsid w:val="007952B4"/>
    <w:rsid w:val="0079538D"/>
    <w:rsid w:val="007965F3"/>
    <w:rsid w:val="0079701E"/>
    <w:rsid w:val="007A1001"/>
    <w:rsid w:val="007A1CEB"/>
    <w:rsid w:val="007A1E15"/>
    <w:rsid w:val="007A21EB"/>
    <w:rsid w:val="007A5CCD"/>
    <w:rsid w:val="007B0341"/>
    <w:rsid w:val="007B14B5"/>
    <w:rsid w:val="007B1A81"/>
    <w:rsid w:val="007B1A93"/>
    <w:rsid w:val="007B341D"/>
    <w:rsid w:val="007B472A"/>
    <w:rsid w:val="007B4E57"/>
    <w:rsid w:val="007B5E94"/>
    <w:rsid w:val="007B76E0"/>
    <w:rsid w:val="007C03D5"/>
    <w:rsid w:val="007C0978"/>
    <w:rsid w:val="007C1687"/>
    <w:rsid w:val="007C1AC0"/>
    <w:rsid w:val="007C1C6E"/>
    <w:rsid w:val="007C36C9"/>
    <w:rsid w:val="007C4495"/>
    <w:rsid w:val="007C5222"/>
    <w:rsid w:val="007C57C1"/>
    <w:rsid w:val="007C64E6"/>
    <w:rsid w:val="007C67FF"/>
    <w:rsid w:val="007C6C94"/>
    <w:rsid w:val="007C7346"/>
    <w:rsid w:val="007C7A44"/>
    <w:rsid w:val="007D0424"/>
    <w:rsid w:val="007D1ABF"/>
    <w:rsid w:val="007D3A3B"/>
    <w:rsid w:val="007D4F6C"/>
    <w:rsid w:val="007D58EB"/>
    <w:rsid w:val="007D6401"/>
    <w:rsid w:val="007E01E4"/>
    <w:rsid w:val="007E1704"/>
    <w:rsid w:val="007E17F1"/>
    <w:rsid w:val="007E3B6B"/>
    <w:rsid w:val="007E47E0"/>
    <w:rsid w:val="007E58B5"/>
    <w:rsid w:val="007E7A12"/>
    <w:rsid w:val="007F0B1F"/>
    <w:rsid w:val="007F1FDB"/>
    <w:rsid w:val="007F219C"/>
    <w:rsid w:val="007F3B8C"/>
    <w:rsid w:val="007F499F"/>
    <w:rsid w:val="007F7107"/>
    <w:rsid w:val="007F72DC"/>
    <w:rsid w:val="007F7EB3"/>
    <w:rsid w:val="0080097F"/>
    <w:rsid w:val="00800B61"/>
    <w:rsid w:val="00800D4C"/>
    <w:rsid w:val="00802305"/>
    <w:rsid w:val="00802CEE"/>
    <w:rsid w:val="00804786"/>
    <w:rsid w:val="00804DED"/>
    <w:rsid w:val="008101A9"/>
    <w:rsid w:val="0081030F"/>
    <w:rsid w:val="008103F2"/>
    <w:rsid w:val="00811AAA"/>
    <w:rsid w:val="0081248A"/>
    <w:rsid w:val="008126E2"/>
    <w:rsid w:val="00812F4A"/>
    <w:rsid w:val="00813733"/>
    <w:rsid w:val="008145C9"/>
    <w:rsid w:val="008149DE"/>
    <w:rsid w:val="0081640B"/>
    <w:rsid w:val="00816C7B"/>
    <w:rsid w:val="00820164"/>
    <w:rsid w:val="0082087D"/>
    <w:rsid w:val="00821A02"/>
    <w:rsid w:val="00821EF1"/>
    <w:rsid w:val="00822537"/>
    <w:rsid w:val="0082260A"/>
    <w:rsid w:val="0082279D"/>
    <w:rsid w:val="00822E09"/>
    <w:rsid w:val="00825181"/>
    <w:rsid w:val="008271A3"/>
    <w:rsid w:val="0082732C"/>
    <w:rsid w:val="00827528"/>
    <w:rsid w:val="00827A22"/>
    <w:rsid w:val="00827A32"/>
    <w:rsid w:val="0083281B"/>
    <w:rsid w:val="00832FD0"/>
    <w:rsid w:val="00832FDB"/>
    <w:rsid w:val="0083403C"/>
    <w:rsid w:val="00835771"/>
    <w:rsid w:val="008363E2"/>
    <w:rsid w:val="008374FF"/>
    <w:rsid w:val="00837F43"/>
    <w:rsid w:val="00840616"/>
    <w:rsid w:val="00841FE5"/>
    <w:rsid w:val="008423C0"/>
    <w:rsid w:val="00842933"/>
    <w:rsid w:val="0084446C"/>
    <w:rsid w:val="00844C56"/>
    <w:rsid w:val="0084580C"/>
    <w:rsid w:val="00845C2E"/>
    <w:rsid w:val="008471AA"/>
    <w:rsid w:val="0085071F"/>
    <w:rsid w:val="00850C3F"/>
    <w:rsid w:val="00851D32"/>
    <w:rsid w:val="008528D2"/>
    <w:rsid w:val="008538F2"/>
    <w:rsid w:val="00853B6A"/>
    <w:rsid w:val="0085491D"/>
    <w:rsid w:val="00854C86"/>
    <w:rsid w:val="00856808"/>
    <w:rsid w:val="00857793"/>
    <w:rsid w:val="0086073E"/>
    <w:rsid w:val="0086082C"/>
    <w:rsid w:val="008608A2"/>
    <w:rsid w:val="008611FF"/>
    <w:rsid w:val="0086197E"/>
    <w:rsid w:val="0086233D"/>
    <w:rsid w:val="00863D25"/>
    <w:rsid w:val="00864221"/>
    <w:rsid w:val="00864833"/>
    <w:rsid w:val="00864ADC"/>
    <w:rsid w:val="00864CE6"/>
    <w:rsid w:val="00865655"/>
    <w:rsid w:val="00865955"/>
    <w:rsid w:val="00865960"/>
    <w:rsid w:val="00870BE2"/>
    <w:rsid w:val="00870E5A"/>
    <w:rsid w:val="00871345"/>
    <w:rsid w:val="008714C0"/>
    <w:rsid w:val="0087263C"/>
    <w:rsid w:val="008726DE"/>
    <w:rsid w:val="00872CBD"/>
    <w:rsid w:val="00873329"/>
    <w:rsid w:val="008735AA"/>
    <w:rsid w:val="00875A9D"/>
    <w:rsid w:val="00875B4A"/>
    <w:rsid w:val="00875B56"/>
    <w:rsid w:val="00875C5F"/>
    <w:rsid w:val="00876CF7"/>
    <w:rsid w:val="00880153"/>
    <w:rsid w:val="00880F97"/>
    <w:rsid w:val="0088133A"/>
    <w:rsid w:val="00881BD7"/>
    <w:rsid w:val="008832E8"/>
    <w:rsid w:val="008866F9"/>
    <w:rsid w:val="00887B4B"/>
    <w:rsid w:val="00891E57"/>
    <w:rsid w:val="008922E8"/>
    <w:rsid w:val="0089285E"/>
    <w:rsid w:val="00892EA8"/>
    <w:rsid w:val="008939F4"/>
    <w:rsid w:val="0089436C"/>
    <w:rsid w:val="008955ED"/>
    <w:rsid w:val="008A36F4"/>
    <w:rsid w:val="008A457E"/>
    <w:rsid w:val="008A57F3"/>
    <w:rsid w:val="008A5FA5"/>
    <w:rsid w:val="008A686E"/>
    <w:rsid w:val="008A6DB8"/>
    <w:rsid w:val="008B00D1"/>
    <w:rsid w:val="008B0756"/>
    <w:rsid w:val="008B0FFD"/>
    <w:rsid w:val="008B1722"/>
    <w:rsid w:val="008B3247"/>
    <w:rsid w:val="008B3524"/>
    <w:rsid w:val="008B3866"/>
    <w:rsid w:val="008B3C8E"/>
    <w:rsid w:val="008B4E83"/>
    <w:rsid w:val="008B5637"/>
    <w:rsid w:val="008B5F97"/>
    <w:rsid w:val="008B6471"/>
    <w:rsid w:val="008B704A"/>
    <w:rsid w:val="008C0A8B"/>
    <w:rsid w:val="008C0B51"/>
    <w:rsid w:val="008C2716"/>
    <w:rsid w:val="008C2834"/>
    <w:rsid w:val="008C31F2"/>
    <w:rsid w:val="008C39D1"/>
    <w:rsid w:val="008C479C"/>
    <w:rsid w:val="008C4C0C"/>
    <w:rsid w:val="008C4DBB"/>
    <w:rsid w:val="008C5F9C"/>
    <w:rsid w:val="008C69E4"/>
    <w:rsid w:val="008C6B69"/>
    <w:rsid w:val="008C7332"/>
    <w:rsid w:val="008C76F3"/>
    <w:rsid w:val="008D074E"/>
    <w:rsid w:val="008D23C4"/>
    <w:rsid w:val="008D365C"/>
    <w:rsid w:val="008D3DB2"/>
    <w:rsid w:val="008D5C33"/>
    <w:rsid w:val="008D5FCF"/>
    <w:rsid w:val="008D7622"/>
    <w:rsid w:val="008E19EB"/>
    <w:rsid w:val="008E2535"/>
    <w:rsid w:val="008E2C5D"/>
    <w:rsid w:val="008E351A"/>
    <w:rsid w:val="008E3E4F"/>
    <w:rsid w:val="008E520B"/>
    <w:rsid w:val="008E549F"/>
    <w:rsid w:val="008E54D6"/>
    <w:rsid w:val="008E60A2"/>
    <w:rsid w:val="008E615F"/>
    <w:rsid w:val="008E678F"/>
    <w:rsid w:val="008F22C8"/>
    <w:rsid w:val="009021A6"/>
    <w:rsid w:val="00902427"/>
    <w:rsid w:val="009030BF"/>
    <w:rsid w:val="00903B52"/>
    <w:rsid w:val="0091032F"/>
    <w:rsid w:val="0091320E"/>
    <w:rsid w:val="00914368"/>
    <w:rsid w:val="00914469"/>
    <w:rsid w:val="00915F4B"/>
    <w:rsid w:val="0091732E"/>
    <w:rsid w:val="0091749C"/>
    <w:rsid w:val="0092225D"/>
    <w:rsid w:val="00922AE9"/>
    <w:rsid w:val="009240AB"/>
    <w:rsid w:val="00924446"/>
    <w:rsid w:val="00924AAD"/>
    <w:rsid w:val="00931076"/>
    <w:rsid w:val="00933175"/>
    <w:rsid w:val="00933F6B"/>
    <w:rsid w:val="00934120"/>
    <w:rsid w:val="009345D9"/>
    <w:rsid w:val="00934920"/>
    <w:rsid w:val="00934B15"/>
    <w:rsid w:val="009362E7"/>
    <w:rsid w:val="009367ED"/>
    <w:rsid w:val="00936B74"/>
    <w:rsid w:val="00940C87"/>
    <w:rsid w:val="00941E79"/>
    <w:rsid w:val="00942B62"/>
    <w:rsid w:val="00943855"/>
    <w:rsid w:val="0094446A"/>
    <w:rsid w:val="009464D7"/>
    <w:rsid w:val="009520F7"/>
    <w:rsid w:val="009526F1"/>
    <w:rsid w:val="0095323B"/>
    <w:rsid w:val="009541F3"/>
    <w:rsid w:val="009564F3"/>
    <w:rsid w:val="00956A0C"/>
    <w:rsid w:val="00956BD9"/>
    <w:rsid w:val="00960417"/>
    <w:rsid w:val="00960937"/>
    <w:rsid w:val="00961C1D"/>
    <w:rsid w:val="009623A6"/>
    <w:rsid w:val="00962489"/>
    <w:rsid w:val="0096524D"/>
    <w:rsid w:val="00965A3A"/>
    <w:rsid w:val="00966F11"/>
    <w:rsid w:val="00967CD3"/>
    <w:rsid w:val="00970CDD"/>
    <w:rsid w:val="009715FC"/>
    <w:rsid w:val="009732A5"/>
    <w:rsid w:val="00981DB0"/>
    <w:rsid w:val="0098527C"/>
    <w:rsid w:val="00987052"/>
    <w:rsid w:val="00990C2C"/>
    <w:rsid w:val="00992196"/>
    <w:rsid w:val="009921B9"/>
    <w:rsid w:val="0099237E"/>
    <w:rsid w:val="0099288C"/>
    <w:rsid w:val="00992CDB"/>
    <w:rsid w:val="009930C3"/>
    <w:rsid w:val="00993ABC"/>
    <w:rsid w:val="00994BAE"/>
    <w:rsid w:val="00994C0E"/>
    <w:rsid w:val="009A0047"/>
    <w:rsid w:val="009A01B0"/>
    <w:rsid w:val="009A5171"/>
    <w:rsid w:val="009A654A"/>
    <w:rsid w:val="009A7098"/>
    <w:rsid w:val="009A7B07"/>
    <w:rsid w:val="009B033C"/>
    <w:rsid w:val="009B079F"/>
    <w:rsid w:val="009B0CFA"/>
    <w:rsid w:val="009B2057"/>
    <w:rsid w:val="009B399D"/>
    <w:rsid w:val="009B3F89"/>
    <w:rsid w:val="009B5526"/>
    <w:rsid w:val="009C1433"/>
    <w:rsid w:val="009C14D7"/>
    <w:rsid w:val="009C1871"/>
    <w:rsid w:val="009C38F5"/>
    <w:rsid w:val="009C520E"/>
    <w:rsid w:val="009C665B"/>
    <w:rsid w:val="009D0EB5"/>
    <w:rsid w:val="009D377D"/>
    <w:rsid w:val="009D391E"/>
    <w:rsid w:val="009D70EE"/>
    <w:rsid w:val="009D7907"/>
    <w:rsid w:val="009E0D8E"/>
    <w:rsid w:val="009E1257"/>
    <w:rsid w:val="009E127B"/>
    <w:rsid w:val="009E1844"/>
    <w:rsid w:val="009E1961"/>
    <w:rsid w:val="009E1DF6"/>
    <w:rsid w:val="009E2611"/>
    <w:rsid w:val="009E2835"/>
    <w:rsid w:val="009E2B68"/>
    <w:rsid w:val="009E3099"/>
    <w:rsid w:val="009F0D1B"/>
    <w:rsid w:val="009F0EF8"/>
    <w:rsid w:val="009F34FB"/>
    <w:rsid w:val="009F4056"/>
    <w:rsid w:val="009F43E7"/>
    <w:rsid w:val="009F4DC9"/>
    <w:rsid w:val="009F53DD"/>
    <w:rsid w:val="009F587C"/>
    <w:rsid w:val="009F5BBD"/>
    <w:rsid w:val="009F5FFE"/>
    <w:rsid w:val="009F64C7"/>
    <w:rsid w:val="009F696D"/>
    <w:rsid w:val="009F6BC6"/>
    <w:rsid w:val="009F74EF"/>
    <w:rsid w:val="009F79F4"/>
    <w:rsid w:val="00A016A6"/>
    <w:rsid w:val="00A019FE"/>
    <w:rsid w:val="00A02826"/>
    <w:rsid w:val="00A0399F"/>
    <w:rsid w:val="00A03E2F"/>
    <w:rsid w:val="00A0466A"/>
    <w:rsid w:val="00A06528"/>
    <w:rsid w:val="00A11C24"/>
    <w:rsid w:val="00A14351"/>
    <w:rsid w:val="00A14982"/>
    <w:rsid w:val="00A15D5A"/>
    <w:rsid w:val="00A17328"/>
    <w:rsid w:val="00A17419"/>
    <w:rsid w:val="00A17CDF"/>
    <w:rsid w:val="00A207A2"/>
    <w:rsid w:val="00A22600"/>
    <w:rsid w:val="00A23438"/>
    <w:rsid w:val="00A23A20"/>
    <w:rsid w:val="00A2433F"/>
    <w:rsid w:val="00A2434A"/>
    <w:rsid w:val="00A24443"/>
    <w:rsid w:val="00A261FD"/>
    <w:rsid w:val="00A268B9"/>
    <w:rsid w:val="00A2702F"/>
    <w:rsid w:val="00A2703A"/>
    <w:rsid w:val="00A30793"/>
    <w:rsid w:val="00A3117A"/>
    <w:rsid w:val="00A324AB"/>
    <w:rsid w:val="00A32AA0"/>
    <w:rsid w:val="00A33DFF"/>
    <w:rsid w:val="00A344F0"/>
    <w:rsid w:val="00A34D44"/>
    <w:rsid w:val="00A34F64"/>
    <w:rsid w:val="00A35115"/>
    <w:rsid w:val="00A36D9A"/>
    <w:rsid w:val="00A36E9F"/>
    <w:rsid w:val="00A3700E"/>
    <w:rsid w:val="00A371A6"/>
    <w:rsid w:val="00A37C74"/>
    <w:rsid w:val="00A40589"/>
    <w:rsid w:val="00A40EB5"/>
    <w:rsid w:val="00A423FD"/>
    <w:rsid w:val="00A42959"/>
    <w:rsid w:val="00A43A07"/>
    <w:rsid w:val="00A43B7B"/>
    <w:rsid w:val="00A4414F"/>
    <w:rsid w:val="00A44219"/>
    <w:rsid w:val="00A44F3A"/>
    <w:rsid w:val="00A44F6C"/>
    <w:rsid w:val="00A451DC"/>
    <w:rsid w:val="00A45649"/>
    <w:rsid w:val="00A45960"/>
    <w:rsid w:val="00A464B4"/>
    <w:rsid w:val="00A4693B"/>
    <w:rsid w:val="00A50206"/>
    <w:rsid w:val="00A5357D"/>
    <w:rsid w:val="00A5372C"/>
    <w:rsid w:val="00A554AB"/>
    <w:rsid w:val="00A554D5"/>
    <w:rsid w:val="00A56577"/>
    <w:rsid w:val="00A57062"/>
    <w:rsid w:val="00A57D29"/>
    <w:rsid w:val="00A61E93"/>
    <w:rsid w:val="00A6359A"/>
    <w:rsid w:val="00A64194"/>
    <w:rsid w:val="00A645DE"/>
    <w:rsid w:val="00A65A70"/>
    <w:rsid w:val="00A66BE2"/>
    <w:rsid w:val="00A67781"/>
    <w:rsid w:val="00A70150"/>
    <w:rsid w:val="00A70395"/>
    <w:rsid w:val="00A70950"/>
    <w:rsid w:val="00A7273A"/>
    <w:rsid w:val="00A72FAF"/>
    <w:rsid w:val="00A73765"/>
    <w:rsid w:val="00A74B02"/>
    <w:rsid w:val="00A761F9"/>
    <w:rsid w:val="00A81D7C"/>
    <w:rsid w:val="00A836B2"/>
    <w:rsid w:val="00A83AE3"/>
    <w:rsid w:val="00A84108"/>
    <w:rsid w:val="00A85B3A"/>
    <w:rsid w:val="00A8688B"/>
    <w:rsid w:val="00A869CC"/>
    <w:rsid w:val="00A86B10"/>
    <w:rsid w:val="00A873E9"/>
    <w:rsid w:val="00A90711"/>
    <w:rsid w:val="00A90EB2"/>
    <w:rsid w:val="00A91BD3"/>
    <w:rsid w:val="00A92597"/>
    <w:rsid w:val="00A92B53"/>
    <w:rsid w:val="00A938FB"/>
    <w:rsid w:val="00A9482A"/>
    <w:rsid w:val="00A94FA6"/>
    <w:rsid w:val="00A959EA"/>
    <w:rsid w:val="00A95E82"/>
    <w:rsid w:val="00AA227A"/>
    <w:rsid w:val="00AA4005"/>
    <w:rsid w:val="00AA460C"/>
    <w:rsid w:val="00AA47E2"/>
    <w:rsid w:val="00AA49A0"/>
    <w:rsid w:val="00AA6710"/>
    <w:rsid w:val="00AA6A7E"/>
    <w:rsid w:val="00AA6F07"/>
    <w:rsid w:val="00AB0681"/>
    <w:rsid w:val="00AB1112"/>
    <w:rsid w:val="00AB1C16"/>
    <w:rsid w:val="00AB1F7D"/>
    <w:rsid w:val="00AB21E6"/>
    <w:rsid w:val="00AB4E93"/>
    <w:rsid w:val="00AB57BD"/>
    <w:rsid w:val="00AB5D3F"/>
    <w:rsid w:val="00AB7E4E"/>
    <w:rsid w:val="00AC152E"/>
    <w:rsid w:val="00AC167A"/>
    <w:rsid w:val="00AC1A8A"/>
    <w:rsid w:val="00AC33BE"/>
    <w:rsid w:val="00AC37A2"/>
    <w:rsid w:val="00AC3A15"/>
    <w:rsid w:val="00AC40D8"/>
    <w:rsid w:val="00AC4A93"/>
    <w:rsid w:val="00AC65C8"/>
    <w:rsid w:val="00AC68A2"/>
    <w:rsid w:val="00AC7BD1"/>
    <w:rsid w:val="00AD01E9"/>
    <w:rsid w:val="00AD027A"/>
    <w:rsid w:val="00AD2E30"/>
    <w:rsid w:val="00AD35DE"/>
    <w:rsid w:val="00AD3E14"/>
    <w:rsid w:val="00AD520B"/>
    <w:rsid w:val="00AD531D"/>
    <w:rsid w:val="00AD5535"/>
    <w:rsid w:val="00AE0D64"/>
    <w:rsid w:val="00AE140A"/>
    <w:rsid w:val="00AE3BCC"/>
    <w:rsid w:val="00AE537C"/>
    <w:rsid w:val="00AE7CCF"/>
    <w:rsid w:val="00AF1DAE"/>
    <w:rsid w:val="00AF4758"/>
    <w:rsid w:val="00AF6E53"/>
    <w:rsid w:val="00AF7821"/>
    <w:rsid w:val="00AF798B"/>
    <w:rsid w:val="00B0058C"/>
    <w:rsid w:val="00B0078A"/>
    <w:rsid w:val="00B01A3B"/>
    <w:rsid w:val="00B01DEC"/>
    <w:rsid w:val="00B0429A"/>
    <w:rsid w:val="00B04416"/>
    <w:rsid w:val="00B05BF9"/>
    <w:rsid w:val="00B067A0"/>
    <w:rsid w:val="00B06800"/>
    <w:rsid w:val="00B0718D"/>
    <w:rsid w:val="00B07DBE"/>
    <w:rsid w:val="00B13657"/>
    <w:rsid w:val="00B147A5"/>
    <w:rsid w:val="00B22EC9"/>
    <w:rsid w:val="00B241DE"/>
    <w:rsid w:val="00B2431B"/>
    <w:rsid w:val="00B24C77"/>
    <w:rsid w:val="00B257BC"/>
    <w:rsid w:val="00B25A0A"/>
    <w:rsid w:val="00B261C0"/>
    <w:rsid w:val="00B263F6"/>
    <w:rsid w:val="00B265FA"/>
    <w:rsid w:val="00B274CA"/>
    <w:rsid w:val="00B346F5"/>
    <w:rsid w:val="00B360E2"/>
    <w:rsid w:val="00B36AD7"/>
    <w:rsid w:val="00B36C06"/>
    <w:rsid w:val="00B40222"/>
    <w:rsid w:val="00B420DE"/>
    <w:rsid w:val="00B425C3"/>
    <w:rsid w:val="00B4373D"/>
    <w:rsid w:val="00B440AD"/>
    <w:rsid w:val="00B45A36"/>
    <w:rsid w:val="00B47262"/>
    <w:rsid w:val="00B479BB"/>
    <w:rsid w:val="00B5005E"/>
    <w:rsid w:val="00B50F73"/>
    <w:rsid w:val="00B53C3E"/>
    <w:rsid w:val="00B53E7E"/>
    <w:rsid w:val="00B54ABC"/>
    <w:rsid w:val="00B54B1B"/>
    <w:rsid w:val="00B61BFC"/>
    <w:rsid w:val="00B6339E"/>
    <w:rsid w:val="00B6342E"/>
    <w:rsid w:val="00B6472B"/>
    <w:rsid w:val="00B65370"/>
    <w:rsid w:val="00B65953"/>
    <w:rsid w:val="00B66AA4"/>
    <w:rsid w:val="00B66AE6"/>
    <w:rsid w:val="00B66D50"/>
    <w:rsid w:val="00B66EE4"/>
    <w:rsid w:val="00B7113F"/>
    <w:rsid w:val="00B71314"/>
    <w:rsid w:val="00B71B33"/>
    <w:rsid w:val="00B75323"/>
    <w:rsid w:val="00B81982"/>
    <w:rsid w:val="00B84F4E"/>
    <w:rsid w:val="00B871F8"/>
    <w:rsid w:val="00B93196"/>
    <w:rsid w:val="00B93479"/>
    <w:rsid w:val="00B939A5"/>
    <w:rsid w:val="00B9448A"/>
    <w:rsid w:val="00B94894"/>
    <w:rsid w:val="00B952F2"/>
    <w:rsid w:val="00B956AD"/>
    <w:rsid w:val="00B959CB"/>
    <w:rsid w:val="00B95D15"/>
    <w:rsid w:val="00B967F7"/>
    <w:rsid w:val="00B97350"/>
    <w:rsid w:val="00B97951"/>
    <w:rsid w:val="00BA2BCF"/>
    <w:rsid w:val="00BA2F14"/>
    <w:rsid w:val="00BA5A0E"/>
    <w:rsid w:val="00BA5B14"/>
    <w:rsid w:val="00BA73B6"/>
    <w:rsid w:val="00BA7E27"/>
    <w:rsid w:val="00BB1C2C"/>
    <w:rsid w:val="00BB2603"/>
    <w:rsid w:val="00BB383B"/>
    <w:rsid w:val="00BB40A9"/>
    <w:rsid w:val="00BB4273"/>
    <w:rsid w:val="00BB4A4E"/>
    <w:rsid w:val="00BB4FCD"/>
    <w:rsid w:val="00BB5523"/>
    <w:rsid w:val="00BB5D8C"/>
    <w:rsid w:val="00BB6542"/>
    <w:rsid w:val="00BB6A84"/>
    <w:rsid w:val="00BC04E9"/>
    <w:rsid w:val="00BC2B7D"/>
    <w:rsid w:val="00BC34A2"/>
    <w:rsid w:val="00BC3847"/>
    <w:rsid w:val="00BC3FBC"/>
    <w:rsid w:val="00BC524B"/>
    <w:rsid w:val="00BC767F"/>
    <w:rsid w:val="00BC79EF"/>
    <w:rsid w:val="00BC7E41"/>
    <w:rsid w:val="00BD0E92"/>
    <w:rsid w:val="00BD13EA"/>
    <w:rsid w:val="00BD1B4D"/>
    <w:rsid w:val="00BD28C2"/>
    <w:rsid w:val="00BD2CE6"/>
    <w:rsid w:val="00BD2E09"/>
    <w:rsid w:val="00BD5E9A"/>
    <w:rsid w:val="00BD78F5"/>
    <w:rsid w:val="00BD7E7C"/>
    <w:rsid w:val="00BE1649"/>
    <w:rsid w:val="00BE195E"/>
    <w:rsid w:val="00BE1A67"/>
    <w:rsid w:val="00BE1B7A"/>
    <w:rsid w:val="00BE2B87"/>
    <w:rsid w:val="00BE323A"/>
    <w:rsid w:val="00BE3808"/>
    <w:rsid w:val="00BE5E1B"/>
    <w:rsid w:val="00BE7363"/>
    <w:rsid w:val="00BF044D"/>
    <w:rsid w:val="00BF1AF5"/>
    <w:rsid w:val="00BF1F57"/>
    <w:rsid w:val="00BF1F8A"/>
    <w:rsid w:val="00BF2C4B"/>
    <w:rsid w:val="00BF30ED"/>
    <w:rsid w:val="00BF34AB"/>
    <w:rsid w:val="00BF5A97"/>
    <w:rsid w:val="00C00EF9"/>
    <w:rsid w:val="00C00F11"/>
    <w:rsid w:val="00C03B88"/>
    <w:rsid w:val="00C04372"/>
    <w:rsid w:val="00C0572B"/>
    <w:rsid w:val="00C05A00"/>
    <w:rsid w:val="00C062E9"/>
    <w:rsid w:val="00C06443"/>
    <w:rsid w:val="00C06768"/>
    <w:rsid w:val="00C069AA"/>
    <w:rsid w:val="00C07B64"/>
    <w:rsid w:val="00C07E9D"/>
    <w:rsid w:val="00C1047E"/>
    <w:rsid w:val="00C10C4F"/>
    <w:rsid w:val="00C111EE"/>
    <w:rsid w:val="00C11DF6"/>
    <w:rsid w:val="00C12E95"/>
    <w:rsid w:val="00C13721"/>
    <w:rsid w:val="00C14110"/>
    <w:rsid w:val="00C14832"/>
    <w:rsid w:val="00C14FE4"/>
    <w:rsid w:val="00C16293"/>
    <w:rsid w:val="00C17BB7"/>
    <w:rsid w:val="00C21752"/>
    <w:rsid w:val="00C2310E"/>
    <w:rsid w:val="00C24652"/>
    <w:rsid w:val="00C2741F"/>
    <w:rsid w:val="00C27B90"/>
    <w:rsid w:val="00C3066D"/>
    <w:rsid w:val="00C30885"/>
    <w:rsid w:val="00C31C75"/>
    <w:rsid w:val="00C32B2C"/>
    <w:rsid w:val="00C349EB"/>
    <w:rsid w:val="00C34B63"/>
    <w:rsid w:val="00C36561"/>
    <w:rsid w:val="00C3786C"/>
    <w:rsid w:val="00C37896"/>
    <w:rsid w:val="00C3797F"/>
    <w:rsid w:val="00C40A4B"/>
    <w:rsid w:val="00C4289C"/>
    <w:rsid w:val="00C42D5A"/>
    <w:rsid w:val="00C43EDE"/>
    <w:rsid w:val="00C441E2"/>
    <w:rsid w:val="00C450C0"/>
    <w:rsid w:val="00C451BD"/>
    <w:rsid w:val="00C46265"/>
    <w:rsid w:val="00C46B09"/>
    <w:rsid w:val="00C47088"/>
    <w:rsid w:val="00C47E7B"/>
    <w:rsid w:val="00C504D2"/>
    <w:rsid w:val="00C51B64"/>
    <w:rsid w:val="00C52203"/>
    <w:rsid w:val="00C52416"/>
    <w:rsid w:val="00C527AF"/>
    <w:rsid w:val="00C52BBC"/>
    <w:rsid w:val="00C543F4"/>
    <w:rsid w:val="00C55854"/>
    <w:rsid w:val="00C55AB3"/>
    <w:rsid w:val="00C5718D"/>
    <w:rsid w:val="00C61C07"/>
    <w:rsid w:val="00C6291C"/>
    <w:rsid w:val="00C62AC8"/>
    <w:rsid w:val="00C633CB"/>
    <w:rsid w:val="00C63437"/>
    <w:rsid w:val="00C635B0"/>
    <w:rsid w:val="00C638BB"/>
    <w:rsid w:val="00C63C5D"/>
    <w:rsid w:val="00C64307"/>
    <w:rsid w:val="00C65994"/>
    <w:rsid w:val="00C664CD"/>
    <w:rsid w:val="00C66E9F"/>
    <w:rsid w:val="00C723BC"/>
    <w:rsid w:val="00C731D0"/>
    <w:rsid w:val="00C735B9"/>
    <w:rsid w:val="00C73679"/>
    <w:rsid w:val="00C736B7"/>
    <w:rsid w:val="00C74BAD"/>
    <w:rsid w:val="00C75019"/>
    <w:rsid w:val="00C75583"/>
    <w:rsid w:val="00C81D4A"/>
    <w:rsid w:val="00C81F43"/>
    <w:rsid w:val="00C83CFB"/>
    <w:rsid w:val="00C8599C"/>
    <w:rsid w:val="00C85A6D"/>
    <w:rsid w:val="00C85B37"/>
    <w:rsid w:val="00C868FF"/>
    <w:rsid w:val="00C870ED"/>
    <w:rsid w:val="00C8762C"/>
    <w:rsid w:val="00C8767A"/>
    <w:rsid w:val="00C878FF"/>
    <w:rsid w:val="00C90099"/>
    <w:rsid w:val="00C90F3C"/>
    <w:rsid w:val="00C9170D"/>
    <w:rsid w:val="00C92175"/>
    <w:rsid w:val="00C94E5D"/>
    <w:rsid w:val="00C9545E"/>
    <w:rsid w:val="00C9571D"/>
    <w:rsid w:val="00CA00F9"/>
    <w:rsid w:val="00CA0461"/>
    <w:rsid w:val="00CA08E7"/>
    <w:rsid w:val="00CA1390"/>
    <w:rsid w:val="00CA2961"/>
    <w:rsid w:val="00CA393F"/>
    <w:rsid w:val="00CA3978"/>
    <w:rsid w:val="00CA4FE2"/>
    <w:rsid w:val="00CA7EEC"/>
    <w:rsid w:val="00CB488B"/>
    <w:rsid w:val="00CB50D7"/>
    <w:rsid w:val="00CB7177"/>
    <w:rsid w:val="00CB752C"/>
    <w:rsid w:val="00CB7ADD"/>
    <w:rsid w:val="00CB7C38"/>
    <w:rsid w:val="00CB7CED"/>
    <w:rsid w:val="00CC0224"/>
    <w:rsid w:val="00CC070F"/>
    <w:rsid w:val="00CC0B22"/>
    <w:rsid w:val="00CC0B45"/>
    <w:rsid w:val="00CC1998"/>
    <w:rsid w:val="00CC1ACB"/>
    <w:rsid w:val="00CC45C9"/>
    <w:rsid w:val="00CC4946"/>
    <w:rsid w:val="00CC5390"/>
    <w:rsid w:val="00CC56CA"/>
    <w:rsid w:val="00CC64A1"/>
    <w:rsid w:val="00CC6847"/>
    <w:rsid w:val="00CD0E46"/>
    <w:rsid w:val="00CD22BE"/>
    <w:rsid w:val="00CD2CC4"/>
    <w:rsid w:val="00CD3361"/>
    <w:rsid w:val="00CD4388"/>
    <w:rsid w:val="00CD4D3C"/>
    <w:rsid w:val="00CD585C"/>
    <w:rsid w:val="00CD6A11"/>
    <w:rsid w:val="00CE17C4"/>
    <w:rsid w:val="00CE226F"/>
    <w:rsid w:val="00CE4737"/>
    <w:rsid w:val="00CE5BD8"/>
    <w:rsid w:val="00CE6235"/>
    <w:rsid w:val="00CE6632"/>
    <w:rsid w:val="00CE7378"/>
    <w:rsid w:val="00CE7402"/>
    <w:rsid w:val="00CE78E9"/>
    <w:rsid w:val="00CE7ECD"/>
    <w:rsid w:val="00CF066B"/>
    <w:rsid w:val="00CF0CBE"/>
    <w:rsid w:val="00CF1FD5"/>
    <w:rsid w:val="00CF3B11"/>
    <w:rsid w:val="00CF4385"/>
    <w:rsid w:val="00CF47F6"/>
    <w:rsid w:val="00CF7057"/>
    <w:rsid w:val="00D0077A"/>
    <w:rsid w:val="00D035F6"/>
    <w:rsid w:val="00D03667"/>
    <w:rsid w:val="00D03DFA"/>
    <w:rsid w:val="00D0492D"/>
    <w:rsid w:val="00D10EC4"/>
    <w:rsid w:val="00D12B90"/>
    <w:rsid w:val="00D14843"/>
    <w:rsid w:val="00D23233"/>
    <w:rsid w:val="00D233B3"/>
    <w:rsid w:val="00D235ED"/>
    <w:rsid w:val="00D270A4"/>
    <w:rsid w:val="00D27B4A"/>
    <w:rsid w:val="00D30E1D"/>
    <w:rsid w:val="00D31FE9"/>
    <w:rsid w:val="00D338D1"/>
    <w:rsid w:val="00D34981"/>
    <w:rsid w:val="00D34E1B"/>
    <w:rsid w:val="00D35F51"/>
    <w:rsid w:val="00D3605A"/>
    <w:rsid w:val="00D36A3C"/>
    <w:rsid w:val="00D37055"/>
    <w:rsid w:val="00D376BA"/>
    <w:rsid w:val="00D433AB"/>
    <w:rsid w:val="00D434A0"/>
    <w:rsid w:val="00D45634"/>
    <w:rsid w:val="00D462B5"/>
    <w:rsid w:val="00D507E0"/>
    <w:rsid w:val="00D52E5D"/>
    <w:rsid w:val="00D5568A"/>
    <w:rsid w:val="00D55ED7"/>
    <w:rsid w:val="00D622E3"/>
    <w:rsid w:val="00D62C2C"/>
    <w:rsid w:val="00D63D73"/>
    <w:rsid w:val="00D64452"/>
    <w:rsid w:val="00D64BF1"/>
    <w:rsid w:val="00D64CC0"/>
    <w:rsid w:val="00D66A95"/>
    <w:rsid w:val="00D66E1E"/>
    <w:rsid w:val="00D70696"/>
    <w:rsid w:val="00D71305"/>
    <w:rsid w:val="00D72C00"/>
    <w:rsid w:val="00D72C78"/>
    <w:rsid w:val="00D73CA9"/>
    <w:rsid w:val="00D75722"/>
    <w:rsid w:val="00D76691"/>
    <w:rsid w:val="00D80CF5"/>
    <w:rsid w:val="00D81A66"/>
    <w:rsid w:val="00D81FB7"/>
    <w:rsid w:val="00D82182"/>
    <w:rsid w:val="00D83A07"/>
    <w:rsid w:val="00D84634"/>
    <w:rsid w:val="00D85294"/>
    <w:rsid w:val="00D86B88"/>
    <w:rsid w:val="00D86E81"/>
    <w:rsid w:val="00D90EF1"/>
    <w:rsid w:val="00D9110F"/>
    <w:rsid w:val="00D91B42"/>
    <w:rsid w:val="00D94917"/>
    <w:rsid w:val="00D971C8"/>
    <w:rsid w:val="00DA2CA5"/>
    <w:rsid w:val="00DA2D02"/>
    <w:rsid w:val="00DA30C0"/>
    <w:rsid w:val="00DA3314"/>
    <w:rsid w:val="00DA3EAF"/>
    <w:rsid w:val="00DA3F2B"/>
    <w:rsid w:val="00DA5BBA"/>
    <w:rsid w:val="00DA6572"/>
    <w:rsid w:val="00DA6EC0"/>
    <w:rsid w:val="00DB1D8C"/>
    <w:rsid w:val="00DB26D2"/>
    <w:rsid w:val="00DB2EC5"/>
    <w:rsid w:val="00DB542C"/>
    <w:rsid w:val="00DB6373"/>
    <w:rsid w:val="00DB67C9"/>
    <w:rsid w:val="00DC0C95"/>
    <w:rsid w:val="00DC197F"/>
    <w:rsid w:val="00DC1C4B"/>
    <w:rsid w:val="00DC4F0B"/>
    <w:rsid w:val="00DC5306"/>
    <w:rsid w:val="00DD0304"/>
    <w:rsid w:val="00DD6580"/>
    <w:rsid w:val="00DE09F8"/>
    <w:rsid w:val="00DE0FB7"/>
    <w:rsid w:val="00DE1000"/>
    <w:rsid w:val="00DE1F29"/>
    <w:rsid w:val="00DE5D79"/>
    <w:rsid w:val="00DE6E83"/>
    <w:rsid w:val="00DE71CC"/>
    <w:rsid w:val="00DF0917"/>
    <w:rsid w:val="00DF1A6F"/>
    <w:rsid w:val="00DF2170"/>
    <w:rsid w:val="00DF29CA"/>
    <w:rsid w:val="00DF3D0B"/>
    <w:rsid w:val="00DF40AB"/>
    <w:rsid w:val="00DF51AC"/>
    <w:rsid w:val="00DF5202"/>
    <w:rsid w:val="00DF533A"/>
    <w:rsid w:val="00DF768E"/>
    <w:rsid w:val="00DF7D87"/>
    <w:rsid w:val="00E01D7F"/>
    <w:rsid w:val="00E03588"/>
    <w:rsid w:val="00E05C03"/>
    <w:rsid w:val="00E1599A"/>
    <w:rsid w:val="00E15E49"/>
    <w:rsid w:val="00E1604D"/>
    <w:rsid w:val="00E172E3"/>
    <w:rsid w:val="00E17C72"/>
    <w:rsid w:val="00E211BB"/>
    <w:rsid w:val="00E215CF"/>
    <w:rsid w:val="00E215D2"/>
    <w:rsid w:val="00E21FC6"/>
    <w:rsid w:val="00E22699"/>
    <w:rsid w:val="00E229D4"/>
    <w:rsid w:val="00E2355B"/>
    <w:rsid w:val="00E24E33"/>
    <w:rsid w:val="00E255E2"/>
    <w:rsid w:val="00E25835"/>
    <w:rsid w:val="00E31000"/>
    <w:rsid w:val="00E31941"/>
    <w:rsid w:val="00E3590E"/>
    <w:rsid w:val="00E370DB"/>
    <w:rsid w:val="00E40854"/>
    <w:rsid w:val="00E41136"/>
    <w:rsid w:val="00E418AA"/>
    <w:rsid w:val="00E423BA"/>
    <w:rsid w:val="00E42656"/>
    <w:rsid w:val="00E42E4E"/>
    <w:rsid w:val="00E431A9"/>
    <w:rsid w:val="00E43E01"/>
    <w:rsid w:val="00E44059"/>
    <w:rsid w:val="00E44490"/>
    <w:rsid w:val="00E44622"/>
    <w:rsid w:val="00E450FB"/>
    <w:rsid w:val="00E46BDF"/>
    <w:rsid w:val="00E47709"/>
    <w:rsid w:val="00E47E1E"/>
    <w:rsid w:val="00E47FE1"/>
    <w:rsid w:val="00E50F9B"/>
    <w:rsid w:val="00E51CFD"/>
    <w:rsid w:val="00E532EB"/>
    <w:rsid w:val="00E53301"/>
    <w:rsid w:val="00E53CCE"/>
    <w:rsid w:val="00E55954"/>
    <w:rsid w:val="00E55E00"/>
    <w:rsid w:val="00E561A7"/>
    <w:rsid w:val="00E57B3F"/>
    <w:rsid w:val="00E61728"/>
    <w:rsid w:val="00E638A6"/>
    <w:rsid w:val="00E669E2"/>
    <w:rsid w:val="00E669FD"/>
    <w:rsid w:val="00E71AD6"/>
    <w:rsid w:val="00E7314B"/>
    <w:rsid w:val="00E7323E"/>
    <w:rsid w:val="00E7512D"/>
    <w:rsid w:val="00E75D62"/>
    <w:rsid w:val="00E76135"/>
    <w:rsid w:val="00E7673A"/>
    <w:rsid w:val="00E77E5D"/>
    <w:rsid w:val="00E82266"/>
    <w:rsid w:val="00E82652"/>
    <w:rsid w:val="00E827A8"/>
    <w:rsid w:val="00E82F4F"/>
    <w:rsid w:val="00E8551B"/>
    <w:rsid w:val="00E8626B"/>
    <w:rsid w:val="00E864DF"/>
    <w:rsid w:val="00E865B6"/>
    <w:rsid w:val="00E86765"/>
    <w:rsid w:val="00E8793F"/>
    <w:rsid w:val="00E87DC3"/>
    <w:rsid w:val="00E93063"/>
    <w:rsid w:val="00E93C98"/>
    <w:rsid w:val="00E94E7E"/>
    <w:rsid w:val="00E9632E"/>
    <w:rsid w:val="00E96C1C"/>
    <w:rsid w:val="00E96EEF"/>
    <w:rsid w:val="00EA0228"/>
    <w:rsid w:val="00EA2DD5"/>
    <w:rsid w:val="00EA41D7"/>
    <w:rsid w:val="00EA5D1F"/>
    <w:rsid w:val="00EA68AE"/>
    <w:rsid w:val="00EA7DDA"/>
    <w:rsid w:val="00EB2CC3"/>
    <w:rsid w:val="00EB336A"/>
    <w:rsid w:val="00EB454F"/>
    <w:rsid w:val="00EB4EC3"/>
    <w:rsid w:val="00EB5E5C"/>
    <w:rsid w:val="00EC2711"/>
    <w:rsid w:val="00EC2844"/>
    <w:rsid w:val="00EC29F1"/>
    <w:rsid w:val="00EC2E9D"/>
    <w:rsid w:val="00EC4D47"/>
    <w:rsid w:val="00EC4E23"/>
    <w:rsid w:val="00EC5500"/>
    <w:rsid w:val="00EC59C4"/>
    <w:rsid w:val="00EC633B"/>
    <w:rsid w:val="00EC721E"/>
    <w:rsid w:val="00ED1844"/>
    <w:rsid w:val="00ED18F8"/>
    <w:rsid w:val="00ED46AF"/>
    <w:rsid w:val="00ED4C22"/>
    <w:rsid w:val="00ED5011"/>
    <w:rsid w:val="00ED5BFB"/>
    <w:rsid w:val="00ED67E0"/>
    <w:rsid w:val="00EE4E72"/>
    <w:rsid w:val="00EE597A"/>
    <w:rsid w:val="00EE6EDA"/>
    <w:rsid w:val="00EE778E"/>
    <w:rsid w:val="00EF0327"/>
    <w:rsid w:val="00EF084A"/>
    <w:rsid w:val="00EF37C7"/>
    <w:rsid w:val="00EF47F3"/>
    <w:rsid w:val="00EF4BA3"/>
    <w:rsid w:val="00EF53D3"/>
    <w:rsid w:val="00EF64A9"/>
    <w:rsid w:val="00EF6719"/>
    <w:rsid w:val="00EF6C6C"/>
    <w:rsid w:val="00F01E5E"/>
    <w:rsid w:val="00F03EA7"/>
    <w:rsid w:val="00F043B0"/>
    <w:rsid w:val="00F04658"/>
    <w:rsid w:val="00F056FC"/>
    <w:rsid w:val="00F0620C"/>
    <w:rsid w:val="00F0632F"/>
    <w:rsid w:val="00F0638D"/>
    <w:rsid w:val="00F064D3"/>
    <w:rsid w:val="00F06960"/>
    <w:rsid w:val="00F069AE"/>
    <w:rsid w:val="00F0798C"/>
    <w:rsid w:val="00F07CC2"/>
    <w:rsid w:val="00F10476"/>
    <w:rsid w:val="00F10684"/>
    <w:rsid w:val="00F113A3"/>
    <w:rsid w:val="00F11A60"/>
    <w:rsid w:val="00F12A51"/>
    <w:rsid w:val="00F135D8"/>
    <w:rsid w:val="00F1491D"/>
    <w:rsid w:val="00F16C94"/>
    <w:rsid w:val="00F17422"/>
    <w:rsid w:val="00F174BA"/>
    <w:rsid w:val="00F17656"/>
    <w:rsid w:val="00F2065A"/>
    <w:rsid w:val="00F212BC"/>
    <w:rsid w:val="00F23055"/>
    <w:rsid w:val="00F239AF"/>
    <w:rsid w:val="00F24021"/>
    <w:rsid w:val="00F2566F"/>
    <w:rsid w:val="00F2619B"/>
    <w:rsid w:val="00F27690"/>
    <w:rsid w:val="00F27A4B"/>
    <w:rsid w:val="00F31299"/>
    <w:rsid w:val="00F3131F"/>
    <w:rsid w:val="00F3534A"/>
    <w:rsid w:val="00F35BFB"/>
    <w:rsid w:val="00F36ACC"/>
    <w:rsid w:val="00F4299B"/>
    <w:rsid w:val="00F43009"/>
    <w:rsid w:val="00F45A8B"/>
    <w:rsid w:val="00F473BB"/>
    <w:rsid w:val="00F47730"/>
    <w:rsid w:val="00F5077B"/>
    <w:rsid w:val="00F50E85"/>
    <w:rsid w:val="00F51131"/>
    <w:rsid w:val="00F51609"/>
    <w:rsid w:val="00F53C8A"/>
    <w:rsid w:val="00F54A14"/>
    <w:rsid w:val="00F5519D"/>
    <w:rsid w:val="00F55C25"/>
    <w:rsid w:val="00F55F85"/>
    <w:rsid w:val="00F578C7"/>
    <w:rsid w:val="00F57D34"/>
    <w:rsid w:val="00F60EDF"/>
    <w:rsid w:val="00F61D94"/>
    <w:rsid w:val="00F634A7"/>
    <w:rsid w:val="00F643E4"/>
    <w:rsid w:val="00F67741"/>
    <w:rsid w:val="00F714A1"/>
    <w:rsid w:val="00F71594"/>
    <w:rsid w:val="00F72FA4"/>
    <w:rsid w:val="00F73727"/>
    <w:rsid w:val="00F75077"/>
    <w:rsid w:val="00F7560E"/>
    <w:rsid w:val="00F75929"/>
    <w:rsid w:val="00F76609"/>
    <w:rsid w:val="00F766A7"/>
    <w:rsid w:val="00F77F2A"/>
    <w:rsid w:val="00F80D54"/>
    <w:rsid w:val="00F81006"/>
    <w:rsid w:val="00F8258D"/>
    <w:rsid w:val="00F82B27"/>
    <w:rsid w:val="00F82F54"/>
    <w:rsid w:val="00F83206"/>
    <w:rsid w:val="00F8376C"/>
    <w:rsid w:val="00F85325"/>
    <w:rsid w:val="00F85ACB"/>
    <w:rsid w:val="00F86279"/>
    <w:rsid w:val="00F86D2F"/>
    <w:rsid w:val="00F86FEF"/>
    <w:rsid w:val="00F8750D"/>
    <w:rsid w:val="00F907C3"/>
    <w:rsid w:val="00F92564"/>
    <w:rsid w:val="00F950A2"/>
    <w:rsid w:val="00F962B6"/>
    <w:rsid w:val="00F977F5"/>
    <w:rsid w:val="00FA03CA"/>
    <w:rsid w:val="00FA0BDA"/>
    <w:rsid w:val="00FA0CB2"/>
    <w:rsid w:val="00FA2399"/>
    <w:rsid w:val="00FA3374"/>
    <w:rsid w:val="00FA395C"/>
    <w:rsid w:val="00FA40E7"/>
    <w:rsid w:val="00FA5270"/>
    <w:rsid w:val="00FB115B"/>
    <w:rsid w:val="00FB1D2B"/>
    <w:rsid w:val="00FB42CB"/>
    <w:rsid w:val="00FB4D00"/>
    <w:rsid w:val="00FB5761"/>
    <w:rsid w:val="00FB6A94"/>
    <w:rsid w:val="00FB6C5A"/>
    <w:rsid w:val="00FB74CC"/>
    <w:rsid w:val="00FB7AC4"/>
    <w:rsid w:val="00FC2BF9"/>
    <w:rsid w:val="00FC34EF"/>
    <w:rsid w:val="00FC44A8"/>
    <w:rsid w:val="00FD0670"/>
    <w:rsid w:val="00FD0B39"/>
    <w:rsid w:val="00FD1880"/>
    <w:rsid w:val="00FD1938"/>
    <w:rsid w:val="00FD1DD1"/>
    <w:rsid w:val="00FD20DF"/>
    <w:rsid w:val="00FD22B1"/>
    <w:rsid w:val="00FD33F1"/>
    <w:rsid w:val="00FD3566"/>
    <w:rsid w:val="00FD4224"/>
    <w:rsid w:val="00FD4D5D"/>
    <w:rsid w:val="00FD7640"/>
    <w:rsid w:val="00FE08FF"/>
    <w:rsid w:val="00FE10A1"/>
    <w:rsid w:val="00FE3C71"/>
    <w:rsid w:val="00FE5397"/>
    <w:rsid w:val="00FE5D07"/>
    <w:rsid w:val="00FE6478"/>
    <w:rsid w:val="00FE6F91"/>
    <w:rsid w:val="00FE7BAC"/>
    <w:rsid w:val="00FE7E24"/>
    <w:rsid w:val="00FF0632"/>
    <w:rsid w:val="00FF08F2"/>
    <w:rsid w:val="00FF27F4"/>
    <w:rsid w:val="00FF479E"/>
    <w:rsid w:val="00FF67C6"/>
    <w:rsid w:val="00FF70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2385"/>
    <o:shapelayout v:ext="edit">
      <o:idmap v:ext="edit" data="1"/>
    </o:shapelayout>
  </w:shapeDefaults>
  <w:decimalSymbol w:val="."/>
  <w:listSeparator w:val=","/>
  <w14:docId w14:val="6856428B"/>
  <w15:docId w15:val="{11649131-A168-46FF-84F0-E359B6F1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E0D8E"/>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22"/>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qFormat/>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CommentTextChar">
    <w:name w:val="Comment Text Char"/>
    <w:basedOn w:val="DefaultParagraphFont"/>
    <w:link w:val="CommentText"/>
    <w:uiPriority w:val="99"/>
    <w:rsid w:val="00584F79"/>
    <w:rPr>
      <w:szCs w:val="24"/>
    </w:rPr>
  </w:style>
  <w:style w:type="paragraph" w:customStyle="1" w:styleId="BoxSpaceAboveElement">
    <w:name w:val="Box Space Above Element"/>
    <w:basedOn w:val="BoxSpaceAbove"/>
    <w:link w:val="BoxSpaceAboveElementChar"/>
    <w:qFormat/>
    <w:rsid w:val="00584F79"/>
    <w:pPr>
      <w:spacing w:before="240"/>
    </w:pPr>
    <w:rPr>
      <w:b/>
      <w:vanish/>
      <w:color w:val="FF00FF"/>
      <w:sz w:val="14"/>
    </w:rPr>
  </w:style>
  <w:style w:type="character" w:customStyle="1" w:styleId="BoxSpaceAboveElementChar">
    <w:name w:val="Box Space Above Element Char"/>
    <w:basedOn w:val="DefaultParagraphFont"/>
    <w:link w:val="BoxSpaceAboveElement"/>
    <w:rsid w:val="00584F79"/>
    <w:rPr>
      <w:b/>
      <w:vanish/>
      <w:color w:val="FF00FF"/>
      <w:sz w:val="14"/>
    </w:rPr>
  </w:style>
  <w:style w:type="paragraph" w:styleId="CommentSubject">
    <w:name w:val="annotation subject"/>
    <w:basedOn w:val="CommentText"/>
    <w:next w:val="CommentText"/>
    <w:link w:val="CommentSubjectChar"/>
    <w:semiHidden/>
    <w:unhideWhenUsed/>
    <w:rsid w:val="00144239"/>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144239"/>
    <w:rPr>
      <w:b/>
      <w:bCs/>
      <w:szCs w:val="24"/>
    </w:rPr>
  </w:style>
  <w:style w:type="table" w:styleId="ListTable7Colorful">
    <w:name w:val="List Table 7 Colorful"/>
    <w:basedOn w:val="TableNormal"/>
    <w:uiPriority w:val="52"/>
    <w:rsid w:val="0084580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4580C"/>
    <w:rPr>
      <w:color w:val="66407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56A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56A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56A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56A3" w:themeColor="accent6"/>
        </w:tcBorders>
        <w:shd w:val="clear" w:color="auto" w:fill="FFFFFF" w:themeFill="background1"/>
      </w:tcPr>
    </w:tblStylePr>
    <w:tblStylePr w:type="band1Vert">
      <w:tblPr/>
      <w:tcPr>
        <w:shd w:val="clear" w:color="auto" w:fill="E7DCED" w:themeFill="accent6" w:themeFillTint="33"/>
      </w:tcPr>
    </w:tblStylePr>
    <w:tblStylePr w:type="band1Horz">
      <w:tblPr/>
      <w:tcPr>
        <w:shd w:val="clear" w:color="auto" w:fill="E7DC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nhideWhenUsed/>
    <w:rsid w:val="000874AA"/>
    <w:rPr>
      <w:color w:val="0000FF"/>
      <w:u w:val="single"/>
    </w:rPr>
  </w:style>
  <w:style w:type="character" w:styleId="FollowedHyperlink">
    <w:name w:val="FollowedHyperlink"/>
    <w:basedOn w:val="DefaultParagraphFont"/>
    <w:semiHidden/>
    <w:unhideWhenUsed/>
    <w:rsid w:val="004E7B10"/>
    <w:rPr>
      <w:color w:val="BFBFBF" w:themeColor="followedHyperlink"/>
      <w:u w:val="single"/>
    </w:rPr>
  </w:style>
  <w:style w:type="table" w:customStyle="1" w:styleId="assessmenttablev1">
    <w:name w:val="assessment table v1"/>
    <w:basedOn w:val="TableNormal"/>
    <w:uiPriority w:val="99"/>
    <w:rsid w:val="002E1587"/>
    <w:tblPr>
      <w:tblStyleRowBandSize w:val="1"/>
    </w:tblPr>
    <w:tblStylePr w:type="firstRow">
      <w:rPr>
        <w:rFonts w:asciiTheme="majorHAnsi" w:hAnsiTheme="majorHAnsi"/>
        <w:i/>
        <w:color w:val="FFFFFF" w:themeColor="background1"/>
        <w:sz w:val="18"/>
      </w:rPr>
      <w:tblPr/>
      <w:tcPr>
        <w:shd w:val="clear" w:color="auto" w:fill="4D7028" w:themeFill="accent2"/>
      </w:tcPr>
    </w:tblStylePr>
    <w:tblStylePr w:type="band1Horz">
      <w:rPr>
        <w:rFonts w:ascii="Arial" w:hAnsi="Arial"/>
        <w:color w:val="auto"/>
        <w:sz w:val="18"/>
      </w:rPr>
      <w:tblPr/>
      <w:tcPr>
        <w:shd w:val="clear" w:color="auto" w:fill="FFFFFF" w:themeFill="background1"/>
      </w:tcPr>
    </w:tblStylePr>
    <w:tblStylePr w:type="band2Horz">
      <w:rPr>
        <w:rFonts w:ascii="Arial" w:hAnsi="Arial"/>
        <w:sz w:val="18"/>
      </w:rPr>
      <w:tblPr/>
      <w:tcPr>
        <w:shd w:val="clear" w:color="auto" w:fill="E5F1D0" w:themeFill="accent1" w:themeFillTint="33"/>
      </w:tcPr>
    </w:tblStylePr>
  </w:style>
  <w:style w:type="character" w:customStyle="1" w:styleId="QuoteChar">
    <w:name w:val="Quote Char"/>
    <w:basedOn w:val="DefaultParagraphFont"/>
    <w:link w:val="Quote"/>
    <w:rsid w:val="005A6312"/>
    <w:rPr>
      <w:sz w:val="22"/>
    </w:rPr>
  </w:style>
  <w:style w:type="paragraph" w:styleId="ListParagraph">
    <w:name w:val="List Paragraph"/>
    <w:basedOn w:val="Normal"/>
    <w:uiPriority w:val="34"/>
    <w:qFormat/>
    <w:rsid w:val="00B65953"/>
    <w:pPr>
      <w:ind w:left="720"/>
      <w:contextualSpacing/>
    </w:pPr>
  </w:style>
  <w:style w:type="character" w:customStyle="1" w:styleId="Heading4Char">
    <w:name w:val="Heading 4 Char"/>
    <w:basedOn w:val="DefaultParagraphFont"/>
    <w:link w:val="Heading4"/>
    <w:rsid w:val="002E043A"/>
    <w:rPr>
      <w:rFonts w:ascii="Arial" w:hAnsi="Arial"/>
      <w:sz w:val="24"/>
    </w:rPr>
  </w:style>
  <w:style w:type="paragraph" w:styleId="Bibliography">
    <w:name w:val="Bibliography"/>
    <w:basedOn w:val="Normal"/>
    <w:next w:val="Normal"/>
    <w:uiPriority w:val="37"/>
    <w:unhideWhenUsed/>
    <w:rsid w:val="00EF47F3"/>
    <w:pPr>
      <w:spacing w:after="240"/>
      <w:ind w:left="720" w:hanging="720"/>
    </w:pPr>
  </w:style>
  <w:style w:type="paragraph" w:styleId="Revision">
    <w:name w:val="Revision"/>
    <w:hidden/>
    <w:uiPriority w:val="99"/>
    <w:semiHidden/>
    <w:rsid w:val="0022061F"/>
    <w:rPr>
      <w:sz w:val="24"/>
      <w:szCs w:val="24"/>
    </w:rPr>
  </w:style>
  <w:style w:type="character" w:styleId="EndnoteReference">
    <w:name w:val="endnote reference"/>
    <w:basedOn w:val="DefaultParagraphFont"/>
    <w:semiHidden/>
    <w:unhideWhenUsed/>
    <w:rsid w:val="00873329"/>
    <w:rPr>
      <w:vertAlign w:val="superscript"/>
    </w:rPr>
  </w:style>
  <w:style w:type="paragraph" w:customStyle="1" w:styleId="Heading1NotTOC">
    <w:name w:val="Heading 1 Not TOC"/>
    <w:basedOn w:val="Heading1"/>
    <w:next w:val="BodyText"/>
    <w:rsid w:val="009F79F4"/>
    <w:rPr>
      <w:kern w:val="28"/>
      <w:szCs w:val="26"/>
      <w:lang w:eastAsia="en-US"/>
    </w:rPr>
  </w:style>
  <w:style w:type="character" w:customStyle="1" w:styleId="UnresolvedMention1">
    <w:name w:val="Unresolved Mention1"/>
    <w:basedOn w:val="DefaultParagraphFont"/>
    <w:uiPriority w:val="99"/>
    <w:semiHidden/>
    <w:unhideWhenUsed/>
    <w:rsid w:val="00183D03"/>
    <w:rPr>
      <w:color w:val="605E5C"/>
      <w:shd w:val="clear" w:color="auto" w:fill="E1DFDD"/>
    </w:rPr>
  </w:style>
  <w:style w:type="paragraph" w:customStyle="1" w:styleId="Heading3hanging">
    <w:name w:val="Heading 3 (hanging)"/>
    <w:basedOn w:val="Heading3"/>
    <w:rsid w:val="00AF798B"/>
    <w:pPr>
      <w:ind w:left="720" w:hanging="720"/>
    </w:pPr>
  </w:style>
  <w:style w:type="character" w:styleId="UnresolvedMention">
    <w:name w:val="Unresolved Mention"/>
    <w:basedOn w:val="DefaultParagraphFont"/>
    <w:uiPriority w:val="99"/>
    <w:semiHidden/>
    <w:unhideWhenUsed/>
    <w:rsid w:val="00C8599C"/>
    <w:rPr>
      <w:color w:val="605E5C"/>
      <w:shd w:val="clear" w:color="auto" w:fill="E1DFDD"/>
    </w:rPr>
  </w:style>
  <w:style w:type="paragraph" w:customStyle="1" w:styleId="Copyrightheading">
    <w:name w:val="Copyright heading"/>
    <w:basedOn w:val="TOC1"/>
    <w:link w:val="CopyrightheadingChar"/>
    <w:qFormat/>
    <w:rsid w:val="00822537"/>
    <w:pPr>
      <w:spacing w:after="160" w:line="300" w:lineRule="exact"/>
    </w:pPr>
    <w:rPr>
      <w:rFonts w:eastAsiaTheme="minorHAnsi" w:cstheme="minorBidi"/>
      <w:sz w:val="22"/>
    </w:rPr>
  </w:style>
  <w:style w:type="character" w:customStyle="1" w:styleId="CopyrightheadingChar">
    <w:name w:val="Copyright heading Char"/>
    <w:basedOn w:val="TOC1Char"/>
    <w:link w:val="Copyrightheading"/>
    <w:rsid w:val="00822537"/>
    <w:rPr>
      <w:rFonts w:ascii="Arial" w:eastAsiaTheme="minorHAnsi" w:hAnsi="Arial" w:cstheme="minorBidi"/>
      <w:b/>
      <w:sz w:val="22"/>
      <w:szCs w:val="26"/>
      <w:lang w:eastAsia="en-US"/>
    </w:rPr>
  </w:style>
  <w:style w:type="paragraph" w:customStyle="1" w:styleId="Copyrightsubtitle">
    <w:name w:val="Copyright subtitle"/>
    <w:basedOn w:val="BodyText"/>
    <w:rsid w:val="00822537"/>
    <w:rPr>
      <w:rFonts w:ascii="Arial" w:hAnsi="Arial"/>
      <w:b/>
      <w:sz w:val="22"/>
      <w:szCs w:val="25"/>
    </w:rPr>
  </w:style>
  <w:style w:type="paragraph" w:customStyle="1" w:styleId="Copyrightbodytext">
    <w:name w:val="Copyright bodytext"/>
    <w:basedOn w:val="BodyText"/>
    <w:link w:val="CopyrightbodytextChar"/>
    <w:qFormat/>
    <w:rsid w:val="00822537"/>
    <w:pPr>
      <w:spacing w:before="60"/>
    </w:pPr>
  </w:style>
  <w:style w:type="character" w:customStyle="1" w:styleId="CopyrightbodytextChar">
    <w:name w:val="Copyright bodytext Char"/>
    <w:basedOn w:val="BodyTextChar"/>
    <w:link w:val="Copyrightbodytext"/>
    <w:rsid w:val="008225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01596">
      <w:bodyDiv w:val="1"/>
      <w:marLeft w:val="0"/>
      <w:marRight w:val="0"/>
      <w:marTop w:val="0"/>
      <w:marBottom w:val="0"/>
      <w:divBdr>
        <w:top w:val="none" w:sz="0" w:space="0" w:color="auto"/>
        <w:left w:val="none" w:sz="0" w:space="0" w:color="auto"/>
        <w:bottom w:val="none" w:sz="0" w:space="0" w:color="auto"/>
        <w:right w:val="none" w:sz="0" w:space="0" w:color="auto"/>
      </w:divBdr>
    </w:div>
    <w:div w:id="226573740">
      <w:bodyDiv w:val="1"/>
      <w:marLeft w:val="0"/>
      <w:marRight w:val="0"/>
      <w:marTop w:val="0"/>
      <w:marBottom w:val="0"/>
      <w:divBdr>
        <w:top w:val="none" w:sz="0" w:space="0" w:color="auto"/>
        <w:left w:val="none" w:sz="0" w:space="0" w:color="auto"/>
        <w:bottom w:val="none" w:sz="0" w:space="0" w:color="auto"/>
        <w:right w:val="none" w:sz="0" w:space="0" w:color="auto"/>
      </w:divBdr>
    </w:div>
    <w:div w:id="231279528">
      <w:bodyDiv w:val="1"/>
      <w:marLeft w:val="0"/>
      <w:marRight w:val="0"/>
      <w:marTop w:val="0"/>
      <w:marBottom w:val="0"/>
      <w:divBdr>
        <w:top w:val="none" w:sz="0" w:space="0" w:color="auto"/>
        <w:left w:val="none" w:sz="0" w:space="0" w:color="auto"/>
        <w:bottom w:val="none" w:sz="0" w:space="0" w:color="auto"/>
        <w:right w:val="none" w:sz="0" w:space="0" w:color="auto"/>
      </w:divBdr>
    </w:div>
    <w:div w:id="233248745">
      <w:bodyDiv w:val="1"/>
      <w:marLeft w:val="0"/>
      <w:marRight w:val="0"/>
      <w:marTop w:val="0"/>
      <w:marBottom w:val="0"/>
      <w:divBdr>
        <w:top w:val="none" w:sz="0" w:space="0" w:color="auto"/>
        <w:left w:val="none" w:sz="0" w:space="0" w:color="auto"/>
        <w:bottom w:val="none" w:sz="0" w:space="0" w:color="auto"/>
        <w:right w:val="none" w:sz="0" w:space="0" w:color="auto"/>
      </w:divBdr>
      <w:divsChild>
        <w:div w:id="633876248">
          <w:marLeft w:val="274"/>
          <w:marRight w:val="0"/>
          <w:marTop w:val="60"/>
          <w:marBottom w:val="0"/>
          <w:divBdr>
            <w:top w:val="none" w:sz="0" w:space="0" w:color="auto"/>
            <w:left w:val="none" w:sz="0" w:space="0" w:color="auto"/>
            <w:bottom w:val="none" w:sz="0" w:space="0" w:color="auto"/>
            <w:right w:val="none" w:sz="0" w:space="0" w:color="auto"/>
          </w:divBdr>
        </w:div>
        <w:div w:id="997881394">
          <w:marLeft w:val="274"/>
          <w:marRight w:val="0"/>
          <w:marTop w:val="60"/>
          <w:marBottom w:val="0"/>
          <w:divBdr>
            <w:top w:val="none" w:sz="0" w:space="0" w:color="auto"/>
            <w:left w:val="none" w:sz="0" w:space="0" w:color="auto"/>
            <w:bottom w:val="none" w:sz="0" w:space="0" w:color="auto"/>
            <w:right w:val="none" w:sz="0" w:space="0" w:color="auto"/>
          </w:divBdr>
        </w:div>
      </w:divsChild>
    </w:div>
    <w:div w:id="437482040">
      <w:bodyDiv w:val="1"/>
      <w:marLeft w:val="0"/>
      <w:marRight w:val="0"/>
      <w:marTop w:val="0"/>
      <w:marBottom w:val="0"/>
      <w:divBdr>
        <w:top w:val="none" w:sz="0" w:space="0" w:color="auto"/>
        <w:left w:val="none" w:sz="0" w:space="0" w:color="auto"/>
        <w:bottom w:val="none" w:sz="0" w:space="0" w:color="auto"/>
        <w:right w:val="none" w:sz="0" w:space="0" w:color="auto"/>
      </w:divBdr>
    </w:div>
    <w:div w:id="452871429">
      <w:bodyDiv w:val="1"/>
      <w:marLeft w:val="0"/>
      <w:marRight w:val="0"/>
      <w:marTop w:val="0"/>
      <w:marBottom w:val="0"/>
      <w:divBdr>
        <w:top w:val="none" w:sz="0" w:space="0" w:color="auto"/>
        <w:left w:val="none" w:sz="0" w:space="0" w:color="auto"/>
        <w:bottom w:val="none" w:sz="0" w:space="0" w:color="auto"/>
        <w:right w:val="none" w:sz="0" w:space="0" w:color="auto"/>
      </w:divBdr>
      <w:divsChild>
        <w:div w:id="1592465989">
          <w:marLeft w:val="274"/>
          <w:marRight w:val="0"/>
          <w:marTop w:val="60"/>
          <w:marBottom w:val="0"/>
          <w:divBdr>
            <w:top w:val="none" w:sz="0" w:space="0" w:color="auto"/>
            <w:left w:val="none" w:sz="0" w:space="0" w:color="auto"/>
            <w:bottom w:val="none" w:sz="0" w:space="0" w:color="auto"/>
            <w:right w:val="none" w:sz="0" w:space="0" w:color="auto"/>
          </w:divBdr>
        </w:div>
        <w:div w:id="814031481">
          <w:marLeft w:val="274"/>
          <w:marRight w:val="0"/>
          <w:marTop w:val="60"/>
          <w:marBottom w:val="0"/>
          <w:divBdr>
            <w:top w:val="none" w:sz="0" w:space="0" w:color="auto"/>
            <w:left w:val="none" w:sz="0" w:space="0" w:color="auto"/>
            <w:bottom w:val="none" w:sz="0" w:space="0" w:color="auto"/>
            <w:right w:val="none" w:sz="0" w:space="0" w:color="auto"/>
          </w:divBdr>
        </w:div>
      </w:divsChild>
    </w:div>
    <w:div w:id="560168255">
      <w:bodyDiv w:val="1"/>
      <w:marLeft w:val="0"/>
      <w:marRight w:val="0"/>
      <w:marTop w:val="0"/>
      <w:marBottom w:val="0"/>
      <w:divBdr>
        <w:top w:val="none" w:sz="0" w:space="0" w:color="auto"/>
        <w:left w:val="none" w:sz="0" w:space="0" w:color="auto"/>
        <w:bottom w:val="none" w:sz="0" w:space="0" w:color="auto"/>
        <w:right w:val="none" w:sz="0" w:space="0" w:color="auto"/>
      </w:divBdr>
    </w:div>
    <w:div w:id="569459736">
      <w:bodyDiv w:val="1"/>
      <w:marLeft w:val="0"/>
      <w:marRight w:val="0"/>
      <w:marTop w:val="0"/>
      <w:marBottom w:val="0"/>
      <w:divBdr>
        <w:top w:val="none" w:sz="0" w:space="0" w:color="auto"/>
        <w:left w:val="none" w:sz="0" w:space="0" w:color="auto"/>
        <w:bottom w:val="none" w:sz="0" w:space="0" w:color="auto"/>
        <w:right w:val="none" w:sz="0" w:space="0" w:color="auto"/>
      </w:divBdr>
    </w:div>
    <w:div w:id="769668840">
      <w:bodyDiv w:val="1"/>
      <w:marLeft w:val="0"/>
      <w:marRight w:val="0"/>
      <w:marTop w:val="0"/>
      <w:marBottom w:val="0"/>
      <w:divBdr>
        <w:top w:val="none" w:sz="0" w:space="0" w:color="auto"/>
        <w:left w:val="none" w:sz="0" w:space="0" w:color="auto"/>
        <w:bottom w:val="none" w:sz="0" w:space="0" w:color="auto"/>
        <w:right w:val="none" w:sz="0" w:space="0" w:color="auto"/>
      </w:divBdr>
    </w:div>
    <w:div w:id="884751174">
      <w:bodyDiv w:val="1"/>
      <w:marLeft w:val="0"/>
      <w:marRight w:val="0"/>
      <w:marTop w:val="0"/>
      <w:marBottom w:val="0"/>
      <w:divBdr>
        <w:top w:val="none" w:sz="0" w:space="0" w:color="auto"/>
        <w:left w:val="none" w:sz="0" w:space="0" w:color="auto"/>
        <w:bottom w:val="none" w:sz="0" w:space="0" w:color="auto"/>
        <w:right w:val="none" w:sz="0" w:space="0" w:color="auto"/>
      </w:divBdr>
    </w:div>
    <w:div w:id="932131513">
      <w:bodyDiv w:val="1"/>
      <w:marLeft w:val="0"/>
      <w:marRight w:val="0"/>
      <w:marTop w:val="0"/>
      <w:marBottom w:val="0"/>
      <w:divBdr>
        <w:top w:val="none" w:sz="0" w:space="0" w:color="auto"/>
        <w:left w:val="none" w:sz="0" w:space="0" w:color="auto"/>
        <w:bottom w:val="none" w:sz="0" w:space="0" w:color="auto"/>
        <w:right w:val="none" w:sz="0" w:space="0" w:color="auto"/>
      </w:divBdr>
    </w:div>
    <w:div w:id="1303584034">
      <w:bodyDiv w:val="1"/>
      <w:marLeft w:val="0"/>
      <w:marRight w:val="0"/>
      <w:marTop w:val="0"/>
      <w:marBottom w:val="0"/>
      <w:divBdr>
        <w:top w:val="none" w:sz="0" w:space="0" w:color="auto"/>
        <w:left w:val="none" w:sz="0" w:space="0" w:color="auto"/>
        <w:bottom w:val="none" w:sz="0" w:space="0" w:color="auto"/>
        <w:right w:val="none" w:sz="0" w:space="0" w:color="auto"/>
      </w:divBdr>
    </w:div>
    <w:div w:id="1316301211">
      <w:bodyDiv w:val="1"/>
      <w:marLeft w:val="0"/>
      <w:marRight w:val="0"/>
      <w:marTop w:val="0"/>
      <w:marBottom w:val="0"/>
      <w:divBdr>
        <w:top w:val="none" w:sz="0" w:space="0" w:color="auto"/>
        <w:left w:val="none" w:sz="0" w:space="0" w:color="auto"/>
        <w:bottom w:val="none" w:sz="0" w:space="0" w:color="auto"/>
        <w:right w:val="none" w:sz="0" w:space="0" w:color="auto"/>
      </w:divBdr>
      <w:divsChild>
        <w:div w:id="428741926">
          <w:marLeft w:val="274"/>
          <w:marRight w:val="0"/>
          <w:marTop w:val="60"/>
          <w:marBottom w:val="0"/>
          <w:divBdr>
            <w:top w:val="none" w:sz="0" w:space="0" w:color="auto"/>
            <w:left w:val="none" w:sz="0" w:space="0" w:color="auto"/>
            <w:bottom w:val="none" w:sz="0" w:space="0" w:color="auto"/>
            <w:right w:val="none" w:sz="0" w:space="0" w:color="auto"/>
          </w:divBdr>
        </w:div>
        <w:div w:id="1554927749">
          <w:marLeft w:val="562"/>
          <w:marRight w:val="0"/>
          <w:marTop w:val="40"/>
          <w:marBottom w:val="0"/>
          <w:divBdr>
            <w:top w:val="none" w:sz="0" w:space="0" w:color="auto"/>
            <w:left w:val="none" w:sz="0" w:space="0" w:color="auto"/>
            <w:bottom w:val="none" w:sz="0" w:space="0" w:color="auto"/>
            <w:right w:val="none" w:sz="0" w:space="0" w:color="auto"/>
          </w:divBdr>
        </w:div>
        <w:div w:id="154735417">
          <w:marLeft w:val="562"/>
          <w:marRight w:val="0"/>
          <w:marTop w:val="40"/>
          <w:marBottom w:val="0"/>
          <w:divBdr>
            <w:top w:val="none" w:sz="0" w:space="0" w:color="auto"/>
            <w:left w:val="none" w:sz="0" w:space="0" w:color="auto"/>
            <w:bottom w:val="none" w:sz="0" w:space="0" w:color="auto"/>
            <w:right w:val="none" w:sz="0" w:space="0" w:color="auto"/>
          </w:divBdr>
        </w:div>
        <w:div w:id="1320117318">
          <w:marLeft w:val="562"/>
          <w:marRight w:val="0"/>
          <w:marTop w:val="40"/>
          <w:marBottom w:val="0"/>
          <w:divBdr>
            <w:top w:val="none" w:sz="0" w:space="0" w:color="auto"/>
            <w:left w:val="none" w:sz="0" w:space="0" w:color="auto"/>
            <w:bottom w:val="none" w:sz="0" w:space="0" w:color="auto"/>
            <w:right w:val="none" w:sz="0" w:space="0" w:color="auto"/>
          </w:divBdr>
        </w:div>
        <w:div w:id="1276446979">
          <w:marLeft w:val="562"/>
          <w:marRight w:val="0"/>
          <w:marTop w:val="40"/>
          <w:marBottom w:val="0"/>
          <w:divBdr>
            <w:top w:val="none" w:sz="0" w:space="0" w:color="auto"/>
            <w:left w:val="none" w:sz="0" w:space="0" w:color="auto"/>
            <w:bottom w:val="none" w:sz="0" w:space="0" w:color="auto"/>
            <w:right w:val="none" w:sz="0" w:space="0" w:color="auto"/>
          </w:divBdr>
        </w:div>
      </w:divsChild>
    </w:div>
    <w:div w:id="1470979435">
      <w:bodyDiv w:val="1"/>
      <w:marLeft w:val="0"/>
      <w:marRight w:val="0"/>
      <w:marTop w:val="0"/>
      <w:marBottom w:val="0"/>
      <w:divBdr>
        <w:top w:val="none" w:sz="0" w:space="0" w:color="auto"/>
        <w:left w:val="none" w:sz="0" w:space="0" w:color="auto"/>
        <w:bottom w:val="none" w:sz="0" w:space="0" w:color="auto"/>
        <w:right w:val="none" w:sz="0" w:space="0" w:color="auto"/>
      </w:divBdr>
    </w:div>
    <w:div w:id="1634017423">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02473598">
      <w:bodyDiv w:val="1"/>
      <w:marLeft w:val="0"/>
      <w:marRight w:val="0"/>
      <w:marTop w:val="0"/>
      <w:marBottom w:val="0"/>
      <w:divBdr>
        <w:top w:val="none" w:sz="0" w:space="0" w:color="auto"/>
        <w:left w:val="none" w:sz="0" w:space="0" w:color="auto"/>
        <w:bottom w:val="none" w:sz="0" w:space="0" w:color="auto"/>
        <w:right w:val="none" w:sz="0" w:space="0" w:color="auto"/>
      </w:divBdr>
      <w:divsChild>
        <w:div w:id="257562695">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mc.gov.au/government/commonwealth-coat-a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mailto:mpw@p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ports" ma:contentTypeID="0x0101007916246811615643A710C6FEAFF56A871104004DBBF490563C874C99A69B130A4CD22F" ma:contentTypeVersion="0" ma:contentTypeDescription="" ma:contentTypeScope="" ma:versionID="ec21511b978ea416b1490b15aa6eb31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1868167741d32cd1ac9683cb1c117d0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_dlc_DocId xmlns="3f4bcce7-ac1a-4c9d-aa3e-7e77695652db">PCDOC-1674499194-11</_dlc_DocId>
    <_dlc_DocIdUrl xmlns="3f4bcce7-ac1a-4c9d-aa3e-7e77695652db">
      <Url>http://inet.pc.gov.au/pmo/inq/water2020/_layouts/15/DocIdRedir.aspx?ID=PCDOC-1674499194-11</Url>
      <Description>PCDOC-1674499194-11</Description>
    </_dlc_DocIdUrl>
  </documentManagement>
</p:properties>
</file>

<file path=customXml/item7.xml><?xml version="1.0" encoding="utf-8"?>
<?mso-contentType ?>
<SharedContentType xmlns="Microsoft.SharePoint.Taxonomy.ContentTypeSync" SourceId="70da5c63-8548-4ac8-9616-83b0f373280e" ContentTypeId="0x0101007916246811615643A710C6FEAFF56A871104" PreviousValue="false"/>
</file>

<file path=customXml/itemProps1.xml><?xml version="1.0" encoding="utf-8"?>
<ds:datastoreItem xmlns:ds="http://schemas.openxmlformats.org/officeDocument/2006/customXml" ds:itemID="{F52BE218-FBF3-4704-B547-18854AAFE724}">
  <ds:schemaRefs>
    <ds:schemaRef ds:uri="http://schemas.openxmlformats.org/officeDocument/2006/bibliography"/>
  </ds:schemaRefs>
</ds:datastoreItem>
</file>

<file path=customXml/itemProps2.xml><?xml version="1.0" encoding="utf-8"?>
<ds:datastoreItem xmlns:ds="http://schemas.openxmlformats.org/officeDocument/2006/customXml" ds:itemID="{F0643851-B037-4D2A-AD8D-D86FCDD271FB}">
  <ds:schemaRefs>
    <ds:schemaRef ds:uri="http://schemas.microsoft.com/sharepoint/v3/contenttype/forms"/>
  </ds:schemaRefs>
</ds:datastoreItem>
</file>

<file path=customXml/itemProps3.xml><?xml version="1.0" encoding="utf-8"?>
<ds:datastoreItem xmlns:ds="http://schemas.openxmlformats.org/officeDocument/2006/customXml" ds:itemID="{19EE50E3-737C-47F0-8547-8CE31CD2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3A472-6EC9-4EAF-BDAE-DD23721F598F}">
  <ds:schemaRefs>
    <ds:schemaRef ds:uri="http://schemas.microsoft.com/office/2006/metadata/customXsn"/>
  </ds:schemaRefs>
</ds:datastoreItem>
</file>

<file path=customXml/itemProps5.xml><?xml version="1.0" encoding="utf-8"?>
<ds:datastoreItem xmlns:ds="http://schemas.openxmlformats.org/officeDocument/2006/customXml" ds:itemID="{3F3BE786-1189-4FA6-A2FF-78A65DF28A2B}">
  <ds:schemaRefs>
    <ds:schemaRef ds:uri="http://schemas.microsoft.com/sharepoint/events"/>
  </ds:schemaRefs>
</ds:datastoreItem>
</file>

<file path=customXml/itemProps6.xml><?xml version="1.0" encoding="utf-8"?>
<ds:datastoreItem xmlns:ds="http://schemas.openxmlformats.org/officeDocument/2006/customXml" ds:itemID="{E81CABC8-1406-48EB-A353-EFF506ACA5BB}">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microsoft.com/sharepoint/v3"/>
    <ds:schemaRef ds:uri="http://schemas.openxmlformats.org/package/2006/metadata/core-properties"/>
    <ds:schemaRef ds:uri="3f4bcce7-ac1a-4c9d-aa3e-7e77695652db"/>
    <ds:schemaRef ds:uri="http://purl.org/dc/terms/"/>
  </ds:schemaRefs>
</ds:datastoreItem>
</file>

<file path=customXml/itemProps7.xml><?xml version="1.0" encoding="utf-8"?>
<ds:datastoreItem xmlns:ds="http://schemas.openxmlformats.org/officeDocument/2006/customXml" ds:itemID="{94A02829-E6CF-4BF7-950D-E0AAA6E80B0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chapter.dotm</Template>
  <TotalTime>1081</TotalTime>
  <Pages>39</Pages>
  <Words>13663</Words>
  <Characters>83394</Characters>
  <Application>Microsoft Office Word</Application>
  <DocSecurity>0</DocSecurity>
  <Lines>694</Lines>
  <Paragraphs>193</Paragraphs>
  <ScaleCrop>false</ScaleCrop>
  <HeadingPairs>
    <vt:vector size="2" baseType="variant">
      <vt:variant>
        <vt:lpstr>Title</vt:lpstr>
      </vt:variant>
      <vt:variant>
        <vt:i4>1</vt:i4>
      </vt:variant>
    </vt:vector>
  </HeadingPairs>
  <TitlesOfParts>
    <vt:vector size="1" baseType="lpstr">
      <vt:lpstr>Supporting paper I: Government investment in water infrastructure (Infrastructure) - Nartonal Water Reform 2020 - Draft report</vt:lpstr>
    </vt:vector>
  </TitlesOfParts>
  <Company>Productivity Commission</Company>
  <LinksUpToDate>false</LinksUpToDate>
  <CharactersWithSpaces>96864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I: Government investment in water infrastructure (Infrastructure) - Nartonal Water Reform 2020 - Draft report</dc:title>
  <dc:subject>National Water Reform 2020</dc:subject>
  <dc:creator>Productivity Commission</dc:creator>
  <cp:keywords/>
  <dc:description/>
  <cp:lastModifiedBy>Alston, Chris</cp:lastModifiedBy>
  <cp:revision>162</cp:revision>
  <cp:lastPrinted>2021-02-09T02:06:00Z</cp:lastPrinted>
  <dcterms:created xsi:type="dcterms:W3CDTF">2020-07-15T05:58:00Z</dcterms:created>
  <dcterms:modified xsi:type="dcterms:W3CDTF">2021-02-09T02:13:00Z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0x0101007916246811615643A710C6FEAFF56A871104004DBBF490563C874C99A69B130A4CD22F</vt:lpwstr>
  </property>
  <property fmtid="{D5CDD505-2E9C-101B-9397-08002B2CF9AE}" pid="3" name="_dlc_DocIdItemGuid">
    <vt:lpwstr>18deb00b-abab-4b81-8c9d-a0d62a5b1181</vt:lpwstr>
  </property>
  <property fmtid="{D5CDD505-2E9C-101B-9397-08002B2CF9AE}" pid="4" name="TaxKeyword">
    <vt:lpwstr>;#</vt:lpwstr>
  </property>
  <property fmtid="{D5CDD505-2E9C-101B-9397-08002B2CF9AE}" pid="5" name="Record Tag">
    <vt:lpwstr>24</vt:lpwstr>
  </property>
  <property fmtid="{D5CDD505-2E9C-101B-9397-08002B2CF9AE}" pid="6" name="ZOTERO_PREF_2">
    <vt:lpwstr>JournalAbbreviations" value="true"/&gt;&lt;/prefs&gt;&lt;/data&gt;</vt:lpwstr>
  </property>
  <property fmtid="{D5CDD505-2E9C-101B-9397-08002B2CF9AE}" pid="7" name="ZOTERO_PREF_1">
    <vt:lpwstr>&lt;data data-version="3" zotero-version="5.0.81"&gt;&lt;session id="nZeupqyZ"/&gt;&lt;style id="http://www.zotero.org/styles/Productivity-Commission" hasBibliography="1" bibliographyStyleHasBeenSet="1"/&gt;&lt;prefs&gt;&lt;pref name="fieldType" value="Field"/&gt;&lt;pref name="automatic</vt:lpwstr>
  </property>
</Properties>
</file>