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BBE6" w14:textId="11CF854E" w:rsidR="00234F8D" w:rsidRPr="00234F8D" w:rsidRDefault="002E701C" w:rsidP="00234F8D">
      <w:pPr>
        <w:framePr w:wrap="around" w:vAnchor="page" w:hAnchor="margin" w:xAlign="right" w:y="1135" w:anchorLock="1"/>
        <w:rPr>
          <w:rFonts w:ascii="Arial" w:eastAsia="Arial" w:hAnsi="Arial" w:cs="Times New Roman"/>
        </w:rPr>
      </w:pPr>
      <w:r>
        <w:rPr>
          <w:rFonts w:ascii="Arial" w:eastAsia="Arial" w:hAnsi="Arial" w:cs="Times New Roman"/>
        </w:rPr>
        <w:t xml:space="preserve">January </w:t>
      </w:r>
      <w:r w:rsidR="00234F8D" w:rsidRPr="00234F8D">
        <w:rPr>
          <w:rFonts w:ascii="Arial" w:eastAsia="Arial" w:hAnsi="Arial" w:cs="Times New Roman"/>
        </w:rPr>
        <w:t xml:space="preserve">2024   </w:t>
      </w:r>
    </w:p>
    <w:p w14:paraId="79EC4FAD" w14:textId="77777777" w:rsidR="00234F8D" w:rsidRPr="00234F8D" w:rsidRDefault="00234F8D" w:rsidP="00234F8D">
      <w:pPr>
        <w:framePr w:w="11913" w:h="10036" w:hRule="exact" w:wrap="around" w:vAnchor="page" w:hAnchor="page" w:y="6805" w:anchorLock="1"/>
        <w:spacing w:before="0" w:after="0" w:line="240" w:lineRule="auto"/>
        <w:rPr>
          <w:rFonts w:ascii="Arial" w:eastAsia="Arial" w:hAnsi="Arial" w:cs="Times New Roman"/>
        </w:rPr>
      </w:pPr>
      <w:r w:rsidRPr="00234F8D">
        <w:rPr>
          <w:rFonts w:ascii="Arial" w:eastAsia="Arial" w:hAnsi="Arial" w:cs="Times New Roman"/>
          <w:noProof/>
        </w:rPr>
        <w:drawing>
          <wp:inline distT="0" distB="0" distL="0" distR="0" wp14:anchorId="3E17BC1C" wp14:editId="2F9864AD">
            <wp:extent cx="7702550" cy="7702550"/>
            <wp:effectExtent l="0" t="0" r="0" b="0"/>
            <wp:docPr id="12" name="Picture 5" descr="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ground patter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02550" cy="7702550"/>
                    </a:xfrm>
                    <a:prstGeom prst="rect">
                      <a:avLst/>
                    </a:prstGeom>
                    <a:noFill/>
                    <a:ln>
                      <a:noFill/>
                    </a:ln>
                  </pic:spPr>
                </pic:pic>
              </a:graphicData>
            </a:graphic>
          </wp:inline>
        </w:drawing>
      </w:r>
    </w:p>
    <w:p w14:paraId="79B999FA" w14:textId="49164219" w:rsidR="00234F8D" w:rsidRPr="00234F8D" w:rsidRDefault="00051063" w:rsidP="00234F8D">
      <w:pPr>
        <w:spacing w:after="480" w:line="204" w:lineRule="auto"/>
        <w:ind w:right="2268"/>
        <w:contextualSpacing/>
        <w:outlineLvl w:val="0"/>
        <w:rPr>
          <w:rFonts w:ascii="Arial Black" w:eastAsia="SimHei" w:hAnsi="Arial Black" w:cs="Times New Roman"/>
          <w:color w:val="FFFFFF" w:themeColor="background1"/>
          <w:kern w:val="28"/>
          <w:sz w:val="52"/>
          <w:szCs w:val="56"/>
        </w:rPr>
      </w:pPr>
      <w:r>
        <w:rPr>
          <w:rFonts w:ascii="Arial Black" w:eastAsia="SimHei" w:hAnsi="Arial Black" w:cs="Times New Roman"/>
          <w:kern w:val="28"/>
          <w:sz w:val="52"/>
          <w:szCs w:val="56"/>
        </w:rPr>
        <w:t>National Water Reform 2024</w:t>
      </w:r>
    </w:p>
    <w:p w14:paraId="3A2E0EC1" w14:textId="745D4C07" w:rsidR="00234F8D" w:rsidRPr="00234F8D" w:rsidRDefault="00234F8D" w:rsidP="009B40E8">
      <w:pPr>
        <w:spacing w:before="240" w:after="240" w:line="240" w:lineRule="auto"/>
        <w:rPr>
          <w:rFonts w:ascii="Arial" w:eastAsia="SimSun" w:hAnsi="Arial" w:cs="Times New Roman"/>
          <w:color w:val="FFFFFF" w:themeColor="background1"/>
          <w:sz w:val="52"/>
        </w:rPr>
      </w:pPr>
      <w:r w:rsidRPr="00234F8D">
        <w:rPr>
          <w:rFonts w:ascii="Arial" w:eastAsia="SimSun" w:hAnsi="Arial" w:cs="Times New Roman"/>
          <w:sz w:val="52"/>
        </w:rPr>
        <w:t>Call for submissions</w:t>
      </w:r>
      <w:r w:rsidRPr="00234F8D">
        <w:rPr>
          <w:rFonts w:ascii="Arial" w:eastAsia="Arial" w:hAnsi="Arial" w:cs="Times New Roman"/>
          <w:noProof/>
        </w:rPr>
        <mc:AlternateContent>
          <mc:Choice Requires="wps">
            <w:drawing>
              <wp:anchor distT="0" distB="0" distL="114300" distR="114300" simplePos="0" relativeHeight="251660288" behindDoc="0" locked="0" layoutInCell="1" allowOverlap="1" wp14:anchorId="045B06E9" wp14:editId="3324C5C1">
                <wp:simplePos x="0" y="0"/>
                <wp:positionH relativeFrom="page">
                  <wp:posOffset>720090</wp:posOffset>
                </wp:positionH>
                <wp:positionV relativeFrom="page">
                  <wp:posOffset>8821420</wp:posOffset>
                </wp:positionV>
                <wp:extent cx="1800225" cy="1259840"/>
                <wp:effectExtent l="0" t="0" r="28575" b="16510"/>
                <wp:wrapNone/>
                <wp:docPr id="364657596" name="Text Box 15"/>
                <wp:cNvGraphicFramePr/>
                <a:graphic xmlns:a="http://schemas.openxmlformats.org/drawingml/2006/main">
                  <a:graphicData uri="http://schemas.microsoft.com/office/word/2010/wordprocessingShape">
                    <wps:wsp>
                      <wps:cNvSpPr txBox="1"/>
                      <wps:spPr>
                        <a:xfrm>
                          <a:off x="0" y="0"/>
                          <a:ext cx="1799590" cy="1259840"/>
                        </a:xfrm>
                        <a:prstGeom prst="rect">
                          <a:avLst/>
                        </a:prstGeom>
                        <a:solidFill>
                          <a:sysClr val="windowText" lastClr="000000"/>
                        </a:solidFill>
                        <a:ln w="6350">
                          <a:solidFill>
                            <a:prstClr val="black"/>
                          </a:solidFill>
                        </a:ln>
                      </wps:spPr>
                      <wps:txbx>
                        <w:txbxContent>
                          <w:p w14:paraId="73C84C2B" w14:textId="77777777" w:rsidR="00234F8D" w:rsidRDefault="00234F8D" w:rsidP="00234F8D">
                            <w:pPr>
                              <w:pStyle w:val="CoverdisclaimerwhiteCover"/>
                              <w:tabs>
                                <w:tab w:val="clear" w:pos="170"/>
                              </w:tabs>
                            </w:pPr>
                            <w:r>
                              <w:t xml:space="preserve">The Commission has released this </w:t>
                            </w:r>
                            <w:r>
                              <w:br/>
                              <w:t>paper to assist individuals and organisations to prepare submissions. It contains and outlines:</w:t>
                            </w:r>
                          </w:p>
                          <w:p w14:paraId="661F0EF2" w14:textId="77777777" w:rsidR="00234F8D" w:rsidRDefault="00234F8D" w:rsidP="00234F8D">
                            <w:pPr>
                              <w:pStyle w:val="CoverdisclaimerwhiteCover"/>
                            </w:pPr>
                            <w:r>
                              <w:t>•</w:t>
                            </w:r>
                            <w:r>
                              <w:tab/>
                              <w:t xml:space="preserve">the scope of the inquiry </w:t>
                            </w:r>
                          </w:p>
                          <w:p w14:paraId="508D4789" w14:textId="77777777" w:rsidR="00234F8D" w:rsidRDefault="00234F8D" w:rsidP="00234F8D">
                            <w:pPr>
                              <w:pStyle w:val="CoverdisclaimerwhiteCover"/>
                            </w:pPr>
                            <w:r>
                              <w:t>•</w:t>
                            </w:r>
                            <w:r>
                              <w:tab/>
                              <w:t>the Commission’s procedures</w:t>
                            </w:r>
                          </w:p>
                          <w:p w14:paraId="56FE22A4" w14:textId="77777777" w:rsidR="00234F8D" w:rsidRDefault="00234F8D" w:rsidP="00234F8D">
                            <w:pPr>
                              <w:pStyle w:val="CoverdisclaimerwhiteCover"/>
                              <w:ind w:left="170" w:hanging="170"/>
                            </w:pPr>
                            <w:r>
                              <w:t>•</w:t>
                            </w:r>
                            <w:r>
                              <w:tab/>
                              <w:t>matters about which the Commission is seeking comment and information</w:t>
                            </w:r>
                          </w:p>
                          <w:p w14:paraId="6E83DF8B" w14:textId="77777777" w:rsidR="00234F8D" w:rsidRDefault="00234F8D" w:rsidP="00234F8D">
                            <w:pPr>
                              <w:pStyle w:val="CoverdisclaimerwhiteCover"/>
                            </w:pPr>
                            <w:r>
                              <w:t>•</w:t>
                            </w:r>
                            <w:r>
                              <w:tab/>
                              <w:t>how to make a submission.</w:t>
                            </w:r>
                          </w:p>
                        </w:txbxContent>
                      </wps:txbx>
                      <wps:bodyPr rot="0" spcFirstLastPara="0" vertOverflow="clip" horzOverflow="clip"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B06E9" id="_x0000_t202" coordsize="21600,21600" o:spt="202" path="m,l,21600r21600,l21600,xe">
                <v:stroke joinstyle="miter"/>
                <v:path gradientshapeok="t" o:connecttype="rect"/>
              </v:shapetype>
              <v:shape id="Text Box 15" o:spid="_x0000_s1026" type="#_x0000_t202" style="position:absolute;margin-left:56.7pt;margin-top:694.6pt;width:141.75pt;height:99.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" fillcolor="windowText" strokeweight=".5pt">
                <v:textbox inset="2mm,2mm,2mm,2mm">
                  <w:txbxContent>
                    <w:p w14:paraId="73C84C2B" w14:textId="77777777" w:rsidR="00234F8D" w:rsidRDefault="00234F8D" w:rsidP="00234F8D">
                      <w:pPr>
                        <w:pStyle w:val="CoverdisclaimerwhiteCover"/>
                        <w:tabs>
                          <w:tab w:val="clear" w:pos="170"/>
                        </w:tabs>
                      </w:pPr>
                      <w:r>
                        <w:t xml:space="preserve">The Commission has released this </w:t>
                      </w:r>
                      <w:r>
                        <w:br/>
                        <w:t xml:space="preserve">paper to assist individuals and </w:t>
                      </w:r>
                      <w:proofErr w:type="spellStart"/>
                      <w:r>
                        <w:t>organisations</w:t>
                      </w:r>
                      <w:proofErr w:type="spellEnd"/>
                      <w:r>
                        <w:t xml:space="preserve"> to prepare submissions. It contains and outlines:</w:t>
                      </w:r>
                    </w:p>
                    <w:p w14:paraId="661F0EF2" w14:textId="77777777" w:rsidR="00234F8D" w:rsidRDefault="00234F8D" w:rsidP="00234F8D">
                      <w:pPr>
                        <w:pStyle w:val="CoverdisclaimerwhiteCover"/>
                      </w:pPr>
                      <w:r>
                        <w:t>•</w:t>
                      </w:r>
                      <w:r>
                        <w:tab/>
                        <w:t xml:space="preserve">the scope of the inquiry </w:t>
                      </w:r>
                    </w:p>
                    <w:p w14:paraId="508D4789" w14:textId="77777777" w:rsidR="00234F8D" w:rsidRDefault="00234F8D" w:rsidP="00234F8D">
                      <w:pPr>
                        <w:pStyle w:val="CoverdisclaimerwhiteCover"/>
                      </w:pPr>
                      <w:r>
                        <w:t>•</w:t>
                      </w:r>
                      <w:r>
                        <w:tab/>
                        <w:t>the Commission’s procedures</w:t>
                      </w:r>
                    </w:p>
                    <w:p w14:paraId="56FE22A4" w14:textId="77777777" w:rsidR="00234F8D" w:rsidRDefault="00234F8D" w:rsidP="00234F8D">
                      <w:pPr>
                        <w:pStyle w:val="CoverdisclaimerwhiteCover"/>
                        <w:ind w:left="170" w:hanging="170"/>
                      </w:pPr>
                      <w:r>
                        <w:t>•</w:t>
                      </w:r>
                      <w:r>
                        <w:tab/>
                        <w:t>matters about which the Commission is seeking comment and information</w:t>
                      </w:r>
                    </w:p>
                    <w:p w14:paraId="6E83DF8B" w14:textId="77777777" w:rsidR="00234F8D" w:rsidRDefault="00234F8D" w:rsidP="00234F8D">
                      <w:pPr>
                        <w:pStyle w:val="CoverdisclaimerwhiteCover"/>
                      </w:pPr>
                      <w:r>
                        <w:t>•</w:t>
                      </w:r>
                      <w:r>
                        <w:tab/>
                        <w:t>how to make a submission.</w:t>
                      </w:r>
                    </w:p>
                  </w:txbxContent>
                </v:textbox>
                <w10:wrap anchorx="page" anchory="page"/>
              </v:shape>
            </w:pict>
          </mc:Fallback>
        </mc:AlternateContent>
      </w:r>
    </w:p>
    <w:p w14:paraId="13F8D716" w14:textId="77777777" w:rsidR="00234F8D" w:rsidRPr="00234F8D" w:rsidRDefault="00234F8D" w:rsidP="00234F8D">
      <w:pPr>
        <w:spacing w:before="0" w:after="0" w:line="240" w:lineRule="auto"/>
        <w:rPr>
          <w:rFonts w:ascii="Arial" w:eastAsia="Arial" w:hAnsi="Arial" w:cs="Times New Roman"/>
        </w:rPr>
        <w:sectPr w:rsidR="00234F8D" w:rsidRPr="00234F8D" w:rsidSect="00FD1E10">
          <w:headerReference w:type="default" r:id="rId15"/>
          <w:type w:val="oddPage"/>
          <w:pgSz w:w="11906" w:h="16838"/>
          <w:pgMar w:top="3261" w:right="1134" w:bottom="1134" w:left="1134" w:header="794" w:footer="510" w:gutter="0"/>
          <w:cols w:space="720"/>
        </w:sectPr>
      </w:pPr>
    </w:p>
    <w:tbl>
      <w:tblPr>
        <w:tblStyle w:val="CopyrightPage"/>
        <w:tblW w:w="0" w:type="auto"/>
        <w:tblLook w:val="04A0" w:firstRow="1" w:lastRow="0" w:firstColumn="1" w:lastColumn="0" w:noHBand="0" w:noVBand="1"/>
      </w:tblPr>
      <w:tblGrid>
        <w:gridCol w:w="9638"/>
      </w:tblGrid>
      <w:tr w:rsidR="00525F6E" w14:paraId="10DF06D2" w14:textId="77777777">
        <w:trPr>
          <w:trHeight w:hRule="exact" w:val="12643"/>
        </w:trPr>
        <w:tc>
          <w:tcPr>
            <w:tcW w:w="9638" w:type="dxa"/>
            <w:tcMar>
              <w:top w:w="113" w:type="dxa"/>
            </w:tcMar>
          </w:tcPr>
          <w:p w14:paraId="45A4DF29" w14:textId="447CC781" w:rsidR="00525F6E" w:rsidRPr="000F4488" w:rsidRDefault="00596550">
            <w:pPr>
              <w:pStyle w:val="Copyrightpage-BodyBold"/>
              <w:ind w:right="-284"/>
              <w:rPr>
                <w:rFonts w:asciiTheme="majorHAnsi" w:hAnsiTheme="majorHAnsi"/>
              </w:rPr>
            </w:pPr>
            <w:r>
              <w:rPr>
                <w:noProof/>
              </w:rPr>
              <w:lastRenderedPageBreak/>
              <mc:AlternateContent>
                <mc:Choice Requires="wps">
                  <w:drawing>
                    <wp:anchor distT="0" distB="0" distL="114300" distR="114300" simplePos="0" relativeHeight="251658240" behindDoc="0" locked="0" layoutInCell="1" allowOverlap="1" wp14:anchorId="023BDCEB" wp14:editId="4D96E4B5">
                      <wp:simplePos x="0" y="0"/>
                      <wp:positionH relativeFrom="page">
                        <wp:posOffset>720090</wp:posOffset>
                      </wp:positionH>
                      <wp:positionV relativeFrom="page">
                        <wp:posOffset>8821420</wp:posOffset>
                      </wp:positionV>
                      <wp:extent cx="1800000" cy="1260000"/>
                      <wp:effectExtent l="0" t="0" r="10160" b="16510"/>
                      <wp:wrapNone/>
                      <wp:docPr id="15" name="Text Box 15"/>
                      <wp:cNvGraphicFramePr/>
                      <a:graphic xmlns:a="http://schemas.openxmlformats.org/drawingml/2006/main">
                        <a:graphicData uri="http://schemas.microsoft.com/office/word/2010/wordprocessingShape">
                          <wps:wsp>
                            <wps:cNvSpPr txBox="1"/>
                            <wps:spPr>
                              <a:xfrm>
                                <a:off x="0" y="0"/>
                                <a:ext cx="1800000" cy="1260000"/>
                              </a:xfrm>
                              <a:prstGeom prst="rect">
                                <a:avLst/>
                              </a:prstGeom>
                              <a:solidFill>
                                <a:schemeClr val="tx1"/>
                              </a:solidFill>
                              <a:ln w="6350">
                                <a:solidFill>
                                  <a:prstClr val="black"/>
                                </a:solidFill>
                              </a:ln>
                            </wps:spPr>
                            <wps:txbx>
                              <w:txbxContent>
                                <w:p w14:paraId="6D964122" w14:textId="26B8BE2C" w:rsidR="00596550" w:rsidRDefault="00596550" w:rsidP="00596550">
                                  <w:pPr>
                                    <w:pStyle w:val="CoverdisclaimerwhiteCover"/>
                                    <w:tabs>
                                      <w:tab w:val="clear" w:pos="170"/>
                                    </w:tabs>
                                  </w:pPr>
                                  <w:r>
                                    <w:t xml:space="preserve">The Commission has released this </w:t>
                                  </w:r>
                                  <w:r>
                                    <w:br/>
                                  </w:r>
                                  <w:r w:rsidR="009B71DF">
                                    <w:t>paper</w:t>
                                  </w:r>
                                  <w:r>
                                    <w:t xml:space="preserve"> to assist individuals and organisations to prepare submissions. It contains and outlines:</w:t>
                                  </w:r>
                                </w:p>
                                <w:p w14:paraId="384DB554" w14:textId="77777777" w:rsidR="00596550" w:rsidRDefault="00596550" w:rsidP="00596550">
                                  <w:pPr>
                                    <w:pStyle w:val="CoverdisclaimerwhiteCover"/>
                                  </w:pPr>
                                  <w:r>
                                    <w:t>•</w:t>
                                  </w:r>
                                  <w:r>
                                    <w:tab/>
                                    <w:t xml:space="preserve">the scope of the inquiry </w:t>
                                  </w:r>
                                </w:p>
                                <w:p w14:paraId="18323AA6" w14:textId="77777777" w:rsidR="00596550" w:rsidRDefault="00596550" w:rsidP="00596550">
                                  <w:pPr>
                                    <w:pStyle w:val="CoverdisclaimerwhiteCover"/>
                                  </w:pPr>
                                  <w:r>
                                    <w:t>•</w:t>
                                  </w:r>
                                  <w:r>
                                    <w:tab/>
                                    <w:t>the Commission’s procedures</w:t>
                                  </w:r>
                                </w:p>
                                <w:p w14:paraId="5A00B1B1" w14:textId="77777777" w:rsidR="00596550" w:rsidRDefault="00596550" w:rsidP="00596550">
                                  <w:pPr>
                                    <w:pStyle w:val="CoverdisclaimerwhiteCover"/>
                                    <w:ind w:left="170" w:hanging="170"/>
                                  </w:pPr>
                                  <w:r>
                                    <w:t>•</w:t>
                                  </w:r>
                                  <w:r>
                                    <w:tab/>
                                    <w:t>matters about which the Commission is seeking comment and information</w:t>
                                  </w:r>
                                </w:p>
                                <w:p w14:paraId="67ADC6C3" w14:textId="77777777" w:rsidR="00596550" w:rsidRPr="00E945F6" w:rsidRDefault="00596550" w:rsidP="00596550">
                                  <w:pPr>
                                    <w:pStyle w:val="CoverdisclaimerwhiteCover"/>
                                  </w:pPr>
                                  <w:r>
                                    <w:t>•</w:t>
                                  </w:r>
                                  <w:r>
                                    <w:tab/>
                                    <w:t>how to make a submission.</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BDCEB" id="_x0000_s1027" type="#_x0000_t202" style="position:absolute;margin-left:56.7pt;margin-top:694.6pt;width:141.75pt;height: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" fillcolor="black [3213]" strokeweight=".5pt">
                      <v:textbox inset="2mm,2mm,2mm,2mm">
                        <w:txbxContent>
                          <w:p w14:paraId="6D964122" w14:textId="26B8BE2C" w:rsidR="00596550" w:rsidRDefault="00596550" w:rsidP="00596550">
                            <w:pPr>
                              <w:pStyle w:val="CoverdisclaimerwhiteCover"/>
                              <w:tabs>
                                <w:tab w:val="clear" w:pos="170"/>
                              </w:tabs>
                            </w:pPr>
                            <w:r>
                              <w:t xml:space="preserve">The Commission has released this </w:t>
                            </w:r>
                            <w:r>
                              <w:br/>
                            </w:r>
                            <w:r w:rsidR="009B71DF">
                              <w:t>paper</w:t>
                            </w:r>
                            <w:r>
                              <w:t xml:space="preserve"> to assist individuals and </w:t>
                            </w:r>
                            <w:proofErr w:type="spellStart"/>
                            <w:r>
                              <w:t>organisations</w:t>
                            </w:r>
                            <w:proofErr w:type="spellEnd"/>
                            <w:r>
                              <w:t xml:space="preserve"> to prepare submissions. It contains and outlines:</w:t>
                            </w:r>
                          </w:p>
                          <w:p w14:paraId="384DB554" w14:textId="77777777" w:rsidR="00596550" w:rsidRDefault="00596550" w:rsidP="00596550">
                            <w:pPr>
                              <w:pStyle w:val="CoverdisclaimerwhiteCover"/>
                            </w:pPr>
                            <w:r>
                              <w:t>•</w:t>
                            </w:r>
                            <w:r>
                              <w:tab/>
                              <w:t xml:space="preserve">the scope of the inquiry </w:t>
                            </w:r>
                          </w:p>
                          <w:p w14:paraId="18323AA6" w14:textId="77777777" w:rsidR="00596550" w:rsidRDefault="00596550" w:rsidP="00596550">
                            <w:pPr>
                              <w:pStyle w:val="CoverdisclaimerwhiteCover"/>
                            </w:pPr>
                            <w:r>
                              <w:t>•</w:t>
                            </w:r>
                            <w:r>
                              <w:tab/>
                              <w:t>the Commission’s procedures</w:t>
                            </w:r>
                          </w:p>
                          <w:p w14:paraId="5A00B1B1" w14:textId="77777777" w:rsidR="00596550" w:rsidRDefault="00596550" w:rsidP="00596550">
                            <w:pPr>
                              <w:pStyle w:val="CoverdisclaimerwhiteCover"/>
                              <w:ind w:left="170" w:hanging="170"/>
                            </w:pPr>
                            <w:r>
                              <w:t>•</w:t>
                            </w:r>
                            <w:r>
                              <w:tab/>
                              <w:t>matters about which the Commission is seeking comment and information</w:t>
                            </w:r>
                          </w:p>
                          <w:p w14:paraId="67ADC6C3" w14:textId="77777777" w:rsidR="00596550" w:rsidRPr="00E945F6" w:rsidRDefault="00596550" w:rsidP="00596550">
                            <w:pPr>
                              <w:pStyle w:val="CoverdisclaimerwhiteCover"/>
                            </w:pPr>
                            <w:r>
                              <w:t>•</w:t>
                            </w:r>
                            <w:r>
                              <w:tab/>
                              <w:t>how to make a submission.</w:t>
                            </w:r>
                          </w:p>
                        </w:txbxContent>
                      </v:textbox>
                      <w10:wrap anchorx="page" anchory="page"/>
                    </v:shape>
                  </w:pict>
                </mc:Fallback>
              </mc:AlternateContent>
            </w:r>
            <w:r w:rsidR="00525F6E">
              <w:rPr>
                <w:rStyle w:val="White"/>
              </w:rPr>
              <w:br w:type="page"/>
            </w:r>
            <w:r w:rsidR="00525F6E" w:rsidRPr="000F4488">
              <w:rPr>
                <w:rFonts w:asciiTheme="majorHAnsi" w:hAnsiTheme="majorHAnsi"/>
              </w:rPr>
              <w:t xml:space="preserve">The Productivity Commission acknowledges the Traditional Owners of </w:t>
            </w:r>
            <w:r w:rsidR="00525F6E" w:rsidRPr="000F4488">
              <w:rPr>
                <w:rFonts w:asciiTheme="majorHAnsi" w:hAnsiTheme="majorHAnsi"/>
              </w:rPr>
              <w:br/>
              <w:t xml:space="preserve">Country throughout Australia and their continuing connection to land, </w:t>
            </w:r>
            <w:r w:rsidR="00525F6E" w:rsidRPr="000F4488">
              <w:rPr>
                <w:rFonts w:asciiTheme="majorHAnsi" w:hAnsiTheme="majorHAnsi"/>
              </w:rPr>
              <w:br/>
              <w:t>waters and community. We pay our respects to their Cultures, Country and Elders past and present.</w:t>
            </w:r>
          </w:p>
          <w:p w14:paraId="61120FBE" w14:textId="77777777" w:rsidR="00525F6E" w:rsidRPr="00F37CB6" w:rsidRDefault="00525F6E">
            <w:pPr>
              <w:pStyle w:val="Copyrightpage-Keylinenotext"/>
              <w:ind w:right="-284"/>
            </w:pPr>
          </w:p>
          <w:p w14:paraId="0CF2E2CA" w14:textId="77777777" w:rsidR="00525F6E" w:rsidRPr="00D96F65" w:rsidRDefault="00525F6E">
            <w:pPr>
              <w:pStyle w:val="Copyrightpage-Heading"/>
              <w:ind w:right="-284"/>
            </w:pPr>
            <w:r w:rsidRPr="00D96F65">
              <w:t>The Productivity Commission</w:t>
            </w:r>
          </w:p>
          <w:p w14:paraId="5CF30F09" w14:textId="635F05FD" w:rsidR="00525F6E" w:rsidRPr="0013722E" w:rsidRDefault="00525F6E">
            <w:pPr>
              <w:pStyle w:val="Copyrightpage-BodyBold"/>
              <w:rPr>
                <w:spacing w:val="-4"/>
              </w:rPr>
            </w:pPr>
            <w:r w:rsidRPr="0013722E">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r w:rsidR="00F73EEE" w:rsidRPr="0013722E">
              <w:rPr>
                <w:spacing w:val="-4"/>
              </w:rPr>
              <w:t>long-term</w:t>
            </w:r>
            <w:r w:rsidRPr="0013722E">
              <w:rPr>
                <w:spacing w:val="-4"/>
              </w:rPr>
              <w:t xml:space="preserve"> interest of the Australian community.</w:t>
            </w:r>
          </w:p>
          <w:p w14:paraId="7394BA30" w14:textId="5826F830" w:rsidR="00525F6E" w:rsidRPr="000F4488" w:rsidRDefault="00525F6E">
            <w:pPr>
              <w:pStyle w:val="Copyrightpage-BodyBold"/>
            </w:pPr>
            <w:r w:rsidRPr="000561CF">
              <w:t>The Commission’s independence is underpinned by an Act of Parliament. Its processes and outputs are open to public scrutiny and are driven by concern for the wellbeing of the community.</w:t>
            </w:r>
          </w:p>
          <w:p w14:paraId="2BB7AF30" w14:textId="43C66CAB" w:rsidR="00525F6E" w:rsidRPr="000F4488" w:rsidRDefault="00525F6E">
            <w:pPr>
              <w:pStyle w:val="Copyrightpage-BodyBold"/>
            </w:pPr>
            <w:r w:rsidRPr="000561CF">
              <w:t xml:space="preserve">Further information </w:t>
            </w:r>
            <w:r w:rsidR="00A264AE">
              <w:t>about</w:t>
            </w:r>
            <w:r w:rsidRPr="000561CF">
              <w:t xml:space="preserve"> the Productivity Commission can be obtained from the Commission’s website (www.pc.gov.au).</w:t>
            </w:r>
          </w:p>
          <w:p w14:paraId="40C87FB5" w14:textId="77777777" w:rsidR="00525F6E" w:rsidRPr="000F4488" w:rsidRDefault="00525F6E">
            <w:pPr>
              <w:pStyle w:val="Copyrightpage-Keylinenotext"/>
              <w:ind w:right="-284"/>
              <w:rPr>
                <w:b/>
                <w:bCs/>
              </w:rPr>
            </w:pPr>
          </w:p>
          <w:p w14:paraId="66D8103A" w14:textId="6C9E93C4" w:rsidR="005F66CF" w:rsidRDefault="003B4F51" w:rsidP="005F66CF">
            <w:pPr>
              <w:pStyle w:val="Copyrightpage-Heading"/>
              <w:ind w:right="-284"/>
            </w:pPr>
            <w:r>
              <w:t xml:space="preserve">Call for </w:t>
            </w:r>
            <w:proofErr w:type="gramStart"/>
            <w:r>
              <w:t>submissions</w:t>
            </w:r>
            <w:proofErr w:type="gramEnd"/>
          </w:p>
          <w:p w14:paraId="09F37A3C" w14:textId="35F78B86" w:rsidR="005F66CF" w:rsidRDefault="005F66CF" w:rsidP="005F66CF">
            <w:pPr>
              <w:pStyle w:val="Copyrightpage-BodyText"/>
            </w:pPr>
            <w:r>
              <w:t xml:space="preserve">The Commission has released this paper to assist individuals and organisations to prepare submissions to the </w:t>
            </w:r>
            <w:r w:rsidR="00D317D4">
              <w:t>inquiry</w:t>
            </w:r>
            <w:r>
              <w:t>. It contains and outlines:</w:t>
            </w:r>
          </w:p>
          <w:p w14:paraId="5CA4F842" w14:textId="7D7AC7DC" w:rsidR="005F66CF" w:rsidRDefault="005F66CF" w:rsidP="005F66CF">
            <w:pPr>
              <w:pStyle w:val="Copyrightpage-BodyText"/>
              <w:numPr>
                <w:ilvl w:val="0"/>
                <w:numId w:val="27"/>
              </w:numPr>
              <w:ind w:left="357" w:hanging="357"/>
              <w:contextualSpacing/>
            </w:pPr>
            <w:r>
              <w:t xml:space="preserve">the scope of the </w:t>
            </w:r>
            <w:r w:rsidR="00D317D4">
              <w:t>inquiry</w:t>
            </w:r>
          </w:p>
          <w:p w14:paraId="3FD4D91D" w14:textId="77777777" w:rsidR="005F66CF" w:rsidRDefault="005F66CF" w:rsidP="005F66CF">
            <w:pPr>
              <w:pStyle w:val="Copyrightpage-BodyText"/>
              <w:numPr>
                <w:ilvl w:val="0"/>
                <w:numId w:val="27"/>
              </w:numPr>
              <w:ind w:left="357" w:hanging="357"/>
              <w:contextualSpacing/>
            </w:pPr>
            <w:r>
              <w:t>the Commission’s procedures</w:t>
            </w:r>
          </w:p>
          <w:p w14:paraId="6399FEE8" w14:textId="77777777" w:rsidR="005F66CF" w:rsidRDefault="005F66CF" w:rsidP="005F66CF">
            <w:pPr>
              <w:pStyle w:val="Copyrightpage-BodyText"/>
              <w:numPr>
                <w:ilvl w:val="0"/>
                <w:numId w:val="27"/>
              </w:numPr>
              <w:ind w:left="357" w:hanging="357"/>
              <w:contextualSpacing/>
            </w:pPr>
            <w:r>
              <w:t xml:space="preserve">matters about which the Commission is seeking comment and </w:t>
            </w:r>
            <w:proofErr w:type="gramStart"/>
            <w:r>
              <w:t>information</w:t>
            </w:r>
            <w:proofErr w:type="gramEnd"/>
          </w:p>
          <w:p w14:paraId="25D4EE2A" w14:textId="77777777" w:rsidR="005F66CF" w:rsidRDefault="005F66CF" w:rsidP="005F66CF">
            <w:pPr>
              <w:pStyle w:val="Copyrightpage-BodyText"/>
              <w:numPr>
                <w:ilvl w:val="0"/>
                <w:numId w:val="27"/>
              </w:numPr>
              <w:ind w:left="360"/>
            </w:pPr>
            <w:r>
              <w:t>how to make a submission (see attachment B).</w:t>
            </w:r>
          </w:p>
          <w:p w14:paraId="74C1799A" w14:textId="4941EC5E" w:rsidR="005F66CF" w:rsidRPr="000F4488" w:rsidRDefault="005F66CF" w:rsidP="005F66CF">
            <w:pPr>
              <w:pStyle w:val="Copyrightpage-BodyText"/>
            </w:pPr>
            <w:r>
              <w:t>Participants should not feel that they are restricted to comment only on matters raised in th</w:t>
            </w:r>
            <w:r w:rsidR="003B4F51">
              <w:t>is</w:t>
            </w:r>
            <w:r>
              <w:t xml:space="preserve"> paper. The Commission wishes to receive information and comment on issues which participants consider relevant to the </w:t>
            </w:r>
            <w:r w:rsidR="002958FA">
              <w:t>inquiry</w:t>
            </w:r>
            <w:r>
              <w:t>’s terms of reference.</w:t>
            </w:r>
          </w:p>
          <w:p w14:paraId="3D62F990" w14:textId="77777777" w:rsidR="005F66CF" w:rsidRPr="000F4488" w:rsidRDefault="005F66CF" w:rsidP="005F66CF">
            <w:pPr>
              <w:pStyle w:val="Copyrightpage-Keylinenotext"/>
              <w:ind w:right="-284"/>
              <w:rPr>
                <w:b/>
                <w:bCs/>
              </w:rPr>
            </w:pPr>
          </w:p>
          <w:p w14:paraId="190CE374" w14:textId="39351507" w:rsidR="005F66CF" w:rsidRDefault="005F66CF" w:rsidP="005F66CF">
            <w:pPr>
              <w:pStyle w:val="Copyrightpage-Heading"/>
              <w:spacing w:after="40"/>
              <w:ind w:right="-284"/>
            </w:pPr>
            <w:r>
              <w:t>Key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CE2920" w14:paraId="7F3A642B" w14:textId="77777777">
              <w:trPr>
                <w:tblHeader/>
              </w:trPr>
              <w:tc>
                <w:tcPr>
                  <w:tcW w:w="2414" w:type="dxa"/>
                  <w:shd w:val="clear" w:color="auto" w:fill="auto"/>
                  <w:tcMar>
                    <w:left w:w="0" w:type="dxa"/>
                  </w:tcMar>
                </w:tcPr>
                <w:p w14:paraId="1E7EA053" w14:textId="77777777" w:rsidR="005F66CF" w:rsidRPr="00CE2920" w:rsidRDefault="005F66CF" w:rsidP="005F66CF">
                  <w:pPr>
                    <w:pStyle w:val="Copyrightpage-BodyText"/>
                    <w:spacing w:before="0" w:after="40"/>
                  </w:pPr>
                  <w:r w:rsidRPr="00CE2920">
                    <w:t>Receipt of terms of reference</w:t>
                  </w:r>
                </w:p>
              </w:tc>
              <w:tc>
                <w:tcPr>
                  <w:tcW w:w="3969" w:type="dxa"/>
                  <w:shd w:val="clear" w:color="auto" w:fill="auto"/>
                </w:tcPr>
                <w:p w14:paraId="7AD9590E" w14:textId="4583E154" w:rsidR="005F66CF" w:rsidRPr="00CE2920" w:rsidRDefault="00972D39" w:rsidP="005F66CF">
                  <w:pPr>
                    <w:pStyle w:val="Copyrightpage-BodyText"/>
                    <w:spacing w:before="0" w:after="40"/>
                  </w:pPr>
                  <w:r>
                    <w:t>22 December 2023</w:t>
                  </w:r>
                </w:p>
              </w:tc>
            </w:tr>
            <w:tr w:rsidR="005F66CF" w:rsidRPr="00CE2920" w14:paraId="1A3DC79F" w14:textId="77777777">
              <w:tc>
                <w:tcPr>
                  <w:tcW w:w="2414" w:type="dxa"/>
                  <w:shd w:val="clear" w:color="auto" w:fill="auto"/>
                  <w:tcMar>
                    <w:left w:w="0" w:type="dxa"/>
                  </w:tcMar>
                </w:tcPr>
                <w:p w14:paraId="7E21D003" w14:textId="77777777" w:rsidR="005F66CF" w:rsidRPr="00CE2920" w:rsidRDefault="005F66CF" w:rsidP="005F66CF">
                  <w:pPr>
                    <w:pStyle w:val="Copyrightpage-BodyText"/>
                    <w:spacing w:before="0" w:after="40"/>
                  </w:pPr>
                  <w:r w:rsidRPr="00CE2920">
                    <w:t>Due date for submissions</w:t>
                  </w:r>
                </w:p>
              </w:tc>
              <w:tc>
                <w:tcPr>
                  <w:tcW w:w="3969" w:type="dxa"/>
                  <w:shd w:val="clear" w:color="auto" w:fill="auto"/>
                </w:tcPr>
                <w:p w14:paraId="7235EFCF" w14:textId="7028E517" w:rsidR="005F66CF" w:rsidRPr="00CE2920" w:rsidRDefault="00196A4F" w:rsidP="005F66CF">
                  <w:pPr>
                    <w:pStyle w:val="Copyrightpage-BodyText"/>
                    <w:spacing w:before="0" w:after="40"/>
                  </w:pPr>
                  <w:r>
                    <w:t>2 February</w:t>
                  </w:r>
                  <w:r w:rsidR="001E2636">
                    <w:t xml:space="preserve"> 202</w:t>
                  </w:r>
                  <w:r w:rsidR="00486512">
                    <w:t>4</w:t>
                  </w:r>
                </w:p>
              </w:tc>
            </w:tr>
            <w:tr w:rsidR="005F66CF" w:rsidRPr="00CE2920" w14:paraId="66D82A15" w14:textId="77777777">
              <w:tc>
                <w:tcPr>
                  <w:tcW w:w="2414" w:type="dxa"/>
                  <w:shd w:val="clear" w:color="auto" w:fill="auto"/>
                  <w:tcMar>
                    <w:left w:w="0" w:type="dxa"/>
                  </w:tcMar>
                </w:tcPr>
                <w:p w14:paraId="4F1FD622" w14:textId="1187EE1F" w:rsidR="005F66CF" w:rsidRPr="00CE2920" w:rsidRDefault="005F66CF" w:rsidP="005F66CF">
                  <w:pPr>
                    <w:pStyle w:val="Copyrightpage-BodyText"/>
                    <w:spacing w:before="0" w:after="40"/>
                  </w:pPr>
                  <w:r w:rsidRPr="00CE2920">
                    <w:t xml:space="preserve">Release of </w:t>
                  </w:r>
                  <w:r w:rsidR="00924FD0">
                    <w:t>interim paper</w:t>
                  </w:r>
                </w:p>
              </w:tc>
              <w:tc>
                <w:tcPr>
                  <w:tcW w:w="3969" w:type="dxa"/>
                  <w:shd w:val="clear" w:color="auto" w:fill="auto"/>
                </w:tcPr>
                <w:p w14:paraId="1366B91C" w14:textId="1FCA87D5" w:rsidR="005F66CF" w:rsidRPr="00CE2920" w:rsidRDefault="00181FF5" w:rsidP="005F66CF">
                  <w:pPr>
                    <w:pStyle w:val="Copyrightpage-BodyText"/>
                    <w:spacing w:before="0" w:after="40"/>
                  </w:pPr>
                  <w:r>
                    <w:t>April</w:t>
                  </w:r>
                  <w:r w:rsidR="00731C1E">
                    <w:t xml:space="preserve"> 2024</w:t>
                  </w:r>
                </w:p>
              </w:tc>
            </w:tr>
            <w:tr w:rsidR="005F66CF" w:rsidRPr="00CE2920" w14:paraId="1371FA9E" w14:textId="77777777">
              <w:tc>
                <w:tcPr>
                  <w:tcW w:w="2414" w:type="dxa"/>
                  <w:shd w:val="clear" w:color="auto" w:fill="auto"/>
                  <w:tcMar>
                    <w:left w:w="0" w:type="dxa"/>
                  </w:tcMar>
                </w:tcPr>
                <w:p w14:paraId="0DD34957" w14:textId="77777777" w:rsidR="005F66CF" w:rsidRPr="00CE2920" w:rsidRDefault="005F66CF" w:rsidP="005F66CF">
                  <w:pPr>
                    <w:pStyle w:val="Copyrightpage-BodyText"/>
                    <w:spacing w:before="0" w:after="40"/>
                  </w:pPr>
                  <w:r w:rsidRPr="00CE2920">
                    <w:t>Final report to Government</w:t>
                  </w:r>
                </w:p>
              </w:tc>
              <w:tc>
                <w:tcPr>
                  <w:tcW w:w="3969" w:type="dxa"/>
                  <w:shd w:val="clear" w:color="auto" w:fill="auto"/>
                </w:tcPr>
                <w:p w14:paraId="7DB13CAF" w14:textId="060242C1" w:rsidR="005F66CF" w:rsidRPr="00CE2920" w:rsidRDefault="001E2636" w:rsidP="005F66CF">
                  <w:pPr>
                    <w:pStyle w:val="Copyrightpage-BodyText"/>
                    <w:spacing w:before="0" w:after="40"/>
                  </w:pPr>
                  <w:r>
                    <w:t>May 2024</w:t>
                  </w:r>
                </w:p>
              </w:tc>
            </w:tr>
          </w:tbl>
          <w:p w14:paraId="16A82863" w14:textId="77777777" w:rsidR="005F66CF" w:rsidRDefault="005F66CF" w:rsidP="005F66CF">
            <w:pPr>
              <w:pStyle w:val="Copyrightpage-Heading"/>
              <w:spacing w:before="120" w:after="40"/>
              <w:ind w:right="-284"/>
            </w:pPr>
            <w:r>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FD3F21" w14:paraId="50195D96" w14:textId="77777777" w:rsidTr="00160DC9">
              <w:trPr>
                <w:tblHeader/>
              </w:trPr>
              <w:tc>
                <w:tcPr>
                  <w:tcW w:w="2414" w:type="dxa"/>
                  <w:shd w:val="clear" w:color="auto" w:fill="auto"/>
                  <w:tcMar>
                    <w:left w:w="0" w:type="dxa"/>
                  </w:tcMar>
                </w:tcPr>
                <w:p w14:paraId="4C221F27" w14:textId="77777777" w:rsidR="005F66CF" w:rsidRPr="00FD3F21" w:rsidRDefault="005F66CF" w:rsidP="005F66CF">
                  <w:pPr>
                    <w:pStyle w:val="Copyrightpage-BodyText"/>
                    <w:spacing w:before="0" w:after="40"/>
                  </w:pPr>
                  <w:r>
                    <w:t>Phone</w:t>
                  </w:r>
                </w:p>
              </w:tc>
              <w:tc>
                <w:tcPr>
                  <w:tcW w:w="3969" w:type="dxa"/>
                  <w:shd w:val="clear" w:color="auto" w:fill="auto"/>
                </w:tcPr>
                <w:p w14:paraId="5411F60E" w14:textId="2A08C06A" w:rsidR="005F66CF" w:rsidRPr="00FD3F21" w:rsidRDefault="00160DC9" w:rsidP="005F66CF">
                  <w:pPr>
                    <w:pStyle w:val="Copyrightpage-BodyText"/>
                    <w:spacing w:before="0" w:after="40"/>
                  </w:pPr>
                  <w:r>
                    <w:t xml:space="preserve">(02) 6240 </w:t>
                  </w:r>
                  <w:r w:rsidR="00575490">
                    <w:t>3277</w:t>
                  </w:r>
                  <w:r w:rsidR="008C4174">
                    <w:t xml:space="preserve"> or (03) </w:t>
                  </w:r>
                  <w:r w:rsidR="006F55C1">
                    <w:t xml:space="preserve">9653 </w:t>
                  </w:r>
                  <w:r w:rsidR="002E69F1">
                    <w:t>2253</w:t>
                  </w:r>
                </w:p>
              </w:tc>
            </w:tr>
            <w:tr w:rsidR="005F66CF" w:rsidRPr="00B85793" w14:paraId="2A9CEAA6" w14:textId="77777777" w:rsidTr="00160DC9">
              <w:tc>
                <w:tcPr>
                  <w:tcW w:w="2414" w:type="dxa"/>
                  <w:shd w:val="clear" w:color="auto" w:fill="auto"/>
                  <w:tcMar>
                    <w:left w:w="0" w:type="dxa"/>
                  </w:tcMar>
                </w:tcPr>
                <w:p w14:paraId="78282FE9" w14:textId="65DA570E" w:rsidR="005F66CF" w:rsidRPr="00FD3F21" w:rsidRDefault="00F42236" w:rsidP="005F66CF">
                  <w:pPr>
                    <w:pStyle w:val="Copyrightpage-BodyText"/>
                    <w:spacing w:before="0" w:after="40"/>
                  </w:pPr>
                  <w:r>
                    <w:t>Free call</w:t>
                  </w:r>
                </w:p>
              </w:tc>
              <w:tc>
                <w:tcPr>
                  <w:tcW w:w="3969" w:type="dxa"/>
                  <w:shd w:val="clear" w:color="auto" w:fill="auto"/>
                </w:tcPr>
                <w:p w14:paraId="38C2F77B" w14:textId="77777777" w:rsidR="005F66CF" w:rsidRPr="00FD3F21" w:rsidRDefault="005F66CF" w:rsidP="005F66CF">
                  <w:pPr>
                    <w:pStyle w:val="Copyrightpage-BodyText"/>
                    <w:spacing w:before="0" w:after="40"/>
                  </w:pPr>
                  <w:r w:rsidRPr="00462E31">
                    <w:t>1800 020 083</w:t>
                  </w:r>
                </w:p>
              </w:tc>
            </w:tr>
            <w:tr w:rsidR="005F66CF" w:rsidRPr="00CE2920" w14:paraId="3E78F9E6" w14:textId="77777777" w:rsidTr="00160DC9">
              <w:tc>
                <w:tcPr>
                  <w:tcW w:w="2414" w:type="dxa"/>
                  <w:shd w:val="clear" w:color="auto" w:fill="auto"/>
                  <w:tcMar>
                    <w:left w:w="0" w:type="dxa"/>
                  </w:tcMar>
                </w:tcPr>
                <w:p w14:paraId="60E2A849" w14:textId="77777777" w:rsidR="005F66CF" w:rsidRPr="00FD3F21" w:rsidRDefault="005F66CF" w:rsidP="005F66CF">
                  <w:pPr>
                    <w:pStyle w:val="Copyrightpage-BodyText"/>
                    <w:spacing w:before="0" w:after="40"/>
                  </w:pPr>
                  <w:r>
                    <w:t>Email</w:t>
                  </w:r>
                </w:p>
              </w:tc>
              <w:tc>
                <w:tcPr>
                  <w:tcW w:w="3969" w:type="dxa"/>
                  <w:shd w:val="clear" w:color="auto" w:fill="auto"/>
                </w:tcPr>
                <w:p w14:paraId="725EEB62" w14:textId="535A66F4" w:rsidR="005F66CF" w:rsidRPr="00CE2920" w:rsidRDefault="00160DC9" w:rsidP="005F66CF">
                  <w:pPr>
                    <w:pStyle w:val="Copyrightpage-BodyText"/>
                    <w:spacing w:before="0" w:after="40"/>
                  </w:pPr>
                  <w:r>
                    <w:t>water.reform.2024</w:t>
                  </w:r>
                  <w:r w:rsidR="005F66CF" w:rsidRPr="00CE2920">
                    <w:t>@pc.gov.au</w:t>
                  </w:r>
                </w:p>
              </w:tc>
            </w:tr>
            <w:tr w:rsidR="005F66CF" w:rsidRPr="00CE2920" w14:paraId="65BA0D0D" w14:textId="77777777" w:rsidTr="00D02AB9">
              <w:trPr>
                <w:trHeight w:val="64"/>
              </w:trPr>
              <w:tc>
                <w:tcPr>
                  <w:tcW w:w="2414" w:type="dxa"/>
                  <w:shd w:val="clear" w:color="auto" w:fill="auto"/>
                  <w:tcMar>
                    <w:left w:w="0" w:type="dxa"/>
                  </w:tcMar>
                </w:tcPr>
                <w:p w14:paraId="4217CA97" w14:textId="77777777" w:rsidR="005F66CF" w:rsidRPr="00FD3F21" w:rsidRDefault="005F66CF" w:rsidP="005F66CF">
                  <w:pPr>
                    <w:pStyle w:val="Copyrightpage-BodyText"/>
                    <w:spacing w:before="0" w:after="40"/>
                  </w:pPr>
                  <w:r>
                    <w:t>Website</w:t>
                  </w:r>
                </w:p>
              </w:tc>
              <w:tc>
                <w:tcPr>
                  <w:tcW w:w="3969" w:type="dxa"/>
                  <w:shd w:val="clear" w:color="auto" w:fill="auto"/>
                </w:tcPr>
                <w:p w14:paraId="25C3DB1F" w14:textId="25114F89" w:rsidR="005F66CF" w:rsidRPr="00CE2920" w:rsidRDefault="00000000" w:rsidP="005F66CF">
                  <w:pPr>
                    <w:pStyle w:val="Copyrightpage-BodyText"/>
                    <w:spacing w:before="0" w:after="40"/>
                  </w:pPr>
                  <w:hyperlink r:id="rId16" w:history="1">
                    <w:r w:rsidR="00AF6D9A" w:rsidRPr="00797986">
                      <w:rPr>
                        <w:rStyle w:val="Hyperlink"/>
                        <w:color w:val="FFFFFF" w:themeColor="background1"/>
                      </w:rPr>
                      <w:t>www.pc.gov.au/inquiries/current/water-reform-2024</w:t>
                    </w:r>
                  </w:hyperlink>
                </w:p>
              </w:tc>
            </w:tr>
          </w:tbl>
          <w:p w14:paraId="2D938EEE" w14:textId="77777777" w:rsidR="00525F6E" w:rsidRDefault="00525F6E">
            <w:pPr>
              <w:pStyle w:val="Copyrightpage-BodyBold"/>
              <w:ind w:right="-284"/>
            </w:pPr>
          </w:p>
        </w:tc>
      </w:tr>
    </w:tbl>
    <w:p w14:paraId="6182C0FD" w14:textId="5E8E8271" w:rsidR="00D562BA" w:rsidRDefault="00D562BA" w:rsidP="005F66CF">
      <w:pPr>
        <w:rPr>
          <w:sz w:val="18"/>
        </w:rPr>
        <w:sectPr w:rsidR="00D562BA" w:rsidSect="003D0914">
          <w:headerReference w:type="even" r:id="rId17"/>
          <w:headerReference w:type="default" r:id="rId18"/>
          <w:footerReference w:type="even" r:id="rId19"/>
          <w:footerReference w:type="default" r:id="rId20"/>
          <w:headerReference w:type="first" r:id="rId21"/>
          <w:pgSz w:w="11906" w:h="16838" w:code="9"/>
          <w:pgMar w:top="1134" w:right="1134" w:bottom="1134" w:left="1134" w:header="794" w:footer="510" w:gutter="0"/>
          <w:cols w:space="708"/>
          <w:docGrid w:linePitch="360"/>
        </w:sectPr>
      </w:pPr>
    </w:p>
    <w:p w14:paraId="14CA1982" w14:textId="77777777" w:rsidR="006750C6" w:rsidRDefault="006750C6" w:rsidP="00D7453A">
      <w:pPr>
        <w:pStyle w:val="Heading1-noTOC"/>
      </w:pPr>
      <w:bookmarkStart w:id="0" w:name="_Toc151370436"/>
      <w:r>
        <w:lastRenderedPageBreak/>
        <w:t>Contents</w:t>
      </w:r>
    </w:p>
    <w:p w14:paraId="6616D3BD" w14:textId="77777777" w:rsidR="00F506D0" w:rsidRPr="00F506D0" w:rsidRDefault="00F506D0" w:rsidP="00F506D0">
      <w:pPr>
        <w:pStyle w:val="BodyText"/>
      </w:pPr>
    </w:p>
    <w:p w14:paraId="39A0CAA0" w14:textId="29C89490" w:rsidR="006750C6" w:rsidRDefault="006750C6" w:rsidP="00531B58">
      <w:pPr>
        <w:pStyle w:val="TOC1"/>
        <w:rPr>
          <w:rFonts w:asciiTheme="minorHAnsi" w:eastAsiaTheme="minorEastAsia" w:hAnsiTheme="minorHAnsi"/>
          <w:noProof/>
          <w:color w:val="auto"/>
          <w:kern w:val="2"/>
          <w:sz w:val="22"/>
          <w:szCs w:val="22"/>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Pr>
          <w:noProof/>
        </w:rPr>
        <w:t>Inquiry into the National Water Initiative</w:t>
      </w:r>
      <w:r>
        <w:rPr>
          <w:noProof/>
          <w:webHidden/>
        </w:rPr>
        <w:tab/>
      </w:r>
      <w:r>
        <w:rPr>
          <w:noProof/>
          <w:webHidden/>
        </w:rPr>
        <w:fldChar w:fldCharType="begin"/>
      </w:r>
      <w:r>
        <w:rPr>
          <w:noProof/>
          <w:webHidden/>
        </w:rPr>
        <w:instrText xml:space="preserve"> PAGEREF _Toc155091432 \h </w:instrText>
      </w:r>
      <w:r>
        <w:rPr>
          <w:noProof/>
          <w:webHidden/>
        </w:rPr>
      </w:r>
      <w:r>
        <w:rPr>
          <w:noProof/>
          <w:webHidden/>
        </w:rPr>
        <w:fldChar w:fldCharType="separate"/>
      </w:r>
      <w:r w:rsidR="00D474A4">
        <w:rPr>
          <w:noProof/>
          <w:webHidden/>
        </w:rPr>
        <w:t>4</w:t>
      </w:r>
      <w:r>
        <w:rPr>
          <w:noProof/>
          <w:webHidden/>
        </w:rPr>
        <w:fldChar w:fldCharType="end"/>
      </w:r>
    </w:p>
    <w:p w14:paraId="688A319E" w14:textId="5D9E2DE8" w:rsidR="006750C6" w:rsidRDefault="006750C6" w:rsidP="00531B58">
      <w:pPr>
        <w:pStyle w:val="TOC1"/>
        <w:rPr>
          <w:rFonts w:asciiTheme="minorHAnsi" w:eastAsiaTheme="minorEastAsia" w:hAnsiTheme="minorHAnsi"/>
          <w:noProof/>
          <w:color w:val="auto"/>
          <w:kern w:val="2"/>
          <w:sz w:val="22"/>
          <w:szCs w:val="22"/>
          <w:lang w:eastAsia="en-AU"/>
          <w14:ligatures w14:val="standardContextual"/>
        </w:rPr>
      </w:pPr>
      <w:r>
        <w:rPr>
          <w:noProof/>
        </w:rPr>
        <w:t>Objectives and Elements of the National Water Initiative</w:t>
      </w:r>
      <w:r>
        <w:rPr>
          <w:noProof/>
          <w:webHidden/>
        </w:rPr>
        <w:tab/>
      </w:r>
      <w:r>
        <w:rPr>
          <w:noProof/>
          <w:webHidden/>
        </w:rPr>
        <w:fldChar w:fldCharType="begin"/>
      </w:r>
      <w:r>
        <w:rPr>
          <w:noProof/>
          <w:webHidden/>
        </w:rPr>
        <w:instrText xml:space="preserve"> PAGEREF _Toc155091433 \h </w:instrText>
      </w:r>
      <w:r>
        <w:rPr>
          <w:noProof/>
          <w:webHidden/>
        </w:rPr>
      </w:r>
      <w:r>
        <w:rPr>
          <w:noProof/>
          <w:webHidden/>
        </w:rPr>
        <w:fldChar w:fldCharType="separate"/>
      </w:r>
      <w:r w:rsidR="00D474A4">
        <w:rPr>
          <w:noProof/>
          <w:webHidden/>
        </w:rPr>
        <w:t>6</w:t>
      </w:r>
      <w:r>
        <w:rPr>
          <w:noProof/>
          <w:webHidden/>
        </w:rPr>
        <w:fldChar w:fldCharType="end"/>
      </w:r>
    </w:p>
    <w:p w14:paraId="189E5DE8" w14:textId="69810351" w:rsidR="006750C6" w:rsidRDefault="006750C6" w:rsidP="00531B58">
      <w:pPr>
        <w:pStyle w:val="TOC1"/>
        <w:rPr>
          <w:rFonts w:asciiTheme="minorHAnsi" w:eastAsiaTheme="minorEastAsia" w:hAnsiTheme="minorHAnsi"/>
          <w:noProof/>
          <w:color w:val="auto"/>
          <w:kern w:val="2"/>
          <w:sz w:val="22"/>
          <w:szCs w:val="22"/>
          <w:lang w:eastAsia="en-AU"/>
          <w14:ligatures w14:val="standardContextual"/>
        </w:rPr>
      </w:pPr>
      <w:r>
        <w:rPr>
          <w:noProof/>
        </w:rPr>
        <w:t>NWI Renewal Advice from National Water Reform 2020 Inquiry Report</w:t>
      </w:r>
      <w:r>
        <w:rPr>
          <w:noProof/>
          <w:webHidden/>
        </w:rPr>
        <w:tab/>
      </w:r>
      <w:r>
        <w:rPr>
          <w:noProof/>
          <w:webHidden/>
        </w:rPr>
        <w:fldChar w:fldCharType="begin"/>
      </w:r>
      <w:r>
        <w:rPr>
          <w:noProof/>
          <w:webHidden/>
        </w:rPr>
        <w:instrText xml:space="preserve"> PAGEREF _Toc155091434 \h </w:instrText>
      </w:r>
      <w:r>
        <w:rPr>
          <w:noProof/>
          <w:webHidden/>
        </w:rPr>
      </w:r>
      <w:r>
        <w:rPr>
          <w:noProof/>
          <w:webHidden/>
        </w:rPr>
        <w:fldChar w:fldCharType="separate"/>
      </w:r>
      <w:r w:rsidR="00D474A4">
        <w:rPr>
          <w:noProof/>
          <w:webHidden/>
        </w:rPr>
        <w:t>8</w:t>
      </w:r>
      <w:r>
        <w:rPr>
          <w:noProof/>
          <w:webHidden/>
        </w:rPr>
        <w:fldChar w:fldCharType="end"/>
      </w:r>
    </w:p>
    <w:p w14:paraId="0E854927" w14:textId="001DAE1F" w:rsidR="006750C6" w:rsidRDefault="006750C6" w:rsidP="00531B58">
      <w:pPr>
        <w:pStyle w:val="TOC1"/>
        <w:rPr>
          <w:rFonts w:asciiTheme="minorHAnsi" w:eastAsiaTheme="minorEastAsia" w:hAnsiTheme="minorHAnsi"/>
          <w:noProof/>
          <w:color w:val="auto"/>
          <w:kern w:val="2"/>
          <w:sz w:val="22"/>
          <w:szCs w:val="22"/>
          <w:lang w:eastAsia="en-AU"/>
          <w14:ligatures w14:val="standardContextual"/>
        </w:rPr>
      </w:pPr>
      <w:r>
        <w:rPr>
          <w:noProof/>
        </w:rPr>
        <w:t>A.</w:t>
      </w:r>
      <w:r>
        <w:rPr>
          <w:rFonts w:asciiTheme="minorHAnsi" w:eastAsiaTheme="minorEastAsia" w:hAnsiTheme="minorHAnsi"/>
          <w:noProof/>
          <w:color w:val="auto"/>
          <w:kern w:val="2"/>
          <w:sz w:val="22"/>
          <w:szCs w:val="22"/>
          <w:lang w:eastAsia="en-AU"/>
          <w14:ligatures w14:val="standardContextual"/>
        </w:rPr>
        <w:tab/>
      </w:r>
      <w:r>
        <w:rPr>
          <w:noProof/>
        </w:rPr>
        <w:t>Terms of reference</w:t>
      </w:r>
      <w:r>
        <w:rPr>
          <w:noProof/>
          <w:webHidden/>
        </w:rPr>
        <w:tab/>
      </w:r>
      <w:r>
        <w:rPr>
          <w:noProof/>
          <w:webHidden/>
        </w:rPr>
        <w:fldChar w:fldCharType="begin"/>
      </w:r>
      <w:r>
        <w:rPr>
          <w:noProof/>
          <w:webHidden/>
        </w:rPr>
        <w:instrText xml:space="preserve"> PAGEREF _Toc155091435 \h </w:instrText>
      </w:r>
      <w:r>
        <w:rPr>
          <w:noProof/>
          <w:webHidden/>
        </w:rPr>
      </w:r>
      <w:r>
        <w:rPr>
          <w:noProof/>
          <w:webHidden/>
        </w:rPr>
        <w:fldChar w:fldCharType="separate"/>
      </w:r>
      <w:r w:rsidR="00D474A4">
        <w:rPr>
          <w:noProof/>
          <w:webHidden/>
        </w:rPr>
        <w:t>11</w:t>
      </w:r>
      <w:r>
        <w:rPr>
          <w:noProof/>
          <w:webHidden/>
        </w:rPr>
        <w:fldChar w:fldCharType="end"/>
      </w:r>
    </w:p>
    <w:p w14:paraId="2A5415AA" w14:textId="57C80922" w:rsidR="006750C6" w:rsidRDefault="006750C6" w:rsidP="00531B58">
      <w:pPr>
        <w:pStyle w:val="TOC2"/>
        <w:rPr>
          <w:rFonts w:eastAsiaTheme="minorEastAsia"/>
          <w:kern w:val="2"/>
          <w:sz w:val="22"/>
          <w:szCs w:val="22"/>
          <w:lang w:eastAsia="en-AU"/>
          <w14:ligatures w14:val="standardContextual"/>
        </w:rPr>
      </w:pPr>
      <w:r>
        <w:t>Background</w:t>
      </w:r>
      <w:r>
        <w:rPr>
          <w:webHidden/>
        </w:rPr>
        <w:tab/>
      </w:r>
      <w:r>
        <w:rPr>
          <w:webHidden/>
        </w:rPr>
        <w:fldChar w:fldCharType="begin"/>
      </w:r>
      <w:r>
        <w:rPr>
          <w:webHidden/>
        </w:rPr>
        <w:instrText xml:space="preserve"> PAGEREF _Toc155091436 \h </w:instrText>
      </w:r>
      <w:r>
        <w:rPr>
          <w:webHidden/>
        </w:rPr>
      </w:r>
      <w:r>
        <w:rPr>
          <w:webHidden/>
        </w:rPr>
        <w:fldChar w:fldCharType="separate"/>
      </w:r>
      <w:r w:rsidR="00D474A4">
        <w:rPr>
          <w:webHidden/>
        </w:rPr>
        <w:t>11</w:t>
      </w:r>
      <w:r>
        <w:rPr>
          <w:webHidden/>
        </w:rPr>
        <w:fldChar w:fldCharType="end"/>
      </w:r>
    </w:p>
    <w:p w14:paraId="76CFF2F2" w14:textId="6CA8877A" w:rsidR="006750C6" w:rsidRDefault="006750C6" w:rsidP="00531B58">
      <w:pPr>
        <w:pStyle w:val="TOC2"/>
        <w:rPr>
          <w:rFonts w:eastAsiaTheme="minorEastAsia"/>
          <w:kern w:val="2"/>
          <w:sz w:val="22"/>
          <w:szCs w:val="22"/>
          <w:lang w:eastAsia="en-AU"/>
          <w14:ligatures w14:val="standardContextual"/>
        </w:rPr>
      </w:pPr>
      <w:r>
        <w:t>Scope of the inquiry</w:t>
      </w:r>
      <w:r>
        <w:rPr>
          <w:webHidden/>
        </w:rPr>
        <w:tab/>
      </w:r>
      <w:r>
        <w:rPr>
          <w:webHidden/>
        </w:rPr>
        <w:fldChar w:fldCharType="begin"/>
      </w:r>
      <w:r>
        <w:rPr>
          <w:webHidden/>
        </w:rPr>
        <w:instrText xml:space="preserve"> PAGEREF _Toc155091437 \h </w:instrText>
      </w:r>
      <w:r>
        <w:rPr>
          <w:webHidden/>
        </w:rPr>
      </w:r>
      <w:r>
        <w:rPr>
          <w:webHidden/>
        </w:rPr>
        <w:fldChar w:fldCharType="separate"/>
      </w:r>
      <w:r w:rsidR="00D474A4">
        <w:rPr>
          <w:webHidden/>
        </w:rPr>
        <w:t>11</w:t>
      </w:r>
      <w:r>
        <w:rPr>
          <w:webHidden/>
        </w:rPr>
        <w:fldChar w:fldCharType="end"/>
      </w:r>
    </w:p>
    <w:p w14:paraId="22A8261A" w14:textId="0E6D55F7" w:rsidR="006750C6" w:rsidRDefault="006750C6" w:rsidP="00531B58">
      <w:pPr>
        <w:pStyle w:val="TOC2"/>
        <w:rPr>
          <w:rFonts w:eastAsiaTheme="minorEastAsia"/>
          <w:kern w:val="2"/>
          <w:sz w:val="22"/>
          <w:szCs w:val="22"/>
          <w:lang w:eastAsia="en-AU"/>
          <w14:ligatures w14:val="standardContextual"/>
        </w:rPr>
      </w:pPr>
      <w:r>
        <w:t>Process</w:t>
      </w:r>
      <w:r>
        <w:rPr>
          <w:webHidden/>
        </w:rPr>
        <w:tab/>
      </w:r>
      <w:r>
        <w:rPr>
          <w:webHidden/>
        </w:rPr>
        <w:fldChar w:fldCharType="begin"/>
      </w:r>
      <w:r>
        <w:rPr>
          <w:webHidden/>
        </w:rPr>
        <w:instrText xml:space="preserve"> PAGEREF _Toc155091438 \h </w:instrText>
      </w:r>
      <w:r>
        <w:rPr>
          <w:webHidden/>
        </w:rPr>
      </w:r>
      <w:r>
        <w:rPr>
          <w:webHidden/>
        </w:rPr>
        <w:fldChar w:fldCharType="separate"/>
      </w:r>
      <w:r w:rsidR="00D474A4">
        <w:rPr>
          <w:webHidden/>
        </w:rPr>
        <w:t>12</w:t>
      </w:r>
      <w:r>
        <w:rPr>
          <w:webHidden/>
        </w:rPr>
        <w:fldChar w:fldCharType="end"/>
      </w:r>
    </w:p>
    <w:p w14:paraId="27CA7469" w14:textId="556549B9" w:rsidR="006750C6" w:rsidRDefault="006750C6" w:rsidP="00531B58">
      <w:pPr>
        <w:pStyle w:val="TOC1"/>
        <w:rPr>
          <w:rFonts w:asciiTheme="minorHAnsi" w:eastAsiaTheme="minorEastAsia" w:hAnsiTheme="minorHAnsi"/>
          <w:noProof/>
          <w:color w:val="auto"/>
          <w:kern w:val="2"/>
          <w:sz w:val="22"/>
          <w:szCs w:val="22"/>
          <w:lang w:eastAsia="en-AU"/>
          <w14:ligatures w14:val="standardContextual"/>
        </w:rPr>
      </w:pPr>
      <w:r>
        <w:rPr>
          <w:noProof/>
        </w:rPr>
        <w:t>B.</w:t>
      </w:r>
      <w:r>
        <w:rPr>
          <w:rFonts w:asciiTheme="minorHAnsi" w:eastAsiaTheme="minorEastAsia" w:hAnsiTheme="minorHAnsi"/>
          <w:noProof/>
          <w:color w:val="auto"/>
          <w:kern w:val="2"/>
          <w:sz w:val="22"/>
          <w:szCs w:val="22"/>
          <w:lang w:eastAsia="en-AU"/>
          <w14:ligatures w14:val="standardContextual"/>
        </w:rPr>
        <w:tab/>
      </w:r>
      <w:r>
        <w:rPr>
          <w:noProof/>
        </w:rPr>
        <w:t>How to make a submission</w:t>
      </w:r>
      <w:r>
        <w:rPr>
          <w:noProof/>
          <w:webHidden/>
        </w:rPr>
        <w:tab/>
      </w:r>
      <w:r>
        <w:rPr>
          <w:noProof/>
          <w:webHidden/>
        </w:rPr>
        <w:fldChar w:fldCharType="begin"/>
      </w:r>
      <w:r>
        <w:rPr>
          <w:noProof/>
          <w:webHidden/>
        </w:rPr>
        <w:instrText xml:space="preserve"> PAGEREF _Toc155091439 \h </w:instrText>
      </w:r>
      <w:r>
        <w:rPr>
          <w:noProof/>
          <w:webHidden/>
        </w:rPr>
      </w:r>
      <w:r>
        <w:rPr>
          <w:noProof/>
          <w:webHidden/>
        </w:rPr>
        <w:fldChar w:fldCharType="separate"/>
      </w:r>
      <w:r w:rsidR="00D474A4">
        <w:rPr>
          <w:noProof/>
          <w:webHidden/>
        </w:rPr>
        <w:t>13</w:t>
      </w:r>
      <w:r>
        <w:rPr>
          <w:noProof/>
          <w:webHidden/>
        </w:rPr>
        <w:fldChar w:fldCharType="end"/>
      </w:r>
    </w:p>
    <w:p w14:paraId="1CE0A621" w14:textId="4D11479A" w:rsidR="006750C6" w:rsidRDefault="006750C6" w:rsidP="00531B58">
      <w:pPr>
        <w:pStyle w:val="TOC2"/>
        <w:rPr>
          <w:rFonts w:eastAsiaTheme="minorEastAsia"/>
          <w:kern w:val="2"/>
          <w:sz w:val="22"/>
          <w:szCs w:val="22"/>
          <w:lang w:eastAsia="en-AU"/>
          <w14:ligatures w14:val="standardContextual"/>
        </w:rPr>
      </w:pPr>
      <w:r>
        <w:t>How to prepare a submission</w:t>
      </w:r>
      <w:r>
        <w:rPr>
          <w:webHidden/>
        </w:rPr>
        <w:tab/>
      </w:r>
      <w:r>
        <w:rPr>
          <w:webHidden/>
        </w:rPr>
        <w:fldChar w:fldCharType="begin"/>
      </w:r>
      <w:r>
        <w:rPr>
          <w:webHidden/>
        </w:rPr>
        <w:instrText xml:space="preserve"> PAGEREF _Toc155091440 \h </w:instrText>
      </w:r>
      <w:r>
        <w:rPr>
          <w:webHidden/>
        </w:rPr>
      </w:r>
      <w:r>
        <w:rPr>
          <w:webHidden/>
        </w:rPr>
        <w:fldChar w:fldCharType="separate"/>
      </w:r>
      <w:r w:rsidR="00D474A4">
        <w:rPr>
          <w:webHidden/>
        </w:rPr>
        <w:t>13</w:t>
      </w:r>
      <w:r>
        <w:rPr>
          <w:webHidden/>
        </w:rPr>
        <w:fldChar w:fldCharType="end"/>
      </w:r>
    </w:p>
    <w:p w14:paraId="71520C7D" w14:textId="0BD18CA2" w:rsidR="006750C6" w:rsidRDefault="006750C6" w:rsidP="00531B58">
      <w:pPr>
        <w:pStyle w:val="TOC2"/>
        <w:rPr>
          <w:rFonts w:eastAsiaTheme="minorEastAsia"/>
          <w:kern w:val="2"/>
          <w:sz w:val="22"/>
          <w:szCs w:val="22"/>
          <w:lang w:eastAsia="en-AU"/>
          <w14:ligatures w14:val="standardContextual"/>
        </w:rPr>
      </w:pPr>
      <w:r>
        <w:t>How to lodge a submission</w:t>
      </w:r>
      <w:r>
        <w:rPr>
          <w:webHidden/>
        </w:rPr>
        <w:tab/>
      </w:r>
      <w:r>
        <w:rPr>
          <w:webHidden/>
        </w:rPr>
        <w:fldChar w:fldCharType="begin"/>
      </w:r>
      <w:r>
        <w:rPr>
          <w:webHidden/>
        </w:rPr>
        <w:instrText xml:space="preserve"> PAGEREF _Toc155091441 \h </w:instrText>
      </w:r>
      <w:r>
        <w:rPr>
          <w:webHidden/>
        </w:rPr>
      </w:r>
      <w:r>
        <w:rPr>
          <w:webHidden/>
        </w:rPr>
        <w:fldChar w:fldCharType="separate"/>
      </w:r>
      <w:r w:rsidR="00D474A4">
        <w:rPr>
          <w:webHidden/>
        </w:rPr>
        <w:t>14</w:t>
      </w:r>
      <w:r>
        <w:rPr>
          <w:webHidden/>
        </w:rPr>
        <w:fldChar w:fldCharType="end"/>
      </w:r>
    </w:p>
    <w:p w14:paraId="62FA3348" w14:textId="77777777" w:rsidR="00A25204" w:rsidRDefault="006750C6" w:rsidP="006750C6">
      <w:pPr>
        <w:spacing w:before="0" w:after="160" w:line="259" w:lineRule="auto"/>
        <w:rPr>
          <w:sz w:val="18"/>
        </w:rPr>
        <w:sectPr w:rsidR="00A25204" w:rsidSect="008C40DD">
          <w:headerReference w:type="default" r:id="rId22"/>
          <w:pgSz w:w="11906" w:h="16838" w:code="9"/>
          <w:pgMar w:top="1134" w:right="1134" w:bottom="1134" w:left="1134" w:header="794" w:footer="510" w:gutter="0"/>
          <w:cols w:space="708"/>
          <w:docGrid w:linePitch="360"/>
        </w:sectPr>
      </w:pPr>
      <w:r>
        <w:rPr>
          <w:sz w:val="18"/>
        </w:rPr>
        <w:fldChar w:fldCharType="end"/>
      </w:r>
    </w:p>
    <w:p w14:paraId="70329714" w14:textId="14AEE5E9" w:rsidR="00525F6E" w:rsidRDefault="006E16AF" w:rsidP="005178E0">
      <w:pPr>
        <w:pStyle w:val="Heading1-nobackground"/>
        <w:spacing w:before="0"/>
      </w:pPr>
      <w:bookmarkStart w:id="1" w:name="_Toc155091432"/>
      <w:r>
        <w:lastRenderedPageBreak/>
        <w:t>Inquiry into the National Water Init</w:t>
      </w:r>
      <w:r w:rsidR="00DD6B3F">
        <w:t>iative</w:t>
      </w:r>
      <w:bookmarkEnd w:id="0"/>
      <w:bookmarkEnd w:id="1"/>
    </w:p>
    <w:p w14:paraId="0F2D7890" w14:textId="7D4B75A8" w:rsidR="00D8477B" w:rsidRPr="00BD190F" w:rsidRDefault="00D8477B" w:rsidP="00951C78">
      <w:pPr>
        <w:pStyle w:val="BodyText"/>
      </w:pPr>
      <w:r w:rsidRPr="00BD190F">
        <w:t>The Australian Government has asked the Productivity Commission to undertake an inquiry (</w:t>
      </w:r>
      <w:r w:rsidR="00196A4F">
        <w:t>A</w:t>
      </w:r>
      <w:r w:rsidR="00196A4F" w:rsidRPr="00BD190F">
        <w:t xml:space="preserve">ttachment </w:t>
      </w:r>
      <w:r w:rsidRPr="00BD190F">
        <w:t xml:space="preserve">A) into the reform </w:t>
      </w:r>
      <w:r w:rsidRPr="005D3B4A">
        <w:rPr>
          <w:rStyle w:val="BodyTextChar"/>
        </w:rPr>
        <w:t>progress of Australian governments towards achieving the objectives and outcomes of the 2004 Intergovernmental Agreement on a National Water Initiative (NWI). Where progress is lacking, the inquiry will also examine barriers to implementation, the opportunity costs of not implementing, and, where practicable, key issues related to water security.</w:t>
      </w:r>
    </w:p>
    <w:p w14:paraId="064F2552" w14:textId="0E0958CA" w:rsidR="008E5EEA" w:rsidRPr="00BD190F" w:rsidRDefault="008E5EEA" w:rsidP="00951C78">
      <w:pPr>
        <w:pStyle w:val="BodyText"/>
      </w:pPr>
      <w:r w:rsidRPr="00BD190F">
        <w:t>The Commission has been asked to make recommendations:</w:t>
      </w:r>
    </w:p>
    <w:p w14:paraId="255766A0" w14:textId="77777777" w:rsidR="001642F3" w:rsidRPr="00BD190F" w:rsidRDefault="001642F3" w:rsidP="00171D20">
      <w:pPr>
        <w:pStyle w:val="ListBullet"/>
      </w:pPr>
      <w:r w:rsidRPr="00BD190F">
        <w:t xml:space="preserve">on actions that the parties to the NWI might take to better achieve the objectives and outcomes of the NWI </w:t>
      </w:r>
    </w:p>
    <w:p w14:paraId="2508C591" w14:textId="77777777" w:rsidR="008E5EEA" w:rsidRPr="00BD190F" w:rsidRDefault="008E5EEA" w:rsidP="00171D20">
      <w:pPr>
        <w:pStyle w:val="ListBullet"/>
      </w:pPr>
      <w:r w:rsidRPr="00BD190F">
        <w:t xml:space="preserve">to support all Australian governments in efforts to progress national water reform </w:t>
      </w:r>
      <w:proofErr w:type="gramStart"/>
      <w:r w:rsidRPr="00BD190F">
        <w:t>in light of</w:t>
      </w:r>
      <w:proofErr w:type="gramEnd"/>
      <w:r w:rsidRPr="00BD190F">
        <w:t xml:space="preserve"> current priorities, including water security and the involvement of First Nations communities in water management.  </w:t>
      </w:r>
    </w:p>
    <w:p w14:paraId="5C90236A" w14:textId="46951A7B" w:rsidR="008E5EEA" w:rsidRPr="00BD190F" w:rsidRDefault="008E5EEA" w:rsidP="00171D20">
      <w:pPr>
        <w:pStyle w:val="ListBullet"/>
      </w:pPr>
      <w:r w:rsidRPr="00BD190F">
        <w:t xml:space="preserve">on how the Australian Government can better utilise the </w:t>
      </w:r>
      <w:r w:rsidRPr="00B94AD4">
        <w:rPr>
          <w:i/>
          <w:iCs/>
        </w:rPr>
        <w:t>Water Act 2007</w:t>
      </w:r>
      <w:r w:rsidR="007223FC">
        <w:rPr>
          <w:i/>
          <w:iCs/>
        </w:rPr>
        <w:t xml:space="preserve"> </w:t>
      </w:r>
      <w:r w:rsidR="007223FC" w:rsidRPr="007223FC">
        <w:t>(</w:t>
      </w:r>
      <w:proofErr w:type="spellStart"/>
      <w:r w:rsidR="007223FC" w:rsidRPr="007223FC">
        <w:t>Cth</w:t>
      </w:r>
      <w:proofErr w:type="spellEnd"/>
      <w:r w:rsidR="007223FC" w:rsidRPr="007223FC">
        <w:t>)</w:t>
      </w:r>
      <w:r w:rsidRPr="00BD190F">
        <w:t xml:space="preserve"> as a framework for guiding national water reform policy.</w:t>
      </w:r>
    </w:p>
    <w:p w14:paraId="10098E34" w14:textId="52EDBA39" w:rsidR="001642F3" w:rsidRPr="00BD190F" w:rsidRDefault="001642F3" w:rsidP="00951C78">
      <w:pPr>
        <w:pStyle w:val="BodyText"/>
      </w:pPr>
      <w:r w:rsidRPr="00BD190F">
        <w:t xml:space="preserve">This is the third inquiry the Commission </w:t>
      </w:r>
      <w:r w:rsidR="000D491E">
        <w:t>will</w:t>
      </w:r>
      <w:r w:rsidRPr="00BD190F">
        <w:t xml:space="preserve"> undertake on national water reform. The second inquiry (</w:t>
      </w:r>
      <w:hyperlink r:id="rId23" w:anchor="report" w:history="1">
        <w:r w:rsidRPr="00BD190F">
          <w:rPr>
            <w:rStyle w:val="Hyperlink"/>
          </w:rPr>
          <w:t>National Water Reform</w:t>
        </w:r>
      </w:hyperlink>
      <w:r w:rsidRPr="00BD190F">
        <w:t xml:space="preserve"> 2020) provided detailed advice on future national water reform directions, including advice on renewing the NWI to meet the challenges of climate change, population growth and changing community expectations. </w:t>
      </w:r>
    </w:p>
    <w:p w14:paraId="59A11C3C" w14:textId="22CC9CEE" w:rsidR="001642F3" w:rsidRPr="00BD190F" w:rsidRDefault="001642F3" w:rsidP="00CB3766">
      <w:pPr>
        <w:pStyle w:val="BodyText"/>
      </w:pPr>
      <w:r w:rsidRPr="00BD190F">
        <w:t xml:space="preserve">The findings and recommendations from the 2020 inquiry, and the NWI renewal advice, </w:t>
      </w:r>
      <w:r w:rsidR="19E2C22E">
        <w:t xml:space="preserve">remain </w:t>
      </w:r>
      <w:r>
        <w:t>relevant</w:t>
      </w:r>
      <w:r w:rsidRPr="00BD190F">
        <w:t xml:space="preserve">, as the Australian Government has committed to renew the </w:t>
      </w:r>
      <w:r w:rsidR="00035FD1" w:rsidRPr="00BD190F">
        <w:t>NWI and</w:t>
      </w:r>
      <w:r w:rsidRPr="00BD190F">
        <w:t xml:space="preserve"> is in the process of doing so. </w:t>
      </w:r>
    </w:p>
    <w:p w14:paraId="14C4FE3E" w14:textId="7096A005" w:rsidR="001642F3" w:rsidRPr="00171D20" w:rsidRDefault="001642F3" w:rsidP="00CB3766">
      <w:pPr>
        <w:pStyle w:val="BodyText"/>
        <w:rPr>
          <w:spacing w:val="-2"/>
        </w:rPr>
      </w:pPr>
      <w:r w:rsidRPr="00171D20">
        <w:rPr>
          <w:spacing w:val="-2"/>
        </w:rPr>
        <w:t xml:space="preserve">The NWI renewal process affords an opportunity to </w:t>
      </w:r>
      <w:r w:rsidR="00A72C0A">
        <w:rPr>
          <w:spacing w:val="-2"/>
        </w:rPr>
        <w:t>address</w:t>
      </w:r>
      <w:r w:rsidR="00A72C0A" w:rsidRPr="00171D20">
        <w:rPr>
          <w:spacing w:val="-2"/>
        </w:rPr>
        <w:t xml:space="preserve"> </w:t>
      </w:r>
      <w:r w:rsidRPr="00171D20">
        <w:rPr>
          <w:spacing w:val="-2"/>
        </w:rPr>
        <w:t xml:space="preserve">the findings and recommendations in the 2020 inquiry. In addition, a renewed NWI can also </w:t>
      </w:r>
      <w:r w:rsidR="00AF6D9A">
        <w:rPr>
          <w:spacing w:val="-2"/>
        </w:rPr>
        <w:t>consider</w:t>
      </w:r>
      <w:r w:rsidR="00AF6D9A" w:rsidRPr="00171D20">
        <w:rPr>
          <w:spacing w:val="-2"/>
        </w:rPr>
        <w:t xml:space="preserve"> </w:t>
      </w:r>
      <w:r w:rsidRPr="00171D20">
        <w:rPr>
          <w:spacing w:val="-2"/>
        </w:rPr>
        <w:t xml:space="preserve">findings and recommendations made in this inquiry. </w:t>
      </w:r>
    </w:p>
    <w:p w14:paraId="645A5F32" w14:textId="16132B5D" w:rsidR="001642F3" w:rsidRPr="00BD190F" w:rsidRDefault="001642F3" w:rsidP="00CB3766">
      <w:pPr>
        <w:pStyle w:val="BodyText"/>
      </w:pPr>
      <w:r w:rsidRPr="00BD190F">
        <w:t>The Commission is calling for submissions from people and organisations that have a</w:t>
      </w:r>
      <w:r w:rsidR="009D1D09">
        <w:t>n interest</w:t>
      </w:r>
      <w:r w:rsidRPr="00BD190F">
        <w:t xml:space="preserve"> in </w:t>
      </w:r>
      <w:r w:rsidR="00AF6D9A">
        <w:t xml:space="preserve">national </w:t>
      </w:r>
      <w:r w:rsidRPr="00BD190F">
        <w:t>water reform</w:t>
      </w:r>
      <w:r w:rsidR="00AF6D9A">
        <w:t xml:space="preserve"> policy</w:t>
      </w:r>
      <w:r w:rsidRPr="00BD190F">
        <w:t>. In addition to issues raised</w:t>
      </w:r>
      <w:r w:rsidR="00CA6A44">
        <w:t xml:space="preserve"> </w:t>
      </w:r>
      <w:r w:rsidR="00061CF0" w:rsidRPr="00BD190F">
        <w:t>in the terms of reference</w:t>
      </w:r>
      <w:r w:rsidRPr="00BD190F">
        <w:t xml:space="preserve">, the Commission is also interested in: </w:t>
      </w:r>
    </w:p>
    <w:p w14:paraId="7A02F6B9" w14:textId="5D8739FA" w:rsidR="001642F3" w:rsidRPr="00A027CE" w:rsidRDefault="001642F3" w:rsidP="00A027CE">
      <w:pPr>
        <w:pStyle w:val="ListBullet"/>
      </w:pPr>
      <w:r w:rsidRPr="00A027CE">
        <w:t xml:space="preserve">Whether the findings and recommendations and the NWI renewal advice from the Commission’s 2020 inquiry should be strengthened or added to </w:t>
      </w:r>
      <w:proofErr w:type="gramStart"/>
      <w:r w:rsidRPr="00A027CE">
        <w:t>in light of</w:t>
      </w:r>
      <w:proofErr w:type="gramEnd"/>
      <w:r w:rsidRPr="00A027CE">
        <w:t xml:space="preserve"> policy developments</w:t>
      </w:r>
      <w:r w:rsidR="00447FD8" w:rsidRPr="00A027CE">
        <w:t xml:space="preserve">, </w:t>
      </w:r>
      <w:r w:rsidRPr="00A027CE">
        <w:t xml:space="preserve">environmental </w:t>
      </w:r>
      <w:r w:rsidR="00447FD8" w:rsidRPr="00A027CE">
        <w:t>or other changes</w:t>
      </w:r>
      <w:r w:rsidRPr="00A027CE">
        <w:t xml:space="preserve"> over the past </w:t>
      </w:r>
      <w:r w:rsidR="003740DC">
        <w:t>three</w:t>
      </w:r>
      <w:r w:rsidRPr="00A027CE">
        <w:t xml:space="preserve"> years (since the completion of the last </w:t>
      </w:r>
      <w:r w:rsidR="00AF6D9A" w:rsidRPr="00A027CE">
        <w:t>inquiry</w:t>
      </w:r>
      <w:r w:rsidRPr="00A027CE">
        <w:t>)</w:t>
      </w:r>
      <w:r w:rsidR="0041465E" w:rsidRPr="00A027CE">
        <w:t>.</w:t>
      </w:r>
    </w:p>
    <w:p w14:paraId="5EC0172F" w14:textId="77777777" w:rsidR="001642F3" w:rsidRPr="00BD190F" w:rsidRDefault="001642F3" w:rsidP="00CB3766">
      <w:pPr>
        <w:pStyle w:val="BodyText"/>
      </w:pPr>
      <w:r w:rsidRPr="00BD190F">
        <w:t xml:space="preserve">Submitters are encouraged to identify issues and provide suggestions for ways forward. The Commission would appreciate evidence in support of any views, such as data, research reports and case studies. </w:t>
      </w:r>
    </w:p>
    <w:p w14:paraId="0DBC498C" w14:textId="3D9BA309" w:rsidR="00D04A24" w:rsidRDefault="001642F3" w:rsidP="00CB3766">
      <w:pPr>
        <w:pStyle w:val="BodyText"/>
      </w:pPr>
      <w:r w:rsidRPr="00BD190F">
        <w:t xml:space="preserve">The Commission </w:t>
      </w:r>
      <w:r w:rsidR="00B6288D">
        <w:t>is</w:t>
      </w:r>
      <w:r w:rsidR="002459CA">
        <w:t xml:space="preserve"> to </w:t>
      </w:r>
      <w:r w:rsidR="00B6288D">
        <w:t>deliver its</w:t>
      </w:r>
      <w:r w:rsidRPr="00BD190F">
        <w:t xml:space="preserve"> </w:t>
      </w:r>
      <w:r w:rsidR="009D7EF7">
        <w:t xml:space="preserve">report to the Australian Government </w:t>
      </w:r>
      <w:r w:rsidR="00B6288D">
        <w:t>in</w:t>
      </w:r>
      <w:r w:rsidRPr="00BD190F">
        <w:t xml:space="preserve"> May 2024 – a much shorter period </w:t>
      </w:r>
      <w:r w:rsidR="00B36C91">
        <w:t>than allowed for the previous national water reform inquiries</w:t>
      </w:r>
      <w:r w:rsidRPr="00BD190F">
        <w:t xml:space="preserve">. Because of this, submissions are requested by </w:t>
      </w:r>
      <w:r w:rsidR="00DF053B">
        <w:t>2 February</w:t>
      </w:r>
      <w:r w:rsidR="00DF053B" w:rsidRPr="00BD190F">
        <w:t xml:space="preserve"> </w:t>
      </w:r>
      <w:r w:rsidRPr="00BD190F">
        <w:t>2024</w:t>
      </w:r>
      <w:r w:rsidR="34F4A972">
        <w:t xml:space="preserve"> (figure 1)</w:t>
      </w:r>
      <w:r>
        <w:t>.</w:t>
      </w:r>
      <w:r w:rsidRPr="00BD190F">
        <w:t xml:space="preserve"> Alternatively, you can submit a brief comment through the Commission’s webpage at any time.</w:t>
      </w:r>
    </w:p>
    <w:p w14:paraId="6AD2A5A3" w14:textId="379309E5" w:rsidR="003E6477" w:rsidRDefault="008A7D23" w:rsidP="00CB3766">
      <w:pPr>
        <w:pStyle w:val="BodyText"/>
      </w:pPr>
      <w:r>
        <w:t xml:space="preserve">Further information on the inquiry and the Commission’s consultation process can be found at </w:t>
      </w:r>
      <w:r w:rsidR="00196A4F">
        <w:t>A</w:t>
      </w:r>
      <w:r w:rsidR="00531B58">
        <w:t xml:space="preserve">ttachment B, by visiting </w:t>
      </w:r>
      <w:hyperlink r:id="rId24" w:history="1">
        <w:r w:rsidR="00531B58" w:rsidRPr="00531B58">
          <w:rPr>
            <w:rStyle w:val="Hyperlink"/>
          </w:rPr>
          <w:t>www.pc.gov.au/inquiries/current/water-reform-2024</w:t>
        </w:r>
      </w:hyperlink>
      <w:r w:rsidR="00531B58">
        <w:t>,</w:t>
      </w:r>
      <w:r w:rsidR="00B625EF">
        <w:t xml:space="preserve"> or by contacting </w:t>
      </w:r>
      <w:r w:rsidR="002E69F1">
        <w:t>Yvette Goss</w:t>
      </w:r>
      <w:r w:rsidR="00A71522">
        <w:t xml:space="preserve"> on </w:t>
      </w:r>
      <w:r w:rsidR="002E69F1">
        <w:t>(03) 9653 </w:t>
      </w:r>
      <w:r w:rsidR="00C86ECC">
        <w:t xml:space="preserve">2253 or Karen Godfrey on </w:t>
      </w:r>
      <w:r w:rsidR="00322B4C">
        <w:t>(</w:t>
      </w:r>
      <w:r w:rsidR="00C951C8">
        <w:t>0</w:t>
      </w:r>
      <w:r w:rsidR="00A71522" w:rsidRPr="00A71522">
        <w:t>2</w:t>
      </w:r>
      <w:r w:rsidR="00322B4C">
        <w:t>)</w:t>
      </w:r>
      <w:r w:rsidR="00A71522" w:rsidRPr="00A71522">
        <w:t xml:space="preserve"> 6240 </w:t>
      </w:r>
      <w:r w:rsidR="00322B4C" w:rsidRPr="00A71522">
        <w:t>32</w:t>
      </w:r>
      <w:r w:rsidR="00322B4C">
        <w:t>77</w:t>
      </w:r>
      <w:r w:rsidR="008C0508">
        <w:t>.</w:t>
      </w:r>
    </w:p>
    <w:p w14:paraId="1EEF6CF6" w14:textId="77777777" w:rsidR="003E6477" w:rsidRDefault="003E6477">
      <w:pPr>
        <w:spacing w:before="0" w:after="160" w:line="259"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638"/>
      </w:tblGrid>
      <w:tr w:rsidR="00F33605" w14:paraId="0A03CDA9" w14:textId="77777777">
        <w:tc>
          <w:tcPr>
            <w:tcW w:w="5000" w:type="pct"/>
            <w:tcMar>
              <w:bottom w:w="0" w:type="dxa"/>
            </w:tcMar>
          </w:tcPr>
          <w:p w14:paraId="6C998FAF" w14:textId="77777777" w:rsidR="00F75AB8" w:rsidRDefault="005E5022" w:rsidP="003E33B2">
            <w:pPr>
              <w:pStyle w:val="FigureTableHeading"/>
            </w:pPr>
            <w:r w:rsidRPr="003E33B2">
              <w:lastRenderedPageBreak/>
              <w:t xml:space="preserve">Figure </w:t>
            </w:r>
            <w:r w:rsidR="0002754C" w:rsidRPr="003E33B2">
              <w:t>1</w:t>
            </w:r>
            <w:r w:rsidR="00EB470C" w:rsidRPr="003E33B2">
              <w:t>– Key steps in the inquiry</w:t>
            </w:r>
          </w:p>
          <w:p w14:paraId="37EC9458" w14:textId="77155B40" w:rsidR="003E33B2" w:rsidRPr="003E33B2" w:rsidRDefault="003E33B2" w:rsidP="003E33B2">
            <w:pPr>
              <w:pStyle w:val="FigureTableHeading"/>
              <w:spacing w:before="0" w:after="0"/>
            </w:pPr>
          </w:p>
        </w:tc>
      </w:tr>
    </w:tbl>
    <w:p w14:paraId="0E9199EB" w14:textId="7AE97093" w:rsidR="00342163" w:rsidRDefault="00FD5D1E">
      <w:pPr>
        <w:spacing w:before="0" w:after="160" w:line="259" w:lineRule="auto"/>
      </w:pPr>
      <w:r w:rsidRPr="00FD5D1E">
        <w:rPr>
          <w:noProof/>
        </w:rPr>
        <w:drawing>
          <wp:inline distT="0" distB="0" distL="0" distR="0" wp14:anchorId="6F2E38C1" wp14:editId="09FBC9A6">
            <wp:extent cx="6120130" cy="932180"/>
            <wp:effectExtent l="0" t="0" r="0" b="1270"/>
            <wp:docPr id="1226047558" name="Picture 1" descr="The key steps in the inquiry are:&#10;- Inquiry announced.&#10;- January 2024: invitation to engage and call for submissions.&#10;- Submissions due 2 February 2024.&#10;- Interim paper to government in April 2024.&#10;- Further engagement.&#10;- Final report to government in May 2024.&#10;- Final report rele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047558" name="Picture 1" descr="The key steps in the inquiry are:&#10;- Inquiry announced.&#10;- January 2024: invitation to engage and call for submissions.&#10;- Submissions due 2 February 2024.&#10;- Interim paper to government in April 2024.&#10;- Further engagement.&#10;- Final report to government in May 2024.&#10;- Final report releas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932180"/>
                    </a:xfrm>
                    <a:prstGeom prst="rect">
                      <a:avLst/>
                    </a:prstGeom>
                    <a:noFill/>
                    <a:ln>
                      <a:noFill/>
                    </a:ln>
                  </pic:spPr>
                </pic:pic>
              </a:graphicData>
            </a:graphic>
          </wp:inline>
        </w:drawing>
      </w:r>
      <w:r w:rsidR="00342163">
        <w:br w:type="page"/>
      </w:r>
    </w:p>
    <w:p w14:paraId="4F038A69" w14:textId="0793BA8A" w:rsidR="00547E81" w:rsidRDefault="00547E81" w:rsidP="00547E81">
      <w:pPr>
        <w:pStyle w:val="Heading1-nobackground"/>
      </w:pPr>
      <w:bookmarkStart w:id="2" w:name="_Toc151370442"/>
      <w:bookmarkStart w:id="3" w:name="_Toc155091433"/>
      <w:r>
        <w:lastRenderedPageBreak/>
        <w:t>Objectives and Elements of the National Water Initiative</w:t>
      </w:r>
      <w:bookmarkEnd w:id="2"/>
      <w:bookmarkEnd w:id="3"/>
      <w:r>
        <w:t xml:space="preserve"> </w:t>
      </w:r>
    </w:p>
    <w:p w14:paraId="3CED8970" w14:textId="73405AA9" w:rsidR="00547E81" w:rsidRDefault="00753263" w:rsidP="00547E81">
      <w:pPr>
        <w:pStyle w:val="BodyText"/>
      </w:pPr>
      <w:r>
        <w:t xml:space="preserve">Implementation of the </w:t>
      </w:r>
      <w:r w:rsidR="00547E81">
        <w:t xml:space="preserve">NWI </w:t>
      </w:r>
      <w:r w:rsidR="0040487A">
        <w:t>aim</w:t>
      </w:r>
      <w:r>
        <w:t>s</w:t>
      </w:r>
      <w:r w:rsidR="0040487A">
        <w:t xml:space="preserve"> to </w:t>
      </w:r>
      <w:r>
        <w:t>result in</w:t>
      </w:r>
      <w:r w:rsidR="0040487A">
        <w:t xml:space="preserve"> a </w:t>
      </w:r>
      <w:proofErr w:type="gramStart"/>
      <w:r w:rsidR="0040487A">
        <w:t>nationally-compatible</w:t>
      </w:r>
      <w:proofErr w:type="gramEnd"/>
      <w:r w:rsidR="0075194A">
        <w:t>,</w:t>
      </w:r>
      <w:r w:rsidR="0040487A">
        <w:t xml:space="preserve"> marke</w:t>
      </w:r>
      <w:r w:rsidR="0075194A">
        <w:t>t, regulatory and planning based system of managing sur</w:t>
      </w:r>
      <w:r>
        <w:t>f</w:t>
      </w:r>
      <w:r w:rsidR="0075194A">
        <w:t>ace and groundwater resources for rural and</w:t>
      </w:r>
      <w:r>
        <w:t xml:space="preserve"> </w:t>
      </w:r>
      <w:r w:rsidR="0075194A">
        <w:t>urban use that optimises economic, social and environmental outcomes</w:t>
      </w:r>
      <w:r w:rsidR="00D5476A">
        <w:t xml:space="preserve">, by </w:t>
      </w:r>
      <w:r w:rsidR="00567C26">
        <w:t>achieving</w:t>
      </w:r>
      <w:r w:rsidR="00D5476A">
        <w:t xml:space="preserve"> the objectives of the NWI (Box 1).</w:t>
      </w:r>
    </w:p>
    <w:p w14:paraId="55E1C9D1" w14:textId="5C517B21" w:rsidR="00547E81" w:rsidRPr="00F82BD9" w:rsidRDefault="00547E81" w:rsidP="00547E81">
      <w:pPr>
        <w:pStyle w:val="NoSpacing"/>
      </w:pPr>
      <w:r w:rsidRPr="00F82BD9">
        <w:rPr>
          <w:vanish/>
          <w:color w:val="FF00FF"/>
        </w:rPr>
        <w:t>[</w:t>
      </w:r>
      <w:r w:rsidRPr="00465191">
        <w:rPr>
          <w:smallCaps/>
          <w:vanish/>
          <w:color w:val="FF00FF"/>
        </w:rPr>
        <w:t>Used for spacing, do not delete</w:t>
      </w:r>
      <w:r>
        <w:rPr>
          <w:vanish/>
          <w:color w:val="FF00FF"/>
        </w:rPr>
        <w:t xml:space="preserve"> | </w:t>
      </w:r>
      <w:r w:rsidRPr="00F82BD9">
        <w:rPr>
          <w:vanish/>
          <w:color w:val="FF00FF"/>
        </w:rPr>
        <w:t>Style: No Spacing]</w:t>
      </w:r>
    </w:p>
    <w:tbl>
      <w:tblPr>
        <w:tblStyle w:val="Boxtable"/>
        <w:tblW w:w="5000" w:type="pct"/>
        <w:tblLook w:val="04A0" w:firstRow="1" w:lastRow="0" w:firstColumn="1" w:lastColumn="0" w:noHBand="0" w:noVBand="1"/>
      </w:tblPr>
      <w:tblGrid>
        <w:gridCol w:w="9638"/>
      </w:tblGrid>
      <w:tr w:rsidR="00547E81" w14:paraId="1F5D7FB7" w14:textId="77777777">
        <w:trPr>
          <w:tblHeader/>
        </w:trPr>
        <w:tc>
          <w:tcPr>
            <w:tcW w:w="9638" w:type="dxa"/>
            <w:shd w:val="clear" w:color="auto" w:fill="EBEBEB"/>
            <w:tcMar>
              <w:top w:w="170" w:type="dxa"/>
              <w:left w:w="170" w:type="dxa"/>
              <w:bottom w:w="113" w:type="dxa"/>
              <w:right w:w="170" w:type="dxa"/>
            </w:tcMar>
            <w:hideMark/>
          </w:tcPr>
          <w:p w14:paraId="52083170" w14:textId="32B575EE" w:rsidR="00547E81" w:rsidRDefault="00547E81">
            <w:pPr>
              <w:pStyle w:val="BoxHeading1"/>
            </w:pPr>
            <w:bookmarkStart w:id="4" w:name="_Ref78902111"/>
            <w:r>
              <w:t xml:space="preserve">Box </w:t>
            </w:r>
            <w:r w:rsidR="00411B24">
              <w:t>1</w:t>
            </w:r>
            <w:r>
              <w:t xml:space="preserve"> – </w:t>
            </w:r>
            <w:bookmarkEnd w:id="4"/>
            <w:r>
              <w:t>Objectives of the National Water Initiative</w:t>
            </w:r>
          </w:p>
        </w:tc>
      </w:tr>
      <w:tr w:rsidR="00547E81" w14:paraId="379AA813" w14:textId="77777777">
        <w:tc>
          <w:tcPr>
            <w:tcW w:w="9638" w:type="dxa"/>
            <w:shd w:val="clear" w:color="auto" w:fill="EBEBEB"/>
            <w:tcMar>
              <w:top w:w="28" w:type="dxa"/>
              <w:left w:w="170" w:type="dxa"/>
              <w:bottom w:w="170" w:type="dxa"/>
              <w:right w:w="170" w:type="dxa"/>
            </w:tcMar>
            <w:hideMark/>
          </w:tcPr>
          <w:p w14:paraId="60F943C7" w14:textId="77777777" w:rsidR="00547E81" w:rsidRDefault="00547E81">
            <w:pPr>
              <w:pStyle w:val="BodyText"/>
            </w:pPr>
            <w:r>
              <w:t>Jurisdictions agreed to work towards ten objectives through the National Water Initiative. These are:</w:t>
            </w:r>
          </w:p>
          <w:p w14:paraId="55AA2141" w14:textId="77777777" w:rsidR="00547E81" w:rsidRDefault="00547E81">
            <w:pPr>
              <w:pStyle w:val="ListBullet"/>
            </w:pPr>
            <w:r>
              <w:t xml:space="preserve">clear and </w:t>
            </w:r>
            <w:proofErr w:type="gramStart"/>
            <w:r>
              <w:t>nationally-compatible</w:t>
            </w:r>
            <w:proofErr w:type="gramEnd"/>
            <w:r>
              <w:t xml:space="preserve"> characteristics for secure water access entitlements</w:t>
            </w:r>
          </w:p>
          <w:p w14:paraId="7ACA8D08" w14:textId="77777777" w:rsidR="00547E81" w:rsidRDefault="00547E81">
            <w:pPr>
              <w:pStyle w:val="ListBullet"/>
            </w:pPr>
            <w:r>
              <w:t>transparent, statutory-based water planning</w:t>
            </w:r>
          </w:p>
          <w:p w14:paraId="4791649E" w14:textId="77777777" w:rsidR="00547E81" w:rsidRDefault="00547E81">
            <w:pPr>
              <w:pStyle w:val="ListBullet"/>
            </w:pPr>
            <w:r>
              <w:t xml:space="preserve">statutory provision for environmental and other public benefit outcomes, and improved environmental management </w:t>
            </w:r>
            <w:proofErr w:type="gramStart"/>
            <w:r>
              <w:t>practices</w:t>
            </w:r>
            <w:proofErr w:type="gramEnd"/>
          </w:p>
          <w:p w14:paraId="2FCDCCDA" w14:textId="77777777" w:rsidR="00547E81" w:rsidRDefault="00547E81">
            <w:pPr>
              <w:pStyle w:val="ListBullet"/>
            </w:pPr>
            <w:r>
              <w:t xml:space="preserve">complete the return of all currently overallocated or overused systems to environmentally sustainable levels of </w:t>
            </w:r>
            <w:proofErr w:type="gramStart"/>
            <w:r>
              <w:t>extraction</w:t>
            </w:r>
            <w:proofErr w:type="gramEnd"/>
          </w:p>
          <w:p w14:paraId="05389DAB" w14:textId="77777777" w:rsidR="00547E81" w:rsidRDefault="00547E81">
            <w:pPr>
              <w:pStyle w:val="ListBullet"/>
            </w:pPr>
            <w:r>
              <w:t xml:space="preserve">progressive removal of barriers to trade in water and meeting other requirements to facilitate the broadening and deepening of the water market, with an open trading market to be in </w:t>
            </w:r>
            <w:proofErr w:type="gramStart"/>
            <w:r>
              <w:t>place</w:t>
            </w:r>
            <w:proofErr w:type="gramEnd"/>
          </w:p>
          <w:p w14:paraId="68054DC2" w14:textId="77777777" w:rsidR="00547E81" w:rsidRDefault="00547E81">
            <w:pPr>
              <w:pStyle w:val="ListBullet"/>
            </w:pPr>
            <w:r>
              <w:t xml:space="preserve">clarity around the assignment of risk arising from future changes in the availability of water for the consumptive </w:t>
            </w:r>
            <w:proofErr w:type="gramStart"/>
            <w:r>
              <w:t>pool</w:t>
            </w:r>
            <w:proofErr w:type="gramEnd"/>
          </w:p>
          <w:p w14:paraId="2E8504DD" w14:textId="77777777" w:rsidR="00547E81" w:rsidRDefault="00547E81">
            <w:pPr>
              <w:pStyle w:val="ListBullet"/>
            </w:pPr>
            <w:r>
              <w:t xml:space="preserve">water accounting which is able to meet the information needs of different water systems in respect to planning, monitoring, trading, environmental management and on-farm </w:t>
            </w:r>
            <w:proofErr w:type="gramStart"/>
            <w:r>
              <w:t>management</w:t>
            </w:r>
            <w:proofErr w:type="gramEnd"/>
          </w:p>
          <w:p w14:paraId="40184FA7" w14:textId="77777777" w:rsidR="00547E81" w:rsidRDefault="00547E81">
            <w:pPr>
              <w:pStyle w:val="ListBullet"/>
            </w:pPr>
            <w:r>
              <w:t xml:space="preserve">policy settings which facilitate water use efficiency and innovation in urban and rural </w:t>
            </w:r>
            <w:proofErr w:type="gramStart"/>
            <w:r>
              <w:t>areas</w:t>
            </w:r>
            <w:proofErr w:type="gramEnd"/>
          </w:p>
          <w:p w14:paraId="7FB48A70" w14:textId="77777777" w:rsidR="00547E81" w:rsidRDefault="00547E81">
            <w:pPr>
              <w:pStyle w:val="ListBullet"/>
            </w:pPr>
            <w:r>
              <w:t xml:space="preserve">addressing future adjustment issues that may impact on water users and </w:t>
            </w:r>
            <w:proofErr w:type="gramStart"/>
            <w:r>
              <w:t>communities</w:t>
            </w:r>
            <w:proofErr w:type="gramEnd"/>
          </w:p>
          <w:p w14:paraId="4C2FE38C" w14:textId="77777777" w:rsidR="00547E81" w:rsidRDefault="00547E81">
            <w:pPr>
              <w:pStyle w:val="ListBullet"/>
            </w:pPr>
            <w:r>
              <w:t>recognition of the connectivity between surface and groundwater resources and connected systems managed as a single resource.</w:t>
            </w:r>
          </w:p>
          <w:p w14:paraId="64394B3F" w14:textId="77777777" w:rsidR="00547E81" w:rsidRDefault="00547E81">
            <w:pPr>
              <w:pStyle w:val="Note"/>
              <w:keepLines/>
            </w:pPr>
          </w:p>
          <w:p w14:paraId="0508A47B" w14:textId="4A03B617" w:rsidR="00547E81" w:rsidRDefault="00547E81">
            <w:pPr>
              <w:pStyle w:val="Source"/>
            </w:pPr>
            <w:r>
              <w:t>Source: NWI paragraph 23</w:t>
            </w:r>
            <w:r w:rsidR="0067757D">
              <w:t>, available at</w:t>
            </w:r>
            <w:hyperlink r:id="rId26" w:history="1">
              <w:r w:rsidR="00417C8B" w:rsidRPr="00E87769">
                <w:rPr>
                  <w:rStyle w:val="Hyperlink"/>
                  <w:u w:val="none"/>
                </w:rPr>
                <w:t xml:space="preserve"> </w:t>
              </w:r>
              <w:r w:rsidR="00417C8B">
                <w:rPr>
                  <w:rStyle w:val="Hyperlink"/>
                </w:rPr>
                <w:t>pc.gov.au</w:t>
              </w:r>
            </w:hyperlink>
            <w:r>
              <w:t>.</w:t>
            </w:r>
          </w:p>
        </w:tc>
      </w:tr>
    </w:tbl>
    <w:p w14:paraId="5728C634" w14:textId="77777777" w:rsidR="005A2786" w:rsidRDefault="005A2786">
      <w:r>
        <w:br w:type="page"/>
      </w:r>
    </w:p>
    <w:tbl>
      <w:tblPr>
        <w:tblStyle w:val="Boxtable"/>
        <w:tblW w:w="5000" w:type="pct"/>
        <w:tblLook w:val="04A0" w:firstRow="1" w:lastRow="0" w:firstColumn="1" w:lastColumn="0" w:noHBand="0" w:noVBand="1"/>
      </w:tblPr>
      <w:tblGrid>
        <w:gridCol w:w="9638"/>
      </w:tblGrid>
      <w:tr w:rsidR="00547E81" w14:paraId="70AB149E" w14:textId="77777777">
        <w:tc>
          <w:tcPr>
            <w:tcW w:w="9638" w:type="dxa"/>
            <w:shd w:val="clear" w:color="auto" w:fill="auto"/>
            <w:tcMar>
              <w:top w:w="0" w:type="dxa"/>
              <w:left w:w="170" w:type="dxa"/>
              <w:bottom w:w="0" w:type="dxa"/>
              <w:right w:w="170" w:type="dxa"/>
            </w:tcMar>
          </w:tcPr>
          <w:p w14:paraId="432EACE1" w14:textId="04B0955C" w:rsidR="00D5476A" w:rsidRPr="00712F5C" w:rsidRDefault="00D5476A" w:rsidP="005A2786">
            <w:pPr>
              <w:pStyle w:val="BodyText"/>
              <w:spacing w:before="0" w:after="0" w:line="80" w:lineRule="atLeast"/>
              <w:ind w:left="-173"/>
              <w:rPr>
                <w:smallCaps/>
                <w:vanish/>
                <w:color w:val="FF00FF"/>
              </w:rPr>
            </w:pPr>
            <w:r>
              <w:lastRenderedPageBreak/>
              <w:t xml:space="preserve">The outcomes of the NWI are arranged </w:t>
            </w:r>
            <w:r w:rsidR="00A26E9A">
              <w:t xml:space="preserve">into </w:t>
            </w:r>
            <w:r w:rsidR="00D76287">
              <w:t xml:space="preserve">key areas for reform, known as elements (Box 2). </w:t>
            </w:r>
          </w:p>
        </w:tc>
      </w:tr>
    </w:tbl>
    <w:p w14:paraId="6E42EC47" w14:textId="77777777" w:rsidR="00547E81" w:rsidRPr="00F82BD9" w:rsidRDefault="00547E81" w:rsidP="00547E81">
      <w:pPr>
        <w:pStyle w:val="NoSpacing"/>
      </w:pPr>
      <w:r w:rsidRPr="00F82BD9">
        <w:rPr>
          <w:vanish/>
          <w:color w:val="FF00FF"/>
        </w:rPr>
        <w:t>[</w:t>
      </w:r>
      <w:r w:rsidRPr="00465191">
        <w:rPr>
          <w:smallCaps/>
          <w:vanish/>
          <w:color w:val="FF00FF"/>
        </w:rPr>
        <w:t>Used for spacing, do not delete</w:t>
      </w:r>
      <w:r>
        <w:rPr>
          <w:vanish/>
          <w:color w:val="FF00FF"/>
        </w:rPr>
        <w:t xml:space="preserve"> | </w:t>
      </w:r>
      <w:r w:rsidRPr="00F82BD9">
        <w:rPr>
          <w:vanish/>
          <w:color w:val="FF00FF"/>
        </w:rPr>
        <w:t>Style: No Spacing]</w:t>
      </w:r>
    </w:p>
    <w:tbl>
      <w:tblPr>
        <w:tblStyle w:val="Boxtable"/>
        <w:tblW w:w="5000" w:type="pct"/>
        <w:tblLook w:val="04A0" w:firstRow="1" w:lastRow="0" w:firstColumn="1" w:lastColumn="0" w:noHBand="0" w:noVBand="1"/>
      </w:tblPr>
      <w:tblGrid>
        <w:gridCol w:w="9638"/>
      </w:tblGrid>
      <w:tr w:rsidR="00547E81" w14:paraId="032192A1" w14:textId="77777777">
        <w:trPr>
          <w:tblHeader/>
        </w:trPr>
        <w:tc>
          <w:tcPr>
            <w:tcW w:w="9638" w:type="dxa"/>
            <w:shd w:val="clear" w:color="auto" w:fill="EBEBEB"/>
            <w:tcMar>
              <w:top w:w="170" w:type="dxa"/>
              <w:left w:w="170" w:type="dxa"/>
              <w:bottom w:w="113" w:type="dxa"/>
              <w:right w:w="170" w:type="dxa"/>
            </w:tcMar>
            <w:hideMark/>
          </w:tcPr>
          <w:p w14:paraId="186F5BCD" w14:textId="77777777" w:rsidR="00547E81" w:rsidRDefault="00547E81">
            <w:pPr>
              <w:pStyle w:val="BoxHeading1"/>
            </w:pPr>
            <w:r>
              <w:t>Box 2 – Elements of the National Water Initiative</w:t>
            </w:r>
          </w:p>
        </w:tc>
      </w:tr>
      <w:tr w:rsidR="00547E81" w14:paraId="1F6D0080" w14:textId="77777777" w:rsidTr="004F0E1C">
        <w:trPr>
          <w:trHeight w:val="3642"/>
        </w:trPr>
        <w:tc>
          <w:tcPr>
            <w:tcW w:w="9638" w:type="dxa"/>
            <w:shd w:val="clear" w:color="auto" w:fill="EBEBEB"/>
            <w:tcMar>
              <w:top w:w="28" w:type="dxa"/>
              <w:left w:w="170" w:type="dxa"/>
              <w:bottom w:w="170" w:type="dxa"/>
              <w:right w:w="170" w:type="dxa"/>
            </w:tcMar>
            <w:hideMark/>
          </w:tcPr>
          <w:p w14:paraId="3A02E515" w14:textId="4B99ED1D" w:rsidR="00547E81" w:rsidRDefault="00547E81">
            <w:pPr>
              <w:pStyle w:val="BodyText"/>
            </w:pPr>
            <w:r>
              <w:t>Jurisdictions agreed to pursue the objectives (</w:t>
            </w:r>
            <w:r w:rsidR="006B27A2">
              <w:t>B</w:t>
            </w:r>
            <w:r>
              <w:t>ox 1) through reform actions in eight key areas.</w:t>
            </w:r>
          </w:p>
          <w:p w14:paraId="1C1B321F" w14:textId="77777777" w:rsidR="00547E81" w:rsidRDefault="00547E81">
            <w:pPr>
              <w:pStyle w:val="BodyText"/>
            </w:pPr>
            <w:r>
              <w:t>1. Water access entitlements and planning frameworks</w:t>
            </w:r>
          </w:p>
          <w:p w14:paraId="5A5E916C" w14:textId="77777777" w:rsidR="00547E81" w:rsidRDefault="00547E81">
            <w:pPr>
              <w:pStyle w:val="BodyText"/>
            </w:pPr>
            <w:r>
              <w:t>2. Water markets and trading</w:t>
            </w:r>
          </w:p>
          <w:p w14:paraId="78FDC4FB" w14:textId="77777777" w:rsidR="00547E81" w:rsidRDefault="00547E81">
            <w:pPr>
              <w:pStyle w:val="BodyText"/>
            </w:pPr>
            <w:r>
              <w:t>3. Best-practice water pricing and institutional arrangements</w:t>
            </w:r>
          </w:p>
          <w:p w14:paraId="3A7ACED7" w14:textId="77777777" w:rsidR="00547E81" w:rsidRDefault="00547E81">
            <w:pPr>
              <w:pStyle w:val="BodyText"/>
            </w:pPr>
            <w:r>
              <w:t>4. Integrated management of water for environmental and other public benefit outcomes</w:t>
            </w:r>
          </w:p>
          <w:p w14:paraId="145DD91D" w14:textId="77777777" w:rsidR="00547E81" w:rsidRDefault="00547E81">
            <w:pPr>
              <w:pStyle w:val="BodyText"/>
            </w:pPr>
            <w:r>
              <w:t>5. Water resource accounting</w:t>
            </w:r>
          </w:p>
          <w:p w14:paraId="6F5EDA31" w14:textId="77777777" w:rsidR="00547E81" w:rsidRDefault="00547E81">
            <w:pPr>
              <w:pStyle w:val="BodyText"/>
            </w:pPr>
            <w:r>
              <w:t>6. Urban water reform</w:t>
            </w:r>
          </w:p>
          <w:p w14:paraId="24E56D88" w14:textId="77777777" w:rsidR="00547E81" w:rsidRDefault="00547E81">
            <w:pPr>
              <w:pStyle w:val="BodyText"/>
            </w:pPr>
            <w:r>
              <w:t>7. Knowledge and capacity building</w:t>
            </w:r>
          </w:p>
          <w:p w14:paraId="10A7CB42" w14:textId="470BEAA4" w:rsidR="00547E81" w:rsidRDefault="00547E81">
            <w:pPr>
              <w:pStyle w:val="BodyText"/>
            </w:pPr>
            <w:r>
              <w:t>8. Community partnerships and adjustment.</w:t>
            </w:r>
          </w:p>
          <w:p w14:paraId="102D5615" w14:textId="77777777" w:rsidR="00547E81" w:rsidRDefault="00547E81">
            <w:pPr>
              <w:pStyle w:val="Note"/>
              <w:keepLines/>
            </w:pPr>
          </w:p>
          <w:p w14:paraId="364C1276" w14:textId="256794AF" w:rsidR="00547E81" w:rsidRDefault="00547E81">
            <w:pPr>
              <w:pStyle w:val="Source"/>
            </w:pPr>
            <w:r>
              <w:t>Source: NWI paragraph 24</w:t>
            </w:r>
            <w:r w:rsidR="00F446E3">
              <w:t>, available at</w:t>
            </w:r>
            <w:hyperlink r:id="rId27" w:history="1">
              <w:r w:rsidR="00F446E3" w:rsidRPr="0087399F">
                <w:rPr>
                  <w:rStyle w:val="Hyperlink"/>
                  <w:u w:val="none"/>
                </w:rPr>
                <w:t xml:space="preserve"> </w:t>
              </w:r>
              <w:r w:rsidR="00F446E3">
                <w:rPr>
                  <w:rStyle w:val="Hyperlink"/>
                </w:rPr>
                <w:t>pc.gov.au</w:t>
              </w:r>
            </w:hyperlink>
            <w:r>
              <w:t>.</w:t>
            </w:r>
          </w:p>
        </w:tc>
      </w:tr>
      <w:tr w:rsidR="00547E81" w14:paraId="5A7C5A8E" w14:textId="77777777">
        <w:trPr>
          <w:hidden/>
        </w:trPr>
        <w:tc>
          <w:tcPr>
            <w:tcW w:w="9638" w:type="dxa"/>
            <w:shd w:val="clear" w:color="auto" w:fill="auto"/>
            <w:tcMar>
              <w:top w:w="0" w:type="dxa"/>
              <w:left w:w="170" w:type="dxa"/>
              <w:bottom w:w="0" w:type="dxa"/>
              <w:right w:w="170" w:type="dxa"/>
            </w:tcMar>
          </w:tcPr>
          <w:p w14:paraId="33B8FADA" w14:textId="77777777" w:rsidR="00547E81" w:rsidRPr="00465191" w:rsidRDefault="00547E81">
            <w:pPr>
              <w:pStyle w:val="BodyText"/>
              <w:spacing w:before="0" w:after="0" w:line="80" w:lineRule="atLeast"/>
              <w:rPr>
                <w:smallCaps/>
                <w:vanish/>
              </w:rPr>
            </w:pPr>
            <w:r w:rsidRPr="00465191">
              <w:rPr>
                <w:smallCaps/>
                <w:vanish/>
                <w:color w:val="FF00FF"/>
              </w:rPr>
              <w:t>Used for spacing, do not delete</w:t>
            </w:r>
          </w:p>
        </w:tc>
      </w:tr>
    </w:tbl>
    <w:p w14:paraId="5661CBDD" w14:textId="0C80B52E" w:rsidR="00EC5475" w:rsidRPr="00BA64D1" w:rsidRDefault="00547E81" w:rsidP="00EC5475">
      <w:pPr>
        <w:pStyle w:val="Heading1-nobackground"/>
        <w:rPr>
          <w:color w:val="auto"/>
        </w:rPr>
      </w:pPr>
      <w:r>
        <w:br w:type="page"/>
      </w:r>
      <w:bookmarkStart w:id="5" w:name="_Toc151370443"/>
      <w:bookmarkStart w:id="6" w:name="_Toc155091434"/>
      <w:r w:rsidR="00EC5475">
        <w:lastRenderedPageBreak/>
        <w:t>NWI Renewal Advice from National W</w:t>
      </w:r>
      <w:r w:rsidR="00EC5475" w:rsidRPr="00D73382">
        <w:t>ater Reform 2020 Inquiry Report</w:t>
      </w:r>
      <w:bookmarkEnd w:id="5"/>
      <w:bookmarkEnd w:id="6"/>
      <w:r w:rsidR="00F446E3">
        <w:rPr>
          <w:rStyle w:val="FootnoteReference"/>
        </w:rPr>
        <w:footnoteReference w:id="2"/>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9638"/>
      </w:tblGrid>
      <w:tr w:rsidR="00EC5475" w:rsidRPr="00887AE6" w14:paraId="4969EAB8" w14:textId="77777777" w:rsidTr="00AA5007">
        <w:trPr>
          <w:tblHeader/>
        </w:trPr>
        <w:tc>
          <w:tcPr>
            <w:tcW w:w="5000" w:type="pct"/>
            <w:tcBorders>
              <w:top w:val="single" w:sz="6" w:space="0" w:color="A6A6A6" w:themeColor="background1" w:themeShade="A6"/>
              <w:left w:val="nil"/>
              <w:bottom w:val="nil"/>
              <w:right w:val="nil"/>
            </w:tcBorders>
          </w:tcPr>
          <w:p w14:paraId="00D6BEFF" w14:textId="48ED67F1" w:rsidR="00EC5475" w:rsidRPr="00BF345D" w:rsidRDefault="00EC5475">
            <w:pPr>
              <w:pStyle w:val="TableTitle"/>
              <w:keepNext w:val="0"/>
              <w:widowControl w:val="0"/>
            </w:pPr>
            <w:r w:rsidRPr="00887AE6">
              <w:rPr>
                <w:b w:val="0"/>
              </w:rPr>
              <w:t xml:space="preserve">Table </w:t>
            </w:r>
            <w:r w:rsidR="00E9560D">
              <w:rPr>
                <w:b w:val="0"/>
              </w:rPr>
              <w:t>1</w:t>
            </w:r>
            <w:r>
              <w:tab/>
              <w:t xml:space="preserve">NWI </w:t>
            </w:r>
            <w:r w:rsidRPr="00887AE6">
              <w:t>renewal advice</w:t>
            </w:r>
            <w:r>
              <w:t>: high</w:t>
            </w:r>
            <w:r w:rsidR="00E9560D">
              <w:t>-</w:t>
            </w:r>
            <w:r>
              <w:t>level summary by area</w:t>
            </w:r>
          </w:p>
        </w:tc>
      </w:tr>
      <w:tr w:rsidR="00EC5475" w:rsidRPr="00FD59E5" w14:paraId="455E4664" w14:textId="77777777">
        <w:tc>
          <w:tcPr>
            <w:tcW w:w="5000" w:type="pct"/>
            <w:tcBorders>
              <w:top w:val="nil"/>
              <w:left w:val="nil"/>
              <w:bottom w:val="nil"/>
              <w:right w:val="nil"/>
            </w:tcBorders>
          </w:tcPr>
          <w:tbl>
            <w:tblPr>
              <w:tblW w:w="5000" w:type="pct"/>
              <w:tblCellMar>
                <w:top w:w="28" w:type="dxa"/>
                <w:left w:w="0" w:type="dxa"/>
                <w:right w:w="0" w:type="dxa"/>
              </w:tblCellMar>
              <w:tblLook w:val="0000" w:firstRow="0" w:lastRow="0" w:firstColumn="0" w:lastColumn="0" w:noHBand="0" w:noVBand="0"/>
            </w:tblPr>
            <w:tblGrid>
              <w:gridCol w:w="9354"/>
            </w:tblGrid>
            <w:tr w:rsidR="00EC5475" w:rsidRPr="00887AE6" w14:paraId="631CBFFA" w14:textId="77777777" w:rsidTr="000B1E0F">
              <w:trPr>
                <w:tblHeader/>
              </w:trPr>
              <w:tc>
                <w:tcPr>
                  <w:tcW w:w="5000" w:type="pct"/>
                  <w:tcBorders>
                    <w:top w:val="single" w:sz="6" w:space="0" w:color="BFBFBF" w:themeColor="background1" w:themeShade="BF"/>
                    <w:bottom w:val="single" w:sz="8" w:space="0" w:color="BFBFBF" w:themeColor="background1" w:themeShade="BF"/>
                  </w:tcBorders>
                  <w:tcMar>
                    <w:top w:w="28" w:type="dxa"/>
                  </w:tcMar>
                </w:tcPr>
                <w:p w14:paraId="7F5E6384" w14:textId="77777777" w:rsidR="00EC5475" w:rsidRPr="00887AE6" w:rsidRDefault="00EC5475">
                  <w:pPr>
                    <w:keepLines/>
                    <w:widowControl w:val="0"/>
                    <w:spacing w:before="60" w:after="60"/>
                    <w:ind w:left="1474" w:hanging="1474"/>
                    <w:rPr>
                      <w:rFonts w:ascii="Arial" w:hAnsi="Arial"/>
                      <w:b/>
                      <w:sz w:val="22"/>
                    </w:rPr>
                  </w:pPr>
                  <w:r>
                    <w:rPr>
                      <w:rFonts w:ascii="Arial" w:hAnsi="Arial"/>
                      <w:b/>
                      <w:sz w:val="22"/>
                    </w:rPr>
                    <w:t>A r</w:t>
                  </w:r>
                  <w:r w:rsidRPr="00887AE6">
                    <w:rPr>
                      <w:rFonts w:ascii="Arial" w:hAnsi="Arial"/>
                      <w:b/>
                      <w:sz w:val="22"/>
                    </w:rPr>
                    <w:t>efreshed intent</w:t>
                  </w:r>
                </w:p>
              </w:tc>
            </w:tr>
            <w:tr w:rsidR="00EC5475" w14:paraId="3F6AFAAA" w14:textId="77777777" w:rsidTr="000B1E0F">
              <w:tc>
                <w:tcPr>
                  <w:tcW w:w="5000" w:type="pct"/>
                  <w:tcBorders>
                    <w:top w:val="single" w:sz="8" w:space="0" w:color="BFBFBF" w:themeColor="background1" w:themeShade="BF"/>
                    <w:bottom w:val="single" w:sz="8" w:space="0" w:color="BFBFBF" w:themeColor="background1" w:themeShade="BF"/>
                  </w:tcBorders>
                </w:tcPr>
                <w:p w14:paraId="60FDD1EE" w14:textId="77777777" w:rsidR="00EC5475" w:rsidRPr="003A68B1" w:rsidRDefault="00EC5475" w:rsidP="00F03D64">
                  <w:pPr>
                    <w:pStyle w:val="ListBullet"/>
                    <w:spacing w:line="260" w:lineRule="atLeast"/>
                  </w:pPr>
                  <w:r w:rsidRPr="003A68B1">
                    <w:t>Modernise the National Water Initiative (NWI) goal by including references to climate change and Traditional Owners. (3.1)</w:t>
                  </w:r>
                </w:p>
                <w:p w14:paraId="046B77D3" w14:textId="77777777" w:rsidR="00EC5475" w:rsidRPr="003A68B1" w:rsidRDefault="00EC5475" w:rsidP="00F03D64">
                  <w:pPr>
                    <w:pStyle w:val="ListBullet"/>
                    <w:spacing w:line="260" w:lineRule="atLeast"/>
                  </w:pPr>
                  <w:r w:rsidRPr="003A68B1">
                    <w:t>Increase emphasis on water service provision, provide more detail for water resource management and refer to cultural outcomes in NWI objectives. (3.2, 3.3)</w:t>
                  </w:r>
                </w:p>
                <w:p w14:paraId="29E07D65" w14:textId="77777777" w:rsidR="00EC5475" w:rsidRPr="003A68B1" w:rsidRDefault="00EC5475" w:rsidP="00F03D64">
                  <w:pPr>
                    <w:pStyle w:val="ListBullet"/>
                    <w:spacing w:line="260" w:lineRule="atLeast"/>
                  </w:pPr>
                  <w:r w:rsidRPr="003A68B1">
                    <w:t>Embed six overarching principles in all policy areas. (3.4)</w:t>
                  </w:r>
                </w:p>
                <w:p w14:paraId="243757D2" w14:textId="77777777" w:rsidR="00EC5475" w:rsidRPr="003A68B1" w:rsidRDefault="00EC5475" w:rsidP="00F03D64">
                  <w:pPr>
                    <w:pStyle w:val="ListBullet"/>
                    <w:spacing w:line="260" w:lineRule="atLeast"/>
                  </w:pPr>
                  <w:r w:rsidRPr="003A68B1">
                    <w:t>Develop new elements covering Aboriginal and Torres Strait Islander people’s interests in water, and infrastructure development. Significantly enhance the environmental management and water accounting (system integrity) elements. (3.5)</w:t>
                  </w:r>
                </w:p>
                <w:p w14:paraId="7A30DBBE" w14:textId="77777777" w:rsidR="00EC5475" w:rsidRPr="003A68B1" w:rsidRDefault="00EC5475" w:rsidP="00F03D64">
                  <w:pPr>
                    <w:pStyle w:val="ListBullet"/>
                    <w:spacing w:line="260" w:lineRule="atLeast"/>
                  </w:pPr>
                  <w:r w:rsidRPr="003A68B1">
                    <w:t>Update references to interactions between the NWI and other key initiatives. (3.6)</w:t>
                  </w:r>
                </w:p>
              </w:tc>
            </w:tr>
            <w:tr w:rsidR="00EC5475" w:rsidRPr="00887AE6" w14:paraId="7373B5F1" w14:textId="77777777" w:rsidTr="000B1E0F">
              <w:tc>
                <w:tcPr>
                  <w:tcW w:w="5000" w:type="pct"/>
                  <w:tcBorders>
                    <w:top w:val="single" w:sz="8" w:space="0" w:color="BFBFBF" w:themeColor="background1" w:themeShade="BF"/>
                    <w:bottom w:val="single" w:sz="6" w:space="0" w:color="BFBFBF" w:themeColor="background1" w:themeShade="BF"/>
                  </w:tcBorders>
                </w:tcPr>
                <w:p w14:paraId="061F224E" w14:textId="77777777" w:rsidR="00EC5475" w:rsidRPr="003A68B1" w:rsidRDefault="00EC5475">
                  <w:pPr>
                    <w:keepLines/>
                    <w:widowControl w:val="0"/>
                    <w:spacing w:before="60" w:after="60"/>
                    <w:ind w:left="1474" w:hanging="1474"/>
                    <w:rPr>
                      <w:rFonts w:ascii="Arial" w:hAnsi="Arial"/>
                      <w:b/>
                      <w:sz w:val="22"/>
                    </w:rPr>
                  </w:pPr>
                  <w:r w:rsidRPr="003A68B1">
                    <w:rPr>
                      <w:rFonts w:ascii="Arial" w:hAnsi="Arial"/>
                      <w:b/>
                      <w:sz w:val="22"/>
                    </w:rPr>
                    <w:t>Governance of the agreement</w:t>
                  </w:r>
                </w:p>
              </w:tc>
            </w:tr>
            <w:tr w:rsidR="00EC5475" w14:paraId="648798B5" w14:textId="77777777">
              <w:tc>
                <w:tcPr>
                  <w:tcW w:w="5000" w:type="pct"/>
                  <w:tcBorders>
                    <w:top w:val="single" w:sz="6" w:space="0" w:color="BFBFBF" w:themeColor="background1" w:themeShade="BF"/>
                    <w:bottom w:val="single" w:sz="6" w:space="0" w:color="BFBFBF" w:themeColor="background1" w:themeShade="BF"/>
                  </w:tcBorders>
                </w:tcPr>
                <w:p w14:paraId="3917D3D0" w14:textId="77777777" w:rsidR="00EC5475" w:rsidRPr="003A68B1" w:rsidRDefault="00EC5475" w:rsidP="000F3E57">
                  <w:pPr>
                    <w:pStyle w:val="ListBullet"/>
                  </w:pPr>
                  <w:r w:rsidRPr="003A68B1">
                    <w:t>Water ministers should convene periodically to oversee development of a renewed NWI. (4.1)</w:t>
                  </w:r>
                </w:p>
                <w:p w14:paraId="6225B6BD" w14:textId="77777777" w:rsidR="00EC5475" w:rsidRPr="003A68B1" w:rsidRDefault="00EC5475" w:rsidP="000F3E57">
                  <w:pPr>
                    <w:pStyle w:val="ListBullet"/>
                  </w:pPr>
                  <w:r w:rsidRPr="003A68B1">
                    <w:t>The renewed NWI should clearly link desired outcomes to objectives and limit prescriptive actions, instead setting out principles for best-practice, fit</w:t>
                  </w:r>
                  <w:r w:rsidRPr="003A68B1">
                    <w:noBreakHyphen/>
                    <w:t>for</w:t>
                  </w:r>
                  <w:r w:rsidRPr="003A68B1">
                    <w:noBreakHyphen/>
                    <w:t>purpose policy approaches. (4.1)</w:t>
                  </w:r>
                </w:p>
                <w:p w14:paraId="5BE06B3E" w14:textId="77777777" w:rsidR="00EC5475" w:rsidRPr="003A68B1" w:rsidRDefault="00EC5475" w:rsidP="000F3E57">
                  <w:pPr>
                    <w:pStyle w:val="ListBullet"/>
                  </w:pPr>
                  <w:r w:rsidRPr="003A68B1">
                    <w:t>Jurisdictions should prepare 3</w:t>
                  </w:r>
                  <w:r w:rsidRPr="003A68B1">
                    <w:noBreakHyphen/>
                    <w:t>year rolling work programs, with progress independently assessed on a triennial basis. (4.1)</w:t>
                  </w:r>
                </w:p>
                <w:p w14:paraId="4B7F09A8" w14:textId="77777777" w:rsidR="00EC5475" w:rsidRPr="003A68B1" w:rsidRDefault="00EC5475" w:rsidP="000F3E57">
                  <w:pPr>
                    <w:pStyle w:val="ListBullet"/>
                  </w:pPr>
                  <w:r w:rsidRPr="003A68B1">
                    <w:t>There should be a comprehensive review of national water policy every 10 years. (4.1)</w:t>
                  </w:r>
                </w:p>
                <w:p w14:paraId="63A24D97" w14:textId="77777777" w:rsidR="00EC5475" w:rsidRPr="005B54AD" w:rsidRDefault="00EC5475" w:rsidP="000F3E57">
                  <w:pPr>
                    <w:pStyle w:val="ListBullet"/>
                    <w:rPr>
                      <w:spacing w:val="2"/>
                    </w:rPr>
                  </w:pPr>
                  <w:r w:rsidRPr="005B54AD">
                    <w:rPr>
                      <w:spacing w:val="2"/>
                    </w:rPr>
                    <w:t>The National Water Reform Committee should provide transparent on</w:t>
                  </w:r>
                  <w:r w:rsidRPr="005B54AD">
                    <w:rPr>
                      <w:spacing w:val="2"/>
                    </w:rPr>
                    <w:noBreakHyphen/>
                    <w:t>going oversight of the agreement. (4.1)</w:t>
                  </w:r>
                </w:p>
              </w:tc>
            </w:tr>
            <w:tr w:rsidR="00EC5475" w:rsidRPr="00887AE6" w14:paraId="5C47239E" w14:textId="77777777" w:rsidTr="000B1E0F">
              <w:tc>
                <w:tcPr>
                  <w:tcW w:w="5000" w:type="pct"/>
                  <w:tcBorders>
                    <w:top w:val="single" w:sz="6" w:space="0" w:color="BFBFBF" w:themeColor="background1" w:themeShade="BF"/>
                    <w:bottom w:val="single" w:sz="6" w:space="0" w:color="BFBFBF" w:themeColor="background1" w:themeShade="BF"/>
                  </w:tcBorders>
                </w:tcPr>
                <w:p w14:paraId="40FA4573" w14:textId="77777777" w:rsidR="00EC5475" w:rsidRPr="003A68B1" w:rsidRDefault="00EC5475">
                  <w:pPr>
                    <w:keepLines/>
                    <w:widowControl w:val="0"/>
                    <w:spacing w:before="60" w:after="60"/>
                    <w:ind w:left="1474" w:hanging="1474"/>
                    <w:rPr>
                      <w:rFonts w:ascii="Arial" w:hAnsi="Arial"/>
                      <w:b/>
                      <w:sz w:val="22"/>
                    </w:rPr>
                  </w:pPr>
                  <w:r w:rsidRPr="003A68B1">
                    <w:rPr>
                      <w:rFonts w:ascii="Arial" w:hAnsi="Arial"/>
                      <w:b/>
                      <w:sz w:val="22"/>
                    </w:rPr>
                    <w:t>A framework for water resource management</w:t>
                  </w:r>
                </w:p>
              </w:tc>
            </w:tr>
            <w:tr w:rsidR="00EC5475" w:rsidRPr="00887AE6" w14:paraId="7C15F94C" w14:textId="77777777" w:rsidTr="003D197F">
              <w:tc>
                <w:tcPr>
                  <w:tcW w:w="5000" w:type="pct"/>
                  <w:tcBorders>
                    <w:top w:val="single" w:sz="6" w:space="0" w:color="BFBFBF" w:themeColor="background1" w:themeShade="BF"/>
                    <w:bottom w:val="single" w:sz="6" w:space="0" w:color="BFBFBF" w:themeColor="background1" w:themeShade="BF"/>
                  </w:tcBorders>
                </w:tcPr>
                <w:p w14:paraId="302E523F" w14:textId="77777777" w:rsidR="00EC5475" w:rsidRPr="003A68B1" w:rsidRDefault="00EC5475" w:rsidP="000F3E57">
                  <w:pPr>
                    <w:pStyle w:val="ListBullet"/>
                  </w:pPr>
                  <w:r w:rsidRPr="003A68B1">
                    <w:t>Embed the concept of fit</w:t>
                  </w:r>
                  <w:r w:rsidRPr="003A68B1">
                    <w:noBreakHyphen/>
                    <w:t>for</w:t>
                  </w:r>
                  <w:r w:rsidRPr="003A68B1">
                    <w:noBreakHyphen/>
                    <w:t>purpose water resource management in a new NWI. (5.1)</w:t>
                  </w:r>
                </w:p>
              </w:tc>
            </w:tr>
            <w:tr w:rsidR="00EC5475" w:rsidRPr="00887AE6" w14:paraId="0092C0EF" w14:textId="77777777" w:rsidTr="004E1E5F">
              <w:tc>
                <w:tcPr>
                  <w:tcW w:w="5000" w:type="pct"/>
                  <w:tcBorders>
                    <w:top w:val="single" w:sz="6" w:space="0" w:color="BFBFBF" w:themeColor="background1" w:themeShade="BF"/>
                    <w:bottom w:val="single" w:sz="6" w:space="0" w:color="BFBFBF" w:themeColor="background1" w:themeShade="BF"/>
                  </w:tcBorders>
                </w:tcPr>
                <w:p w14:paraId="7209E493" w14:textId="77777777" w:rsidR="00EC5475" w:rsidRPr="003A68B1" w:rsidRDefault="00EC5475">
                  <w:pPr>
                    <w:keepLines/>
                    <w:widowControl w:val="0"/>
                    <w:spacing w:before="60" w:after="60"/>
                    <w:ind w:left="1474" w:hanging="1474"/>
                    <w:rPr>
                      <w:rFonts w:ascii="Arial" w:hAnsi="Arial"/>
                      <w:b/>
                      <w:sz w:val="22"/>
                    </w:rPr>
                  </w:pPr>
                  <w:r w:rsidRPr="003A68B1">
                    <w:rPr>
                      <w:rFonts w:ascii="Arial" w:hAnsi="Arial"/>
                      <w:b/>
                      <w:sz w:val="22"/>
                    </w:rPr>
                    <w:t>Water entitlements and planning</w:t>
                  </w:r>
                </w:p>
              </w:tc>
            </w:tr>
            <w:tr w:rsidR="00EC5475" w14:paraId="31848AD6" w14:textId="77777777" w:rsidTr="004E1E5F">
              <w:tc>
                <w:tcPr>
                  <w:tcW w:w="5000" w:type="pct"/>
                  <w:tcBorders>
                    <w:top w:val="single" w:sz="6" w:space="0" w:color="BFBFBF" w:themeColor="background1" w:themeShade="BF"/>
                  </w:tcBorders>
                </w:tcPr>
                <w:p w14:paraId="38D8BC65" w14:textId="4CEC0B32" w:rsidR="008225FD" w:rsidRPr="001D2B69" w:rsidRDefault="00EC5475" w:rsidP="001D2B69">
                  <w:pPr>
                    <w:pStyle w:val="ListBullet"/>
                    <w:spacing w:after="240"/>
                    <w:rPr>
                      <w:spacing w:val="2"/>
                    </w:rPr>
                  </w:pPr>
                  <w:r w:rsidRPr="005B54AD">
                    <w:rPr>
                      <w:spacing w:val="2"/>
                    </w:rPr>
                    <w:t xml:space="preserve">Recommit to the key outcomes and actions related to water access </w:t>
                  </w:r>
                  <w:proofErr w:type="gramStart"/>
                  <w:r w:rsidRPr="005B54AD">
                    <w:rPr>
                      <w:spacing w:val="2"/>
                    </w:rPr>
                    <w:t>entitlements, and</w:t>
                  </w:r>
                  <w:proofErr w:type="gramEnd"/>
                  <w:r w:rsidRPr="005B54AD">
                    <w:rPr>
                      <w:spacing w:val="2"/>
                    </w:rPr>
                    <w:t xml:space="preserve"> ensure entitlements and access rights frameworks are fit for purpose. Remove</w:t>
                  </w:r>
                  <w:r w:rsidRPr="005B54AD" w:rsidDel="0097483F">
                    <w:rPr>
                      <w:spacing w:val="2"/>
                    </w:rPr>
                    <w:t xml:space="preserve"> </w:t>
                  </w:r>
                  <w:r w:rsidRPr="005B54AD">
                    <w:rPr>
                      <w:spacing w:val="2"/>
                    </w:rPr>
                    <w:t xml:space="preserve">the special provision for mineral and petroleum industries; consider exemptions </w:t>
                  </w:r>
                  <w:proofErr w:type="gramStart"/>
                  <w:r w:rsidRPr="005B54AD">
                    <w:rPr>
                      <w:spacing w:val="2"/>
                    </w:rPr>
                    <w:t>on the basis of</w:t>
                  </w:r>
                  <w:proofErr w:type="gramEnd"/>
                  <w:r w:rsidRPr="005B54AD">
                    <w:rPr>
                      <w:spacing w:val="2"/>
                    </w:rPr>
                    <w:t xml:space="preserve"> context, not industry or user;</w:t>
                  </w:r>
                  <w:r w:rsidRPr="005B54AD">
                    <w:rPr>
                      <w:color w:val="C00000"/>
                      <w:spacing w:val="2"/>
                    </w:rPr>
                    <w:t xml:space="preserve"> </w:t>
                  </w:r>
                  <w:r w:rsidRPr="005B54AD">
                    <w:rPr>
                      <w:spacing w:val="2"/>
                    </w:rPr>
                    <w:t>establish a process to determine whether alternative water sources can be incorporated into water access entitlements frameworks; and adopt a risk</w:t>
                  </w:r>
                  <w:r w:rsidRPr="005B54AD">
                    <w:rPr>
                      <w:spacing w:val="2"/>
                    </w:rPr>
                    <w:noBreakHyphen/>
                    <w:t>based approach to managing significant interception activities. (6.1)</w:t>
                  </w:r>
                </w:p>
                <w:p w14:paraId="3B01075F" w14:textId="0C1FCD0A" w:rsidR="00CF562F" w:rsidRPr="003A68B1" w:rsidRDefault="00731322" w:rsidP="00F34810">
                  <w:pPr>
                    <w:pStyle w:val="ListBullet"/>
                  </w:pPr>
                  <w:r w:rsidRPr="003A68B1">
                    <w:t xml:space="preserve">Enhance water planning provisions to better reflect current best practice and embed processes to better account for climate change including in relation </w:t>
                  </w:r>
                  <w:proofErr w:type="gramStart"/>
                  <w:r w:rsidRPr="003A68B1">
                    <w:t>to:</w:t>
                  </w:r>
                  <w:proofErr w:type="gramEnd"/>
                  <w:r w:rsidRPr="003A68B1">
                    <w:t xml:space="preserve"> dealing with extreme scenarios; water quality issues; rebalancing; modelling climate; and provisions for allocating risk. (6.2)</w:t>
                  </w:r>
                </w:p>
              </w:tc>
            </w:tr>
            <w:tr w:rsidR="00EC5475" w:rsidRPr="00887AE6" w14:paraId="5496D254" w14:textId="77777777" w:rsidTr="004E1E5F">
              <w:tc>
                <w:tcPr>
                  <w:tcW w:w="5000" w:type="pct"/>
                  <w:tcBorders>
                    <w:bottom w:val="single" w:sz="6" w:space="0" w:color="BFBFBF" w:themeColor="background1" w:themeShade="BF"/>
                  </w:tcBorders>
                </w:tcPr>
                <w:p w14:paraId="44CF0244" w14:textId="77777777" w:rsidR="00EC5475" w:rsidRPr="003A68B1" w:rsidRDefault="00EC5475">
                  <w:pPr>
                    <w:keepLines/>
                    <w:widowControl w:val="0"/>
                    <w:spacing w:before="60" w:after="60"/>
                    <w:ind w:left="1474" w:hanging="1474"/>
                    <w:rPr>
                      <w:rFonts w:ascii="Arial" w:hAnsi="Arial"/>
                      <w:b/>
                      <w:sz w:val="22"/>
                    </w:rPr>
                  </w:pPr>
                  <w:r w:rsidRPr="003A68B1">
                    <w:rPr>
                      <w:rFonts w:ascii="Arial" w:hAnsi="Arial"/>
                      <w:b/>
                      <w:sz w:val="22"/>
                    </w:rPr>
                    <w:lastRenderedPageBreak/>
                    <w:t>Trading and markets</w:t>
                  </w:r>
                </w:p>
              </w:tc>
            </w:tr>
            <w:tr w:rsidR="00EC5475" w14:paraId="7AF97D12" w14:textId="77777777" w:rsidTr="00AA5007">
              <w:tc>
                <w:tcPr>
                  <w:tcW w:w="5000" w:type="pct"/>
                  <w:tcBorders>
                    <w:top w:val="single" w:sz="6" w:space="0" w:color="BFBFBF" w:themeColor="background1" w:themeShade="BF"/>
                    <w:bottom w:val="single" w:sz="6" w:space="0" w:color="BFBFBF" w:themeColor="background1" w:themeShade="BF"/>
                  </w:tcBorders>
                </w:tcPr>
                <w:p w14:paraId="390FC25F" w14:textId="77777777" w:rsidR="00EC5475" w:rsidRPr="003A68B1" w:rsidRDefault="00EC5475" w:rsidP="006F52F6">
                  <w:pPr>
                    <w:pStyle w:val="ListBullet"/>
                  </w:pPr>
                  <w:r w:rsidRPr="003A68B1">
                    <w:t>Emphasise that the purpose of water trading and markets is as a tool within a water resource management framework to increase efficiency. Market arrangements need to be fit</w:t>
                  </w:r>
                  <w:r w:rsidRPr="003A68B1">
                    <w:noBreakHyphen/>
                    <w:t>for</w:t>
                  </w:r>
                  <w:r w:rsidRPr="003A68B1">
                    <w:noBreakHyphen/>
                    <w:t>purpose. (7.1)</w:t>
                  </w:r>
                </w:p>
                <w:p w14:paraId="2CA098E5" w14:textId="77777777" w:rsidR="00EC5475" w:rsidRPr="003A68B1" w:rsidRDefault="00EC5475" w:rsidP="006F52F6">
                  <w:pPr>
                    <w:pStyle w:val="ListBullet"/>
                  </w:pPr>
                  <w:r w:rsidRPr="003A68B1">
                    <w:t>Recommit to the NWI water trading and market principles. Reshape principles covering governance, regulatory and operational arrangements for water trading and markets to provide leading practice foundations for developing markets. (7.2)</w:t>
                  </w:r>
                </w:p>
                <w:p w14:paraId="28164FA0" w14:textId="77777777" w:rsidR="00EC5475" w:rsidRPr="003A68B1" w:rsidRDefault="00EC5475" w:rsidP="006F52F6">
                  <w:pPr>
                    <w:pStyle w:val="ListBullet"/>
                  </w:pPr>
                  <w:r w:rsidRPr="003A68B1">
                    <w:t>Provide information to support efficient water markets. (7.3)</w:t>
                  </w:r>
                </w:p>
              </w:tc>
            </w:tr>
          </w:tbl>
          <w:p w14:paraId="50401479" w14:textId="77777777" w:rsidR="00EC5475" w:rsidRPr="00FD59E5" w:rsidRDefault="00EC5475">
            <w:pPr>
              <w:widowControl w:val="0"/>
              <w:spacing w:line="20" w:lineRule="exact"/>
              <w:jc w:val="both"/>
              <w:rPr>
                <w:rFonts w:ascii="Arial" w:hAnsi="Arial"/>
              </w:rPr>
            </w:pPr>
          </w:p>
        </w:tc>
      </w:tr>
      <w:tr w:rsidR="00EC5475" w:rsidRPr="00FD59E5" w14:paraId="6E72F126" w14:textId="77777777">
        <w:tc>
          <w:tcPr>
            <w:tcW w:w="5000" w:type="pct"/>
            <w:tcBorders>
              <w:top w:val="nil"/>
              <w:left w:val="nil"/>
              <w:bottom w:val="nil"/>
              <w:right w:val="nil"/>
            </w:tcBorders>
          </w:tcPr>
          <w:tbl>
            <w:tblPr>
              <w:tblW w:w="5000" w:type="pct"/>
              <w:tblBorders>
                <w:top w:val="single" w:sz="6" w:space="0" w:color="BFBFBF"/>
                <w:bottom w:val="single" w:sz="6" w:space="0" w:color="BFBFBF"/>
                <w:insideH w:val="single" w:sz="6" w:space="0" w:color="BFBFBF"/>
                <w:insideV w:val="single" w:sz="6" w:space="0" w:color="BFBFBF"/>
              </w:tblBorders>
              <w:tblCellMar>
                <w:top w:w="28" w:type="dxa"/>
                <w:left w:w="0" w:type="dxa"/>
                <w:right w:w="0" w:type="dxa"/>
              </w:tblCellMar>
              <w:tblLook w:val="0000" w:firstRow="0" w:lastRow="0" w:firstColumn="0" w:lastColumn="0" w:noHBand="0" w:noVBand="0"/>
            </w:tblPr>
            <w:tblGrid>
              <w:gridCol w:w="9354"/>
            </w:tblGrid>
            <w:tr w:rsidR="00EC5475" w:rsidRPr="00887AE6" w14:paraId="2FEE5376" w14:textId="77777777">
              <w:trPr>
                <w:tblHeader/>
              </w:trPr>
              <w:tc>
                <w:tcPr>
                  <w:tcW w:w="5000" w:type="pct"/>
                  <w:tcMar>
                    <w:top w:w="28" w:type="dxa"/>
                  </w:tcMar>
                </w:tcPr>
                <w:p w14:paraId="02E540A9" w14:textId="77777777" w:rsidR="00EC5475" w:rsidRPr="00887AE6" w:rsidRDefault="00EC5475">
                  <w:pPr>
                    <w:keepLines/>
                    <w:widowControl w:val="0"/>
                    <w:spacing w:before="60" w:after="60"/>
                    <w:ind w:left="1474" w:hanging="1474"/>
                    <w:rPr>
                      <w:rFonts w:ascii="Arial" w:hAnsi="Arial"/>
                      <w:b/>
                      <w:sz w:val="22"/>
                    </w:rPr>
                  </w:pPr>
                  <w:r w:rsidRPr="00887AE6">
                    <w:rPr>
                      <w:rFonts w:ascii="Arial" w:hAnsi="Arial"/>
                      <w:b/>
                      <w:sz w:val="22"/>
                    </w:rPr>
                    <w:lastRenderedPageBreak/>
                    <w:t>Environmental management</w:t>
                  </w:r>
                </w:p>
              </w:tc>
            </w:tr>
            <w:tr w:rsidR="00EC5475" w:rsidRPr="00887AE6" w14:paraId="78948969" w14:textId="77777777">
              <w:trPr>
                <w:tblHeader/>
              </w:trPr>
              <w:tc>
                <w:tcPr>
                  <w:tcW w:w="5000" w:type="pct"/>
                  <w:tcMar>
                    <w:top w:w="28" w:type="dxa"/>
                  </w:tcMar>
                </w:tcPr>
                <w:p w14:paraId="650494F5" w14:textId="77777777" w:rsidR="00EC5475" w:rsidRPr="004F6C5E" w:rsidRDefault="00EC5475" w:rsidP="004651E7">
                  <w:pPr>
                    <w:pStyle w:val="ListBullet"/>
                    <w:rPr>
                      <w:spacing w:val="4"/>
                    </w:rPr>
                  </w:pPr>
                  <w:r w:rsidRPr="004F6C5E">
                    <w:rPr>
                      <w:spacing w:val="4"/>
                    </w:rPr>
                    <w:t>Adopt best</w:t>
                  </w:r>
                  <w:r w:rsidRPr="004F6C5E">
                    <w:rPr>
                      <w:spacing w:val="4"/>
                    </w:rPr>
                    <w:noBreakHyphen/>
                    <w:t>practice development of environmental objectives and agreed environmental outcomes. (8.1)</w:t>
                  </w:r>
                </w:p>
                <w:p w14:paraId="7BD36998" w14:textId="77777777" w:rsidR="00EC5475" w:rsidRPr="004F6C5E" w:rsidRDefault="00EC5475" w:rsidP="004651E7">
                  <w:pPr>
                    <w:pStyle w:val="ListBullet"/>
                    <w:rPr>
                      <w:spacing w:val="-4"/>
                    </w:rPr>
                  </w:pPr>
                  <w:r w:rsidRPr="004F6C5E">
                    <w:rPr>
                      <w:spacing w:val="-4"/>
                    </w:rPr>
                    <w:t>Integrate management of environmental water and complementary natural resource management. (8.2)</w:t>
                  </w:r>
                </w:p>
                <w:p w14:paraId="7886F050" w14:textId="77777777" w:rsidR="00EC5475" w:rsidRDefault="00EC5475" w:rsidP="004651E7">
                  <w:pPr>
                    <w:pStyle w:val="ListBullet"/>
                  </w:pPr>
                  <w:r>
                    <w:t>Where not in place, e</w:t>
                  </w:r>
                  <w:r w:rsidRPr="00D74003">
                    <w:t>stablish a formal institutional oversight responsibility for wetland and waterway management</w:t>
                  </w:r>
                  <w:r>
                    <w:t>. (8.3)</w:t>
                  </w:r>
                </w:p>
                <w:p w14:paraId="6BBE3641" w14:textId="77777777" w:rsidR="00EC5475" w:rsidRPr="00BE7438" w:rsidRDefault="00EC5475" w:rsidP="004651E7">
                  <w:pPr>
                    <w:pStyle w:val="ListBullet"/>
                    <w:rPr>
                      <w:spacing w:val="-4"/>
                    </w:rPr>
                  </w:pPr>
                  <w:r w:rsidRPr="00BE7438">
                    <w:rPr>
                      <w:spacing w:val="-4"/>
                    </w:rPr>
                    <w:t>Establish clear processes for reviewing progress on environmental outcomes. (8.4)</w:t>
                  </w:r>
                </w:p>
                <w:p w14:paraId="7B344BED" w14:textId="77777777" w:rsidR="00EC5475" w:rsidRDefault="00EC5475" w:rsidP="004651E7">
                  <w:pPr>
                    <w:pStyle w:val="ListBullet"/>
                  </w:pPr>
                  <w:r>
                    <w:t>Embed criteria for prioritising environmental watering, and objectives for environmental watering under different climate scenarios. (8.5)</w:t>
                  </w:r>
                </w:p>
                <w:p w14:paraId="2051CE18" w14:textId="77777777" w:rsidR="00EC5475" w:rsidRDefault="00EC5475" w:rsidP="004651E7">
                  <w:pPr>
                    <w:pStyle w:val="ListBullet"/>
                  </w:pPr>
                  <w:r>
                    <w:t>Ensure environmental water holders’ trade strategies are in place and transparent. (8.6)</w:t>
                  </w:r>
                </w:p>
                <w:p w14:paraId="7D5C2018" w14:textId="77777777" w:rsidR="00EC5475" w:rsidRDefault="00EC5475" w:rsidP="004651E7">
                  <w:pPr>
                    <w:pStyle w:val="ListBullet"/>
                  </w:pPr>
                  <w:r w:rsidRPr="00043D5A">
                    <w:t>Environmental water holders should pursue innovative market approaches.</w:t>
                  </w:r>
                  <w:r>
                    <w:t xml:space="preserve"> (8.7)</w:t>
                  </w:r>
                </w:p>
                <w:p w14:paraId="52482D75" w14:textId="77777777" w:rsidR="00EC5475" w:rsidRPr="00BE7438" w:rsidRDefault="00EC5475" w:rsidP="004651E7">
                  <w:pPr>
                    <w:pStyle w:val="ListBullet"/>
                    <w:rPr>
                      <w:spacing w:val="4"/>
                    </w:rPr>
                  </w:pPr>
                  <w:r w:rsidRPr="00BE7438">
                    <w:rPr>
                      <w:spacing w:val="4"/>
                    </w:rPr>
                    <w:t>Enable environmental water holders to vary their entitlement portfolio over time. (8.8)</w:t>
                  </w:r>
                </w:p>
                <w:p w14:paraId="3604BB58" w14:textId="77777777" w:rsidR="00EC5475" w:rsidRDefault="00EC5475" w:rsidP="004651E7">
                  <w:pPr>
                    <w:pStyle w:val="ListBullet"/>
                  </w:pPr>
                  <w:r>
                    <w:t>Actively pursue public benefit outcomes where they do not compromise environmental outcomes. (8.9)</w:t>
                  </w:r>
                </w:p>
                <w:p w14:paraId="6E93F0A3" w14:textId="77777777" w:rsidR="00EC5475" w:rsidRPr="004F6C5E" w:rsidRDefault="00EC5475" w:rsidP="004651E7">
                  <w:pPr>
                    <w:pStyle w:val="ListBullet"/>
                    <w:rPr>
                      <w:spacing w:val="-4"/>
                    </w:rPr>
                  </w:pPr>
                  <w:r w:rsidRPr="004F6C5E">
                    <w:rPr>
                      <w:spacing w:val="-4"/>
                    </w:rPr>
                    <w:t>Independently audit the adequacy and use of environmental water entitlements every three years. (8.10)</w:t>
                  </w:r>
                </w:p>
                <w:p w14:paraId="3C839CF8" w14:textId="77777777" w:rsidR="00EC5475" w:rsidRDefault="00EC5475" w:rsidP="004651E7">
                  <w:pPr>
                    <w:pStyle w:val="ListBullet"/>
                  </w:pPr>
                  <w:r>
                    <w:t>Obligate system managers to use their best endeavours to achieve agreed outcomes. (8.11)</w:t>
                  </w:r>
                </w:p>
                <w:p w14:paraId="2029A465" w14:textId="77777777" w:rsidR="00EC5475" w:rsidRPr="00887AE6" w:rsidRDefault="00EC5475" w:rsidP="004651E7">
                  <w:pPr>
                    <w:pStyle w:val="ListBullet"/>
                    <w:rPr>
                      <w:b/>
                      <w:sz w:val="22"/>
                    </w:rPr>
                  </w:pPr>
                  <w:r>
                    <w:t>Commit to adaptive management. (8.12)</w:t>
                  </w:r>
                </w:p>
              </w:tc>
            </w:tr>
            <w:tr w:rsidR="00EC5475" w:rsidRPr="00887AE6" w14:paraId="4285241E" w14:textId="77777777">
              <w:trPr>
                <w:tblHeader/>
              </w:trPr>
              <w:tc>
                <w:tcPr>
                  <w:tcW w:w="5000" w:type="pct"/>
                  <w:tcMar>
                    <w:top w:w="28" w:type="dxa"/>
                  </w:tcMar>
                </w:tcPr>
                <w:p w14:paraId="75686F5C" w14:textId="77777777" w:rsidR="00EC5475" w:rsidRPr="00887AE6" w:rsidRDefault="00EC5475">
                  <w:pPr>
                    <w:keepLines/>
                    <w:widowControl w:val="0"/>
                    <w:spacing w:before="60" w:after="60"/>
                    <w:ind w:left="1474" w:hanging="1474"/>
                    <w:rPr>
                      <w:rFonts w:ascii="Arial" w:hAnsi="Arial"/>
                      <w:b/>
                      <w:sz w:val="22"/>
                    </w:rPr>
                  </w:pPr>
                  <w:r w:rsidRPr="00887AE6">
                    <w:rPr>
                      <w:rFonts w:ascii="Arial" w:hAnsi="Arial"/>
                      <w:b/>
                      <w:sz w:val="22"/>
                    </w:rPr>
                    <w:t>Aboriginal and Torres Strait Islander people</w:t>
                  </w:r>
                  <w:r>
                    <w:rPr>
                      <w:rFonts w:ascii="Arial" w:hAnsi="Arial"/>
                      <w:b/>
                      <w:sz w:val="22"/>
                    </w:rPr>
                    <w:t>’s interests in water</w:t>
                  </w:r>
                </w:p>
              </w:tc>
            </w:tr>
            <w:tr w:rsidR="00EC5475" w14:paraId="7BA57E6C" w14:textId="77777777">
              <w:tc>
                <w:tcPr>
                  <w:tcW w:w="5000" w:type="pct"/>
                </w:tcPr>
                <w:p w14:paraId="08C76AF1" w14:textId="77777777" w:rsidR="00EC5475" w:rsidRDefault="00EC5475" w:rsidP="004651E7">
                  <w:pPr>
                    <w:pStyle w:val="ListBullet"/>
                  </w:pPr>
                  <w:r>
                    <w:t>Co</w:t>
                  </w:r>
                  <w:r>
                    <w:noBreakHyphen/>
                    <w:t>design a new NWI element dedicated to Aboriginal and Torres Strait Islander people’s interests in water and involvement in water management. (9.1)</w:t>
                  </w:r>
                </w:p>
                <w:p w14:paraId="655E636F" w14:textId="77777777" w:rsidR="00EC5475" w:rsidRDefault="00EC5475" w:rsidP="004651E7">
                  <w:pPr>
                    <w:pStyle w:val="ListBullet"/>
                  </w:pPr>
                  <w:r>
                    <w:t>Improve cultural outcomes using existing frameworks. (9.2)</w:t>
                  </w:r>
                </w:p>
                <w:p w14:paraId="711988E4" w14:textId="77777777" w:rsidR="00EC5475" w:rsidRDefault="00EC5475" w:rsidP="004651E7">
                  <w:pPr>
                    <w:pStyle w:val="ListBullet"/>
                  </w:pPr>
                  <w:r>
                    <w:t>Improve access to water for economic development. (9.3)</w:t>
                  </w:r>
                </w:p>
              </w:tc>
            </w:tr>
            <w:tr w:rsidR="00EC5475" w:rsidRPr="00887AE6" w14:paraId="0DB6264D" w14:textId="77777777">
              <w:tc>
                <w:tcPr>
                  <w:tcW w:w="5000" w:type="pct"/>
                </w:tcPr>
                <w:p w14:paraId="16EFEF25" w14:textId="77777777" w:rsidR="00EC5475" w:rsidRPr="00887AE6" w:rsidRDefault="00EC5475">
                  <w:pPr>
                    <w:keepLines/>
                    <w:widowControl w:val="0"/>
                    <w:spacing w:before="60" w:after="60"/>
                    <w:ind w:left="1474" w:hanging="1474"/>
                    <w:rPr>
                      <w:rFonts w:ascii="Arial" w:hAnsi="Arial"/>
                      <w:b/>
                      <w:sz w:val="22"/>
                    </w:rPr>
                  </w:pPr>
                  <w:r>
                    <w:rPr>
                      <w:rFonts w:ascii="Arial" w:hAnsi="Arial"/>
                      <w:b/>
                      <w:sz w:val="22"/>
                    </w:rPr>
                    <w:t>System integrity</w:t>
                  </w:r>
                </w:p>
              </w:tc>
            </w:tr>
            <w:tr w:rsidR="00EC5475" w14:paraId="0974361E" w14:textId="77777777">
              <w:tc>
                <w:tcPr>
                  <w:tcW w:w="5000" w:type="pct"/>
                </w:tcPr>
                <w:p w14:paraId="1FE812DE" w14:textId="77777777" w:rsidR="00EC5475" w:rsidRDefault="00EC5475" w:rsidP="004651E7">
                  <w:pPr>
                    <w:pStyle w:val="ListBullet"/>
                  </w:pPr>
                  <w:r>
                    <w:t>Build system integrity through a renewed element. (10.1)</w:t>
                  </w:r>
                </w:p>
                <w:p w14:paraId="25289FA6" w14:textId="77777777" w:rsidR="00EC5475" w:rsidRDefault="00EC5475" w:rsidP="004651E7">
                  <w:pPr>
                    <w:pStyle w:val="ListBullet"/>
                  </w:pPr>
                  <w:r>
                    <w:t>Ensure system integrity through fit</w:t>
                  </w:r>
                  <w:r>
                    <w:noBreakHyphen/>
                    <w:t>for</w:t>
                  </w:r>
                  <w:r>
                    <w:noBreakHyphen/>
                    <w:t>purpose metering and measurement, registers and effective compliance and enforcement systems. (10.2)</w:t>
                  </w:r>
                </w:p>
                <w:p w14:paraId="22816458" w14:textId="77777777" w:rsidR="00EC5475" w:rsidRDefault="00EC5475" w:rsidP="004651E7">
                  <w:pPr>
                    <w:pStyle w:val="ListBullet"/>
                  </w:pPr>
                  <w:r>
                    <w:t>Ensure the integrity of water system management via effective information provision. (10.3)</w:t>
                  </w:r>
                </w:p>
                <w:p w14:paraId="02DDCF7C" w14:textId="77777777" w:rsidR="004E671D" w:rsidRDefault="00EC5475" w:rsidP="00D02AB9">
                  <w:pPr>
                    <w:pStyle w:val="ListBullet"/>
                  </w:pPr>
                  <w:r>
                    <w:t>Ensure information on the broader water context aligns with users’ needs. (10.4)</w:t>
                  </w:r>
                </w:p>
                <w:p w14:paraId="45831EED" w14:textId="77777777" w:rsidR="003A7ECB" w:rsidRDefault="003A7ECB" w:rsidP="003A7ECB">
                  <w:pPr>
                    <w:pStyle w:val="ListBullet"/>
                    <w:numPr>
                      <w:ilvl w:val="0"/>
                      <w:numId w:val="0"/>
                    </w:numPr>
                  </w:pPr>
                </w:p>
                <w:p w14:paraId="6C78420E" w14:textId="77777777" w:rsidR="00F54E22" w:rsidRDefault="00F54E22" w:rsidP="003A7ECB">
                  <w:pPr>
                    <w:pStyle w:val="ListBullet"/>
                    <w:numPr>
                      <w:ilvl w:val="0"/>
                      <w:numId w:val="0"/>
                    </w:numPr>
                  </w:pPr>
                </w:p>
                <w:p w14:paraId="5D5EBBD7" w14:textId="77777777" w:rsidR="00F54E22" w:rsidRDefault="00F54E22" w:rsidP="003A7ECB">
                  <w:pPr>
                    <w:pStyle w:val="ListBullet"/>
                    <w:numPr>
                      <w:ilvl w:val="0"/>
                      <w:numId w:val="0"/>
                    </w:numPr>
                  </w:pPr>
                </w:p>
                <w:p w14:paraId="58F350EB" w14:textId="623A010A" w:rsidR="00F54E22" w:rsidRDefault="00F54E22" w:rsidP="003A7ECB">
                  <w:pPr>
                    <w:pStyle w:val="ListBullet"/>
                    <w:numPr>
                      <w:ilvl w:val="0"/>
                      <w:numId w:val="0"/>
                    </w:numPr>
                  </w:pPr>
                </w:p>
              </w:tc>
            </w:tr>
            <w:tr w:rsidR="00EC5475" w:rsidRPr="00B552FD" w14:paraId="028EE5C5" w14:textId="77777777">
              <w:tc>
                <w:tcPr>
                  <w:tcW w:w="5000" w:type="pct"/>
                </w:tcPr>
                <w:p w14:paraId="4A4CE235" w14:textId="77777777" w:rsidR="00EC5475" w:rsidRPr="00B552FD" w:rsidRDefault="00EC5475">
                  <w:pPr>
                    <w:keepLines/>
                    <w:widowControl w:val="0"/>
                    <w:spacing w:before="60" w:after="60"/>
                    <w:ind w:left="1474" w:hanging="1474"/>
                    <w:rPr>
                      <w:rFonts w:ascii="Arial" w:hAnsi="Arial"/>
                      <w:b/>
                      <w:sz w:val="22"/>
                    </w:rPr>
                  </w:pPr>
                  <w:r>
                    <w:rPr>
                      <w:rFonts w:ascii="Arial" w:hAnsi="Arial"/>
                      <w:b/>
                      <w:sz w:val="22"/>
                    </w:rPr>
                    <w:lastRenderedPageBreak/>
                    <w:t>Pricing and institutional arrangements</w:t>
                  </w:r>
                </w:p>
              </w:tc>
            </w:tr>
            <w:tr w:rsidR="00EC5475" w:rsidRPr="00B552FD" w14:paraId="634409E8" w14:textId="77777777">
              <w:tc>
                <w:tcPr>
                  <w:tcW w:w="5000" w:type="pct"/>
                </w:tcPr>
                <w:p w14:paraId="3F117A3A" w14:textId="77777777" w:rsidR="00EC5475" w:rsidRPr="00BA64D1" w:rsidRDefault="00EC5475" w:rsidP="00E646DD">
                  <w:pPr>
                    <w:pStyle w:val="ListBullet"/>
                    <w:spacing w:before="80"/>
                  </w:pPr>
                  <w:r w:rsidRPr="00BA64D1">
                    <w:t>Maintain core principle of cost</w:t>
                  </w:r>
                  <w:r w:rsidRPr="00BA64D1">
                    <w:noBreakHyphen/>
                    <w:t>reflective, consumption</w:t>
                  </w:r>
                  <w:r w:rsidRPr="00BA64D1">
                    <w:noBreakHyphen/>
                    <w:t>based pricing with full cost recovery. Maintain institutional separation of water resource management, standard setting and regulatory enforcement from service delivery. (11.1)</w:t>
                  </w:r>
                </w:p>
                <w:p w14:paraId="1C8ADDBD" w14:textId="77777777" w:rsidR="00EC5475" w:rsidRPr="00BA64D1" w:rsidRDefault="00EC5475" w:rsidP="00E646DD">
                  <w:pPr>
                    <w:pStyle w:val="ListBullet"/>
                    <w:spacing w:before="80"/>
                  </w:pPr>
                  <w:r w:rsidRPr="00BA64D1">
                    <w:t>Adopt principles for best</w:t>
                  </w:r>
                  <w:r w:rsidRPr="00BA64D1">
                    <w:noBreakHyphen/>
                    <w:t>practice independent economic regulation. Commit to light touch economic oversight for small regional and remote urban water providers and a framework for applying different models where the benefits exceed the costs. (11.2, 11.3)</w:t>
                  </w:r>
                </w:p>
                <w:p w14:paraId="16695DE6" w14:textId="77777777" w:rsidR="00EC5475" w:rsidRPr="00DA1364" w:rsidRDefault="00EC5475" w:rsidP="00E646DD">
                  <w:pPr>
                    <w:pStyle w:val="ListBullet"/>
                    <w:spacing w:before="80"/>
                  </w:pPr>
                  <w:r w:rsidRPr="00BA64D1">
                    <w:t>Maintain water service provider performance monitoring and reporting. (11.4)</w:t>
                  </w:r>
                </w:p>
              </w:tc>
            </w:tr>
            <w:tr w:rsidR="00EC5475" w:rsidRPr="00B552FD" w14:paraId="73A1D73A" w14:textId="77777777">
              <w:tc>
                <w:tcPr>
                  <w:tcW w:w="5000" w:type="pct"/>
                </w:tcPr>
                <w:p w14:paraId="443D02D1" w14:textId="77777777" w:rsidR="00EC5475" w:rsidRDefault="00EC5475">
                  <w:pPr>
                    <w:keepLines/>
                    <w:widowControl w:val="0"/>
                    <w:spacing w:before="60" w:after="60"/>
                    <w:ind w:left="1474" w:hanging="1474"/>
                    <w:rPr>
                      <w:spacing w:val="-4"/>
                    </w:rPr>
                  </w:pPr>
                  <w:r w:rsidRPr="00B552FD">
                    <w:rPr>
                      <w:rFonts w:ascii="Arial" w:hAnsi="Arial"/>
                      <w:b/>
                      <w:sz w:val="22"/>
                    </w:rPr>
                    <w:t>Urban water services</w:t>
                  </w:r>
                </w:p>
              </w:tc>
            </w:tr>
            <w:tr w:rsidR="00EC5475" w:rsidRPr="00B552FD" w14:paraId="303E7767" w14:textId="77777777">
              <w:tc>
                <w:tcPr>
                  <w:tcW w:w="5000" w:type="pct"/>
                </w:tcPr>
                <w:p w14:paraId="22CABAF7" w14:textId="77777777" w:rsidR="00EC5475" w:rsidRDefault="00EC5475" w:rsidP="00E646DD">
                  <w:pPr>
                    <w:pStyle w:val="ListBullet"/>
                    <w:spacing w:before="80"/>
                  </w:pPr>
                  <w:r>
                    <w:t xml:space="preserve">Update the </w:t>
                  </w:r>
                  <w:r w:rsidRPr="00236DDE">
                    <w:rPr>
                      <w:i/>
                    </w:rPr>
                    <w:t xml:space="preserve">National Water Urban Planning </w:t>
                  </w:r>
                  <w:r w:rsidRPr="00BA033D">
                    <w:rPr>
                      <w:i/>
                      <w:iCs/>
                    </w:rPr>
                    <w:t>Principles</w:t>
                  </w:r>
                  <w:r>
                    <w:t xml:space="preserve"> and embed them in the NWI. (12.1)</w:t>
                  </w:r>
                </w:p>
                <w:p w14:paraId="567368FA" w14:textId="77777777" w:rsidR="00EC5475" w:rsidRDefault="00EC5475" w:rsidP="006F52F6">
                  <w:pPr>
                    <w:pStyle w:val="ListBullet"/>
                  </w:pPr>
                  <w:r>
                    <w:t xml:space="preserve">Update and recommit to the </w:t>
                  </w:r>
                  <w:r>
                    <w:rPr>
                      <w:i/>
                    </w:rPr>
                    <w:t>NWI</w:t>
                  </w:r>
                  <w:r w:rsidRPr="00236DDE">
                    <w:rPr>
                      <w:i/>
                    </w:rPr>
                    <w:t xml:space="preserve"> P</w:t>
                  </w:r>
                  <w:r>
                    <w:rPr>
                      <w:i/>
                    </w:rPr>
                    <w:t>ricing</w:t>
                  </w:r>
                  <w:r w:rsidRPr="00236DDE">
                    <w:rPr>
                      <w:i/>
                    </w:rPr>
                    <w:t xml:space="preserve"> </w:t>
                  </w:r>
                  <w:r w:rsidRPr="00BA033D">
                    <w:rPr>
                      <w:i/>
                      <w:iCs/>
                    </w:rPr>
                    <w:t>Principles</w:t>
                  </w:r>
                  <w:r>
                    <w:t>. (12.2)</w:t>
                  </w:r>
                </w:p>
                <w:p w14:paraId="248F1118" w14:textId="77777777" w:rsidR="00EC5475" w:rsidRDefault="00EC5475" w:rsidP="006F52F6">
                  <w:pPr>
                    <w:pStyle w:val="ListBullet"/>
                  </w:pPr>
                  <w:r>
                    <w:t>Subject all urban water service providers to performance monitoring and reporting. (12.3)</w:t>
                  </w:r>
                </w:p>
                <w:p w14:paraId="1F8F8A21" w14:textId="77777777" w:rsidR="00EC5475" w:rsidRDefault="00EC5475" w:rsidP="006F52F6">
                  <w:pPr>
                    <w:pStyle w:val="ListBullet"/>
                  </w:pPr>
                  <w:r>
                    <w:t>Commit to ensuring</w:t>
                  </w:r>
                  <w:r w:rsidRPr="006F0B7F">
                    <w:t xml:space="preserve"> </w:t>
                  </w:r>
                  <w:r>
                    <w:t xml:space="preserve">affordable </w:t>
                  </w:r>
                  <w:r w:rsidRPr="006F0B7F">
                    <w:t xml:space="preserve">access to a basic level of </w:t>
                  </w:r>
                  <w:r>
                    <w:t>water services for</w:t>
                  </w:r>
                  <w:r w:rsidRPr="006F0B7F">
                    <w:t xml:space="preserve"> all Australians</w:t>
                  </w:r>
                  <w:r>
                    <w:t xml:space="preserve">. At a minimum, these would include </w:t>
                  </w:r>
                  <w:r w:rsidRPr="006F0B7F">
                    <w:t>safe and reliable drinking water</w:t>
                  </w:r>
                  <w:r>
                    <w:t>.</w:t>
                  </w:r>
                  <w:r w:rsidRPr="006F0B7F">
                    <w:t xml:space="preserve"> </w:t>
                  </w:r>
                  <w:r>
                    <w:t>Where subsidies are needed, they should be provided as transparent community service obligation payments. (12.4)</w:t>
                  </w:r>
                </w:p>
                <w:p w14:paraId="60B2E79B" w14:textId="77777777" w:rsidR="00EC5475" w:rsidRDefault="00EC5475" w:rsidP="006F52F6">
                  <w:pPr>
                    <w:pStyle w:val="ListBullet"/>
                  </w:pPr>
                  <w:r>
                    <w:t>Include</w:t>
                  </w:r>
                  <w:r w:rsidRPr="006F0B7F">
                    <w:t xml:space="preserve"> principles for governance of regional and remote water services where local governments retain ownership of utilities</w:t>
                  </w:r>
                  <w:r>
                    <w:t>. (12.5)</w:t>
                  </w:r>
                </w:p>
                <w:p w14:paraId="4A6C1A6C" w14:textId="77777777" w:rsidR="00EC5475" w:rsidRDefault="00EC5475" w:rsidP="006F52F6">
                  <w:pPr>
                    <w:pStyle w:val="ListBullet"/>
                    <w:rPr>
                      <w:spacing w:val="-4"/>
                    </w:rPr>
                  </w:pPr>
                  <w:r>
                    <w:t>Monitor and report on</w:t>
                  </w:r>
                  <w:r w:rsidRPr="006F0B7F">
                    <w:t xml:space="preserve"> water quality and service outcomes in remote Aboriginal and Torres Strait Islander communities</w:t>
                  </w:r>
                  <w:r>
                    <w:t>. (12.6)</w:t>
                  </w:r>
                </w:p>
              </w:tc>
            </w:tr>
          </w:tbl>
          <w:p w14:paraId="67777FE9" w14:textId="77777777" w:rsidR="00EC5475" w:rsidRPr="00FD59E5" w:rsidRDefault="00EC5475">
            <w:pPr>
              <w:widowControl w:val="0"/>
              <w:spacing w:line="20" w:lineRule="exact"/>
              <w:jc w:val="both"/>
              <w:rPr>
                <w:rFonts w:ascii="Arial" w:hAnsi="Arial"/>
              </w:rPr>
            </w:pPr>
          </w:p>
        </w:tc>
      </w:tr>
      <w:tr w:rsidR="00EC5475" w:rsidRPr="00FD59E5" w14:paraId="2CA08D02" w14:textId="77777777" w:rsidTr="00D73382">
        <w:tc>
          <w:tcPr>
            <w:tcW w:w="5000" w:type="pct"/>
            <w:tcBorders>
              <w:top w:val="nil"/>
              <w:left w:val="nil"/>
              <w:bottom w:val="nil"/>
              <w:right w:val="nil"/>
            </w:tcBorders>
          </w:tcPr>
          <w:tbl>
            <w:tblPr>
              <w:tblW w:w="5000" w:type="pct"/>
              <w:tblBorders>
                <w:top w:val="single" w:sz="6" w:space="0" w:color="BFBFBF"/>
                <w:bottom w:val="single" w:sz="6" w:space="0" w:color="BFBFBF"/>
                <w:insideH w:val="single" w:sz="6" w:space="0" w:color="BFBFBF"/>
                <w:insideV w:val="single" w:sz="6" w:space="0" w:color="BFBFBF"/>
              </w:tblBorders>
              <w:tblCellMar>
                <w:top w:w="28" w:type="dxa"/>
                <w:left w:w="0" w:type="dxa"/>
                <w:right w:w="0" w:type="dxa"/>
              </w:tblCellMar>
              <w:tblLook w:val="0000" w:firstRow="0" w:lastRow="0" w:firstColumn="0" w:lastColumn="0" w:noHBand="0" w:noVBand="0"/>
            </w:tblPr>
            <w:tblGrid>
              <w:gridCol w:w="9354"/>
            </w:tblGrid>
            <w:tr w:rsidR="00EC5475" w:rsidRPr="00887AE6" w14:paraId="179F85A3" w14:textId="77777777">
              <w:tc>
                <w:tcPr>
                  <w:tcW w:w="5000" w:type="pct"/>
                </w:tcPr>
                <w:p w14:paraId="1418D491" w14:textId="77777777" w:rsidR="00EC5475" w:rsidRPr="00887AE6" w:rsidRDefault="00EC5475">
                  <w:pPr>
                    <w:keepLines/>
                    <w:widowControl w:val="0"/>
                    <w:spacing w:before="60" w:after="60"/>
                    <w:ind w:left="1474" w:hanging="1474"/>
                    <w:rPr>
                      <w:rFonts w:ascii="Arial" w:hAnsi="Arial"/>
                      <w:b/>
                      <w:sz w:val="22"/>
                    </w:rPr>
                  </w:pPr>
                  <w:r>
                    <w:rPr>
                      <w:rFonts w:ascii="Arial" w:hAnsi="Arial"/>
                      <w:b/>
                      <w:sz w:val="22"/>
                    </w:rPr>
                    <w:lastRenderedPageBreak/>
                    <w:t>Infrastructure development</w:t>
                  </w:r>
                </w:p>
              </w:tc>
            </w:tr>
            <w:tr w:rsidR="00EC5475" w14:paraId="4C28ED7A" w14:textId="77777777">
              <w:tc>
                <w:tcPr>
                  <w:tcW w:w="5000" w:type="pct"/>
                </w:tcPr>
                <w:p w14:paraId="5DD67237" w14:textId="77777777" w:rsidR="00EC5475" w:rsidRDefault="00EC5475" w:rsidP="004803FB">
                  <w:pPr>
                    <w:pStyle w:val="ListBullet"/>
                    <w:spacing w:before="80"/>
                  </w:pPr>
                  <w:r>
                    <w:t>Develop an element to guide investment in water infrastructure. R</w:t>
                  </w:r>
                  <w:r w:rsidRPr="00536D3E">
                    <w:t>estate the high</w:t>
                  </w:r>
                  <w:r>
                    <w:noBreakHyphen/>
                  </w:r>
                  <w:r w:rsidRPr="00536D3E">
                    <w:t>level requirement for</w:t>
                  </w:r>
                  <w:r>
                    <w:t xml:space="preserve"> </w:t>
                  </w:r>
                  <w:r w:rsidRPr="00536D3E">
                    <w:t xml:space="preserve">all infrastructure to be assessed as economically viable and </w:t>
                  </w:r>
                  <w:r>
                    <w:t>ecologically</w:t>
                  </w:r>
                  <w:r w:rsidRPr="00536D3E">
                    <w:t xml:space="preserve"> sustainable prior to the commitment of funding, with cost recovery from users the norm</w:t>
                  </w:r>
                  <w:r>
                    <w:t>. A</w:t>
                  </w:r>
                  <w:r w:rsidRPr="00536D3E">
                    <w:t xml:space="preserve">dd a further requirement that infrastructure development processes are culturally responsive to </w:t>
                  </w:r>
                  <w:r>
                    <w:t>Traditional Owners’ interests to ensure</w:t>
                  </w:r>
                  <w:r w:rsidRPr="00BC2813">
                    <w:t xml:space="preserve"> deep </w:t>
                  </w:r>
                  <w:r>
                    <w:t xml:space="preserve">engagement </w:t>
                  </w:r>
                  <w:r w:rsidRPr="00BC2813">
                    <w:t>and</w:t>
                  </w:r>
                  <w:r>
                    <w:t>, at a minimum,</w:t>
                  </w:r>
                  <w:r w:rsidRPr="00BC2813">
                    <w:t xml:space="preserve"> protection of cultural </w:t>
                  </w:r>
                  <w:r>
                    <w:t>assets.</w:t>
                  </w:r>
                  <w:r w:rsidRPr="00536D3E">
                    <w:t xml:space="preserve"> </w:t>
                  </w:r>
                  <w:r>
                    <w:t>(14.1)</w:t>
                  </w:r>
                </w:p>
                <w:p w14:paraId="06E88412" w14:textId="77777777" w:rsidR="00EC5475" w:rsidRDefault="00EC5475" w:rsidP="006F52F6">
                  <w:pPr>
                    <w:pStyle w:val="ListBullet"/>
                  </w:pPr>
                  <w:r>
                    <w:t>A</w:t>
                  </w:r>
                  <w:r w:rsidRPr="00C61D1E">
                    <w:t xml:space="preserve">gree to criteria </w:t>
                  </w:r>
                  <w:r>
                    <w:t xml:space="preserve">on how major projects can demonstrate </w:t>
                  </w:r>
                  <w:r w:rsidRPr="00C61D1E">
                    <w:t>adherence to the NWI requirements for infrastructure</w:t>
                  </w:r>
                  <w:r>
                    <w:t>. (14.2)</w:t>
                  </w:r>
                </w:p>
                <w:p w14:paraId="211F6315" w14:textId="77777777" w:rsidR="00EC5475" w:rsidRPr="00784B8F" w:rsidRDefault="00EC5475" w:rsidP="006F52F6">
                  <w:pPr>
                    <w:pStyle w:val="ListBullet"/>
                    <w:rPr>
                      <w:spacing w:val="-2"/>
                    </w:rPr>
                  </w:pPr>
                  <w:r w:rsidRPr="00784B8F">
                    <w:rPr>
                      <w:spacing w:val="-2"/>
                    </w:rPr>
                    <w:t>Clarify institutional roles and responsibilities underpinning government investment. (1</w:t>
                  </w:r>
                  <w:r>
                    <w:rPr>
                      <w:spacing w:val="-2"/>
                    </w:rPr>
                    <w:t>4</w:t>
                  </w:r>
                  <w:r w:rsidRPr="00784B8F">
                    <w:rPr>
                      <w:spacing w:val="-2"/>
                    </w:rPr>
                    <w:t>.3)</w:t>
                  </w:r>
                </w:p>
              </w:tc>
            </w:tr>
            <w:tr w:rsidR="00EC5475" w:rsidRPr="00887AE6" w14:paraId="6A7B0636" w14:textId="77777777">
              <w:tc>
                <w:tcPr>
                  <w:tcW w:w="5000" w:type="pct"/>
                </w:tcPr>
                <w:p w14:paraId="592B3AC9" w14:textId="77777777" w:rsidR="00EC5475" w:rsidRPr="00887AE6" w:rsidRDefault="00EC5475">
                  <w:pPr>
                    <w:keepLines/>
                    <w:widowControl w:val="0"/>
                    <w:spacing w:before="60" w:after="60"/>
                    <w:ind w:left="1474" w:hanging="1474"/>
                    <w:rPr>
                      <w:rFonts w:ascii="Arial" w:hAnsi="Arial"/>
                      <w:b/>
                      <w:sz w:val="22"/>
                    </w:rPr>
                  </w:pPr>
                  <w:r w:rsidRPr="00887AE6">
                    <w:rPr>
                      <w:rFonts w:ascii="Arial" w:hAnsi="Arial"/>
                      <w:b/>
                      <w:sz w:val="22"/>
                    </w:rPr>
                    <w:t>Community engagement, and adjustment</w:t>
                  </w:r>
                </w:p>
              </w:tc>
            </w:tr>
            <w:tr w:rsidR="00EC5475" w14:paraId="01E8E554" w14:textId="77777777">
              <w:tc>
                <w:tcPr>
                  <w:tcW w:w="5000" w:type="pct"/>
                </w:tcPr>
                <w:p w14:paraId="0CAA339E" w14:textId="77777777" w:rsidR="00EC5475" w:rsidRPr="00887AE6" w:rsidRDefault="00EC5475" w:rsidP="004803FB">
                  <w:pPr>
                    <w:pStyle w:val="ListBullet"/>
                    <w:spacing w:before="80"/>
                  </w:pPr>
                  <w:r>
                    <w:t xml:space="preserve">Include guiding principles clarifying how governments can </w:t>
                  </w:r>
                  <w:r w:rsidRPr="001A720A">
                    <w:t>respond</w:t>
                  </w:r>
                  <w:r>
                    <w:t xml:space="preserve"> </w:t>
                  </w:r>
                  <w:r w:rsidRPr="001A720A">
                    <w:t xml:space="preserve">to </w:t>
                  </w:r>
                  <w:r>
                    <w:t xml:space="preserve">any significant community </w:t>
                  </w:r>
                  <w:r w:rsidRPr="001A720A">
                    <w:t xml:space="preserve">adjustment pressures </w:t>
                  </w:r>
                  <w:r>
                    <w:t>resulting from policy</w:t>
                  </w:r>
                  <w:r>
                    <w:noBreakHyphen/>
                    <w:t>induced reductions in</w:t>
                  </w:r>
                  <w:r w:rsidRPr="001A720A">
                    <w:t xml:space="preserve"> water availability</w:t>
                  </w:r>
                  <w:r>
                    <w:t>. (13.1)</w:t>
                  </w:r>
                </w:p>
                <w:p w14:paraId="788ADA62" w14:textId="77777777" w:rsidR="00EC5475" w:rsidRDefault="00EC5475" w:rsidP="006F52F6">
                  <w:pPr>
                    <w:pStyle w:val="ListBullet"/>
                  </w:pPr>
                  <w:r>
                    <w:t>Recommit to best-practice, cost</w:t>
                  </w:r>
                  <w:r>
                    <w:noBreakHyphen/>
                    <w:t>effective engagement with communities on all water matters. (15.1)</w:t>
                  </w:r>
                </w:p>
              </w:tc>
            </w:tr>
            <w:tr w:rsidR="00EC5475" w:rsidRPr="00887AE6" w14:paraId="02081E3A" w14:textId="77777777">
              <w:tc>
                <w:tcPr>
                  <w:tcW w:w="5000" w:type="pct"/>
                </w:tcPr>
                <w:p w14:paraId="5EB28794" w14:textId="77777777" w:rsidR="00EC5475" w:rsidRPr="00887AE6" w:rsidRDefault="00EC5475">
                  <w:pPr>
                    <w:keepLines/>
                    <w:widowControl w:val="0"/>
                    <w:spacing w:before="60" w:after="60"/>
                    <w:ind w:left="1474" w:hanging="1474"/>
                    <w:rPr>
                      <w:rFonts w:ascii="Arial" w:hAnsi="Arial"/>
                      <w:b/>
                      <w:sz w:val="22"/>
                    </w:rPr>
                  </w:pPr>
                  <w:r w:rsidRPr="00887AE6">
                    <w:rPr>
                      <w:rFonts w:ascii="Arial" w:hAnsi="Arial"/>
                      <w:b/>
                      <w:sz w:val="22"/>
                    </w:rPr>
                    <w:t>Knowledge, capacity and capability building</w:t>
                  </w:r>
                </w:p>
              </w:tc>
            </w:tr>
            <w:tr w:rsidR="00EC5475" w14:paraId="14A12CEE" w14:textId="77777777">
              <w:tc>
                <w:tcPr>
                  <w:tcW w:w="5000" w:type="pct"/>
                </w:tcPr>
                <w:p w14:paraId="0C7C38F1" w14:textId="77777777" w:rsidR="00EC5475" w:rsidRPr="00E646DD" w:rsidRDefault="00EC5475" w:rsidP="004803FB">
                  <w:pPr>
                    <w:pStyle w:val="ListBullet"/>
                    <w:spacing w:before="80"/>
                    <w:rPr>
                      <w:spacing w:val="-2"/>
                    </w:rPr>
                  </w:pPr>
                  <w:r w:rsidRPr="00E646DD">
                    <w:rPr>
                      <w:spacing w:val="-2"/>
                    </w:rPr>
                    <w:t>Commit to a culture of evidence</w:t>
                  </w:r>
                  <w:r w:rsidRPr="00E646DD">
                    <w:rPr>
                      <w:spacing w:val="-2"/>
                    </w:rPr>
                    <w:noBreakHyphen/>
                    <w:t>based decision making, innovation and continuous improvement to underpin successful implementation. (16.1)</w:t>
                  </w:r>
                </w:p>
              </w:tc>
            </w:tr>
          </w:tbl>
          <w:p w14:paraId="0645537D" w14:textId="77777777" w:rsidR="00EC5475" w:rsidRPr="00005AAB" w:rsidRDefault="00EC5475">
            <w:pPr>
              <w:widowControl w:val="0"/>
              <w:spacing w:before="60" w:after="60" w:line="80" w:lineRule="exact"/>
              <w:jc w:val="both"/>
              <w:rPr>
                <w:rFonts w:ascii="Arial" w:hAnsi="Arial"/>
                <w:sz w:val="14"/>
              </w:rPr>
            </w:pPr>
          </w:p>
        </w:tc>
      </w:tr>
      <w:tr w:rsidR="00EC5475" w:rsidRPr="00FD59E5" w14:paraId="2657CF10" w14:textId="77777777">
        <w:tc>
          <w:tcPr>
            <w:tcW w:w="5000" w:type="pct"/>
            <w:tcBorders>
              <w:top w:val="nil"/>
              <w:left w:val="nil"/>
              <w:bottom w:val="nil"/>
              <w:right w:val="nil"/>
            </w:tcBorders>
          </w:tcPr>
          <w:p w14:paraId="264E5677" w14:textId="5CC4F342" w:rsidR="00EC5475" w:rsidRPr="00FD59E5" w:rsidRDefault="00EC5475">
            <w:pPr>
              <w:pStyle w:val="Note"/>
              <w:widowControl w:val="0"/>
            </w:pPr>
            <w:r>
              <w:t>This table is a very high</w:t>
            </w:r>
            <w:r>
              <w:noBreakHyphen/>
              <w:t xml:space="preserve">level summary of the detailed policy advice presented in the </w:t>
            </w:r>
            <w:hyperlink r:id="rId28" w:history="1">
              <w:r w:rsidRPr="00F446E3">
                <w:rPr>
                  <w:rStyle w:val="Hyperlink"/>
                </w:rPr>
                <w:t>National Water Reform 2020 Inquiry Report</w:t>
              </w:r>
            </w:hyperlink>
            <w:r>
              <w:t>.</w:t>
            </w:r>
          </w:p>
        </w:tc>
      </w:tr>
    </w:tbl>
    <w:p w14:paraId="6355D75C" w14:textId="77777777" w:rsidR="008C40DD" w:rsidRDefault="008C40DD" w:rsidP="008C40DD">
      <w:pPr>
        <w:pStyle w:val="Heading1-nobackground"/>
      </w:pPr>
      <w:bookmarkStart w:id="7" w:name="_Toc151370438"/>
      <w:bookmarkStart w:id="8" w:name="_Toc155091435"/>
      <w:r>
        <w:lastRenderedPageBreak/>
        <w:t>A.</w:t>
      </w:r>
      <w:r>
        <w:tab/>
      </w:r>
      <w:r w:rsidRPr="008B1156">
        <w:t>Terms</w:t>
      </w:r>
      <w:r>
        <w:t xml:space="preserve"> of reference</w:t>
      </w:r>
      <w:bookmarkEnd w:id="7"/>
      <w:bookmarkEnd w:id="8"/>
    </w:p>
    <w:p w14:paraId="6F33DC01" w14:textId="77777777" w:rsidR="008C40DD" w:rsidRPr="00466CC2" w:rsidRDefault="008C40DD" w:rsidP="008C40DD">
      <w:pPr>
        <w:pStyle w:val="Heading2-noTOC"/>
      </w:pPr>
      <w:r w:rsidRPr="00466CC2">
        <w:t>National Water Inquiry</w:t>
      </w:r>
    </w:p>
    <w:p w14:paraId="338C0EAC" w14:textId="77777777" w:rsidR="008C40DD" w:rsidRDefault="008C40DD" w:rsidP="008C40DD">
      <w:pPr>
        <w:pStyle w:val="BodyText"/>
      </w:pPr>
      <w:r>
        <w:t xml:space="preserve">I, Senator the Hon Katy Gallagher, Acting Treasurer, in accordance with Parts 2 and 3 of the </w:t>
      </w:r>
      <w:r w:rsidRPr="233BF18B">
        <w:rPr>
          <w:i/>
          <w:iCs/>
        </w:rPr>
        <w:t>Productivity Commission Act 1998</w:t>
      </w:r>
      <w:r w:rsidRPr="00A20E5B">
        <w:t xml:space="preserve"> </w:t>
      </w:r>
      <w:r>
        <w:t>and</w:t>
      </w:r>
      <w:r w:rsidRPr="000A46D4">
        <w:t xml:space="preserve"> Section 88 of the </w:t>
      </w:r>
      <w:r w:rsidRPr="000A46D4">
        <w:rPr>
          <w:i/>
          <w:iCs/>
        </w:rPr>
        <w:t>Water Act 2007</w:t>
      </w:r>
      <w:r w:rsidRPr="000A46D4">
        <w:t xml:space="preserve"> (the Act),</w:t>
      </w:r>
      <w:r>
        <w:t xml:space="preserve"> request the Productivity Commission (Commission) undertake an inquiry into </w:t>
      </w:r>
      <w:r w:rsidRPr="001D703D">
        <w:t xml:space="preserve">the </w:t>
      </w:r>
      <w:r>
        <w:t xml:space="preserve">reform </w:t>
      </w:r>
      <w:r w:rsidRPr="001D703D">
        <w:t xml:space="preserve">progress of </w:t>
      </w:r>
      <w:r>
        <w:t xml:space="preserve">Australia's water resources sector. </w:t>
      </w:r>
    </w:p>
    <w:p w14:paraId="1F1B9D26" w14:textId="77777777" w:rsidR="008C40DD" w:rsidRPr="00466CC2" w:rsidRDefault="008C40DD" w:rsidP="008C40DD">
      <w:pPr>
        <w:pStyle w:val="BodyText"/>
      </w:pPr>
      <w:r>
        <w:t xml:space="preserve">The Inquiry should advise on the progress of all Australian governments in achieving the objectives, outcomes and timelines anticipated under the </w:t>
      </w:r>
      <w:r w:rsidRPr="3D0C8ADE">
        <w:rPr>
          <w:i/>
          <w:iCs/>
        </w:rPr>
        <w:t>2004 Intergovernmental Agreement on a National Water Initiative</w:t>
      </w:r>
      <w:r>
        <w:t xml:space="preserve"> (NWI) and where practicable on key aspects of water security for Australia, as set out below. </w:t>
      </w:r>
    </w:p>
    <w:p w14:paraId="01688B48" w14:textId="77777777" w:rsidR="008C40DD" w:rsidRPr="003B7DB1" w:rsidRDefault="008C40DD" w:rsidP="008C40DD">
      <w:pPr>
        <w:pStyle w:val="Heading2-nonumber"/>
      </w:pPr>
      <w:bookmarkStart w:id="9" w:name="_Toc151370439"/>
      <w:bookmarkStart w:id="10" w:name="_Toc155091436"/>
      <w:r w:rsidRPr="003B7DB1">
        <w:t>Background</w:t>
      </w:r>
      <w:bookmarkEnd w:id="9"/>
      <w:bookmarkEnd w:id="10"/>
    </w:p>
    <w:p w14:paraId="22B3FFC8" w14:textId="77777777" w:rsidR="008C40DD" w:rsidRPr="00466CC2" w:rsidRDefault="008C40DD" w:rsidP="008C40DD">
      <w:pPr>
        <w:pStyle w:val="BodyText"/>
      </w:pPr>
      <w:r>
        <w:t>Reform of the Australian water sector has been ongoing over several decades, reflecting the fundamental importance of water to all aspects of our society and environment, and the significant challenges involved in managing a shared natural resource impacted by climate change and periods of scarcity. A national approach to water reform started in 1994 through the landmark COAG water reform framework and has continued through subsequent initiatives such as the NWI (2004), Commonwealth</w:t>
      </w:r>
      <w:r w:rsidRPr="233BF18B">
        <w:rPr>
          <w:i/>
          <w:iCs/>
        </w:rPr>
        <w:t xml:space="preserve"> Water Act 2007</w:t>
      </w:r>
      <w:r>
        <w:t xml:space="preserve"> (the Act) and </w:t>
      </w:r>
      <w:r w:rsidRPr="0036059D">
        <w:rPr>
          <w:i/>
          <w:iCs/>
        </w:rPr>
        <w:t>Murray–Darling Basin Plan</w:t>
      </w:r>
      <w:r>
        <w:t xml:space="preserve"> </w:t>
      </w:r>
      <w:r w:rsidRPr="0036059D">
        <w:rPr>
          <w:i/>
          <w:iCs/>
        </w:rPr>
        <w:t>2012</w:t>
      </w:r>
      <w:r>
        <w:t>.</w:t>
      </w:r>
    </w:p>
    <w:p w14:paraId="6E685F17" w14:textId="77777777" w:rsidR="008C40DD" w:rsidRDefault="008C40DD" w:rsidP="008C40DD">
      <w:pPr>
        <w:pStyle w:val="BodyText"/>
      </w:pPr>
      <w:r>
        <w:t xml:space="preserve">The Australian Government has committed to renew the NWI. This inquiry provides an opportunity for the Commission to examine in more detail the issue of water security, as a key driver of national water reform. </w:t>
      </w:r>
    </w:p>
    <w:p w14:paraId="3514ECFB" w14:textId="77777777" w:rsidR="008C40DD" w:rsidRPr="003B7DB1" w:rsidRDefault="008C40DD" w:rsidP="008C40DD">
      <w:pPr>
        <w:pStyle w:val="Heading2-nonumber"/>
      </w:pPr>
      <w:bookmarkStart w:id="11" w:name="_Toc151370440"/>
      <w:bookmarkStart w:id="12" w:name="_Toc155091437"/>
      <w:r w:rsidRPr="003B7DB1">
        <w:t>Scope of the inquiry</w:t>
      </w:r>
      <w:bookmarkEnd w:id="11"/>
      <w:bookmarkEnd w:id="12"/>
    </w:p>
    <w:p w14:paraId="7ED41F8A" w14:textId="77777777" w:rsidR="008C40DD" w:rsidRDefault="008C40DD" w:rsidP="008C40DD">
      <w:pPr>
        <w:pStyle w:val="BodyText"/>
      </w:pPr>
      <w:r>
        <w:t xml:space="preserve">In addition to the requirements in the Water Act, the scope of the inquiry should examine whether the national water reforms agreed in the NWI, along with any other subsequent national water reforms collectively adopted by Australian governments, are achieving their intended outcomes. </w:t>
      </w:r>
    </w:p>
    <w:p w14:paraId="2ACAE07A" w14:textId="77777777" w:rsidR="008C40DD" w:rsidRPr="00466CC2" w:rsidRDefault="008C40DD" w:rsidP="008C40DD">
      <w:pPr>
        <w:pStyle w:val="BodyText"/>
      </w:pPr>
      <w:r>
        <w:t>In undertaking the inquiry, the Commission should assess:</w:t>
      </w:r>
    </w:p>
    <w:p w14:paraId="44127F2A" w14:textId="77777777" w:rsidR="008C40DD" w:rsidRPr="00192D38" w:rsidRDefault="008C40DD" w:rsidP="008C40DD">
      <w:pPr>
        <w:pStyle w:val="ListBullet"/>
      </w:pPr>
      <w:r w:rsidRPr="00192D38">
        <w:t xml:space="preserve">progress in jurisdictional adoption of NWI principles, objectives and key outcomes and, where not adopted, issues that may influence implementation, and the opportunity costs of not doing </w:t>
      </w:r>
      <w:proofErr w:type="gramStart"/>
      <w:r w:rsidRPr="00192D38">
        <w:t>so</w:t>
      </w:r>
      <w:proofErr w:type="gramEnd"/>
    </w:p>
    <w:p w14:paraId="14A535BE" w14:textId="77777777" w:rsidR="008C40DD" w:rsidRPr="00192D38" w:rsidRDefault="008C40DD" w:rsidP="008C40DD">
      <w:pPr>
        <w:pStyle w:val="ListBullet"/>
      </w:pPr>
      <w:r w:rsidRPr="00192D38">
        <w:t xml:space="preserve">outcomes to date of the NWI and related water reform efforts, taking account of other reform </w:t>
      </w:r>
      <w:proofErr w:type="gramStart"/>
      <w:r w:rsidRPr="00192D38">
        <w:t>drivers</w:t>
      </w:r>
      <w:proofErr w:type="gramEnd"/>
    </w:p>
    <w:p w14:paraId="210B7871" w14:textId="5D883C9F" w:rsidR="008C40DD" w:rsidRDefault="008C40DD" w:rsidP="008C40DD">
      <w:pPr>
        <w:pStyle w:val="ListBullet"/>
      </w:pPr>
      <w:r w:rsidRPr="00192D38">
        <w:t>where practicable, implications for key water security and management challenges for Australia, including economic, environmental, social and cultural</w:t>
      </w:r>
      <w:r>
        <w:t>.</w:t>
      </w:r>
    </w:p>
    <w:p w14:paraId="5018464A" w14:textId="77777777" w:rsidR="008C40DD" w:rsidRDefault="008C40DD" w:rsidP="008C40DD">
      <w:pPr>
        <w:pStyle w:val="BodyText"/>
      </w:pPr>
      <w:r>
        <w:t>The Commission should provide recommendations:</w:t>
      </w:r>
    </w:p>
    <w:p w14:paraId="4E4D6A69" w14:textId="77777777" w:rsidR="008C40DD" w:rsidRPr="002029BE" w:rsidRDefault="008C40DD" w:rsidP="008C40DD">
      <w:pPr>
        <w:pStyle w:val="ListBullet"/>
      </w:pPr>
      <w:r w:rsidRPr="002029BE">
        <w:t xml:space="preserve">on actions that the parties to the NWI might take to better achieve the objectives and outcomes of the NWI </w:t>
      </w:r>
    </w:p>
    <w:p w14:paraId="0AF81CB5" w14:textId="77777777" w:rsidR="008C40DD" w:rsidRPr="00150B94" w:rsidRDefault="008C40DD" w:rsidP="008C40DD">
      <w:pPr>
        <w:pStyle w:val="ListBullet"/>
      </w:pPr>
      <w:r>
        <w:t xml:space="preserve">to </w:t>
      </w:r>
      <w:r w:rsidRPr="002029BE">
        <w:t>support all Australian governments in efforts to progress national water reform</w:t>
      </w:r>
      <w:r>
        <w:t xml:space="preserve"> </w:t>
      </w:r>
      <w:proofErr w:type="gramStart"/>
      <w:r>
        <w:t>in light of</w:t>
      </w:r>
      <w:proofErr w:type="gramEnd"/>
      <w:r>
        <w:t xml:space="preserve"> current priorities, including water security and</w:t>
      </w:r>
      <w:r w:rsidRPr="00EE10B3">
        <w:t xml:space="preserve"> </w:t>
      </w:r>
      <w:r>
        <w:t xml:space="preserve">the </w:t>
      </w:r>
      <w:r w:rsidRPr="00EE10B3">
        <w:t>involvement of First Nations communities in water management</w:t>
      </w:r>
      <w:r>
        <w:t xml:space="preserve">.  </w:t>
      </w:r>
    </w:p>
    <w:p w14:paraId="6B720812" w14:textId="77777777" w:rsidR="008C40DD" w:rsidRPr="002029BE" w:rsidRDefault="008C40DD" w:rsidP="008C40DD">
      <w:pPr>
        <w:pStyle w:val="ListBullet"/>
      </w:pPr>
      <w:r w:rsidRPr="002029BE">
        <w:t>on how the Australian Government can better utilise the Ac</w:t>
      </w:r>
      <w:r>
        <w:t>t as a framework for guiding national water reform policy.</w:t>
      </w:r>
    </w:p>
    <w:p w14:paraId="10AC7CD9" w14:textId="77777777" w:rsidR="008C40DD" w:rsidRDefault="008C40DD" w:rsidP="008C40DD">
      <w:pPr>
        <w:spacing w:before="0" w:after="160" w:line="259" w:lineRule="auto"/>
      </w:pPr>
      <w:r>
        <w:br w:type="page"/>
      </w:r>
    </w:p>
    <w:p w14:paraId="443E504C" w14:textId="77777777" w:rsidR="008C40DD" w:rsidRPr="00466CC2" w:rsidRDefault="008C40DD" w:rsidP="008C40DD">
      <w:pPr>
        <w:pStyle w:val="BodyText"/>
      </w:pPr>
      <w:r>
        <w:lastRenderedPageBreak/>
        <w:t>In conducting the inquiry, the Commission should consider:</w:t>
      </w:r>
    </w:p>
    <w:p w14:paraId="259B47AE" w14:textId="77777777" w:rsidR="008C40DD" w:rsidRPr="002029BE" w:rsidRDefault="008C40DD" w:rsidP="008C40DD">
      <w:pPr>
        <w:pStyle w:val="ListBullet"/>
      </w:pPr>
      <w:r w:rsidRPr="002029BE">
        <w:t xml:space="preserve">the objectives provided for in clause 23 of the </w:t>
      </w:r>
      <w:proofErr w:type="gramStart"/>
      <w:r w:rsidRPr="002029BE">
        <w:t>NWI</w:t>
      </w:r>
      <w:proofErr w:type="gramEnd"/>
    </w:p>
    <w:p w14:paraId="5119B068" w14:textId="77777777" w:rsidR="008C40DD" w:rsidRPr="002029BE" w:rsidRDefault="008C40DD" w:rsidP="008C40DD">
      <w:pPr>
        <w:pStyle w:val="ListBullet"/>
      </w:pPr>
      <w:r w:rsidRPr="002029BE">
        <w:t xml:space="preserve">any current Commonwealth, state or territory reform initiatives relevant to the Inquiry scope </w:t>
      </w:r>
    </w:p>
    <w:p w14:paraId="61916996" w14:textId="77777777" w:rsidR="008C40DD" w:rsidRPr="00150B94" w:rsidRDefault="008C40DD" w:rsidP="008C40DD">
      <w:pPr>
        <w:pStyle w:val="ListBullet"/>
      </w:pPr>
      <w:r>
        <w:t>the perspectives and cultural rights of First Nations Australians.</w:t>
      </w:r>
    </w:p>
    <w:p w14:paraId="228C773C" w14:textId="77777777" w:rsidR="008C40DD" w:rsidRPr="003B7DB1" w:rsidRDefault="008C40DD" w:rsidP="008C40DD">
      <w:pPr>
        <w:pStyle w:val="Heading2-nonumber"/>
      </w:pPr>
      <w:bookmarkStart w:id="13" w:name="_Toc151370441"/>
      <w:bookmarkStart w:id="14" w:name="_Toc155091438"/>
      <w:r w:rsidRPr="003B7DB1">
        <w:t>Process</w:t>
      </w:r>
      <w:bookmarkEnd w:id="13"/>
      <w:bookmarkEnd w:id="14"/>
    </w:p>
    <w:p w14:paraId="01C7072D" w14:textId="77777777" w:rsidR="008C40DD" w:rsidRDefault="008C40DD" w:rsidP="008C40DD">
      <w:pPr>
        <w:pStyle w:val="BodyText"/>
      </w:pPr>
      <w:r>
        <w:t>The Commission is to undertake a public consultation process including, where appropriate:</w:t>
      </w:r>
    </w:p>
    <w:p w14:paraId="4B6AFCAC" w14:textId="77777777" w:rsidR="008C40DD" w:rsidRPr="00262F72" w:rsidRDefault="008C40DD" w:rsidP="008C40DD">
      <w:pPr>
        <w:pStyle w:val="ListBullet"/>
      </w:pPr>
      <w:r w:rsidRPr="00262F72">
        <w:t>establishing a stakeholder working group in accordance with section 89 of the Act</w:t>
      </w:r>
    </w:p>
    <w:p w14:paraId="626C3C95" w14:textId="77777777" w:rsidR="008C40DD" w:rsidRPr="00262F72" w:rsidRDefault="008C40DD" w:rsidP="008C40DD">
      <w:pPr>
        <w:pStyle w:val="ListBullet"/>
      </w:pPr>
      <w:r w:rsidRPr="00262F72">
        <w:t>inviting public submissions</w:t>
      </w:r>
    </w:p>
    <w:p w14:paraId="6D5D18C3" w14:textId="77777777" w:rsidR="008C40DD" w:rsidRPr="00262F72" w:rsidRDefault="008C40DD" w:rsidP="008C40DD">
      <w:pPr>
        <w:pStyle w:val="ListBullet"/>
      </w:pPr>
      <w:r w:rsidRPr="00262F72">
        <w:t>holding public hearings</w:t>
      </w:r>
    </w:p>
    <w:p w14:paraId="278BDB9D" w14:textId="77777777" w:rsidR="008C40DD" w:rsidRPr="00262F72" w:rsidRDefault="008C40DD" w:rsidP="008C40DD">
      <w:pPr>
        <w:pStyle w:val="ListBullet"/>
      </w:pPr>
      <w:r w:rsidRPr="00262F72">
        <w:t xml:space="preserve">releasing a draft report to the public. </w:t>
      </w:r>
    </w:p>
    <w:p w14:paraId="3B74E9BB" w14:textId="77777777" w:rsidR="008C40DD" w:rsidRDefault="008C40DD" w:rsidP="008C40DD">
      <w:pPr>
        <w:pStyle w:val="BodyText"/>
        <w:spacing w:after="360"/>
      </w:pPr>
      <w:r>
        <w:t>The Commission should consult broadly, including with Commonwealth, state and territory governments, relevant sectors and stakeholders and First Nations peoples.</w:t>
      </w:r>
    </w:p>
    <w:p w14:paraId="0F3780A8" w14:textId="77777777" w:rsidR="008C40DD" w:rsidRPr="00180EE4" w:rsidRDefault="008C40DD" w:rsidP="008C40DD">
      <w:pPr>
        <w:spacing w:before="240" w:after="0"/>
        <w:rPr>
          <w:b/>
          <w:bCs/>
        </w:rPr>
      </w:pPr>
      <w:r w:rsidRPr="00180EE4">
        <w:rPr>
          <w:b/>
          <w:bCs/>
        </w:rPr>
        <w:t>Senator The Hon Katy Gallagher</w:t>
      </w:r>
    </w:p>
    <w:p w14:paraId="5F4F58B6" w14:textId="77777777" w:rsidR="008C40DD" w:rsidRPr="004D5FC2" w:rsidRDefault="008C40DD" w:rsidP="008C40DD">
      <w:pPr>
        <w:spacing w:before="0"/>
      </w:pPr>
      <w:r>
        <w:t>Acting Treasurer</w:t>
      </w:r>
    </w:p>
    <w:p w14:paraId="03CA4852" w14:textId="0DD7BF46" w:rsidR="008C40DD" w:rsidRDefault="008C40DD" w:rsidP="007E78CC">
      <w:pPr>
        <w:pStyle w:val="BodyText"/>
        <w:sectPr w:rsidR="008C40DD" w:rsidSect="008C40DD">
          <w:pgSz w:w="11906" w:h="16838" w:code="9"/>
          <w:pgMar w:top="1134" w:right="1134" w:bottom="1134" w:left="1134" w:header="794" w:footer="510" w:gutter="0"/>
          <w:cols w:space="708"/>
          <w:docGrid w:linePitch="360"/>
        </w:sectPr>
      </w:pPr>
      <w:r>
        <w:t xml:space="preserve">[Received </w:t>
      </w:r>
      <w:sdt>
        <w:sdtPr>
          <w:id w:val="1805112169"/>
          <w:placeholder>
            <w:docPart w:val="16A2CB55C42A4AB6946E981C89EABBDE"/>
          </w:placeholder>
          <w:date w:fullDate="2023-12-22T00:00:00Z">
            <w:dateFormat w:val="d MMMM yyyy"/>
            <w:lid w:val="en-AU"/>
            <w:storeMappedDataAs w:val="dateTime"/>
            <w:calendar w:val="gregorian"/>
          </w:date>
        </w:sdtPr>
        <w:sdtContent>
          <w:r>
            <w:t>22 December 2023</w:t>
          </w:r>
        </w:sdtContent>
      </w:sdt>
      <w:r>
        <w:t>]</w:t>
      </w:r>
    </w:p>
    <w:p w14:paraId="73C45220" w14:textId="6C3B6184" w:rsidR="004B314F" w:rsidRPr="004C431C" w:rsidRDefault="001979A5" w:rsidP="007E78CC">
      <w:pPr>
        <w:pStyle w:val="Heading1-nobackground"/>
        <w:spacing w:before="0"/>
      </w:pPr>
      <w:bookmarkStart w:id="15" w:name="_Toc155091439"/>
      <w:r>
        <w:lastRenderedPageBreak/>
        <w:t>B</w:t>
      </w:r>
      <w:r w:rsidR="00095D8E">
        <w:t>.</w:t>
      </w:r>
      <w:r w:rsidR="00095D8E">
        <w:tab/>
      </w:r>
      <w:r w:rsidR="004B314F" w:rsidRPr="004C431C">
        <w:t>How to make a submission</w:t>
      </w:r>
      <w:bookmarkEnd w:id="15"/>
    </w:p>
    <w:p w14:paraId="4D8F89C3" w14:textId="77777777" w:rsidR="004B314F" w:rsidRDefault="004B314F" w:rsidP="004B314F">
      <w:pPr>
        <w:pStyle w:val="Heading2-nonumber"/>
      </w:pPr>
      <w:bookmarkStart w:id="16" w:name="_Toc155091440"/>
      <w:r>
        <w:t>How to prepare a submission</w:t>
      </w:r>
      <w:bookmarkEnd w:id="16"/>
    </w:p>
    <w:p w14:paraId="16A4ECA9" w14:textId="77777777" w:rsidR="004B314F" w:rsidRDefault="004B314F" w:rsidP="004B314F">
      <w:pPr>
        <w:pStyle w:val="BodyText"/>
      </w:pPr>
      <w:r>
        <w:t>Written submissions may range from a short comment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 xml:space="preserve">ation, to support your views. </w:t>
      </w:r>
    </w:p>
    <w:p w14:paraId="5017DBAC" w14:textId="77777777" w:rsidR="004B314F" w:rsidRDefault="004B314F" w:rsidP="004B314F">
      <w:pPr>
        <w:pStyle w:val="Heading3"/>
      </w:pPr>
      <w:r>
        <w:t>Publishing submissions</w:t>
      </w:r>
    </w:p>
    <w:p w14:paraId="3E532BE1" w14:textId="77777777" w:rsidR="004B314F" w:rsidRPr="00B82865" w:rsidRDefault="004B314F" w:rsidP="004B314F">
      <w:pPr>
        <w:pStyle w:val="ListBullet"/>
      </w:pPr>
      <w:r w:rsidRPr="00B82865">
        <w:t>Each submission, except for any attachment supplied in confidence, will be published on the Commission’s website shortly after receipt, and will remain there indefinitely as a public document.</w:t>
      </w:r>
    </w:p>
    <w:p w14:paraId="17C71AC7" w14:textId="77777777" w:rsidR="004B314F" w:rsidRPr="00B82865" w:rsidRDefault="004B314F" w:rsidP="004B314F">
      <w:pPr>
        <w:pStyle w:val="ListBullet"/>
      </w:pPr>
      <w:r w:rsidRPr="00B82865">
        <w:t>The Commission reserves the right to not publish material on its website that is offensive, potentially defamatory, or clearly out of scope for the inquiry or study in question.</w:t>
      </w:r>
    </w:p>
    <w:p w14:paraId="4C5AF512" w14:textId="77777777" w:rsidR="004B314F" w:rsidRDefault="004B314F" w:rsidP="004B314F">
      <w:pPr>
        <w:pStyle w:val="Heading3"/>
      </w:pPr>
      <w:r>
        <w:t>Copyright</w:t>
      </w:r>
    </w:p>
    <w:p w14:paraId="587896E5" w14:textId="77777777" w:rsidR="004B314F" w:rsidRPr="00B82865" w:rsidRDefault="004B314F" w:rsidP="004B314F">
      <w:pPr>
        <w:pStyle w:val="ListBullet"/>
      </w:pPr>
      <w:r w:rsidRPr="00B82865">
        <w:t>Copyright in submissions sent to the Commission resides with the author(s), not with the Commission.</w:t>
      </w:r>
    </w:p>
    <w:p w14:paraId="2541A37D" w14:textId="77777777" w:rsidR="004B314F" w:rsidRPr="00B82865" w:rsidRDefault="004B314F" w:rsidP="004B314F">
      <w:pPr>
        <w:pStyle w:val="ListBullet"/>
      </w:pPr>
      <w:r w:rsidRPr="00B82865">
        <w:t xml:space="preserve">Do not send us material for which you are not the copyright owner </w:t>
      </w:r>
      <w:r>
        <w:t>–</w:t>
      </w:r>
      <w:r w:rsidRPr="00B82865">
        <w:t xml:space="preserve"> such as pictures, photos and newspaper articles </w:t>
      </w:r>
      <w:r>
        <w:t>–</w:t>
      </w:r>
      <w:r w:rsidRPr="00B82865">
        <w:t xml:space="preserve"> you should just reference or link to this material in your submission.</w:t>
      </w:r>
    </w:p>
    <w:p w14:paraId="6229B325" w14:textId="77777777" w:rsidR="004B314F" w:rsidRDefault="004B314F" w:rsidP="004B314F">
      <w:pPr>
        <w:pStyle w:val="Heading3"/>
      </w:pPr>
      <w:r>
        <w:t>In confidence material</w:t>
      </w:r>
    </w:p>
    <w:p w14:paraId="74CA903E" w14:textId="77777777" w:rsidR="004B314F" w:rsidRPr="00B82865" w:rsidRDefault="004B314F" w:rsidP="004B314F">
      <w:pPr>
        <w:pStyle w:val="ListBullet"/>
      </w:pPr>
      <w:r w:rsidRPr="00B82865">
        <w:t xml:space="preserve">This is a public </w:t>
      </w:r>
      <w:proofErr w:type="gramStart"/>
      <w:r w:rsidRPr="00B82865">
        <w:t>review</w:t>
      </w:r>
      <w:proofErr w:type="gramEnd"/>
      <w:r w:rsidRPr="00B82865">
        <w:t xml:space="preserve"> and all submissions should be provided as public documents that can be placed on the Commission’s website for others to read and comment on. However, information which is of a confidential </w:t>
      </w:r>
      <w:proofErr w:type="gramStart"/>
      <w:r w:rsidRPr="00B82865">
        <w:t>nature</w:t>
      </w:r>
      <w:proofErr w:type="gramEnd"/>
      <w:r w:rsidRPr="00B82865">
        <w:t xml:space="preserve"> or which is submitted in confidence can be treated as such by the Commission, provided the cause for such treatment is shown.</w:t>
      </w:r>
    </w:p>
    <w:p w14:paraId="1A0C99C1" w14:textId="77777777" w:rsidR="004B314F" w:rsidRPr="00B82865" w:rsidRDefault="004B314F" w:rsidP="004B314F">
      <w:pPr>
        <w:pStyle w:val="ListBullet"/>
      </w:pPr>
      <w:r w:rsidRPr="00B82865">
        <w:t>The Commission may also request a non</w:t>
      </w:r>
      <w:r w:rsidRPr="00B82865">
        <w:noBreakHyphen/>
        <w:t>confidential summary of the confidential material it is given, or the reasons why a summary cannot be provided.</w:t>
      </w:r>
    </w:p>
    <w:p w14:paraId="70734512" w14:textId="77777777" w:rsidR="004B314F" w:rsidRPr="00B82865" w:rsidRDefault="004B314F" w:rsidP="004B314F">
      <w:pPr>
        <w:pStyle w:val="ListBullet"/>
      </w:pPr>
      <w:r w:rsidRPr="00B82865">
        <w:t>Material supplied in confidence should be clearly marked ‘IN CONFIDENCE’ and be in a separate attachment to non</w:t>
      </w:r>
      <w:r w:rsidRPr="00B82865">
        <w:noBreakHyphen/>
        <w:t>confidential material.</w:t>
      </w:r>
    </w:p>
    <w:p w14:paraId="112DBA14" w14:textId="77777777" w:rsidR="004B314F" w:rsidRPr="00070D6A" w:rsidRDefault="004B314F" w:rsidP="004B314F">
      <w:pPr>
        <w:pStyle w:val="ListBullet"/>
        <w:rPr>
          <w:spacing w:val="2"/>
        </w:rPr>
      </w:pPr>
      <w:r w:rsidRPr="00070D6A">
        <w:rPr>
          <w:spacing w:val="2"/>
        </w:rPr>
        <w:t>You are encouraged to contact the Commission for further information and advice before submitting such material.</w:t>
      </w:r>
    </w:p>
    <w:p w14:paraId="22485288" w14:textId="77777777" w:rsidR="004B314F" w:rsidRDefault="004B314F" w:rsidP="004B314F">
      <w:pPr>
        <w:pStyle w:val="Heading3"/>
      </w:pPr>
      <w:r>
        <w:t>Privacy</w:t>
      </w:r>
    </w:p>
    <w:p w14:paraId="4B92E6E6" w14:textId="77777777" w:rsidR="004B314F" w:rsidRPr="00B82865" w:rsidRDefault="004B314F" w:rsidP="004B314F">
      <w:pPr>
        <w:pStyle w:val="ListBullet"/>
      </w:pPr>
      <w:r w:rsidRPr="00B82865">
        <w:t xml:space="preserve">For privacy reasons, all </w:t>
      </w:r>
      <w:r w:rsidRPr="00F614F2">
        <w:rPr>
          <w:b/>
          <w:bCs/>
        </w:rPr>
        <w:t>personal</w:t>
      </w:r>
      <w:r w:rsidRPr="00B82865">
        <w:t xml:space="preserve"> details (e.g. home and email address, signatures and phone numbers) will be removed before they are published on the website.</w:t>
      </w:r>
    </w:p>
    <w:p w14:paraId="5DB0E7EF" w14:textId="77777777" w:rsidR="004B314F" w:rsidRPr="00B82865" w:rsidRDefault="004B314F" w:rsidP="004B314F">
      <w:pPr>
        <w:pStyle w:val="ListBullet"/>
      </w:pPr>
      <w:r w:rsidRPr="00B82865">
        <w:t>You may wish to remain anonymous or use a pseudonym. Please note that, if you choose to remain anonymous or use a pseudonym, the Commission may place less weight on your submission.</w:t>
      </w:r>
    </w:p>
    <w:p w14:paraId="1465A0C9" w14:textId="77777777" w:rsidR="005E58C0" w:rsidRDefault="005E58C0">
      <w:pPr>
        <w:spacing w:before="0" w:after="160" w:line="259" w:lineRule="auto"/>
        <w:sectPr w:rsidR="005E58C0" w:rsidSect="007E78CC">
          <w:headerReference w:type="even" r:id="rId29"/>
          <w:pgSz w:w="11906" w:h="16838" w:code="9"/>
          <w:pgMar w:top="993" w:right="1134" w:bottom="1134" w:left="1134" w:header="794" w:footer="510" w:gutter="0"/>
          <w:cols w:space="708"/>
          <w:docGrid w:linePitch="360"/>
        </w:sectPr>
      </w:pPr>
    </w:p>
    <w:p w14:paraId="66BEA89E" w14:textId="20CCDC99" w:rsidR="004B314F" w:rsidRDefault="004B314F" w:rsidP="004B314F">
      <w:pPr>
        <w:pStyle w:val="Heading3"/>
      </w:pPr>
      <w:r>
        <w:lastRenderedPageBreak/>
        <w:t>Technical tips</w:t>
      </w:r>
    </w:p>
    <w:p w14:paraId="3B57ABB6" w14:textId="77777777" w:rsidR="004B314F" w:rsidRPr="00B82865" w:rsidRDefault="004B314F" w:rsidP="004B314F">
      <w:pPr>
        <w:pStyle w:val="ListBullet"/>
      </w:pPr>
      <w:r w:rsidRPr="00B82865">
        <w:t xml:space="preserve">The Commission prefers to receive submissions as a Microsoft Word (.docx) files. PDF files are acceptable if produced from a Word document or similar </w:t>
      </w:r>
      <w:proofErr w:type="gramStart"/>
      <w:r w:rsidRPr="00B82865">
        <w:t>text based</w:t>
      </w:r>
      <w:proofErr w:type="gramEnd"/>
      <w:r w:rsidRPr="00B82865">
        <w:t xml:space="preserve"> software. You may wish to search the Internet on how to make your documents more accessible or for the more technical, follow advice from Web Content Accessibility Guidelines (WCAG) 2.0: </w:t>
      </w:r>
      <w:r w:rsidRPr="001C4E4D">
        <w:t>https://www.w3.org/TR/WCAG20/</w:t>
      </w:r>
    </w:p>
    <w:p w14:paraId="2D6337B1" w14:textId="77777777" w:rsidR="004B314F" w:rsidRPr="00B82865" w:rsidRDefault="004B314F" w:rsidP="004B314F">
      <w:pPr>
        <w:pStyle w:val="ListBullet"/>
      </w:pPr>
      <w:r w:rsidRPr="00B82865">
        <w:t>Do not send password protected files.</w:t>
      </w:r>
    </w:p>
    <w:p w14:paraId="525C3B38" w14:textId="77777777" w:rsidR="004B314F" w:rsidRPr="00B82865" w:rsidRDefault="004B314F" w:rsidP="004B314F">
      <w:pPr>
        <w:pStyle w:val="ListBullet"/>
      </w:pPr>
      <w:r w:rsidRPr="00B82865">
        <w:t>Track changes, editing marks, hidden text and internal links should be removed from submissions.</w:t>
      </w:r>
    </w:p>
    <w:p w14:paraId="3758BCD8" w14:textId="77777777" w:rsidR="004B314F" w:rsidRPr="00B82865" w:rsidRDefault="004B314F" w:rsidP="004B314F">
      <w:pPr>
        <w:pStyle w:val="ListBullet"/>
      </w:pPr>
      <w:r w:rsidRPr="00B82865">
        <w:t xml:space="preserve">To minimise linking problems, type the full web address (for example, </w:t>
      </w:r>
      <w:r w:rsidRPr="001C4E4D">
        <w:t>http://www.referred</w:t>
      </w:r>
      <w:r w:rsidRPr="001C4E4D">
        <w:noBreakHyphen/>
        <w:t>website.com/folder/file</w:t>
      </w:r>
      <w:r w:rsidRPr="001C4E4D">
        <w:noBreakHyphen/>
        <w:t>name.html)</w:t>
      </w:r>
      <w:r w:rsidRPr="00B82865">
        <w:t>.</w:t>
      </w:r>
    </w:p>
    <w:p w14:paraId="62517AB7" w14:textId="77777777" w:rsidR="004B314F" w:rsidRDefault="004B314F" w:rsidP="004B314F">
      <w:pPr>
        <w:pStyle w:val="Heading2-nonumber"/>
      </w:pPr>
      <w:bookmarkStart w:id="17" w:name="_Toc155091441"/>
      <w:r>
        <w:t>How to lodge a submission</w:t>
      </w:r>
      <w:bookmarkEnd w:id="17"/>
    </w:p>
    <w:p w14:paraId="6ADDACEC" w14:textId="77777777" w:rsidR="004B314F" w:rsidRDefault="004B314F" w:rsidP="004B314F">
      <w:pPr>
        <w:pStyle w:val="BodyText"/>
        <w:spacing w:after="240"/>
      </w:pPr>
      <w:r w:rsidRPr="008960C8">
        <w:t>Submissions should be lodged using the online form on the Commission’s website. Submissions lodged by post should be accompanied by a submission cover sheet</w:t>
      </w:r>
      <w:r>
        <w:t>, available from the Commission’s website</w:t>
      </w:r>
      <w:r w:rsidRPr="008960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4B314F" w14:paraId="7A144CD4" w14:textId="77777777" w:rsidTr="00B017B3">
        <w:trPr>
          <w:tblHeader/>
        </w:trPr>
        <w:tc>
          <w:tcPr>
            <w:tcW w:w="1384" w:type="dxa"/>
          </w:tcPr>
          <w:p w14:paraId="553FCFE5" w14:textId="77777777" w:rsidR="004B314F" w:rsidRDefault="004B314F" w:rsidP="00B017B3">
            <w:pPr>
              <w:pStyle w:val="BodyText"/>
              <w:tabs>
                <w:tab w:val="left" w:pos="1701"/>
              </w:tabs>
            </w:pPr>
            <w:r>
              <w:t>Online*</w:t>
            </w:r>
          </w:p>
        </w:tc>
        <w:tc>
          <w:tcPr>
            <w:tcW w:w="7621" w:type="dxa"/>
          </w:tcPr>
          <w:p w14:paraId="0C176F44" w14:textId="553B90BE" w:rsidR="004B314F" w:rsidRDefault="004B314F" w:rsidP="00B017B3">
            <w:pPr>
              <w:pStyle w:val="BodyText"/>
              <w:tabs>
                <w:tab w:val="left" w:pos="1701"/>
              </w:tabs>
            </w:pPr>
            <w:r w:rsidRPr="001C4E4D">
              <w:t>www.pc.gov.au/inquiries/current/</w:t>
            </w:r>
            <w:r w:rsidR="007E0C86" w:rsidRPr="007E0C86">
              <w:t>water-reform-2024</w:t>
            </w:r>
          </w:p>
        </w:tc>
      </w:tr>
      <w:tr w:rsidR="004B314F" w14:paraId="5FC1AA0B" w14:textId="77777777" w:rsidTr="00B017B3">
        <w:tc>
          <w:tcPr>
            <w:tcW w:w="1384" w:type="dxa"/>
          </w:tcPr>
          <w:p w14:paraId="77D46C01" w14:textId="77777777" w:rsidR="004B314F" w:rsidRDefault="004B314F" w:rsidP="00B017B3">
            <w:pPr>
              <w:pStyle w:val="BodyText"/>
              <w:tabs>
                <w:tab w:val="left" w:pos="1701"/>
              </w:tabs>
            </w:pPr>
            <w:r>
              <w:t>Post*</w:t>
            </w:r>
          </w:p>
        </w:tc>
        <w:tc>
          <w:tcPr>
            <w:tcW w:w="7621" w:type="dxa"/>
          </w:tcPr>
          <w:p w14:paraId="2B406078" w14:textId="34AA0B75" w:rsidR="004B314F" w:rsidRDefault="00AB4A5A" w:rsidP="00B017B3">
            <w:pPr>
              <w:pStyle w:val="BodyText"/>
              <w:tabs>
                <w:tab w:val="left" w:pos="1701"/>
              </w:tabs>
            </w:pPr>
            <w:r>
              <w:t>National Water Reform 2024</w:t>
            </w:r>
            <w:r w:rsidR="004B314F">
              <w:br/>
              <w:t>Productivity Commission</w:t>
            </w:r>
            <w:r w:rsidR="004B314F">
              <w:br/>
              <w:t xml:space="preserve">GPO Box 1428 </w:t>
            </w:r>
            <w:r w:rsidR="004B314F">
              <w:br/>
            </w:r>
            <w:r w:rsidR="00D93EBD">
              <w:t>Canberra City ACT 2601</w:t>
            </w:r>
          </w:p>
        </w:tc>
      </w:tr>
      <w:tr w:rsidR="004B314F" w14:paraId="53E1DFF2" w14:textId="77777777" w:rsidTr="00B017B3">
        <w:tc>
          <w:tcPr>
            <w:tcW w:w="1384" w:type="dxa"/>
          </w:tcPr>
          <w:p w14:paraId="23A548A8" w14:textId="77777777" w:rsidR="004B314F" w:rsidRDefault="004B314F" w:rsidP="00B017B3">
            <w:pPr>
              <w:pStyle w:val="BodyText"/>
              <w:tabs>
                <w:tab w:val="left" w:pos="1701"/>
              </w:tabs>
            </w:pPr>
            <w:r>
              <w:t>Phone</w:t>
            </w:r>
          </w:p>
        </w:tc>
        <w:tc>
          <w:tcPr>
            <w:tcW w:w="7621" w:type="dxa"/>
          </w:tcPr>
          <w:p w14:paraId="16E114A6" w14:textId="138E3A2D" w:rsidR="004B314F" w:rsidRDefault="004B314F" w:rsidP="00B017B3">
            <w:pPr>
              <w:pStyle w:val="BodyText"/>
              <w:tabs>
                <w:tab w:val="left" w:pos="1701"/>
              </w:tabs>
            </w:pPr>
            <w:r>
              <w:t xml:space="preserve">Please contact the Administrative Officer on </w:t>
            </w:r>
            <w:r w:rsidR="002D1367">
              <w:t xml:space="preserve">02 6240 </w:t>
            </w:r>
            <w:r w:rsidR="00531B58">
              <w:t>3277</w:t>
            </w:r>
            <w:r w:rsidR="009E59D9">
              <w:t xml:space="preserve"> or 03 9653 2253</w:t>
            </w:r>
          </w:p>
        </w:tc>
      </w:tr>
    </w:tbl>
    <w:p w14:paraId="1B59373C" w14:textId="77777777" w:rsidR="004B314F" w:rsidRDefault="004B314F" w:rsidP="004B314F">
      <w:pPr>
        <w:pStyle w:val="BodyText"/>
      </w:pPr>
      <w:r>
        <w:t>*</w:t>
      </w:r>
      <w:r w:rsidRPr="007354B8">
        <w:t xml:space="preserve"> </w:t>
      </w:r>
      <w:r>
        <w:t>If you do not receive notification of receipt of your submission to the Commission, please contact the Administrative Officer.</w:t>
      </w:r>
    </w:p>
    <w:p w14:paraId="48A8B6FD" w14:textId="77777777" w:rsidR="004B314F" w:rsidRPr="00391500" w:rsidRDefault="004B314F" w:rsidP="004B314F">
      <w:pPr>
        <w:pStyle w:val="Heading3"/>
      </w:pPr>
      <w:r w:rsidRPr="00391500">
        <w:t>Due date for submissions</w:t>
      </w:r>
    </w:p>
    <w:p w14:paraId="0B80D89D" w14:textId="3274DC96" w:rsidR="004B314F" w:rsidRPr="00D562BA" w:rsidRDefault="004B314F" w:rsidP="004B314F">
      <w:pPr>
        <w:pStyle w:val="BodyText"/>
      </w:pPr>
      <w:r>
        <w:t xml:space="preserve">Please send submissions to the Commission by </w:t>
      </w:r>
      <w:r w:rsidR="004C1E72">
        <w:rPr>
          <w:b/>
        </w:rPr>
        <w:t>2 February</w:t>
      </w:r>
      <w:r w:rsidR="00B53AEB">
        <w:rPr>
          <w:b/>
        </w:rPr>
        <w:t xml:space="preserve"> 2024</w:t>
      </w:r>
      <w:r w:rsidRPr="00A516A2">
        <w:t>.</w:t>
      </w:r>
    </w:p>
    <w:p w14:paraId="6FADFF93" w14:textId="77777777" w:rsidR="00D562BA" w:rsidRPr="00D562BA" w:rsidRDefault="00D562BA" w:rsidP="00B94AD4"/>
    <w:sectPr w:rsidR="00D562BA" w:rsidRPr="00D562BA" w:rsidSect="007E78CC">
      <w:pgSz w:w="11906" w:h="16838" w:code="9"/>
      <w:pgMar w:top="993"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2477" w14:textId="77777777" w:rsidR="00B0067F" w:rsidRDefault="00B0067F" w:rsidP="008017BC">
      <w:r>
        <w:separator/>
      </w:r>
    </w:p>
    <w:p w14:paraId="2613B00A" w14:textId="77777777" w:rsidR="00B0067F" w:rsidRDefault="00B0067F"/>
  </w:endnote>
  <w:endnote w:type="continuationSeparator" w:id="0">
    <w:p w14:paraId="4CEDEFC7" w14:textId="77777777" w:rsidR="00B0067F" w:rsidRDefault="00B0067F" w:rsidP="008017BC">
      <w:r>
        <w:continuationSeparator/>
      </w:r>
    </w:p>
    <w:p w14:paraId="5F148773" w14:textId="77777777" w:rsidR="00B0067F" w:rsidRDefault="00B0067F"/>
  </w:endnote>
  <w:endnote w:type="continuationNotice" w:id="1">
    <w:p w14:paraId="73AE626E" w14:textId="77777777" w:rsidR="00B0067F" w:rsidRDefault="00B006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137236"/>
      <w:docPartObj>
        <w:docPartGallery w:val="Page Numbers (Bottom of Page)"/>
        <w:docPartUnique/>
      </w:docPartObj>
    </w:sdtPr>
    <w:sdtEndPr>
      <w:rPr>
        <w:noProof/>
      </w:rPr>
    </w:sdtEndPr>
    <w:sdtContent>
      <w:p w14:paraId="53EBD77B" w14:textId="4F7ED85D" w:rsidR="00AC7371" w:rsidRDefault="002E15CC" w:rsidP="00116B0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242248"/>
      <w:docPartObj>
        <w:docPartGallery w:val="Page Numbers (Bottom of Page)"/>
        <w:docPartUnique/>
      </w:docPartObj>
    </w:sdtPr>
    <w:sdtEndPr>
      <w:rPr>
        <w:noProof/>
      </w:rPr>
    </w:sdtEndPr>
    <w:sdtContent>
      <w:p w14:paraId="22AC13A5" w14:textId="4B3931B4" w:rsidR="006D6D22" w:rsidRDefault="006D6D22" w:rsidP="006D6D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0299" w14:textId="77777777" w:rsidR="00B0067F" w:rsidRPr="00C238D1" w:rsidRDefault="00B0067F" w:rsidP="00273E86">
      <w:pPr>
        <w:spacing w:after="0" w:line="240" w:lineRule="auto"/>
        <w:rPr>
          <w:rStyle w:val="ColourDarkBlue"/>
        </w:rPr>
      </w:pPr>
      <w:r w:rsidRPr="00C238D1">
        <w:rPr>
          <w:rStyle w:val="ColourDarkBlue"/>
        </w:rPr>
        <w:continuationSeparator/>
      </w:r>
    </w:p>
  </w:footnote>
  <w:footnote w:type="continuationSeparator" w:id="0">
    <w:p w14:paraId="427F7A6A" w14:textId="77777777" w:rsidR="00B0067F" w:rsidRPr="001D7D9B" w:rsidRDefault="00B0067F" w:rsidP="001D7D9B">
      <w:pPr>
        <w:spacing w:after="0" w:line="240" w:lineRule="auto"/>
        <w:rPr>
          <w:color w:val="265A9A" w:themeColor="background2"/>
        </w:rPr>
      </w:pPr>
      <w:r w:rsidRPr="00C238D1">
        <w:rPr>
          <w:rStyle w:val="ColourDarkBlue"/>
        </w:rPr>
        <w:continuationSeparator/>
      </w:r>
    </w:p>
  </w:footnote>
  <w:footnote w:type="continuationNotice" w:id="1">
    <w:p w14:paraId="121C9830" w14:textId="77777777" w:rsidR="00B0067F" w:rsidRDefault="00B0067F"/>
  </w:footnote>
  <w:footnote w:id="2">
    <w:p w14:paraId="40B36447" w14:textId="60536E4C" w:rsidR="00F446E3" w:rsidRPr="00797986" w:rsidRDefault="00F446E3">
      <w:pPr>
        <w:pStyle w:val="FootnoteText"/>
        <w:rPr>
          <w:lang w:val="en-US"/>
        </w:rPr>
      </w:pPr>
      <w:r>
        <w:rPr>
          <w:rStyle w:val="FootnoteReference"/>
        </w:rPr>
        <w:footnoteRef/>
      </w:r>
      <w:r>
        <w:t xml:space="preserve"> </w:t>
      </w:r>
      <w:r>
        <w:rPr>
          <w:lang w:val="en-US"/>
        </w:rPr>
        <w:t xml:space="preserve">A copy of the Commission’s </w:t>
      </w:r>
      <w:r w:rsidR="00EF1646">
        <w:rPr>
          <w:lang w:val="en-US"/>
        </w:rPr>
        <w:t xml:space="preserve">National Water Reform 2020 Inquiry Report is available at </w:t>
      </w:r>
      <w:hyperlink r:id="rId1" w:history="1">
        <w:r w:rsidR="00EF1646">
          <w:rPr>
            <w:rStyle w:val="Hyperlink"/>
            <w:lang w:val="en-US"/>
          </w:rPr>
          <w:t>www.pc.gov.au</w:t>
        </w:r>
      </w:hyperlink>
      <w:r w:rsidR="00EF1646">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4189" w14:textId="05DB59E8" w:rsidR="00156E5E" w:rsidRPr="007215EF" w:rsidRDefault="00156E5E" w:rsidP="00703BB9">
    <w:pPr>
      <w:tabs>
        <w:tab w:val="left" w:pos="1695"/>
      </w:tabs>
    </w:pPr>
    <w:r w:rsidRPr="007215EF">
      <w:rPr>
        <w:noProof/>
      </w:rPr>
      <w:drawing>
        <wp:anchor distT="0" distB="0" distL="114300" distR="114300" simplePos="0" relativeHeight="251659264" behindDoc="0" locked="1" layoutInCell="1" allowOverlap="1" wp14:anchorId="199AB66C" wp14:editId="1B54D9F2">
          <wp:simplePos x="0" y="0"/>
          <wp:positionH relativeFrom="margin">
            <wp:align>left</wp:align>
          </wp:positionH>
          <wp:positionV relativeFrom="page">
            <wp:align>top</wp:align>
          </wp:positionV>
          <wp:extent cx="2235600" cy="1058400"/>
          <wp:effectExtent l="0" t="0" r="0" b="8890"/>
          <wp:wrapNone/>
          <wp:docPr id="1729333433" name="Graphic 1729333433"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33433" name="Graphic 1729333433"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3BB9">
      <w:tab/>
    </w:r>
  </w:p>
  <w:p w14:paraId="2452DAA5" w14:textId="77777777" w:rsidR="00156E5E" w:rsidRPr="00596550" w:rsidRDefault="00156E5E" w:rsidP="00156E5E">
    <w:pPr>
      <w:pStyle w:val="Header"/>
    </w:pPr>
  </w:p>
  <w:p w14:paraId="570D7FA3" w14:textId="77777777" w:rsidR="00156E5E" w:rsidRDefault="00156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EBB9" w14:textId="16E62E95" w:rsidR="00525F6E" w:rsidRDefault="001123B0" w:rsidP="001123B0">
    <w:pPr>
      <w:pStyle w:val="Header-KeylineRight"/>
      <w:jc w:val="left"/>
    </w:pPr>
    <w:r>
      <w:t xml:space="preserve">Call for </w:t>
    </w:r>
    <w:proofErr w:type="gramStart"/>
    <w:r>
      <w:t>submissions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FD2C" w14:textId="40546F00" w:rsidR="00525F6E" w:rsidRDefault="001123B0" w:rsidP="001123B0">
    <w:pPr>
      <w:pStyle w:val="Header-KeylineRight"/>
      <w:tabs>
        <w:tab w:val="clear" w:pos="4513"/>
        <w:tab w:val="clear" w:pos="9026"/>
        <w:tab w:val="center" w:pos="4819"/>
      </w:tabs>
    </w:pPr>
    <w:r>
      <w:t>National Water Reform 2024</w:t>
    </w:r>
  </w:p>
  <w:p w14:paraId="69DF767D" w14:textId="77777777" w:rsidR="00AC7371" w:rsidRDefault="00AC73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E8E" w14:textId="25DA2452" w:rsidR="00FC1381" w:rsidRDefault="00FC1381" w:rsidP="00FC1381">
    <w:pPr>
      <w:pStyle w:val="Header"/>
      <w:ind w:left="-1134"/>
    </w:pPr>
  </w:p>
  <w:p w14:paraId="64D68B79" w14:textId="77777777" w:rsidR="00AC7371" w:rsidRDefault="00AC73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190F" w14:textId="5C8772C4" w:rsidR="008C40DD" w:rsidRDefault="003916E6" w:rsidP="00525F6E">
    <w:pPr>
      <w:pStyle w:val="Header-KeylineRight"/>
    </w:pPr>
    <w:r>
      <w:t>National Water Reform 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6EA9" w14:textId="42397DBC" w:rsidR="00D910BC" w:rsidRDefault="003A7F22" w:rsidP="00D910BC">
    <w:pPr>
      <w:pStyle w:val="Header-Keyline"/>
    </w:pPr>
    <w:r>
      <w:t xml:space="preserve">Call for </w:t>
    </w:r>
    <w:proofErr w:type="gramStart"/>
    <w:r>
      <w:t>submissions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BE686F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3E6C9D"/>
    <w:multiLevelType w:val="multilevel"/>
    <w:tmpl w:val="FF8069A4"/>
    <w:numStyleLink w:val="Bullets"/>
  </w:abstractNum>
  <w:abstractNum w:abstractNumId="7"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B516A3"/>
    <w:multiLevelType w:val="multilevel"/>
    <w:tmpl w:val="EBE686F8"/>
    <w:numStyleLink w:val="ListHeadings"/>
  </w:abstractNum>
  <w:abstractNum w:abstractNumId="9" w15:restartNumberingAfterBreak="0">
    <w:nsid w:val="12377B66"/>
    <w:multiLevelType w:val="multilevel"/>
    <w:tmpl w:val="4F48000A"/>
    <w:styleLink w:val="Alpha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1"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E33934"/>
    <w:multiLevelType w:val="multilevel"/>
    <w:tmpl w:val="EBE686F8"/>
    <w:numStyleLink w:val="ListHeadings"/>
  </w:abstractNum>
  <w:abstractNum w:abstractNumId="14" w15:restartNumberingAfterBreak="0">
    <w:nsid w:val="27F811B1"/>
    <w:multiLevelType w:val="hybridMultilevel"/>
    <w:tmpl w:val="C740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D665246"/>
    <w:multiLevelType w:val="multilevel"/>
    <w:tmpl w:val="55366B42"/>
    <w:numStyleLink w:val="LetteredList"/>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E23A3D"/>
    <w:multiLevelType w:val="multilevel"/>
    <w:tmpl w:val="EBE686F8"/>
    <w:numStyleLink w:val="ListHeadings"/>
  </w:abstractNum>
  <w:abstractNum w:abstractNumId="19"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3E1FD6"/>
    <w:multiLevelType w:val="singleLevel"/>
    <w:tmpl w:val="2020ED7C"/>
    <w:lvl w:ilvl="0">
      <w:start w:val="1"/>
      <w:numFmt w:val="bullet"/>
      <w:pStyle w:val="TableBullet"/>
      <w:lvlText w:val=""/>
      <w:lvlJc w:val="left"/>
      <w:pPr>
        <w:tabs>
          <w:tab w:val="num" w:pos="2722"/>
        </w:tabs>
        <w:ind w:left="2722" w:hanging="170"/>
      </w:pPr>
      <w:rPr>
        <w:rFonts w:ascii="Symbol" w:hAnsi="Symbol" w:hint="default"/>
        <w:b w:val="0"/>
        <w:i w:val="0"/>
        <w:sz w:val="16"/>
        <w:szCs w:val="16"/>
      </w:rPr>
    </w:lvl>
  </w:abstractNum>
  <w:abstractNum w:abstractNumId="22" w15:restartNumberingAfterBreak="0">
    <w:nsid w:val="56107838"/>
    <w:multiLevelType w:val="singleLevel"/>
    <w:tmpl w:val="775A3F3A"/>
    <w:lvl w:ilvl="0">
      <w:start w:val="1"/>
      <w:numFmt w:val="bullet"/>
      <w:lvlText w:val=""/>
      <w:lvlJc w:val="left"/>
      <w:pPr>
        <w:tabs>
          <w:tab w:val="num" w:pos="680"/>
        </w:tabs>
        <w:ind w:left="680" w:hanging="340"/>
      </w:pPr>
      <w:rPr>
        <w:rFonts w:ascii="Symbol" w:hAnsi="Symbol" w:hint="default"/>
        <w:sz w:val="18"/>
      </w:rPr>
    </w:lvl>
  </w:abstractNum>
  <w:abstractNum w:abstractNumId="23" w15:restartNumberingAfterBreak="0">
    <w:nsid w:val="596A0C8C"/>
    <w:multiLevelType w:val="multilevel"/>
    <w:tmpl w:val="1FA8DC2A"/>
    <w:numStyleLink w:val="Numbering"/>
  </w:abstractNum>
  <w:abstractNum w:abstractNumId="2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6" w15:restartNumberingAfterBreak="0">
    <w:nsid w:val="6134636A"/>
    <w:multiLevelType w:val="multilevel"/>
    <w:tmpl w:val="1FA8DC2A"/>
    <w:numStyleLink w:val="Numbering"/>
  </w:abstractNum>
  <w:abstractNum w:abstractNumId="27" w15:restartNumberingAfterBreak="0">
    <w:nsid w:val="68B94265"/>
    <w:multiLevelType w:val="multilevel"/>
    <w:tmpl w:val="4F48000A"/>
    <w:numStyleLink w:val="Alphalist"/>
  </w:abstractNum>
  <w:abstractNum w:abstractNumId="28" w15:restartNumberingAfterBreak="0">
    <w:nsid w:val="761B4A1B"/>
    <w:multiLevelType w:val="multilevel"/>
    <w:tmpl w:val="4F48000A"/>
    <w:numStyleLink w:val="Alphalist"/>
  </w:abstractNum>
  <w:num w:numId="1" w16cid:durableId="64760973">
    <w:abstractNumId w:val="0"/>
  </w:num>
  <w:num w:numId="2" w16cid:durableId="994845367">
    <w:abstractNumId w:val="25"/>
  </w:num>
  <w:num w:numId="3" w16cid:durableId="2100371368">
    <w:abstractNumId w:val="7"/>
  </w:num>
  <w:num w:numId="4" w16cid:durableId="1178278780">
    <w:abstractNumId w:val="5"/>
  </w:num>
  <w:num w:numId="5" w16cid:durableId="2088844484">
    <w:abstractNumId w:val="10"/>
  </w:num>
  <w:num w:numId="6" w16cid:durableId="1313215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9147470">
    <w:abstractNumId w:val="17"/>
  </w:num>
  <w:num w:numId="8" w16cid:durableId="1821455802">
    <w:abstractNumId w:val="19"/>
  </w:num>
  <w:num w:numId="9" w16cid:durableId="1977906643">
    <w:abstractNumId w:val="24"/>
  </w:num>
  <w:num w:numId="10" w16cid:durableId="17650340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4473742">
    <w:abstractNumId w:val="9"/>
  </w:num>
  <w:num w:numId="12" w16cid:durableId="316888006">
    <w:abstractNumId w:val="26"/>
  </w:num>
  <w:num w:numId="13" w16cid:durableId="1864903533">
    <w:abstractNumId w:val="16"/>
  </w:num>
  <w:num w:numId="14" w16cid:durableId="1028678830">
    <w:abstractNumId w:val="28"/>
  </w:num>
  <w:num w:numId="15" w16cid:durableId="2098820871">
    <w:abstractNumId w:val="3"/>
  </w:num>
  <w:num w:numId="16" w16cid:durableId="872890459">
    <w:abstractNumId w:val="8"/>
  </w:num>
  <w:num w:numId="17" w16cid:durableId="1390151761">
    <w:abstractNumId w:val="6"/>
  </w:num>
  <w:num w:numId="18" w16cid:durableId="29767059">
    <w:abstractNumId w:val="12"/>
  </w:num>
  <w:num w:numId="19" w16cid:durableId="628977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4856801">
    <w:abstractNumId w:val="20"/>
  </w:num>
  <w:num w:numId="21" w16cid:durableId="1064252920">
    <w:abstractNumId w:val="11"/>
  </w:num>
  <w:num w:numId="22" w16cid:durableId="365060822">
    <w:abstractNumId w:val="4"/>
  </w:num>
  <w:num w:numId="23" w16cid:durableId="1544101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257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5512826">
    <w:abstractNumId w:val="18"/>
  </w:num>
  <w:num w:numId="26" w16cid:durableId="1307472853">
    <w:abstractNumId w:val="27"/>
  </w:num>
  <w:num w:numId="27" w16cid:durableId="294650504">
    <w:abstractNumId w:val="1"/>
  </w:num>
  <w:num w:numId="28" w16cid:durableId="462846981">
    <w:abstractNumId w:val="13"/>
  </w:num>
  <w:num w:numId="29" w16cid:durableId="1973513362">
    <w:abstractNumId w:val="2"/>
  </w:num>
  <w:num w:numId="30" w16cid:durableId="518004172">
    <w:abstractNumId w:val="22"/>
  </w:num>
  <w:num w:numId="31" w16cid:durableId="1169951457">
    <w:abstractNumId w:val="6"/>
  </w:num>
  <w:num w:numId="32" w16cid:durableId="1189373567">
    <w:abstractNumId w:val="6"/>
  </w:num>
  <w:num w:numId="33" w16cid:durableId="64111405">
    <w:abstractNumId w:val="21"/>
  </w:num>
  <w:num w:numId="34" w16cid:durableId="159006876">
    <w:abstractNumId w:val="15"/>
  </w:num>
  <w:num w:numId="35" w16cid:durableId="1316252456">
    <w:abstractNumId w:val="14"/>
  </w:num>
  <w:num w:numId="36" w16cid:durableId="433136399">
    <w:abstractNumId w:val="6"/>
  </w:num>
  <w:num w:numId="37" w16cid:durableId="1748575837">
    <w:abstractNumId w:val="6"/>
  </w:num>
  <w:num w:numId="38" w16cid:durableId="197009143">
    <w:abstractNumId w:val="6"/>
  </w:num>
  <w:num w:numId="39" w16cid:durableId="2101754485">
    <w:abstractNumId w:val="6"/>
  </w:num>
  <w:num w:numId="40" w16cid:durableId="159497608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86"/>
    <w:rsid w:val="00000075"/>
    <w:rsid w:val="00000E17"/>
    <w:rsid w:val="00000ECD"/>
    <w:rsid w:val="00000F3C"/>
    <w:rsid w:val="00002077"/>
    <w:rsid w:val="0000332A"/>
    <w:rsid w:val="00004489"/>
    <w:rsid w:val="00005C79"/>
    <w:rsid w:val="00007022"/>
    <w:rsid w:val="00013989"/>
    <w:rsid w:val="00014F32"/>
    <w:rsid w:val="00016533"/>
    <w:rsid w:val="000200F2"/>
    <w:rsid w:val="00020129"/>
    <w:rsid w:val="000226D5"/>
    <w:rsid w:val="00026C04"/>
    <w:rsid w:val="0002754C"/>
    <w:rsid w:val="00027EB1"/>
    <w:rsid w:val="000300AF"/>
    <w:rsid w:val="00031A9F"/>
    <w:rsid w:val="000331E4"/>
    <w:rsid w:val="0003338D"/>
    <w:rsid w:val="00033619"/>
    <w:rsid w:val="0003461A"/>
    <w:rsid w:val="000346E7"/>
    <w:rsid w:val="00035FD1"/>
    <w:rsid w:val="000374DD"/>
    <w:rsid w:val="0004109D"/>
    <w:rsid w:val="00042674"/>
    <w:rsid w:val="000432A7"/>
    <w:rsid w:val="00044B53"/>
    <w:rsid w:val="00047894"/>
    <w:rsid w:val="00051063"/>
    <w:rsid w:val="0005151B"/>
    <w:rsid w:val="00053BD4"/>
    <w:rsid w:val="00054C95"/>
    <w:rsid w:val="000561CF"/>
    <w:rsid w:val="0005727E"/>
    <w:rsid w:val="0005774F"/>
    <w:rsid w:val="00061CF0"/>
    <w:rsid w:val="00062A44"/>
    <w:rsid w:val="00065131"/>
    <w:rsid w:val="00070D6A"/>
    <w:rsid w:val="000724AE"/>
    <w:rsid w:val="00072F04"/>
    <w:rsid w:val="00074C7F"/>
    <w:rsid w:val="00076B3E"/>
    <w:rsid w:val="0007776A"/>
    <w:rsid w:val="00077A76"/>
    <w:rsid w:val="0008037D"/>
    <w:rsid w:val="00084660"/>
    <w:rsid w:val="00085FB9"/>
    <w:rsid w:val="00087427"/>
    <w:rsid w:val="00091286"/>
    <w:rsid w:val="00093169"/>
    <w:rsid w:val="00093354"/>
    <w:rsid w:val="00095D8E"/>
    <w:rsid w:val="0009789D"/>
    <w:rsid w:val="000A0F08"/>
    <w:rsid w:val="000A1BD5"/>
    <w:rsid w:val="000A38AA"/>
    <w:rsid w:val="000A64A3"/>
    <w:rsid w:val="000B0C0B"/>
    <w:rsid w:val="000B1E0F"/>
    <w:rsid w:val="000B497F"/>
    <w:rsid w:val="000B4A72"/>
    <w:rsid w:val="000B4B6E"/>
    <w:rsid w:val="000B5105"/>
    <w:rsid w:val="000B64C3"/>
    <w:rsid w:val="000B6652"/>
    <w:rsid w:val="000B6C78"/>
    <w:rsid w:val="000C11C1"/>
    <w:rsid w:val="000C12F3"/>
    <w:rsid w:val="000C6B77"/>
    <w:rsid w:val="000C7C30"/>
    <w:rsid w:val="000D1C63"/>
    <w:rsid w:val="000D28E3"/>
    <w:rsid w:val="000D491E"/>
    <w:rsid w:val="000D5C62"/>
    <w:rsid w:val="000D7ACF"/>
    <w:rsid w:val="000E234D"/>
    <w:rsid w:val="000E43B0"/>
    <w:rsid w:val="000F3E57"/>
    <w:rsid w:val="000F4251"/>
    <w:rsid w:val="000F4488"/>
    <w:rsid w:val="000F7F43"/>
    <w:rsid w:val="00100FAB"/>
    <w:rsid w:val="0010290E"/>
    <w:rsid w:val="00107C05"/>
    <w:rsid w:val="0011217E"/>
    <w:rsid w:val="0011218E"/>
    <w:rsid w:val="001123B0"/>
    <w:rsid w:val="00112E8F"/>
    <w:rsid w:val="00116B01"/>
    <w:rsid w:val="00120792"/>
    <w:rsid w:val="00120B4A"/>
    <w:rsid w:val="00121A8B"/>
    <w:rsid w:val="00123C07"/>
    <w:rsid w:val="00125754"/>
    <w:rsid w:val="001268BC"/>
    <w:rsid w:val="00132179"/>
    <w:rsid w:val="001329D4"/>
    <w:rsid w:val="00132C26"/>
    <w:rsid w:val="001346D7"/>
    <w:rsid w:val="00135732"/>
    <w:rsid w:val="0013722E"/>
    <w:rsid w:val="00137FAB"/>
    <w:rsid w:val="0014002E"/>
    <w:rsid w:val="00140051"/>
    <w:rsid w:val="00140130"/>
    <w:rsid w:val="00140B31"/>
    <w:rsid w:val="00141C76"/>
    <w:rsid w:val="00142492"/>
    <w:rsid w:val="00142F3A"/>
    <w:rsid w:val="00145C30"/>
    <w:rsid w:val="00147535"/>
    <w:rsid w:val="0015199E"/>
    <w:rsid w:val="00154E0D"/>
    <w:rsid w:val="00155FB2"/>
    <w:rsid w:val="0015604E"/>
    <w:rsid w:val="00156B8C"/>
    <w:rsid w:val="00156E5E"/>
    <w:rsid w:val="001600E9"/>
    <w:rsid w:val="00160948"/>
    <w:rsid w:val="00160DC9"/>
    <w:rsid w:val="00160FEC"/>
    <w:rsid w:val="001610E5"/>
    <w:rsid w:val="00161BC8"/>
    <w:rsid w:val="00161D71"/>
    <w:rsid w:val="001625D0"/>
    <w:rsid w:val="001642F3"/>
    <w:rsid w:val="0016525B"/>
    <w:rsid w:val="001714F3"/>
    <w:rsid w:val="00171609"/>
    <w:rsid w:val="00171D20"/>
    <w:rsid w:val="001731D3"/>
    <w:rsid w:val="00173BFD"/>
    <w:rsid w:val="00174650"/>
    <w:rsid w:val="001759C6"/>
    <w:rsid w:val="00176BC6"/>
    <w:rsid w:val="00177B4E"/>
    <w:rsid w:val="0018015C"/>
    <w:rsid w:val="00180601"/>
    <w:rsid w:val="00180EE4"/>
    <w:rsid w:val="00181FF5"/>
    <w:rsid w:val="00182620"/>
    <w:rsid w:val="001837A1"/>
    <w:rsid w:val="00186470"/>
    <w:rsid w:val="00187544"/>
    <w:rsid w:val="00187F05"/>
    <w:rsid w:val="00190001"/>
    <w:rsid w:val="00191FBF"/>
    <w:rsid w:val="00192898"/>
    <w:rsid w:val="00192D38"/>
    <w:rsid w:val="00192FB1"/>
    <w:rsid w:val="0019396E"/>
    <w:rsid w:val="001957BF"/>
    <w:rsid w:val="00196A4F"/>
    <w:rsid w:val="00196A8B"/>
    <w:rsid w:val="001979A5"/>
    <w:rsid w:val="001A0D77"/>
    <w:rsid w:val="001A196A"/>
    <w:rsid w:val="001A1D95"/>
    <w:rsid w:val="001A2565"/>
    <w:rsid w:val="001A4C3F"/>
    <w:rsid w:val="001A4E02"/>
    <w:rsid w:val="001A6FCD"/>
    <w:rsid w:val="001A777D"/>
    <w:rsid w:val="001A7CE7"/>
    <w:rsid w:val="001B1762"/>
    <w:rsid w:val="001B17AC"/>
    <w:rsid w:val="001B588D"/>
    <w:rsid w:val="001B58CC"/>
    <w:rsid w:val="001B5A0A"/>
    <w:rsid w:val="001B5A93"/>
    <w:rsid w:val="001C0C0E"/>
    <w:rsid w:val="001C1FA5"/>
    <w:rsid w:val="001C4E84"/>
    <w:rsid w:val="001C6607"/>
    <w:rsid w:val="001C7835"/>
    <w:rsid w:val="001D2B69"/>
    <w:rsid w:val="001D4050"/>
    <w:rsid w:val="001D4A79"/>
    <w:rsid w:val="001D55F4"/>
    <w:rsid w:val="001D71C6"/>
    <w:rsid w:val="001D7D9B"/>
    <w:rsid w:val="001E20D4"/>
    <w:rsid w:val="001E2636"/>
    <w:rsid w:val="001E2AD3"/>
    <w:rsid w:val="001E7EEB"/>
    <w:rsid w:val="001F0F19"/>
    <w:rsid w:val="001F13C1"/>
    <w:rsid w:val="001F1E9A"/>
    <w:rsid w:val="001F209E"/>
    <w:rsid w:val="001F446D"/>
    <w:rsid w:val="001F6504"/>
    <w:rsid w:val="001F6B0A"/>
    <w:rsid w:val="002000C8"/>
    <w:rsid w:val="00200AB2"/>
    <w:rsid w:val="002011D9"/>
    <w:rsid w:val="00201317"/>
    <w:rsid w:val="00201320"/>
    <w:rsid w:val="0020204A"/>
    <w:rsid w:val="0020353F"/>
    <w:rsid w:val="002061DF"/>
    <w:rsid w:val="002112EC"/>
    <w:rsid w:val="00216597"/>
    <w:rsid w:val="00217467"/>
    <w:rsid w:val="002201F5"/>
    <w:rsid w:val="00221800"/>
    <w:rsid w:val="00221AB7"/>
    <w:rsid w:val="0022217D"/>
    <w:rsid w:val="00223DF4"/>
    <w:rsid w:val="00224E65"/>
    <w:rsid w:val="00227712"/>
    <w:rsid w:val="002344D8"/>
    <w:rsid w:val="00234F8D"/>
    <w:rsid w:val="002436CA"/>
    <w:rsid w:val="002457DE"/>
    <w:rsid w:val="00245985"/>
    <w:rsid w:val="002459CA"/>
    <w:rsid w:val="00246435"/>
    <w:rsid w:val="00246BCF"/>
    <w:rsid w:val="00251245"/>
    <w:rsid w:val="00251CA2"/>
    <w:rsid w:val="00252E85"/>
    <w:rsid w:val="002601BB"/>
    <w:rsid w:val="00261F22"/>
    <w:rsid w:val="00262F72"/>
    <w:rsid w:val="00265906"/>
    <w:rsid w:val="00265918"/>
    <w:rsid w:val="00270834"/>
    <w:rsid w:val="002722DD"/>
    <w:rsid w:val="00273E86"/>
    <w:rsid w:val="00275DAC"/>
    <w:rsid w:val="002814E6"/>
    <w:rsid w:val="00281A54"/>
    <w:rsid w:val="00281D3B"/>
    <w:rsid w:val="00282AE5"/>
    <w:rsid w:val="00287114"/>
    <w:rsid w:val="002926D4"/>
    <w:rsid w:val="002936B4"/>
    <w:rsid w:val="002951E6"/>
    <w:rsid w:val="00295330"/>
    <w:rsid w:val="002958FA"/>
    <w:rsid w:val="002959B5"/>
    <w:rsid w:val="002A355D"/>
    <w:rsid w:val="002A4DB8"/>
    <w:rsid w:val="002B0577"/>
    <w:rsid w:val="002B0CDF"/>
    <w:rsid w:val="002C2BA3"/>
    <w:rsid w:val="002C36EF"/>
    <w:rsid w:val="002C3F86"/>
    <w:rsid w:val="002C54C2"/>
    <w:rsid w:val="002C797E"/>
    <w:rsid w:val="002D055F"/>
    <w:rsid w:val="002D1367"/>
    <w:rsid w:val="002D32D9"/>
    <w:rsid w:val="002D3720"/>
    <w:rsid w:val="002D50CB"/>
    <w:rsid w:val="002E15CC"/>
    <w:rsid w:val="002E3E69"/>
    <w:rsid w:val="002E3E6D"/>
    <w:rsid w:val="002E3F19"/>
    <w:rsid w:val="002E49B2"/>
    <w:rsid w:val="002E4B98"/>
    <w:rsid w:val="002E51D2"/>
    <w:rsid w:val="002E5277"/>
    <w:rsid w:val="002E69F1"/>
    <w:rsid w:val="002E701C"/>
    <w:rsid w:val="002E7A0E"/>
    <w:rsid w:val="002E7EFA"/>
    <w:rsid w:val="002F4F3A"/>
    <w:rsid w:val="002F59B9"/>
    <w:rsid w:val="002F6386"/>
    <w:rsid w:val="00302887"/>
    <w:rsid w:val="003034C7"/>
    <w:rsid w:val="00303704"/>
    <w:rsid w:val="00305171"/>
    <w:rsid w:val="0031393C"/>
    <w:rsid w:val="0031472E"/>
    <w:rsid w:val="003150F6"/>
    <w:rsid w:val="00316B5A"/>
    <w:rsid w:val="003203D6"/>
    <w:rsid w:val="00322B4C"/>
    <w:rsid w:val="00323400"/>
    <w:rsid w:val="00326A36"/>
    <w:rsid w:val="00327179"/>
    <w:rsid w:val="0033245A"/>
    <w:rsid w:val="00332778"/>
    <w:rsid w:val="00332CB5"/>
    <w:rsid w:val="00336ECB"/>
    <w:rsid w:val="00342163"/>
    <w:rsid w:val="0034680A"/>
    <w:rsid w:val="003502F3"/>
    <w:rsid w:val="00352C65"/>
    <w:rsid w:val="0035405B"/>
    <w:rsid w:val="00354696"/>
    <w:rsid w:val="00354F8B"/>
    <w:rsid w:val="0035519A"/>
    <w:rsid w:val="00357768"/>
    <w:rsid w:val="0036059A"/>
    <w:rsid w:val="00360CE9"/>
    <w:rsid w:val="00361947"/>
    <w:rsid w:val="00362254"/>
    <w:rsid w:val="00362DFD"/>
    <w:rsid w:val="00363FF8"/>
    <w:rsid w:val="003640E1"/>
    <w:rsid w:val="00371148"/>
    <w:rsid w:val="003740DC"/>
    <w:rsid w:val="00376491"/>
    <w:rsid w:val="0037721D"/>
    <w:rsid w:val="0038102A"/>
    <w:rsid w:val="0038127C"/>
    <w:rsid w:val="003833B4"/>
    <w:rsid w:val="00386E1C"/>
    <w:rsid w:val="00386EC9"/>
    <w:rsid w:val="003916E6"/>
    <w:rsid w:val="0039423C"/>
    <w:rsid w:val="003964BD"/>
    <w:rsid w:val="003A05E2"/>
    <w:rsid w:val="003A085F"/>
    <w:rsid w:val="003A4AFA"/>
    <w:rsid w:val="003A68B1"/>
    <w:rsid w:val="003A743E"/>
    <w:rsid w:val="003A7ADE"/>
    <w:rsid w:val="003A7E0A"/>
    <w:rsid w:val="003A7ECB"/>
    <w:rsid w:val="003A7F22"/>
    <w:rsid w:val="003B28FA"/>
    <w:rsid w:val="003B2A34"/>
    <w:rsid w:val="003B445A"/>
    <w:rsid w:val="003B47E9"/>
    <w:rsid w:val="003B4F51"/>
    <w:rsid w:val="003B5FA9"/>
    <w:rsid w:val="003B6E2C"/>
    <w:rsid w:val="003B7C9F"/>
    <w:rsid w:val="003B7DB1"/>
    <w:rsid w:val="003C01D4"/>
    <w:rsid w:val="003C13F1"/>
    <w:rsid w:val="003C2CC3"/>
    <w:rsid w:val="003C436A"/>
    <w:rsid w:val="003C69BF"/>
    <w:rsid w:val="003D0914"/>
    <w:rsid w:val="003D09EE"/>
    <w:rsid w:val="003D197F"/>
    <w:rsid w:val="003D23A3"/>
    <w:rsid w:val="003D5856"/>
    <w:rsid w:val="003D6591"/>
    <w:rsid w:val="003D79B6"/>
    <w:rsid w:val="003E33B2"/>
    <w:rsid w:val="003E4281"/>
    <w:rsid w:val="003E6055"/>
    <w:rsid w:val="003E6477"/>
    <w:rsid w:val="003E7F89"/>
    <w:rsid w:val="003F423F"/>
    <w:rsid w:val="003F485D"/>
    <w:rsid w:val="003F6F1A"/>
    <w:rsid w:val="0040060F"/>
    <w:rsid w:val="004009AF"/>
    <w:rsid w:val="00401ACB"/>
    <w:rsid w:val="0040487A"/>
    <w:rsid w:val="00404E4F"/>
    <w:rsid w:val="004054E4"/>
    <w:rsid w:val="004064F7"/>
    <w:rsid w:val="00411B24"/>
    <w:rsid w:val="0041331E"/>
    <w:rsid w:val="0041465E"/>
    <w:rsid w:val="00414E1A"/>
    <w:rsid w:val="00417C8B"/>
    <w:rsid w:val="00420112"/>
    <w:rsid w:val="00420C1F"/>
    <w:rsid w:val="00420F0E"/>
    <w:rsid w:val="004230B6"/>
    <w:rsid w:val="0042339A"/>
    <w:rsid w:val="00423B15"/>
    <w:rsid w:val="00424CB8"/>
    <w:rsid w:val="0042508F"/>
    <w:rsid w:val="0043326D"/>
    <w:rsid w:val="004379C2"/>
    <w:rsid w:val="004400E8"/>
    <w:rsid w:val="00445785"/>
    <w:rsid w:val="00447FD8"/>
    <w:rsid w:val="00450C80"/>
    <w:rsid w:val="00453708"/>
    <w:rsid w:val="0045410B"/>
    <w:rsid w:val="004544D6"/>
    <w:rsid w:val="004544EA"/>
    <w:rsid w:val="004572E8"/>
    <w:rsid w:val="00461CE9"/>
    <w:rsid w:val="00462407"/>
    <w:rsid w:val="004631DD"/>
    <w:rsid w:val="004635FD"/>
    <w:rsid w:val="004651E7"/>
    <w:rsid w:val="00465FA9"/>
    <w:rsid w:val="00467F7C"/>
    <w:rsid w:val="00470129"/>
    <w:rsid w:val="004728A0"/>
    <w:rsid w:val="004742DD"/>
    <w:rsid w:val="00475231"/>
    <w:rsid w:val="00476B18"/>
    <w:rsid w:val="004803FB"/>
    <w:rsid w:val="004834A2"/>
    <w:rsid w:val="004842A7"/>
    <w:rsid w:val="00484C40"/>
    <w:rsid w:val="00484E96"/>
    <w:rsid w:val="00486512"/>
    <w:rsid w:val="004865DA"/>
    <w:rsid w:val="00486C39"/>
    <w:rsid w:val="00490FCC"/>
    <w:rsid w:val="0049109A"/>
    <w:rsid w:val="004925E4"/>
    <w:rsid w:val="00496700"/>
    <w:rsid w:val="004974A4"/>
    <w:rsid w:val="004A10A1"/>
    <w:rsid w:val="004A19FB"/>
    <w:rsid w:val="004A2FB8"/>
    <w:rsid w:val="004A5586"/>
    <w:rsid w:val="004A739C"/>
    <w:rsid w:val="004B0D2D"/>
    <w:rsid w:val="004B1531"/>
    <w:rsid w:val="004B18BF"/>
    <w:rsid w:val="004B314F"/>
    <w:rsid w:val="004B5ECC"/>
    <w:rsid w:val="004B609E"/>
    <w:rsid w:val="004B6928"/>
    <w:rsid w:val="004C091C"/>
    <w:rsid w:val="004C1025"/>
    <w:rsid w:val="004C1740"/>
    <w:rsid w:val="004C1E72"/>
    <w:rsid w:val="004C34D2"/>
    <w:rsid w:val="004C431C"/>
    <w:rsid w:val="004C4823"/>
    <w:rsid w:val="004C7C34"/>
    <w:rsid w:val="004D2F32"/>
    <w:rsid w:val="004D3331"/>
    <w:rsid w:val="004D4618"/>
    <w:rsid w:val="004D6E6C"/>
    <w:rsid w:val="004D7514"/>
    <w:rsid w:val="004E0BD7"/>
    <w:rsid w:val="004E0C41"/>
    <w:rsid w:val="004E0EF2"/>
    <w:rsid w:val="004E1233"/>
    <w:rsid w:val="004E1E5F"/>
    <w:rsid w:val="004E28C6"/>
    <w:rsid w:val="004E410F"/>
    <w:rsid w:val="004E671D"/>
    <w:rsid w:val="004E6B3C"/>
    <w:rsid w:val="004E6DE1"/>
    <w:rsid w:val="004F0E1C"/>
    <w:rsid w:val="004F10E0"/>
    <w:rsid w:val="004F138F"/>
    <w:rsid w:val="004F2D0A"/>
    <w:rsid w:val="004F420C"/>
    <w:rsid w:val="004F5B6A"/>
    <w:rsid w:val="004F6C5E"/>
    <w:rsid w:val="004F7A30"/>
    <w:rsid w:val="00500123"/>
    <w:rsid w:val="005035D2"/>
    <w:rsid w:val="00505257"/>
    <w:rsid w:val="005064C7"/>
    <w:rsid w:val="0050670B"/>
    <w:rsid w:val="00506EFF"/>
    <w:rsid w:val="00507826"/>
    <w:rsid w:val="00511B29"/>
    <w:rsid w:val="005124ED"/>
    <w:rsid w:val="0051408F"/>
    <w:rsid w:val="005141E8"/>
    <w:rsid w:val="00514CC4"/>
    <w:rsid w:val="00516A89"/>
    <w:rsid w:val="00517257"/>
    <w:rsid w:val="005178E0"/>
    <w:rsid w:val="00521988"/>
    <w:rsid w:val="00524602"/>
    <w:rsid w:val="00524AE4"/>
    <w:rsid w:val="005253DE"/>
    <w:rsid w:val="00525F6E"/>
    <w:rsid w:val="00526001"/>
    <w:rsid w:val="00527A18"/>
    <w:rsid w:val="005302F3"/>
    <w:rsid w:val="00531B58"/>
    <w:rsid w:val="00533E27"/>
    <w:rsid w:val="00540B70"/>
    <w:rsid w:val="00547E81"/>
    <w:rsid w:val="00550C99"/>
    <w:rsid w:val="00552F63"/>
    <w:rsid w:val="00553413"/>
    <w:rsid w:val="00555AB2"/>
    <w:rsid w:val="00560086"/>
    <w:rsid w:val="005605ED"/>
    <w:rsid w:val="00560F67"/>
    <w:rsid w:val="00561129"/>
    <w:rsid w:val="00562410"/>
    <w:rsid w:val="00562FD2"/>
    <w:rsid w:val="005639ED"/>
    <w:rsid w:val="00563D9F"/>
    <w:rsid w:val="00567C26"/>
    <w:rsid w:val="00571371"/>
    <w:rsid w:val="00571ADD"/>
    <w:rsid w:val="00571C54"/>
    <w:rsid w:val="00572480"/>
    <w:rsid w:val="00574A8F"/>
    <w:rsid w:val="00575490"/>
    <w:rsid w:val="005754AB"/>
    <w:rsid w:val="005826F4"/>
    <w:rsid w:val="0058369E"/>
    <w:rsid w:val="00585395"/>
    <w:rsid w:val="00590D09"/>
    <w:rsid w:val="0059100C"/>
    <w:rsid w:val="0059132C"/>
    <w:rsid w:val="0059156A"/>
    <w:rsid w:val="00591E1E"/>
    <w:rsid w:val="00592FB5"/>
    <w:rsid w:val="00593314"/>
    <w:rsid w:val="0059368E"/>
    <w:rsid w:val="00593BF5"/>
    <w:rsid w:val="00593F3D"/>
    <w:rsid w:val="00594496"/>
    <w:rsid w:val="00595402"/>
    <w:rsid w:val="005956D3"/>
    <w:rsid w:val="00596365"/>
    <w:rsid w:val="00596550"/>
    <w:rsid w:val="005965BC"/>
    <w:rsid w:val="005A0320"/>
    <w:rsid w:val="005A1DAE"/>
    <w:rsid w:val="005A1E5F"/>
    <w:rsid w:val="005A2786"/>
    <w:rsid w:val="005A2AB0"/>
    <w:rsid w:val="005A35F6"/>
    <w:rsid w:val="005A427F"/>
    <w:rsid w:val="005A49FC"/>
    <w:rsid w:val="005A5B93"/>
    <w:rsid w:val="005A7BB0"/>
    <w:rsid w:val="005A7E78"/>
    <w:rsid w:val="005B03ED"/>
    <w:rsid w:val="005B1776"/>
    <w:rsid w:val="005B1BA3"/>
    <w:rsid w:val="005B3077"/>
    <w:rsid w:val="005B32FB"/>
    <w:rsid w:val="005B362F"/>
    <w:rsid w:val="005B539E"/>
    <w:rsid w:val="005B54AD"/>
    <w:rsid w:val="005B553A"/>
    <w:rsid w:val="005B6DFA"/>
    <w:rsid w:val="005B7FE4"/>
    <w:rsid w:val="005C05E0"/>
    <w:rsid w:val="005C0DB7"/>
    <w:rsid w:val="005C2813"/>
    <w:rsid w:val="005C2EF1"/>
    <w:rsid w:val="005C37E0"/>
    <w:rsid w:val="005C54B9"/>
    <w:rsid w:val="005C561B"/>
    <w:rsid w:val="005C5A1C"/>
    <w:rsid w:val="005C6618"/>
    <w:rsid w:val="005D0189"/>
    <w:rsid w:val="005D1510"/>
    <w:rsid w:val="005D1B26"/>
    <w:rsid w:val="005D2600"/>
    <w:rsid w:val="005D3B4A"/>
    <w:rsid w:val="005D5A56"/>
    <w:rsid w:val="005E26A5"/>
    <w:rsid w:val="005E4470"/>
    <w:rsid w:val="005E472F"/>
    <w:rsid w:val="005E5022"/>
    <w:rsid w:val="005E5794"/>
    <w:rsid w:val="005E58C0"/>
    <w:rsid w:val="005F11F4"/>
    <w:rsid w:val="005F464F"/>
    <w:rsid w:val="005F66CF"/>
    <w:rsid w:val="006006B4"/>
    <w:rsid w:val="00602070"/>
    <w:rsid w:val="006024B2"/>
    <w:rsid w:val="00603FD5"/>
    <w:rsid w:val="00607F03"/>
    <w:rsid w:val="0061057F"/>
    <w:rsid w:val="006105E5"/>
    <w:rsid w:val="00610627"/>
    <w:rsid w:val="00610E61"/>
    <w:rsid w:val="00610F6C"/>
    <w:rsid w:val="006143C7"/>
    <w:rsid w:val="0061482B"/>
    <w:rsid w:val="00615481"/>
    <w:rsid w:val="00616DC8"/>
    <w:rsid w:val="00617B5E"/>
    <w:rsid w:val="00620548"/>
    <w:rsid w:val="006219E2"/>
    <w:rsid w:val="00624B90"/>
    <w:rsid w:val="00626951"/>
    <w:rsid w:val="00630338"/>
    <w:rsid w:val="00630F02"/>
    <w:rsid w:val="00631DE9"/>
    <w:rsid w:val="00633FDD"/>
    <w:rsid w:val="00640FAF"/>
    <w:rsid w:val="00643224"/>
    <w:rsid w:val="00643AFD"/>
    <w:rsid w:val="00645A9A"/>
    <w:rsid w:val="00645EE5"/>
    <w:rsid w:val="006475BD"/>
    <w:rsid w:val="00647775"/>
    <w:rsid w:val="00647824"/>
    <w:rsid w:val="006511B1"/>
    <w:rsid w:val="006511D0"/>
    <w:rsid w:val="006527FF"/>
    <w:rsid w:val="00656A8A"/>
    <w:rsid w:val="00656C2F"/>
    <w:rsid w:val="006578AF"/>
    <w:rsid w:val="0065791E"/>
    <w:rsid w:val="00662209"/>
    <w:rsid w:val="00666775"/>
    <w:rsid w:val="00670492"/>
    <w:rsid w:val="00670BC7"/>
    <w:rsid w:val="006723F1"/>
    <w:rsid w:val="00674C9A"/>
    <w:rsid w:val="006750C6"/>
    <w:rsid w:val="0067757D"/>
    <w:rsid w:val="00677ADF"/>
    <w:rsid w:val="00681434"/>
    <w:rsid w:val="00682C13"/>
    <w:rsid w:val="00684CF2"/>
    <w:rsid w:val="00684D49"/>
    <w:rsid w:val="00685105"/>
    <w:rsid w:val="00685E97"/>
    <w:rsid w:val="00686F73"/>
    <w:rsid w:val="0068724F"/>
    <w:rsid w:val="0068785B"/>
    <w:rsid w:val="006921A4"/>
    <w:rsid w:val="00694B37"/>
    <w:rsid w:val="006A1DEF"/>
    <w:rsid w:val="006A2306"/>
    <w:rsid w:val="006A2FE4"/>
    <w:rsid w:val="006A7069"/>
    <w:rsid w:val="006B27A2"/>
    <w:rsid w:val="006B4790"/>
    <w:rsid w:val="006C142E"/>
    <w:rsid w:val="006C36D5"/>
    <w:rsid w:val="006C4AF4"/>
    <w:rsid w:val="006C4C82"/>
    <w:rsid w:val="006D095B"/>
    <w:rsid w:val="006D3F2F"/>
    <w:rsid w:val="006D4F09"/>
    <w:rsid w:val="006D5274"/>
    <w:rsid w:val="006D5F4F"/>
    <w:rsid w:val="006D60DC"/>
    <w:rsid w:val="006D68C5"/>
    <w:rsid w:val="006D6D22"/>
    <w:rsid w:val="006D7B09"/>
    <w:rsid w:val="006E16AF"/>
    <w:rsid w:val="006E1E68"/>
    <w:rsid w:val="006E3536"/>
    <w:rsid w:val="006E5F60"/>
    <w:rsid w:val="006F2208"/>
    <w:rsid w:val="006F49F3"/>
    <w:rsid w:val="006F52F6"/>
    <w:rsid w:val="006F55C1"/>
    <w:rsid w:val="006F5920"/>
    <w:rsid w:val="006F6227"/>
    <w:rsid w:val="006F7A50"/>
    <w:rsid w:val="00701100"/>
    <w:rsid w:val="007025B3"/>
    <w:rsid w:val="00702F17"/>
    <w:rsid w:val="00703BB9"/>
    <w:rsid w:val="00704898"/>
    <w:rsid w:val="0070773A"/>
    <w:rsid w:val="00711817"/>
    <w:rsid w:val="007127C4"/>
    <w:rsid w:val="00712E7D"/>
    <w:rsid w:val="00712F5C"/>
    <w:rsid w:val="00714136"/>
    <w:rsid w:val="00714488"/>
    <w:rsid w:val="007151A7"/>
    <w:rsid w:val="007158C6"/>
    <w:rsid w:val="007163EA"/>
    <w:rsid w:val="0072017A"/>
    <w:rsid w:val="00720507"/>
    <w:rsid w:val="007211D9"/>
    <w:rsid w:val="007215EF"/>
    <w:rsid w:val="007220DF"/>
    <w:rsid w:val="007223FC"/>
    <w:rsid w:val="00722857"/>
    <w:rsid w:val="00723366"/>
    <w:rsid w:val="0073012B"/>
    <w:rsid w:val="007301C9"/>
    <w:rsid w:val="00731322"/>
    <w:rsid w:val="00731C1E"/>
    <w:rsid w:val="00731EC8"/>
    <w:rsid w:val="007373F6"/>
    <w:rsid w:val="00742C12"/>
    <w:rsid w:val="00742F0D"/>
    <w:rsid w:val="00743548"/>
    <w:rsid w:val="00744120"/>
    <w:rsid w:val="0074500C"/>
    <w:rsid w:val="0075194A"/>
    <w:rsid w:val="00751ED2"/>
    <w:rsid w:val="00753263"/>
    <w:rsid w:val="0075386F"/>
    <w:rsid w:val="00755E4A"/>
    <w:rsid w:val="00756D69"/>
    <w:rsid w:val="00760304"/>
    <w:rsid w:val="00760E1B"/>
    <w:rsid w:val="00760F5A"/>
    <w:rsid w:val="00762F69"/>
    <w:rsid w:val="00764FE1"/>
    <w:rsid w:val="007669DE"/>
    <w:rsid w:val="00766CB5"/>
    <w:rsid w:val="007671C2"/>
    <w:rsid w:val="00767EAE"/>
    <w:rsid w:val="00770DB0"/>
    <w:rsid w:val="0077284B"/>
    <w:rsid w:val="00774F29"/>
    <w:rsid w:val="007750E5"/>
    <w:rsid w:val="00775165"/>
    <w:rsid w:val="0078533C"/>
    <w:rsid w:val="007872ED"/>
    <w:rsid w:val="00787343"/>
    <w:rsid w:val="00791BB9"/>
    <w:rsid w:val="00797986"/>
    <w:rsid w:val="00797F42"/>
    <w:rsid w:val="007A0363"/>
    <w:rsid w:val="007A3CDA"/>
    <w:rsid w:val="007A5D31"/>
    <w:rsid w:val="007A6843"/>
    <w:rsid w:val="007B1C4D"/>
    <w:rsid w:val="007B1D25"/>
    <w:rsid w:val="007B7FAA"/>
    <w:rsid w:val="007C0AA0"/>
    <w:rsid w:val="007C3475"/>
    <w:rsid w:val="007C43FF"/>
    <w:rsid w:val="007C62FC"/>
    <w:rsid w:val="007C775F"/>
    <w:rsid w:val="007D1569"/>
    <w:rsid w:val="007D25EB"/>
    <w:rsid w:val="007D2B42"/>
    <w:rsid w:val="007D55D4"/>
    <w:rsid w:val="007D644E"/>
    <w:rsid w:val="007D67F1"/>
    <w:rsid w:val="007D6D45"/>
    <w:rsid w:val="007E0C86"/>
    <w:rsid w:val="007E104D"/>
    <w:rsid w:val="007E1A38"/>
    <w:rsid w:val="007E3510"/>
    <w:rsid w:val="007E4462"/>
    <w:rsid w:val="007E5346"/>
    <w:rsid w:val="007E5C1A"/>
    <w:rsid w:val="007E78CC"/>
    <w:rsid w:val="007F2BA5"/>
    <w:rsid w:val="007F65E3"/>
    <w:rsid w:val="008012C7"/>
    <w:rsid w:val="00801542"/>
    <w:rsid w:val="008017BC"/>
    <w:rsid w:val="008017DD"/>
    <w:rsid w:val="0080322B"/>
    <w:rsid w:val="008035C3"/>
    <w:rsid w:val="00803728"/>
    <w:rsid w:val="00803F26"/>
    <w:rsid w:val="0080472F"/>
    <w:rsid w:val="00804B8B"/>
    <w:rsid w:val="008069DB"/>
    <w:rsid w:val="00806F63"/>
    <w:rsid w:val="00807F06"/>
    <w:rsid w:val="0081089D"/>
    <w:rsid w:val="00811196"/>
    <w:rsid w:val="0081533C"/>
    <w:rsid w:val="008161D7"/>
    <w:rsid w:val="00817E26"/>
    <w:rsid w:val="00820661"/>
    <w:rsid w:val="00820B09"/>
    <w:rsid w:val="00820F23"/>
    <w:rsid w:val="00821204"/>
    <w:rsid w:val="008225FD"/>
    <w:rsid w:val="008233DB"/>
    <w:rsid w:val="008235FF"/>
    <w:rsid w:val="0082394A"/>
    <w:rsid w:val="0082437F"/>
    <w:rsid w:val="008271D6"/>
    <w:rsid w:val="00832616"/>
    <w:rsid w:val="00835870"/>
    <w:rsid w:val="00836262"/>
    <w:rsid w:val="00836E3A"/>
    <w:rsid w:val="00836EF2"/>
    <w:rsid w:val="00837210"/>
    <w:rsid w:val="0084238D"/>
    <w:rsid w:val="00844FF5"/>
    <w:rsid w:val="008456D7"/>
    <w:rsid w:val="008469AF"/>
    <w:rsid w:val="008472B8"/>
    <w:rsid w:val="00847731"/>
    <w:rsid w:val="00847F3C"/>
    <w:rsid w:val="00852053"/>
    <w:rsid w:val="008529A2"/>
    <w:rsid w:val="0085439B"/>
    <w:rsid w:val="0085548F"/>
    <w:rsid w:val="00856A23"/>
    <w:rsid w:val="008579B4"/>
    <w:rsid w:val="008600AE"/>
    <w:rsid w:val="00863437"/>
    <w:rsid w:val="00863999"/>
    <w:rsid w:val="00866569"/>
    <w:rsid w:val="008673CE"/>
    <w:rsid w:val="00871A6C"/>
    <w:rsid w:val="00872A6F"/>
    <w:rsid w:val="0087399F"/>
    <w:rsid w:val="00873C59"/>
    <w:rsid w:val="008756FA"/>
    <w:rsid w:val="00875CCB"/>
    <w:rsid w:val="008763BB"/>
    <w:rsid w:val="00877C29"/>
    <w:rsid w:val="00880140"/>
    <w:rsid w:val="00880759"/>
    <w:rsid w:val="00881A88"/>
    <w:rsid w:val="00882AD3"/>
    <w:rsid w:val="008833F3"/>
    <w:rsid w:val="008842B1"/>
    <w:rsid w:val="00891AEE"/>
    <w:rsid w:val="00892479"/>
    <w:rsid w:val="00893382"/>
    <w:rsid w:val="008952AF"/>
    <w:rsid w:val="00897793"/>
    <w:rsid w:val="00897B4B"/>
    <w:rsid w:val="008A1632"/>
    <w:rsid w:val="008A62BF"/>
    <w:rsid w:val="008A6F83"/>
    <w:rsid w:val="008A7D23"/>
    <w:rsid w:val="008B05C3"/>
    <w:rsid w:val="008B08A4"/>
    <w:rsid w:val="008B1156"/>
    <w:rsid w:val="008B4965"/>
    <w:rsid w:val="008B63A3"/>
    <w:rsid w:val="008B640D"/>
    <w:rsid w:val="008B78B1"/>
    <w:rsid w:val="008B7D3D"/>
    <w:rsid w:val="008C0508"/>
    <w:rsid w:val="008C1CCF"/>
    <w:rsid w:val="008C1E9D"/>
    <w:rsid w:val="008C40DD"/>
    <w:rsid w:val="008C4174"/>
    <w:rsid w:val="008D14DA"/>
    <w:rsid w:val="008D19FD"/>
    <w:rsid w:val="008D1ABD"/>
    <w:rsid w:val="008D3A0D"/>
    <w:rsid w:val="008D6FFB"/>
    <w:rsid w:val="008E0BD1"/>
    <w:rsid w:val="008E1443"/>
    <w:rsid w:val="008E25D6"/>
    <w:rsid w:val="008E5EEA"/>
    <w:rsid w:val="008E6377"/>
    <w:rsid w:val="008E7BD4"/>
    <w:rsid w:val="008F0A95"/>
    <w:rsid w:val="008F2111"/>
    <w:rsid w:val="008F39AB"/>
    <w:rsid w:val="008F41E5"/>
    <w:rsid w:val="008F567D"/>
    <w:rsid w:val="008F647B"/>
    <w:rsid w:val="008F6884"/>
    <w:rsid w:val="008F6F1A"/>
    <w:rsid w:val="008F7897"/>
    <w:rsid w:val="0090137A"/>
    <w:rsid w:val="0090215F"/>
    <w:rsid w:val="00903370"/>
    <w:rsid w:val="00904339"/>
    <w:rsid w:val="00907015"/>
    <w:rsid w:val="00910370"/>
    <w:rsid w:val="00911419"/>
    <w:rsid w:val="00911FCA"/>
    <w:rsid w:val="009127E9"/>
    <w:rsid w:val="00912BDA"/>
    <w:rsid w:val="0091349A"/>
    <w:rsid w:val="00914399"/>
    <w:rsid w:val="0091530C"/>
    <w:rsid w:val="009158BF"/>
    <w:rsid w:val="00920532"/>
    <w:rsid w:val="00924C3B"/>
    <w:rsid w:val="00924C7C"/>
    <w:rsid w:val="00924FD0"/>
    <w:rsid w:val="00927FAC"/>
    <w:rsid w:val="00931248"/>
    <w:rsid w:val="00933E08"/>
    <w:rsid w:val="009342FC"/>
    <w:rsid w:val="00936068"/>
    <w:rsid w:val="00940268"/>
    <w:rsid w:val="00943806"/>
    <w:rsid w:val="00946351"/>
    <w:rsid w:val="00947A97"/>
    <w:rsid w:val="0095071F"/>
    <w:rsid w:val="009517CC"/>
    <w:rsid w:val="00951C78"/>
    <w:rsid w:val="009562B8"/>
    <w:rsid w:val="00957D23"/>
    <w:rsid w:val="00961083"/>
    <w:rsid w:val="009615D4"/>
    <w:rsid w:val="0096225A"/>
    <w:rsid w:val="00962905"/>
    <w:rsid w:val="00965EDE"/>
    <w:rsid w:val="00967748"/>
    <w:rsid w:val="00970A20"/>
    <w:rsid w:val="0097163D"/>
    <w:rsid w:val="00971BA1"/>
    <w:rsid w:val="009721F8"/>
    <w:rsid w:val="00972D39"/>
    <w:rsid w:val="00974677"/>
    <w:rsid w:val="00974693"/>
    <w:rsid w:val="0097530A"/>
    <w:rsid w:val="00975F44"/>
    <w:rsid w:val="00976023"/>
    <w:rsid w:val="00976D4F"/>
    <w:rsid w:val="0097773F"/>
    <w:rsid w:val="00980461"/>
    <w:rsid w:val="009864AF"/>
    <w:rsid w:val="009901F4"/>
    <w:rsid w:val="009962A6"/>
    <w:rsid w:val="009969C3"/>
    <w:rsid w:val="009972F9"/>
    <w:rsid w:val="0099751F"/>
    <w:rsid w:val="009A00AD"/>
    <w:rsid w:val="009A2F17"/>
    <w:rsid w:val="009A3027"/>
    <w:rsid w:val="009A35B5"/>
    <w:rsid w:val="009A3C2B"/>
    <w:rsid w:val="009A47CA"/>
    <w:rsid w:val="009B291B"/>
    <w:rsid w:val="009B40E8"/>
    <w:rsid w:val="009B4129"/>
    <w:rsid w:val="009B4609"/>
    <w:rsid w:val="009B71DF"/>
    <w:rsid w:val="009C06E1"/>
    <w:rsid w:val="009C081B"/>
    <w:rsid w:val="009C121E"/>
    <w:rsid w:val="009C4D84"/>
    <w:rsid w:val="009C6075"/>
    <w:rsid w:val="009C6EA9"/>
    <w:rsid w:val="009C6F84"/>
    <w:rsid w:val="009D10C9"/>
    <w:rsid w:val="009D1B5F"/>
    <w:rsid w:val="009D1D09"/>
    <w:rsid w:val="009D24F5"/>
    <w:rsid w:val="009D7EF7"/>
    <w:rsid w:val="009E19A3"/>
    <w:rsid w:val="009E2BF5"/>
    <w:rsid w:val="009E2F94"/>
    <w:rsid w:val="009E4DC0"/>
    <w:rsid w:val="009E59D9"/>
    <w:rsid w:val="009E701F"/>
    <w:rsid w:val="009F179A"/>
    <w:rsid w:val="009F650A"/>
    <w:rsid w:val="00A027CE"/>
    <w:rsid w:val="00A0757A"/>
    <w:rsid w:val="00A07D51"/>
    <w:rsid w:val="00A128B7"/>
    <w:rsid w:val="00A13664"/>
    <w:rsid w:val="00A14F5E"/>
    <w:rsid w:val="00A15CE0"/>
    <w:rsid w:val="00A23313"/>
    <w:rsid w:val="00A25204"/>
    <w:rsid w:val="00A261A7"/>
    <w:rsid w:val="00A264AE"/>
    <w:rsid w:val="00A26797"/>
    <w:rsid w:val="00A26E9A"/>
    <w:rsid w:val="00A27735"/>
    <w:rsid w:val="00A30B45"/>
    <w:rsid w:val="00A30D58"/>
    <w:rsid w:val="00A32EB9"/>
    <w:rsid w:val="00A35BB1"/>
    <w:rsid w:val="00A35EA2"/>
    <w:rsid w:val="00A40313"/>
    <w:rsid w:val="00A416AD"/>
    <w:rsid w:val="00A445AD"/>
    <w:rsid w:val="00A467DC"/>
    <w:rsid w:val="00A471AE"/>
    <w:rsid w:val="00A5013F"/>
    <w:rsid w:val="00A50CD9"/>
    <w:rsid w:val="00A51374"/>
    <w:rsid w:val="00A524B7"/>
    <w:rsid w:val="00A5262D"/>
    <w:rsid w:val="00A5529A"/>
    <w:rsid w:val="00A56175"/>
    <w:rsid w:val="00A5703F"/>
    <w:rsid w:val="00A57766"/>
    <w:rsid w:val="00A603A1"/>
    <w:rsid w:val="00A60FC2"/>
    <w:rsid w:val="00A62F4C"/>
    <w:rsid w:val="00A63B50"/>
    <w:rsid w:val="00A65DCB"/>
    <w:rsid w:val="00A66D18"/>
    <w:rsid w:val="00A71522"/>
    <w:rsid w:val="00A71E67"/>
    <w:rsid w:val="00A72C0A"/>
    <w:rsid w:val="00A74BA7"/>
    <w:rsid w:val="00A75DCB"/>
    <w:rsid w:val="00A7784E"/>
    <w:rsid w:val="00A8183A"/>
    <w:rsid w:val="00A86051"/>
    <w:rsid w:val="00A8625F"/>
    <w:rsid w:val="00A87AB4"/>
    <w:rsid w:val="00A90151"/>
    <w:rsid w:val="00A90256"/>
    <w:rsid w:val="00A907A0"/>
    <w:rsid w:val="00A9359B"/>
    <w:rsid w:val="00A9545C"/>
    <w:rsid w:val="00A95974"/>
    <w:rsid w:val="00A970A6"/>
    <w:rsid w:val="00A973D9"/>
    <w:rsid w:val="00AA163B"/>
    <w:rsid w:val="00AA3569"/>
    <w:rsid w:val="00AA4738"/>
    <w:rsid w:val="00AA5007"/>
    <w:rsid w:val="00AB0199"/>
    <w:rsid w:val="00AB10F4"/>
    <w:rsid w:val="00AB2746"/>
    <w:rsid w:val="00AB2D17"/>
    <w:rsid w:val="00AB34AD"/>
    <w:rsid w:val="00AB3A19"/>
    <w:rsid w:val="00AB46E2"/>
    <w:rsid w:val="00AB4A5A"/>
    <w:rsid w:val="00AB6A54"/>
    <w:rsid w:val="00AC3140"/>
    <w:rsid w:val="00AC3DB1"/>
    <w:rsid w:val="00AC44FA"/>
    <w:rsid w:val="00AC4A08"/>
    <w:rsid w:val="00AC4F7C"/>
    <w:rsid w:val="00AC587D"/>
    <w:rsid w:val="00AC7371"/>
    <w:rsid w:val="00AD1AA2"/>
    <w:rsid w:val="00AD60DE"/>
    <w:rsid w:val="00AD6831"/>
    <w:rsid w:val="00AD6BFC"/>
    <w:rsid w:val="00AD7A30"/>
    <w:rsid w:val="00AE1912"/>
    <w:rsid w:val="00AE344D"/>
    <w:rsid w:val="00AE34F1"/>
    <w:rsid w:val="00AE4A44"/>
    <w:rsid w:val="00AE4C4E"/>
    <w:rsid w:val="00AE7312"/>
    <w:rsid w:val="00AF1526"/>
    <w:rsid w:val="00AF28A2"/>
    <w:rsid w:val="00AF3BD9"/>
    <w:rsid w:val="00AF479F"/>
    <w:rsid w:val="00AF494F"/>
    <w:rsid w:val="00AF6D9A"/>
    <w:rsid w:val="00B0067F"/>
    <w:rsid w:val="00B044BC"/>
    <w:rsid w:val="00B06D8A"/>
    <w:rsid w:val="00B11F80"/>
    <w:rsid w:val="00B1239F"/>
    <w:rsid w:val="00B12F67"/>
    <w:rsid w:val="00B13052"/>
    <w:rsid w:val="00B149EA"/>
    <w:rsid w:val="00B15307"/>
    <w:rsid w:val="00B1636D"/>
    <w:rsid w:val="00B17A5A"/>
    <w:rsid w:val="00B23258"/>
    <w:rsid w:val="00B23603"/>
    <w:rsid w:val="00B302FA"/>
    <w:rsid w:val="00B3125F"/>
    <w:rsid w:val="00B32D6C"/>
    <w:rsid w:val="00B34048"/>
    <w:rsid w:val="00B34712"/>
    <w:rsid w:val="00B36C91"/>
    <w:rsid w:val="00B3749D"/>
    <w:rsid w:val="00B42A98"/>
    <w:rsid w:val="00B42F3A"/>
    <w:rsid w:val="00B443CC"/>
    <w:rsid w:val="00B44ABB"/>
    <w:rsid w:val="00B47DC9"/>
    <w:rsid w:val="00B51A14"/>
    <w:rsid w:val="00B5206F"/>
    <w:rsid w:val="00B525D0"/>
    <w:rsid w:val="00B53AEB"/>
    <w:rsid w:val="00B625EF"/>
    <w:rsid w:val="00B6288D"/>
    <w:rsid w:val="00B65DAA"/>
    <w:rsid w:val="00B66B2F"/>
    <w:rsid w:val="00B704C7"/>
    <w:rsid w:val="00B720EC"/>
    <w:rsid w:val="00B73438"/>
    <w:rsid w:val="00B74053"/>
    <w:rsid w:val="00B7453A"/>
    <w:rsid w:val="00B74F7F"/>
    <w:rsid w:val="00B75B08"/>
    <w:rsid w:val="00B7630C"/>
    <w:rsid w:val="00B7663C"/>
    <w:rsid w:val="00B8009D"/>
    <w:rsid w:val="00B82C3C"/>
    <w:rsid w:val="00B84869"/>
    <w:rsid w:val="00B852F4"/>
    <w:rsid w:val="00B86607"/>
    <w:rsid w:val="00B87859"/>
    <w:rsid w:val="00B909AC"/>
    <w:rsid w:val="00B911DA"/>
    <w:rsid w:val="00B91D47"/>
    <w:rsid w:val="00B94AD4"/>
    <w:rsid w:val="00B953E2"/>
    <w:rsid w:val="00B95F87"/>
    <w:rsid w:val="00B967D0"/>
    <w:rsid w:val="00B96BA7"/>
    <w:rsid w:val="00B96C8C"/>
    <w:rsid w:val="00B97BE8"/>
    <w:rsid w:val="00BA055A"/>
    <w:rsid w:val="00BA212A"/>
    <w:rsid w:val="00BA3CB8"/>
    <w:rsid w:val="00BA64D1"/>
    <w:rsid w:val="00BA7623"/>
    <w:rsid w:val="00BB10BF"/>
    <w:rsid w:val="00BB2E3C"/>
    <w:rsid w:val="00BB408D"/>
    <w:rsid w:val="00BB6F69"/>
    <w:rsid w:val="00BC0DCE"/>
    <w:rsid w:val="00BC127C"/>
    <w:rsid w:val="00BC321A"/>
    <w:rsid w:val="00BC5D89"/>
    <w:rsid w:val="00BC6606"/>
    <w:rsid w:val="00BC7C1B"/>
    <w:rsid w:val="00BD190D"/>
    <w:rsid w:val="00BD32E7"/>
    <w:rsid w:val="00BD4910"/>
    <w:rsid w:val="00BE07E2"/>
    <w:rsid w:val="00BE30F5"/>
    <w:rsid w:val="00BE7438"/>
    <w:rsid w:val="00BF0EF2"/>
    <w:rsid w:val="00BF11A0"/>
    <w:rsid w:val="00BF1631"/>
    <w:rsid w:val="00BF30BF"/>
    <w:rsid w:val="00BF50EC"/>
    <w:rsid w:val="00BF5A5E"/>
    <w:rsid w:val="00BF6636"/>
    <w:rsid w:val="00BF68C8"/>
    <w:rsid w:val="00C016A3"/>
    <w:rsid w:val="00C01E68"/>
    <w:rsid w:val="00C030C2"/>
    <w:rsid w:val="00C071A3"/>
    <w:rsid w:val="00C07D8B"/>
    <w:rsid w:val="00C10814"/>
    <w:rsid w:val="00C11924"/>
    <w:rsid w:val="00C14016"/>
    <w:rsid w:val="00C16EA7"/>
    <w:rsid w:val="00C172CF"/>
    <w:rsid w:val="00C17415"/>
    <w:rsid w:val="00C17B40"/>
    <w:rsid w:val="00C20763"/>
    <w:rsid w:val="00C221A0"/>
    <w:rsid w:val="00C238D1"/>
    <w:rsid w:val="00C25C46"/>
    <w:rsid w:val="00C275B5"/>
    <w:rsid w:val="00C31E23"/>
    <w:rsid w:val="00C326F9"/>
    <w:rsid w:val="00C33581"/>
    <w:rsid w:val="00C3656B"/>
    <w:rsid w:val="00C36FFC"/>
    <w:rsid w:val="00C37543"/>
    <w:rsid w:val="00C37A29"/>
    <w:rsid w:val="00C54A79"/>
    <w:rsid w:val="00C5518A"/>
    <w:rsid w:val="00C556F0"/>
    <w:rsid w:val="00C57E2B"/>
    <w:rsid w:val="00C60170"/>
    <w:rsid w:val="00C63842"/>
    <w:rsid w:val="00C6389A"/>
    <w:rsid w:val="00C67C0B"/>
    <w:rsid w:val="00C7019E"/>
    <w:rsid w:val="00C7024B"/>
    <w:rsid w:val="00C70D80"/>
    <w:rsid w:val="00C70EFC"/>
    <w:rsid w:val="00C71688"/>
    <w:rsid w:val="00C71BE7"/>
    <w:rsid w:val="00C74428"/>
    <w:rsid w:val="00C75C56"/>
    <w:rsid w:val="00C75E36"/>
    <w:rsid w:val="00C77256"/>
    <w:rsid w:val="00C81B57"/>
    <w:rsid w:val="00C835B6"/>
    <w:rsid w:val="00C85FD3"/>
    <w:rsid w:val="00C860AB"/>
    <w:rsid w:val="00C86ECC"/>
    <w:rsid w:val="00C908CF"/>
    <w:rsid w:val="00C932F3"/>
    <w:rsid w:val="00C93AC3"/>
    <w:rsid w:val="00C9410F"/>
    <w:rsid w:val="00C951C8"/>
    <w:rsid w:val="00CA0B3F"/>
    <w:rsid w:val="00CA1689"/>
    <w:rsid w:val="00CA3D4B"/>
    <w:rsid w:val="00CA6A44"/>
    <w:rsid w:val="00CA6AC6"/>
    <w:rsid w:val="00CB315A"/>
    <w:rsid w:val="00CB3766"/>
    <w:rsid w:val="00CB3987"/>
    <w:rsid w:val="00CB404F"/>
    <w:rsid w:val="00CB5F91"/>
    <w:rsid w:val="00CC1963"/>
    <w:rsid w:val="00CC3DE4"/>
    <w:rsid w:val="00CC4534"/>
    <w:rsid w:val="00CC459B"/>
    <w:rsid w:val="00CC580F"/>
    <w:rsid w:val="00CC5F5B"/>
    <w:rsid w:val="00CD0ECA"/>
    <w:rsid w:val="00CD121C"/>
    <w:rsid w:val="00CD4103"/>
    <w:rsid w:val="00CD4AED"/>
    <w:rsid w:val="00CD61EB"/>
    <w:rsid w:val="00CD7F44"/>
    <w:rsid w:val="00CE2EB6"/>
    <w:rsid w:val="00CE35E3"/>
    <w:rsid w:val="00CE3C27"/>
    <w:rsid w:val="00CE43AF"/>
    <w:rsid w:val="00CE4D3A"/>
    <w:rsid w:val="00CE4DE4"/>
    <w:rsid w:val="00CE64FD"/>
    <w:rsid w:val="00CE7236"/>
    <w:rsid w:val="00CE73C8"/>
    <w:rsid w:val="00CE74EA"/>
    <w:rsid w:val="00CF02F0"/>
    <w:rsid w:val="00CF2292"/>
    <w:rsid w:val="00CF3389"/>
    <w:rsid w:val="00CF37B4"/>
    <w:rsid w:val="00CF3B97"/>
    <w:rsid w:val="00CF3CFD"/>
    <w:rsid w:val="00CF4694"/>
    <w:rsid w:val="00CF4BC6"/>
    <w:rsid w:val="00CF562F"/>
    <w:rsid w:val="00CF5F3C"/>
    <w:rsid w:val="00CF6782"/>
    <w:rsid w:val="00CF7F06"/>
    <w:rsid w:val="00D00CD5"/>
    <w:rsid w:val="00D01615"/>
    <w:rsid w:val="00D020D1"/>
    <w:rsid w:val="00D02433"/>
    <w:rsid w:val="00D02AB9"/>
    <w:rsid w:val="00D0352E"/>
    <w:rsid w:val="00D03D35"/>
    <w:rsid w:val="00D04A24"/>
    <w:rsid w:val="00D05209"/>
    <w:rsid w:val="00D10F14"/>
    <w:rsid w:val="00D10FC7"/>
    <w:rsid w:val="00D14799"/>
    <w:rsid w:val="00D14CF2"/>
    <w:rsid w:val="00D15113"/>
    <w:rsid w:val="00D15B7C"/>
    <w:rsid w:val="00D15B7D"/>
    <w:rsid w:val="00D16F74"/>
    <w:rsid w:val="00D172D4"/>
    <w:rsid w:val="00D179FA"/>
    <w:rsid w:val="00D20667"/>
    <w:rsid w:val="00D20F71"/>
    <w:rsid w:val="00D20F8E"/>
    <w:rsid w:val="00D240EE"/>
    <w:rsid w:val="00D273BA"/>
    <w:rsid w:val="00D30791"/>
    <w:rsid w:val="00D317D4"/>
    <w:rsid w:val="00D31E3E"/>
    <w:rsid w:val="00D3308F"/>
    <w:rsid w:val="00D330CA"/>
    <w:rsid w:val="00D3315F"/>
    <w:rsid w:val="00D3316D"/>
    <w:rsid w:val="00D360C4"/>
    <w:rsid w:val="00D37882"/>
    <w:rsid w:val="00D40879"/>
    <w:rsid w:val="00D413C0"/>
    <w:rsid w:val="00D43FDF"/>
    <w:rsid w:val="00D46FD9"/>
    <w:rsid w:val="00D47492"/>
    <w:rsid w:val="00D474A4"/>
    <w:rsid w:val="00D53D99"/>
    <w:rsid w:val="00D54217"/>
    <w:rsid w:val="00D5476A"/>
    <w:rsid w:val="00D562BA"/>
    <w:rsid w:val="00D56DF3"/>
    <w:rsid w:val="00D60649"/>
    <w:rsid w:val="00D60DEE"/>
    <w:rsid w:val="00D61E88"/>
    <w:rsid w:val="00D62869"/>
    <w:rsid w:val="00D6485D"/>
    <w:rsid w:val="00D66A28"/>
    <w:rsid w:val="00D73382"/>
    <w:rsid w:val="00D7453A"/>
    <w:rsid w:val="00D76287"/>
    <w:rsid w:val="00D765AA"/>
    <w:rsid w:val="00D77208"/>
    <w:rsid w:val="00D83336"/>
    <w:rsid w:val="00D83923"/>
    <w:rsid w:val="00D83BB7"/>
    <w:rsid w:val="00D8477B"/>
    <w:rsid w:val="00D87DE5"/>
    <w:rsid w:val="00D90EE9"/>
    <w:rsid w:val="00D910BC"/>
    <w:rsid w:val="00D9254B"/>
    <w:rsid w:val="00D93616"/>
    <w:rsid w:val="00D93EBD"/>
    <w:rsid w:val="00D9419D"/>
    <w:rsid w:val="00D96F65"/>
    <w:rsid w:val="00D97694"/>
    <w:rsid w:val="00DA136C"/>
    <w:rsid w:val="00DA3017"/>
    <w:rsid w:val="00DA5484"/>
    <w:rsid w:val="00DA5B9C"/>
    <w:rsid w:val="00DB0DF8"/>
    <w:rsid w:val="00DB681B"/>
    <w:rsid w:val="00DB7ACD"/>
    <w:rsid w:val="00DB7B8E"/>
    <w:rsid w:val="00DB7D2F"/>
    <w:rsid w:val="00DB7E8D"/>
    <w:rsid w:val="00DC0197"/>
    <w:rsid w:val="00DC0737"/>
    <w:rsid w:val="00DC0A4B"/>
    <w:rsid w:val="00DC1012"/>
    <w:rsid w:val="00DC18D8"/>
    <w:rsid w:val="00DC1B37"/>
    <w:rsid w:val="00DC26C1"/>
    <w:rsid w:val="00DC5DFF"/>
    <w:rsid w:val="00DC74CB"/>
    <w:rsid w:val="00DD134A"/>
    <w:rsid w:val="00DD5941"/>
    <w:rsid w:val="00DD6473"/>
    <w:rsid w:val="00DD6B3F"/>
    <w:rsid w:val="00DD7F66"/>
    <w:rsid w:val="00DE01D3"/>
    <w:rsid w:val="00DE1233"/>
    <w:rsid w:val="00DE19AE"/>
    <w:rsid w:val="00DE66EC"/>
    <w:rsid w:val="00DF053B"/>
    <w:rsid w:val="00DF13CE"/>
    <w:rsid w:val="00DF3F11"/>
    <w:rsid w:val="00DF4E3E"/>
    <w:rsid w:val="00DF5483"/>
    <w:rsid w:val="00DF57D9"/>
    <w:rsid w:val="00DF60B9"/>
    <w:rsid w:val="00DF63B7"/>
    <w:rsid w:val="00E00D91"/>
    <w:rsid w:val="00E010CD"/>
    <w:rsid w:val="00E02D79"/>
    <w:rsid w:val="00E03DE6"/>
    <w:rsid w:val="00E0453D"/>
    <w:rsid w:val="00E05538"/>
    <w:rsid w:val="00E05F84"/>
    <w:rsid w:val="00E05FA6"/>
    <w:rsid w:val="00E15A2F"/>
    <w:rsid w:val="00E2063A"/>
    <w:rsid w:val="00E2068D"/>
    <w:rsid w:val="00E22EA2"/>
    <w:rsid w:val="00E2400F"/>
    <w:rsid w:val="00E24125"/>
    <w:rsid w:val="00E24578"/>
    <w:rsid w:val="00E24899"/>
    <w:rsid w:val="00E25474"/>
    <w:rsid w:val="00E26A74"/>
    <w:rsid w:val="00E27B11"/>
    <w:rsid w:val="00E30ED0"/>
    <w:rsid w:val="00E30FE6"/>
    <w:rsid w:val="00E31AC7"/>
    <w:rsid w:val="00E32EE5"/>
    <w:rsid w:val="00E32F93"/>
    <w:rsid w:val="00E33B87"/>
    <w:rsid w:val="00E370B9"/>
    <w:rsid w:val="00E375D0"/>
    <w:rsid w:val="00E37858"/>
    <w:rsid w:val="00E379F7"/>
    <w:rsid w:val="00E40FB5"/>
    <w:rsid w:val="00E43FDD"/>
    <w:rsid w:val="00E467F5"/>
    <w:rsid w:val="00E47081"/>
    <w:rsid w:val="00E47107"/>
    <w:rsid w:val="00E54ACD"/>
    <w:rsid w:val="00E54B2B"/>
    <w:rsid w:val="00E553F2"/>
    <w:rsid w:val="00E55756"/>
    <w:rsid w:val="00E56CAF"/>
    <w:rsid w:val="00E60A5B"/>
    <w:rsid w:val="00E612D5"/>
    <w:rsid w:val="00E61632"/>
    <w:rsid w:val="00E6295B"/>
    <w:rsid w:val="00E635E2"/>
    <w:rsid w:val="00E63CFA"/>
    <w:rsid w:val="00E646DD"/>
    <w:rsid w:val="00E66152"/>
    <w:rsid w:val="00E70DD7"/>
    <w:rsid w:val="00E72EE0"/>
    <w:rsid w:val="00E741FB"/>
    <w:rsid w:val="00E742E2"/>
    <w:rsid w:val="00E74523"/>
    <w:rsid w:val="00E770A4"/>
    <w:rsid w:val="00E81134"/>
    <w:rsid w:val="00E81A56"/>
    <w:rsid w:val="00E82909"/>
    <w:rsid w:val="00E86813"/>
    <w:rsid w:val="00E87271"/>
    <w:rsid w:val="00E87769"/>
    <w:rsid w:val="00E91A7E"/>
    <w:rsid w:val="00E91FED"/>
    <w:rsid w:val="00E92FAF"/>
    <w:rsid w:val="00E936CC"/>
    <w:rsid w:val="00E9560D"/>
    <w:rsid w:val="00E965D2"/>
    <w:rsid w:val="00EA1468"/>
    <w:rsid w:val="00EA1943"/>
    <w:rsid w:val="00EA44A3"/>
    <w:rsid w:val="00EA4E1A"/>
    <w:rsid w:val="00EA53C7"/>
    <w:rsid w:val="00EA6908"/>
    <w:rsid w:val="00EA7947"/>
    <w:rsid w:val="00EB017B"/>
    <w:rsid w:val="00EB2DC2"/>
    <w:rsid w:val="00EB3683"/>
    <w:rsid w:val="00EB3F9D"/>
    <w:rsid w:val="00EB470C"/>
    <w:rsid w:val="00EB4711"/>
    <w:rsid w:val="00EB521B"/>
    <w:rsid w:val="00EB5DC6"/>
    <w:rsid w:val="00EC2D20"/>
    <w:rsid w:val="00EC4A4D"/>
    <w:rsid w:val="00EC4C55"/>
    <w:rsid w:val="00EC5475"/>
    <w:rsid w:val="00EC663C"/>
    <w:rsid w:val="00ED16FB"/>
    <w:rsid w:val="00ED2856"/>
    <w:rsid w:val="00ED4105"/>
    <w:rsid w:val="00ED4983"/>
    <w:rsid w:val="00EE261F"/>
    <w:rsid w:val="00EE540E"/>
    <w:rsid w:val="00EE56AE"/>
    <w:rsid w:val="00EE6F14"/>
    <w:rsid w:val="00EF1223"/>
    <w:rsid w:val="00EF1646"/>
    <w:rsid w:val="00EF3F23"/>
    <w:rsid w:val="00EF56A2"/>
    <w:rsid w:val="00F03BF5"/>
    <w:rsid w:val="00F03D64"/>
    <w:rsid w:val="00F04EA7"/>
    <w:rsid w:val="00F051E8"/>
    <w:rsid w:val="00F113B9"/>
    <w:rsid w:val="00F1143A"/>
    <w:rsid w:val="00F159EC"/>
    <w:rsid w:val="00F162D4"/>
    <w:rsid w:val="00F16841"/>
    <w:rsid w:val="00F2058B"/>
    <w:rsid w:val="00F21846"/>
    <w:rsid w:val="00F22C69"/>
    <w:rsid w:val="00F2410D"/>
    <w:rsid w:val="00F25AE6"/>
    <w:rsid w:val="00F30953"/>
    <w:rsid w:val="00F3209B"/>
    <w:rsid w:val="00F3214C"/>
    <w:rsid w:val="00F33605"/>
    <w:rsid w:val="00F3387C"/>
    <w:rsid w:val="00F338EA"/>
    <w:rsid w:val="00F33D92"/>
    <w:rsid w:val="00F33F8D"/>
    <w:rsid w:val="00F34810"/>
    <w:rsid w:val="00F35963"/>
    <w:rsid w:val="00F37CB6"/>
    <w:rsid w:val="00F37F65"/>
    <w:rsid w:val="00F4010B"/>
    <w:rsid w:val="00F41B70"/>
    <w:rsid w:val="00F42236"/>
    <w:rsid w:val="00F446E3"/>
    <w:rsid w:val="00F46E42"/>
    <w:rsid w:val="00F4702C"/>
    <w:rsid w:val="00F4781B"/>
    <w:rsid w:val="00F503DE"/>
    <w:rsid w:val="00F50542"/>
    <w:rsid w:val="00F50544"/>
    <w:rsid w:val="00F505B8"/>
    <w:rsid w:val="00F506D0"/>
    <w:rsid w:val="00F53EFE"/>
    <w:rsid w:val="00F542EE"/>
    <w:rsid w:val="00F54E22"/>
    <w:rsid w:val="00F57C7F"/>
    <w:rsid w:val="00F60BA2"/>
    <w:rsid w:val="00F614F2"/>
    <w:rsid w:val="00F6232A"/>
    <w:rsid w:val="00F6266E"/>
    <w:rsid w:val="00F634F6"/>
    <w:rsid w:val="00F660E8"/>
    <w:rsid w:val="00F66709"/>
    <w:rsid w:val="00F704B0"/>
    <w:rsid w:val="00F73EEE"/>
    <w:rsid w:val="00F74F03"/>
    <w:rsid w:val="00F75AB8"/>
    <w:rsid w:val="00F77561"/>
    <w:rsid w:val="00F77B4D"/>
    <w:rsid w:val="00F80A30"/>
    <w:rsid w:val="00F826F6"/>
    <w:rsid w:val="00F82FC0"/>
    <w:rsid w:val="00F841D4"/>
    <w:rsid w:val="00F85586"/>
    <w:rsid w:val="00F85D16"/>
    <w:rsid w:val="00F87B07"/>
    <w:rsid w:val="00F925CF"/>
    <w:rsid w:val="00F938A4"/>
    <w:rsid w:val="00F93C54"/>
    <w:rsid w:val="00F94880"/>
    <w:rsid w:val="00F948D3"/>
    <w:rsid w:val="00F9591C"/>
    <w:rsid w:val="00FA33D2"/>
    <w:rsid w:val="00FA5CAD"/>
    <w:rsid w:val="00FA74D8"/>
    <w:rsid w:val="00FB016C"/>
    <w:rsid w:val="00FB2444"/>
    <w:rsid w:val="00FB4E93"/>
    <w:rsid w:val="00FB5573"/>
    <w:rsid w:val="00FB6D8F"/>
    <w:rsid w:val="00FC1381"/>
    <w:rsid w:val="00FC2B63"/>
    <w:rsid w:val="00FC2D8B"/>
    <w:rsid w:val="00FC3F01"/>
    <w:rsid w:val="00FC6220"/>
    <w:rsid w:val="00FC6A2C"/>
    <w:rsid w:val="00FD1E10"/>
    <w:rsid w:val="00FD3306"/>
    <w:rsid w:val="00FD36B1"/>
    <w:rsid w:val="00FD5D1E"/>
    <w:rsid w:val="00FD6315"/>
    <w:rsid w:val="00FE040F"/>
    <w:rsid w:val="00FE0D71"/>
    <w:rsid w:val="00FE38A3"/>
    <w:rsid w:val="00FE3DFE"/>
    <w:rsid w:val="00FE44FD"/>
    <w:rsid w:val="00FE59FD"/>
    <w:rsid w:val="00FE70B1"/>
    <w:rsid w:val="00FE75E3"/>
    <w:rsid w:val="00FE7F98"/>
    <w:rsid w:val="00FF2B0F"/>
    <w:rsid w:val="00FF2E7F"/>
    <w:rsid w:val="00FF306D"/>
    <w:rsid w:val="00FF567B"/>
    <w:rsid w:val="00FF5B12"/>
    <w:rsid w:val="0146E13A"/>
    <w:rsid w:val="027D2DE0"/>
    <w:rsid w:val="0451E921"/>
    <w:rsid w:val="04B49AF9"/>
    <w:rsid w:val="0507A591"/>
    <w:rsid w:val="0524FBD3"/>
    <w:rsid w:val="0A48BF08"/>
    <w:rsid w:val="0BE3E272"/>
    <w:rsid w:val="0BE48F69"/>
    <w:rsid w:val="14EFED5B"/>
    <w:rsid w:val="191A8AC3"/>
    <w:rsid w:val="19E2C22E"/>
    <w:rsid w:val="1CF359BB"/>
    <w:rsid w:val="284355C2"/>
    <w:rsid w:val="2CFF97C1"/>
    <w:rsid w:val="34F4A972"/>
    <w:rsid w:val="38B5D270"/>
    <w:rsid w:val="3C7AF77D"/>
    <w:rsid w:val="5BE2A5AA"/>
    <w:rsid w:val="5E903A56"/>
    <w:rsid w:val="60F7FADC"/>
    <w:rsid w:val="61DED866"/>
    <w:rsid w:val="64B8136D"/>
    <w:rsid w:val="66FAC24C"/>
    <w:rsid w:val="6E953620"/>
    <w:rsid w:val="7151080E"/>
    <w:rsid w:val="7F985F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727DD4A"/>
  <w15:chartTrackingRefBased/>
  <w15:docId w15:val="{D0FF6A60-5BE0-41BD-9241-F5CC5A0C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left="1418" w:right="567" w:hanging="851"/>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D10F14"/>
    <w:pPr>
      <w:keepNext/>
      <w:keepLines/>
      <w:spacing w:before="480" w:line="340" w:lineRule="atLeast"/>
      <w:ind w:left="851" w:hanging="851"/>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rsid w:val="00F3209B"/>
    <w:rPr>
      <w:rFonts w:asciiTheme="majorHAnsi" w:eastAsiaTheme="majorEastAsia" w:hAnsiTheme="majorHAnsi" w:cstheme="majorBidi"/>
      <w:sz w:val="30"/>
      <w:szCs w:val="60"/>
    </w:rPr>
  </w:style>
  <w:style w:type="paragraph" w:styleId="ListParagraph">
    <w:name w:val="List Paragraph"/>
    <w:basedOn w:val="Normal"/>
    <w:uiPriority w:val="34"/>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ind w:left="681"/>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F6884"/>
    <w:pPr>
      <w:numPr>
        <w:numId w:val="4"/>
      </w:numPr>
    </w:pPr>
  </w:style>
  <w:style w:type="paragraph" w:styleId="Title">
    <w:name w:val="Title"/>
    <w:basedOn w:val="Heading1"/>
    <w:next w:val="Normal"/>
    <w:link w:val="TitleChar"/>
    <w:uiPriority w:val="39"/>
    <w:rsid w:val="0091530C"/>
    <w:pPr>
      <w:pBdr>
        <w:top w:val="none" w:sz="0" w:space="0" w:color="auto"/>
        <w:left w:val="none" w:sz="0" w:space="0" w:color="auto"/>
        <w:bottom w:val="none" w:sz="0" w:space="0" w:color="auto"/>
        <w:right w:val="none" w:sz="0" w:space="0" w:color="auto"/>
      </w:pBdr>
      <w:shd w:val="clear" w:color="auto" w:fill="auto"/>
      <w:spacing w:before="560" w:line="204" w:lineRule="auto"/>
      <w:ind w:left="0" w:right="2268" w:firstLine="0"/>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qFormat/>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531B58"/>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531B58"/>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ind w:left="567" w:firstLine="0"/>
    </w:pPr>
  </w:style>
  <w:style w:type="paragraph" w:customStyle="1" w:styleId="ListAlpha1">
    <w:name w:val="List Alpha 1"/>
    <w:basedOn w:val="Normal"/>
    <w:uiPriority w:val="13"/>
    <w:qFormat/>
    <w:rsid w:val="00A50CD9"/>
    <w:pPr>
      <w:spacing w:before="60"/>
      <w:ind w:left="227" w:hanging="227"/>
      <w:contextualSpacing/>
    </w:pPr>
  </w:style>
  <w:style w:type="paragraph" w:customStyle="1" w:styleId="ListAlpha2">
    <w:name w:val="List Alpha 2"/>
    <w:basedOn w:val="ListAlpha1"/>
    <w:uiPriority w:val="13"/>
    <w:qFormat/>
    <w:rsid w:val="0005774F"/>
    <w:pPr>
      <w:ind w:left="454"/>
    </w:pPr>
  </w:style>
  <w:style w:type="paragraph" w:customStyle="1" w:styleId="ListAlpha3">
    <w:name w:val="List Alpha 3"/>
    <w:basedOn w:val="ListAlpha2"/>
    <w:uiPriority w:val="13"/>
    <w:qFormat/>
    <w:rsid w:val="00E70DD7"/>
  </w:style>
  <w:style w:type="paragraph" w:customStyle="1" w:styleId="ListAlpha4">
    <w:name w:val="List Alpha 4"/>
    <w:basedOn w:val="ListAlpha3"/>
    <w:uiPriority w:val="13"/>
    <w:qFormat/>
    <w:rsid w:val="0005774F"/>
    <w:pPr>
      <w:ind w:left="680" w:hanging="226"/>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pBdr>
        <w:top w:val="none" w:sz="0" w:space="0" w:color="auto"/>
        <w:left w:val="none" w:sz="0" w:space="0" w:color="auto"/>
        <w:bottom w:val="none" w:sz="0" w:space="0" w:color="auto"/>
        <w:right w:val="none" w:sz="0" w:space="0" w:color="auto"/>
      </w:pBdr>
      <w:shd w:val="clear" w:color="auto" w:fill="auto"/>
      <w:spacing w:before="600"/>
      <w:ind w:left="0" w:right="0" w:firstLine="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ind w:left="0" w:firstLine="0"/>
    </w:pPr>
  </w:style>
  <w:style w:type="paragraph" w:customStyle="1" w:styleId="Heading-Appendix">
    <w:name w:val="Heading-Appendix"/>
    <w:basedOn w:val="Heading1-nonumber"/>
    <w:next w:val="BodyText"/>
    <w:uiPriority w:val="9"/>
    <w:qFormat/>
    <w:rsid w:val="00484E96"/>
    <w:pPr>
      <w:numPr>
        <w:numId w:val="22"/>
      </w:numPr>
      <w:tabs>
        <w:tab w:val="num" w:pos="360"/>
      </w:tabs>
      <w:ind w:left="567" w:firstLine="0"/>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22"/>
      </w:numPr>
      <w:tabs>
        <w:tab w:val="num" w:pos="360"/>
      </w:tabs>
      <w:ind w:left="0" w:firstLine="0"/>
    </w:pPr>
  </w:style>
  <w:style w:type="numbering" w:customStyle="1" w:styleId="AppendixHeadingList">
    <w:name w:val="Appendix Heading List"/>
    <w:uiPriority w:val="99"/>
    <w:rsid w:val="005C5A1C"/>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29"/>
      </w:numPr>
      <w:spacing w:after="140" w:line="240" w:lineRule="auto"/>
      <w:jc w:val="both"/>
    </w:pPr>
    <w:rPr>
      <w:rFonts w:ascii="Arial" w:eastAsia="Times New Roman" w:hAnsi="Arial" w:cs="Times New Roman"/>
      <w:sz w:val="24"/>
      <w:szCs w:val="20"/>
    </w:rPr>
  </w:style>
  <w:style w:type="paragraph" w:customStyle="1" w:styleId="BoxSpaceAbove">
    <w:name w:val="Box Space Above"/>
    <w:basedOn w:val="BodyText"/>
    <w:rsid w:val="00D14CF2"/>
    <w:pPr>
      <w:keepNext/>
      <w:spacing w:before="360" w:after="0" w:line="80" w:lineRule="exact"/>
    </w:pPr>
    <w:rPr>
      <w:rFonts w:ascii="Times New Roman" w:eastAsia="Times New Roman" w:hAnsi="Times New Roman" w:cs="Times New Roman"/>
      <w:sz w:val="24"/>
      <w:lang w:eastAsia="en-AU"/>
    </w:rPr>
  </w:style>
  <w:style w:type="paragraph" w:customStyle="1" w:styleId="Continued">
    <w:name w:val="Continued"/>
    <w:basedOn w:val="Normal"/>
    <w:next w:val="BodyText"/>
    <w:rsid w:val="00D14CF2"/>
    <w:pPr>
      <w:spacing w:before="180" w:after="0" w:line="220" w:lineRule="exact"/>
      <w:jc w:val="right"/>
    </w:pPr>
    <w:rPr>
      <w:rFonts w:ascii="Arial" w:eastAsia="Times New Roman" w:hAnsi="Arial" w:cs="Times New Roman"/>
      <w:sz w:val="18"/>
      <w:lang w:eastAsia="en-AU"/>
    </w:rPr>
  </w:style>
  <w:style w:type="character" w:customStyle="1" w:styleId="NoteLabel">
    <w:name w:val="Note Label"/>
    <w:basedOn w:val="DefaultParagraphFont"/>
    <w:rsid w:val="00D14CF2"/>
    <w:rPr>
      <w:rFonts w:ascii="Arial" w:hAnsi="Arial"/>
      <w:b/>
      <w:position w:val="6"/>
      <w:sz w:val="18"/>
    </w:rPr>
  </w:style>
  <w:style w:type="paragraph" w:customStyle="1" w:styleId="TableBullet">
    <w:name w:val="Table Bullet"/>
    <w:basedOn w:val="Normal"/>
    <w:rsid w:val="00D14CF2"/>
    <w:pPr>
      <w:keepNext/>
      <w:keepLines/>
      <w:numPr>
        <w:numId w:val="33"/>
      </w:numPr>
      <w:spacing w:before="0" w:after="40" w:line="200" w:lineRule="atLeast"/>
      <w:ind w:right="113"/>
    </w:pPr>
    <w:rPr>
      <w:rFonts w:ascii="Arial" w:eastAsia="Times New Roman" w:hAnsi="Arial" w:cs="Times New Roman"/>
      <w:sz w:val="18"/>
      <w:lang w:eastAsia="en-AU"/>
    </w:rPr>
  </w:style>
  <w:style w:type="paragraph" w:customStyle="1" w:styleId="TableTitle">
    <w:name w:val="Table Title"/>
    <w:basedOn w:val="Caption"/>
    <w:next w:val="Subtitle"/>
    <w:qFormat/>
    <w:rsid w:val="00D14CF2"/>
    <w:pPr>
      <w:keepNext/>
      <w:keepLines/>
      <w:spacing w:before="120" w:after="80" w:line="280" w:lineRule="exact"/>
      <w:ind w:left="1474" w:hanging="1474"/>
    </w:pPr>
    <w:rPr>
      <w:rFonts w:ascii="Arial" w:eastAsia="Times New Roman" w:hAnsi="Arial" w:cs="Times New Roman"/>
      <w:b/>
      <w:iCs w:val="0"/>
      <w:color w:val="auto"/>
      <w:sz w:val="24"/>
      <w:szCs w:val="24"/>
      <w:lang w:eastAsia="en-AU"/>
    </w:rPr>
  </w:style>
  <w:style w:type="paragraph" w:customStyle="1" w:styleId="BoxQuoteBullet">
    <w:name w:val="Box Quote Bullet"/>
    <w:basedOn w:val="Normal"/>
    <w:next w:val="Normal"/>
    <w:rsid w:val="00D14CF2"/>
    <w:pPr>
      <w:keepNext/>
      <w:numPr>
        <w:numId w:val="34"/>
      </w:numPr>
      <w:spacing w:before="60" w:after="0" w:line="240" w:lineRule="exact"/>
      <w:ind w:left="568" w:hanging="284"/>
      <w:jc w:val="both"/>
    </w:pPr>
    <w:rPr>
      <w:rFonts w:ascii="Arial" w:eastAsia="Times New Roman" w:hAnsi="Arial" w:cs="Times New Roman"/>
      <w:sz w:val="18"/>
      <w:lang w:eastAsia="en-AU"/>
    </w:rPr>
  </w:style>
  <w:style w:type="character" w:customStyle="1" w:styleId="Continuedintitle">
    <w:name w:val="Continued (in title)"/>
    <w:basedOn w:val="DefaultParagraphFont"/>
    <w:rsid w:val="00D14CF2"/>
    <w:rPr>
      <w:rFonts w:ascii="Arial" w:hAnsi="Arial"/>
      <w:b/>
      <w:sz w:val="18"/>
    </w:rPr>
  </w:style>
  <w:style w:type="character" w:styleId="Mention">
    <w:name w:val="Mention"/>
    <w:basedOn w:val="DefaultParagraphFont"/>
    <w:uiPriority w:val="99"/>
    <w:unhideWhenUsed/>
    <w:rsid w:val="00DB0DF8"/>
    <w:rPr>
      <w:color w:val="2B579A"/>
      <w:shd w:val="clear" w:color="auto" w:fill="E1DFDD"/>
    </w:rPr>
  </w:style>
  <w:style w:type="character" w:styleId="FollowedHyperlink">
    <w:name w:val="FollowedHyperlink"/>
    <w:basedOn w:val="DefaultParagraphFont"/>
    <w:uiPriority w:val="99"/>
    <w:semiHidden/>
    <w:unhideWhenUsed/>
    <w:rsid w:val="00417C8B"/>
    <w:rPr>
      <w:color w:val="BFBFBF" w:themeColor="followedHyperlink"/>
      <w:u w:val="single"/>
    </w:rPr>
  </w:style>
  <w:style w:type="table" w:customStyle="1" w:styleId="TableGrid1">
    <w:name w:val="Table Grid1"/>
    <w:basedOn w:val="TableNormal"/>
    <w:next w:val="TableGrid"/>
    <w:rsid w:val="00234F8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pyrightPage1">
    <w:name w:val="Copyright Page1"/>
    <w:basedOn w:val="TableNormal"/>
    <w:uiPriority w:val="99"/>
    <w:rsid w:val="00234F8D"/>
    <w:pPr>
      <w:spacing w:after="0" w:line="240" w:lineRule="auto"/>
    </w:pPr>
    <w:rPr>
      <w:rFonts w:ascii="Arial" w:eastAsia="Arial" w:hAnsi="Arial" w:cs="Times New Roman"/>
      <w:color w:val="FFFFFF" w:themeColor="background1"/>
    </w:rPr>
    <w:tblPr>
      <w:tblInd w:w="0" w:type="nil"/>
      <w:tblCellMar>
        <w:top w:w="284" w:type="dxa"/>
        <w:left w:w="284" w:type="dxa"/>
        <w:bottom w:w="284" w:type="dxa"/>
        <w:right w:w="3119" w:type="dxa"/>
      </w:tblCellMar>
    </w:tblPr>
    <w:tcPr>
      <w:shd w:val="clear" w:color="auto" w:fill="265A9A" w:themeFill="background2"/>
      <w:vAlign w:val="bottom"/>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926">
      <w:bodyDiv w:val="1"/>
      <w:marLeft w:val="0"/>
      <w:marRight w:val="0"/>
      <w:marTop w:val="0"/>
      <w:marBottom w:val="0"/>
      <w:divBdr>
        <w:top w:val="none" w:sz="0" w:space="0" w:color="auto"/>
        <w:left w:val="none" w:sz="0" w:space="0" w:color="auto"/>
        <w:bottom w:val="none" w:sz="0" w:space="0" w:color="auto"/>
        <w:right w:val="none" w:sz="0" w:space="0" w:color="auto"/>
      </w:divBdr>
    </w:div>
    <w:div w:id="582959321">
      <w:bodyDiv w:val="1"/>
      <w:marLeft w:val="0"/>
      <w:marRight w:val="0"/>
      <w:marTop w:val="0"/>
      <w:marBottom w:val="0"/>
      <w:divBdr>
        <w:top w:val="none" w:sz="0" w:space="0" w:color="auto"/>
        <w:left w:val="none" w:sz="0" w:space="0" w:color="auto"/>
        <w:bottom w:val="none" w:sz="0" w:space="0" w:color="auto"/>
        <w:right w:val="none" w:sz="0" w:space="0" w:color="auto"/>
      </w:divBdr>
    </w:div>
    <w:div w:id="616527057">
      <w:bodyDiv w:val="1"/>
      <w:marLeft w:val="0"/>
      <w:marRight w:val="0"/>
      <w:marTop w:val="0"/>
      <w:marBottom w:val="0"/>
      <w:divBdr>
        <w:top w:val="none" w:sz="0" w:space="0" w:color="auto"/>
        <w:left w:val="none" w:sz="0" w:space="0" w:color="auto"/>
        <w:bottom w:val="none" w:sz="0" w:space="0" w:color="auto"/>
        <w:right w:val="none" w:sz="0" w:space="0" w:color="auto"/>
      </w:divBdr>
    </w:div>
    <w:div w:id="793015361">
      <w:bodyDiv w:val="1"/>
      <w:marLeft w:val="0"/>
      <w:marRight w:val="0"/>
      <w:marTop w:val="0"/>
      <w:marBottom w:val="0"/>
      <w:divBdr>
        <w:top w:val="none" w:sz="0" w:space="0" w:color="auto"/>
        <w:left w:val="none" w:sz="0" w:space="0" w:color="auto"/>
        <w:bottom w:val="none" w:sz="0" w:space="0" w:color="auto"/>
        <w:right w:val="none" w:sz="0" w:space="0" w:color="auto"/>
      </w:divBdr>
    </w:div>
    <w:div w:id="1075669580">
      <w:bodyDiv w:val="1"/>
      <w:marLeft w:val="0"/>
      <w:marRight w:val="0"/>
      <w:marTop w:val="0"/>
      <w:marBottom w:val="0"/>
      <w:divBdr>
        <w:top w:val="none" w:sz="0" w:space="0" w:color="auto"/>
        <w:left w:val="none" w:sz="0" w:space="0" w:color="auto"/>
        <w:bottom w:val="none" w:sz="0" w:space="0" w:color="auto"/>
        <w:right w:val="none" w:sz="0" w:space="0" w:color="auto"/>
      </w:divBdr>
    </w:div>
    <w:div w:id="1373386639">
      <w:bodyDiv w:val="1"/>
      <w:marLeft w:val="0"/>
      <w:marRight w:val="0"/>
      <w:marTop w:val="0"/>
      <w:marBottom w:val="0"/>
      <w:divBdr>
        <w:top w:val="none" w:sz="0" w:space="0" w:color="auto"/>
        <w:left w:val="none" w:sz="0" w:space="0" w:color="auto"/>
        <w:bottom w:val="none" w:sz="0" w:space="0" w:color="auto"/>
        <w:right w:val="none" w:sz="0" w:space="0" w:color="auto"/>
      </w:divBdr>
    </w:div>
    <w:div w:id="1953199619">
      <w:bodyDiv w:val="1"/>
      <w:marLeft w:val="0"/>
      <w:marRight w:val="0"/>
      <w:marTop w:val="0"/>
      <w:marBottom w:val="0"/>
      <w:divBdr>
        <w:top w:val="none" w:sz="0" w:space="0" w:color="auto"/>
        <w:left w:val="none" w:sz="0" w:space="0" w:color="auto"/>
        <w:bottom w:val="none" w:sz="0" w:space="0" w:color="auto"/>
        <w:right w:val="none" w:sz="0" w:space="0" w:color="auto"/>
      </w:divBdr>
    </w:div>
    <w:div w:id="20302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pc.gov.au/inquiries/completed/water-reform/national-water-initiative-agreement-2004.pdf"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www.pc.gov.au/inquiries/current/water-reform-2024"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pc.gov.au/inquiries/current/water-reform-2024"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pc.gov.au/inquiries/completed/water-reform-2020" TargetMode="External"/><Relationship Id="rId28" Type="http://schemas.openxmlformats.org/officeDocument/2006/relationships/hyperlink" Target="https://www.pc.gov.au/inquiries/completed/water-reform-2020/report/"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hyperlink" Target="https://www.pc.gov.au/inquiries/completed/water-reform/national-water-initiative-agreement-2004.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c.gov.au/inquiries/completed/water-reform-2020/re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isholm\AppData\Local\Temp\Templafy\WordVsto\Issues%20paper%20_%20Call%20for%20submiss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2CB55C42A4AB6946E981C89EABBDE"/>
        <w:category>
          <w:name w:val="General"/>
          <w:gallery w:val="placeholder"/>
        </w:category>
        <w:types>
          <w:type w:val="bbPlcHdr"/>
        </w:types>
        <w:behaviors>
          <w:behavior w:val="content"/>
        </w:behaviors>
        <w:guid w:val="{65E4D311-F340-4A1A-A8BB-CE92A40F324E}"/>
      </w:docPartPr>
      <w:docPartBody>
        <w:p w:rsidR="00D26F81" w:rsidRDefault="008E319B" w:rsidP="008E319B">
          <w:pPr>
            <w:pStyle w:val="16A2CB55C42A4AB6946E981C89EABBDE"/>
          </w:pPr>
          <w:r w:rsidRPr="00265918">
            <w:rPr>
              <w:highlight w:val="lightGray"/>
            </w:rPr>
            <w:t>[Choose Received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04"/>
    <w:rsid w:val="00071615"/>
    <w:rsid w:val="000E0BF2"/>
    <w:rsid w:val="000E2169"/>
    <w:rsid w:val="00170FFE"/>
    <w:rsid w:val="001F0972"/>
    <w:rsid w:val="002813BA"/>
    <w:rsid w:val="00283C8F"/>
    <w:rsid w:val="00534334"/>
    <w:rsid w:val="005B6966"/>
    <w:rsid w:val="00855661"/>
    <w:rsid w:val="008E319B"/>
    <w:rsid w:val="00942F40"/>
    <w:rsid w:val="009A5719"/>
    <w:rsid w:val="00A67545"/>
    <w:rsid w:val="00AA1604"/>
    <w:rsid w:val="00B5681F"/>
    <w:rsid w:val="00B84043"/>
    <w:rsid w:val="00C101AF"/>
    <w:rsid w:val="00C62ED0"/>
    <w:rsid w:val="00C7024B"/>
    <w:rsid w:val="00D26F81"/>
    <w:rsid w:val="00D6703D"/>
    <w:rsid w:val="00D93FF6"/>
    <w:rsid w:val="00DE7E33"/>
    <w:rsid w:val="00E7754B"/>
    <w:rsid w:val="00E961B8"/>
    <w:rsid w:val="00ED147E"/>
    <w:rsid w:val="00FA52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8F2ECA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14:ligatures w14:val="none"/>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83C8F"/>
  </w:style>
  <w:style w:type="character" w:customStyle="1" w:styleId="titlechar0">
    <w:name w:val="titlechar"/>
    <w:basedOn w:val="DefaultParagraphFont"/>
    <w:rsid w:val="00283C8F"/>
  </w:style>
  <w:style w:type="character" w:styleId="Strong">
    <w:name w:val="Strong"/>
    <w:basedOn w:val="DefaultParagraphFont"/>
    <w:uiPriority w:val="22"/>
    <w:qFormat/>
    <w:rPr>
      <w:rFonts w:asciiTheme="minorHAnsi" w:hAnsiTheme="minorHAnsi"/>
      <w:b/>
      <w:bCs/>
    </w:rPr>
  </w:style>
  <w:style w:type="paragraph" w:customStyle="1" w:styleId="16A2CB55C42A4AB6946E981C89EABBDE">
    <w:name w:val="16A2CB55C42A4AB6946E981C89EABBDE"/>
    <w:rsid w:val="008E319B"/>
  </w:style>
  <w:style w:type="paragraph" w:customStyle="1" w:styleId="86CB93DC6B0A40B7B4CED50E358F716D">
    <w:name w:val="86CB93DC6B0A40B7B4CED50E358F716D"/>
    <w:rsid w:val="00283C8F"/>
  </w:style>
  <w:style w:type="paragraph" w:customStyle="1" w:styleId="A61C2989F34642218175D961EA3BF6CF">
    <w:name w:val="A61C2989F34642218175D961EA3BF6CF"/>
    <w:rsid w:val="0028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Issues paper / Call for submissions","templateDescription":"Template for inquiries and studies","enableDocumentContentUpdater":false,"version":"2.0"}]]></TemplafyTemplateConfigura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c26535be142a8bf185bf1e0da53ce951">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ef1764bcc07ad4a7c2979030393109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Athena Wicks</DisplayName>
        <AccountId>108</AccountId>
        <AccountType/>
      </UserInfo>
    </SharedWithUsers>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MPWT-2140667901-48080</_dlc_DocId>
    <_dlc_DocIdUrl xmlns="20393cdf-440a-4521-8f19-00ba43423d00">
      <Url>https://pcgov.sharepoint.com/sites/sceteam/_layouts/15/DocIdRedir.aspx?ID=MPWT-2140667901-48080</Url>
      <Description>MPWT-2140667901-48080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337CB399-8252-4E6E-961E-515257BB9FA4}">
  <ds:schemaRefs>
    <ds:schemaRef ds:uri="http://schemas.microsoft.com/sharepoint/events"/>
  </ds:schemaRefs>
</ds:datastoreItem>
</file>

<file path=customXml/itemProps4.xml><?xml version="1.0" encoding="utf-8"?>
<ds:datastoreItem xmlns:ds="http://schemas.openxmlformats.org/officeDocument/2006/customXml" ds:itemID="{FD4186A5-7C6E-411F-A33D-B1907420C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E6C7A1-B74B-4400-B870-AADAE77E6850}">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5050A02C-BC34-4B3E-8E82-153F5DCCF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Issues paper _ Call for submissions</Template>
  <TotalTime>101</TotalTime>
  <Pages>14</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Call for submissions - National Water Reform 2024</vt:lpstr>
    </vt:vector>
  </TitlesOfParts>
  <Company>Productivity Commission</Company>
  <LinksUpToDate>false</LinksUpToDate>
  <CharactersWithSpaces>23446</CharactersWithSpaces>
  <SharedDoc>false</SharedDoc>
  <HLinks>
    <vt:vector size="12" baseType="variant">
      <vt:variant>
        <vt:i4>1310791</vt:i4>
      </vt:variant>
      <vt:variant>
        <vt:i4>3</vt:i4>
      </vt:variant>
      <vt:variant>
        <vt:i4>0</vt:i4>
      </vt:variant>
      <vt:variant>
        <vt:i4>5</vt:i4>
      </vt:variant>
      <vt:variant>
        <vt:lpwstr>http://www.pc.gov.au/inquiries/current/water-reform-2024</vt:lpwstr>
      </vt:variant>
      <vt:variant>
        <vt:lpwstr/>
      </vt:variant>
      <vt:variant>
        <vt:i4>5701705</vt:i4>
      </vt:variant>
      <vt:variant>
        <vt:i4>0</vt:i4>
      </vt:variant>
      <vt:variant>
        <vt:i4>0</vt:i4>
      </vt:variant>
      <vt:variant>
        <vt:i4>5</vt:i4>
      </vt:variant>
      <vt:variant>
        <vt:lpwstr>https://www.pc.gov.au/inquiries/completed/water-reform-2020</vt:lpwstr>
      </vt:variant>
      <vt:variant>
        <vt:lpwstr>report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 - National Water Reform 2024</dc:title>
  <dc:subject>Call for submissions</dc:subject>
  <dc:creator>Productivity Commission</dc:creator>
  <cp:keywords/>
  <dc:description/>
  <cp:lastModifiedBy>Chris Alston</cp:lastModifiedBy>
  <cp:revision>59</cp:revision>
  <cp:lastPrinted>2024-01-04T03:57:00Z</cp:lastPrinted>
  <dcterms:created xsi:type="dcterms:W3CDTF">2024-01-02T21:55:00Z</dcterms:created>
  <dcterms:modified xsi:type="dcterms:W3CDTF">2024-01-04T03:57:00Z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637968911185861194</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_dlc_DocIdItemGuid">
    <vt:lpwstr>c4e2c7ad-ea18-496c-9e2d-2589a0b02439</vt:lpwstr>
  </property>
  <property fmtid="{D5CDD505-2E9C-101B-9397-08002B2CF9AE}" pid="9" name="MediaServiceImageTags">
    <vt:lpwstr/>
  </property>
</Properties>
</file>