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17F08" w14:textId="1480F72F" w:rsidR="008D1222" w:rsidRPr="008D1222" w:rsidRDefault="008D1222" w:rsidP="008D1222">
      <w:pPr>
        <w:pStyle w:val="Heading1"/>
        <w:rPr>
          <w:color w:val="FFFFFF" w:themeColor="background1"/>
          <w:sz w:val="12"/>
          <w:szCs w:val="12"/>
        </w:rPr>
      </w:pPr>
      <w:bookmarkStart w:id="0" w:name="ChapterNumber"/>
      <w:r w:rsidRPr="008D1222">
        <w:rPr>
          <w:color w:val="FFFFFF" w:themeColor="background1"/>
          <w:sz w:val="12"/>
          <w:szCs w:val="12"/>
        </w:rPr>
        <w:t>National Water Reform</w:t>
      </w:r>
    </w:p>
    <w:p w14:paraId="6F8C29E8" w14:textId="0B88A725" w:rsidR="008D1222" w:rsidRPr="008D1222" w:rsidRDefault="008D1222" w:rsidP="008D1222">
      <w:pPr>
        <w:pStyle w:val="BodyText"/>
        <w:rPr>
          <w:color w:val="FFFFFF" w:themeColor="background1"/>
          <w:sz w:val="12"/>
          <w:szCs w:val="12"/>
        </w:rPr>
      </w:pPr>
      <w:r w:rsidRPr="008D1222">
        <w:rPr>
          <w:color w:val="FFFFFF" w:themeColor="background1"/>
          <w:sz w:val="12"/>
          <w:szCs w:val="12"/>
        </w:rPr>
        <w:t>Productivity Commission Issues Paper, March 2017</w:t>
      </w:r>
    </w:p>
    <w:p w14:paraId="32E927F8" w14:textId="0BC5BCF2" w:rsidR="00A975C2" w:rsidRDefault="00A975C2" w:rsidP="008E084F">
      <w:pPr>
        <w:pStyle w:val="BodyText"/>
      </w:pPr>
      <w:r>
        <w:br w:type="page"/>
      </w:r>
      <w:r w:rsidR="008D1222">
        <w:rPr>
          <w:noProof/>
        </w:rPr>
        <w:drawing>
          <wp:anchor distT="0" distB="0" distL="114300" distR="114300" simplePos="0" relativeHeight="251658240" behindDoc="0" locked="0" layoutInCell="1" allowOverlap="1" wp14:anchorId="4480C760" wp14:editId="53BA2C20">
            <wp:simplePos x="830580" y="-6598920"/>
            <wp:positionH relativeFrom="page">
              <wp:align>center</wp:align>
            </wp:positionH>
            <wp:positionV relativeFrom="page">
              <wp:align>center</wp:align>
            </wp:positionV>
            <wp:extent cx="7617600" cy="10774800"/>
            <wp:effectExtent l="0" t="0" r="2540" b="0"/>
            <wp:wrapNone/>
            <wp:docPr id="1" name="Picture 1" descr="National Water Reform&#10;Productivity Commission, Issues Paper, March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s-paper-cover-wat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7600" cy="10774800"/>
                    </a:xfrm>
                    <a:prstGeom prst="rect">
                      <a:avLst/>
                    </a:prstGeom>
                  </pic:spPr>
                </pic:pic>
              </a:graphicData>
            </a:graphic>
            <wp14:sizeRelH relativeFrom="margin">
              <wp14:pctWidth>0</wp14:pctWidth>
            </wp14:sizeRelH>
            <wp14:sizeRelV relativeFrom="margin">
              <wp14:pctHeight>0</wp14:pctHeight>
            </wp14:sizeRelV>
          </wp:anchor>
        </w:drawing>
      </w:r>
    </w:p>
    <w:p w14:paraId="32E927F9" w14:textId="77777777" w:rsidR="00A975C2" w:rsidRDefault="00A975C2" w:rsidP="00A975C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A975C2" w14:paraId="32E927FB" w14:textId="77777777" w:rsidTr="00B10D18">
        <w:trPr>
          <w:tblHeader/>
        </w:trPr>
        <w:tc>
          <w:tcPr>
            <w:tcW w:w="8771" w:type="dxa"/>
            <w:tcBorders>
              <w:top w:val="single" w:sz="6" w:space="0" w:color="78A22F"/>
              <w:left w:val="nil"/>
              <w:bottom w:val="nil"/>
              <w:right w:val="nil"/>
            </w:tcBorders>
            <w:shd w:val="clear" w:color="auto" w:fill="F2F2F2" w:themeFill="background1" w:themeFillShade="F2"/>
          </w:tcPr>
          <w:p w14:paraId="32E927FA" w14:textId="77777777" w:rsidR="00A975C2" w:rsidRPr="008A3857" w:rsidRDefault="00A975C2" w:rsidP="00B10D18">
            <w:pPr>
              <w:pStyle w:val="BoxTitle"/>
              <w:rPr>
                <w:sz w:val="22"/>
                <w:szCs w:val="22"/>
              </w:rPr>
            </w:pPr>
            <w:r w:rsidRPr="008A3857">
              <w:rPr>
                <w:sz w:val="22"/>
                <w:szCs w:val="22"/>
              </w:rPr>
              <w:t xml:space="preserve">The </w:t>
            </w:r>
            <w:r>
              <w:rPr>
                <w:sz w:val="22"/>
                <w:szCs w:val="22"/>
              </w:rPr>
              <w:t>Issues Paper</w:t>
            </w:r>
          </w:p>
        </w:tc>
      </w:tr>
      <w:tr w:rsidR="00A975C2" w14:paraId="32E9282E" w14:textId="77777777" w:rsidTr="00B10D18">
        <w:tc>
          <w:tcPr>
            <w:tcW w:w="8771" w:type="dxa"/>
            <w:tcBorders>
              <w:top w:val="nil"/>
              <w:left w:val="nil"/>
              <w:bottom w:val="nil"/>
              <w:right w:val="nil"/>
            </w:tcBorders>
            <w:shd w:val="clear" w:color="auto" w:fill="F2F2F2" w:themeFill="background1" w:themeFillShade="F2"/>
          </w:tcPr>
          <w:p w14:paraId="32E927FC" w14:textId="77777777" w:rsidR="00A975C2" w:rsidRDefault="00A975C2" w:rsidP="00B10D18">
            <w:pPr>
              <w:pStyle w:val="Box"/>
            </w:pPr>
            <w:r>
              <w:t>The Commission has released this issues paper to assist individuals and organisations to prepare submissions to the inquiry. It contains and outlines:</w:t>
            </w:r>
          </w:p>
          <w:p w14:paraId="32E927FD" w14:textId="77777777" w:rsidR="00A975C2" w:rsidRDefault="00A975C2" w:rsidP="00B10D18">
            <w:pPr>
              <w:pStyle w:val="BoxListBullet"/>
            </w:pPr>
            <w:r>
              <w:t>the scope of the inquiry</w:t>
            </w:r>
          </w:p>
          <w:p w14:paraId="32E927FE" w14:textId="77777777" w:rsidR="00A975C2" w:rsidRDefault="00A975C2" w:rsidP="00B10D18">
            <w:pPr>
              <w:pStyle w:val="BoxListBullet"/>
            </w:pPr>
            <w:r>
              <w:t>the Commission’s procedures</w:t>
            </w:r>
          </w:p>
          <w:p w14:paraId="32E927FF" w14:textId="77777777" w:rsidR="00A975C2" w:rsidRDefault="00A975C2" w:rsidP="00B10D18">
            <w:pPr>
              <w:pStyle w:val="BoxListBullet"/>
            </w:pPr>
            <w:r>
              <w:t>matters about which the Commission is seeking comment and information</w:t>
            </w:r>
          </w:p>
          <w:p w14:paraId="32E92800" w14:textId="77777777" w:rsidR="00A975C2" w:rsidRDefault="00A975C2" w:rsidP="00B10D18">
            <w:pPr>
              <w:pStyle w:val="BoxListBullet"/>
            </w:pPr>
            <w:r>
              <w:t>how to make a submission.</w:t>
            </w:r>
          </w:p>
          <w:p w14:paraId="32E92801" w14:textId="77777777" w:rsidR="00A975C2" w:rsidRDefault="00A975C2" w:rsidP="00B10D18">
            <w:pPr>
              <w:pStyle w:val="Box"/>
            </w:pPr>
            <w:r>
              <w:t>Participants should not feel that they are restricted to comment only on matters raised in the issues paper. The Commission wishes to receive information and comment on issues which participants consider relevant to the inquiry’s terms of reference.</w:t>
            </w:r>
          </w:p>
          <w:p w14:paraId="32E92802" w14:textId="77777777" w:rsidR="00A975C2" w:rsidRDefault="00A975C2" w:rsidP="00B10D18">
            <w:pPr>
              <w:pStyle w:val="BoxHeading1"/>
            </w:pPr>
            <w:r>
              <w:t>Key inquiry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A975C2" w14:paraId="32E92805" w14:textId="77777777" w:rsidTr="00B10D18">
              <w:trPr>
                <w:tblHeader/>
              </w:trPr>
              <w:tc>
                <w:tcPr>
                  <w:tcW w:w="3522" w:type="dxa"/>
                  <w:tcMar>
                    <w:left w:w="0" w:type="dxa"/>
                  </w:tcMar>
                </w:tcPr>
                <w:p w14:paraId="32E92803" w14:textId="77777777" w:rsidR="00A975C2" w:rsidRDefault="00A975C2" w:rsidP="00B10D18">
                  <w:pPr>
                    <w:pStyle w:val="Box"/>
                  </w:pPr>
                  <w:r>
                    <w:t>Receipt of terms of reference</w:t>
                  </w:r>
                </w:p>
              </w:tc>
              <w:tc>
                <w:tcPr>
                  <w:tcW w:w="4950" w:type="dxa"/>
                </w:tcPr>
                <w:p w14:paraId="32E92804" w14:textId="77777777" w:rsidR="00A975C2" w:rsidRDefault="001B330C" w:rsidP="00B10D18">
                  <w:pPr>
                    <w:pStyle w:val="Box"/>
                  </w:pPr>
                  <w:r>
                    <w:t>1 February 2017</w:t>
                  </w:r>
                </w:p>
              </w:tc>
            </w:tr>
            <w:tr w:rsidR="00A975C2" w14:paraId="32E92808" w14:textId="77777777" w:rsidTr="00B10D18">
              <w:tc>
                <w:tcPr>
                  <w:tcW w:w="3522" w:type="dxa"/>
                  <w:tcMar>
                    <w:left w:w="0" w:type="dxa"/>
                  </w:tcMar>
                </w:tcPr>
                <w:p w14:paraId="32E92806" w14:textId="77777777" w:rsidR="00A975C2" w:rsidRDefault="00A975C2" w:rsidP="00B10D18">
                  <w:pPr>
                    <w:pStyle w:val="Box"/>
                    <w:spacing w:before="60"/>
                  </w:pPr>
                  <w:r>
                    <w:t xml:space="preserve">Due date for </w:t>
                  </w:r>
                  <w:r w:rsidR="000E6875">
                    <w:t xml:space="preserve">initial </w:t>
                  </w:r>
                  <w:r>
                    <w:t>submissions</w:t>
                  </w:r>
                </w:p>
              </w:tc>
              <w:tc>
                <w:tcPr>
                  <w:tcW w:w="4950" w:type="dxa"/>
                </w:tcPr>
                <w:p w14:paraId="32E92807" w14:textId="77777777" w:rsidR="00A975C2" w:rsidRDefault="001B330C" w:rsidP="00B10D18">
                  <w:pPr>
                    <w:pStyle w:val="Box"/>
                    <w:spacing w:before="60"/>
                  </w:pPr>
                  <w:r>
                    <w:t>18 April 2017</w:t>
                  </w:r>
                </w:p>
              </w:tc>
            </w:tr>
            <w:tr w:rsidR="00A975C2" w14:paraId="32E9280B" w14:textId="77777777" w:rsidTr="00B10D18">
              <w:tc>
                <w:tcPr>
                  <w:tcW w:w="3522" w:type="dxa"/>
                  <w:tcMar>
                    <w:left w:w="0" w:type="dxa"/>
                  </w:tcMar>
                </w:tcPr>
                <w:p w14:paraId="32E92809" w14:textId="77777777" w:rsidR="00A975C2" w:rsidRDefault="00A975C2" w:rsidP="00B10D18">
                  <w:pPr>
                    <w:pStyle w:val="Box"/>
                    <w:spacing w:before="60"/>
                  </w:pPr>
                  <w:r>
                    <w:t>Release of draft report</w:t>
                  </w:r>
                </w:p>
              </w:tc>
              <w:tc>
                <w:tcPr>
                  <w:tcW w:w="4950" w:type="dxa"/>
                </w:tcPr>
                <w:p w14:paraId="32E9280A" w14:textId="1CEA5CC0" w:rsidR="00A975C2" w:rsidRDefault="002D5320" w:rsidP="00C83B59">
                  <w:pPr>
                    <w:pStyle w:val="Box"/>
                    <w:spacing w:before="60"/>
                  </w:pPr>
                  <w:r w:rsidRPr="002D5320">
                    <w:t>early</w:t>
                  </w:r>
                  <w:r w:rsidR="00717CEB" w:rsidRPr="002D5320" w:rsidDel="00C83B59">
                    <w:t xml:space="preserve"> September </w:t>
                  </w:r>
                  <w:r w:rsidR="001B330C" w:rsidRPr="002D5320">
                    <w:t>2017</w:t>
                  </w:r>
                </w:p>
              </w:tc>
            </w:tr>
            <w:tr w:rsidR="000E6875" w14:paraId="32E9280E" w14:textId="77777777" w:rsidTr="00B10D18">
              <w:tc>
                <w:tcPr>
                  <w:tcW w:w="3522" w:type="dxa"/>
                  <w:tcMar>
                    <w:left w:w="0" w:type="dxa"/>
                  </w:tcMar>
                </w:tcPr>
                <w:p w14:paraId="32E9280C" w14:textId="77777777" w:rsidR="000E6875" w:rsidRDefault="000E6875" w:rsidP="000E6875">
                  <w:pPr>
                    <w:pStyle w:val="Box"/>
                    <w:spacing w:before="60"/>
                  </w:pPr>
                  <w:r>
                    <w:t>Due date for draft report submissions</w:t>
                  </w:r>
                </w:p>
              </w:tc>
              <w:tc>
                <w:tcPr>
                  <w:tcW w:w="4950" w:type="dxa"/>
                </w:tcPr>
                <w:p w14:paraId="32E9280D" w14:textId="77777777" w:rsidR="000E6875" w:rsidRDefault="00ED12FF" w:rsidP="00811EED">
                  <w:pPr>
                    <w:pStyle w:val="Box"/>
                    <w:spacing w:before="60"/>
                  </w:pPr>
                  <w:r>
                    <w:t>Octo</w:t>
                  </w:r>
                  <w:r w:rsidR="000E6875">
                    <w:t>ber 2017</w:t>
                  </w:r>
                </w:p>
              </w:tc>
            </w:tr>
            <w:tr w:rsidR="00A975C2" w14:paraId="32E92811" w14:textId="77777777" w:rsidTr="00B10D18">
              <w:tc>
                <w:tcPr>
                  <w:tcW w:w="3522" w:type="dxa"/>
                  <w:tcMar>
                    <w:left w:w="0" w:type="dxa"/>
                  </w:tcMar>
                </w:tcPr>
                <w:p w14:paraId="32E9280F" w14:textId="77777777" w:rsidR="00A975C2" w:rsidRDefault="00A975C2" w:rsidP="00B10D18">
                  <w:pPr>
                    <w:pStyle w:val="Box"/>
                    <w:spacing w:before="60"/>
                  </w:pPr>
                  <w:r>
                    <w:t>Draft report public hearings</w:t>
                  </w:r>
                </w:p>
              </w:tc>
              <w:tc>
                <w:tcPr>
                  <w:tcW w:w="4950" w:type="dxa"/>
                </w:tcPr>
                <w:p w14:paraId="32E92810" w14:textId="77777777" w:rsidR="00A975C2" w:rsidRDefault="00A9186B" w:rsidP="00A9186B">
                  <w:pPr>
                    <w:pStyle w:val="Box"/>
                    <w:spacing w:before="60"/>
                  </w:pPr>
                  <w:r>
                    <w:t>October 2017</w:t>
                  </w:r>
                </w:p>
              </w:tc>
            </w:tr>
            <w:tr w:rsidR="00A975C2" w14:paraId="32E92814" w14:textId="77777777" w:rsidTr="00B10D18">
              <w:tc>
                <w:tcPr>
                  <w:tcW w:w="3522" w:type="dxa"/>
                  <w:tcMar>
                    <w:left w:w="0" w:type="dxa"/>
                  </w:tcMar>
                </w:tcPr>
                <w:p w14:paraId="32E92812" w14:textId="77777777" w:rsidR="00A975C2" w:rsidRDefault="00A975C2" w:rsidP="00B10D18">
                  <w:pPr>
                    <w:pStyle w:val="Box"/>
                    <w:spacing w:before="60"/>
                  </w:pPr>
                  <w:r>
                    <w:t>Final report to Government</w:t>
                  </w:r>
                </w:p>
              </w:tc>
              <w:tc>
                <w:tcPr>
                  <w:tcW w:w="4950" w:type="dxa"/>
                </w:tcPr>
                <w:p w14:paraId="32E92813" w14:textId="77777777" w:rsidR="00A975C2" w:rsidRDefault="001B330C" w:rsidP="007F480B">
                  <w:pPr>
                    <w:pStyle w:val="Box"/>
                    <w:spacing w:before="60"/>
                  </w:pPr>
                  <w:r>
                    <w:t>December 2017</w:t>
                  </w:r>
                </w:p>
              </w:tc>
            </w:tr>
          </w:tbl>
          <w:p w14:paraId="32E92815" w14:textId="77777777" w:rsidR="00A975C2" w:rsidRDefault="00A975C2" w:rsidP="00B10D18">
            <w:pPr>
              <w:pStyle w:val="BoxHeading1"/>
            </w:pPr>
            <w:r>
              <w:t>Submissions can be lodged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A975C2" w14:paraId="32E92818" w14:textId="77777777" w:rsidTr="00B10D18">
              <w:trPr>
                <w:tblHeader/>
              </w:trPr>
              <w:tc>
                <w:tcPr>
                  <w:tcW w:w="3522" w:type="dxa"/>
                  <w:tcMar>
                    <w:left w:w="0" w:type="dxa"/>
                  </w:tcMar>
                </w:tcPr>
                <w:p w14:paraId="32E92816" w14:textId="77777777" w:rsidR="00A975C2" w:rsidRDefault="00A975C2" w:rsidP="00B10D18">
                  <w:pPr>
                    <w:pStyle w:val="Box"/>
                  </w:pPr>
                  <w:r>
                    <w:t>Online:</w:t>
                  </w:r>
                </w:p>
              </w:tc>
              <w:tc>
                <w:tcPr>
                  <w:tcW w:w="4950" w:type="dxa"/>
                </w:tcPr>
                <w:p w14:paraId="32E92817" w14:textId="06E02CF9" w:rsidR="00A975C2" w:rsidRPr="008D1222" w:rsidRDefault="008D1222" w:rsidP="00F12516">
                  <w:pPr>
                    <w:pStyle w:val="BodyText"/>
                    <w:spacing w:before="120"/>
                    <w:rPr>
                      <w:rFonts w:asciiTheme="minorHAnsi" w:hAnsiTheme="minorHAnsi" w:cstheme="minorHAnsi"/>
                      <w:sz w:val="20"/>
                    </w:rPr>
                  </w:pPr>
                  <w:proofErr w:type="spellStart"/>
                  <w:r w:rsidRPr="0080505B">
                    <w:rPr>
                      <w:rFonts w:asciiTheme="minorHAnsi" w:hAnsiTheme="minorHAnsi" w:cstheme="minorHAnsi"/>
                      <w:sz w:val="20"/>
                    </w:rPr>
                    <w:t>www.pc.gov.au</w:t>
                  </w:r>
                  <w:proofErr w:type="spellEnd"/>
                  <w:r w:rsidRPr="0080505B">
                    <w:rPr>
                      <w:rFonts w:asciiTheme="minorHAnsi" w:hAnsiTheme="minorHAnsi" w:cstheme="minorHAnsi"/>
                      <w:sz w:val="20"/>
                    </w:rPr>
                    <w:t>/inquiries/current/water-reform</w:t>
                  </w:r>
                </w:p>
              </w:tc>
            </w:tr>
            <w:tr w:rsidR="00A975C2" w14:paraId="32E9281B" w14:textId="77777777" w:rsidTr="00B10D18">
              <w:tc>
                <w:tcPr>
                  <w:tcW w:w="3522" w:type="dxa"/>
                  <w:tcMar>
                    <w:left w:w="0" w:type="dxa"/>
                  </w:tcMar>
                </w:tcPr>
                <w:p w14:paraId="32E92819" w14:textId="77777777" w:rsidR="00A975C2" w:rsidRDefault="00A975C2" w:rsidP="00B10D18">
                  <w:pPr>
                    <w:pStyle w:val="Box"/>
                    <w:spacing w:before="60"/>
                    <w:jc w:val="left"/>
                  </w:pPr>
                  <w:r>
                    <w:t>By post:</w:t>
                  </w:r>
                </w:p>
              </w:tc>
              <w:tc>
                <w:tcPr>
                  <w:tcW w:w="4950" w:type="dxa"/>
                </w:tcPr>
                <w:p w14:paraId="32E9281A" w14:textId="17482FA8" w:rsidR="00A975C2" w:rsidRDefault="00F12516" w:rsidP="00CF504B">
                  <w:pPr>
                    <w:pStyle w:val="Box"/>
                    <w:spacing w:before="60"/>
                    <w:jc w:val="left"/>
                  </w:pPr>
                  <w:r>
                    <w:t>National Water Reform inquiry</w:t>
                  </w:r>
                  <w:r>
                    <w:br/>
                    <w:t>Productivity Commission</w:t>
                  </w:r>
                  <w:r>
                    <w:br/>
                    <w:t>GPO Box 1428</w:t>
                  </w:r>
                  <w:r>
                    <w:br/>
                  </w:r>
                  <w:r w:rsidR="00CF504B">
                    <w:t>Canberra City ACT 2601</w:t>
                  </w:r>
                </w:p>
              </w:tc>
            </w:tr>
          </w:tbl>
          <w:p w14:paraId="32E9281C" w14:textId="77777777" w:rsidR="00A975C2" w:rsidRDefault="00A975C2" w:rsidP="00B10D18">
            <w:pPr>
              <w:pStyle w:val="BoxHeading1"/>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2268"/>
              <w:gridCol w:w="2682"/>
            </w:tblGrid>
            <w:tr w:rsidR="00A975C2" w14:paraId="32E92820" w14:textId="77777777" w:rsidTr="00B10D18">
              <w:trPr>
                <w:tblHeader/>
              </w:trPr>
              <w:tc>
                <w:tcPr>
                  <w:tcW w:w="3522" w:type="dxa"/>
                  <w:tcMar>
                    <w:left w:w="0" w:type="dxa"/>
                  </w:tcMar>
                </w:tcPr>
                <w:p w14:paraId="32E9281D" w14:textId="77777777" w:rsidR="00A975C2" w:rsidRDefault="00A975C2" w:rsidP="00B10D18">
                  <w:pPr>
                    <w:pStyle w:val="Box"/>
                  </w:pPr>
                  <w:r>
                    <w:t>Administrative matters:</w:t>
                  </w:r>
                </w:p>
              </w:tc>
              <w:tc>
                <w:tcPr>
                  <w:tcW w:w="2268" w:type="dxa"/>
                </w:tcPr>
                <w:p w14:paraId="32E9281E" w14:textId="77777777" w:rsidR="00A975C2" w:rsidRDefault="00295D02" w:rsidP="00B10D18">
                  <w:pPr>
                    <w:pStyle w:val="Box"/>
                  </w:pPr>
                  <w:r>
                    <w:t>Tracey Horsfall</w:t>
                  </w:r>
                </w:p>
              </w:tc>
              <w:tc>
                <w:tcPr>
                  <w:tcW w:w="2682" w:type="dxa"/>
                </w:tcPr>
                <w:p w14:paraId="32E9281F" w14:textId="77777777" w:rsidR="00A975C2" w:rsidRDefault="00A975C2" w:rsidP="00295D02">
                  <w:pPr>
                    <w:pStyle w:val="Box"/>
                  </w:pPr>
                  <w:proofErr w:type="spellStart"/>
                  <w:r>
                    <w:t>Ph</w:t>
                  </w:r>
                  <w:proofErr w:type="spellEnd"/>
                  <w:r>
                    <w:t xml:space="preserve">: </w:t>
                  </w:r>
                  <w:r w:rsidR="00295D02">
                    <w:t>02 6240 3261</w:t>
                  </w:r>
                </w:p>
              </w:tc>
            </w:tr>
            <w:tr w:rsidR="00A975C2" w14:paraId="32E92824" w14:textId="77777777" w:rsidTr="00B10D18">
              <w:tc>
                <w:tcPr>
                  <w:tcW w:w="3522" w:type="dxa"/>
                  <w:tcMar>
                    <w:left w:w="0" w:type="dxa"/>
                  </w:tcMar>
                </w:tcPr>
                <w:p w14:paraId="32E92821" w14:textId="77777777" w:rsidR="00A975C2" w:rsidRDefault="00A975C2" w:rsidP="00B10D18">
                  <w:pPr>
                    <w:pStyle w:val="Box"/>
                    <w:spacing w:before="60"/>
                  </w:pPr>
                  <w:r>
                    <w:t>Other matters:</w:t>
                  </w:r>
                </w:p>
              </w:tc>
              <w:tc>
                <w:tcPr>
                  <w:tcW w:w="2268" w:type="dxa"/>
                </w:tcPr>
                <w:p w14:paraId="32E92822" w14:textId="77777777" w:rsidR="00A975C2" w:rsidRDefault="00295D02" w:rsidP="00B10D18">
                  <w:pPr>
                    <w:pStyle w:val="Box"/>
                    <w:spacing w:before="60"/>
                  </w:pPr>
                  <w:r>
                    <w:t>Jessica Hartmann</w:t>
                  </w:r>
                </w:p>
              </w:tc>
              <w:tc>
                <w:tcPr>
                  <w:tcW w:w="2682" w:type="dxa"/>
                </w:tcPr>
                <w:p w14:paraId="32E92823" w14:textId="77777777" w:rsidR="00A975C2" w:rsidRDefault="00A975C2" w:rsidP="00295D02">
                  <w:pPr>
                    <w:pStyle w:val="Box"/>
                    <w:spacing w:before="60"/>
                  </w:pPr>
                  <w:proofErr w:type="spellStart"/>
                  <w:r>
                    <w:t>Ph</w:t>
                  </w:r>
                  <w:proofErr w:type="spellEnd"/>
                  <w:r>
                    <w:t xml:space="preserve">: </w:t>
                  </w:r>
                  <w:r w:rsidR="00295D02">
                    <w:t>02 6240 3222</w:t>
                  </w:r>
                </w:p>
              </w:tc>
            </w:tr>
            <w:tr w:rsidR="00A975C2" w14:paraId="32E92828" w14:textId="77777777" w:rsidTr="00B10D18">
              <w:tc>
                <w:tcPr>
                  <w:tcW w:w="3522" w:type="dxa"/>
                  <w:tcMar>
                    <w:left w:w="0" w:type="dxa"/>
                  </w:tcMar>
                </w:tcPr>
                <w:p w14:paraId="32E92825" w14:textId="77777777" w:rsidR="00A975C2" w:rsidRDefault="00A975C2" w:rsidP="00B10D18">
                  <w:pPr>
                    <w:pStyle w:val="Box"/>
                    <w:spacing w:before="60"/>
                  </w:pPr>
                  <w:proofErr w:type="spellStart"/>
                  <w:r>
                    <w:t>Freecall</w:t>
                  </w:r>
                  <w:proofErr w:type="spellEnd"/>
                  <w:r>
                    <w:t xml:space="preserve"> number for regional areas:</w:t>
                  </w:r>
                </w:p>
              </w:tc>
              <w:tc>
                <w:tcPr>
                  <w:tcW w:w="2268" w:type="dxa"/>
                </w:tcPr>
                <w:p w14:paraId="32E92826" w14:textId="77777777" w:rsidR="00A975C2" w:rsidRDefault="00A975C2" w:rsidP="00B10D18">
                  <w:pPr>
                    <w:pStyle w:val="Box"/>
                    <w:spacing w:before="60"/>
                  </w:pPr>
                  <w:r>
                    <w:t>1800 020 083</w:t>
                  </w:r>
                </w:p>
              </w:tc>
              <w:tc>
                <w:tcPr>
                  <w:tcW w:w="2682" w:type="dxa"/>
                </w:tcPr>
                <w:p w14:paraId="32E92827" w14:textId="77777777" w:rsidR="00A975C2" w:rsidRDefault="00A975C2" w:rsidP="00B10D18">
                  <w:pPr>
                    <w:pStyle w:val="Box"/>
                    <w:spacing w:before="60"/>
                  </w:pPr>
                </w:p>
              </w:tc>
            </w:tr>
            <w:tr w:rsidR="00A975C2" w14:paraId="32E9282C" w14:textId="77777777" w:rsidTr="00B10D18">
              <w:tc>
                <w:tcPr>
                  <w:tcW w:w="3522" w:type="dxa"/>
                  <w:tcMar>
                    <w:left w:w="0" w:type="dxa"/>
                  </w:tcMar>
                </w:tcPr>
                <w:p w14:paraId="32E92829" w14:textId="77777777" w:rsidR="00A975C2" w:rsidRDefault="00A975C2" w:rsidP="00B10D18">
                  <w:pPr>
                    <w:pStyle w:val="Box"/>
                    <w:spacing w:before="60"/>
                  </w:pPr>
                  <w:r>
                    <w:t>Website:</w:t>
                  </w:r>
                </w:p>
              </w:tc>
              <w:tc>
                <w:tcPr>
                  <w:tcW w:w="2268" w:type="dxa"/>
                </w:tcPr>
                <w:p w14:paraId="32E9282A" w14:textId="77777777" w:rsidR="00A975C2" w:rsidRPr="009F3E26" w:rsidRDefault="00A975C2" w:rsidP="00B10D18">
                  <w:pPr>
                    <w:pStyle w:val="Box"/>
                    <w:spacing w:before="60"/>
                    <w:rPr>
                      <w:b/>
                    </w:rPr>
                  </w:pPr>
                  <w:proofErr w:type="spellStart"/>
                  <w:r w:rsidRPr="009F3E26">
                    <w:rPr>
                      <w:b/>
                    </w:rPr>
                    <w:t>www.pc.gov.au</w:t>
                  </w:r>
                  <w:proofErr w:type="spellEnd"/>
                </w:p>
              </w:tc>
              <w:tc>
                <w:tcPr>
                  <w:tcW w:w="2682" w:type="dxa"/>
                </w:tcPr>
                <w:p w14:paraId="32E9282B" w14:textId="77777777" w:rsidR="00A975C2" w:rsidRDefault="00A975C2" w:rsidP="00B10D18">
                  <w:pPr>
                    <w:pStyle w:val="Box"/>
                    <w:spacing w:before="60"/>
                  </w:pPr>
                </w:p>
              </w:tc>
            </w:tr>
          </w:tbl>
          <w:p w14:paraId="32E9282D" w14:textId="77777777" w:rsidR="00A975C2" w:rsidRDefault="00A975C2" w:rsidP="00B10D18">
            <w:pPr>
              <w:pStyle w:val="Box"/>
            </w:pPr>
          </w:p>
        </w:tc>
      </w:tr>
      <w:tr w:rsidR="00A975C2" w14:paraId="32E92830" w14:textId="77777777" w:rsidTr="00B10D18">
        <w:tc>
          <w:tcPr>
            <w:tcW w:w="8771" w:type="dxa"/>
            <w:tcBorders>
              <w:top w:val="nil"/>
              <w:left w:val="nil"/>
              <w:bottom w:val="single" w:sz="6" w:space="0" w:color="78A22F"/>
              <w:right w:val="nil"/>
            </w:tcBorders>
            <w:shd w:val="clear" w:color="auto" w:fill="F2F2F2" w:themeFill="background1" w:themeFillShade="F2"/>
          </w:tcPr>
          <w:p w14:paraId="32E9282F" w14:textId="77777777" w:rsidR="00A975C2" w:rsidRDefault="00A975C2" w:rsidP="00B10D18">
            <w:pPr>
              <w:pStyle w:val="Box"/>
              <w:spacing w:before="0" w:line="120" w:lineRule="exact"/>
            </w:pPr>
          </w:p>
        </w:tc>
      </w:tr>
    </w:tbl>
    <w:p w14:paraId="32E92831" w14:textId="77777777" w:rsidR="00A975C2" w:rsidRDefault="00A975C2" w:rsidP="00A975C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A975C2" w14:paraId="32E92833" w14:textId="77777777" w:rsidTr="00B10D18">
        <w:trPr>
          <w:tblHeader/>
        </w:trPr>
        <w:tc>
          <w:tcPr>
            <w:tcW w:w="8771" w:type="dxa"/>
            <w:tcBorders>
              <w:top w:val="single" w:sz="6" w:space="0" w:color="78A22F"/>
              <w:left w:val="nil"/>
              <w:bottom w:val="nil"/>
              <w:right w:val="nil"/>
            </w:tcBorders>
            <w:shd w:val="clear" w:color="auto" w:fill="F2F2F2" w:themeFill="background1" w:themeFillShade="F2"/>
          </w:tcPr>
          <w:p w14:paraId="32E92832" w14:textId="77777777" w:rsidR="00A975C2" w:rsidRPr="008A3857" w:rsidRDefault="00A975C2" w:rsidP="00B10D18">
            <w:pPr>
              <w:pStyle w:val="BoxTitle"/>
              <w:rPr>
                <w:sz w:val="22"/>
                <w:szCs w:val="22"/>
              </w:rPr>
            </w:pPr>
            <w:r w:rsidRPr="008A3857">
              <w:rPr>
                <w:sz w:val="22"/>
                <w:szCs w:val="22"/>
              </w:rPr>
              <w:t>The Productivity Commission</w:t>
            </w:r>
          </w:p>
        </w:tc>
      </w:tr>
      <w:tr w:rsidR="00A975C2" w14:paraId="32E92837" w14:textId="77777777" w:rsidTr="00B10D18">
        <w:trPr>
          <w:cantSplit/>
        </w:trPr>
        <w:tc>
          <w:tcPr>
            <w:tcW w:w="8771" w:type="dxa"/>
            <w:tcBorders>
              <w:top w:val="nil"/>
              <w:left w:val="nil"/>
              <w:bottom w:val="nil"/>
              <w:right w:val="nil"/>
            </w:tcBorders>
            <w:shd w:val="clear" w:color="auto" w:fill="F2F2F2" w:themeFill="background1" w:themeFillShade="F2"/>
          </w:tcPr>
          <w:p w14:paraId="32E92834" w14:textId="77777777" w:rsidR="00A975C2" w:rsidRDefault="00A975C2" w:rsidP="00B10D18">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32E92835" w14:textId="77777777" w:rsidR="00A975C2" w:rsidRDefault="00A975C2" w:rsidP="00B10D18">
            <w:pPr>
              <w:pStyle w:val="Box"/>
            </w:pPr>
            <w:r w:rsidRPr="00BB5DCF">
              <w:t>The Commission’s independence is underpinned by an Act of Parliament. Its processes and outputs are open to public scrutiny and are driven by concern for the wellbeing of the community as a whole.</w:t>
            </w:r>
          </w:p>
          <w:p w14:paraId="32E92836" w14:textId="77777777" w:rsidR="00A975C2" w:rsidRDefault="00A975C2" w:rsidP="00B10D18">
            <w:pPr>
              <w:pStyle w:val="Box"/>
            </w:pPr>
            <w:r w:rsidRPr="00BB5DCF">
              <w:rPr>
                <w:szCs w:val="24"/>
              </w:rPr>
              <w:t>Further information on the Productivity Commission can be obtained from the Commission’s website (</w:t>
            </w:r>
            <w:proofErr w:type="spellStart"/>
            <w:r w:rsidRPr="00BB5DCF">
              <w:rPr>
                <w:szCs w:val="24"/>
              </w:rPr>
              <w:t>www.pc.gov.au</w:t>
            </w:r>
            <w:proofErr w:type="spellEnd"/>
            <w:r w:rsidRPr="00BB5DCF">
              <w:rPr>
                <w:szCs w:val="24"/>
              </w:rPr>
              <w:t>)</w:t>
            </w:r>
            <w:r>
              <w:rPr>
                <w:szCs w:val="24"/>
              </w:rPr>
              <w:t>.</w:t>
            </w:r>
          </w:p>
        </w:tc>
      </w:tr>
      <w:tr w:rsidR="00A975C2" w14:paraId="32E92839" w14:textId="77777777" w:rsidTr="00B10D18">
        <w:trPr>
          <w:cantSplit/>
        </w:trPr>
        <w:tc>
          <w:tcPr>
            <w:tcW w:w="8771" w:type="dxa"/>
            <w:tcBorders>
              <w:top w:val="nil"/>
              <w:left w:val="nil"/>
              <w:bottom w:val="single" w:sz="6" w:space="0" w:color="78A22F"/>
              <w:right w:val="nil"/>
            </w:tcBorders>
            <w:shd w:val="clear" w:color="auto" w:fill="F2F2F2" w:themeFill="background1" w:themeFillShade="F2"/>
          </w:tcPr>
          <w:p w14:paraId="32E92838" w14:textId="77777777" w:rsidR="00A975C2" w:rsidRDefault="00A975C2" w:rsidP="00B10D18">
            <w:pPr>
              <w:pStyle w:val="Box"/>
              <w:spacing w:before="0" w:line="120" w:lineRule="exact"/>
            </w:pPr>
          </w:p>
        </w:tc>
      </w:tr>
    </w:tbl>
    <w:p w14:paraId="32E9283A" w14:textId="77777777" w:rsidR="00A975C2" w:rsidRDefault="00A975C2" w:rsidP="00A975C2">
      <w:pPr>
        <w:pStyle w:val="BodyText"/>
      </w:pPr>
    </w:p>
    <w:p w14:paraId="32E9283B" w14:textId="77777777" w:rsidR="00A975C2" w:rsidRPr="00415F39" w:rsidRDefault="00A975C2" w:rsidP="00A975C2">
      <w:pPr>
        <w:pStyle w:val="BodyText"/>
        <w:sectPr w:rsidR="00A975C2" w:rsidRPr="00415F39" w:rsidSect="002B7804">
          <w:headerReference w:type="default" r:id="rId10"/>
          <w:footerReference w:type="default" r:id="rId11"/>
          <w:pgSz w:w="11907" w:h="16840" w:code="9"/>
          <w:pgMar w:top="1560" w:right="1304" w:bottom="851" w:left="1814" w:header="1276" w:footer="397" w:gutter="0"/>
          <w:pgNumType w:fmt="lowerRoman" w:chapSep="period"/>
          <w:cols w:space="720"/>
          <w:titlePg/>
        </w:sectPr>
      </w:pPr>
    </w:p>
    <w:p w14:paraId="32E9283C" w14:textId="475D5467" w:rsidR="00177B42" w:rsidRDefault="00177B42" w:rsidP="00E94410">
      <w:pPr>
        <w:pStyle w:val="Heading2"/>
        <w:spacing w:before="240"/>
      </w:pPr>
      <w:bookmarkStart w:id="1" w:name="_Toc476907454"/>
      <w:bookmarkStart w:id="2" w:name="_Toc476910680"/>
      <w:bookmarkStart w:id="3" w:name="_Toc476910765"/>
      <w:bookmarkStart w:id="4" w:name="_Toc476915250"/>
      <w:bookmarkStart w:id="5" w:name="_Toc476916207"/>
      <w:bookmarkStart w:id="6" w:name="_Toc476916326"/>
      <w:bookmarkStart w:id="7" w:name="_Toc476307164"/>
      <w:bookmarkStart w:id="8" w:name="_Toc476307295"/>
      <w:bookmarkStart w:id="9" w:name="_Toc476308482"/>
      <w:bookmarkStart w:id="10" w:name="_Toc476309076"/>
      <w:bookmarkStart w:id="11" w:name="_Toc475361570"/>
      <w:bookmarkStart w:id="12" w:name="_Toc475614192"/>
      <w:bookmarkStart w:id="13" w:name="_Toc475628039"/>
      <w:bookmarkStart w:id="14" w:name="_Toc475628212"/>
      <w:bookmarkStart w:id="15" w:name="_Toc475634083"/>
      <w:bookmarkStart w:id="16" w:name="_Toc476312550"/>
      <w:bookmarkStart w:id="17" w:name="_Toc476312788"/>
      <w:bookmarkStart w:id="18" w:name="_Toc476312861"/>
      <w:bookmarkStart w:id="19" w:name="_Toc476318434"/>
      <w:bookmarkStart w:id="20" w:name="_Toc476320076"/>
      <w:bookmarkStart w:id="21" w:name="_Toc476322762"/>
      <w:bookmarkStart w:id="22" w:name="_Toc476324728"/>
      <w:bookmarkStart w:id="23" w:name="_Toc476326756"/>
      <w:r>
        <w:lastRenderedPageBreak/>
        <w:t>Terms of reference</w:t>
      </w:r>
      <w:bookmarkEnd w:id="1"/>
      <w:bookmarkEnd w:id="2"/>
      <w:bookmarkEnd w:id="3"/>
      <w:bookmarkEnd w:id="4"/>
      <w:bookmarkEnd w:id="5"/>
      <w:bookmarkEnd w:id="6"/>
    </w:p>
    <w:p w14:paraId="32E9283D" w14:textId="45072A5B" w:rsidR="00177B42" w:rsidRPr="00C83B59" w:rsidRDefault="00177B42" w:rsidP="00177B42">
      <w:pPr>
        <w:pStyle w:val="BodyText"/>
        <w:rPr>
          <w:rFonts w:ascii="Arial" w:hAnsi="Arial" w:cs="Arial"/>
          <w:b/>
          <w:lang w:val="en"/>
        </w:rPr>
      </w:pPr>
      <w:r w:rsidRPr="00C83B59">
        <w:rPr>
          <w:rFonts w:ascii="Arial" w:hAnsi="Arial" w:cs="Arial"/>
          <w:b/>
          <w:lang w:val="en"/>
        </w:rPr>
        <w:t>Inquiry into the reform of Australia’s water resources sector</w:t>
      </w:r>
    </w:p>
    <w:p w14:paraId="32E9283E" w14:textId="2C3BF9F2" w:rsidR="00177B42" w:rsidRPr="00B318CD" w:rsidRDefault="00177B42" w:rsidP="00E94410">
      <w:pPr>
        <w:pStyle w:val="BodyText"/>
        <w:spacing w:before="200"/>
      </w:pPr>
      <w:r w:rsidRPr="00B318CD">
        <w:t xml:space="preserve">I, Scott Morrison, Treasurer, pursuant to Parts 2 and 3 of the </w:t>
      </w:r>
      <w:r w:rsidR="00435A1C">
        <w:rPr>
          <w:i/>
        </w:rPr>
        <w:t>Productivity Commission Act </w:t>
      </w:r>
      <w:r w:rsidRPr="00435A1C">
        <w:rPr>
          <w:i/>
        </w:rPr>
        <w:t>1998</w:t>
      </w:r>
      <w:r w:rsidRPr="00B318CD">
        <w:t>, hereby request that the Produc</w:t>
      </w:r>
      <w:r w:rsidR="00650592">
        <w:t>tivity Commission undertake an I</w:t>
      </w:r>
      <w:r w:rsidRPr="00B318CD">
        <w:t>nquiry into progre</w:t>
      </w:r>
      <w:r w:rsidR="00411625">
        <w:t>ss with the reform of Australia’</w:t>
      </w:r>
      <w:r w:rsidR="00650592">
        <w:t>s water resources sector. The I</w:t>
      </w:r>
      <w:r w:rsidRPr="00B318CD">
        <w:t>nquiry should have a particular emphasis on the progress of all Australian governments in achieving the objectives, outcomes and timelines anticipated under the Intergovernmental Agreement on a National Water Initiative (</w:t>
      </w:r>
      <w:proofErr w:type="spellStart"/>
      <w:r w:rsidRPr="00B318CD">
        <w:t>NWI</w:t>
      </w:r>
      <w:proofErr w:type="spellEnd"/>
      <w:r w:rsidRPr="00B318CD">
        <w:t>).</w:t>
      </w:r>
    </w:p>
    <w:p w14:paraId="32E9283F" w14:textId="77777777" w:rsidR="00177B42" w:rsidRPr="006B2B34" w:rsidRDefault="00177B42" w:rsidP="00177B42">
      <w:pPr>
        <w:pStyle w:val="Heading3"/>
        <w:rPr>
          <w:lang w:val="en"/>
        </w:rPr>
      </w:pPr>
      <w:r w:rsidRPr="006B2B34">
        <w:rPr>
          <w:lang w:val="en"/>
        </w:rPr>
        <w:t>Background</w:t>
      </w:r>
    </w:p>
    <w:p w14:paraId="32E92841" w14:textId="1CA7511D" w:rsidR="00E94410" w:rsidRPr="006B2B34" w:rsidRDefault="00177B42" w:rsidP="00E94410">
      <w:pPr>
        <w:pStyle w:val="BodyText"/>
        <w:spacing w:before="200"/>
        <w:rPr>
          <w:lang w:val="en"/>
        </w:rPr>
      </w:pPr>
      <w:r w:rsidRPr="006B2B34">
        <w:rPr>
          <w:lang w:val="en"/>
        </w:rPr>
        <w:t xml:space="preserve">State and Territory governments are primarily responsible for the management of water resources within their jurisdictions. The Commonwealth has played a role in funding the acceleration of reform, </w:t>
      </w:r>
      <w:r w:rsidR="00E94410" w:rsidRPr="006B2B34">
        <w:rPr>
          <w:lang w:val="en"/>
        </w:rPr>
        <w:t xml:space="preserve">leadership and coordination, and management of some </w:t>
      </w:r>
      <w:proofErr w:type="spellStart"/>
      <w:r w:rsidR="00E94410" w:rsidRPr="006B2B34">
        <w:rPr>
          <w:lang w:val="en"/>
        </w:rPr>
        <w:t>transboundary</w:t>
      </w:r>
      <w:proofErr w:type="spellEnd"/>
      <w:r w:rsidR="00E94410" w:rsidRPr="006B2B34">
        <w:rPr>
          <w:lang w:val="en"/>
        </w:rPr>
        <w:t xml:space="preserve"> resources where agreed by relevant jurisdictions.</w:t>
      </w:r>
    </w:p>
    <w:p w14:paraId="32E92842" w14:textId="7FAE39E6" w:rsidR="00177B42" w:rsidRPr="006B2B34" w:rsidRDefault="0025325A" w:rsidP="00E94410">
      <w:pPr>
        <w:pStyle w:val="BodyText"/>
        <w:spacing w:before="200"/>
        <w:rPr>
          <w:lang w:val="en"/>
        </w:rPr>
      </w:pPr>
      <w:r>
        <w:rPr>
          <w:lang w:val="en"/>
        </w:rPr>
        <w:t>While Australia’</w:t>
      </w:r>
      <w:r w:rsidR="00177B42" w:rsidRPr="006B2B34">
        <w:rPr>
          <w:lang w:val="en"/>
        </w:rPr>
        <w:t>s water resources are generally regarded as well managed, our need to do so is also greater than most countries. There is scope to fu</w:t>
      </w:r>
      <w:r w:rsidR="003363EB">
        <w:rPr>
          <w:lang w:val="en"/>
        </w:rPr>
        <w:t>rther improve the water sectors’</w:t>
      </w:r>
      <w:r w:rsidR="00177B42" w:rsidRPr="006B2B34">
        <w:rPr>
          <w:lang w:val="en"/>
        </w:rPr>
        <w:t xml:space="preserve"> effectiveness and efficiency, including through consistent and coordinated regulatory and management arrangements that are aligned with the </w:t>
      </w:r>
      <w:proofErr w:type="spellStart"/>
      <w:r w:rsidR="00177B42" w:rsidRPr="006B2B34">
        <w:rPr>
          <w:lang w:val="en"/>
        </w:rPr>
        <w:t>NWI</w:t>
      </w:r>
      <w:proofErr w:type="spellEnd"/>
      <w:r w:rsidR="00177B42" w:rsidRPr="006B2B34">
        <w:rPr>
          <w:lang w:val="en"/>
        </w:rPr>
        <w:t>.</w:t>
      </w:r>
    </w:p>
    <w:p w14:paraId="32E92843" w14:textId="1FCF996A" w:rsidR="00177B42" w:rsidRPr="006B2B34" w:rsidRDefault="00177B42" w:rsidP="00E94410">
      <w:pPr>
        <w:pStyle w:val="BodyText"/>
        <w:spacing w:before="200"/>
        <w:rPr>
          <w:lang w:val="en"/>
        </w:rPr>
      </w:pPr>
      <w:r w:rsidRPr="006B2B34">
        <w:rPr>
          <w:lang w:val="en"/>
        </w:rPr>
        <w:t xml:space="preserve">Reform of the water sector has been ongoing over several decades, reflecting the fundamental importance of water to our economy and the significant challenges involved in managing a shared natural resource often impacted by periods of scarcity. A national approach to water reform started in 1994 through the landmark COAG water reform framework and has continued through subsequent initiatives such as the </w:t>
      </w:r>
      <w:proofErr w:type="spellStart"/>
      <w:r w:rsidRPr="006B2B34">
        <w:rPr>
          <w:lang w:val="en"/>
        </w:rPr>
        <w:t>NWI</w:t>
      </w:r>
      <w:proofErr w:type="spellEnd"/>
      <w:r w:rsidRPr="006B2B34">
        <w:rPr>
          <w:lang w:val="en"/>
        </w:rPr>
        <w:t xml:space="preserve"> (2004), the </w:t>
      </w:r>
      <w:r w:rsidR="003C748C">
        <w:rPr>
          <w:i/>
          <w:iCs/>
          <w:lang w:val="en"/>
        </w:rPr>
        <w:t>Water Act </w:t>
      </w:r>
      <w:r w:rsidRPr="006B2B34">
        <w:rPr>
          <w:i/>
          <w:iCs/>
          <w:lang w:val="en"/>
        </w:rPr>
        <w:t>2007</w:t>
      </w:r>
      <w:r w:rsidRPr="006B2B34">
        <w:rPr>
          <w:lang w:val="en"/>
        </w:rPr>
        <w:t xml:space="preserve"> (</w:t>
      </w:r>
      <w:proofErr w:type="spellStart"/>
      <w:r w:rsidRPr="006B2B34">
        <w:rPr>
          <w:lang w:val="en"/>
        </w:rPr>
        <w:t>Cwth</w:t>
      </w:r>
      <w:proofErr w:type="spellEnd"/>
      <w:r w:rsidRPr="006B2B34">
        <w:rPr>
          <w:lang w:val="en"/>
        </w:rPr>
        <w:t>) and the Murray</w:t>
      </w:r>
      <w:r w:rsidR="000C0C39">
        <w:t>–</w:t>
      </w:r>
      <w:r w:rsidRPr="006B2B34">
        <w:rPr>
          <w:lang w:val="en"/>
        </w:rPr>
        <w:t>Darling Basin Plan (November 2012).</w:t>
      </w:r>
    </w:p>
    <w:p w14:paraId="32E92844" w14:textId="4E58FA80" w:rsidR="00177B42" w:rsidRPr="006B2B34" w:rsidRDefault="00177B42" w:rsidP="00E94410">
      <w:pPr>
        <w:pStyle w:val="BodyText"/>
        <w:spacing w:before="200"/>
        <w:rPr>
          <w:lang w:val="en"/>
        </w:rPr>
      </w:pPr>
      <w:r w:rsidRPr="006B2B34">
        <w:rPr>
          <w:lang w:val="en"/>
        </w:rPr>
        <w:t xml:space="preserve">The </w:t>
      </w:r>
      <w:r w:rsidR="00650592">
        <w:rPr>
          <w:lang w:val="en"/>
        </w:rPr>
        <w:t>I</w:t>
      </w:r>
      <w:r>
        <w:rPr>
          <w:lang w:val="en"/>
        </w:rPr>
        <w:t>nquiry</w:t>
      </w:r>
      <w:r w:rsidR="003363EB">
        <w:rPr>
          <w:lang w:val="en"/>
        </w:rPr>
        <w:t xml:space="preserve"> into the reform of Australia’</w:t>
      </w:r>
      <w:r w:rsidRPr="006B2B34">
        <w:rPr>
          <w:lang w:val="en"/>
        </w:rPr>
        <w:t>s water resources sector will also fulfil the statutory requirement for the first</w:t>
      </w:r>
      <w:r w:rsidR="00411625">
        <w:rPr>
          <w:lang w:val="en"/>
        </w:rPr>
        <w:t xml:space="preserve"> of the Productivity Commission’</w:t>
      </w:r>
      <w:r w:rsidRPr="006B2B34">
        <w:rPr>
          <w:lang w:val="en"/>
        </w:rPr>
        <w:t xml:space="preserve">s triennial assessments of progress towards achieving </w:t>
      </w:r>
      <w:r w:rsidR="00650592">
        <w:rPr>
          <w:lang w:val="en"/>
        </w:rPr>
        <w:t xml:space="preserve">the </w:t>
      </w:r>
      <w:r w:rsidR="00650592" w:rsidRPr="006B2B34">
        <w:rPr>
          <w:lang w:val="en"/>
        </w:rPr>
        <w:t>objectives and outcomes of</w:t>
      </w:r>
      <w:r w:rsidR="00650592">
        <w:rPr>
          <w:lang w:val="en"/>
        </w:rPr>
        <w:t xml:space="preserve"> the </w:t>
      </w:r>
      <w:proofErr w:type="spellStart"/>
      <w:r w:rsidR="00650592">
        <w:rPr>
          <w:lang w:val="en"/>
        </w:rPr>
        <w:t>NWI</w:t>
      </w:r>
      <w:proofErr w:type="spellEnd"/>
      <w:r w:rsidR="00650592">
        <w:rPr>
          <w:lang w:val="en"/>
        </w:rPr>
        <w:t xml:space="preserve"> required by section 88 of the </w:t>
      </w:r>
      <w:r w:rsidR="00650592" w:rsidRPr="00435A1C">
        <w:rPr>
          <w:i/>
          <w:iCs/>
          <w:lang w:val="en"/>
        </w:rPr>
        <w:t>Water Act 2007</w:t>
      </w:r>
      <w:r w:rsidR="00650592" w:rsidRPr="006B2B34">
        <w:rPr>
          <w:lang w:val="en"/>
        </w:rPr>
        <w:t xml:space="preserve"> and should be read in conjunction with that Act. The findings and outcomes of the 2014 Triennial Review </w:t>
      </w:r>
      <w:r w:rsidRPr="006B2B34">
        <w:rPr>
          <w:lang w:val="en"/>
        </w:rPr>
        <w:t xml:space="preserve">the of the </w:t>
      </w:r>
      <w:proofErr w:type="spellStart"/>
      <w:r w:rsidRPr="006B2B34">
        <w:rPr>
          <w:lang w:val="en"/>
        </w:rPr>
        <w:t>NWI</w:t>
      </w:r>
      <w:proofErr w:type="spellEnd"/>
      <w:r w:rsidRPr="006B2B34">
        <w:rPr>
          <w:lang w:val="en"/>
        </w:rPr>
        <w:t xml:space="preserve"> undertaken by the National Water Commission are also relevant to the </w:t>
      </w:r>
      <w:r>
        <w:rPr>
          <w:lang w:val="en"/>
        </w:rPr>
        <w:t>inquiry</w:t>
      </w:r>
      <w:r w:rsidRPr="006B2B34">
        <w:rPr>
          <w:lang w:val="en"/>
        </w:rPr>
        <w:t>.</w:t>
      </w:r>
    </w:p>
    <w:p w14:paraId="32E92845" w14:textId="494860F3" w:rsidR="00177B42" w:rsidRPr="006B2B34" w:rsidRDefault="00177B42" w:rsidP="00177B42">
      <w:pPr>
        <w:pStyle w:val="BodyText"/>
        <w:rPr>
          <w:lang w:val="en"/>
        </w:rPr>
      </w:pPr>
      <w:r w:rsidRPr="006B2B34">
        <w:rPr>
          <w:lang w:val="en"/>
        </w:rPr>
        <w:t xml:space="preserve">Under the </w:t>
      </w:r>
      <w:r w:rsidRPr="00435A1C">
        <w:rPr>
          <w:i/>
          <w:iCs/>
          <w:lang w:val="en"/>
        </w:rPr>
        <w:t>Water Act 2007</w:t>
      </w:r>
      <w:r w:rsidRPr="006B2B34">
        <w:rPr>
          <w:lang w:val="en"/>
        </w:rPr>
        <w:t>, the Productivity Commissi</w:t>
      </w:r>
      <w:r w:rsidR="003363EB">
        <w:rPr>
          <w:lang w:val="en"/>
        </w:rPr>
        <w:t>on is also responsible for five</w:t>
      </w:r>
      <w:r w:rsidR="003363EB">
        <w:rPr>
          <w:lang w:val="en"/>
        </w:rPr>
        <w:noBreakHyphen/>
      </w:r>
      <w:r w:rsidRPr="006B2B34">
        <w:rPr>
          <w:lang w:val="en"/>
        </w:rPr>
        <w:t>yearly inquiries into the effectiveness of the implementation of the Murray</w:t>
      </w:r>
      <w:r w:rsidR="000C0C39">
        <w:t>–</w:t>
      </w:r>
      <w:r w:rsidRPr="006B2B34">
        <w:rPr>
          <w:lang w:val="en"/>
        </w:rPr>
        <w:t>Darling Basin Plan and the associated Basin state water resource plans, with the first inquiry to be completed by 31</w:t>
      </w:r>
      <w:r w:rsidR="002E14AB">
        <w:rPr>
          <w:lang w:val="en"/>
        </w:rPr>
        <w:t> </w:t>
      </w:r>
      <w:r w:rsidRPr="006B2B34">
        <w:rPr>
          <w:lang w:val="en"/>
        </w:rPr>
        <w:t>December 2018.</w:t>
      </w:r>
    </w:p>
    <w:p w14:paraId="32E92846" w14:textId="77777777" w:rsidR="00177B42" w:rsidRPr="006B2B34" w:rsidRDefault="00177B42" w:rsidP="00177B42">
      <w:pPr>
        <w:pStyle w:val="Heading3"/>
        <w:rPr>
          <w:lang w:val="en"/>
        </w:rPr>
      </w:pPr>
      <w:r w:rsidRPr="006B2B34">
        <w:rPr>
          <w:lang w:val="en"/>
        </w:rPr>
        <w:lastRenderedPageBreak/>
        <w:t>Scope of the inquiry</w:t>
      </w:r>
    </w:p>
    <w:p w14:paraId="32E92847" w14:textId="35C18961" w:rsidR="00177B42" w:rsidRPr="006B2B34" w:rsidRDefault="00177B42" w:rsidP="00177B42">
      <w:pPr>
        <w:pStyle w:val="BodyText"/>
        <w:rPr>
          <w:lang w:val="en"/>
        </w:rPr>
      </w:pPr>
      <w:r w:rsidRPr="006B2B34">
        <w:rPr>
          <w:lang w:val="en"/>
        </w:rPr>
        <w:t xml:space="preserve">The </w:t>
      </w:r>
      <w:r w:rsidR="00650592">
        <w:rPr>
          <w:lang w:val="en"/>
        </w:rPr>
        <w:t>I</w:t>
      </w:r>
      <w:r>
        <w:rPr>
          <w:lang w:val="en"/>
        </w:rPr>
        <w:t>nquiry</w:t>
      </w:r>
      <w:r w:rsidRPr="006B2B34">
        <w:rPr>
          <w:lang w:val="en"/>
        </w:rPr>
        <w:t xml:space="preserve"> should assess progress towards achieving the objectives and outcomes of the </w:t>
      </w:r>
      <w:proofErr w:type="spellStart"/>
      <w:r w:rsidRPr="006B2B34">
        <w:rPr>
          <w:lang w:val="en"/>
        </w:rPr>
        <w:t>NWI</w:t>
      </w:r>
      <w:proofErr w:type="spellEnd"/>
      <w:r w:rsidRPr="006B2B34">
        <w:rPr>
          <w:lang w:val="en"/>
        </w:rPr>
        <w:t xml:space="preserve">. The Commission should draw on published reports, available data sources and information requested from </w:t>
      </w:r>
      <w:proofErr w:type="spellStart"/>
      <w:r w:rsidRPr="006B2B34">
        <w:rPr>
          <w:lang w:val="en"/>
        </w:rPr>
        <w:t>NWI</w:t>
      </w:r>
      <w:proofErr w:type="spellEnd"/>
      <w:r w:rsidRPr="006B2B34">
        <w:rPr>
          <w:lang w:val="en"/>
        </w:rPr>
        <w:t xml:space="preserve"> parties. As the </w:t>
      </w:r>
      <w:proofErr w:type="spellStart"/>
      <w:r w:rsidRPr="006B2B34">
        <w:rPr>
          <w:lang w:val="en"/>
        </w:rPr>
        <w:t>NWI</w:t>
      </w:r>
      <w:proofErr w:type="spellEnd"/>
      <w:r w:rsidRPr="006B2B34">
        <w:rPr>
          <w:lang w:val="en"/>
        </w:rPr>
        <w:t xml:space="preserve"> was agreed in 2004, the scope of the </w:t>
      </w:r>
      <w:r w:rsidR="00650592">
        <w:rPr>
          <w:lang w:val="en"/>
        </w:rPr>
        <w:t>I</w:t>
      </w:r>
      <w:r>
        <w:rPr>
          <w:lang w:val="en"/>
        </w:rPr>
        <w:t>nquiry</w:t>
      </w:r>
      <w:r w:rsidRPr="006B2B34">
        <w:rPr>
          <w:lang w:val="en"/>
        </w:rPr>
        <w:t xml:space="preserve"> is broader than that explicitly required by legislation. The </w:t>
      </w:r>
      <w:r w:rsidR="00650592">
        <w:rPr>
          <w:lang w:val="en"/>
        </w:rPr>
        <w:t>I</w:t>
      </w:r>
      <w:r>
        <w:rPr>
          <w:lang w:val="en"/>
        </w:rPr>
        <w:t>nquiry</w:t>
      </w:r>
      <w:r w:rsidRPr="006B2B34">
        <w:rPr>
          <w:lang w:val="en"/>
        </w:rPr>
        <w:t xml:space="preserve"> should also examine whether the water reforms agreed in the </w:t>
      </w:r>
      <w:proofErr w:type="spellStart"/>
      <w:r w:rsidRPr="006B2B34">
        <w:rPr>
          <w:lang w:val="en"/>
        </w:rPr>
        <w:t>NWI</w:t>
      </w:r>
      <w:proofErr w:type="spellEnd"/>
      <w:r w:rsidRPr="006B2B34">
        <w:rPr>
          <w:lang w:val="en"/>
        </w:rPr>
        <w:t>, along with any other subsequent reforms adopted by COAG, are achieving their intended outcomes.</w:t>
      </w:r>
    </w:p>
    <w:p w14:paraId="32E92848" w14:textId="77777777" w:rsidR="00177B42" w:rsidRPr="006B2B34" w:rsidRDefault="00177B42" w:rsidP="00177B42">
      <w:pPr>
        <w:pStyle w:val="BodyText"/>
        <w:rPr>
          <w:lang w:val="en"/>
        </w:rPr>
      </w:pPr>
      <w:r w:rsidRPr="006B2B34">
        <w:rPr>
          <w:lang w:val="en"/>
        </w:rPr>
        <w:t xml:space="preserve">In undertaking the </w:t>
      </w:r>
      <w:r>
        <w:rPr>
          <w:lang w:val="en"/>
        </w:rPr>
        <w:t>inquiry</w:t>
      </w:r>
      <w:r w:rsidRPr="006B2B34">
        <w:rPr>
          <w:lang w:val="en"/>
        </w:rPr>
        <w:t>, the Commission should assess:</w:t>
      </w:r>
    </w:p>
    <w:p w14:paraId="32E92849" w14:textId="77777777" w:rsidR="00177B42" w:rsidRPr="006B2B34" w:rsidRDefault="00177B42" w:rsidP="00177B42">
      <w:pPr>
        <w:pStyle w:val="ListBullet"/>
        <w:rPr>
          <w:lang w:val="en"/>
        </w:rPr>
      </w:pPr>
      <w:r w:rsidRPr="006B2B34">
        <w:rPr>
          <w:lang w:val="en"/>
        </w:rPr>
        <w:t xml:space="preserve">progress in jurisdictional adoption of </w:t>
      </w:r>
      <w:proofErr w:type="spellStart"/>
      <w:r w:rsidRPr="006B2B34">
        <w:rPr>
          <w:lang w:val="en"/>
        </w:rPr>
        <w:t>NWI</w:t>
      </w:r>
      <w:proofErr w:type="spellEnd"/>
      <w:r w:rsidRPr="006B2B34">
        <w:rPr>
          <w:lang w:val="en"/>
        </w:rPr>
        <w:t xml:space="preserve"> principles</w:t>
      </w:r>
    </w:p>
    <w:p w14:paraId="32E9284A" w14:textId="77777777" w:rsidR="00177B42" w:rsidRPr="006B2B34" w:rsidRDefault="00177B42" w:rsidP="00177B42">
      <w:pPr>
        <w:pStyle w:val="ListBullet"/>
        <w:rPr>
          <w:lang w:val="en"/>
        </w:rPr>
      </w:pPr>
      <w:r w:rsidRPr="006B2B34">
        <w:rPr>
          <w:lang w:val="en"/>
        </w:rPr>
        <w:t xml:space="preserve">the outcomes to date of the </w:t>
      </w:r>
      <w:proofErr w:type="spellStart"/>
      <w:r w:rsidRPr="006B2B34">
        <w:rPr>
          <w:lang w:val="en"/>
        </w:rPr>
        <w:t>NWI</w:t>
      </w:r>
      <w:proofErr w:type="spellEnd"/>
      <w:r w:rsidRPr="006B2B34">
        <w:rPr>
          <w:lang w:val="en"/>
        </w:rPr>
        <w:t xml:space="preserve"> and related water reform efforts, taking account of other drivers of reform</w:t>
      </w:r>
    </w:p>
    <w:p w14:paraId="32E9284B" w14:textId="77777777" w:rsidR="00177B42" w:rsidRPr="006B2B34" w:rsidRDefault="00177B42" w:rsidP="00177B42">
      <w:pPr>
        <w:pStyle w:val="ListBullet"/>
        <w:rPr>
          <w:lang w:val="en"/>
        </w:rPr>
      </w:pPr>
      <w:r w:rsidRPr="006B2B34">
        <w:rPr>
          <w:lang w:val="en"/>
        </w:rPr>
        <w:t>progress against the recommendations in the Nat</w:t>
      </w:r>
      <w:r w:rsidR="00411625">
        <w:rPr>
          <w:lang w:val="en"/>
        </w:rPr>
        <w:t>ional Water Commission’</w:t>
      </w:r>
      <w:r w:rsidRPr="006B2B34">
        <w:rPr>
          <w:lang w:val="en"/>
        </w:rPr>
        <w:t>s National Reform Assessment 2014, and</w:t>
      </w:r>
    </w:p>
    <w:p w14:paraId="32E9284C" w14:textId="77777777" w:rsidR="00177B42" w:rsidRPr="006B2B34" w:rsidRDefault="00177B42" w:rsidP="00177B42">
      <w:pPr>
        <w:pStyle w:val="ListBullet"/>
        <w:rPr>
          <w:lang w:val="en"/>
        </w:rPr>
      </w:pPr>
      <w:r w:rsidRPr="006B2B34">
        <w:rPr>
          <w:lang w:val="en"/>
        </w:rPr>
        <w:t xml:space="preserve">the extent to which the </w:t>
      </w:r>
      <w:proofErr w:type="spellStart"/>
      <w:r w:rsidRPr="006B2B34">
        <w:rPr>
          <w:lang w:val="en"/>
        </w:rPr>
        <w:t>NWI</w:t>
      </w:r>
      <w:proofErr w:type="spellEnd"/>
      <w:r w:rsidRPr="006B2B34">
        <w:rPr>
          <w:lang w:val="en"/>
        </w:rPr>
        <w:t xml:space="preserve"> reforms are adequate to support government responses to emerging or changing water management challenges, including in the urban sector.</w:t>
      </w:r>
    </w:p>
    <w:p w14:paraId="32E9284D" w14:textId="77777777" w:rsidR="00177B42" w:rsidRPr="006B2B34" w:rsidRDefault="00177B42" w:rsidP="00177B42">
      <w:pPr>
        <w:pStyle w:val="BodyText"/>
        <w:rPr>
          <w:lang w:val="en"/>
        </w:rPr>
      </w:pPr>
      <w:r w:rsidRPr="006B2B34">
        <w:rPr>
          <w:lang w:val="en"/>
        </w:rPr>
        <w:t>The Commission should also consider:</w:t>
      </w:r>
    </w:p>
    <w:p w14:paraId="32E9284E" w14:textId="77777777" w:rsidR="00177B42" w:rsidRPr="006B2B34" w:rsidRDefault="00177B42" w:rsidP="00177B42">
      <w:pPr>
        <w:pStyle w:val="ListBullet"/>
        <w:rPr>
          <w:lang w:val="en"/>
        </w:rPr>
      </w:pPr>
      <w:r w:rsidRPr="006B2B34">
        <w:rPr>
          <w:lang w:val="en"/>
        </w:rPr>
        <w:t xml:space="preserve">the potential and </w:t>
      </w:r>
      <w:proofErr w:type="spellStart"/>
      <w:r w:rsidRPr="006B2B34">
        <w:rPr>
          <w:lang w:val="en"/>
        </w:rPr>
        <w:t>realised</w:t>
      </w:r>
      <w:proofErr w:type="spellEnd"/>
      <w:r w:rsidRPr="006B2B34">
        <w:rPr>
          <w:lang w:val="en"/>
        </w:rPr>
        <w:t xml:space="preserve"> benefits of </w:t>
      </w:r>
      <w:proofErr w:type="spellStart"/>
      <w:r w:rsidRPr="006B2B34">
        <w:rPr>
          <w:lang w:val="en"/>
        </w:rPr>
        <w:t>NWI</w:t>
      </w:r>
      <w:proofErr w:type="spellEnd"/>
      <w:r w:rsidRPr="006B2B34">
        <w:rPr>
          <w:lang w:val="en"/>
        </w:rPr>
        <w:t xml:space="preserve"> implementation</w:t>
      </w:r>
    </w:p>
    <w:p w14:paraId="32E9284F" w14:textId="77777777" w:rsidR="00177B42" w:rsidRPr="006B2B34" w:rsidRDefault="00177B42" w:rsidP="00177B42">
      <w:pPr>
        <w:pStyle w:val="ListBullet"/>
        <w:rPr>
          <w:lang w:val="en"/>
        </w:rPr>
      </w:pPr>
      <w:r w:rsidRPr="006B2B34">
        <w:rPr>
          <w:lang w:val="en"/>
        </w:rPr>
        <w:t xml:space="preserve">the scope for improving the </w:t>
      </w:r>
      <w:proofErr w:type="spellStart"/>
      <w:r w:rsidRPr="006B2B34">
        <w:rPr>
          <w:lang w:val="en"/>
        </w:rPr>
        <w:t>NWI</w:t>
      </w:r>
      <w:proofErr w:type="spellEnd"/>
      <w:r w:rsidRPr="006B2B34">
        <w:rPr>
          <w:lang w:val="en"/>
        </w:rPr>
        <w:t>, addressing current and future challenges</w:t>
      </w:r>
    </w:p>
    <w:p w14:paraId="32E92850" w14:textId="77777777" w:rsidR="00177B42" w:rsidRPr="006B2B34" w:rsidRDefault="00177B42" w:rsidP="00177B42">
      <w:pPr>
        <w:pStyle w:val="ListBullet"/>
        <w:rPr>
          <w:lang w:val="en"/>
        </w:rPr>
      </w:pPr>
      <w:r w:rsidRPr="006B2B34">
        <w:rPr>
          <w:lang w:val="en"/>
        </w:rPr>
        <w:t xml:space="preserve">broader water policy issues and the role of the </w:t>
      </w:r>
      <w:proofErr w:type="spellStart"/>
      <w:r w:rsidRPr="006B2B34">
        <w:rPr>
          <w:lang w:val="en"/>
        </w:rPr>
        <w:t>NWI</w:t>
      </w:r>
      <w:proofErr w:type="spellEnd"/>
      <w:r w:rsidRPr="006B2B34">
        <w:rPr>
          <w:lang w:val="en"/>
        </w:rPr>
        <w:t xml:space="preserve"> in improving outcomes, in particular: </w:t>
      </w:r>
    </w:p>
    <w:p w14:paraId="32E92851" w14:textId="77777777" w:rsidR="00177B42" w:rsidRPr="006B2B34" w:rsidRDefault="00177B42" w:rsidP="00177B42">
      <w:pPr>
        <w:pStyle w:val="ListBullet2"/>
        <w:rPr>
          <w:lang w:val="en"/>
        </w:rPr>
      </w:pPr>
      <w:r w:rsidRPr="006B2B34">
        <w:rPr>
          <w:lang w:val="en"/>
        </w:rPr>
        <w:t>the interaction of water policy with other policy areas such as energy, agriculture, planning, urban supply</w:t>
      </w:r>
    </w:p>
    <w:p w14:paraId="32E92852" w14:textId="74CBCCFB" w:rsidR="00177B42" w:rsidRPr="006B2B34" w:rsidRDefault="00177B42" w:rsidP="00177B42">
      <w:pPr>
        <w:pStyle w:val="ListBullet2"/>
        <w:rPr>
          <w:lang w:val="en"/>
        </w:rPr>
      </w:pPr>
      <w:r w:rsidRPr="006B2B34">
        <w:rPr>
          <w:lang w:val="en"/>
        </w:rPr>
        <w:t>whole</w:t>
      </w:r>
      <w:r w:rsidR="003F5FF6">
        <w:rPr>
          <w:lang w:val="en"/>
        </w:rPr>
        <w:noBreakHyphen/>
      </w:r>
      <w:r w:rsidRPr="006B2B34">
        <w:rPr>
          <w:lang w:val="en"/>
        </w:rPr>
        <w:t>of</w:t>
      </w:r>
      <w:r w:rsidR="003F5FF6">
        <w:rPr>
          <w:lang w:val="en"/>
        </w:rPr>
        <w:noBreakHyphen/>
      </w:r>
      <w:r w:rsidRPr="006B2B34">
        <w:rPr>
          <w:lang w:val="en"/>
        </w:rPr>
        <w:t>cycle water management</w:t>
      </w:r>
    </w:p>
    <w:p w14:paraId="32E92853" w14:textId="77777777" w:rsidR="00177B42" w:rsidRPr="006B2B34" w:rsidRDefault="00177B42" w:rsidP="00177B42">
      <w:pPr>
        <w:pStyle w:val="ListBullet2"/>
        <w:rPr>
          <w:lang w:val="en"/>
        </w:rPr>
      </w:pPr>
      <w:r w:rsidRPr="006B2B34">
        <w:rPr>
          <w:lang w:val="en"/>
        </w:rPr>
        <w:t>provision to regional, rural and remote communities, and</w:t>
      </w:r>
    </w:p>
    <w:p w14:paraId="32E92854" w14:textId="77777777" w:rsidR="00177B42" w:rsidRPr="006B2B34" w:rsidRDefault="00177B42" w:rsidP="00177B42">
      <w:pPr>
        <w:pStyle w:val="ListBullet2"/>
        <w:rPr>
          <w:lang w:val="en"/>
        </w:rPr>
      </w:pPr>
      <w:r w:rsidRPr="006B2B34">
        <w:rPr>
          <w:lang w:val="en"/>
        </w:rPr>
        <w:t>the economically efficient provision of water infrastructure.</w:t>
      </w:r>
    </w:p>
    <w:p w14:paraId="32E92855" w14:textId="11FDFF69" w:rsidR="00177B42" w:rsidRDefault="00177B42" w:rsidP="00177B42">
      <w:pPr>
        <w:pStyle w:val="BodyText"/>
        <w:rPr>
          <w:lang w:val="en"/>
        </w:rPr>
      </w:pPr>
      <w:r w:rsidRPr="006B2B34">
        <w:rPr>
          <w:lang w:val="en"/>
        </w:rPr>
        <w:t xml:space="preserve">The Commission should avoid any duplication between this </w:t>
      </w:r>
      <w:r w:rsidR="00650592">
        <w:rPr>
          <w:lang w:val="en"/>
        </w:rPr>
        <w:t>I</w:t>
      </w:r>
      <w:r>
        <w:rPr>
          <w:lang w:val="en"/>
        </w:rPr>
        <w:t>nquiry</w:t>
      </w:r>
      <w:r w:rsidRPr="006B2B34">
        <w:rPr>
          <w:lang w:val="en"/>
        </w:rPr>
        <w:t xml:space="preserve"> and the subsequent </w:t>
      </w:r>
      <w:r w:rsidR="00650592">
        <w:rPr>
          <w:lang w:val="en"/>
        </w:rPr>
        <w:t>I</w:t>
      </w:r>
      <w:r>
        <w:rPr>
          <w:lang w:val="en"/>
        </w:rPr>
        <w:t>nquiry</w:t>
      </w:r>
      <w:r w:rsidRPr="006B2B34">
        <w:rPr>
          <w:lang w:val="en"/>
        </w:rPr>
        <w:t xml:space="preserve"> into the effectiveness of the implementation of the Basin Plan and the state and territory water resource plans.</w:t>
      </w:r>
    </w:p>
    <w:p w14:paraId="32E92856" w14:textId="77777777" w:rsidR="00177B42" w:rsidRPr="006B2B34" w:rsidRDefault="00177B42" w:rsidP="00177B42">
      <w:pPr>
        <w:pStyle w:val="BodyText"/>
        <w:rPr>
          <w:lang w:val="en"/>
        </w:rPr>
      </w:pPr>
      <w:r w:rsidRPr="006B2B34">
        <w:rPr>
          <w:lang w:val="en"/>
        </w:rPr>
        <w:t xml:space="preserve">The Commission should make recommendations on actions that the parties to the </w:t>
      </w:r>
      <w:proofErr w:type="spellStart"/>
      <w:r w:rsidRPr="006B2B34">
        <w:rPr>
          <w:lang w:val="en"/>
        </w:rPr>
        <w:t>NWI</w:t>
      </w:r>
      <w:proofErr w:type="spellEnd"/>
      <w:r w:rsidRPr="006B2B34">
        <w:rPr>
          <w:lang w:val="en"/>
        </w:rPr>
        <w:t xml:space="preserve"> might take to better achieve the </w:t>
      </w:r>
      <w:proofErr w:type="spellStart"/>
      <w:r w:rsidRPr="006B2B34">
        <w:rPr>
          <w:lang w:val="en"/>
        </w:rPr>
        <w:t>NWI</w:t>
      </w:r>
      <w:proofErr w:type="spellEnd"/>
      <w:r w:rsidRPr="006B2B34">
        <w:rPr>
          <w:lang w:val="en"/>
        </w:rPr>
        <w:t xml:space="preserve"> objectives and outcomes, and recommendations for future reform priorities.</w:t>
      </w:r>
    </w:p>
    <w:p w14:paraId="32E92857" w14:textId="5868B7E6" w:rsidR="00177B42" w:rsidRPr="006B2B34" w:rsidRDefault="00177B42" w:rsidP="00177B42">
      <w:pPr>
        <w:pStyle w:val="BodyText"/>
        <w:rPr>
          <w:lang w:val="en"/>
        </w:rPr>
      </w:pPr>
      <w:r w:rsidRPr="006B2B34">
        <w:rPr>
          <w:lang w:val="en"/>
        </w:rPr>
        <w:t xml:space="preserve">The </w:t>
      </w:r>
      <w:proofErr w:type="spellStart"/>
      <w:r w:rsidRPr="006B2B34">
        <w:rPr>
          <w:lang w:val="en"/>
        </w:rPr>
        <w:t>prioritisation</w:t>
      </w:r>
      <w:proofErr w:type="spellEnd"/>
      <w:r w:rsidRPr="006B2B34">
        <w:rPr>
          <w:lang w:val="en"/>
        </w:rPr>
        <w:t xml:space="preserve"> of areas for future reform effort</w:t>
      </w:r>
      <w:r w:rsidR="003363EB">
        <w:rPr>
          <w:lang w:val="en"/>
        </w:rPr>
        <w:t>s should reflect the Commission’</w:t>
      </w:r>
      <w:r w:rsidRPr="006B2B34">
        <w:rPr>
          <w:lang w:val="en"/>
        </w:rPr>
        <w:t xml:space="preserve">s view as to those areas where continued efforts are required to improve economic, social and environmental outcomes, maintain the gains achieved to date, or where improved outcomes will be delivered from further development of water resources. In doing so, the </w:t>
      </w:r>
      <w:r w:rsidRPr="006B2B34">
        <w:rPr>
          <w:lang w:val="en"/>
        </w:rPr>
        <w:lastRenderedPageBreak/>
        <w:t xml:space="preserve">Commission may consider the effectiveness of water reforms adopted by COAG subsequent to the </w:t>
      </w:r>
      <w:proofErr w:type="spellStart"/>
      <w:r w:rsidRPr="006B2B34">
        <w:rPr>
          <w:lang w:val="en"/>
        </w:rPr>
        <w:t>NWI</w:t>
      </w:r>
      <w:proofErr w:type="spellEnd"/>
      <w:r w:rsidRPr="006B2B34">
        <w:rPr>
          <w:lang w:val="en"/>
        </w:rPr>
        <w:t xml:space="preserve">, such as the 2008 </w:t>
      </w:r>
      <w:r w:rsidRPr="006B2B34">
        <w:rPr>
          <w:i/>
          <w:iCs/>
          <w:lang w:val="en"/>
        </w:rPr>
        <w:t xml:space="preserve">Work </w:t>
      </w:r>
      <w:proofErr w:type="spellStart"/>
      <w:r w:rsidRPr="006B2B34">
        <w:rPr>
          <w:i/>
          <w:iCs/>
          <w:lang w:val="en"/>
        </w:rPr>
        <w:t>Programme</w:t>
      </w:r>
      <w:proofErr w:type="spellEnd"/>
      <w:r w:rsidRPr="006B2B34">
        <w:rPr>
          <w:i/>
          <w:iCs/>
          <w:lang w:val="en"/>
        </w:rPr>
        <w:t xml:space="preserve"> on Water</w:t>
      </w:r>
      <w:r w:rsidR="002E14AB">
        <w:rPr>
          <w:lang w:val="en"/>
        </w:rPr>
        <w:t xml:space="preserve"> and the 2012 </w:t>
      </w:r>
      <w:r w:rsidRPr="006B2B34">
        <w:rPr>
          <w:i/>
          <w:iCs/>
          <w:lang w:val="en"/>
        </w:rPr>
        <w:t>Next Steps in National Water Reform: Preparation for the Future</w:t>
      </w:r>
      <w:r w:rsidRPr="006B2B34">
        <w:rPr>
          <w:lang w:val="en"/>
        </w:rPr>
        <w:t>.</w:t>
      </w:r>
    </w:p>
    <w:p w14:paraId="32E92858" w14:textId="77777777" w:rsidR="00177B42" w:rsidRPr="006B2B34" w:rsidRDefault="00177B42" w:rsidP="00177B42">
      <w:pPr>
        <w:pStyle w:val="Heading3"/>
        <w:rPr>
          <w:lang w:val="en"/>
        </w:rPr>
      </w:pPr>
      <w:r w:rsidRPr="006B2B34">
        <w:rPr>
          <w:lang w:val="en"/>
        </w:rPr>
        <w:t>Process</w:t>
      </w:r>
    </w:p>
    <w:p w14:paraId="32E92859" w14:textId="26670F5B" w:rsidR="00177B42" w:rsidRPr="006B2B34" w:rsidRDefault="00177B42" w:rsidP="00177B42">
      <w:pPr>
        <w:pStyle w:val="BodyText"/>
        <w:rPr>
          <w:lang w:val="en"/>
        </w:rPr>
      </w:pPr>
      <w:r w:rsidRPr="006B2B34">
        <w:rPr>
          <w:lang w:val="en"/>
        </w:rPr>
        <w:t>The Commission should undertake a comprehensive consultation process including establishing a stakeholder working group in accordance with section</w:t>
      </w:r>
      <w:r w:rsidR="00A61F0C">
        <w:rPr>
          <w:lang w:val="en"/>
        </w:rPr>
        <w:t> </w:t>
      </w:r>
      <w:r w:rsidRPr="006B2B34">
        <w:rPr>
          <w:lang w:val="en"/>
        </w:rPr>
        <w:t xml:space="preserve">89 of the </w:t>
      </w:r>
      <w:r w:rsidR="003C748C">
        <w:rPr>
          <w:i/>
          <w:iCs/>
          <w:lang w:val="en"/>
        </w:rPr>
        <w:t>Water Act </w:t>
      </w:r>
      <w:r w:rsidRPr="006B2B34">
        <w:rPr>
          <w:i/>
          <w:iCs/>
          <w:lang w:val="en"/>
        </w:rPr>
        <w:t>2007</w:t>
      </w:r>
      <w:r w:rsidRPr="006B2B34">
        <w:rPr>
          <w:lang w:val="en"/>
        </w:rPr>
        <w:t>, holding hearings, inviting public submissions and releasing a draft report to the public. The Commission should consult with Commonwealth, state and territory governments, consumer representatives and industry stakeholders, including from the irrigated agriculture, mining and urban water supply sectors.</w:t>
      </w:r>
    </w:p>
    <w:p w14:paraId="32E9285A" w14:textId="77777777" w:rsidR="00177B42" w:rsidRPr="006B2B34" w:rsidRDefault="00177B42" w:rsidP="00177B42">
      <w:pPr>
        <w:pStyle w:val="BodyText"/>
        <w:rPr>
          <w:lang w:val="en"/>
        </w:rPr>
      </w:pPr>
      <w:r w:rsidRPr="006B2B34">
        <w:rPr>
          <w:lang w:val="en"/>
        </w:rPr>
        <w:t>In conducting the analysis, the Commission should have regard to the submissions and reports of all relevant inquiries and government responses, including reports by the National Water Commission, Infrastructure Australia and the Harper Competition Policy Review. The Commission should also take into account reform initiatives at the jurisdictional level relevant to the scope of the inquiry.</w:t>
      </w:r>
    </w:p>
    <w:p w14:paraId="32E9285B" w14:textId="77777777" w:rsidR="00177B42" w:rsidRPr="006B2B34" w:rsidRDefault="00177B42" w:rsidP="00177B42">
      <w:pPr>
        <w:pStyle w:val="BodyText"/>
        <w:rPr>
          <w:lang w:val="en"/>
        </w:rPr>
      </w:pPr>
      <w:r w:rsidRPr="006B2B34">
        <w:rPr>
          <w:lang w:val="en"/>
        </w:rPr>
        <w:t>The final report is to be p</w:t>
      </w:r>
      <w:r w:rsidR="003C748C">
        <w:rPr>
          <w:lang w:val="en"/>
        </w:rPr>
        <w:t>rovided to the Government by 31 </w:t>
      </w:r>
      <w:r w:rsidRPr="006B2B34">
        <w:rPr>
          <w:lang w:val="en"/>
        </w:rPr>
        <w:t>December 2017.</w:t>
      </w:r>
    </w:p>
    <w:p w14:paraId="32E9285C" w14:textId="77777777" w:rsidR="00177B42" w:rsidRPr="001F2083" w:rsidRDefault="00177B42" w:rsidP="008D1222">
      <w:pPr>
        <w:pStyle w:val="BodyText"/>
        <w:spacing w:before="360"/>
        <w:jc w:val="left"/>
        <w:rPr>
          <w:b/>
          <w:lang w:val="en"/>
        </w:rPr>
      </w:pPr>
      <w:r w:rsidRPr="001F2083">
        <w:rPr>
          <w:b/>
          <w:lang w:val="en"/>
        </w:rPr>
        <w:t>Scott Morrison</w:t>
      </w:r>
      <w:r w:rsidRPr="001F2083">
        <w:rPr>
          <w:b/>
          <w:lang w:val="en"/>
        </w:rPr>
        <w:br/>
        <w:t>Treasurer</w:t>
      </w:r>
    </w:p>
    <w:p w14:paraId="32E9285E" w14:textId="2E6E5BB9" w:rsidR="00177B42" w:rsidRPr="008E084F" w:rsidRDefault="00177B42" w:rsidP="00573A6E">
      <w:pPr>
        <w:pStyle w:val="BodyText"/>
      </w:pPr>
      <w:r w:rsidRPr="006B2B34">
        <w:rPr>
          <w:lang w:val="en"/>
        </w:rPr>
        <w:t>[Received 1 February 2017]</w:t>
      </w:r>
      <w:r w:rsidR="008E084F">
        <w:rPr>
          <w:lang w:val="en"/>
        </w:rPr>
        <w:t xml:space="preserve"> </w:t>
      </w:r>
      <w:r>
        <w:br w:type="page"/>
      </w:r>
    </w:p>
    <w:p w14:paraId="65FEB06F" w14:textId="77777777" w:rsidR="00C83B59" w:rsidRDefault="00C83B59" w:rsidP="00C83B59">
      <w:pPr>
        <w:keepNext/>
        <w:spacing w:after="600" w:line="400" w:lineRule="exact"/>
        <w:ind w:left="907" w:hanging="907"/>
        <w:outlineLvl w:val="1"/>
        <w:rPr>
          <w:rFonts w:ascii="Arial" w:hAnsi="Arial"/>
          <w:b/>
          <w:sz w:val="32"/>
          <w:szCs w:val="20"/>
        </w:rPr>
      </w:pPr>
      <w:bookmarkStart w:id="24" w:name="_Toc438195734"/>
      <w:bookmarkStart w:id="25" w:name="_Toc438195859"/>
      <w:bookmarkStart w:id="26" w:name="_Toc438195898"/>
      <w:bookmarkStart w:id="27" w:name="_Toc438197961"/>
      <w:bookmarkStart w:id="28" w:name="_Toc438202819"/>
      <w:bookmarkStart w:id="29" w:name="_Toc438203910"/>
      <w:bookmarkStart w:id="30" w:name="_Toc438204243"/>
      <w:bookmarkStart w:id="31" w:name="_Toc438204916"/>
      <w:bookmarkEnd w:id="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64584B">
        <w:rPr>
          <w:rFonts w:ascii="Arial" w:hAnsi="Arial"/>
          <w:b/>
          <w:sz w:val="32"/>
          <w:szCs w:val="20"/>
        </w:rPr>
        <w:lastRenderedPageBreak/>
        <w:t>Contents</w:t>
      </w:r>
    </w:p>
    <w:p w14:paraId="75302AD0" w14:textId="738443F9" w:rsidR="008D1222" w:rsidRDefault="008E084F" w:rsidP="008D1222">
      <w:pPr>
        <w:pStyle w:val="TOC1"/>
        <w:rPr>
          <w:rFonts w:asciiTheme="minorHAnsi" w:eastAsiaTheme="minorEastAsia" w:hAnsiTheme="minorHAnsi" w:cstheme="minorBidi"/>
          <w:noProof/>
          <w:sz w:val="22"/>
          <w:szCs w:val="22"/>
          <w:lang w:eastAsia="en-AU"/>
        </w:rPr>
      </w:pPr>
      <w:r>
        <w:rPr>
          <w:noProof/>
        </w:rPr>
        <w:t>Terms of reference</w:t>
      </w:r>
      <w:r>
        <w:rPr>
          <w:noProof/>
        </w:rPr>
        <w:tab/>
        <w:t>iii</w:t>
      </w:r>
    </w:p>
    <w:p w14:paraId="53E759C2" w14:textId="45B75CF1" w:rsidR="008D1222" w:rsidRDefault="008D1222" w:rsidP="008D1222">
      <w:pPr>
        <w:pStyle w:val="TOC1"/>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What is this inquiry about?</w:t>
      </w:r>
      <w:r>
        <w:rPr>
          <w:noProof/>
        </w:rPr>
        <w:tab/>
      </w:r>
      <w:r w:rsidR="008E084F">
        <w:rPr>
          <w:noProof/>
        </w:rPr>
        <w:t>1</w:t>
      </w:r>
    </w:p>
    <w:p w14:paraId="6D6B4C67" w14:textId="01F6D38C" w:rsidR="008D1222" w:rsidRDefault="008D1222" w:rsidP="008D1222">
      <w:pPr>
        <w:pStyle w:val="TOC1"/>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Conduct of the inquiry</w:t>
      </w:r>
      <w:r>
        <w:rPr>
          <w:noProof/>
        </w:rPr>
        <w:tab/>
      </w:r>
      <w:r w:rsidR="008E084F">
        <w:rPr>
          <w:noProof/>
        </w:rPr>
        <w:t>3</w:t>
      </w:r>
    </w:p>
    <w:p w14:paraId="485EFEF5" w14:textId="24C897EE" w:rsidR="008D1222" w:rsidRDefault="008D1222" w:rsidP="008D1222">
      <w:pPr>
        <w:pStyle w:val="TOC1"/>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Australia’s water policy reform to date</w:t>
      </w:r>
      <w:r>
        <w:rPr>
          <w:noProof/>
        </w:rPr>
        <w:tab/>
      </w:r>
      <w:r w:rsidR="008E084F">
        <w:rPr>
          <w:noProof/>
        </w:rPr>
        <w:t>3</w:t>
      </w:r>
    </w:p>
    <w:p w14:paraId="7F67DA49" w14:textId="505E2940" w:rsidR="008D1222" w:rsidRDefault="008D1222" w:rsidP="008D1222">
      <w:pPr>
        <w:pStyle w:val="TOC1"/>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The Commission’s approach</w:t>
      </w:r>
      <w:r>
        <w:rPr>
          <w:noProof/>
        </w:rPr>
        <w:tab/>
      </w:r>
      <w:r w:rsidR="008E084F">
        <w:rPr>
          <w:noProof/>
        </w:rPr>
        <w:t>6</w:t>
      </w:r>
    </w:p>
    <w:p w14:paraId="4E2E2831" w14:textId="7B058F79" w:rsidR="008D1222" w:rsidRDefault="008D1222" w:rsidP="008D1222">
      <w:pPr>
        <w:pStyle w:val="TOC1"/>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Water resource management</w:t>
      </w:r>
      <w:r>
        <w:rPr>
          <w:noProof/>
        </w:rPr>
        <w:tab/>
        <w:t>1</w:t>
      </w:r>
      <w:r w:rsidR="008E084F">
        <w:rPr>
          <w:noProof/>
        </w:rPr>
        <w:t>0</w:t>
      </w:r>
    </w:p>
    <w:p w14:paraId="5BC8BB70" w14:textId="557A39F8" w:rsidR="008D1222" w:rsidRDefault="008D1222" w:rsidP="008D1222">
      <w:pPr>
        <w:pStyle w:val="TOC1"/>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Water services</w:t>
      </w:r>
      <w:r>
        <w:rPr>
          <w:noProof/>
        </w:rPr>
        <w:tab/>
      </w:r>
      <w:r w:rsidR="008E084F">
        <w:rPr>
          <w:noProof/>
        </w:rPr>
        <w:t>19</w:t>
      </w:r>
    </w:p>
    <w:p w14:paraId="3ECB9726" w14:textId="013FEDAA" w:rsidR="008D1222" w:rsidRDefault="008D1222" w:rsidP="008D1222">
      <w:pPr>
        <w:pStyle w:val="TOC1"/>
        <w:rPr>
          <w:noProof/>
        </w:rPr>
      </w:pPr>
      <w:r>
        <w:rPr>
          <w:noProof/>
        </w:rPr>
        <w:t>7</w:t>
      </w:r>
      <w:r>
        <w:rPr>
          <w:rFonts w:asciiTheme="minorHAnsi" w:eastAsiaTheme="minorEastAsia" w:hAnsiTheme="minorHAnsi" w:cstheme="minorBidi"/>
          <w:noProof/>
          <w:sz w:val="22"/>
          <w:szCs w:val="22"/>
          <w:lang w:eastAsia="en-AU"/>
        </w:rPr>
        <w:tab/>
      </w:r>
      <w:r>
        <w:rPr>
          <w:noProof/>
        </w:rPr>
        <w:t>Achieving reform</w:t>
      </w:r>
      <w:r>
        <w:rPr>
          <w:noProof/>
        </w:rPr>
        <w:tab/>
      </w:r>
      <w:r w:rsidR="008E084F">
        <w:rPr>
          <w:noProof/>
        </w:rPr>
        <w:t>26</w:t>
      </w:r>
    </w:p>
    <w:p w14:paraId="2E01172A" w14:textId="7522FF0E" w:rsidR="002537EC" w:rsidRPr="002537EC" w:rsidRDefault="002537EC" w:rsidP="002537EC">
      <w:pPr>
        <w:pStyle w:val="TOC1"/>
        <w:rPr>
          <w:noProof/>
        </w:rPr>
      </w:pPr>
      <w:r w:rsidRPr="002537EC">
        <w:rPr>
          <w:noProof/>
        </w:rPr>
        <w:t>References</w:t>
      </w:r>
      <w:r w:rsidRPr="002537EC">
        <w:rPr>
          <w:noProof/>
        </w:rPr>
        <w:tab/>
      </w:r>
      <w:r w:rsidR="008E084F">
        <w:rPr>
          <w:noProof/>
        </w:rPr>
        <w:t>27</w:t>
      </w:r>
    </w:p>
    <w:p w14:paraId="23725004" w14:textId="4F41E97D" w:rsidR="008D1222" w:rsidRDefault="008D1222" w:rsidP="008D1222">
      <w:pPr>
        <w:pStyle w:val="TOC1"/>
        <w:rPr>
          <w:rFonts w:asciiTheme="minorHAnsi" w:eastAsiaTheme="minorEastAsia" w:hAnsiTheme="minorHAnsi" w:cstheme="minorBidi"/>
          <w:noProof/>
          <w:sz w:val="22"/>
          <w:szCs w:val="22"/>
          <w:lang w:eastAsia="en-AU"/>
        </w:rPr>
      </w:pPr>
      <w:r>
        <w:rPr>
          <w:noProof/>
        </w:rPr>
        <w:t>Attachment A: Glossary</w:t>
      </w:r>
      <w:r>
        <w:rPr>
          <w:noProof/>
        </w:rPr>
        <w:tab/>
      </w:r>
      <w:r w:rsidR="008E084F">
        <w:rPr>
          <w:noProof/>
        </w:rPr>
        <w:t>28</w:t>
      </w:r>
    </w:p>
    <w:p w14:paraId="737480AB" w14:textId="75AEAE5E" w:rsidR="008D1222" w:rsidRDefault="008D1222" w:rsidP="008D1222">
      <w:pPr>
        <w:pStyle w:val="TOC1"/>
        <w:rPr>
          <w:rFonts w:asciiTheme="minorHAnsi" w:eastAsiaTheme="minorEastAsia" w:hAnsiTheme="minorHAnsi" w:cstheme="minorBidi"/>
          <w:noProof/>
          <w:sz w:val="22"/>
          <w:szCs w:val="22"/>
          <w:lang w:eastAsia="en-AU"/>
        </w:rPr>
      </w:pPr>
      <w:r>
        <w:rPr>
          <w:noProof/>
        </w:rPr>
        <w:t>Attachment B: NWC’s 2014 recommendations</w:t>
      </w:r>
      <w:r>
        <w:rPr>
          <w:noProof/>
        </w:rPr>
        <w:tab/>
      </w:r>
      <w:r w:rsidR="008E084F">
        <w:rPr>
          <w:noProof/>
        </w:rPr>
        <w:t>30</w:t>
      </w:r>
    </w:p>
    <w:p w14:paraId="024648AE" w14:textId="214756BF" w:rsidR="008E084F" w:rsidRDefault="008D1222" w:rsidP="008D1222">
      <w:pPr>
        <w:pStyle w:val="TOC1"/>
        <w:rPr>
          <w:noProof/>
        </w:rPr>
      </w:pPr>
      <w:r>
        <w:rPr>
          <w:noProof/>
        </w:rPr>
        <w:t>Attachment C: How to make a submission</w:t>
      </w:r>
      <w:r>
        <w:rPr>
          <w:noProof/>
        </w:rPr>
        <w:tab/>
      </w:r>
      <w:r w:rsidR="008E084F">
        <w:rPr>
          <w:noProof/>
        </w:rPr>
        <w:t>31</w:t>
      </w:r>
    </w:p>
    <w:p w14:paraId="076ED271" w14:textId="77777777" w:rsidR="008E084F" w:rsidRDefault="008E084F" w:rsidP="008E084F">
      <w:pPr>
        <w:pStyle w:val="TOC2"/>
      </w:pPr>
    </w:p>
    <w:p w14:paraId="418BFEBC" w14:textId="77777777" w:rsidR="008E084F" w:rsidRPr="008E084F" w:rsidRDefault="008E084F" w:rsidP="008E084F">
      <w:pPr>
        <w:pStyle w:val="TOC2"/>
        <w:sectPr w:rsidR="008E084F" w:rsidRPr="008E084F" w:rsidSect="008E084F">
          <w:headerReference w:type="even" r:id="rId12"/>
          <w:headerReference w:type="default" r:id="rId13"/>
          <w:footerReference w:type="even" r:id="rId14"/>
          <w:footerReference w:type="default" r:id="rId15"/>
          <w:pgSz w:w="11907" w:h="16840" w:code="9"/>
          <w:pgMar w:top="1985" w:right="1304" w:bottom="1247" w:left="1814" w:header="1701" w:footer="397" w:gutter="0"/>
          <w:pgNumType w:fmt="lowerRoman" w:start="3" w:chapSep="period"/>
          <w:cols w:space="720"/>
        </w:sectPr>
      </w:pPr>
    </w:p>
    <w:p w14:paraId="32E9286F" w14:textId="4158F5DB" w:rsidR="00B45E5F" w:rsidRDefault="00B11167" w:rsidP="00B45E5F">
      <w:pPr>
        <w:pStyle w:val="Heading2"/>
      </w:pPr>
      <w:bookmarkStart w:id="34" w:name="_Toc476307165"/>
      <w:bookmarkStart w:id="35" w:name="_Toc476307296"/>
      <w:bookmarkStart w:id="36" w:name="_Toc476308483"/>
      <w:bookmarkStart w:id="37" w:name="_Toc476309077"/>
      <w:bookmarkStart w:id="38" w:name="_Toc476312551"/>
      <w:bookmarkStart w:id="39" w:name="_Toc476312789"/>
      <w:bookmarkStart w:id="40" w:name="_Toc476312862"/>
      <w:bookmarkStart w:id="41" w:name="_Toc476318435"/>
      <w:bookmarkStart w:id="42" w:name="_Toc476320077"/>
      <w:bookmarkStart w:id="43" w:name="_Toc476322763"/>
      <w:bookmarkStart w:id="44" w:name="_Toc476324729"/>
      <w:bookmarkStart w:id="45" w:name="_Toc476326757"/>
      <w:bookmarkStart w:id="46" w:name="_Toc476907455"/>
      <w:bookmarkStart w:id="47" w:name="_Toc476910681"/>
      <w:bookmarkStart w:id="48" w:name="_Toc476910766"/>
      <w:bookmarkStart w:id="49" w:name="_Toc476915251"/>
      <w:bookmarkStart w:id="50" w:name="_Toc476916208"/>
      <w:bookmarkStart w:id="51" w:name="_Toc476916327"/>
      <w:bookmarkStart w:id="52" w:name="_Toc475361571"/>
      <w:bookmarkStart w:id="53" w:name="_Toc475614193"/>
      <w:bookmarkStart w:id="54" w:name="_Toc475628040"/>
      <w:bookmarkStart w:id="55" w:name="_Toc475628213"/>
      <w:bookmarkStart w:id="56" w:name="_Toc475634084"/>
      <w:r>
        <w:rPr>
          <w:noProof/>
        </w:rPr>
        <w:lastRenderedPageBreak/>
        <w:t>1</w:t>
      </w:r>
      <w:r w:rsidR="00B45E5F">
        <w:tab/>
        <w:t>What is this inquiry about?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2E92870" w14:textId="77777777" w:rsidR="00B45E5F" w:rsidRDefault="00B45E5F" w:rsidP="00706566">
      <w:pPr>
        <w:pStyle w:val="Heading3"/>
        <w:spacing w:before="280"/>
      </w:pPr>
      <w:r>
        <w:t>Background</w:t>
      </w:r>
    </w:p>
    <w:p w14:paraId="32E92871" w14:textId="445E38AC" w:rsidR="00B45E5F" w:rsidRDefault="00781623" w:rsidP="00B45E5F">
      <w:pPr>
        <w:pStyle w:val="BodyText"/>
      </w:pPr>
      <w:r>
        <w:t xml:space="preserve">With a variable climate and much arid land, Australia has </w:t>
      </w:r>
      <w:r w:rsidR="000B0B5D">
        <w:t>a lot</w:t>
      </w:r>
      <w:r w:rsidR="003E4A3B">
        <w:t xml:space="preserve"> to lose</w:t>
      </w:r>
      <w:r>
        <w:t xml:space="preserve"> if we </w:t>
      </w:r>
      <w:r w:rsidR="00363EEB">
        <w:t>do no</w:t>
      </w:r>
      <w:r w:rsidR="000B0B5D">
        <w:t>t continue to lead in water management</w:t>
      </w:r>
      <w:r w:rsidR="00B45E5F">
        <w:t xml:space="preserve">. To this end, the Australian and </w:t>
      </w:r>
      <w:r w:rsidR="00B65B22">
        <w:t xml:space="preserve">State </w:t>
      </w:r>
      <w:r w:rsidR="00B45E5F">
        <w:t xml:space="preserve">and </w:t>
      </w:r>
      <w:r w:rsidR="00B65B22">
        <w:t>T</w:t>
      </w:r>
      <w:r w:rsidR="00B45E5F">
        <w:t xml:space="preserve">erritory </w:t>
      </w:r>
      <w:r w:rsidR="00247063">
        <w:t>G</w:t>
      </w:r>
      <w:r w:rsidR="00B45E5F">
        <w:t xml:space="preserve">overnments have implemented significant water reforms </w:t>
      </w:r>
      <w:r w:rsidR="007F770F">
        <w:t xml:space="preserve">since the </w:t>
      </w:r>
      <w:r w:rsidR="002E14AB">
        <w:t>mid</w:t>
      </w:r>
      <w:r w:rsidR="00DD79B8">
        <w:noBreakHyphen/>
      </w:r>
      <w:proofErr w:type="spellStart"/>
      <w:r w:rsidR="002E14AB">
        <w:t>1980s</w:t>
      </w:r>
      <w:proofErr w:type="spellEnd"/>
      <w:r w:rsidR="00B45E5F">
        <w:t>. These reforms have supported growth in agriculture and other wa</w:t>
      </w:r>
      <w:r w:rsidR="003363EB">
        <w:t>ter</w:t>
      </w:r>
      <w:r w:rsidR="003363EB">
        <w:noBreakHyphen/>
      </w:r>
      <w:r w:rsidR="003D56CF">
        <w:t xml:space="preserve">intensive </w:t>
      </w:r>
      <w:r w:rsidR="00B45E5F">
        <w:t>industries, returned much</w:t>
      </w:r>
      <w:r w:rsidR="000C0C39">
        <w:t xml:space="preserve"> </w:t>
      </w:r>
      <w:r w:rsidR="00B45E5F">
        <w:t>needed water to the environment, created water markets</w:t>
      </w:r>
      <w:r w:rsidR="00103513">
        <w:t xml:space="preserve"> for better wate</w:t>
      </w:r>
      <w:r w:rsidR="00615BA8">
        <w:t xml:space="preserve">r </w:t>
      </w:r>
      <w:r w:rsidR="00103513">
        <w:t>use</w:t>
      </w:r>
      <w:r w:rsidR="00B45E5F">
        <w:t xml:space="preserve">, implemented </w:t>
      </w:r>
      <w:r w:rsidR="005E4D5C">
        <w:t xml:space="preserve">more </w:t>
      </w:r>
      <w:r w:rsidR="00B45E5F">
        <w:t xml:space="preserve">efficient pricing and delivered greater choice and improved services for </w:t>
      </w:r>
      <w:r w:rsidR="001D35CE">
        <w:t xml:space="preserve">all </w:t>
      </w:r>
      <w:r w:rsidR="007F770F">
        <w:t>Australians</w:t>
      </w:r>
      <w:r w:rsidR="00F17397">
        <w:t>.</w:t>
      </w:r>
    </w:p>
    <w:p w14:paraId="32E92872" w14:textId="77B018D8" w:rsidR="00B45E5F" w:rsidRDefault="007F770F" w:rsidP="00B45E5F">
      <w:pPr>
        <w:pStyle w:val="BodyText"/>
      </w:pPr>
      <w:r>
        <w:t>The cornerstone</w:t>
      </w:r>
      <w:r w:rsidR="00B45E5F">
        <w:t xml:space="preserve"> of Australia’s </w:t>
      </w:r>
      <w:r w:rsidR="001A0621">
        <w:t xml:space="preserve">recent </w:t>
      </w:r>
      <w:r w:rsidR="00B45E5F">
        <w:t xml:space="preserve">water reform efforts is the </w:t>
      </w:r>
      <w:r w:rsidR="00B45E5F" w:rsidRPr="007D28E6">
        <w:t>2004 National Water Initiative (</w:t>
      </w:r>
      <w:proofErr w:type="spellStart"/>
      <w:r w:rsidR="00B45E5F" w:rsidRPr="007D28E6">
        <w:t>NWI</w:t>
      </w:r>
      <w:proofErr w:type="spellEnd"/>
      <w:r w:rsidR="00B45E5F" w:rsidRPr="007D28E6">
        <w:t>)</w:t>
      </w:r>
      <w:r w:rsidR="00B45E5F">
        <w:t xml:space="preserve">. The </w:t>
      </w:r>
      <w:proofErr w:type="spellStart"/>
      <w:r w:rsidR="00B45E5F" w:rsidRPr="007D28E6">
        <w:t>NWI</w:t>
      </w:r>
      <w:proofErr w:type="spellEnd"/>
      <w:r w:rsidR="00B45E5F" w:rsidRPr="007D28E6">
        <w:t xml:space="preserve"> is an intergovernmental agreement between the Australian Government and all </w:t>
      </w:r>
      <w:r w:rsidR="00BA5C62">
        <w:t>S</w:t>
      </w:r>
      <w:r w:rsidR="00B45E5F" w:rsidRPr="007D28E6">
        <w:t xml:space="preserve">tate and </w:t>
      </w:r>
      <w:r w:rsidR="00BA5C62">
        <w:t>T</w:t>
      </w:r>
      <w:r w:rsidR="00B45E5F" w:rsidRPr="007D28E6">
        <w:t xml:space="preserve">erritory </w:t>
      </w:r>
      <w:r w:rsidR="00BA5C62">
        <w:t>G</w:t>
      </w:r>
      <w:r w:rsidR="00B45E5F" w:rsidRPr="007D28E6">
        <w:t>overnments. The aim</w:t>
      </w:r>
      <w:r w:rsidR="000C0C39">
        <w:t>s</w:t>
      </w:r>
      <w:r w:rsidR="00B45E5F" w:rsidRPr="007D28E6">
        <w:t xml:space="preserve"> of </w:t>
      </w:r>
      <w:r w:rsidR="002E14AB">
        <w:t xml:space="preserve">the </w:t>
      </w:r>
      <w:proofErr w:type="spellStart"/>
      <w:r w:rsidR="002E14AB">
        <w:t>NWI</w:t>
      </w:r>
      <w:proofErr w:type="spellEnd"/>
      <w:r w:rsidR="002E14AB">
        <w:t xml:space="preserve"> — which built on </w:t>
      </w:r>
      <w:r w:rsidR="000C0C39">
        <w:t>the Council of Australian Government’s (</w:t>
      </w:r>
      <w:proofErr w:type="spellStart"/>
      <w:r w:rsidR="002E14AB">
        <w:t>COAG’s</w:t>
      </w:r>
      <w:proofErr w:type="spellEnd"/>
      <w:r w:rsidR="000C0C39">
        <w:t>)</w:t>
      </w:r>
      <w:r w:rsidR="002E14AB">
        <w:t> </w:t>
      </w:r>
      <w:r w:rsidR="00B45E5F" w:rsidRPr="007D28E6">
        <w:t xml:space="preserve">1994 Water Reform Framework — </w:t>
      </w:r>
      <w:r w:rsidR="000C0C39">
        <w:t>are</w:t>
      </w:r>
      <w:r w:rsidR="00B45E5F" w:rsidRPr="007D28E6">
        <w:t xml:space="preserve"> to establish greater certainty for investment and the environment through clearly specified water access entitlements (perpetual water rights), addressing over</w:t>
      </w:r>
      <w:r w:rsidR="003F5FF6">
        <w:noBreakHyphen/>
      </w:r>
      <w:r w:rsidR="00B45E5F" w:rsidRPr="007D28E6">
        <w:t xml:space="preserve">allocated </w:t>
      </w:r>
      <w:r w:rsidR="00B45E5F">
        <w:t xml:space="preserve">water </w:t>
      </w:r>
      <w:r w:rsidR="00B45E5F" w:rsidRPr="007D28E6">
        <w:t>systems and improving the economic efficiency and environmental sustainability of water management for both rural and urban water systems.</w:t>
      </w:r>
    </w:p>
    <w:p w14:paraId="32E92873" w14:textId="0A3E9DCA" w:rsidR="00B45E5F" w:rsidRDefault="00B45E5F" w:rsidP="00B45E5F">
      <w:pPr>
        <w:pStyle w:val="BodyText"/>
      </w:pPr>
      <w:r>
        <w:t>The National Water Commission (</w:t>
      </w:r>
      <w:proofErr w:type="spellStart"/>
      <w:r>
        <w:t>NWC</w:t>
      </w:r>
      <w:proofErr w:type="spellEnd"/>
      <w:r>
        <w:t xml:space="preserve">) was established as part of the </w:t>
      </w:r>
      <w:proofErr w:type="spellStart"/>
      <w:r>
        <w:t>NWI</w:t>
      </w:r>
      <w:proofErr w:type="spellEnd"/>
      <w:r>
        <w:t xml:space="preserve"> to provide advice to COAG on national water issues and assist with the effectiv</w:t>
      </w:r>
      <w:r w:rsidR="002E14AB">
        <w:t xml:space="preserve">e implementation of the </w:t>
      </w:r>
      <w:proofErr w:type="spellStart"/>
      <w:r w:rsidR="002E14AB">
        <w:t>NWI</w:t>
      </w:r>
      <w:proofErr w:type="spellEnd"/>
      <w:r w:rsidR="002E14AB">
        <w:t>. In </w:t>
      </w:r>
      <w:r>
        <w:t xml:space="preserve">2015 some functions of the </w:t>
      </w:r>
      <w:proofErr w:type="spellStart"/>
      <w:r>
        <w:t>NWC</w:t>
      </w:r>
      <w:proofErr w:type="spellEnd"/>
      <w:r>
        <w:t xml:space="preserve"> were transferred to the Productivity Commission</w:t>
      </w:r>
      <w:r w:rsidR="000C0C39">
        <w:t xml:space="preserve"> (the Commission)</w:t>
      </w:r>
      <w:r>
        <w:t xml:space="preserve">. Under the </w:t>
      </w:r>
      <w:r w:rsidRPr="00894A6C">
        <w:rPr>
          <w:i/>
        </w:rPr>
        <w:t>Water Act 2007</w:t>
      </w:r>
      <w:r>
        <w:t xml:space="preserve"> (</w:t>
      </w:r>
      <w:proofErr w:type="spellStart"/>
      <w:r>
        <w:t>C</w:t>
      </w:r>
      <w:r w:rsidR="004633E8">
        <w:t>wl</w:t>
      </w:r>
      <w:r>
        <w:t>th</w:t>
      </w:r>
      <w:proofErr w:type="spellEnd"/>
      <w:r>
        <w:t xml:space="preserve">), the Commission is now required to undertake inquiries into </w:t>
      </w:r>
      <w:r w:rsidRPr="00D76B79">
        <w:t xml:space="preserve">progress towards achieving the objectives </w:t>
      </w:r>
      <w:r>
        <w:t xml:space="preserve">and outcomes of the </w:t>
      </w:r>
      <w:proofErr w:type="spellStart"/>
      <w:r>
        <w:t>NWI</w:t>
      </w:r>
      <w:proofErr w:type="spellEnd"/>
      <w:r>
        <w:t xml:space="preserve"> every three years</w:t>
      </w:r>
      <w:r w:rsidR="006531C3">
        <w:t xml:space="preserve"> (National Water Reform inquiries)</w:t>
      </w:r>
      <w:r>
        <w:t xml:space="preserve">, and inquiries into the effectiveness of the implementation of the Murray–Darling Basin Plan every five years. The timing of the first few inquiries is shown in figure </w:t>
      </w:r>
      <w:bookmarkStart w:id="57" w:name="_1550557887"/>
      <w:bookmarkStart w:id="58" w:name="_1550648371"/>
      <w:bookmarkStart w:id="59" w:name="_1550648945"/>
      <w:bookmarkStart w:id="60" w:name="_1550651019"/>
      <w:bookmarkStart w:id="61" w:name="_1550652639"/>
      <w:bookmarkStart w:id="62" w:name="_1550651863"/>
      <w:bookmarkEnd w:id="57"/>
      <w:bookmarkEnd w:id="58"/>
      <w:bookmarkEnd w:id="59"/>
      <w:bookmarkEnd w:id="60"/>
      <w:bookmarkEnd w:id="61"/>
      <w:bookmarkEnd w:id="62"/>
      <w:r w:rsidR="00A20B22">
        <w:t>1</w:t>
      </w:r>
      <w:r>
        <w:t>.</w:t>
      </w:r>
      <w:r w:rsidR="006531C3">
        <w:t xml:space="preserve"> This issues paper relates to the first Commission task </w:t>
      </w:r>
      <w:r w:rsidR="00900A90">
        <w:t xml:space="preserve">— </w:t>
      </w:r>
      <w:r w:rsidR="00411625">
        <w:t>the National Water Reform i</w:t>
      </w:r>
      <w:r w:rsidR="00DD4CE2">
        <w:t>nquiry.</w:t>
      </w:r>
    </w:p>
    <w:p w14:paraId="32E92874" w14:textId="4CA8CF60" w:rsidR="00B45E5F" w:rsidRDefault="00B45E5F" w:rsidP="00B45E5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B45E5F" w14:paraId="32E92876" w14:textId="77777777" w:rsidTr="00B45E5F">
        <w:trPr>
          <w:tblHeader/>
        </w:trPr>
        <w:tc>
          <w:tcPr>
            <w:tcW w:w="8771" w:type="dxa"/>
            <w:tcBorders>
              <w:top w:val="single" w:sz="6" w:space="0" w:color="78A22F"/>
              <w:left w:val="nil"/>
              <w:bottom w:val="nil"/>
              <w:right w:val="nil"/>
            </w:tcBorders>
            <w:shd w:val="clear" w:color="auto" w:fill="auto"/>
          </w:tcPr>
          <w:bookmarkEnd w:id="52"/>
          <w:bookmarkEnd w:id="53"/>
          <w:bookmarkEnd w:id="54"/>
          <w:bookmarkEnd w:id="55"/>
          <w:bookmarkEnd w:id="56"/>
          <w:p w14:paraId="32E92875" w14:textId="3F7A4DA1" w:rsidR="00B45E5F" w:rsidRPr="00176D3F" w:rsidRDefault="00B45E5F" w:rsidP="00B45E5F">
            <w:pPr>
              <w:pStyle w:val="FigureTitle"/>
            </w:pPr>
            <w:r w:rsidRPr="00784A05">
              <w:rPr>
                <w:b w:val="0"/>
              </w:rPr>
              <w:t xml:space="preserve">Figure </w:t>
            </w:r>
            <w:bookmarkStart w:id="63" w:name="OLE_LINK4"/>
            <w:r w:rsidR="00B11167">
              <w:rPr>
                <w:b w:val="0"/>
                <w:noProof/>
              </w:rPr>
              <w:t>1</w:t>
            </w:r>
            <w:bookmarkEnd w:id="63"/>
            <w:r>
              <w:tab/>
              <w:t xml:space="preserve">Timeline for </w:t>
            </w:r>
            <w:r w:rsidR="007F770F">
              <w:t xml:space="preserve">Productivity Commission </w:t>
            </w:r>
            <w:r>
              <w:t>water inquiries</w:t>
            </w:r>
          </w:p>
        </w:tc>
      </w:tr>
      <w:tr w:rsidR="00B45E5F" w14:paraId="32E92878" w14:textId="77777777" w:rsidTr="00B45E5F">
        <w:tc>
          <w:tcPr>
            <w:tcW w:w="8771" w:type="dxa"/>
            <w:tcBorders>
              <w:top w:val="nil"/>
              <w:left w:val="nil"/>
              <w:bottom w:val="nil"/>
              <w:right w:val="nil"/>
            </w:tcBorders>
            <w:shd w:val="clear" w:color="auto" w:fill="auto"/>
            <w:tcMar>
              <w:top w:w="28" w:type="dxa"/>
              <w:bottom w:w="28" w:type="dxa"/>
            </w:tcMar>
          </w:tcPr>
          <w:p w14:paraId="32E92877" w14:textId="77777777" w:rsidR="00B45E5F" w:rsidRDefault="00562CFB" w:rsidP="00B45E5F">
            <w:r>
              <w:rPr>
                <w:noProof/>
              </w:rPr>
              <w:drawing>
                <wp:inline distT="0" distB="0" distL="0" distR="0" wp14:anchorId="32E92AD8" wp14:editId="32E92AD9">
                  <wp:extent cx="5389245" cy="1608455"/>
                  <wp:effectExtent l="0" t="0" r="1905" b="0"/>
                  <wp:docPr id="2" name="Picture 2" descr="2017 National Water Reform Inquiry&#10;2018 Murray-Darling Basin Plan Implementation Inquiry&#10;2019 No water inquiries&#10;2020 National Water Reform Inquiry&#10;2021 No water inquries&#10;2022 No water inquiries&#10;2023 National Water Reform and Murray-Darling Basin Plan Implementation Inquiries" title="Timeline for Productivity Commission water inqui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line.png"/>
                          <pic:cNvPicPr/>
                        </pic:nvPicPr>
                        <pic:blipFill>
                          <a:blip r:embed="rId16">
                            <a:extLst>
                              <a:ext uri="{28A0092B-C50C-407E-A947-70E740481C1C}">
                                <a14:useLocalDpi xmlns:a14="http://schemas.microsoft.com/office/drawing/2010/main" val="0"/>
                              </a:ext>
                            </a:extLst>
                          </a:blip>
                          <a:stretch>
                            <a:fillRect/>
                          </a:stretch>
                        </pic:blipFill>
                        <pic:spPr>
                          <a:xfrm>
                            <a:off x="0" y="0"/>
                            <a:ext cx="5389245" cy="1608455"/>
                          </a:xfrm>
                          <a:prstGeom prst="rect">
                            <a:avLst/>
                          </a:prstGeom>
                        </pic:spPr>
                      </pic:pic>
                    </a:graphicData>
                  </a:graphic>
                </wp:inline>
              </w:drawing>
            </w:r>
          </w:p>
        </w:tc>
      </w:tr>
      <w:tr w:rsidR="00B45E5F" w14:paraId="32E9287A" w14:textId="77777777" w:rsidTr="00B45E5F">
        <w:tc>
          <w:tcPr>
            <w:tcW w:w="8771" w:type="dxa"/>
            <w:tcBorders>
              <w:top w:val="nil"/>
              <w:left w:val="nil"/>
              <w:bottom w:val="single" w:sz="6" w:space="0" w:color="78A22F"/>
              <w:right w:val="nil"/>
            </w:tcBorders>
            <w:shd w:val="clear" w:color="auto" w:fill="auto"/>
          </w:tcPr>
          <w:p w14:paraId="32E92879" w14:textId="77777777" w:rsidR="00B45E5F" w:rsidRDefault="00B45E5F" w:rsidP="00B45E5F">
            <w:pPr>
              <w:pStyle w:val="Figurespace"/>
            </w:pPr>
          </w:p>
        </w:tc>
      </w:tr>
      <w:tr w:rsidR="00B45E5F" w:rsidRPr="000863A5" w14:paraId="32E9287C" w14:textId="77777777" w:rsidTr="00B45E5F">
        <w:tc>
          <w:tcPr>
            <w:tcW w:w="8771" w:type="dxa"/>
            <w:tcBorders>
              <w:top w:val="single" w:sz="6" w:space="0" w:color="78A22F"/>
              <w:left w:val="nil"/>
              <w:bottom w:val="nil"/>
              <w:right w:val="nil"/>
            </w:tcBorders>
          </w:tcPr>
          <w:p w14:paraId="32E9287B" w14:textId="2950F4AC" w:rsidR="00B45E5F" w:rsidRPr="00626D32" w:rsidRDefault="00B45E5F" w:rsidP="00B45E5F">
            <w:pPr>
              <w:pStyle w:val="BoxSpaceBelow"/>
            </w:pPr>
          </w:p>
        </w:tc>
      </w:tr>
    </w:tbl>
    <w:p w14:paraId="32E9287D" w14:textId="77777777" w:rsidR="00A219FC" w:rsidRPr="00DD6B19" w:rsidRDefault="00A219FC" w:rsidP="00A219FC">
      <w:pPr>
        <w:pStyle w:val="Heading3"/>
      </w:pPr>
      <w:r>
        <w:lastRenderedPageBreak/>
        <w:t>What has the Commission been asked to do?</w:t>
      </w:r>
    </w:p>
    <w:p w14:paraId="32E9287E" w14:textId="77777777" w:rsidR="00A219FC" w:rsidRDefault="00A219FC" w:rsidP="00A219FC">
      <w:pPr>
        <w:pStyle w:val="BodyText"/>
      </w:pPr>
      <w:r>
        <w:t xml:space="preserve">The </w:t>
      </w:r>
      <w:r w:rsidR="00020C2A">
        <w:t xml:space="preserve">Productivity </w:t>
      </w:r>
      <w:r>
        <w:t>Commission</w:t>
      </w:r>
      <w:r w:rsidR="00020C2A">
        <w:t xml:space="preserve"> </w:t>
      </w:r>
      <w:r>
        <w:t xml:space="preserve">has been asked to assess progress in achieving the objectives and outcomes of the </w:t>
      </w:r>
      <w:proofErr w:type="spellStart"/>
      <w:r>
        <w:t>NWI</w:t>
      </w:r>
      <w:proofErr w:type="spellEnd"/>
      <w:r>
        <w:t xml:space="preserve"> and the need for any future reform. </w:t>
      </w:r>
      <w:r w:rsidR="00BF6CB7">
        <w:t>Specifically</w:t>
      </w:r>
      <w:r w:rsidR="00C06D2A">
        <w:t xml:space="preserve">, </w:t>
      </w:r>
      <w:r>
        <w:t>the Commission is required to:</w:t>
      </w:r>
    </w:p>
    <w:p w14:paraId="32E9287F" w14:textId="77777777" w:rsidR="00A219FC" w:rsidRPr="00FE7C1A" w:rsidRDefault="00A219FC" w:rsidP="00A219FC">
      <w:pPr>
        <w:pStyle w:val="ListBullet"/>
      </w:pPr>
      <w:r w:rsidRPr="00FE7C1A">
        <w:t xml:space="preserve">assess the outcomes of the </w:t>
      </w:r>
      <w:proofErr w:type="spellStart"/>
      <w:r w:rsidRPr="00FE7C1A">
        <w:t>NWI</w:t>
      </w:r>
      <w:proofErr w:type="spellEnd"/>
      <w:r w:rsidRPr="00FE7C1A">
        <w:t xml:space="preserve"> and related water reform efforts</w:t>
      </w:r>
    </w:p>
    <w:p w14:paraId="32E92880" w14:textId="77777777" w:rsidR="00A219FC" w:rsidRDefault="00A219FC" w:rsidP="00A219FC">
      <w:pPr>
        <w:pStyle w:val="ListBullet"/>
      </w:pPr>
      <w:r>
        <w:t>c</w:t>
      </w:r>
      <w:r w:rsidRPr="00FE7C1A">
        <w:t xml:space="preserve">onsider the potential and realised benefits of </w:t>
      </w:r>
      <w:proofErr w:type="spellStart"/>
      <w:r w:rsidRPr="00FE7C1A">
        <w:t>NWI</w:t>
      </w:r>
      <w:proofErr w:type="spellEnd"/>
      <w:r w:rsidRPr="00FE7C1A">
        <w:t xml:space="preserve"> implementation</w:t>
      </w:r>
    </w:p>
    <w:p w14:paraId="32E92881" w14:textId="77777777" w:rsidR="00A219FC" w:rsidRDefault="00A219FC" w:rsidP="00A219FC">
      <w:pPr>
        <w:pStyle w:val="ListBullet"/>
      </w:pPr>
      <w:r w:rsidRPr="00FE7C1A">
        <w:t xml:space="preserve">consider the scope for improving the </w:t>
      </w:r>
      <w:proofErr w:type="spellStart"/>
      <w:r w:rsidRPr="00FE7C1A">
        <w:t>NWI</w:t>
      </w:r>
      <w:proofErr w:type="spellEnd"/>
    </w:p>
    <w:p w14:paraId="32E92882" w14:textId="77777777" w:rsidR="00BF6CB7" w:rsidRDefault="00BF6CB7" w:rsidP="00BF6CB7">
      <w:pPr>
        <w:pStyle w:val="ListBullet"/>
      </w:pPr>
      <w:r>
        <w:t xml:space="preserve">assess progress against the recommendations in the </w:t>
      </w:r>
      <w:proofErr w:type="spellStart"/>
      <w:r>
        <w:t>NWC’s</w:t>
      </w:r>
      <w:proofErr w:type="spellEnd"/>
      <w:r>
        <w:t xml:space="preserve"> 2014 National Reform Assessment</w:t>
      </w:r>
      <w:r w:rsidR="00E827F3">
        <w:t xml:space="preserve"> </w:t>
      </w:r>
    </w:p>
    <w:p w14:paraId="32E92883" w14:textId="77777777" w:rsidR="003315E3" w:rsidRDefault="003315E3" w:rsidP="003315E3">
      <w:pPr>
        <w:pStyle w:val="ListBullet"/>
      </w:pPr>
      <w:r w:rsidRPr="00FE7C1A">
        <w:t>make recommendations on future reform priorities</w:t>
      </w:r>
    </w:p>
    <w:p w14:paraId="32E92884" w14:textId="77777777" w:rsidR="00BF6CB7" w:rsidRPr="00FE7C1A" w:rsidRDefault="00BF6CB7" w:rsidP="00BF6CB7">
      <w:pPr>
        <w:pStyle w:val="ListBullet"/>
      </w:pPr>
      <w:r>
        <w:t xml:space="preserve">consider </w:t>
      </w:r>
      <w:r w:rsidR="006555BA" w:rsidRPr="006555BA">
        <w:t>the interaction of water policy with other policy areas such as energy, agriculture, planning, urban supply</w:t>
      </w:r>
      <w:r>
        <w:t>.</w:t>
      </w:r>
    </w:p>
    <w:p w14:paraId="32E92885" w14:textId="77777777" w:rsidR="00B45E5F" w:rsidRDefault="00B45E5F" w:rsidP="00B45E5F">
      <w:pPr>
        <w:pStyle w:val="BodyText"/>
      </w:pPr>
      <w:r>
        <w:t xml:space="preserve">The </w:t>
      </w:r>
      <w:proofErr w:type="spellStart"/>
      <w:r>
        <w:t>NWI</w:t>
      </w:r>
      <w:proofErr w:type="spellEnd"/>
      <w:r>
        <w:t xml:space="preserve"> focuses on water resource management, as well as on water pricing and </w:t>
      </w:r>
      <w:r w:rsidR="006555BA">
        <w:t>governance</w:t>
      </w:r>
      <w:r>
        <w:t xml:space="preserve"> and information needs for the water sector</w:t>
      </w:r>
      <w:r w:rsidR="00E827F3">
        <w:t>.</w:t>
      </w:r>
      <w:r>
        <w:t xml:space="preserve"> However, to meet the terms of reference (including the requirement to consider water reforms agreed to by COAG subsequent to the </w:t>
      </w:r>
      <w:proofErr w:type="spellStart"/>
      <w:r>
        <w:t>NWI</w:t>
      </w:r>
      <w:proofErr w:type="spellEnd"/>
      <w:r>
        <w:t xml:space="preserve">) the Commission will more closely examine the provision of rural and urban water services, including institutional arrangements and investment </w:t>
      </w:r>
      <w:r w:rsidR="00A22D71">
        <w:t>frameworks for</w:t>
      </w:r>
      <w:r>
        <w:t xml:space="preserve"> water infrastructure (dams, channels, pipes, recycling and desalination plants).</w:t>
      </w:r>
    </w:p>
    <w:p w14:paraId="32E92886" w14:textId="77777777" w:rsidR="00213EA6" w:rsidRDefault="00213EA6" w:rsidP="00213EA6">
      <w:pPr>
        <w:pStyle w:val="BodyText"/>
      </w:pPr>
      <w:r>
        <w:t xml:space="preserve">While Australia’s water management arrangements are well regarded internationally </w:t>
      </w:r>
      <w:r w:rsidR="00F020CE">
        <w:t xml:space="preserve">— indeed some see Australia as the exemplar in water policy — </w:t>
      </w:r>
      <w:r>
        <w:t>this inquiry provides a timely opportunity to review progress, identify challenges and consider next steps</w:t>
      </w:r>
      <w:r w:rsidR="00F020CE">
        <w:t xml:space="preserve"> to retain </w:t>
      </w:r>
      <w:r w:rsidR="0035148A">
        <w:t>this regard</w:t>
      </w:r>
      <w:r>
        <w:t>.</w:t>
      </w:r>
    </w:p>
    <w:p w14:paraId="32E92887" w14:textId="042168C2" w:rsidR="00E0275C" w:rsidRDefault="00F020CE" w:rsidP="00120072">
      <w:pPr>
        <w:pStyle w:val="BodyText"/>
      </w:pPr>
      <w:r>
        <w:t>In undertaking this inquiry, t</w:t>
      </w:r>
      <w:r w:rsidR="0047114E">
        <w:t xml:space="preserve">he </w:t>
      </w:r>
      <w:r w:rsidR="00C06D2A">
        <w:t xml:space="preserve">Commission </w:t>
      </w:r>
      <w:r w:rsidR="006A1E65">
        <w:t xml:space="preserve">will </w:t>
      </w:r>
      <w:r w:rsidR="000848F3">
        <w:t xml:space="preserve">minimise </w:t>
      </w:r>
      <w:r w:rsidR="00C06D2A">
        <w:t xml:space="preserve">duplication </w:t>
      </w:r>
      <w:r>
        <w:t>with</w:t>
      </w:r>
      <w:r w:rsidR="00C06D2A">
        <w:t xml:space="preserve"> </w:t>
      </w:r>
      <w:r w:rsidR="00E3665A">
        <w:t>next year’s</w:t>
      </w:r>
      <w:r w:rsidR="00C06D2A">
        <w:t xml:space="preserve"> inquiry into the </w:t>
      </w:r>
      <w:r w:rsidR="00E3665A">
        <w:t xml:space="preserve">effectiveness of the </w:t>
      </w:r>
      <w:r w:rsidR="00C06D2A">
        <w:t xml:space="preserve">implementation of the </w:t>
      </w:r>
      <w:r w:rsidR="00B45E5F">
        <w:t>Murray</w:t>
      </w:r>
      <w:r w:rsidR="000C0C39">
        <w:t>–</w:t>
      </w:r>
      <w:r w:rsidR="00B45E5F">
        <w:t xml:space="preserve">Darling </w:t>
      </w:r>
      <w:r w:rsidR="00C06D2A">
        <w:t>Basin Plan</w:t>
      </w:r>
      <w:r w:rsidR="00E04DEA">
        <w:t xml:space="preserve"> (the Basin Plan)</w:t>
      </w:r>
      <w:r w:rsidR="00C06D2A">
        <w:t xml:space="preserve">. </w:t>
      </w:r>
      <w:r w:rsidR="00BF6CB7">
        <w:t xml:space="preserve">Accordingly, </w:t>
      </w:r>
      <w:r w:rsidR="00C06D2A">
        <w:t>this inquiry will not consider</w:t>
      </w:r>
      <w:r>
        <w:t xml:space="preserve"> issues like</w:t>
      </w:r>
      <w:r w:rsidR="00E0275C">
        <w:t>:</w:t>
      </w:r>
    </w:p>
    <w:p w14:paraId="32E92888" w14:textId="0FE8C5D6" w:rsidR="00DD6B19" w:rsidRDefault="00C06D2A" w:rsidP="00E0275C">
      <w:pPr>
        <w:pStyle w:val="ListBullet"/>
      </w:pPr>
      <w:r>
        <w:t xml:space="preserve">the development </w:t>
      </w:r>
      <w:r w:rsidR="00E0275C">
        <w:t xml:space="preserve">of the </w:t>
      </w:r>
      <w:r w:rsidR="003363EB">
        <w:t>s</w:t>
      </w:r>
      <w:r>
        <w:t xml:space="preserve">tate and </w:t>
      </w:r>
      <w:r w:rsidR="003363EB">
        <w:t>t</w:t>
      </w:r>
      <w:r>
        <w:t>erritory water resources plans</w:t>
      </w:r>
      <w:r w:rsidR="00BF6CB7">
        <w:t xml:space="preserve"> called for </w:t>
      </w:r>
      <w:r w:rsidR="00E0275C">
        <w:t>by the Basin Plan</w:t>
      </w:r>
    </w:p>
    <w:p w14:paraId="32E92889" w14:textId="77777777" w:rsidR="00845403" w:rsidRDefault="008D5FC4" w:rsidP="00E0275C">
      <w:pPr>
        <w:pStyle w:val="ListBullet"/>
      </w:pPr>
      <w:r>
        <w:t>the Basin Plan</w:t>
      </w:r>
      <w:r w:rsidR="00F020CE">
        <w:t>’s</w:t>
      </w:r>
      <w:r>
        <w:t xml:space="preserve"> </w:t>
      </w:r>
      <w:r w:rsidR="002B150E">
        <w:t>Environmental Watering Strategy</w:t>
      </w:r>
      <w:r w:rsidR="002B5BDA">
        <w:t>.</w:t>
      </w:r>
    </w:p>
    <w:p w14:paraId="32E9288A" w14:textId="68C448C3" w:rsidR="00B45E5F" w:rsidRDefault="00B45E5F" w:rsidP="00B45E5F">
      <w:pPr>
        <w:pStyle w:val="BodyText"/>
      </w:pPr>
      <w:r>
        <w:t xml:space="preserve">Substantive and nationally relevant policy issues, such as water trading, and institutional and management arrangements for </w:t>
      </w:r>
      <w:r w:rsidR="0031531F">
        <w:t xml:space="preserve">held </w:t>
      </w:r>
      <w:r>
        <w:t>environmental water, will be consi</w:t>
      </w:r>
      <w:r w:rsidR="00411625">
        <w:t>dered as part of this inquiry.</w:t>
      </w:r>
    </w:p>
    <w:p w14:paraId="32E9288B" w14:textId="7CCE2DA4" w:rsidR="00213EA6" w:rsidRDefault="00213EA6" w:rsidP="00B45E5F">
      <w:pPr>
        <w:pStyle w:val="BodyText"/>
      </w:pPr>
      <w:r>
        <w:t xml:space="preserve">Water terminology can vary from place to place, which can cause confusion. A glossary </w:t>
      </w:r>
      <w:r w:rsidR="00F020CE">
        <w:t xml:space="preserve">at </w:t>
      </w:r>
      <w:r>
        <w:t xml:space="preserve">attachment </w:t>
      </w:r>
      <w:r w:rsidR="0090201C">
        <w:t>A</w:t>
      </w:r>
      <w:r w:rsidR="00E13276">
        <w:t xml:space="preserve"> defines some key</w:t>
      </w:r>
      <w:r>
        <w:t xml:space="preserve"> terms.</w:t>
      </w:r>
    </w:p>
    <w:p w14:paraId="32E9288C" w14:textId="4D3198D5" w:rsidR="00F5344B" w:rsidRDefault="00B11167" w:rsidP="0064584B">
      <w:pPr>
        <w:pStyle w:val="Heading2"/>
      </w:pPr>
      <w:bookmarkStart w:id="64" w:name="_Toc475361572"/>
      <w:bookmarkStart w:id="65" w:name="_Toc475614194"/>
      <w:bookmarkStart w:id="66" w:name="_Toc475628041"/>
      <w:bookmarkStart w:id="67" w:name="_Toc475628214"/>
      <w:bookmarkStart w:id="68" w:name="_Toc475634085"/>
      <w:bookmarkStart w:id="69" w:name="_Toc476307166"/>
      <w:bookmarkStart w:id="70" w:name="_Toc476307297"/>
      <w:bookmarkStart w:id="71" w:name="_Toc476308484"/>
      <w:bookmarkStart w:id="72" w:name="_Toc476309078"/>
      <w:bookmarkStart w:id="73" w:name="_Toc476312552"/>
      <w:bookmarkStart w:id="74" w:name="_Toc476312790"/>
      <w:bookmarkStart w:id="75" w:name="_Toc476312863"/>
      <w:bookmarkStart w:id="76" w:name="_Toc476318436"/>
      <w:bookmarkStart w:id="77" w:name="_Toc476320078"/>
      <w:bookmarkStart w:id="78" w:name="_Toc476322764"/>
      <w:bookmarkStart w:id="79" w:name="_Toc476324730"/>
      <w:bookmarkStart w:id="80" w:name="_Toc476326758"/>
      <w:bookmarkStart w:id="81" w:name="_Toc476907456"/>
      <w:bookmarkStart w:id="82" w:name="_Toc476910682"/>
      <w:bookmarkStart w:id="83" w:name="_Toc476910767"/>
      <w:bookmarkStart w:id="84" w:name="_Toc476915252"/>
      <w:bookmarkStart w:id="85" w:name="_Toc476916209"/>
      <w:bookmarkStart w:id="86" w:name="_Toc476916328"/>
      <w:r>
        <w:rPr>
          <w:noProof/>
        </w:rPr>
        <w:lastRenderedPageBreak/>
        <w:t>2</w:t>
      </w:r>
      <w:r w:rsidR="00F5344B">
        <w:tab/>
        <w:t>Conduct of the inquiry</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2E9288D" w14:textId="77320C9A" w:rsidR="00E3665A" w:rsidRDefault="00B45E5F" w:rsidP="00B45E5F">
      <w:pPr>
        <w:pStyle w:val="BodyText"/>
      </w:pPr>
      <w:r>
        <w:t xml:space="preserve">The inquiry will be undertaken under the </w:t>
      </w:r>
      <w:r w:rsidRPr="00E32904">
        <w:rPr>
          <w:i/>
        </w:rPr>
        <w:t>Productivity Commission Act 1998</w:t>
      </w:r>
      <w:r>
        <w:t xml:space="preserve"> </w:t>
      </w:r>
      <w:r w:rsidR="00440272">
        <w:t>(</w:t>
      </w:r>
      <w:proofErr w:type="spellStart"/>
      <w:r w:rsidR="00440272">
        <w:t>C</w:t>
      </w:r>
      <w:r w:rsidR="004633E8">
        <w:t>wl</w:t>
      </w:r>
      <w:r w:rsidR="00440272">
        <w:t>th</w:t>
      </w:r>
      <w:proofErr w:type="spellEnd"/>
      <w:r w:rsidR="00440272">
        <w:t xml:space="preserve">) </w:t>
      </w:r>
      <w:r>
        <w:t>and as such the inquiry</w:t>
      </w:r>
      <w:r w:rsidR="00F020CE">
        <w:t>’s draft and final</w:t>
      </w:r>
      <w:r>
        <w:t xml:space="preserve"> report </w:t>
      </w:r>
      <w:r w:rsidR="00F020CE">
        <w:t xml:space="preserve">to government </w:t>
      </w:r>
      <w:r>
        <w:t>will reflect the views of the Commission. The Commission will consult widely, including through participant visits, submissions, public hearings and issues</w:t>
      </w:r>
      <w:r w:rsidR="003F5FF6">
        <w:noBreakHyphen/>
      </w:r>
      <w:r>
        <w:t>based roundtables.</w:t>
      </w:r>
    </w:p>
    <w:p w14:paraId="32E9288E" w14:textId="5FBC2063" w:rsidR="00B45E5F" w:rsidRDefault="00B45E5F" w:rsidP="00B45E5F">
      <w:pPr>
        <w:pStyle w:val="BodyText"/>
      </w:pPr>
      <w:r>
        <w:t xml:space="preserve">A stakeholder working group has also been established, </w:t>
      </w:r>
      <w:r w:rsidR="00383440">
        <w:t>in accord with</w:t>
      </w:r>
      <w:r w:rsidR="005E491E">
        <w:t xml:space="preserve"> </w:t>
      </w:r>
      <w:r w:rsidR="0025325A">
        <w:t>s. </w:t>
      </w:r>
      <w:r w:rsidR="002E48F8">
        <w:t>8</w:t>
      </w:r>
      <w:r w:rsidR="00435A1C">
        <w:t>9</w:t>
      </w:r>
      <w:r w:rsidR="0025325A">
        <w:t> </w:t>
      </w:r>
      <w:r w:rsidR="002E48F8">
        <w:t xml:space="preserve">of the </w:t>
      </w:r>
      <w:r w:rsidR="006A3A8E" w:rsidRPr="000117A3">
        <w:rPr>
          <w:i/>
        </w:rPr>
        <w:t xml:space="preserve">Water Act </w:t>
      </w:r>
      <w:r w:rsidR="000B1F6C" w:rsidRPr="000117A3">
        <w:rPr>
          <w:i/>
        </w:rPr>
        <w:t>2007</w:t>
      </w:r>
      <w:r>
        <w:t>. The purpose of the working group is to provide a consultation forum to exchange information and views on issues relevant to th</w:t>
      </w:r>
      <w:r w:rsidR="00C502CE">
        <w:t>is</w:t>
      </w:r>
      <w:r>
        <w:t xml:space="preserve"> inquiry.</w:t>
      </w:r>
      <w:r w:rsidRPr="003E042F">
        <w:t xml:space="preserve"> </w:t>
      </w:r>
      <w:r w:rsidR="000E6875">
        <w:t>The stakeholder working group</w:t>
      </w:r>
      <w:r w:rsidR="0098296F">
        <w:t xml:space="preserve"> first met on 23 February 2017</w:t>
      </w:r>
      <w:r>
        <w:t xml:space="preserve">. Membership of the stakeholder working group </w:t>
      </w:r>
      <w:r w:rsidR="00383440">
        <w:t>can be found</w:t>
      </w:r>
      <w:r>
        <w:t xml:space="preserve"> on the inquiry </w:t>
      </w:r>
      <w:proofErr w:type="spellStart"/>
      <w:r>
        <w:t>webpage</w:t>
      </w:r>
      <w:proofErr w:type="spellEnd"/>
      <w:r>
        <w:t>.</w:t>
      </w:r>
    </w:p>
    <w:p w14:paraId="32E9288F" w14:textId="77777777" w:rsidR="00B45E5F" w:rsidRDefault="00B45E5F" w:rsidP="00B45E5F">
      <w:pPr>
        <w:pStyle w:val="BodyText"/>
      </w:pPr>
      <w:r w:rsidRPr="00011EA5">
        <w:t xml:space="preserve">The Commission encourages submissions on issues relevant to the </w:t>
      </w:r>
      <w:r>
        <w:t>inquiry</w:t>
      </w:r>
      <w:r w:rsidRPr="00011EA5">
        <w:t xml:space="preserve">’s terms of reference. As a guide to preparing submissions, this issues paper </w:t>
      </w:r>
      <w:r>
        <w:t>outlines what the Commission sees as the material and</w:t>
      </w:r>
      <w:r w:rsidRPr="00011EA5">
        <w:t xml:space="preserve"> relevant issues</w:t>
      </w:r>
      <w:r w:rsidR="0096372E">
        <w:t>; it also contains</w:t>
      </w:r>
      <w:r w:rsidRPr="00011EA5">
        <w:t xml:space="preserve"> a number of questions. It is not a requirement that </w:t>
      </w:r>
      <w:r>
        <w:t xml:space="preserve">participants </w:t>
      </w:r>
      <w:r w:rsidRPr="00011EA5">
        <w:t>answer all the questions</w:t>
      </w:r>
      <w:r w:rsidR="00383440">
        <w:t xml:space="preserve"> nor</w:t>
      </w:r>
      <w:r w:rsidRPr="00011EA5">
        <w:t xml:space="preserve"> </w:t>
      </w:r>
      <w:r w:rsidR="002E48F8">
        <w:t>limit</w:t>
      </w:r>
      <w:r w:rsidR="002E48F8" w:rsidRPr="00011EA5">
        <w:t xml:space="preserve"> </w:t>
      </w:r>
      <w:r w:rsidRPr="00011EA5">
        <w:t xml:space="preserve">their submissions to the questions </w:t>
      </w:r>
      <w:r w:rsidR="002E48F8">
        <w:t>raised</w:t>
      </w:r>
      <w:r w:rsidRPr="00011EA5">
        <w:t xml:space="preserve">. </w:t>
      </w:r>
      <w:r>
        <w:t xml:space="preserve">Submissions focussing on a particular </w:t>
      </w:r>
      <w:r w:rsidR="001E0367">
        <w:t>S</w:t>
      </w:r>
      <w:r>
        <w:t xml:space="preserve">tate or </w:t>
      </w:r>
      <w:r w:rsidR="001E0367">
        <w:t>T</w:t>
      </w:r>
      <w:r>
        <w:t xml:space="preserve">erritory are welcome, as </w:t>
      </w:r>
      <w:r w:rsidR="002E48F8">
        <w:t>are</w:t>
      </w:r>
      <w:r>
        <w:t xml:space="preserve"> submissions that take a national perspective.</w:t>
      </w:r>
    </w:p>
    <w:p w14:paraId="32E92890" w14:textId="59369BEC" w:rsidR="00B45E5F" w:rsidRPr="00B45E5F" w:rsidRDefault="00383440" w:rsidP="00B45E5F">
      <w:pPr>
        <w:pStyle w:val="BodyText"/>
      </w:pPr>
      <w:r>
        <w:t>Initial s</w:t>
      </w:r>
      <w:r w:rsidR="00B45E5F" w:rsidRPr="00011EA5">
        <w:t xml:space="preserve">ubmissions should be provided to the Commission by </w:t>
      </w:r>
      <w:r w:rsidR="00B45E5F">
        <w:rPr>
          <w:b/>
          <w:bCs/>
        </w:rPr>
        <w:t>Tuesday</w:t>
      </w:r>
      <w:r w:rsidR="00B45E5F" w:rsidRPr="00011EA5">
        <w:rPr>
          <w:b/>
          <w:bCs/>
        </w:rPr>
        <w:t xml:space="preserve"> </w:t>
      </w:r>
      <w:r w:rsidR="00B45E5F">
        <w:rPr>
          <w:b/>
          <w:bCs/>
        </w:rPr>
        <w:t>18</w:t>
      </w:r>
      <w:r w:rsidR="00411625">
        <w:rPr>
          <w:b/>
          <w:bCs/>
        </w:rPr>
        <w:t> </w:t>
      </w:r>
      <w:r w:rsidR="002E14AB">
        <w:rPr>
          <w:b/>
          <w:bCs/>
        </w:rPr>
        <w:t>April </w:t>
      </w:r>
      <w:r w:rsidR="00B45E5F" w:rsidRPr="00011EA5">
        <w:rPr>
          <w:b/>
          <w:bCs/>
        </w:rPr>
        <w:t>201</w:t>
      </w:r>
      <w:r w:rsidR="00B45E5F">
        <w:rPr>
          <w:b/>
          <w:bCs/>
        </w:rPr>
        <w:t>7</w:t>
      </w:r>
      <w:r w:rsidR="00B45E5F" w:rsidRPr="00011EA5">
        <w:t xml:space="preserve">. Attachment </w:t>
      </w:r>
      <w:r w:rsidR="00605F04">
        <w:t>C</w:t>
      </w:r>
      <w:r w:rsidR="00B45E5F" w:rsidRPr="00011EA5">
        <w:t xml:space="preserve"> provides further details on how to make a submission.</w:t>
      </w:r>
      <w:r w:rsidR="00B45E5F">
        <w:t xml:space="preserve"> </w:t>
      </w:r>
      <w:r w:rsidR="00B45E5F" w:rsidRPr="00011EA5">
        <w:t xml:space="preserve">There will be opportunities to make further submissions following the </w:t>
      </w:r>
      <w:r w:rsidR="00B45E5F">
        <w:t xml:space="preserve">public </w:t>
      </w:r>
      <w:r w:rsidR="00B45E5F" w:rsidRPr="00011EA5">
        <w:t>release of the draft report</w:t>
      </w:r>
      <w:r w:rsidR="00B45E5F">
        <w:t xml:space="preserve"> in </w:t>
      </w:r>
      <w:r w:rsidR="00FD5607">
        <w:t>early September</w:t>
      </w:r>
      <w:r w:rsidR="00B45E5F">
        <w:t>.</w:t>
      </w:r>
      <w:r w:rsidR="00B45E5F" w:rsidRPr="00011EA5">
        <w:t xml:space="preserve"> </w:t>
      </w:r>
      <w:r w:rsidR="00B45E5F">
        <w:t xml:space="preserve">Key dates for the inquiry are set out at </w:t>
      </w:r>
      <w:r w:rsidR="000C3D8F">
        <w:t>the front of this issues paper.</w:t>
      </w:r>
    </w:p>
    <w:p w14:paraId="32E92891" w14:textId="5C37B832" w:rsidR="00416A57" w:rsidRDefault="00B11167" w:rsidP="00416A57">
      <w:pPr>
        <w:pStyle w:val="Heading2"/>
      </w:pPr>
      <w:bookmarkStart w:id="87" w:name="_Toc476320079"/>
      <w:bookmarkStart w:id="88" w:name="_Toc476322765"/>
      <w:bookmarkStart w:id="89" w:name="_Toc476324731"/>
      <w:bookmarkStart w:id="90" w:name="_Toc476326759"/>
      <w:bookmarkStart w:id="91" w:name="_Toc476907457"/>
      <w:bookmarkStart w:id="92" w:name="_Toc476910683"/>
      <w:bookmarkStart w:id="93" w:name="_Toc476910768"/>
      <w:bookmarkStart w:id="94" w:name="_Toc476915253"/>
      <w:bookmarkStart w:id="95" w:name="_Toc476916210"/>
      <w:bookmarkStart w:id="96" w:name="_Toc476916329"/>
      <w:r>
        <w:rPr>
          <w:noProof/>
        </w:rPr>
        <w:t>3</w:t>
      </w:r>
      <w:r w:rsidR="00416A57">
        <w:tab/>
      </w:r>
      <w:r w:rsidR="00383440">
        <w:t>Australia’s w</w:t>
      </w:r>
      <w:r w:rsidR="00416A57">
        <w:t xml:space="preserve">ater policy reform </w:t>
      </w:r>
      <w:r w:rsidR="00383440">
        <w:t>to date</w:t>
      </w:r>
      <w:bookmarkEnd w:id="87"/>
      <w:bookmarkEnd w:id="88"/>
      <w:bookmarkEnd w:id="89"/>
      <w:bookmarkEnd w:id="90"/>
      <w:bookmarkEnd w:id="91"/>
      <w:bookmarkEnd w:id="92"/>
      <w:bookmarkEnd w:id="93"/>
      <w:bookmarkEnd w:id="94"/>
      <w:bookmarkEnd w:id="95"/>
      <w:bookmarkEnd w:id="96"/>
    </w:p>
    <w:p w14:paraId="32E92892" w14:textId="25BE7D50" w:rsidR="00416A57" w:rsidRDefault="00416A57" w:rsidP="00416A57">
      <w:pPr>
        <w:pStyle w:val="BodyText"/>
      </w:pPr>
      <w:r>
        <w:t>Australian Governments</w:t>
      </w:r>
      <w:r w:rsidRPr="00466335">
        <w:t xml:space="preserve"> </w:t>
      </w:r>
      <w:r>
        <w:t>have implemented significant water reforms over</w:t>
      </w:r>
      <w:r w:rsidR="00FE1C0A">
        <w:t xml:space="preserve"> recent decades</w:t>
      </w:r>
      <w:r>
        <w:t>.</w:t>
      </w:r>
      <w:r w:rsidR="00905E25">
        <w:t xml:space="preserve"> </w:t>
      </w:r>
      <w:r>
        <w:t xml:space="preserve">These reforms were </w:t>
      </w:r>
      <w:r w:rsidR="00383440">
        <w:t>needed</w:t>
      </w:r>
      <w:r>
        <w:t xml:space="preserve"> to address a range of challenges, such as cross</w:t>
      </w:r>
      <w:r w:rsidR="003F5FF6">
        <w:noBreakHyphen/>
      </w:r>
      <w:r>
        <w:t>boundary governance issues arising from Australia’s federal political structure, highly variable climatic conditions</w:t>
      </w:r>
      <w:r w:rsidR="00C134FF">
        <w:t>,</w:t>
      </w:r>
      <w:r>
        <w:t xml:space="preserve"> managing Australia’s natural environment</w:t>
      </w:r>
      <w:r w:rsidR="00C134FF">
        <w:t>, improving water services and achieving financial sustainability</w:t>
      </w:r>
      <w:r>
        <w:t xml:space="preserve">. Although </w:t>
      </w:r>
      <w:r w:rsidR="00701248">
        <w:t>Australia’s water management arrangements are well developed and highly regarded internationally,</w:t>
      </w:r>
      <w:r>
        <w:t xml:space="preserve"> Australia faces further reform challenges in coming years, and some reform efforts have been more successful than others. </w:t>
      </w:r>
    </w:p>
    <w:p w14:paraId="32E92893" w14:textId="29E3FF9A" w:rsidR="00416A57" w:rsidRDefault="00416A57" w:rsidP="00416A57">
      <w:pPr>
        <w:pStyle w:val="BodyText"/>
      </w:pPr>
      <w:r>
        <w:t xml:space="preserve">Up until the first major wave of water reform </w:t>
      </w:r>
      <w:r w:rsidR="00FE1C0A">
        <w:t>from</w:t>
      </w:r>
      <w:r>
        <w:t xml:space="preserve"> the </w:t>
      </w:r>
      <w:r w:rsidR="00D30F71">
        <w:t>mid</w:t>
      </w:r>
      <w:r w:rsidR="00DD79B8">
        <w:noBreakHyphen/>
      </w:r>
      <w:proofErr w:type="spellStart"/>
      <w:r w:rsidR="00C134FF">
        <w:t>1980s</w:t>
      </w:r>
      <w:proofErr w:type="spellEnd"/>
      <w:r w:rsidR="00C134FF">
        <w:t xml:space="preserve"> </w:t>
      </w:r>
      <w:r w:rsidR="00FE1C0A">
        <w:t>to the</w:t>
      </w:r>
      <w:r w:rsidR="00C134FF">
        <w:t xml:space="preserve"> </w:t>
      </w:r>
      <w:r>
        <w:t>early 1990s, Australian Governments unsurprising</w:t>
      </w:r>
      <w:r w:rsidR="00C420C0">
        <w:t>ly took a primarily development</w:t>
      </w:r>
      <w:r w:rsidR="00C420C0">
        <w:noBreakHyphen/>
      </w:r>
      <w:r>
        <w:t>oriented approach to the management and delivery of water. This was characterised by:</w:t>
      </w:r>
    </w:p>
    <w:p w14:paraId="32E92894" w14:textId="77777777" w:rsidR="00416A57" w:rsidRDefault="00416A57" w:rsidP="00416A57">
      <w:pPr>
        <w:pStyle w:val="ListBullet"/>
      </w:pPr>
      <w:r>
        <w:t>relatively unconstrained release of water entitlements to de</w:t>
      </w:r>
      <w:r w:rsidR="00411625">
        <w:t xml:space="preserve">velop agriculture and industry </w:t>
      </w:r>
    </w:p>
    <w:p w14:paraId="32E92895" w14:textId="77777777" w:rsidR="00B92B67" w:rsidRDefault="00416A57" w:rsidP="00416A57">
      <w:pPr>
        <w:pStyle w:val="ListBullet"/>
      </w:pPr>
      <w:r>
        <w:t xml:space="preserve">substantial government investment in rural and urban water infrastructure to satisfy growing water demand </w:t>
      </w:r>
    </w:p>
    <w:p w14:paraId="32E92896" w14:textId="77777777" w:rsidR="00416A57" w:rsidRDefault="00416A57" w:rsidP="00416A57">
      <w:pPr>
        <w:pStyle w:val="ListBullet"/>
      </w:pPr>
      <w:r>
        <w:lastRenderedPageBreak/>
        <w:t>limited emphas</w:t>
      </w:r>
      <w:r w:rsidR="00411625">
        <w:t xml:space="preserve">is on environmental protection </w:t>
      </w:r>
    </w:p>
    <w:p w14:paraId="32E92897" w14:textId="77777777" w:rsidR="00416A57" w:rsidRDefault="00416A57" w:rsidP="00416A57">
      <w:pPr>
        <w:pStyle w:val="ListBullet"/>
      </w:pPr>
      <w:r>
        <w:t>pricing of water services well below their delivery cost or value to the end user.</w:t>
      </w:r>
    </w:p>
    <w:p w14:paraId="32E92898" w14:textId="7C3078FD" w:rsidR="00416A57" w:rsidRDefault="00416A57" w:rsidP="00416A57">
      <w:pPr>
        <w:pStyle w:val="BodyText"/>
      </w:pPr>
      <w:r>
        <w:t xml:space="preserve">While successful in stimulating growth in agricultural production and satisfying water demand for Australia’s rapidly growing cities, the ‘development era’ </w:t>
      </w:r>
      <w:r w:rsidR="0055285C">
        <w:t xml:space="preserve">contributed </w:t>
      </w:r>
      <w:r>
        <w:t>to a range of environmental problems including the temporary closu</w:t>
      </w:r>
      <w:r w:rsidR="002E14AB">
        <w:t>re of the River Murray mouth in </w:t>
      </w:r>
      <w:r>
        <w:t>1981, excessive salinity in the River Murray and toxic algal</w:t>
      </w:r>
      <w:r w:rsidR="00396CA0">
        <w:noBreakHyphen/>
      </w:r>
      <w:r>
        <w:t xml:space="preserve">blooms in river and estuarine water bodies </w:t>
      </w:r>
      <w:r w:rsidR="00F83A49" w:rsidRPr="00F83A49">
        <w:rPr>
          <w:szCs w:val="24"/>
        </w:rPr>
        <w:t>(Australian Water Partnership 2016)</w:t>
      </w:r>
      <w:r>
        <w:t>. Further,</w:t>
      </w:r>
      <w:r w:rsidDel="00D141A7">
        <w:t xml:space="preserve"> </w:t>
      </w:r>
      <w:r>
        <w:t xml:space="preserve">continuing allocation of new entitlements eroded the security of existing entitlements and governments incurred significant costs in </w:t>
      </w:r>
      <w:r w:rsidR="0018537A">
        <w:t xml:space="preserve">delivering </w:t>
      </w:r>
      <w:r>
        <w:t xml:space="preserve">new infrastructure to meet growing demand for rural and urban water services. </w:t>
      </w:r>
    </w:p>
    <w:p w14:paraId="32E92899" w14:textId="14875596" w:rsidR="00416A57" w:rsidRDefault="00416A57" w:rsidP="00416A57">
      <w:pPr>
        <w:pStyle w:val="BodyText"/>
      </w:pPr>
      <w:r>
        <w:t xml:space="preserve">Reflecting these pressures and problems, governments at both the state and national level began to pursue reforms in the </w:t>
      </w:r>
      <w:r w:rsidR="00DD79B8">
        <w:t>mid</w:t>
      </w:r>
      <w:r w:rsidR="00DD79B8">
        <w:noBreakHyphen/>
      </w:r>
      <w:proofErr w:type="spellStart"/>
      <w:r>
        <w:t>1980s</w:t>
      </w:r>
      <w:proofErr w:type="spellEnd"/>
      <w:r>
        <w:t xml:space="preserve">. Following various, largely </w:t>
      </w:r>
      <w:r w:rsidR="003363EB">
        <w:t>state</w:t>
      </w:r>
      <w:r w:rsidR="003363EB">
        <w:noBreakHyphen/>
      </w:r>
      <w:r>
        <w:t>based</w:t>
      </w:r>
      <w:r w:rsidR="00F512B6">
        <w:t xml:space="preserve"> </w:t>
      </w:r>
      <w:r>
        <w:t xml:space="preserve">reforms, a comprehensive national approach to reform commenced in 1994 with the </w:t>
      </w:r>
      <w:proofErr w:type="spellStart"/>
      <w:r>
        <w:t>COAG’s</w:t>
      </w:r>
      <w:proofErr w:type="spellEnd"/>
      <w:r>
        <w:t xml:space="preserve"> Water Re</w:t>
      </w:r>
      <w:r w:rsidR="00D53427">
        <w:t>form Framework</w:t>
      </w:r>
      <w:r>
        <w:t xml:space="preserve"> and National Competition Policy agreements. </w:t>
      </w:r>
    </w:p>
    <w:p w14:paraId="32E9289A" w14:textId="38B19048" w:rsidR="00416A57" w:rsidRDefault="00416A57" w:rsidP="00416A57">
      <w:pPr>
        <w:pStyle w:val="BodyText"/>
      </w:pPr>
      <w:r>
        <w:t xml:space="preserve">Further reforms took place during the early </w:t>
      </w:r>
      <w:proofErr w:type="spellStart"/>
      <w:r>
        <w:t>2000s</w:t>
      </w:r>
      <w:proofErr w:type="spellEnd"/>
      <w:r w:rsidR="00C134FF">
        <w:t xml:space="preserve"> to reinvigorate the 1994 water reform agenda, and </w:t>
      </w:r>
      <w:r w:rsidR="0035148A">
        <w:t>to</w:t>
      </w:r>
      <w:r>
        <w:t xml:space="preserve"> respon</w:t>
      </w:r>
      <w:r w:rsidR="0035148A">
        <w:t>d</w:t>
      </w:r>
      <w:r>
        <w:t xml:space="preserve"> to water scarcity issues arising during the Millennium Drought (1997 to 20</w:t>
      </w:r>
      <w:r w:rsidR="00801972">
        <w:t>09</w:t>
      </w:r>
      <w:r>
        <w:t xml:space="preserve">). The first of these reforms was the 2004 </w:t>
      </w:r>
      <w:proofErr w:type="spellStart"/>
      <w:r>
        <w:t>NWI</w:t>
      </w:r>
      <w:proofErr w:type="spellEnd"/>
      <w:r w:rsidRPr="00400BE8">
        <w:rPr>
          <w:rStyle w:val="FootnoteReference"/>
        </w:rPr>
        <w:footnoteReference w:id="2"/>
      </w:r>
      <w:r>
        <w:t xml:space="preserve">. This was followed by the </w:t>
      </w:r>
      <w:r w:rsidR="00437E97">
        <w:t>Australian Government’s</w:t>
      </w:r>
      <w:r>
        <w:t xml:space="preserve"> 2007 National Plan for Water Security, which led to a range of reforms to the management of the </w:t>
      </w:r>
      <w:r w:rsidR="00512F3B">
        <w:t>Murray</w:t>
      </w:r>
      <w:r w:rsidR="00DC604D">
        <w:t>–</w:t>
      </w:r>
      <w:r w:rsidR="00512F3B">
        <w:t>Darling Basin (</w:t>
      </w:r>
      <w:proofErr w:type="spellStart"/>
      <w:r>
        <w:t>MDB</w:t>
      </w:r>
      <w:proofErr w:type="spellEnd"/>
      <w:r w:rsidR="00512F3B">
        <w:t>)</w:t>
      </w:r>
      <w:r>
        <w:t>, including a process for returning water to the environment. In 2012</w:t>
      </w:r>
      <w:r w:rsidR="004061C0">
        <w:t>,</w:t>
      </w:r>
      <w:r>
        <w:t xml:space="preserve"> further reforms to management of the </w:t>
      </w:r>
      <w:proofErr w:type="spellStart"/>
      <w:r>
        <w:t>MDB</w:t>
      </w:r>
      <w:proofErr w:type="spellEnd"/>
      <w:r>
        <w:t xml:space="preserve"> were agreed through the making of the Basin Plan.</w:t>
      </w:r>
      <w:r w:rsidRPr="004008F4">
        <w:t xml:space="preserve"> </w:t>
      </w:r>
      <w:r>
        <w:t>Various post</w:t>
      </w:r>
      <w:r w:rsidR="00396CA0">
        <w:noBreakHyphen/>
      </w:r>
      <w:proofErr w:type="spellStart"/>
      <w:r>
        <w:t>NWI</w:t>
      </w:r>
      <w:proofErr w:type="spellEnd"/>
      <w:r>
        <w:t xml:space="preserve"> initiatives were also agreed by COAG in 2008, 2009 and 2013, addressing a range of matters including urban water, enhancing water markets and knowledge and capacity building.</w:t>
      </w:r>
      <w:r w:rsidRPr="00400BE8">
        <w:rPr>
          <w:rStyle w:val="FootnoteReference"/>
        </w:rPr>
        <w:footnoteReference w:id="3"/>
      </w:r>
    </w:p>
    <w:p w14:paraId="32E9289B" w14:textId="448DCFA4" w:rsidR="00416A57" w:rsidRDefault="00416A57" w:rsidP="00416A57">
      <w:pPr>
        <w:pStyle w:val="BodyText"/>
      </w:pPr>
      <w:r>
        <w:t>A</w:t>
      </w:r>
      <w:r w:rsidR="00903700">
        <w:t xml:space="preserve">n overview </w:t>
      </w:r>
      <w:r>
        <w:t xml:space="preserve">timeline of Australia’s history of water reform </w:t>
      </w:r>
      <w:r w:rsidR="007F14A0">
        <w:t xml:space="preserve">and key events </w:t>
      </w:r>
      <w:r>
        <w:t xml:space="preserve">is provided in </w:t>
      </w:r>
      <w:r w:rsidR="00884B09">
        <w:t>b</w:t>
      </w:r>
      <w:r w:rsidR="000857D0">
        <w:t>ox</w:t>
      </w:r>
      <w:r w:rsidR="00A15BD9">
        <w:t> </w:t>
      </w:r>
      <w:bookmarkStart w:id="97" w:name="_1550557894"/>
      <w:bookmarkStart w:id="98" w:name="_1550648377"/>
      <w:bookmarkStart w:id="99" w:name="_1550648952"/>
      <w:bookmarkStart w:id="100" w:name="_1550651025"/>
      <w:bookmarkStart w:id="101" w:name="_1550652646"/>
      <w:bookmarkStart w:id="102" w:name="_1550651870"/>
      <w:bookmarkEnd w:id="97"/>
      <w:bookmarkEnd w:id="98"/>
      <w:bookmarkEnd w:id="99"/>
      <w:bookmarkEnd w:id="100"/>
      <w:bookmarkEnd w:id="101"/>
      <w:bookmarkEnd w:id="102"/>
      <w:r w:rsidR="00A20B22">
        <w:t>1</w:t>
      </w:r>
      <w:r w:rsidR="000857D0">
        <w:t>.</w:t>
      </w:r>
    </w:p>
    <w:p w14:paraId="38C93DBD" w14:textId="77777777" w:rsidR="002537EC" w:rsidDel="00A77E97" w:rsidRDefault="002537EC" w:rsidP="002537EC">
      <w:pPr>
        <w:pStyle w:val="BodyText"/>
      </w:pPr>
      <w:r>
        <w:t>More</w:t>
      </w:r>
      <w:r w:rsidDel="00A77E97">
        <w:t xml:space="preserve"> </w:t>
      </w:r>
      <w:r>
        <w:t xml:space="preserve">recent </w:t>
      </w:r>
      <w:r w:rsidDel="00A77E97">
        <w:t>reform</w:t>
      </w:r>
      <w:r>
        <w:t>s</w:t>
      </w:r>
      <w:r w:rsidDel="00A77E97">
        <w:t xml:space="preserve"> </w:t>
      </w:r>
      <w:r>
        <w:t xml:space="preserve">have sought </w:t>
      </w:r>
      <w:r w:rsidDel="00A77E97">
        <w:t>to:</w:t>
      </w:r>
    </w:p>
    <w:p w14:paraId="1B52538E" w14:textId="77777777" w:rsidR="002537EC" w:rsidDel="00A77E97" w:rsidRDefault="002537EC" w:rsidP="002537EC">
      <w:pPr>
        <w:pStyle w:val="ListBullet"/>
      </w:pPr>
      <w:r w:rsidDel="00A77E97">
        <w:t>promote efficient water use by allocatin</w:t>
      </w:r>
      <w:r>
        <w:t>g water through a clear, rights</w:t>
      </w:r>
      <w:r>
        <w:noBreakHyphen/>
      </w:r>
      <w:r w:rsidDel="00A77E97">
        <w:t xml:space="preserve">based regime that allows water to be transferred between users </w:t>
      </w:r>
      <w:r>
        <w:t>via water markets</w:t>
      </w:r>
    </w:p>
    <w:p w14:paraId="405C2489" w14:textId="77777777" w:rsidR="002537EC" w:rsidDel="00A77E97" w:rsidRDefault="002537EC" w:rsidP="002537EC">
      <w:pPr>
        <w:pStyle w:val="ListBullet"/>
      </w:pPr>
      <w:r>
        <w:t>improve environmental management including through the provision of water for the environment through water planning processes</w:t>
      </w:r>
    </w:p>
    <w:p w14:paraId="29F26D38" w14:textId="77777777" w:rsidR="002537EC" w:rsidRDefault="002537EC" w:rsidP="002537EC">
      <w:pPr>
        <w:pStyle w:val="ListBullet"/>
      </w:pPr>
      <w:r w:rsidDel="00A77E97">
        <w:t>promote efficient investment in water infrastructure</w:t>
      </w:r>
      <w:r w:rsidRPr="0042442E">
        <w:t xml:space="preserve"> </w:t>
      </w:r>
    </w:p>
    <w:p w14:paraId="5454C1D4" w14:textId="77777777" w:rsidR="002537EC" w:rsidRDefault="002537EC" w:rsidP="002537EC">
      <w:pPr>
        <w:pStyle w:val="ListBullet"/>
      </w:pPr>
      <w:r>
        <w:t>introduce consumption</w:t>
      </w:r>
      <w:r>
        <w:noBreakHyphen/>
        <w:t>based and cost</w:t>
      </w:r>
      <w:r>
        <w:noBreakHyphen/>
        <w:t xml:space="preserve">reflective pricing for water services to </w:t>
      </w:r>
      <w:r w:rsidDel="00A77E97">
        <w:t xml:space="preserve">ensure that water service providers </w:t>
      </w:r>
      <w:r>
        <w:t xml:space="preserve">transition to become </w:t>
      </w:r>
      <w:r w:rsidDel="00A77E97">
        <w:t>financially sustainable</w:t>
      </w:r>
    </w:p>
    <w:p w14:paraId="529CBC9A" w14:textId="77777777" w:rsidR="002537EC" w:rsidRDefault="002537EC" w:rsidP="002537EC">
      <w:pPr>
        <w:pStyle w:val="ListBullet"/>
      </w:pPr>
      <w:r>
        <w:lastRenderedPageBreak/>
        <w:t>modernise water governance and institutional arrangements to ensure they promote efficiency and transparency</w:t>
      </w:r>
      <w:r w:rsidDel="00A77E97">
        <w:t xml:space="preserve">. </w:t>
      </w:r>
    </w:p>
    <w:p w14:paraId="32E9289C" w14:textId="0E53C4EF" w:rsidR="00416A57" w:rsidRDefault="00416A57" w:rsidP="00416A57">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416A57" w14:paraId="32E9289E" w14:textId="77777777" w:rsidTr="00367187">
        <w:tc>
          <w:tcPr>
            <w:tcW w:w="8771" w:type="dxa"/>
            <w:tcBorders>
              <w:top w:val="single" w:sz="6" w:space="0" w:color="78A22F"/>
              <w:left w:val="nil"/>
              <w:bottom w:val="nil"/>
              <w:right w:val="nil"/>
            </w:tcBorders>
            <w:shd w:val="clear" w:color="auto" w:fill="F2F2F2"/>
          </w:tcPr>
          <w:p w14:paraId="32E9289D" w14:textId="2BF686C6" w:rsidR="00416A57" w:rsidRDefault="00416A57" w:rsidP="00834E53">
            <w:pPr>
              <w:pStyle w:val="BoxTitle"/>
            </w:pPr>
            <w:r>
              <w:rPr>
                <w:b w:val="0"/>
              </w:rPr>
              <w:t xml:space="preserve">Box </w:t>
            </w:r>
            <w:bookmarkStart w:id="103" w:name="OLE_LINK2"/>
            <w:r w:rsidR="00B11167">
              <w:rPr>
                <w:b w:val="0"/>
                <w:noProof/>
              </w:rPr>
              <w:t>1</w:t>
            </w:r>
            <w:bookmarkEnd w:id="103"/>
            <w:r>
              <w:tab/>
            </w:r>
            <w:r w:rsidR="00903700">
              <w:t>Overview</w:t>
            </w:r>
            <w:r>
              <w:t xml:space="preserve"> of </w:t>
            </w:r>
            <w:r w:rsidR="00903700">
              <w:t xml:space="preserve">Australia’s </w:t>
            </w:r>
            <w:r>
              <w:t>national water reform</w:t>
            </w:r>
            <w:r w:rsidR="005640AF">
              <w:t xml:space="preserve"> and key events</w:t>
            </w:r>
          </w:p>
        </w:tc>
      </w:tr>
      <w:tr w:rsidR="00416A57" w14:paraId="32E928AE" w14:textId="77777777" w:rsidTr="00367187">
        <w:tc>
          <w:tcPr>
            <w:tcW w:w="8771" w:type="dxa"/>
            <w:tcBorders>
              <w:top w:val="nil"/>
              <w:left w:val="nil"/>
              <w:bottom w:val="nil"/>
              <w:right w:val="nil"/>
            </w:tcBorders>
            <w:shd w:val="clear" w:color="auto" w:fill="F2F2F2"/>
          </w:tcPr>
          <w:p w14:paraId="0F877526" w14:textId="717A75AA" w:rsidR="00FE1C0A" w:rsidRDefault="00FE1C0A" w:rsidP="00367187">
            <w:pPr>
              <w:pStyle w:val="BoxListBullet"/>
            </w:pPr>
            <w:r>
              <w:t>1863: Inter-colonial conference discusses management of the River Murray</w:t>
            </w:r>
          </w:p>
          <w:p w14:paraId="32E9289F" w14:textId="57427EF3" w:rsidR="00416A57" w:rsidRDefault="00416A57" w:rsidP="00367187">
            <w:pPr>
              <w:pStyle w:val="BoxListBullet"/>
            </w:pPr>
            <w:r>
              <w:t xml:space="preserve">1887: </w:t>
            </w:r>
            <w:r w:rsidR="00FE1C0A">
              <w:t xml:space="preserve">South Australian Royal Commission examines the effects of irrigation </w:t>
            </w:r>
            <w:r>
              <w:t xml:space="preserve">on river navigation in the </w:t>
            </w:r>
            <w:r w:rsidR="00FE1C0A">
              <w:t xml:space="preserve">River </w:t>
            </w:r>
            <w:r>
              <w:t>Murray</w:t>
            </w:r>
          </w:p>
          <w:p w14:paraId="32E928A0" w14:textId="0DF4C744" w:rsidR="00416A57" w:rsidRDefault="00A6329B" w:rsidP="00367187">
            <w:pPr>
              <w:pStyle w:val="BoxListBullet"/>
            </w:pPr>
            <w:r>
              <w:t>1914–</w:t>
            </w:r>
            <w:r w:rsidR="00416A57">
              <w:t>1917: N</w:t>
            </w:r>
            <w:r w:rsidR="00257950">
              <w:t>ew South Wales</w:t>
            </w:r>
            <w:r w:rsidR="00416A57">
              <w:t xml:space="preserve">, Victoria and South Australia sign the </w:t>
            </w:r>
            <w:r w:rsidR="00FE1C0A">
              <w:t xml:space="preserve">River </w:t>
            </w:r>
            <w:r w:rsidR="00416A57">
              <w:t>Murray Waters Agreement and establish the River Murray Commission</w:t>
            </w:r>
          </w:p>
          <w:p w14:paraId="32E928A1" w14:textId="0D21D055" w:rsidR="00416A57" w:rsidRDefault="00416A57" w:rsidP="00367187">
            <w:pPr>
              <w:pStyle w:val="BoxListBullet"/>
            </w:pPr>
            <w:r>
              <w:t>197</w:t>
            </w:r>
            <w:r w:rsidR="00FE1C0A">
              <w:t>0</w:t>
            </w:r>
            <w:r>
              <w:t xml:space="preserve">: River Murray Commission </w:t>
            </w:r>
            <w:r w:rsidR="00FE1C0A">
              <w:t>publishes</w:t>
            </w:r>
            <w:r>
              <w:t xml:space="preserve"> detailed study of irrigation and salinity</w:t>
            </w:r>
          </w:p>
          <w:p w14:paraId="02EC5E10" w14:textId="034774B7" w:rsidR="0020538F" w:rsidRDefault="00903700" w:rsidP="00367187">
            <w:pPr>
              <w:pStyle w:val="BoxListBullet"/>
            </w:pPr>
            <w:r>
              <w:t>1981: River Murray mouth closes temporarily</w:t>
            </w:r>
          </w:p>
          <w:p w14:paraId="32E928A3" w14:textId="65420A8B" w:rsidR="00416A57" w:rsidRDefault="00416A57" w:rsidP="00367187">
            <w:pPr>
              <w:pStyle w:val="BoxListBullet"/>
            </w:pPr>
            <w:r>
              <w:t>1987: Murray</w:t>
            </w:r>
            <w:r w:rsidR="000C0C39">
              <w:t>–</w:t>
            </w:r>
            <w:r>
              <w:t>Darling Basin Agreement signed</w:t>
            </w:r>
          </w:p>
          <w:p w14:paraId="32E928A4" w14:textId="62E6A886" w:rsidR="00416A57" w:rsidRDefault="00416A57" w:rsidP="00367187">
            <w:pPr>
              <w:pStyle w:val="BoxListBullet"/>
            </w:pPr>
            <w:r>
              <w:t>198</w:t>
            </w:r>
            <w:r w:rsidR="00FE1C0A">
              <w:t>9</w:t>
            </w:r>
            <w:r>
              <w:t>: River Murray Salinity and Drainage Strategy agreed</w:t>
            </w:r>
          </w:p>
          <w:p w14:paraId="32E928A5" w14:textId="31757DDE" w:rsidR="00C134FF" w:rsidRDefault="00C134FF" w:rsidP="00367187">
            <w:pPr>
              <w:pStyle w:val="BoxListBullet"/>
            </w:pPr>
            <w:r>
              <w:t>199</w:t>
            </w:r>
            <w:r w:rsidR="00E22E62">
              <w:t>2</w:t>
            </w:r>
            <w:r w:rsidR="00363EEB">
              <w:t>–</w:t>
            </w:r>
            <w:r w:rsidR="00E22E62">
              <w:t>1996</w:t>
            </w:r>
            <w:r>
              <w:t xml:space="preserve">: </w:t>
            </w:r>
            <w:r w:rsidR="00363EEB">
              <w:t>C</w:t>
            </w:r>
            <w:r w:rsidR="00E22E62">
              <w:t xml:space="preserve">ommencement of </w:t>
            </w:r>
            <w:r>
              <w:t xml:space="preserve">corporatisation and price regulation </w:t>
            </w:r>
            <w:r w:rsidR="00E22E62">
              <w:t>in</w:t>
            </w:r>
            <w:r>
              <w:t xml:space="preserve"> urban water</w:t>
            </w:r>
          </w:p>
          <w:p w14:paraId="32E928A6" w14:textId="62D6DA28" w:rsidR="00416A57" w:rsidRDefault="00416A57" w:rsidP="00367187">
            <w:pPr>
              <w:pStyle w:val="BoxListBullet"/>
            </w:pPr>
            <w:r>
              <w:t>1994: COAG agrees to Water Re</w:t>
            </w:r>
            <w:r w:rsidR="00FE1C0A">
              <w:t>form Framework</w:t>
            </w:r>
            <w:r>
              <w:t xml:space="preserve"> and National Competition Policy</w:t>
            </w:r>
          </w:p>
          <w:p w14:paraId="32E928A7" w14:textId="77777777" w:rsidR="00416A57" w:rsidRDefault="00416A57" w:rsidP="00367187">
            <w:pPr>
              <w:pStyle w:val="BoxListBullet"/>
            </w:pPr>
            <w:r>
              <w:t>1995: Initial cap on water diversion from the River Murray</w:t>
            </w:r>
          </w:p>
          <w:p w14:paraId="32E928A8" w14:textId="142DC3AD" w:rsidR="00903700" w:rsidRDefault="00903700" w:rsidP="00367187">
            <w:pPr>
              <w:pStyle w:val="BoxListBullet"/>
            </w:pPr>
            <w:r>
              <w:t>1997: Millennium Drought commences (persists until 2009)</w:t>
            </w:r>
          </w:p>
          <w:p w14:paraId="32E928A9" w14:textId="77777777" w:rsidR="00416A57" w:rsidRDefault="00416A57" w:rsidP="00367187">
            <w:pPr>
              <w:pStyle w:val="BoxListBullet"/>
            </w:pPr>
            <w:r>
              <w:t>2004: National Water Initiative</w:t>
            </w:r>
          </w:p>
          <w:p w14:paraId="32E928AA" w14:textId="3F0124A7" w:rsidR="00416A57" w:rsidRDefault="00A6329B" w:rsidP="00367187">
            <w:pPr>
              <w:pStyle w:val="BoxListBullet"/>
            </w:pPr>
            <w:r>
              <w:t>2007–</w:t>
            </w:r>
            <w:r w:rsidR="00416A57">
              <w:t xml:space="preserve">2008: </w:t>
            </w:r>
            <w:r w:rsidR="00416A57" w:rsidRPr="00660775">
              <w:rPr>
                <w:i/>
              </w:rPr>
              <w:t>Water Act 2007</w:t>
            </w:r>
            <w:r w:rsidR="00416A57">
              <w:t xml:space="preserve"> </w:t>
            </w:r>
            <w:r w:rsidR="004633E8">
              <w:t>(</w:t>
            </w:r>
            <w:proofErr w:type="spellStart"/>
            <w:r w:rsidR="004061C0">
              <w:t>C</w:t>
            </w:r>
            <w:r w:rsidR="004633E8">
              <w:t>w</w:t>
            </w:r>
            <w:r w:rsidR="00435A1C">
              <w:t>l</w:t>
            </w:r>
            <w:r w:rsidR="004061C0">
              <w:t>th</w:t>
            </w:r>
            <w:proofErr w:type="spellEnd"/>
            <w:r w:rsidR="004061C0">
              <w:t xml:space="preserve">) </w:t>
            </w:r>
            <w:r w:rsidR="00416A57">
              <w:t>passed and Murray</w:t>
            </w:r>
            <w:r w:rsidR="000C0C39">
              <w:t>–</w:t>
            </w:r>
            <w:r w:rsidR="00416A57">
              <w:t>Darling Basin Authority created as a result of the National Plan for Water Security</w:t>
            </w:r>
          </w:p>
          <w:p w14:paraId="32E928AB" w14:textId="1BB1C809" w:rsidR="00416A57" w:rsidRDefault="00A6329B" w:rsidP="00367187">
            <w:pPr>
              <w:pStyle w:val="BoxListBullet"/>
            </w:pPr>
            <w:r>
              <w:t>2008–</w:t>
            </w:r>
            <w:r w:rsidR="00363EEB">
              <w:t>2009: F</w:t>
            </w:r>
            <w:r w:rsidR="00416A57">
              <w:t>urther water reform agreements by COAG</w:t>
            </w:r>
          </w:p>
          <w:p w14:paraId="32E928AC" w14:textId="6DC0D4C0" w:rsidR="00416A57" w:rsidRDefault="00416A57" w:rsidP="00367187">
            <w:pPr>
              <w:pStyle w:val="BoxListBullet"/>
            </w:pPr>
            <w:r>
              <w:t>2012: Murray</w:t>
            </w:r>
            <w:r w:rsidR="000C0C39">
              <w:t>–</w:t>
            </w:r>
            <w:r>
              <w:t>Darling Basin Plan takes effect</w:t>
            </w:r>
          </w:p>
          <w:p w14:paraId="32E928AD" w14:textId="77777777" w:rsidR="00416A57" w:rsidRDefault="00416A57" w:rsidP="00367187">
            <w:pPr>
              <w:pStyle w:val="BoxListBullet"/>
            </w:pPr>
            <w:r>
              <w:t>2013: COAG agrees next steps in water reform</w:t>
            </w:r>
            <w:r w:rsidR="00257950">
              <w:t>.</w:t>
            </w:r>
          </w:p>
        </w:tc>
      </w:tr>
      <w:tr w:rsidR="00416A57" w14:paraId="32E928B0" w14:textId="77777777" w:rsidTr="00367187">
        <w:tc>
          <w:tcPr>
            <w:tcW w:w="8771" w:type="dxa"/>
            <w:tcBorders>
              <w:top w:val="nil"/>
              <w:left w:val="nil"/>
              <w:bottom w:val="nil"/>
              <w:right w:val="nil"/>
            </w:tcBorders>
            <w:shd w:val="clear" w:color="auto" w:fill="F2F2F2"/>
          </w:tcPr>
          <w:p w14:paraId="32E928AF" w14:textId="1384B5DF" w:rsidR="00416A57" w:rsidRDefault="00416A57" w:rsidP="003C4B6E">
            <w:pPr>
              <w:pStyle w:val="BoxSource"/>
            </w:pPr>
            <w:r>
              <w:rPr>
                <w:i/>
              </w:rPr>
              <w:t>Sources</w:t>
            </w:r>
            <w:r w:rsidRPr="00167F06">
              <w:t xml:space="preserve">: </w:t>
            </w:r>
            <w:r>
              <w:t xml:space="preserve">Australian Water Partnership </w:t>
            </w:r>
            <w:r w:rsidR="00F83A49" w:rsidRPr="00F83A49">
              <w:rPr>
                <w:rFonts w:cs="Arial"/>
              </w:rPr>
              <w:t>(2016)</w:t>
            </w:r>
            <w:r>
              <w:t xml:space="preserve">, </w:t>
            </w:r>
            <w:r w:rsidR="003C4B6E">
              <w:t xml:space="preserve">COAG </w:t>
            </w:r>
            <w:r w:rsidR="003C4B6E" w:rsidRPr="00F83A49">
              <w:rPr>
                <w:rFonts w:cs="Arial"/>
              </w:rPr>
              <w:t>(2008)</w:t>
            </w:r>
            <w:r w:rsidR="003C4B6E">
              <w:t xml:space="preserve">, </w:t>
            </w:r>
            <w:proofErr w:type="spellStart"/>
            <w:r>
              <w:t>MDBA</w:t>
            </w:r>
            <w:proofErr w:type="spellEnd"/>
            <w:r>
              <w:t xml:space="preserve"> </w:t>
            </w:r>
            <w:r w:rsidR="00F83A49" w:rsidRPr="00F83A49">
              <w:rPr>
                <w:rFonts w:cs="Arial"/>
              </w:rPr>
              <w:t>(</w:t>
            </w:r>
            <w:proofErr w:type="spellStart"/>
            <w:r w:rsidR="00F83A49" w:rsidRPr="00F83A49">
              <w:rPr>
                <w:rFonts w:cs="Arial"/>
              </w:rPr>
              <w:t>nd</w:t>
            </w:r>
            <w:proofErr w:type="spellEnd"/>
            <w:r w:rsidR="00F83A49" w:rsidRPr="00F83A49">
              <w:rPr>
                <w:rFonts w:cs="Arial"/>
              </w:rPr>
              <w:t>)</w:t>
            </w:r>
            <w:r>
              <w:t>,</w:t>
            </w:r>
            <w:r w:rsidR="0020538F">
              <w:t xml:space="preserve"> </w:t>
            </w:r>
            <w:proofErr w:type="spellStart"/>
            <w:r w:rsidR="00727E57" w:rsidRPr="00727E57">
              <w:rPr>
                <w:rFonts w:cs="Arial"/>
              </w:rPr>
              <w:t>PIRSA</w:t>
            </w:r>
            <w:proofErr w:type="spellEnd"/>
            <w:r w:rsidR="00727E57" w:rsidRPr="00727E57">
              <w:rPr>
                <w:rFonts w:cs="Arial"/>
              </w:rPr>
              <w:t xml:space="preserve"> (2013)</w:t>
            </w:r>
            <w:r w:rsidR="00727E57">
              <w:t>,</w:t>
            </w:r>
            <w:r>
              <w:t xml:space="preserve"> </w:t>
            </w:r>
            <w:proofErr w:type="spellStart"/>
            <w:r>
              <w:t>SCEW</w:t>
            </w:r>
            <w:proofErr w:type="spellEnd"/>
            <w:r>
              <w:t xml:space="preserve"> </w:t>
            </w:r>
            <w:r w:rsidR="00F83A49" w:rsidRPr="00F83A49">
              <w:rPr>
                <w:rFonts w:cs="Arial"/>
              </w:rPr>
              <w:t>(2013)</w:t>
            </w:r>
            <w:r w:rsidR="005D1005">
              <w:t>.</w:t>
            </w:r>
          </w:p>
        </w:tc>
      </w:tr>
      <w:tr w:rsidR="00416A57" w14:paraId="32E928B2" w14:textId="77777777" w:rsidTr="00367187">
        <w:tc>
          <w:tcPr>
            <w:tcW w:w="8771" w:type="dxa"/>
            <w:tcBorders>
              <w:top w:val="nil"/>
              <w:left w:val="nil"/>
              <w:bottom w:val="single" w:sz="6" w:space="0" w:color="78A22F"/>
              <w:right w:val="nil"/>
            </w:tcBorders>
            <w:shd w:val="clear" w:color="auto" w:fill="F2F2F2"/>
          </w:tcPr>
          <w:p w14:paraId="32E928B1" w14:textId="77777777" w:rsidR="00416A57" w:rsidRDefault="00416A57" w:rsidP="00367187">
            <w:pPr>
              <w:pStyle w:val="Box"/>
              <w:spacing w:before="0" w:line="120" w:lineRule="exact"/>
            </w:pPr>
          </w:p>
        </w:tc>
      </w:tr>
      <w:tr w:rsidR="00416A57" w:rsidRPr="000863A5" w14:paraId="32E928B4" w14:textId="77777777" w:rsidTr="00367187">
        <w:tc>
          <w:tcPr>
            <w:tcW w:w="8771" w:type="dxa"/>
            <w:tcBorders>
              <w:top w:val="single" w:sz="6" w:space="0" w:color="78A22F"/>
              <w:left w:val="nil"/>
              <w:bottom w:val="nil"/>
              <w:right w:val="nil"/>
            </w:tcBorders>
          </w:tcPr>
          <w:p w14:paraId="32E928B3" w14:textId="38D5A721" w:rsidR="00416A57" w:rsidRPr="00626D32" w:rsidRDefault="00416A57" w:rsidP="00367187">
            <w:pPr>
              <w:pStyle w:val="BoxSpaceBelow"/>
            </w:pPr>
          </w:p>
        </w:tc>
      </w:tr>
    </w:tbl>
    <w:p w14:paraId="32E928BB" w14:textId="1A7DEAC8" w:rsidR="00416A57" w:rsidRPr="001A11D6" w:rsidRDefault="00416A57" w:rsidP="00416A57">
      <w:pPr>
        <w:pStyle w:val="BodyText"/>
      </w:pPr>
      <w:r>
        <w:t xml:space="preserve">While difficult to isolate the impact of such a broad reform program from other </w:t>
      </w:r>
      <w:r w:rsidR="00586B3F">
        <w:t>concurrent</w:t>
      </w:r>
      <w:r>
        <w:t xml:space="preserve"> economic changes, a range of analyses indicate material economic benefits from reforms that </w:t>
      </w:r>
      <w:r w:rsidR="008E6C26">
        <w:t>have</w:t>
      </w:r>
      <w:r>
        <w:t>, in particular</w:t>
      </w:r>
      <w:r w:rsidR="008E6C26">
        <w:t xml:space="preserve">, </w:t>
      </w:r>
      <w:r>
        <w:t xml:space="preserve">enhanced water markets and urban water supply efficiency. For example, the </w:t>
      </w:r>
      <w:proofErr w:type="spellStart"/>
      <w:r w:rsidR="00F154CE">
        <w:t>NWC</w:t>
      </w:r>
      <w:proofErr w:type="spellEnd"/>
      <w:r w:rsidR="00D53427">
        <w:t xml:space="preserve"> </w:t>
      </w:r>
      <w:r>
        <w:t xml:space="preserve">found that water trading in the </w:t>
      </w:r>
      <w:proofErr w:type="spellStart"/>
      <w:r>
        <w:t>MDB</w:t>
      </w:r>
      <w:proofErr w:type="spellEnd"/>
      <w:r>
        <w:t xml:space="preserve"> increased Australia’s gross domestic </w:t>
      </w:r>
      <w:r w:rsidR="005D1005">
        <w:t>product by $220 million in 2008</w:t>
      </w:r>
      <w:r w:rsidR="005D1005">
        <w:noBreakHyphen/>
      </w:r>
      <w:r>
        <w:t>09</w:t>
      </w:r>
      <w:r w:rsidR="00D53427">
        <w:t xml:space="preserve"> </w:t>
      </w:r>
      <w:r w:rsidR="00D53427" w:rsidRPr="00D53427">
        <w:rPr>
          <w:szCs w:val="24"/>
        </w:rPr>
        <w:t>(</w:t>
      </w:r>
      <w:proofErr w:type="spellStart"/>
      <w:r w:rsidR="00D53427" w:rsidRPr="00D53427">
        <w:rPr>
          <w:szCs w:val="24"/>
        </w:rPr>
        <w:t>NWC</w:t>
      </w:r>
      <w:proofErr w:type="spellEnd"/>
      <w:r w:rsidR="00D53427" w:rsidRPr="00D53427">
        <w:rPr>
          <w:szCs w:val="24"/>
        </w:rPr>
        <w:t> 2010)</w:t>
      </w:r>
      <w:r>
        <w:t xml:space="preserve">. Similarly, the </w:t>
      </w:r>
      <w:r w:rsidR="00363EEB">
        <w:t>Commission has previously</w:t>
      </w:r>
      <w:r>
        <w:t xml:space="preserve"> </w:t>
      </w:r>
      <w:r w:rsidR="003B75E6">
        <w:t xml:space="preserve">estimated </w:t>
      </w:r>
      <w:r w:rsidR="00CC5276">
        <w:t xml:space="preserve">that </w:t>
      </w:r>
      <w:r w:rsidR="003B75E6">
        <w:t>Australia’s</w:t>
      </w:r>
      <w:r w:rsidR="00CC5276">
        <w:t xml:space="preserve"> gross domestic product was</w:t>
      </w:r>
      <w:r w:rsidR="00363EEB">
        <w:t xml:space="preserve"> </w:t>
      </w:r>
      <w:r w:rsidR="00D042E1">
        <w:t xml:space="preserve">around </w:t>
      </w:r>
      <w:r>
        <w:t>0.</w:t>
      </w:r>
      <w:r w:rsidR="00D042E1">
        <w:t xml:space="preserve">35 </w:t>
      </w:r>
      <w:r>
        <w:t xml:space="preserve">per cent </w:t>
      </w:r>
      <w:r w:rsidR="00CC5276">
        <w:t xml:space="preserve">higher </w:t>
      </w:r>
      <w:r w:rsidR="003B75E6">
        <w:t>over</w:t>
      </w:r>
      <w:r>
        <w:t xml:space="preserve"> </w:t>
      </w:r>
      <w:r w:rsidR="00CC5276">
        <w:t>the 1990s due to</w:t>
      </w:r>
      <w:r>
        <w:t xml:space="preserve"> improved efficiency in urban water services</w:t>
      </w:r>
      <w:r w:rsidR="00F11CE3">
        <w:t xml:space="preserve"> </w:t>
      </w:r>
      <w:r w:rsidR="00D53427" w:rsidRPr="00D53427">
        <w:rPr>
          <w:szCs w:val="24"/>
        </w:rPr>
        <w:t>(PC 2005)</w:t>
      </w:r>
      <w:r>
        <w:t xml:space="preserve">. </w:t>
      </w:r>
      <w:r w:rsidR="003D468D" w:rsidRPr="009272D7">
        <w:t>If gains of this magnitude have been maintained through to today, this would represent an annual economic gain of ove</w:t>
      </w:r>
      <w:r w:rsidR="002E14AB">
        <w:t>r $5 </w:t>
      </w:r>
      <w:r w:rsidR="003D468D" w:rsidRPr="009272D7">
        <w:t>billion.</w:t>
      </w:r>
    </w:p>
    <w:p w14:paraId="32E928BC" w14:textId="03FF9B77" w:rsidR="00416A57" w:rsidRPr="004E3B94" w:rsidRDefault="00416A57" w:rsidP="00416A57">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416A57" w14:paraId="32E928BF" w14:textId="77777777" w:rsidTr="00367187">
        <w:trPr>
          <w:cantSplit/>
          <w:tblHeader/>
        </w:trPr>
        <w:tc>
          <w:tcPr>
            <w:tcW w:w="8770" w:type="dxa"/>
            <w:tcBorders>
              <w:top w:val="single" w:sz="6" w:space="0" w:color="78A22F"/>
              <w:left w:val="nil"/>
              <w:bottom w:val="nil"/>
              <w:right w:val="nil"/>
            </w:tcBorders>
            <w:shd w:val="clear" w:color="auto" w:fill="auto"/>
          </w:tcPr>
          <w:p w14:paraId="32E928BD" w14:textId="1E321BCB" w:rsidR="00416A57" w:rsidRPr="00986231" w:rsidRDefault="00D10901" w:rsidP="00621E66">
            <w:pPr>
              <w:pStyle w:val="InformationRequestTitle"/>
            </w:pPr>
            <w:r>
              <w:t>Information Request</w:t>
            </w:r>
          </w:p>
          <w:p w14:paraId="32E928BE" w14:textId="77777777" w:rsidR="00416A57" w:rsidRPr="006E0B4C" w:rsidRDefault="00A4195F" w:rsidP="006E0B4C">
            <w:pPr>
              <w:pStyle w:val="InformationRequestBullet"/>
            </w:pPr>
            <w:r>
              <w:t>W</w:t>
            </w:r>
            <w:r w:rsidR="0004794A">
              <w:t xml:space="preserve">hat have been the </w:t>
            </w:r>
            <w:r w:rsidR="00443C5C">
              <w:t>key</w:t>
            </w:r>
            <w:r w:rsidR="001D17A9">
              <w:t xml:space="preserve"> </w:t>
            </w:r>
            <w:r w:rsidR="00416A57" w:rsidRPr="004F0A2F">
              <w:t xml:space="preserve">benefits of </w:t>
            </w:r>
            <w:r w:rsidR="0052714A">
              <w:t xml:space="preserve">water sector </w:t>
            </w:r>
            <w:r w:rsidR="00416A57" w:rsidRPr="004F0A2F">
              <w:t>reform to date</w:t>
            </w:r>
            <w:r w:rsidR="0004794A">
              <w:t>?</w:t>
            </w:r>
          </w:p>
        </w:tc>
      </w:tr>
      <w:tr w:rsidR="00416A57" w14:paraId="32E928C1" w14:textId="77777777" w:rsidTr="00367187">
        <w:tc>
          <w:tcPr>
            <w:tcW w:w="8770" w:type="dxa"/>
            <w:tcBorders>
              <w:top w:val="nil"/>
              <w:left w:val="nil"/>
              <w:bottom w:val="single" w:sz="6" w:space="0" w:color="78A22F"/>
              <w:right w:val="nil"/>
            </w:tcBorders>
            <w:shd w:val="clear" w:color="auto" w:fill="auto"/>
          </w:tcPr>
          <w:p w14:paraId="32E928C0" w14:textId="77777777" w:rsidR="00416A57" w:rsidRDefault="00416A57" w:rsidP="00367187">
            <w:pPr>
              <w:pStyle w:val="Space"/>
              <w:keepLines/>
            </w:pPr>
          </w:p>
        </w:tc>
      </w:tr>
      <w:tr w:rsidR="00416A57" w:rsidRPr="000863A5" w14:paraId="32E928C3" w14:textId="77777777" w:rsidTr="00367187">
        <w:tc>
          <w:tcPr>
            <w:tcW w:w="8770" w:type="dxa"/>
            <w:tcBorders>
              <w:top w:val="single" w:sz="6" w:space="0" w:color="78A22F"/>
              <w:left w:val="nil"/>
              <w:bottom w:val="nil"/>
              <w:right w:val="nil"/>
            </w:tcBorders>
          </w:tcPr>
          <w:p w14:paraId="32E928C2" w14:textId="31A56946" w:rsidR="00416A57" w:rsidRPr="00626D32" w:rsidRDefault="00416A57" w:rsidP="00367187">
            <w:pPr>
              <w:pStyle w:val="BoxSpaceBelow"/>
              <w:keepLines/>
            </w:pPr>
          </w:p>
        </w:tc>
      </w:tr>
    </w:tbl>
    <w:p w14:paraId="32E928C4" w14:textId="07F8068E" w:rsidR="00F5344B" w:rsidRDefault="00B11167" w:rsidP="00494542">
      <w:pPr>
        <w:pStyle w:val="Heading2"/>
      </w:pPr>
      <w:bookmarkStart w:id="104" w:name="_Toc475361573"/>
      <w:bookmarkStart w:id="105" w:name="_Toc475614195"/>
      <w:bookmarkStart w:id="106" w:name="_Toc475628042"/>
      <w:bookmarkStart w:id="107" w:name="_Toc475628215"/>
      <w:bookmarkStart w:id="108" w:name="_Toc475634086"/>
      <w:bookmarkStart w:id="109" w:name="_Toc476307167"/>
      <w:bookmarkStart w:id="110" w:name="_Toc476307298"/>
      <w:bookmarkStart w:id="111" w:name="_Toc476308485"/>
      <w:bookmarkStart w:id="112" w:name="_Toc476309079"/>
      <w:bookmarkStart w:id="113" w:name="_Toc476312553"/>
      <w:bookmarkStart w:id="114" w:name="_Toc476312791"/>
      <w:bookmarkStart w:id="115" w:name="_Toc476312864"/>
      <w:bookmarkStart w:id="116" w:name="_Toc476318437"/>
      <w:bookmarkStart w:id="117" w:name="_Toc476320080"/>
      <w:bookmarkStart w:id="118" w:name="_Toc476322766"/>
      <w:bookmarkStart w:id="119" w:name="_Toc476324732"/>
      <w:bookmarkStart w:id="120" w:name="_Toc476326760"/>
      <w:bookmarkStart w:id="121" w:name="_Toc476907458"/>
      <w:bookmarkStart w:id="122" w:name="_Toc476910684"/>
      <w:bookmarkStart w:id="123" w:name="_Toc476910769"/>
      <w:bookmarkStart w:id="124" w:name="_Toc476915254"/>
      <w:bookmarkStart w:id="125" w:name="_Toc476916211"/>
      <w:bookmarkStart w:id="126" w:name="_Toc476916330"/>
      <w:r>
        <w:rPr>
          <w:noProof/>
        </w:rPr>
        <w:lastRenderedPageBreak/>
        <w:t>4</w:t>
      </w:r>
      <w:r w:rsidR="00F5344B">
        <w:tab/>
        <w:t>The Commission’s approach</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2E928C5" w14:textId="41FE2BD1" w:rsidR="006A5111" w:rsidRDefault="00285913" w:rsidP="006A5111">
      <w:pPr>
        <w:pStyle w:val="BodyText"/>
      </w:pPr>
      <w:r>
        <w:t>The Commission has two assessment tasks</w:t>
      </w:r>
      <w:r w:rsidR="001D17A9">
        <w:t xml:space="preserve"> for this inquiry. O</w:t>
      </w:r>
      <w:r>
        <w:t xml:space="preserve">ne is backward looking </w:t>
      </w:r>
      <w:r w:rsidR="004061C0">
        <w:t>—</w:t>
      </w:r>
      <w:r>
        <w:t xml:space="preserve"> to examine jurisdictions’ progress in meeting their commitments in the </w:t>
      </w:r>
      <w:proofErr w:type="spellStart"/>
      <w:r>
        <w:t>NWI</w:t>
      </w:r>
      <w:proofErr w:type="spellEnd"/>
      <w:r w:rsidR="008849D0">
        <w:t xml:space="preserve"> (</w:t>
      </w:r>
      <w:r>
        <w:t xml:space="preserve">the </w:t>
      </w:r>
      <w:proofErr w:type="spellStart"/>
      <w:r>
        <w:t>NWI</w:t>
      </w:r>
      <w:proofErr w:type="spellEnd"/>
      <w:r>
        <w:t xml:space="preserve"> can be accessed via a link on the inquiry website</w:t>
      </w:r>
      <w:r w:rsidR="003F5FF6">
        <w:t>)</w:t>
      </w:r>
      <w:r w:rsidR="001D17A9">
        <w:t>. And the other</w:t>
      </w:r>
      <w:r>
        <w:t xml:space="preserve"> is forward looking </w:t>
      </w:r>
      <w:r w:rsidR="004061C0">
        <w:t xml:space="preserve">— </w:t>
      </w:r>
      <w:r>
        <w:t xml:space="preserve">to assess what </w:t>
      </w:r>
      <w:r w:rsidR="006A5111">
        <w:t xml:space="preserve">future </w:t>
      </w:r>
      <w:r>
        <w:t xml:space="preserve">reform initiatives Australia may need to continue to manage our water resources well and ensure efficient provision of water services. </w:t>
      </w:r>
      <w:r w:rsidR="001D17A9">
        <w:t xml:space="preserve">Task </w:t>
      </w:r>
      <w:r w:rsidR="00F362DE">
        <w:t>one</w:t>
      </w:r>
      <w:r w:rsidR="001D17A9">
        <w:t xml:space="preserve"> sets the ‘starting point’ for </w:t>
      </w:r>
      <w:r w:rsidR="00ED2F66">
        <w:t>t</w:t>
      </w:r>
      <w:r w:rsidR="001D17A9">
        <w:t xml:space="preserve">ask </w:t>
      </w:r>
      <w:r w:rsidR="00F362DE">
        <w:t>two</w:t>
      </w:r>
      <w:r w:rsidR="002E14AB">
        <w:t xml:space="preserve"> — </w:t>
      </w:r>
      <w:r w:rsidR="001D17A9">
        <w:t xml:space="preserve">where have we gotten to and where do we need to go. </w:t>
      </w:r>
      <w:r>
        <w:t xml:space="preserve">The two assessment tasks are outlined </w:t>
      </w:r>
      <w:r w:rsidR="00DE30B9">
        <w:t>below</w:t>
      </w:r>
      <w:r w:rsidR="001D17A9">
        <w:t xml:space="preserve">. </w:t>
      </w:r>
    </w:p>
    <w:p w14:paraId="32E928D1" w14:textId="4FD74F8A" w:rsidR="00DD4EF3" w:rsidRDefault="00DD4EF3" w:rsidP="00DD4EF3">
      <w:pPr>
        <w:pStyle w:val="BodyText"/>
      </w:pPr>
      <w:r>
        <w:t xml:space="preserve">The Commission will build on the work done by the </w:t>
      </w:r>
      <w:proofErr w:type="spellStart"/>
      <w:r>
        <w:t>NWC</w:t>
      </w:r>
      <w:proofErr w:type="spellEnd"/>
      <w:r>
        <w:t xml:space="preserve">. We will draw on the </w:t>
      </w:r>
      <w:proofErr w:type="spellStart"/>
      <w:r>
        <w:t>NWC’s</w:t>
      </w:r>
      <w:proofErr w:type="spellEnd"/>
      <w:r>
        <w:t xml:space="preserve"> last assessment of the </w:t>
      </w:r>
      <w:proofErr w:type="spellStart"/>
      <w:r>
        <w:t>NWI</w:t>
      </w:r>
      <w:proofErr w:type="spellEnd"/>
      <w:r>
        <w:t xml:space="preserve"> </w:t>
      </w:r>
      <w:r w:rsidRPr="00351F6F">
        <w:t>(</w:t>
      </w:r>
      <w:proofErr w:type="spellStart"/>
      <w:r w:rsidRPr="00351F6F">
        <w:t>2014b</w:t>
      </w:r>
      <w:proofErr w:type="spellEnd"/>
      <w:r w:rsidRPr="00351F6F">
        <w:t>)</w:t>
      </w:r>
      <w:r>
        <w:t xml:space="preserve">, and track progress since then (both in meeting </w:t>
      </w:r>
      <w:proofErr w:type="spellStart"/>
      <w:r>
        <w:t>NWI</w:t>
      </w:r>
      <w:proofErr w:type="spellEnd"/>
      <w:r>
        <w:t xml:space="preserve"> objectives and outcomes, and with implementing the </w:t>
      </w:r>
      <w:proofErr w:type="spellStart"/>
      <w:r>
        <w:t>NWC’s</w:t>
      </w:r>
      <w:proofErr w:type="spellEnd"/>
      <w:r>
        <w:t xml:space="preserve"> recommendations). The </w:t>
      </w:r>
      <w:proofErr w:type="spellStart"/>
      <w:r>
        <w:t>NWC</w:t>
      </w:r>
      <w:proofErr w:type="spellEnd"/>
      <w:r>
        <w:t xml:space="preserve"> also published a broad range of other reports on various water topics, and the Commission will draw on these where needed. </w:t>
      </w:r>
    </w:p>
    <w:p w14:paraId="32E928D2" w14:textId="26905919" w:rsidR="00DD4EF3" w:rsidRDefault="00DD4EF3" w:rsidP="00DD4EF3">
      <w:pPr>
        <w:pStyle w:val="BodyText"/>
      </w:pPr>
      <w:r>
        <w:t xml:space="preserve">There will be some differences in approach and emphasis </w:t>
      </w:r>
      <w:r w:rsidR="000C0C39">
        <w:t>between</w:t>
      </w:r>
      <w:r>
        <w:t xml:space="preserve"> the Commission’s inquiry </w:t>
      </w:r>
      <w:r w:rsidR="000C0C39">
        <w:t>and</w:t>
      </w:r>
      <w:r>
        <w:t xml:space="preserve"> the way in which the </w:t>
      </w:r>
      <w:proofErr w:type="spellStart"/>
      <w:r>
        <w:t>NWC</w:t>
      </w:r>
      <w:proofErr w:type="spellEnd"/>
      <w:r>
        <w:t xml:space="preserve"> conducted its assessments of progress with implementing the </w:t>
      </w:r>
      <w:proofErr w:type="spellStart"/>
      <w:r>
        <w:t>NWI</w:t>
      </w:r>
      <w:proofErr w:type="spellEnd"/>
      <w:r>
        <w:t xml:space="preserve">. Some of these reflect the terms of reference, which require the Commission to examine some issues, such as the scope for improving the </w:t>
      </w:r>
      <w:proofErr w:type="spellStart"/>
      <w:r>
        <w:t>NWI</w:t>
      </w:r>
      <w:proofErr w:type="spellEnd"/>
      <w:r>
        <w:t xml:space="preserve">, which were not part of the </w:t>
      </w:r>
      <w:proofErr w:type="spellStart"/>
      <w:r>
        <w:t>NWC’s</w:t>
      </w:r>
      <w:proofErr w:type="spellEnd"/>
      <w:r>
        <w:t xml:space="preserve"> brief. In addition, the Commission, especially in assessing progress to date against the </w:t>
      </w:r>
      <w:proofErr w:type="spellStart"/>
      <w:r>
        <w:t>NWI</w:t>
      </w:r>
      <w:proofErr w:type="spellEnd"/>
      <w:r>
        <w:t>, will focus on what it identifies as the material issues and will go into less detail in other areas.</w:t>
      </w:r>
      <w:r w:rsidRPr="00426ADB">
        <w:t xml:space="preserve"> </w:t>
      </w:r>
      <w:r>
        <w:t xml:space="preserve">The Commission will not, for example, seek to replicate the </w:t>
      </w:r>
      <w:proofErr w:type="spellStart"/>
      <w:r>
        <w:t>NWC’s</w:t>
      </w:r>
      <w:proofErr w:type="spellEnd"/>
      <w:r>
        <w:t xml:space="preserve"> detailed report card on water planning.</w:t>
      </w:r>
    </w:p>
    <w:p w14:paraId="32E928D3" w14:textId="13E865D9" w:rsidR="0009324C" w:rsidRPr="00966991" w:rsidRDefault="00966991" w:rsidP="00966991">
      <w:pPr>
        <w:pStyle w:val="BodyText"/>
      </w:pPr>
      <w:r w:rsidRPr="00966991">
        <w:t xml:space="preserve">In assessing the scope for improving the </w:t>
      </w:r>
      <w:proofErr w:type="spellStart"/>
      <w:r w:rsidRPr="00966991">
        <w:t>NWI</w:t>
      </w:r>
      <w:proofErr w:type="spellEnd"/>
      <w:r w:rsidRPr="00966991">
        <w:t>, the Commission will also consider the best approaches for securing reform. These are discussed further in section 7. In some cases independent action by States and Territories may be appropriate, and in others a national approach may be necessary. The latter approach raises further considerations; for example, the Harper Competition Policy Review found that payments by the Australian Government to State and Territory Governments undertaking reform are warranted under certai</w:t>
      </w:r>
      <w:r w:rsidR="008558FA">
        <w:t>n circumstances. The Commission</w:t>
      </w:r>
      <w:r w:rsidRPr="00966991">
        <w:t xml:space="preserve"> anticipates that these issues will likely be raised by some participants.</w:t>
      </w:r>
    </w:p>
    <w:p w14:paraId="32E928D6" w14:textId="77777777" w:rsidR="00E76755" w:rsidRDefault="00E76755" w:rsidP="00285913">
      <w:pPr>
        <w:pStyle w:val="Heading3"/>
      </w:pPr>
      <w:bookmarkStart w:id="127" w:name="_Toc476307169"/>
      <w:bookmarkStart w:id="128" w:name="_Toc476307300"/>
      <w:bookmarkStart w:id="129" w:name="_Toc476308487"/>
      <w:bookmarkStart w:id="130" w:name="_Toc476309081"/>
      <w:bookmarkStart w:id="131" w:name="_Toc476312555"/>
      <w:bookmarkStart w:id="132" w:name="_Toc476312793"/>
      <w:bookmarkStart w:id="133" w:name="_Toc476312866"/>
      <w:bookmarkStart w:id="134" w:name="_Toc476318439"/>
      <w:bookmarkStart w:id="135" w:name="_Toc476320081"/>
      <w:bookmarkStart w:id="136" w:name="_Toc476322767"/>
      <w:bookmarkStart w:id="137" w:name="_Toc476324733"/>
      <w:bookmarkStart w:id="138" w:name="_Toc476326761"/>
      <w:bookmarkStart w:id="139" w:name="_Toc475361575"/>
      <w:bookmarkStart w:id="140" w:name="_Toc475614197"/>
      <w:bookmarkStart w:id="141" w:name="_Toc475628044"/>
      <w:bookmarkStart w:id="142" w:name="_Toc475628217"/>
      <w:bookmarkStart w:id="143" w:name="_Toc475634088"/>
      <w:r>
        <w:t>Assessing progress</w:t>
      </w:r>
      <w:bookmarkEnd w:id="127"/>
      <w:bookmarkEnd w:id="128"/>
      <w:bookmarkEnd w:id="129"/>
      <w:bookmarkEnd w:id="130"/>
      <w:bookmarkEnd w:id="131"/>
      <w:bookmarkEnd w:id="132"/>
      <w:bookmarkEnd w:id="133"/>
      <w:bookmarkEnd w:id="134"/>
      <w:bookmarkEnd w:id="135"/>
      <w:bookmarkEnd w:id="136"/>
      <w:bookmarkEnd w:id="137"/>
      <w:bookmarkEnd w:id="138"/>
    </w:p>
    <w:bookmarkEnd w:id="139"/>
    <w:bookmarkEnd w:id="140"/>
    <w:bookmarkEnd w:id="141"/>
    <w:bookmarkEnd w:id="142"/>
    <w:bookmarkEnd w:id="143"/>
    <w:p w14:paraId="32E928D7" w14:textId="6722666F" w:rsidR="00E76755" w:rsidRDefault="00E76755" w:rsidP="00E76755">
      <w:pPr>
        <w:pStyle w:val="BodyText"/>
      </w:pPr>
      <w:r>
        <w:t xml:space="preserve">In assessing </w:t>
      </w:r>
      <w:r w:rsidRPr="006A2FEF">
        <w:t xml:space="preserve">progress with implementing the </w:t>
      </w:r>
      <w:proofErr w:type="spellStart"/>
      <w:r w:rsidRPr="006A2FEF">
        <w:t>NWI</w:t>
      </w:r>
      <w:proofErr w:type="spellEnd"/>
      <w:r>
        <w:t xml:space="preserve">, the Commission will use the objectives and outcomes from the </w:t>
      </w:r>
      <w:proofErr w:type="spellStart"/>
      <w:r>
        <w:t>NWI</w:t>
      </w:r>
      <w:proofErr w:type="spellEnd"/>
      <w:r>
        <w:t xml:space="preserve"> </w:t>
      </w:r>
      <w:r w:rsidR="00C823B0">
        <w:t>(</w:t>
      </w:r>
      <w:r>
        <w:t xml:space="preserve">box </w:t>
      </w:r>
      <w:bookmarkStart w:id="144" w:name="_1550557900"/>
      <w:bookmarkStart w:id="145" w:name="_1550648384"/>
      <w:bookmarkStart w:id="146" w:name="_1550648959"/>
      <w:bookmarkStart w:id="147" w:name="_1550651032"/>
      <w:bookmarkStart w:id="148" w:name="_1550652652"/>
      <w:bookmarkStart w:id="149" w:name="_1550651877"/>
      <w:bookmarkEnd w:id="144"/>
      <w:bookmarkEnd w:id="145"/>
      <w:bookmarkEnd w:id="146"/>
      <w:bookmarkEnd w:id="147"/>
      <w:bookmarkEnd w:id="148"/>
      <w:bookmarkEnd w:id="149"/>
      <w:r w:rsidR="00A20B22">
        <w:t>2</w:t>
      </w:r>
      <w:r w:rsidR="00C823B0">
        <w:t>)</w:t>
      </w:r>
      <w:r>
        <w:t xml:space="preserve">. </w:t>
      </w:r>
      <w:r w:rsidR="00691F2A">
        <w:t>E</w:t>
      </w:r>
      <w:r>
        <w:t>vidence for this task will be obtained from</w:t>
      </w:r>
      <w:r w:rsidR="00C96F41">
        <w:t>:</w:t>
      </w:r>
      <w:r>
        <w:t xml:space="preserve"> pub</w:t>
      </w:r>
      <w:r w:rsidR="00734A23">
        <w:t>lic</w:t>
      </w:r>
      <w:r>
        <w:t xml:space="preserve"> reports; information requested from </w:t>
      </w:r>
      <w:proofErr w:type="spellStart"/>
      <w:r>
        <w:t>NWI</w:t>
      </w:r>
      <w:proofErr w:type="spellEnd"/>
      <w:r>
        <w:t xml:space="preserve"> parties; submissions; and other consultative processes. The Commission will undertake both quantitative and qualitative analysis, using case studies</w:t>
      </w:r>
      <w:r w:rsidR="00E40194">
        <w:t xml:space="preserve"> (</w:t>
      </w:r>
      <w:r>
        <w:t>where relevant</w:t>
      </w:r>
      <w:r w:rsidR="00E40194">
        <w:t>)</w:t>
      </w:r>
      <w:r>
        <w:t xml:space="preserve"> and drawing on some of the indicators developed by the </w:t>
      </w:r>
      <w:proofErr w:type="spellStart"/>
      <w:r>
        <w:t>NWC</w:t>
      </w:r>
      <w:proofErr w:type="spellEnd"/>
      <w:r>
        <w:t xml:space="preserve"> in its 2014 assessment of progress. </w:t>
      </w:r>
      <w:r w:rsidR="0065045C">
        <w:t xml:space="preserve">The main recommendations from this assessment are listed in </w:t>
      </w:r>
      <w:r w:rsidR="0098539B">
        <w:t>attachment B</w:t>
      </w:r>
      <w:r w:rsidR="0065045C">
        <w:t>.</w:t>
      </w:r>
    </w:p>
    <w:p w14:paraId="32E928D8" w14:textId="7FD19BBA" w:rsidR="00E76755" w:rsidRDefault="00E76755" w:rsidP="00E7675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E76755" w14:paraId="32E928DA" w14:textId="77777777" w:rsidTr="0025667C">
        <w:tc>
          <w:tcPr>
            <w:tcW w:w="8771" w:type="dxa"/>
            <w:tcBorders>
              <w:top w:val="single" w:sz="6" w:space="0" w:color="78A22F"/>
              <w:left w:val="nil"/>
              <w:bottom w:val="nil"/>
              <w:right w:val="nil"/>
            </w:tcBorders>
            <w:shd w:val="clear" w:color="auto" w:fill="F2F2F2"/>
          </w:tcPr>
          <w:p w14:paraId="32E928D9" w14:textId="4E6F1123" w:rsidR="00E76755" w:rsidRDefault="00E76755" w:rsidP="0025667C">
            <w:pPr>
              <w:pStyle w:val="BoxTitle"/>
            </w:pPr>
            <w:r>
              <w:rPr>
                <w:b w:val="0"/>
              </w:rPr>
              <w:t xml:space="preserve">Box </w:t>
            </w:r>
            <w:bookmarkStart w:id="150" w:name="OLE_LINK5"/>
            <w:r w:rsidR="00B11167">
              <w:rPr>
                <w:b w:val="0"/>
                <w:noProof/>
              </w:rPr>
              <w:t>2</w:t>
            </w:r>
            <w:bookmarkEnd w:id="150"/>
            <w:r>
              <w:tab/>
            </w:r>
            <w:r w:rsidR="00734A23">
              <w:t xml:space="preserve">The </w:t>
            </w:r>
            <w:r w:rsidR="00D7620E">
              <w:t>eight</w:t>
            </w:r>
            <w:r w:rsidR="00734A23">
              <w:t xml:space="preserve"> k</w:t>
            </w:r>
            <w:r>
              <w:t>ey elements of the National Water Initiative</w:t>
            </w:r>
          </w:p>
        </w:tc>
      </w:tr>
      <w:tr w:rsidR="00E76755" w14:paraId="32E928E4" w14:textId="77777777" w:rsidTr="0025667C">
        <w:tc>
          <w:tcPr>
            <w:tcW w:w="8771" w:type="dxa"/>
            <w:tcBorders>
              <w:top w:val="nil"/>
              <w:left w:val="nil"/>
              <w:bottom w:val="nil"/>
              <w:right w:val="nil"/>
            </w:tcBorders>
            <w:shd w:val="clear" w:color="auto" w:fill="F2F2F2"/>
          </w:tcPr>
          <w:p w14:paraId="32E928DB" w14:textId="73A2566B" w:rsidR="00E76755" w:rsidRDefault="00E76755" w:rsidP="0025667C">
            <w:pPr>
              <w:pStyle w:val="Box"/>
            </w:pPr>
            <w:r>
              <w:t xml:space="preserve">The </w:t>
            </w:r>
            <w:r w:rsidR="006F7677">
              <w:t xml:space="preserve">National Water Initiative sets out </w:t>
            </w:r>
            <w:r>
              <w:t xml:space="preserve">agreed outcomes and </w:t>
            </w:r>
            <w:r w:rsidR="006F7677">
              <w:t>actions for the following</w:t>
            </w:r>
            <w:r>
              <w:t xml:space="preserve"> eight key elements:</w:t>
            </w:r>
          </w:p>
          <w:p w14:paraId="32E928DC" w14:textId="77777777" w:rsidR="00E76755" w:rsidRDefault="00E76755" w:rsidP="0037712E">
            <w:pPr>
              <w:pStyle w:val="BoxListNumber"/>
              <w:spacing w:before="60"/>
            </w:pPr>
            <w:r>
              <w:t>Water Access Entitlements and Planning Framework</w:t>
            </w:r>
          </w:p>
          <w:p w14:paraId="32E928DD" w14:textId="77777777" w:rsidR="00E76755" w:rsidRDefault="00E76755" w:rsidP="0037712E">
            <w:pPr>
              <w:pStyle w:val="BoxListNumber"/>
              <w:spacing w:before="60"/>
            </w:pPr>
            <w:r>
              <w:t>Water Markets and Trading</w:t>
            </w:r>
          </w:p>
          <w:p w14:paraId="32E928DE" w14:textId="77777777" w:rsidR="00E76755" w:rsidRDefault="00E76755" w:rsidP="0037712E">
            <w:pPr>
              <w:pStyle w:val="BoxListNumber"/>
              <w:spacing w:before="60"/>
            </w:pPr>
            <w:r>
              <w:t>Best Practice Water Pricing</w:t>
            </w:r>
          </w:p>
          <w:p w14:paraId="32E928DF" w14:textId="77777777" w:rsidR="00E76755" w:rsidRDefault="00E76755" w:rsidP="0037712E">
            <w:pPr>
              <w:pStyle w:val="BoxListNumber"/>
              <w:spacing w:before="60"/>
            </w:pPr>
            <w:r>
              <w:t>Integrated Management of Water for Environmental and Other Public Benefit Outcomes</w:t>
            </w:r>
          </w:p>
          <w:p w14:paraId="32E928E0" w14:textId="77777777" w:rsidR="00E76755" w:rsidRDefault="00E76755" w:rsidP="0037712E">
            <w:pPr>
              <w:pStyle w:val="BoxListNumber"/>
              <w:spacing w:before="60"/>
            </w:pPr>
            <w:r>
              <w:t>Water Resource Accounting</w:t>
            </w:r>
          </w:p>
          <w:p w14:paraId="32E928E1" w14:textId="77777777" w:rsidR="00E76755" w:rsidRDefault="00E76755" w:rsidP="0037712E">
            <w:pPr>
              <w:pStyle w:val="BoxListNumber"/>
              <w:spacing w:before="60"/>
            </w:pPr>
            <w:r>
              <w:t>Urban Water Reform</w:t>
            </w:r>
          </w:p>
          <w:p w14:paraId="32E928E2" w14:textId="77777777" w:rsidR="00E76755" w:rsidRDefault="00E76755" w:rsidP="0037712E">
            <w:pPr>
              <w:pStyle w:val="BoxListNumber"/>
              <w:spacing w:before="60"/>
            </w:pPr>
            <w:r>
              <w:t>Knowledge and Capacity Building</w:t>
            </w:r>
          </w:p>
          <w:p w14:paraId="32E928E3" w14:textId="0B8727E6" w:rsidR="00E76755" w:rsidRDefault="00E76755" w:rsidP="0037712E">
            <w:pPr>
              <w:pStyle w:val="BoxListNumber"/>
              <w:spacing w:before="60"/>
            </w:pPr>
            <w:r>
              <w:t>Community Partnerships and Adjustment</w:t>
            </w:r>
            <w:r w:rsidR="00382D20">
              <w:t>.</w:t>
            </w:r>
          </w:p>
        </w:tc>
      </w:tr>
      <w:tr w:rsidR="00E76755" w14:paraId="32E928E6" w14:textId="77777777" w:rsidTr="0025667C">
        <w:tc>
          <w:tcPr>
            <w:tcW w:w="8771" w:type="dxa"/>
            <w:tcBorders>
              <w:top w:val="nil"/>
              <w:left w:val="nil"/>
              <w:bottom w:val="nil"/>
              <w:right w:val="nil"/>
            </w:tcBorders>
            <w:shd w:val="clear" w:color="auto" w:fill="F2F2F2"/>
          </w:tcPr>
          <w:p w14:paraId="32E928E5" w14:textId="1EC2FF31" w:rsidR="00E76755" w:rsidRDefault="00E76755" w:rsidP="0025667C">
            <w:pPr>
              <w:pStyle w:val="BoxSource"/>
            </w:pPr>
            <w:r w:rsidRPr="008E5E60">
              <w:rPr>
                <w:i/>
              </w:rPr>
              <w:t>Source</w:t>
            </w:r>
            <w:r w:rsidRPr="008E5E60">
              <w:t xml:space="preserve">: </w:t>
            </w:r>
            <w:r>
              <w:t>COAG</w:t>
            </w:r>
            <w:r w:rsidRPr="008E5E60">
              <w:t xml:space="preserve"> </w:t>
            </w:r>
            <w:r w:rsidRPr="008E5E60">
              <w:rPr>
                <w:rFonts w:cs="Arial"/>
              </w:rPr>
              <w:t>(2004)</w:t>
            </w:r>
            <w:r w:rsidRPr="008E5E60">
              <w:t>.</w:t>
            </w:r>
          </w:p>
        </w:tc>
      </w:tr>
      <w:tr w:rsidR="00E76755" w14:paraId="32E928E8" w14:textId="77777777" w:rsidTr="0025667C">
        <w:tc>
          <w:tcPr>
            <w:tcW w:w="8771" w:type="dxa"/>
            <w:tcBorders>
              <w:top w:val="nil"/>
              <w:left w:val="nil"/>
              <w:bottom w:val="single" w:sz="6" w:space="0" w:color="78A22F"/>
              <w:right w:val="nil"/>
            </w:tcBorders>
            <w:shd w:val="clear" w:color="auto" w:fill="F2F2F2"/>
          </w:tcPr>
          <w:p w14:paraId="32E928E7" w14:textId="77777777" w:rsidR="00E76755" w:rsidRDefault="00E76755" w:rsidP="0025667C">
            <w:pPr>
              <w:pStyle w:val="Box"/>
              <w:spacing w:before="0" w:line="120" w:lineRule="exact"/>
            </w:pPr>
          </w:p>
        </w:tc>
      </w:tr>
      <w:tr w:rsidR="00E76755" w:rsidRPr="000863A5" w14:paraId="32E928EA" w14:textId="77777777" w:rsidTr="0025667C">
        <w:tc>
          <w:tcPr>
            <w:tcW w:w="8771" w:type="dxa"/>
            <w:tcBorders>
              <w:top w:val="single" w:sz="6" w:space="0" w:color="78A22F"/>
              <w:left w:val="nil"/>
              <w:bottom w:val="nil"/>
              <w:right w:val="nil"/>
            </w:tcBorders>
          </w:tcPr>
          <w:p w14:paraId="32E928E9" w14:textId="4F84A1B9" w:rsidR="00E76755" w:rsidRPr="00626D32" w:rsidRDefault="00E76755" w:rsidP="0025667C">
            <w:pPr>
              <w:pStyle w:val="BoxSpaceBelow"/>
            </w:pPr>
          </w:p>
        </w:tc>
      </w:tr>
    </w:tbl>
    <w:p w14:paraId="32E928FF" w14:textId="77777777" w:rsidR="00B63593" w:rsidRPr="004E3B94" w:rsidRDefault="00B63593" w:rsidP="00B63593">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6A0C00" w14:paraId="32E92904" w14:textId="77777777" w:rsidTr="006A0C00">
        <w:trPr>
          <w:cantSplit/>
          <w:tblHeader/>
        </w:trPr>
        <w:tc>
          <w:tcPr>
            <w:tcW w:w="8770" w:type="dxa"/>
            <w:tcBorders>
              <w:top w:val="single" w:sz="6" w:space="0" w:color="78A22F"/>
              <w:left w:val="nil"/>
              <w:bottom w:val="nil"/>
              <w:right w:val="nil"/>
            </w:tcBorders>
            <w:shd w:val="clear" w:color="auto" w:fill="auto"/>
          </w:tcPr>
          <w:p w14:paraId="32E92900" w14:textId="6F6A6DAB" w:rsidR="006A0C00" w:rsidRPr="00986231" w:rsidRDefault="00B10467" w:rsidP="00621E66">
            <w:pPr>
              <w:pStyle w:val="InformationRequestTitle"/>
            </w:pPr>
            <w:r>
              <w:t>information request</w:t>
            </w:r>
          </w:p>
          <w:p w14:paraId="2E1D983E" w14:textId="4430B3C7" w:rsidR="002C4D30" w:rsidRDefault="002C4D30" w:rsidP="00E518BE">
            <w:pPr>
              <w:pStyle w:val="InformationRequest"/>
            </w:pPr>
            <w:r>
              <w:t xml:space="preserve">The Commission welcomes </w:t>
            </w:r>
            <w:r w:rsidR="00CA0A45">
              <w:t xml:space="preserve">feedback </w:t>
            </w:r>
            <w:r>
              <w:t>on:</w:t>
            </w:r>
          </w:p>
          <w:p w14:paraId="32E92901" w14:textId="3E0347FD" w:rsidR="006262AE" w:rsidRPr="006262AE" w:rsidRDefault="0038332E" w:rsidP="00E518BE">
            <w:pPr>
              <w:pStyle w:val="InformationRequestBullet"/>
            </w:pPr>
            <w:r>
              <w:t xml:space="preserve">data and </w:t>
            </w:r>
            <w:r w:rsidR="0038376C">
              <w:t xml:space="preserve">information sources </w:t>
            </w:r>
            <w:r w:rsidR="006A0C00">
              <w:t xml:space="preserve">that might be useful for </w:t>
            </w:r>
            <w:r w:rsidR="001B26E9">
              <w:t>assessing progress</w:t>
            </w:r>
          </w:p>
          <w:p w14:paraId="32E92902" w14:textId="60FE3187" w:rsidR="0043153E" w:rsidRPr="007D4FD1" w:rsidRDefault="0043153E" w:rsidP="00E518BE">
            <w:pPr>
              <w:pStyle w:val="InformationRequestBullet"/>
            </w:pPr>
            <w:r w:rsidRPr="007D4FD1">
              <w:t xml:space="preserve">areas where </w:t>
            </w:r>
            <w:proofErr w:type="spellStart"/>
            <w:r w:rsidRPr="007D4FD1">
              <w:t>NWI</w:t>
            </w:r>
            <w:proofErr w:type="spellEnd"/>
            <w:r w:rsidRPr="007D4FD1">
              <w:t xml:space="preserve"> reforms </w:t>
            </w:r>
            <w:r w:rsidR="00AD6F9B">
              <w:t>are</w:t>
            </w:r>
            <w:r w:rsidR="00AD6F9B" w:rsidRPr="007D4FD1">
              <w:t xml:space="preserve"> </w:t>
            </w:r>
            <w:r w:rsidRPr="007D4FD1">
              <w:t xml:space="preserve">stalled or delayed and </w:t>
            </w:r>
            <w:r w:rsidR="002C4D30">
              <w:t xml:space="preserve">consequences of that </w:t>
            </w:r>
            <w:r w:rsidRPr="007D4FD1">
              <w:t>(for example, have there been costs incurred due to these delays</w:t>
            </w:r>
            <w:r w:rsidR="00F06946">
              <w:t>?</w:t>
            </w:r>
            <w:r w:rsidRPr="007D4FD1">
              <w:t xml:space="preserve">) </w:t>
            </w:r>
          </w:p>
          <w:p w14:paraId="32E92903" w14:textId="5B124FE3" w:rsidR="002058D3" w:rsidRPr="002058D3" w:rsidRDefault="002C4D30" w:rsidP="00A245E1">
            <w:pPr>
              <w:pStyle w:val="InformationRequestBullet"/>
            </w:pPr>
            <w:r>
              <w:t>other</w:t>
            </w:r>
            <w:r w:rsidR="002058D3">
              <w:t xml:space="preserve"> unfinished business </w:t>
            </w:r>
            <w:r w:rsidR="00734A23">
              <w:t>of</w:t>
            </w:r>
            <w:r w:rsidR="002058D3">
              <w:t xml:space="preserve"> the </w:t>
            </w:r>
            <w:proofErr w:type="spellStart"/>
            <w:r w:rsidR="002058D3">
              <w:t>NWI</w:t>
            </w:r>
            <w:proofErr w:type="spellEnd"/>
            <w:r w:rsidR="00382D20">
              <w:t>.</w:t>
            </w:r>
          </w:p>
        </w:tc>
      </w:tr>
      <w:tr w:rsidR="006A0C00" w14:paraId="32E92906" w14:textId="77777777" w:rsidTr="006A0C00">
        <w:tc>
          <w:tcPr>
            <w:tcW w:w="8770" w:type="dxa"/>
            <w:tcBorders>
              <w:top w:val="nil"/>
              <w:left w:val="nil"/>
              <w:bottom w:val="single" w:sz="6" w:space="0" w:color="78A22F"/>
              <w:right w:val="nil"/>
            </w:tcBorders>
            <w:shd w:val="clear" w:color="auto" w:fill="auto"/>
          </w:tcPr>
          <w:p w14:paraId="32E92905" w14:textId="77777777" w:rsidR="006A0C00" w:rsidRDefault="006A0C00" w:rsidP="006A0C00">
            <w:pPr>
              <w:pStyle w:val="Space"/>
              <w:keepLines/>
            </w:pPr>
          </w:p>
        </w:tc>
      </w:tr>
      <w:tr w:rsidR="006A0C00" w:rsidRPr="000863A5" w14:paraId="32E92908" w14:textId="77777777" w:rsidTr="006A0C00">
        <w:tc>
          <w:tcPr>
            <w:tcW w:w="8770" w:type="dxa"/>
            <w:tcBorders>
              <w:top w:val="single" w:sz="6" w:space="0" w:color="78A22F"/>
              <w:left w:val="nil"/>
              <w:bottom w:val="nil"/>
              <w:right w:val="nil"/>
            </w:tcBorders>
          </w:tcPr>
          <w:p w14:paraId="32E92907" w14:textId="71229035" w:rsidR="006A0C00" w:rsidRPr="00626D32" w:rsidRDefault="006A0C00" w:rsidP="006A0C00">
            <w:pPr>
              <w:pStyle w:val="BoxSpaceBelow"/>
              <w:keepLines/>
            </w:pPr>
          </w:p>
        </w:tc>
      </w:tr>
    </w:tbl>
    <w:p w14:paraId="32E92909" w14:textId="77777777" w:rsidR="003D0DD3" w:rsidRDefault="003D0DD3" w:rsidP="00686D7E">
      <w:pPr>
        <w:pStyle w:val="Heading3"/>
      </w:pPr>
      <w:bookmarkStart w:id="151" w:name="_Toc476307170"/>
      <w:bookmarkStart w:id="152" w:name="_Toc476307301"/>
      <w:bookmarkStart w:id="153" w:name="_Toc476308488"/>
      <w:bookmarkStart w:id="154" w:name="_Toc476309082"/>
      <w:bookmarkStart w:id="155" w:name="_Toc476312556"/>
      <w:bookmarkStart w:id="156" w:name="_Toc476312794"/>
      <w:bookmarkStart w:id="157" w:name="_Toc476312868"/>
      <w:bookmarkStart w:id="158" w:name="_Toc476318441"/>
      <w:bookmarkStart w:id="159" w:name="_Toc476320082"/>
      <w:bookmarkStart w:id="160" w:name="_Toc476322768"/>
      <w:bookmarkStart w:id="161" w:name="_Toc476324734"/>
      <w:r>
        <w:t>Developing future reform priorities</w:t>
      </w:r>
      <w:bookmarkEnd w:id="151"/>
      <w:bookmarkEnd w:id="152"/>
      <w:bookmarkEnd w:id="153"/>
      <w:bookmarkEnd w:id="154"/>
      <w:bookmarkEnd w:id="155"/>
      <w:bookmarkEnd w:id="156"/>
      <w:bookmarkEnd w:id="157"/>
      <w:bookmarkEnd w:id="158"/>
      <w:bookmarkEnd w:id="159"/>
      <w:bookmarkEnd w:id="160"/>
      <w:bookmarkEnd w:id="161"/>
    </w:p>
    <w:p w14:paraId="32E9290A" w14:textId="2CAE849B" w:rsidR="001E5398" w:rsidRDefault="000814E1" w:rsidP="0065045C">
      <w:pPr>
        <w:pStyle w:val="BodyText"/>
      </w:pPr>
      <w:bookmarkStart w:id="162" w:name="_Toc476312867"/>
      <w:bookmarkStart w:id="163" w:name="_Toc476318440"/>
      <w:r>
        <w:t>I</w:t>
      </w:r>
      <w:r w:rsidR="00791C43">
        <w:t xml:space="preserve">n developing future reform priorities </w:t>
      </w:r>
      <w:r w:rsidR="007F56ED">
        <w:t xml:space="preserve">the Commission will look </w:t>
      </w:r>
      <w:r w:rsidR="0025325A">
        <w:t>first</w:t>
      </w:r>
      <w:r w:rsidR="007F56ED">
        <w:t xml:space="preserve"> to what the </w:t>
      </w:r>
      <w:proofErr w:type="spellStart"/>
      <w:r w:rsidR="007F56ED">
        <w:t>NWC</w:t>
      </w:r>
      <w:proofErr w:type="spellEnd"/>
      <w:r w:rsidR="007F56ED">
        <w:t xml:space="preserve"> identified as </w:t>
      </w:r>
      <w:r w:rsidR="0040134F">
        <w:t>‘</w:t>
      </w:r>
      <w:r w:rsidR="007F56ED">
        <w:t>unfinished business</w:t>
      </w:r>
      <w:bookmarkEnd w:id="162"/>
      <w:bookmarkEnd w:id="163"/>
      <w:r w:rsidR="0040134F">
        <w:t>’</w:t>
      </w:r>
      <w:r w:rsidR="009D68C4">
        <w:t>,</w:t>
      </w:r>
      <w:r w:rsidR="0040134F">
        <w:t xml:space="preserve"> and</w:t>
      </w:r>
      <w:r w:rsidR="009D68C4">
        <w:t xml:space="preserve"> </w:t>
      </w:r>
      <w:r w:rsidR="002A3926">
        <w:t xml:space="preserve">identify </w:t>
      </w:r>
      <w:r w:rsidR="0040134F">
        <w:t>what areas are still worth pursuing</w:t>
      </w:r>
      <w:r w:rsidR="00443F4F">
        <w:t>, noting that not</w:t>
      </w:r>
      <w:r w:rsidR="000C4B80">
        <w:t xml:space="preserve"> all </w:t>
      </w:r>
      <w:r w:rsidR="00443F4F">
        <w:t xml:space="preserve">of </w:t>
      </w:r>
      <w:r w:rsidR="000C4B80">
        <w:t xml:space="preserve">these issues </w:t>
      </w:r>
      <w:r w:rsidR="00443F4F">
        <w:t>may</w:t>
      </w:r>
      <w:r w:rsidR="000C4B80">
        <w:t xml:space="preserve"> be the priorities they appeared in 2014. </w:t>
      </w:r>
      <w:r w:rsidR="00F8667F">
        <w:t xml:space="preserve">This </w:t>
      </w:r>
      <w:r w:rsidR="00007A1E">
        <w:t xml:space="preserve">unfinished </w:t>
      </w:r>
      <w:r w:rsidR="000D6C23">
        <w:t xml:space="preserve">business </w:t>
      </w:r>
      <w:r w:rsidR="001E5398">
        <w:t>includes:</w:t>
      </w:r>
    </w:p>
    <w:p w14:paraId="32E9290B" w14:textId="77777777" w:rsidR="007B7F52" w:rsidRDefault="007B7F52" w:rsidP="00C6740E">
      <w:pPr>
        <w:pStyle w:val="ListBullet"/>
      </w:pPr>
      <w:r>
        <w:t xml:space="preserve">legislative reform in Western Australia and the Northern Territory </w:t>
      </w:r>
    </w:p>
    <w:p w14:paraId="32E9290C" w14:textId="12BF045A" w:rsidR="007B7F52" w:rsidRDefault="007B7F52" w:rsidP="00C6740E">
      <w:pPr>
        <w:pStyle w:val="ListBullet"/>
      </w:pPr>
      <w:r>
        <w:t xml:space="preserve">further unbundling of water rights </w:t>
      </w:r>
      <w:r w:rsidR="00BF57C0">
        <w:t>—</w:t>
      </w:r>
      <w:r w:rsidR="007D4FD1">
        <w:t xml:space="preserve"> </w:t>
      </w:r>
      <w:r w:rsidR="002E6993">
        <w:t xml:space="preserve">separating water rights from land </w:t>
      </w:r>
      <w:r w:rsidR="005B67BC">
        <w:t xml:space="preserve">and </w:t>
      </w:r>
      <w:r w:rsidR="002E6993">
        <w:t xml:space="preserve">delivery share components </w:t>
      </w:r>
      <w:r w:rsidR="005B67BC">
        <w:t xml:space="preserve">(where beneficial) </w:t>
      </w:r>
      <w:r w:rsidR="002E6993">
        <w:t>where this has not already occurred</w:t>
      </w:r>
    </w:p>
    <w:p w14:paraId="32E9290D" w14:textId="77777777" w:rsidR="007B7F52" w:rsidRDefault="007B7F52" w:rsidP="00C6740E">
      <w:pPr>
        <w:pStyle w:val="ListBullet"/>
      </w:pPr>
      <w:r>
        <w:t xml:space="preserve">greater specificity around the ecological objectives and outcomes of water reform, underpinned by an appropriate monitoring effort </w:t>
      </w:r>
    </w:p>
    <w:p w14:paraId="32E9290E" w14:textId="77777777" w:rsidR="007B7F52" w:rsidRDefault="007B7F52" w:rsidP="00C6740E">
      <w:pPr>
        <w:pStyle w:val="ListBullet"/>
      </w:pPr>
      <w:r>
        <w:t xml:space="preserve">scheduled water plan reviews based on a transparent process involving evaluation and public reporting </w:t>
      </w:r>
    </w:p>
    <w:p w14:paraId="32E9290F" w14:textId="77777777" w:rsidR="007B7F52" w:rsidRDefault="007B7F52" w:rsidP="00C6740E">
      <w:pPr>
        <w:pStyle w:val="ListBullet"/>
      </w:pPr>
      <w:r>
        <w:t xml:space="preserve">specific pathways to achieve Indigenous objectives through water planning </w:t>
      </w:r>
    </w:p>
    <w:p w14:paraId="32E92910" w14:textId="77777777" w:rsidR="006B7A78" w:rsidRDefault="007B7F52" w:rsidP="00900389">
      <w:pPr>
        <w:pStyle w:val="ListBullet"/>
      </w:pPr>
      <w:r>
        <w:t xml:space="preserve">incorporation of all water uses within the one water planning framework. </w:t>
      </w:r>
    </w:p>
    <w:p w14:paraId="32E92912" w14:textId="0C3CC592" w:rsidR="00E40194" w:rsidRDefault="009D68C4" w:rsidP="0065045C">
      <w:pPr>
        <w:pStyle w:val="BodyText"/>
      </w:pPr>
      <w:r>
        <w:lastRenderedPageBreak/>
        <w:t xml:space="preserve">The Commission will also look to determine whether there are new actions </w:t>
      </w:r>
      <w:r w:rsidR="00BE0C36">
        <w:t xml:space="preserve">that should be pursued in light of current or </w:t>
      </w:r>
      <w:r w:rsidR="00E40194">
        <w:t xml:space="preserve">likely </w:t>
      </w:r>
      <w:r w:rsidR="00BE0C36">
        <w:t>future challenges affecting</w:t>
      </w:r>
      <w:r w:rsidR="00E40194">
        <w:t xml:space="preserve"> the</w:t>
      </w:r>
      <w:r w:rsidR="00BE0C36">
        <w:t xml:space="preserve"> management of water resources</w:t>
      </w:r>
      <w:r w:rsidR="0035148A">
        <w:t xml:space="preserve"> — for example, </w:t>
      </w:r>
      <w:r w:rsidR="0036359F">
        <w:t>climate change</w:t>
      </w:r>
      <w:r w:rsidR="0035148A">
        <w:t xml:space="preserve"> and </w:t>
      </w:r>
      <w:r w:rsidR="0036359F">
        <w:t>population growth</w:t>
      </w:r>
      <w:r w:rsidR="00D607F1">
        <w:t xml:space="preserve">. </w:t>
      </w:r>
    </w:p>
    <w:p w14:paraId="32E92913" w14:textId="77777777" w:rsidR="00157EDD" w:rsidRDefault="00E40194" w:rsidP="0065045C">
      <w:pPr>
        <w:pStyle w:val="BodyText"/>
      </w:pPr>
      <w:r>
        <w:t>T</w:t>
      </w:r>
      <w:r w:rsidR="00D607F1">
        <w:t>he Commission</w:t>
      </w:r>
      <w:r>
        <w:t xml:space="preserve">’s focus will be </w:t>
      </w:r>
      <w:r w:rsidR="00A82CFE">
        <w:t xml:space="preserve">on </w:t>
      </w:r>
      <w:r>
        <w:t xml:space="preserve">those </w:t>
      </w:r>
      <w:r w:rsidR="00A82CFE">
        <w:t>areas</w:t>
      </w:r>
      <w:r>
        <w:t xml:space="preserve"> of reform</w:t>
      </w:r>
      <w:r w:rsidR="00A82CFE">
        <w:t xml:space="preserve"> that deliver the greatest net benefits to the community.</w:t>
      </w:r>
      <w:r>
        <w:t xml:space="preserve"> In </w:t>
      </w:r>
      <w:r w:rsidR="004B48BE">
        <w:t>identifying these areas</w:t>
      </w:r>
      <w:r>
        <w:t xml:space="preserve">, the Commission will consider not only the costs and benefits of reform, but also the practical application of that reform. </w:t>
      </w:r>
    </w:p>
    <w:p w14:paraId="32E92914" w14:textId="129C0707" w:rsidR="003D0DD3" w:rsidRPr="008C5F68" w:rsidRDefault="00C42A8C" w:rsidP="008C5F68">
      <w:pPr>
        <w:pStyle w:val="BodyText"/>
      </w:pPr>
      <w:r>
        <w:t>Initial consultation and research suggests that</w:t>
      </w:r>
      <w:r w:rsidR="006D4239">
        <w:t xml:space="preserve"> the </w:t>
      </w:r>
      <w:r w:rsidR="00066A63">
        <w:t xml:space="preserve">efficient </w:t>
      </w:r>
      <w:r w:rsidR="006D4239">
        <w:t>provision of rural and urban water services</w:t>
      </w:r>
      <w:r>
        <w:t xml:space="preserve"> </w:t>
      </w:r>
      <w:r w:rsidR="007D7C60">
        <w:t xml:space="preserve">is </w:t>
      </w:r>
      <w:r w:rsidR="00066A63">
        <w:t>one of</w:t>
      </w:r>
      <w:r>
        <w:t xml:space="preserve"> the area</w:t>
      </w:r>
      <w:r w:rsidR="00066A63">
        <w:t>s</w:t>
      </w:r>
      <w:r>
        <w:t xml:space="preserve"> least advanced in the </w:t>
      </w:r>
      <w:proofErr w:type="spellStart"/>
      <w:r>
        <w:t>NWI</w:t>
      </w:r>
      <w:proofErr w:type="spellEnd"/>
      <w:r w:rsidR="00066A63">
        <w:t xml:space="preserve"> and there is scope for improvement</w:t>
      </w:r>
      <w:r w:rsidR="006D4239">
        <w:t xml:space="preserve">. </w:t>
      </w:r>
      <w:r w:rsidR="008C5F68" w:rsidRPr="008C5F68">
        <w:t xml:space="preserve">Since the </w:t>
      </w:r>
      <w:proofErr w:type="spellStart"/>
      <w:r w:rsidR="008C5F68" w:rsidRPr="008C5F68">
        <w:t>NWI</w:t>
      </w:r>
      <w:proofErr w:type="spellEnd"/>
      <w:r w:rsidR="008C5F68" w:rsidRPr="008C5F68">
        <w:t xml:space="preserve"> was agreed a large portfolio of environmental water entitlements has been acquired. Further work will need to be done to ensure that this water is managed in a way that maximises environmental outcomes.</w:t>
      </w:r>
      <w:r w:rsidR="004D180C">
        <w:t xml:space="preserve"> These </w:t>
      </w:r>
      <w:r w:rsidR="000F1286">
        <w:t>are</w:t>
      </w:r>
      <w:r w:rsidR="004D180C">
        <w:t xml:space="preserve"> among a number of areas that the</w:t>
      </w:r>
      <w:r w:rsidR="006D4239">
        <w:t xml:space="preserve"> Commission </w:t>
      </w:r>
      <w:r>
        <w:t>will</w:t>
      </w:r>
      <w:r w:rsidR="00066A63">
        <w:t xml:space="preserve"> </w:t>
      </w:r>
      <w:r w:rsidR="003D0DD3">
        <w:t xml:space="preserve">examine </w:t>
      </w:r>
      <w:r>
        <w:t>in</w:t>
      </w:r>
      <w:r w:rsidR="0008304C">
        <w:t xml:space="preserve"> identifying future reform priorities</w:t>
      </w:r>
      <w:r>
        <w:t>.</w:t>
      </w:r>
    </w:p>
    <w:p w14:paraId="32E92915" w14:textId="0B38174F" w:rsidR="00675B60" w:rsidRDefault="00675B60" w:rsidP="00675B60">
      <w:pPr>
        <w:pStyle w:val="BodyText"/>
      </w:pPr>
      <w:r>
        <w:t xml:space="preserve">In looking to </w:t>
      </w:r>
      <w:r w:rsidR="00066A63">
        <w:t xml:space="preserve">identify </w:t>
      </w:r>
      <w:r w:rsidRPr="008A5D6B">
        <w:t xml:space="preserve">future </w:t>
      </w:r>
      <w:r>
        <w:t>reform</w:t>
      </w:r>
      <w:r w:rsidRPr="008A5D6B">
        <w:t xml:space="preserve"> priorities,</w:t>
      </w:r>
      <w:r>
        <w:t xml:space="preserve"> the Commission will need to apply a framework. This framework will have the overall policy goal — </w:t>
      </w:r>
      <w:r w:rsidRPr="00815A0E">
        <w:rPr>
          <w:i/>
        </w:rPr>
        <w:t>water use in Australia is efficient and sustainable</w:t>
      </w:r>
      <w:r>
        <w:rPr>
          <w:i/>
        </w:rPr>
        <w:t xml:space="preserve">. </w:t>
      </w:r>
      <w:r>
        <w:t>Supportin</w:t>
      </w:r>
      <w:r w:rsidRPr="00E50A83">
        <w:t xml:space="preserve">g </w:t>
      </w:r>
      <w:r>
        <w:t xml:space="preserve">this policy goal is </w:t>
      </w:r>
      <w:r w:rsidR="0043153E">
        <w:t xml:space="preserve">a </w:t>
      </w:r>
      <w:r>
        <w:t xml:space="preserve">set of objectives and corresponding assessment criteria. </w:t>
      </w:r>
      <w:r w:rsidR="00F60489">
        <w:t xml:space="preserve">The Commission considers it is important to have a framework </w:t>
      </w:r>
      <w:r w:rsidR="00BF57C0">
        <w:rPr>
          <w:szCs w:val="24"/>
        </w:rPr>
        <w:t>to ensure the issues we look at, and the reforms w</w:t>
      </w:r>
      <w:r w:rsidR="003562AC">
        <w:rPr>
          <w:szCs w:val="24"/>
        </w:rPr>
        <w:t>e identify, are consistent with</w:t>
      </w:r>
      <w:r w:rsidR="00BF57C0">
        <w:rPr>
          <w:szCs w:val="24"/>
        </w:rPr>
        <w:t xml:space="preserve"> achieving our overall </w:t>
      </w:r>
      <w:r w:rsidR="003562AC">
        <w:rPr>
          <w:szCs w:val="24"/>
        </w:rPr>
        <w:t xml:space="preserve">policy </w:t>
      </w:r>
      <w:r w:rsidR="00BF57C0">
        <w:rPr>
          <w:szCs w:val="24"/>
        </w:rPr>
        <w:t>goal</w:t>
      </w:r>
      <w:r w:rsidR="0025325A">
        <w:rPr>
          <w:szCs w:val="24"/>
        </w:rPr>
        <w:t>.</w:t>
      </w:r>
    </w:p>
    <w:p w14:paraId="32E92916" w14:textId="06C6524A" w:rsidR="00C26942" w:rsidRDefault="00675B60" w:rsidP="00675B60">
      <w:pPr>
        <w:pStyle w:val="BodyText"/>
      </w:pPr>
      <w:r>
        <w:t xml:space="preserve">The Commission’s preliminary thinking on the framework, its objectives and some of the key </w:t>
      </w:r>
      <w:r w:rsidR="00344F31">
        <w:t>considerations</w:t>
      </w:r>
      <w:r>
        <w:t xml:space="preserve"> are outlined in table 1. </w:t>
      </w:r>
      <w:r w:rsidR="00235D6F">
        <w:t>Significant progress has been made i</w:t>
      </w:r>
      <w:r w:rsidR="00D40ED0">
        <w:t>n</w:t>
      </w:r>
      <w:r w:rsidR="00C7518D">
        <w:t xml:space="preserve"> </w:t>
      </w:r>
      <w:r w:rsidR="00704A22">
        <w:t>property rights; water planning and trade</w:t>
      </w:r>
      <w:r w:rsidR="00D40ED0">
        <w:t xml:space="preserve">. </w:t>
      </w:r>
      <w:r w:rsidR="00C8652D">
        <w:t>H</w:t>
      </w:r>
      <w:r w:rsidR="00D40ED0">
        <w:t>owever, as noted above</w:t>
      </w:r>
      <w:r w:rsidR="00DE7C4B">
        <w:t>,</w:t>
      </w:r>
      <w:r w:rsidR="00D40ED0">
        <w:t xml:space="preserve"> further work is to be done in water service delivery and management of environmental water</w:t>
      </w:r>
      <w:r w:rsidR="00417CF2">
        <w:t>.</w:t>
      </w:r>
      <w:r w:rsidR="00704A22">
        <w:t xml:space="preserve"> </w:t>
      </w:r>
      <w:r>
        <w:t>The Commission</w:t>
      </w:r>
      <w:r w:rsidR="00D7620E">
        <w:t>’</w:t>
      </w:r>
      <w:r w:rsidR="00C8652D">
        <w:t xml:space="preserve">s development of the framework at this early stage reflects the maturity of </w:t>
      </w:r>
      <w:r w:rsidR="00C26942">
        <w:t>th</w:t>
      </w:r>
      <w:r w:rsidR="00417CF2">
        <w:t>ese</w:t>
      </w:r>
      <w:r w:rsidR="00C26942">
        <w:t xml:space="preserve"> different reform areas.</w:t>
      </w:r>
      <w:r>
        <w:t xml:space="preserve"> </w:t>
      </w:r>
    </w:p>
    <w:p w14:paraId="32E92917" w14:textId="0390C925" w:rsidR="00675B60" w:rsidRPr="008D1222" w:rsidRDefault="002144D4" w:rsidP="00675B60">
      <w:pPr>
        <w:pStyle w:val="BodyText"/>
        <w:rPr>
          <w:spacing w:val="-2"/>
        </w:rPr>
      </w:pPr>
      <w:r w:rsidRPr="008D1222">
        <w:rPr>
          <w:spacing w:val="-2"/>
        </w:rPr>
        <w:t>T</w:t>
      </w:r>
      <w:r w:rsidR="00C26942" w:rsidRPr="008D1222">
        <w:rPr>
          <w:spacing w:val="-2"/>
        </w:rPr>
        <w:t xml:space="preserve">he Commission </w:t>
      </w:r>
      <w:r w:rsidR="00675B60" w:rsidRPr="008D1222">
        <w:rPr>
          <w:spacing w:val="-2"/>
        </w:rPr>
        <w:t>welcome</w:t>
      </w:r>
      <w:r w:rsidR="007D0AFC" w:rsidRPr="008D1222">
        <w:rPr>
          <w:spacing w:val="-2"/>
        </w:rPr>
        <w:t>s</w:t>
      </w:r>
      <w:r w:rsidR="00675B60" w:rsidRPr="008D1222">
        <w:rPr>
          <w:spacing w:val="-2"/>
        </w:rPr>
        <w:t xml:space="preserve"> participant views on any</w:t>
      </w:r>
      <w:r w:rsidR="0043153E" w:rsidRPr="008D1222">
        <w:rPr>
          <w:spacing w:val="-2"/>
        </w:rPr>
        <w:t xml:space="preserve"> additions or</w:t>
      </w:r>
      <w:r w:rsidR="00675B60" w:rsidRPr="008D1222">
        <w:rPr>
          <w:spacing w:val="-2"/>
        </w:rPr>
        <w:t xml:space="preserve"> refinements </w:t>
      </w:r>
      <w:r w:rsidR="00BD1B9A" w:rsidRPr="008D1222">
        <w:rPr>
          <w:spacing w:val="-2"/>
        </w:rPr>
        <w:t>to the framework</w:t>
      </w:r>
      <w:r w:rsidR="00675B60" w:rsidRPr="008D1222">
        <w:rPr>
          <w:spacing w:val="-2"/>
        </w:rPr>
        <w:t>.</w:t>
      </w:r>
      <w:r w:rsidR="00BD1B9A" w:rsidRPr="008D1222">
        <w:rPr>
          <w:spacing w:val="-2"/>
        </w:rPr>
        <w:t xml:space="preserve"> </w:t>
      </w:r>
      <w:r w:rsidR="00675B60" w:rsidRPr="008D1222">
        <w:rPr>
          <w:spacing w:val="-2"/>
        </w:rPr>
        <w:t xml:space="preserve">The Commission will develop </w:t>
      </w:r>
      <w:r w:rsidR="00BD1B9A" w:rsidRPr="008D1222">
        <w:rPr>
          <w:spacing w:val="-2"/>
        </w:rPr>
        <w:t>the</w:t>
      </w:r>
      <w:r w:rsidR="00675B60" w:rsidRPr="008D1222">
        <w:rPr>
          <w:spacing w:val="-2"/>
        </w:rPr>
        <w:t xml:space="preserve"> framework further in preparing its draft report.</w:t>
      </w:r>
    </w:p>
    <w:p w14:paraId="32E92918" w14:textId="06CEB4FB" w:rsidR="00BD049F" w:rsidRDefault="00BD049F" w:rsidP="00BD049F">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71"/>
      </w:tblGrid>
      <w:tr w:rsidR="00BD049F" w14:paraId="32E9291B" w14:textId="77777777" w:rsidTr="00BD049F">
        <w:tc>
          <w:tcPr>
            <w:tcW w:w="8771" w:type="dxa"/>
            <w:tcBorders>
              <w:top w:val="single" w:sz="6" w:space="0" w:color="78A22F"/>
              <w:left w:val="nil"/>
              <w:bottom w:val="nil"/>
              <w:right w:val="nil"/>
            </w:tcBorders>
            <w:shd w:val="clear" w:color="auto" w:fill="auto"/>
          </w:tcPr>
          <w:p w14:paraId="32E9291A" w14:textId="51DEA5B3" w:rsidR="00BD049F" w:rsidRPr="00784A05" w:rsidRDefault="00BD049F" w:rsidP="00BF4423">
            <w:pPr>
              <w:pStyle w:val="TableTitle"/>
            </w:pPr>
            <w:r>
              <w:rPr>
                <w:b w:val="0"/>
              </w:rPr>
              <w:t xml:space="preserve">Table </w:t>
            </w:r>
            <w:bookmarkStart w:id="164" w:name="OLE_LINK8"/>
            <w:r w:rsidR="00A20B22" w:rsidRPr="00A20B22">
              <w:rPr>
                <w:b w:val="0"/>
              </w:rPr>
              <w:t>1</w:t>
            </w:r>
            <w:bookmarkEnd w:id="164"/>
            <w:r>
              <w:tab/>
            </w:r>
            <w:r w:rsidR="00E17484">
              <w:rPr>
                <w:spacing w:val="-2"/>
              </w:rPr>
              <w:t>Preliminary</w:t>
            </w:r>
            <w:r w:rsidR="000D0B94" w:rsidRPr="002378FD">
              <w:rPr>
                <w:spacing w:val="-2"/>
              </w:rPr>
              <w:t xml:space="preserve"> framework</w:t>
            </w:r>
            <w:r w:rsidR="009C5BBB" w:rsidRPr="002378FD">
              <w:rPr>
                <w:spacing w:val="-2"/>
              </w:rPr>
              <w:t xml:space="preserve"> </w:t>
            </w:r>
            <w:r w:rsidR="00BF4423">
              <w:rPr>
                <w:spacing w:val="-2"/>
              </w:rPr>
              <w:t xml:space="preserve">— </w:t>
            </w:r>
            <w:r w:rsidR="006A4D32">
              <w:rPr>
                <w:spacing w:val="-2"/>
              </w:rPr>
              <w:t xml:space="preserve">national </w:t>
            </w:r>
            <w:r w:rsidR="00A03D75">
              <w:rPr>
                <w:spacing w:val="-2"/>
              </w:rPr>
              <w:t xml:space="preserve">water </w:t>
            </w:r>
            <w:r w:rsidR="006A4D32">
              <w:rPr>
                <w:spacing w:val="-2"/>
              </w:rPr>
              <w:t>reform priorities</w:t>
            </w:r>
          </w:p>
        </w:tc>
      </w:tr>
      <w:tr w:rsidR="00BD049F" w14:paraId="32E9294B" w14:textId="77777777" w:rsidTr="00BD049F">
        <w:tc>
          <w:tcPr>
            <w:tcW w:w="8771" w:type="dxa"/>
            <w:tcBorders>
              <w:top w:val="nil"/>
              <w:left w:val="nil"/>
              <w:bottom w:val="nil"/>
              <w:right w:val="nil"/>
            </w:tcBorders>
            <w:shd w:val="clear" w:color="auto" w:fill="auto"/>
          </w:tcPr>
          <w:tbl>
            <w:tblPr>
              <w:tblW w:w="4998" w:type="pct"/>
              <w:tblCellMar>
                <w:top w:w="28" w:type="dxa"/>
                <w:left w:w="0" w:type="dxa"/>
                <w:right w:w="0" w:type="dxa"/>
              </w:tblCellMar>
              <w:tblLook w:val="0000" w:firstRow="0" w:lastRow="0" w:firstColumn="0" w:lastColumn="0" w:noHBand="0" w:noVBand="0"/>
            </w:tblPr>
            <w:tblGrid>
              <w:gridCol w:w="8484"/>
            </w:tblGrid>
            <w:tr w:rsidR="00BD049F" w14:paraId="32E9291D" w14:textId="77777777" w:rsidTr="00E46108">
              <w:tc>
                <w:tcPr>
                  <w:tcW w:w="5000" w:type="pct"/>
                  <w:tcBorders>
                    <w:top w:val="single" w:sz="6" w:space="0" w:color="BFBFBF"/>
                    <w:bottom w:val="single" w:sz="4" w:space="0" w:color="B2D673" w:themeColor="accent3"/>
                  </w:tcBorders>
                  <w:shd w:val="clear" w:color="F2F2F2" w:themeColor="background1" w:themeShade="F2" w:fill="FFFFFF" w:themeFill="background1"/>
                </w:tcPr>
                <w:p w14:paraId="32E9291C" w14:textId="77777777" w:rsidR="00BD049F" w:rsidRPr="00E4467D" w:rsidRDefault="006F1A35" w:rsidP="000D0DB7">
                  <w:pPr>
                    <w:pStyle w:val="TableBodyText"/>
                    <w:spacing w:before="80" w:line="220" w:lineRule="atLeast"/>
                    <w:jc w:val="left"/>
                    <w:rPr>
                      <w:b/>
                      <w:sz w:val="20"/>
                    </w:rPr>
                  </w:pPr>
                  <w:r w:rsidRPr="00E4467D">
                    <w:rPr>
                      <w:b/>
                      <w:sz w:val="20"/>
                    </w:rPr>
                    <w:t>Water resource management</w:t>
                  </w:r>
                </w:p>
              </w:tc>
            </w:tr>
            <w:tr w:rsidR="00E91102" w14:paraId="48A1CA50" w14:textId="77777777" w:rsidTr="002B7804">
              <w:tc>
                <w:tcPr>
                  <w:tcW w:w="5000" w:type="pct"/>
                  <w:tcBorders>
                    <w:top w:val="single" w:sz="4" w:space="0" w:color="B2D673" w:themeColor="accent3"/>
                    <w:left w:val="single" w:sz="4" w:space="0" w:color="B2D673" w:themeColor="accent3"/>
                    <w:right w:val="single" w:sz="4" w:space="0" w:color="B2D673" w:themeColor="accent3"/>
                  </w:tcBorders>
                  <w:shd w:val="solid" w:color="B2D673" w:themeColor="accent3" w:fill="B2D673" w:themeFill="accent3"/>
                </w:tcPr>
                <w:p w14:paraId="26C40287" w14:textId="23F0C518" w:rsidR="00E91102" w:rsidRPr="00E4467D" w:rsidRDefault="00E91102" w:rsidP="000D0DB7">
                  <w:pPr>
                    <w:pStyle w:val="TableBodyText"/>
                    <w:spacing w:before="40" w:line="220" w:lineRule="atLeast"/>
                    <w:jc w:val="left"/>
                    <w:rPr>
                      <w:i/>
                    </w:rPr>
                  </w:pPr>
                  <w:r w:rsidRPr="00E4467D">
                    <w:rPr>
                      <w:i/>
                    </w:rPr>
                    <w:t>Property rights for water are clear and secure</w:t>
                  </w:r>
                </w:p>
              </w:tc>
            </w:tr>
            <w:tr w:rsidR="00BD049F" w14:paraId="32E9291F" w14:textId="77777777" w:rsidTr="002B7804">
              <w:tc>
                <w:tcPr>
                  <w:tcW w:w="5000" w:type="pct"/>
                  <w:shd w:val="clear" w:color="B2D673" w:themeColor="accent3" w:fill="auto"/>
                </w:tcPr>
                <w:p w14:paraId="436987FB" w14:textId="77777777" w:rsidR="00E91102" w:rsidRDefault="00E91102" w:rsidP="00E91102">
                  <w:pPr>
                    <w:pStyle w:val="TableBullet"/>
                    <w:numPr>
                      <w:ilvl w:val="0"/>
                      <w:numId w:val="0"/>
                    </w:numPr>
                    <w:spacing w:line="220" w:lineRule="atLeast"/>
                  </w:pPr>
                  <w:r>
                    <w:t xml:space="preserve">Clear and secure property rights are important to provide entitlement holders with certainty to encourage long term investment. They are crucial to the establishment and functioning of water markets and an important component of sustainable environmental management. Property rights should: </w:t>
                  </w:r>
                </w:p>
                <w:p w14:paraId="429289E4" w14:textId="77777777" w:rsidR="00E91102" w:rsidRDefault="00E91102" w:rsidP="00E91102">
                  <w:pPr>
                    <w:pStyle w:val="TableBullet"/>
                    <w:spacing w:line="220" w:lineRule="atLeast"/>
                  </w:pPr>
                  <w:r>
                    <w:t xml:space="preserve">include all available water sources </w:t>
                  </w:r>
                  <w:r w:rsidRPr="009D00F1">
                    <w:t>(as far as practicable</w:t>
                  </w:r>
                  <w:r>
                    <w:t>)</w:t>
                  </w:r>
                </w:p>
                <w:p w14:paraId="0AC0C447" w14:textId="77777777" w:rsidR="00E91102" w:rsidRDefault="00E91102" w:rsidP="00E91102">
                  <w:pPr>
                    <w:pStyle w:val="TableBullet"/>
                    <w:spacing w:line="220" w:lineRule="atLeast"/>
                  </w:pPr>
                  <w:r>
                    <w:t xml:space="preserve">be legally recognised </w:t>
                  </w:r>
                </w:p>
                <w:p w14:paraId="45A375AB" w14:textId="77777777" w:rsidR="00E91102" w:rsidRDefault="00E91102" w:rsidP="00E91102">
                  <w:pPr>
                    <w:pStyle w:val="TableBullet"/>
                    <w:spacing w:line="220" w:lineRule="atLeast"/>
                  </w:pPr>
                  <w:r>
                    <w:t xml:space="preserve">be explicit — outlining the maximum extraction volume allowed to be taken and the relationship between allowable extraction and water availability in any season </w:t>
                  </w:r>
                </w:p>
                <w:p w14:paraId="32E9291E" w14:textId="21903CD3" w:rsidR="00BD049F" w:rsidRPr="00E91102" w:rsidRDefault="00E91102" w:rsidP="00E91102">
                  <w:pPr>
                    <w:pStyle w:val="TableBullet"/>
                    <w:spacing w:line="220" w:lineRule="atLeast"/>
                  </w:pPr>
                  <w:r>
                    <w:t>be separate from land title and tradeable</w:t>
                  </w:r>
                  <w:r w:rsidR="0076071C">
                    <w:t>.</w:t>
                  </w:r>
                </w:p>
              </w:tc>
            </w:tr>
            <w:tr w:rsidR="00E91102" w14:paraId="2EC8B36C" w14:textId="77777777" w:rsidTr="002B7804">
              <w:tc>
                <w:tcPr>
                  <w:tcW w:w="5000" w:type="pct"/>
                  <w:tcBorders>
                    <w:left w:val="single" w:sz="4" w:space="0" w:color="B2D673" w:themeColor="accent3"/>
                    <w:bottom w:val="single" w:sz="4" w:space="0" w:color="B2D673" w:themeColor="accent3"/>
                    <w:right w:val="single" w:sz="4" w:space="0" w:color="B2D673" w:themeColor="accent3"/>
                  </w:tcBorders>
                  <w:shd w:val="solid" w:color="B2D673" w:themeColor="accent3" w:fill="B2D673" w:themeFill="accent3"/>
                </w:tcPr>
                <w:p w14:paraId="1E72A24A" w14:textId="09213B4E" w:rsidR="00E91102" w:rsidRPr="00E4467D" w:rsidRDefault="00E91102" w:rsidP="000D0DB7">
                  <w:pPr>
                    <w:pStyle w:val="TableBodyText"/>
                    <w:spacing w:before="40" w:line="220" w:lineRule="atLeast"/>
                    <w:jc w:val="left"/>
                    <w:rPr>
                      <w:i/>
                    </w:rPr>
                  </w:pPr>
                  <w:r w:rsidRPr="00E4467D">
                    <w:rPr>
                      <w:i/>
                    </w:rPr>
                    <w:t>Processes for determining allocation and sharing of water are transparent, inclusive, and cost</w:t>
                  </w:r>
                  <w:r>
                    <w:rPr>
                      <w:i/>
                    </w:rPr>
                    <w:noBreakHyphen/>
                  </w:r>
                  <w:r w:rsidRPr="00E4467D">
                    <w:rPr>
                      <w:i/>
                    </w:rPr>
                    <w:t>effective</w:t>
                  </w:r>
                </w:p>
              </w:tc>
            </w:tr>
            <w:tr w:rsidR="00C252CE" w14:paraId="32E92926" w14:textId="77777777" w:rsidTr="006F1A35">
              <w:tc>
                <w:tcPr>
                  <w:tcW w:w="5000" w:type="pct"/>
                  <w:shd w:val="clear" w:color="auto" w:fill="auto"/>
                </w:tcPr>
                <w:p w14:paraId="32E92920" w14:textId="74E43AC5" w:rsidR="00FF5F61" w:rsidRDefault="00FF5F61" w:rsidP="0028344D">
                  <w:pPr>
                    <w:pStyle w:val="TableBullet"/>
                    <w:numPr>
                      <w:ilvl w:val="0"/>
                      <w:numId w:val="0"/>
                    </w:numPr>
                    <w:spacing w:line="220" w:lineRule="atLeast"/>
                  </w:pPr>
                  <w:r>
                    <w:t>Water planning processes are important</w:t>
                  </w:r>
                  <w:r w:rsidR="00BB1805">
                    <w:t xml:space="preserve">, including </w:t>
                  </w:r>
                  <w:r>
                    <w:t>because they identify the share of water fo</w:t>
                  </w:r>
                  <w:r w:rsidR="00BF4423">
                    <w:t>r consumptive and environmental</w:t>
                  </w:r>
                  <w:r>
                    <w:t xml:space="preserve"> purposes. Water planning processes should:</w:t>
                  </w:r>
                </w:p>
                <w:p w14:paraId="32E92921" w14:textId="77777777" w:rsidR="00FF5F61" w:rsidRDefault="00FF5F61" w:rsidP="0028344D">
                  <w:pPr>
                    <w:pStyle w:val="TableBullet"/>
                    <w:spacing w:line="220" w:lineRule="atLeast"/>
                  </w:pPr>
                  <w:r>
                    <w:t>be timely, transparent and open</w:t>
                  </w:r>
                </w:p>
                <w:p w14:paraId="32E92922" w14:textId="77777777" w:rsidR="00FF5F61" w:rsidRDefault="00FF5F61" w:rsidP="0028344D">
                  <w:pPr>
                    <w:pStyle w:val="TableBullet"/>
                    <w:spacing w:line="220" w:lineRule="atLeast"/>
                  </w:pPr>
                  <w:r>
                    <w:t>be based on best available information</w:t>
                  </w:r>
                </w:p>
                <w:p w14:paraId="32E92923" w14:textId="77777777" w:rsidR="00FF5F61" w:rsidRDefault="00FF5F61" w:rsidP="0028344D">
                  <w:pPr>
                    <w:pStyle w:val="TableBullet"/>
                    <w:spacing w:line="220" w:lineRule="atLeast"/>
                  </w:pPr>
                  <w:r>
                    <w:t>involve communities and stakeholders</w:t>
                  </w:r>
                </w:p>
                <w:p w14:paraId="32E92924" w14:textId="77777777" w:rsidR="00FF5F61" w:rsidRDefault="00FF5F61" w:rsidP="0028344D">
                  <w:pPr>
                    <w:pStyle w:val="TableBullet"/>
                    <w:spacing w:line="220" w:lineRule="atLeast"/>
                  </w:pPr>
                  <w:r>
                    <w:t>be adaptive</w:t>
                  </w:r>
                </w:p>
                <w:p w14:paraId="32E92925" w14:textId="375928F5" w:rsidR="00C252CE" w:rsidRDefault="00FF5F61" w:rsidP="0028344D">
                  <w:pPr>
                    <w:pStyle w:val="TableBullet"/>
                    <w:spacing w:line="220" w:lineRule="atLeast"/>
                  </w:pPr>
                  <w:r>
                    <w:t>manage uncertainty</w:t>
                  </w:r>
                  <w:r w:rsidR="0076071C">
                    <w:t>.</w:t>
                  </w:r>
                </w:p>
              </w:tc>
            </w:tr>
            <w:tr w:rsidR="006F1A35" w14:paraId="32E92930" w14:textId="77777777" w:rsidTr="002378FD">
              <w:tc>
                <w:tcPr>
                  <w:tcW w:w="5000" w:type="pct"/>
                  <w:tcBorders>
                    <w:top w:val="single" w:sz="4" w:space="0" w:color="B2D673" w:themeColor="accent3"/>
                    <w:left w:val="single" w:sz="4" w:space="0" w:color="B2D673" w:themeColor="accent3"/>
                    <w:bottom w:val="single" w:sz="4" w:space="0" w:color="B2D673" w:themeColor="accent3"/>
                    <w:right w:val="single" w:sz="4" w:space="0" w:color="B2D673" w:themeColor="accent3"/>
                  </w:tcBorders>
                  <w:shd w:val="solid" w:color="B2D673" w:themeColor="accent3" w:fill="auto"/>
                </w:tcPr>
                <w:p w14:paraId="32E9292F" w14:textId="77777777" w:rsidR="006F1A35" w:rsidRPr="00E4467D" w:rsidRDefault="00BD720D" w:rsidP="000D0DB7">
                  <w:pPr>
                    <w:pStyle w:val="TableBodyText"/>
                    <w:spacing w:before="40" w:line="220" w:lineRule="atLeast"/>
                    <w:jc w:val="left"/>
                    <w:rPr>
                      <w:i/>
                    </w:rPr>
                  </w:pPr>
                  <w:r w:rsidRPr="00E4467D">
                    <w:rPr>
                      <w:i/>
                    </w:rPr>
                    <w:t>Water is able to be traded to its highest value use</w:t>
                  </w:r>
                </w:p>
              </w:tc>
            </w:tr>
            <w:tr w:rsidR="006F1A35" w14:paraId="32E92937" w14:textId="77777777" w:rsidTr="002378FD">
              <w:tc>
                <w:tcPr>
                  <w:tcW w:w="5000" w:type="pct"/>
                  <w:tcBorders>
                    <w:top w:val="single" w:sz="4" w:space="0" w:color="B2D673" w:themeColor="accent3"/>
                  </w:tcBorders>
                  <w:shd w:val="clear" w:color="auto" w:fill="auto"/>
                </w:tcPr>
                <w:p w14:paraId="32E92931" w14:textId="68C00B68" w:rsidR="00056846" w:rsidRDefault="00056846" w:rsidP="0028344D">
                  <w:pPr>
                    <w:pStyle w:val="TableBullet"/>
                    <w:numPr>
                      <w:ilvl w:val="0"/>
                      <w:numId w:val="0"/>
                    </w:numPr>
                    <w:spacing w:line="220" w:lineRule="atLeast"/>
                  </w:pPr>
                  <w:r>
                    <w:t>Water trading enables water to move to its highest value use within a water system, providing the driver for greater productivity. For individual entitlements holders, it provides a business tool to enab</w:t>
                  </w:r>
                  <w:r w:rsidR="0025325A">
                    <w:t xml:space="preserve">le them </w:t>
                  </w:r>
                  <w:r>
                    <w:t>to respond to changing climat</w:t>
                  </w:r>
                  <w:r w:rsidR="00C458A9">
                    <w:t>ic conditions</w:t>
                  </w:r>
                  <w:r w:rsidR="00AC32B1">
                    <w:t>/</w:t>
                  </w:r>
                  <w:r w:rsidR="00C458A9">
                    <w:t>circumstances.</w:t>
                  </w:r>
                  <w:r>
                    <w:t xml:space="preserve"> In order to achieve this:</w:t>
                  </w:r>
                </w:p>
                <w:p w14:paraId="32E92932" w14:textId="77777777" w:rsidR="00056846" w:rsidRDefault="00056846" w:rsidP="0028344D">
                  <w:pPr>
                    <w:pStyle w:val="TableBullet"/>
                    <w:spacing w:line="220" w:lineRule="atLeast"/>
                  </w:pPr>
                  <w:r>
                    <w:t>trade should be enabled for all water systems where this offers net benefits</w:t>
                  </w:r>
                </w:p>
                <w:p w14:paraId="32E92933" w14:textId="2A6FEED7" w:rsidR="00056846" w:rsidRDefault="00056846" w:rsidP="0028344D">
                  <w:pPr>
                    <w:pStyle w:val="TableBullet"/>
                    <w:spacing w:line="220" w:lineRule="atLeast"/>
                  </w:pPr>
                  <w:r>
                    <w:t xml:space="preserve">any restrictions on trade </w:t>
                  </w:r>
                  <w:r w:rsidR="00B97393">
                    <w:t>need to be</w:t>
                  </w:r>
                  <w:r>
                    <w:t xml:space="preserve"> appropriate and efficient</w:t>
                  </w:r>
                </w:p>
                <w:p w14:paraId="32E92934" w14:textId="12950B70" w:rsidR="00056846" w:rsidRDefault="00056846" w:rsidP="0028344D">
                  <w:pPr>
                    <w:pStyle w:val="TableBullet"/>
                    <w:spacing w:line="220" w:lineRule="atLeast"/>
                  </w:pPr>
                  <w:r>
                    <w:t xml:space="preserve">costs and delays of trading </w:t>
                  </w:r>
                  <w:r w:rsidR="001E3C93">
                    <w:t>should be</w:t>
                  </w:r>
                  <w:r>
                    <w:t xml:space="preserve"> minimised </w:t>
                  </w:r>
                </w:p>
                <w:p w14:paraId="32E92935" w14:textId="2C987A2F" w:rsidR="00056846" w:rsidRDefault="00056846" w:rsidP="0028344D">
                  <w:pPr>
                    <w:pStyle w:val="TableBullet"/>
                    <w:spacing w:line="220" w:lineRule="atLeast"/>
                  </w:pPr>
                  <w:r>
                    <w:t xml:space="preserve">water market participants </w:t>
                  </w:r>
                  <w:r w:rsidR="009C4227">
                    <w:t>should have</w:t>
                  </w:r>
                  <w:r>
                    <w:t xml:space="preserve"> access to timely and accurate information</w:t>
                  </w:r>
                </w:p>
                <w:p w14:paraId="32E92936" w14:textId="182DE77A" w:rsidR="006F1A35" w:rsidRDefault="00056846" w:rsidP="00E8031E">
                  <w:pPr>
                    <w:pStyle w:val="TableBullet"/>
                    <w:spacing w:line="220" w:lineRule="atLeast"/>
                  </w:pPr>
                  <w:r>
                    <w:t xml:space="preserve">trade </w:t>
                  </w:r>
                  <w:r w:rsidR="00E8031E">
                    <w:t>should be</w:t>
                  </w:r>
                  <w:r>
                    <w:t xml:space="preserve"> underpinned by adequate measurement, monitoring and water accounting systems</w:t>
                  </w:r>
                  <w:r w:rsidR="0076071C">
                    <w:t>.</w:t>
                  </w:r>
                </w:p>
              </w:tc>
            </w:tr>
            <w:tr w:rsidR="006F1A35" w14:paraId="32E92939" w14:textId="77777777" w:rsidTr="002378FD">
              <w:tc>
                <w:tcPr>
                  <w:tcW w:w="5000" w:type="pct"/>
                  <w:tcBorders>
                    <w:top w:val="single" w:sz="4" w:space="0" w:color="B2D673" w:themeColor="accent3"/>
                    <w:left w:val="single" w:sz="4" w:space="0" w:color="B2D673" w:themeColor="accent3"/>
                    <w:bottom w:val="single" w:sz="4" w:space="0" w:color="B2D673" w:themeColor="accent3"/>
                    <w:right w:val="single" w:sz="4" w:space="0" w:color="B2D673" w:themeColor="accent3"/>
                  </w:tcBorders>
                  <w:shd w:val="solid" w:color="B2D673" w:themeColor="accent3" w:fill="auto"/>
                </w:tcPr>
                <w:p w14:paraId="32E92938" w14:textId="77777777" w:rsidR="006F1A35" w:rsidRPr="00E4467D" w:rsidRDefault="00BD720D" w:rsidP="000D0DB7">
                  <w:pPr>
                    <w:pStyle w:val="TableBodyText"/>
                    <w:spacing w:before="40" w:line="220" w:lineRule="atLeast"/>
                    <w:jc w:val="left"/>
                    <w:rPr>
                      <w:i/>
                    </w:rPr>
                  </w:pPr>
                  <w:r w:rsidRPr="00E4467D">
                    <w:rPr>
                      <w:i/>
                    </w:rPr>
                    <w:t xml:space="preserve">Environmental </w:t>
                  </w:r>
                  <w:r w:rsidR="00B67A59" w:rsidRPr="00E4467D">
                    <w:rPr>
                      <w:i/>
                    </w:rPr>
                    <w:t xml:space="preserve">management </w:t>
                  </w:r>
                  <w:r w:rsidRPr="00E4467D">
                    <w:rPr>
                      <w:i/>
                    </w:rPr>
                    <w:t xml:space="preserve">is efficient and effective </w:t>
                  </w:r>
                </w:p>
              </w:tc>
            </w:tr>
            <w:tr w:rsidR="00C23495" w14:paraId="32E9293E" w14:textId="77777777" w:rsidTr="000D0DB7">
              <w:tc>
                <w:tcPr>
                  <w:tcW w:w="5000" w:type="pct"/>
                  <w:tcBorders>
                    <w:top w:val="single" w:sz="4" w:space="0" w:color="B2D673" w:themeColor="accent3"/>
                    <w:bottom w:val="single" w:sz="4" w:space="0" w:color="BFBFBF" w:themeColor="background2"/>
                  </w:tcBorders>
                  <w:shd w:val="clear" w:color="auto" w:fill="auto"/>
                </w:tcPr>
                <w:p w14:paraId="32E9293A" w14:textId="77777777" w:rsidR="00712499" w:rsidRDefault="00712499" w:rsidP="0028344D">
                  <w:pPr>
                    <w:pStyle w:val="TableBullet"/>
                    <w:numPr>
                      <w:ilvl w:val="0"/>
                      <w:numId w:val="0"/>
                    </w:numPr>
                    <w:spacing w:line="220" w:lineRule="atLeast"/>
                  </w:pPr>
                  <w:r>
                    <w:t>Sustainable management of water environments is a critical component of water resource management, underpinning the integrity of property rights</w:t>
                  </w:r>
                  <w:r w:rsidR="00CC3E25">
                    <w:t xml:space="preserve"> and</w:t>
                  </w:r>
                  <w:r>
                    <w:t xml:space="preserve"> the functioning of water markets. </w:t>
                  </w:r>
                  <w:r w:rsidR="00F46815">
                    <w:t xml:space="preserve">Sustainable management of water environments </w:t>
                  </w:r>
                  <w:r w:rsidR="003601CD">
                    <w:t xml:space="preserve">may </w:t>
                  </w:r>
                  <w:r w:rsidR="00F46815">
                    <w:t>entail:</w:t>
                  </w:r>
                </w:p>
                <w:p w14:paraId="32E9293B" w14:textId="68071847" w:rsidR="00712499" w:rsidRDefault="007759F7" w:rsidP="0028344D">
                  <w:pPr>
                    <w:pStyle w:val="TableBullet"/>
                    <w:spacing w:line="220" w:lineRule="atLeast"/>
                  </w:pPr>
                  <w:r>
                    <w:t>p</w:t>
                  </w:r>
                  <w:r w:rsidR="00712499">
                    <w:t>roviding a share of water for the environment and dealing with over</w:t>
                  </w:r>
                  <w:r w:rsidR="00396CA0">
                    <w:noBreakHyphen/>
                  </w:r>
                  <w:r w:rsidR="00712499">
                    <w:t>allocated systems where agreed</w:t>
                  </w:r>
                </w:p>
                <w:p w14:paraId="32E9293C" w14:textId="77777777" w:rsidR="00712499" w:rsidRDefault="00712499" w:rsidP="0028344D">
                  <w:pPr>
                    <w:pStyle w:val="TableBullet"/>
                    <w:spacing w:line="220" w:lineRule="atLeast"/>
                  </w:pPr>
                  <w:r>
                    <w:t>ensuring there are appropriate in</w:t>
                  </w:r>
                  <w:r w:rsidRPr="00B55423">
                    <w:t>stitutional and regulatory arrangements</w:t>
                  </w:r>
                  <w:r>
                    <w:t xml:space="preserve"> for efficient environmental water use</w:t>
                  </w:r>
                  <w:r w:rsidRPr="00B55423">
                    <w:t xml:space="preserve"> </w:t>
                  </w:r>
                </w:p>
                <w:p w14:paraId="32E9293D" w14:textId="08175263" w:rsidR="00C23495" w:rsidRDefault="00712499" w:rsidP="0028344D">
                  <w:pPr>
                    <w:pStyle w:val="TableBullet"/>
                    <w:spacing w:line="220" w:lineRule="atLeast"/>
                  </w:pPr>
                  <w:r>
                    <w:t>integrati</w:t>
                  </w:r>
                  <w:r w:rsidR="007759F7">
                    <w:t>ng</w:t>
                  </w:r>
                  <w:r>
                    <w:t xml:space="preserve"> catchment management and other </w:t>
                  </w:r>
                  <w:r w:rsidRPr="00B55423">
                    <w:t>compl</w:t>
                  </w:r>
                  <w:r>
                    <w:t>e</w:t>
                  </w:r>
                  <w:r w:rsidRPr="00B55423">
                    <w:t>mentary resource management activities</w:t>
                  </w:r>
                  <w:r w:rsidR="0076071C">
                    <w:t>.</w:t>
                  </w:r>
                </w:p>
              </w:tc>
            </w:tr>
            <w:tr w:rsidR="00BD720D" w14:paraId="32E92940" w14:textId="77777777" w:rsidTr="000D0DB7">
              <w:tc>
                <w:tcPr>
                  <w:tcW w:w="5000" w:type="pct"/>
                  <w:tcBorders>
                    <w:top w:val="single" w:sz="4" w:space="0" w:color="BFBFBF" w:themeColor="background2"/>
                    <w:bottom w:val="single" w:sz="4" w:space="0" w:color="B2D673" w:themeColor="accent3"/>
                  </w:tcBorders>
                  <w:shd w:val="clear" w:color="F2F2F2" w:themeColor="background1" w:themeShade="F2" w:fill="FFFFFF" w:themeFill="background1"/>
                </w:tcPr>
                <w:p w14:paraId="32E9293F" w14:textId="77777777" w:rsidR="00BD720D" w:rsidRPr="00E4467D" w:rsidRDefault="00BD720D" w:rsidP="000D0DB7">
                  <w:pPr>
                    <w:pStyle w:val="TableBodyText"/>
                    <w:spacing w:before="160" w:line="220" w:lineRule="atLeast"/>
                    <w:jc w:val="left"/>
                    <w:rPr>
                      <w:b/>
                      <w:sz w:val="20"/>
                    </w:rPr>
                  </w:pPr>
                  <w:r w:rsidRPr="00E4467D">
                    <w:rPr>
                      <w:b/>
                      <w:sz w:val="20"/>
                    </w:rPr>
                    <w:t>Water services</w:t>
                  </w:r>
                </w:p>
              </w:tc>
            </w:tr>
            <w:tr w:rsidR="00BD720D" w14:paraId="32E92942" w14:textId="77777777" w:rsidTr="002378FD">
              <w:tc>
                <w:tcPr>
                  <w:tcW w:w="5000" w:type="pct"/>
                  <w:tcBorders>
                    <w:top w:val="single" w:sz="4" w:space="0" w:color="B2D673" w:themeColor="accent3"/>
                    <w:left w:val="single" w:sz="4" w:space="0" w:color="B2D673" w:themeColor="accent3"/>
                    <w:bottom w:val="single" w:sz="4" w:space="0" w:color="B2D673" w:themeColor="accent3"/>
                    <w:right w:val="single" w:sz="4" w:space="0" w:color="B2D673" w:themeColor="accent3"/>
                  </w:tcBorders>
                  <w:shd w:val="solid" w:color="B2D673" w:themeColor="accent3" w:fill="auto"/>
                </w:tcPr>
                <w:p w14:paraId="32E92941" w14:textId="77777777" w:rsidR="00BD720D" w:rsidRPr="00E4467D" w:rsidRDefault="00BD720D" w:rsidP="000D0DB7">
                  <w:pPr>
                    <w:pStyle w:val="TableBodyText"/>
                    <w:spacing w:before="40" w:line="220" w:lineRule="atLeast"/>
                    <w:jc w:val="left"/>
                    <w:rPr>
                      <w:i/>
                    </w:rPr>
                  </w:pPr>
                  <w:r w:rsidRPr="00E4467D">
                    <w:rPr>
                      <w:i/>
                    </w:rPr>
                    <w:t>Rural and urban water services are provided efficiently</w:t>
                  </w:r>
                </w:p>
              </w:tc>
            </w:tr>
            <w:tr w:rsidR="00BD720D" w14:paraId="32E92949" w14:textId="77777777" w:rsidTr="002378FD">
              <w:tc>
                <w:tcPr>
                  <w:tcW w:w="5000" w:type="pct"/>
                  <w:tcBorders>
                    <w:top w:val="single" w:sz="4" w:space="0" w:color="B2D673" w:themeColor="accent3"/>
                  </w:tcBorders>
                  <w:shd w:val="clear" w:color="auto" w:fill="auto"/>
                </w:tcPr>
                <w:p w14:paraId="32E92943" w14:textId="77777777" w:rsidR="0039248A" w:rsidRDefault="0039248A" w:rsidP="0028344D">
                  <w:pPr>
                    <w:pStyle w:val="TableBullet"/>
                    <w:numPr>
                      <w:ilvl w:val="0"/>
                      <w:numId w:val="0"/>
                    </w:numPr>
                    <w:tabs>
                      <w:tab w:val="left" w:pos="720"/>
                    </w:tabs>
                    <w:spacing w:line="220" w:lineRule="atLeast"/>
                  </w:pPr>
                  <w:r>
                    <w:t xml:space="preserve">Efficient delivery of infrastructure services has a direct </w:t>
                  </w:r>
                  <w:r w:rsidR="00626460">
                    <w:t>effect</w:t>
                  </w:r>
                  <w:r>
                    <w:t xml:space="preserve"> on the availability and cost of water. It is important that appropriate incentives are in place to ensure that those entities delivering water provide a reliable service, meet relevant sta</w:t>
                  </w:r>
                  <w:r w:rsidR="006251A3">
                    <w:t>ndards and plan for the future.</w:t>
                  </w:r>
                  <w:r>
                    <w:t xml:space="preserve"> </w:t>
                  </w:r>
                  <w:r w:rsidR="00384A74">
                    <w:t>A</w:t>
                  </w:r>
                  <w:r w:rsidR="00626460">
                    <w:t>mong other things, i</w:t>
                  </w:r>
                  <w:r>
                    <w:t xml:space="preserve">t is important that: </w:t>
                  </w:r>
                </w:p>
                <w:p w14:paraId="32E92944" w14:textId="77777777" w:rsidR="0039248A" w:rsidRDefault="0039248A" w:rsidP="0028344D">
                  <w:pPr>
                    <w:pStyle w:val="TableBullet"/>
                    <w:spacing w:line="220" w:lineRule="atLeast"/>
                  </w:pPr>
                  <w:r>
                    <w:t>the security, quality and cost of water services are balanced in accordance with consumer preferences</w:t>
                  </w:r>
                </w:p>
                <w:p w14:paraId="32E92945" w14:textId="72AF83FC" w:rsidR="0039248A" w:rsidRDefault="0039248A" w:rsidP="0028344D">
                  <w:pPr>
                    <w:pStyle w:val="TableBullet"/>
                    <w:spacing w:line="220" w:lineRule="atLeast"/>
                  </w:pPr>
                  <w:r>
                    <w:t xml:space="preserve">institutional and regulatory arrangements are adaptive and create clear roles and responsibilities for policy makers, regulators and services providers </w:t>
                  </w:r>
                </w:p>
                <w:p w14:paraId="32E92946" w14:textId="77777777" w:rsidR="0039248A" w:rsidRDefault="0039248A" w:rsidP="0028344D">
                  <w:pPr>
                    <w:pStyle w:val="TableBullet"/>
                    <w:spacing w:line="220" w:lineRule="atLeast"/>
                  </w:pPr>
                  <w:r>
                    <w:t>prices are cost reflective and there are limited cross subsidies in pricing regimes</w:t>
                  </w:r>
                </w:p>
                <w:p w14:paraId="32E92947" w14:textId="77777777" w:rsidR="0039248A" w:rsidRDefault="0039248A" w:rsidP="0028344D">
                  <w:pPr>
                    <w:pStyle w:val="TableBullet"/>
                    <w:spacing w:line="220" w:lineRule="atLeast"/>
                  </w:pPr>
                  <w:r>
                    <w:t>public health and environmental impacts are managed efficiently and in accordance with community expectations and standards</w:t>
                  </w:r>
                </w:p>
                <w:p w14:paraId="32E92948" w14:textId="40CB7F48" w:rsidR="00BD720D" w:rsidRDefault="00723CDF" w:rsidP="007645DF">
                  <w:pPr>
                    <w:pStyle w:val="TableBullet"/>
                    <w:spacing w:line="220" w:lineRule="atLeast"/>
                  </w:pPr>
                  <w:r>
                    <w:t>water service</w:t>
                  </w:r>
                  <w:r w:rsidR="007645DF">
                    <w:t xml:space="preserve"> provider</w:t>
                  </w:r>
                  <w:r>
                    <w:t xml:space="preserve">s consider </w:t>
                  </w:r>
                  <w:r w:rsidR="0039248A">
                    <w:t>integr</w:t>
                  </w:r>
                  <w:r w:rsidR="0025325A">
                    <w:t>ated water cycle management</w:t>
                  </w:r>
                  <w:r w:rsidR="007645DF">
                    <w:t xml:space="preserve"> in </w:t>
                  </w:r>
                  <w:r w:rsidR="00AA0FEB">
                    <w:t xml:space="preserve">their </w:t>
                  </w:r>
                  <w:r w:rsidR="007645DF">
                    <w:t>planning</w:t>
                  </w:r>
                  <w:r w:rsidR="003B3260">
                    <w:t>.</w:t>
                  </w:r>
                </w:p>
              </w:tc>
            </w:tr>
          </w:tbl>
          <w:p w14:paraId="32E9294A" w14:textId="77777777" w:rsidR="00BD049F" w:rsidRDefault="00BD049F" w:rsidP="00BD049F">
            <w:pPr>
              <w:pStyle w:val="Box"/>
            </w:pPr>
          </w:p>
        </w:tc>
      </w:tr>
      <w:tr w:rsidR="00BD049F" w14:paraId="32E9294D" w14:textId="77777777" w:rsidTr="00BD049F">
        <w:tc>
          <w:tcPr>
            <w:tcW w:w="8771" w:type="dxa"/>
            <w:tcBorders>
              <w:top w:val="nil"/>
              <w:left w:val="nil"/>
              <w:bottom w:val="single" w:sz="6" w:space="0" w:color="78A22F"/>
              <w:right w:val="nil"/>
            </w:tcBorders>
            <w:shd w:val="clear" w:color="auto" w:fill="auto"/>
          </w:tcPr>
          <w:p w14:paraId="32E9294C" w14:textId="77777777" w:rsidR="00BD049F" w:rsidRDefault="00BD049F" w:rsidP="00BD049F">
            <w:pPr>
              <w:pStyle w:val="Box"/>
              <w:spacing w:before="0" w:line="120" w:lineRule="exact"/>
            </w:pPr>
          </w:p>
        </w:tc>
      </w:tr>
      <w:tr w:rsidR="00BD049F" w:rsidRPr="000863A5" w14:paraId="32E9294F" w14:textId="77777777" w:rsidTr="00BD049F">
        <w:tc>
          <w:tcPr>
            <w:tcW w:w="8771" w:type="dxa"/>
            <w:tcBorders>
              <w:top w:val="single" w:sz="6" w:space="0" w:color="78A22F"/>
              <w:left w:val="nil"/>
              <w:bottom w:val="nil"/>
              <w:right w:val="nil"/>
            </w:tcBorders>
          </w:tcPr>
          <w:p w14:paraId="32E9294E" w14:textId="187C6969" w:rsidR="00BD049F" w:rsidRPr="00626D32" w:rsidRDefault="00BD049F" w:rsidP="00BD049F">
            <w:pPr>
              <w:pStyle w:val="BoxSpaceBelow"/>
            </w:pPr>
          </w:p>
        </w:tc>
      </w:tr>
    </w:tbl>
    <w:p w14:paraId="32E92951" w14:textId="001785F9" w:rsidR="006B7F8F" w:rsidRPr="004E3B94" w:rsidRDefault="006B7F8F" w:rsidP="006B7F8F">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6B7F8F" w14:paraId="32E92956" w14:textId="77777777" w:rsidTr="006B7F8F">
        <w:trPr>
          <w:cantSplit/>
          <w:tblHeader/>
        </w:trPr>
        <w:tc>
          <w:tcPr>
            <w:tcW w:w="8770" w:type="dxa"/>
            <w:tcBorders>
              <w:top w:val="single" w:sz="6" w:space="0" w:color="78A22F"/>
              <w:left w:val="nil"/>
              <w:bottom w:val="nil"/>
              <w:right w:val="nil"/>
            </w:tcBorders>
            <w:shd w:val="clear" w:color="auto" w:fill="auto"/>
          </w:tcPr>
          <w:p w14:paraId="32E92952" w14:textId="611FD45C" w:rsidR="006B7F8F" w:rsidRDefault="006170C4" w:rsidP="00621E66">
            <w:pPr>
              <w:pStyle w:val="InformationRequestTitle"/>
            </w:pPr>
            <w:r>
              <w:t>information request</w:t>
            </w:r>
          </w:p>
          <w:p w14:paraId="7C7508C0" w14:textId="1E2ECEA1" w:rsidR="00CA0A45" w:rsidRPr="00621E66" w:rsidRDefault="00CA0A45" w:rsidP="00CA0A45">
            <w:pPr>
              <w:pStyle w:val="InformationRequest"/>
            </w:pPr>
            <w:r>
              <w:t>The Commission welcomes feedback on:</w:t>
            </w:r>
          </w:p>
          <w:p w14:paraId="32E92953" w14:textId="054AE465" w:rsidR="006B7F8F" w:rsidRDefault="00CA0A45" w:rsidP="006B7F8F">
            <w:pPr>
              <w:pStyle w:val="InformationRequestBullet"/>
            </w:pPr>
            <w:r>
              <w:t>the</w:t>
            </w:r>
            <w:r w:rsidR="006B7F8F" w:rsidRPr="00BB01B3">
              <w:t xml:space="preserve"> </w:t>
            </w:r>
            <w:r w:rsidR="00190DEA">
              <w:t>preliminary</w:t>
            </w:r>
            <w:r w:rsidR="00190DEA" w:rsidRPr="00BB01B3">
              <w:t xml:space="preserve"> </w:t>
            </w:r>
            <w:r w:rsidR="006B7F8F" w:rsidRPr="00BB01B3">
              <w:t>framework</w:t>
            </w:r>
            <w:r w:rsidR="00706664">
              <w:t xml:space="preserve"> </w:t>
            </w:r>
            <w:r w:rsidR="002C7322">
              <w:t>(table 1)</w:t>
            </w:r>
          </w:p>
          <w:p w14:paraId="32E92954" w14:textId="74060156" w:rsidR="006B7F8F" w:rsidRDefault="006B7F8F" w:rsidP="006B7F8F">
            <w:pPr>
              <w:pStyle w:val="InformationRequestBullet"/>
            </w:pPr>
            <w:r>
              <w:t xml:space="preserve">priority areas for </w:t>
            </w:r>
            <w:r w:rsidR="007B1BFD">
              <w:t xml:space="preserve">water </w:t>
            </w:r>
            <w:r>
              <w:t>reform</w:t>
            </w:r>
          </w:p>
          <w:p w14:paraId="32E92955" w14:textId="52A570E4" w:rsidR="0036359F" w:rsidRPr="0036359F" w:rsidRDefault="0036359F" w:rsidP="0036359F">
            <w:pPr>
              <w:pStyle w:val="InformationRequestBullet"/>
            </w:pPr>
            <w:r w:rsidRPr="007B1BFD">
              <w:t>key contemporary</w:t>
            </w:r>
            <w:r w:rsidR="0043153E">
              <w:t xml:space="preserve"> and future</w:t>
            </w:r>
            <w:r w:rsidRPr="007B1BFD">
              <w:t xml:space="preserve"> drivers of water reform</w:t>
            </w:r>
            <w:r w:rsidR="00556E18">
              <w:t>.</w:t>
            </w:r>
          </w:p>
        </w:tc>
      </w:tr>
      <w:tr w:rsidR="006B7F8F" w14:paraId="32E92958" w14:textId="77777777" w:rsidTr="006B7F8F">
        <w:tc>
          <w:tcPr>
            <w:tcW w:w="8770" w:type="dxa"/>
            <w:tcBorders>
              <w:top w:val="nil"/>
              <w:left w:val="nil"/>
              <w:bottom w:val="single" w:sz="6" w:space="0" w:color="78A22F"/>
              <w:right w:val="nil"/>
            </w:tcBorders>
            <w:shd w:val="clear" w:color="auto" w:fill="auto"/>
          </w:tcPr>
          <w:p w14:paraId="32E92957" w14:textId="77777777" w:rsidR="006B7F8F" w:rsidRDefault="006B7F8F" w:rsidP="006B7F8F">
            <w:pPr>
              <w:pStyle w:val="Space"/>
              <w:keepLines/>
            </w:pPr>
          </w:p>
        </w:tc>
      </w:tr>
      <w:tr w:rsidR="006B7F8F" w:rsidRPr="000863A5" w14:paraId="32E9295A" w14:textId="77777777" w:rsidTr="006B7F8F">
        <w:tc>
          <w:tcPr>
            <w:tcW w:w="8770" w:type="dxa"/>
            <w:tcBorders>
              <w:top w:val="single" w:sz="6" w:space="0" w:color="78A22F"/>
              <w:left w:val="nil"/>
              <w:bottom w:val="nil"/>
              <w:right w:val="nil"/>
            </w:tcBorders>
          </w:tcPr>
          <w:p w14:paraId="32E92959" w14:textId="522A01CE" w:rsidR="006B7F8F" w:rsidRPr="00626D32" w:rsidRDefault="006B7F8F" w:rsidP="006B7F8F">
            <w:pPr>
              <w:pStyle w:val="BoxSpaceBelow"/>
              <w:keepLines/>
            </w:pPr>
          </w:p>
        </w:tc>
      </w:tr>
    </w:tbl>
    <w:p w14:paraId="32E9295B" w14:textId="56C073C7" w:rsidR="00F5344B" w:rsidRDefault="00B11167" w:rsidP="00273709">
      <w:pPr>
        <w:pStyle w:val="Heading2"/>
      </w:pPr>
      <w:bookmarkStart w:id="165" w:name="_Toc475361576"/>
      <w:bookmarkStart w:id="166" w:name="_Toc475614198"/>
      <w:bookmarkStart w:id="167" w:name="_Toc475628045"/>
      <w:bookmarkStart w:id="168" w:name="_Toc475628218"/>
      <w:bookmarkStart w:id="169" w:name="_Toc475634089"/>
      <w:bookmarkStart w:id="170" w:name="_Toc476307171"/>
      <w:bookmarkStart w:id="171" w:name="_Toc476307302"/>
      <w:bookmarkStart w:id="172" w:name="_Toc476308489"/>
      <w:bookmarkStart w:id="173" w:name="_Toc476309083"/>
      <w:bookmarkStart w:id="174" w:name="_Toc476312557"/>
      <w:bookmarkStart w:id="175" w:name="_Toc476312795"/>
      <w:bookmarkStart w:id="176" w:name="_Toc476312869"/>
      <w:bookmarkStart w:id="177" w:name="_Toc476318442"/>
      <w:bookmarkStart w:id="178" w:name="_Toc476320083"/>
      <w:bookmarkStart w:id="179" w:name="_Toc476322769"/>
      <w:bookmarkStart w:id="180" w:name="_Toc476324735"/>
      <w:bookmarkStart w:id="181" w:name="_Toc476326762"/>
      <w:bookmarkStart w:id="182" w:name="_Toc476907459"/>
      <w:bookmarkStart w:id="183" w:name="_Toc476910685"/>
      <w:bookmarkStart w:id="184" w:name="_Toc476910770"/>
      <w:bookmarkStart w:id="185" w:name="_Toc476915255"/>
      <w:bookmarkStart w:id="186" w:name="_Toc476916212"/>
      <w:bookmarkStart w:id="187" w:name="_Toc476916331"/>
      <w:r>
        <w:rPr>
          <w:noProof/>
        </w:rPr>
        <w:t>5</w:t>
      </w:r>
      <w:r w:rsidR="00EC4988">
        <w:tab/>
        <w:t>Water resource management</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32E9295C" w14:textId="77777777" w:rsidR="00C62E53" w:rsidRDefault="00C62E53" w:rsidP="000D0DB7">
      <w:pPr>
        <w:pStyle w:val="Heading3"/>
        <w:spacing w:before="280"/>
      </w:pPr>
      <w:r>
        <w:t>Property rights</w:t>
      </w:r>
    </w:p>
    <w:p w14:paraId="32E9295D" w14:textId="755BED4C" w:rsidR="00C62E53" w:rsidRDefault="00C62E53" w:rsidP="00C62E53">
      <w:pPr>
        <w:pStyle w:val="BodyText"/>
      </w:pPr>
      <w:r>
        <w:t xml:space="preserve">The </w:t>
      </w:r>
      <w:proofErr w:type="spellStart"/>
      <w:r>
        <w:t>NWI</w:t>
      </w:r>
      <w:proofErr w:type="spellEnd"/>
      <w:r>
        <w:t xml:space="preserve"> seeks to establish clear and secure property rights to water through </w:t>
      </w:r>
      <w:r w:rsidRPr="00AB0713">
        <w:t>statutory water entitlements</w:t>
      </w:r>
      <w:r>
        <w:t>.</w:t>
      </w:r>
      <w:r w:rsidRPr="00AB0713">
        <w:t xml:space="preserve"> </w:t>
      </w:r>
      <w:r>
        <w:t xml:space="preserve">The </w:t>
      </w:r>
      <w:proofErr w:type="spellStart"/>
      <w:r>
        <w:t>NWI</w:t>
      </w:r>
      <w:proofErr w:type="spellEnd"/>
      <w:r>
        <w:t xml:space="preserve"> envisages water entitlements that are separate from land and defined </w:t>
      </w:r>
      <w:r w:rsidRPr="008E1287">
        <w:t>as a perpetual or open</w:t>
      </w:r>
      <w:r w:rsidR="00396CA0">
        <w:noBreakHyphen/>
      </w:r>
      <w:r w:rsidRPr="008E1287">
        <w:t xml:space="preserve">ended share </w:t>
      </w:r>
      <w:r w:rsidRPr="00D16E2F">
        <w:t>of the water available for consumption in a given system</w:t>
      </w:r>
      <w:r>
        <w:t xml:space="preserve">. It specifies that entitlements should (among other things) be </w:t>
      </w:r>
      <w:r w:rsidRPr="00D16E2F">
        <w:t>exclusive,</w:t>
      </w:r>
      <w:r>
        <w:t xml:space="preserve"> </w:t>
      </w:r>
      <w:r w:rsidRPr="00D16E2F">
        <w:t>tradeable,</w:t>
      </w:r>
      <w:r w:rsidRPr="00001007">
        <w:t xml:space="preserve"> </w:t>
      </w:r>
      <w:proofErr w:type="spellStart"/>
      <w:r w:rsidRPr="00D16E2F">
        <w:t>mortgageable</w:t>
      </w:r>
      <w:proofErr w:type="spellEnd"/>
      <w:r>
        <w:t xml:space="preserve"> and</w:t>
      </w:r>
      <w:r w:rsidRPr="00D16E2F">
        <w:t xml:space="preserve"> </w:t>
      </w:r>
      <w:r>
        <w:t xml:space="preserve">enforceable and </w:t>
      </w:r>
      <w:r w:rsidRPr="0028473D">
        <w:t>specify the essential characteristics of the water product</w:t>
      </w:r>
      <w:r>
        <w:t>.</w:t>
      </w:r>
    </w:p>
    <w:p w14:paraId="32E9295E" w14:textId="77777777" w:rsidR="00C62E53" w:rsidRDefault="00C62E53" w:rsidP="00C62E53">
      <w:pPr>
        <w:pStyle w:val="BodyText"/>
      </w:pPr>
      <w:proofErr w:type="spellStart"/>
      <w:r>
        <w:t>NWI</w:t>
      </w:r>
      <w:proofErr w:type="spellEnd"/>
      <w:r w:rsidRPr="003127A5">
        <w:t xml:space="preserve"> </w:t>
      </w:r>
      <w:r>
        <w:t>p</w:t>
      </w:r>
      <w:r w:rsidRPr="003127A5">
        <w:t xml:space="preserve">arties </w:t>
      </w:r>
      <w:r>
        <w:t xml:space="preserve">also </w:t>
      </w:r>
      <w:r w:rsidRPr="003127A5">
        <w:t>recognise</w:t>
      </w:r>
      <w:r>
        <w:t>d</w:t>
      </w:r>
      <w:r w:rsidRPr="003127A5">
        <w:t xml:space="preserve"> that a number of land use change activities</w:t>
      </w:r>
      <w:r>
        <w:t xml:space="preserve"> (many of which are </w:t>
      </w:r>
      <w:r w:rsidRPr="003127A5">
        <w:t>undertaken wit</w:t>
      </w:r>
      <w:r>
        <w:t>hout a water access entitlement) have</w:t>
      </w:r>
      <w:r w:rsidRPr="003127A5">
        <w:t xml:space="preserve"> potential to intercept significant volumes of surface and/or groun</w:t>
      </w:r>
      <w:r>
        <w:t xml:space="preserve">d water. They therefore </w:t>
      </w:r>
      <w:r w:rsidRPr="00CF1A07">
        <w:t>agreed to plan for and regulate interception activities</w:t>
      </w:r>
      <w:r>
        <w:t xml:space="preserve"> </w:t>
      </w:r>
      <w:r w:rsidRPr="00CF1A07">
        <w:t>to maintain the integrity of water access entitlements and achieve environmental objectives for water systems</w:t>
      </w:r>
      <w:r>
        <w:t xml:space="preserve">. </w:t>
      </w:r>
    </w:p>
    <w:p w14:paraId="32E9295F" w14:textId="7835EA8F" w:rsidR="00C62E53" w:rsidRPr="00F740CB" w:rsidRDefault="00C62E53" w:rsidP="00C62E53">
      <w:pPr>
        <w:pStyle w:val="BodyText"/>
      </w:pPr>
      <w:r>
        <w:t xml:space="preserve">The </w:t>
      </w:r>
      <w:proofErr w:type="spellStart"/>
      <w:r>
        <w:t>NWC</w:t>
      </w:r>
      <w:proofErr w:type="spellEnd"/>
      <w:r>
        <w:t xml:space="preserve"> found that ‘a</w:t>
      </w:r>
      <w:r w:rsidRPr="0019601E">
        <w:t xml:space="preserve"> robust statutory</w:t>
      </w:r>
      <w:r w:rsidR="00396CA0">
        <w:noBreakHyphen/>
      </w:r>
      <w:r w:rsidRPr="0019601E">
        <w:t>based entitl</w:t>
      </w:r>
      <w:r>
        <w:t>ements and planning framework is</w:t>
      </w:r>
      <w:r w:rsidRPr="0019601E">
        <w:t xml:space="preserve"> in place in most jurisdictions</w:t>
      </w:r>
      <w:r>
        <w:t xml:space="preserve">’ but further work is required in some areas </w:t>
      </w:r>
      <w:r w:rsidRPr="00351F6F">
        <w:rPr>
          <w:szCs w:val="24"/>
        </w:rPr>
        <w:t>(</w:t>
      </w:r>
      <w:proofErr w:type="spellStart"/>
      <w:r w:rsidRPr="00351F6F">
        <w:rPr>
          <w:szCs w:val="24"/>
        </w:rPr>
        <w:t>2014b</w:t>
      </w:r>
      <w:proofErr w:type="spellEnd"/>
      <w:r w:rsidRPr="00351F6F">
        <w:rPr>
          <w:szCs w:val="24"/>
        </w:rPr>
        <w:t>, p. 40)</w:t>
      </w:r>
      <w:r>
        <w:t xml:space="preserve">. For example, the </w:t>
      </w:r>
      <w:proofErr w:type="spellStart"/>
      <w:r>
        <w:t>NWC</w:t>
      </w:r>
      <w:proofErr w:type="spellEnd"/>
      <w:r>
        <w:t xml:space="preserve"> noted that</w:t>
      </w:r>
      <w:r w:rsidR="00D7620E">
        <w:t>,</w:t>
      </w:r>
      <w:r>
        <w:t xml:space="preserve"> while the </w:t>
      </w:r>
      <w:r w:rsidRPr="006A3024">
        <w:rPr>
          <w:i/>
        </w:rPr>
        <w:t>Water Act 1992</w:t>
      </w:r>
      <w:r>
        <w:rPr>
          <w:i/>
        </w:rPr>
        <w:t xml:space="preserve"> </w:t>
      </w:r>
      <w:r w:rsidRPr="00D61437">
        <w:t>(NT)</w:t>
      </w:r>
      <w:r>
        <w:t xml:space="preserve"> provides for statutory water licences that are a share of the consumptive pool, these licences are only issued at the point of extraction and are usually issued for only 10 years at a time. Similarly, it was flagged that entitlements issued under the </w:t>
      </w:r>
      <w:r w:rsidRPr="006A3024">
        <w:rPr>
          <w:i/>
        </w:rPr>
        <w:t>Rights in Water and Irrigation Act 1914</w:t>
      </w:r>
      <w:r>
        <w:t xml:space="preserve"> (WA) ‘are restricted to 10 years and water take requires legal access to land’ </w:t>
      </w:r>
      <w:r w:rsidRPr="00351F6F">
        <w:rPr>
          <w:szCs w:val="24"/>
        </w:rPr>
        <w:t>(</w:t>
      </w:r>
      <w:proofErr w:type="spellStart"/>
      <w:r w:rsidRPr="00351F6F">
        <w:rPr>
          <w:szCs w:val="24"/>
        </w:rPr>
        <w:t>2014b</w:t>
      </w:r>
      <w:proofErr w:type="spellEnd"/>
      <w:r w:rsidRPr="00351F6F">
        <w:rPr>
          <w:szCs w:val="24"/>
        </w:rPr>
        <w:t>, p. 26)</w:t>
      </w:r>
      <w:r>
        <w:t>.</w:t>
      </w:r>
    </w:p>
    <w:p w14:paraId="32E92960" w14:textId="77777777" w:rsidR="00C62E53" w:rsidRDefault="00C62E53" w:rsidP="00C62E53">
      <w:pPr>
        <w:pStyle w:val="BodyText"/>
      </w:pPr>
      <w:r>
        <w:t xml:space="preserve">Other issues flagged by the </w:t>
      </w:r>
      <w:proofErr w:type="spellStart"/>
      <w:r>
        <w:t>NWC</w:t>
      </w:r>
      <w:proofErr w:type="spellEnd"/>
      <w:r>
        <w:t xml:space="preserve"> as warranting further attention with respect to property rights for water include:</w:t>
      </w:r>
    </w:p>
    <w:p w14:paraId="32E92961" w14:textId="77777777" w:rsidR="00C62E53" w:rsidRDefault="00C62E53" w:rsidP="00C62E53">
      <w:pPr>
        <w:pStyle w:val="ListBullet"/>
      </w:pPr>
      <w:r>
        <w:t xml:space="preserve">the need for </w:t>
      </w:r>
      <w:r w:rsidRPr="00F740CB">
        <w:t>further unbundling of entitlements in unregulated surface water</w:t>
      </w:r>
      <w:r>
        <w:t xml:space="preserve"> —</w:t>
      </w:r>
      <w:r w:rsidRPr="00F740CB">
        <w:t xml:space="preserve"> as well as groundwater</w:t>
      </w:r>
      <w:r>
        <w:t xml:space="preserve"> —</w:t>
      </w:r>
      <w:r w:rsidRPr="00F740CB">
        <w:t xml:space="preserve"> systems</w:t>
      </w:r>
      <w:r>
        <w:t>,</w:t>
      </w:r>
      <w:r w:rsidRPr="00F740CB">
        <w:t xml:space="preserve"> subject to an evaluation of cost effectiveness</w:t>
      </w:r>
    </w:p>
    <w:p w14:paraId="32E92962" w14:textId="77777777" w:rsidR="00C62E53" w:rsidRDefault="00C62E53" w:rsidP="00AB4959">
      <w:pPr>
        <w:pStyle w:val="ListBullet"/>
      </w:pPr>
      <w:r>
        <w:t xml:space="preserve">in jurisdictions where this is not yet in place, </w:t>
      </w:r>
      <w:r w:rsidRPr="00196C53">
        <w:t>incorporation of all water uses, including that for extractive industries</w:t>
      </w:r>
      <w:r>
        <w:t xml:space="preserve"> (such as mining)</w:t>
      </w:r>
      <w:r w:rsidRPr="00196C53">
        <w:t>, within the one water planning framework</w:t>
      </w:r>
      <w:r w:rsidR="00AB4959">
        <w:t>.</w:t>
      </w:r>
    </w:p>
    <w:p w14:paraId="32E92963" w14:textId="77777777" w:rsidR="00C62E53" w:rsidRDefault="00C62E53" w:rsidP="00C62E53">
      <w:pPr>
        <w:pStyle w:val="BodyText"/>
      </w:pPr>
      <w:r>
        <w:t>Areas where further reform may be warranted are discussed below.</w:t>
      </w:r>
      <w:r w:rsidRPr="007E402E">
        <w:t xml:space="preserve"> </w:t>
      </w:r>
    </w:p>
    <w:p w14:paraId="32E92964" w14:textId="77777777" w:rsidR="00C62E53" w:rsidRDefault="00C62E53" w:rsidP="00C62E53">
      <w:pPr>
        <w:pStyle w:val="Heading4"/>
      </w:pPr>
      <w:r>
        <w:lastRenderedPageBreak/>
        <w:t xml:space="preserve">Incorporating </w:t>
      </w:r>
      <w:r w:rsidRPr="00196C53">
        <w:t>extractive industries</w:t>
      </w:r>
      <w:r>
        <w:t xml:space="preserve"> into the planning and entitlement framework</w:t>
      </w:r>
    </w:p>
    <w:p w14:paraId="32E92965" w14:textId="098F296D" w:rsidR="00C62E53" w:rsidRPr="00230D44" w:rsidRDefault="00C62E53" w:rsidP="00C62E53">
      <w:pPr>
        <w:pStyle w:val="BodyText"/>
      </w:pPr>
      <w:r w:rsidRPr="00230D44">
        <w:t xml:space="preserve">The </w:t>
      </w:r>
      <w:proofErr w:type="spellStart"/>
      <w:r w:rsidRPr="00230D44">
        <w:t>NWI</w:t>
      </w:r>
      <w:proofErr w:type="spellEnd"/>
      <w:r w:rsidRPr="00230D44">
        <w:t xml:space="preserve"> recognises</w:t>
      </w:r>
      <w:r w:rsidRPr="00AD0F09">
        <w:t xml:space="preserve"> </w:t>
      </w:r>
      <w:r w:rsidR="00E71194">
        <w:t xml:space="preserve">that </w:t>
      </w:r>
      <w:r w:rsidRPr="00230D44">
        <w:t xml:space="preserve">the specific circumstances of </w:t>
      </w:r>
      <w:r>
        <w:t xml:space="preserve">the </w:t>
      </w:r>
      <w:r w:rsidRPr="00230D44">
        <w:t xml:space="preserve">mineral and petroleum sectors </w:t>
      </w:r>
      <w:r>
        <w:t xml:space="preserve">may require </w:t>
      </w:r>
      <w:r w:rsidRPr="00230D44">
        <w:t>flexible management arrangements</w:t>
      </w:r>
      <w:r>
        <w:t xml:space="preserve">. </w:t>
      </w:r>
      <w:r w:rsidRPr="00230D44">
        <w:t>The nature</w:t>
      </w:r>
      <w:r>
        <w:t xml:space="preserve"> of </w:t>
      </w:r>
      <w:r w:rsidRPr="00230D44">
        <w:t xml:space="preserve">water extraction </w:t>
      </w:r>
      <w:r>
        <w:t>by</w:t>
      </w:r>
      <w:r w:rsidRPr="00230D44">
        <w:t xml:space="preserve"> the mining, petroleum and unconventional gas sectors</w:t>
      </w:r>
      <w:r>
        <w:t xml:space="preserve"> </w:t>
      </w:r>
      <w:r w:rsidRPr="00230D44">
        <w:t>—</w:t>
      </w:r>
      <w:r>
        <w:t xml:space="preserve"> </w:t>
      </w:r>
      <w:r w:rsidRPr="00230D44">
        <w:t>particularly for mine dewatering and depressurisation of coal seams</w:t>
      </w:r>
      <w:r>
        <w:t xml:space="preserve"> </w:t>
      </w:r>
      <w:r w:rsidRPr="00230D44">
        <w:t>—</w:t>
      </w:r>
      <w:r>
        <w:t xml:space="preserve"> can make it difficult to predict takes and manage</w:t>
      </w:r>
      <w:r w:rsidRPr="00230D44">
        <w:t xml:space="preserve"> impacts</w:t>
      </w:r>
      <w:r w:rsidR="000A22DB">
        <w:t xml:space="preserve"> </w:t>
      </w:r>
      <w:r w:rsidR="00002981" w:rsidRPr="00002981">
        <w:rPr>
          <w:szCs w:val="24"/>
        </w:rPr>
        <w:t>(</w:t>
      </w:r>
      <w:proofErr w:type="spellStart"/>
      <w:r w:rsidR="00002981" w:rsidRPr="00002981">
        <w:rPr>
          <w:szCs w:val="24"/>
        </w:rPr>
        <w:t>NWC</w:t>
      </w:r>
      <w:proofErr w:type="spellEnd"/>
      <w:r w:rsidR="00002981" w:rsidRPr="00002981">
        <w:rPr>
          <w:szCs w:val="24"/>
        </w:rPr>
        <w:t> </w:t>
      </w:r>
      <w:proofErr w:type="spellStart"/>
      <w:r w:rsidR="00002981" w:rsidRPr="00002981">
        <w:rPr>
          <w:szCs w:val="24"/>
        </w:rPr>
        <w:t>2014b</w:t>
      </w:r>
      <w:proofErr w:type="spellEnd"/>
      <w:r w:rsidR="00002981" w:rsidRPr="00002981">
        <w:rPr>
          <w:szCs w:val="24"/>
        </w:rPr>
        <w:t>)</w:t>
      </w:r>
      <w:r w:rsidRPr="00230D44">
        <w:t>.</w:t>
      </w:r>
    </w:p>
    <w:p w14:paraId="32E92966" w14:textId="3C75B5A9" w:rsidR="00C62E53" w:rsidRDefault="00C62E53" w:rsidP="00C62E53">
      <w:pPr>
        <w:pStyle w:val="BodyText"/>
      </w:pPr>
      <w:r>
        <w:t xml:space="preserve">In its 2014 assessment of water for mining and unconventional gas, the </w:t>
      </w:r>
      <w:proofErr w:type="spellStart"/>
      <w:r>
        <w:t>NWC</w:t>
      </w:r>
      <w:proofErr w:type="spellEnd"/>
      <w:r>
        <w:t xml:space="preserve"> found v</w:t>
      </w:r>
      <w:r w:rsidRPr="00230D44">
        <w:t>aried interpre</w:t>
      </w:r>
      <w:r>
        <w:t xml:space="preserve">tations of </w:t>
      </w:r>
      <w:proofErr w:type="spellStart"/>
      <w:r>
        <w:t>NWI</w:t>
      </w:r>
      <w:proofErr w:type="spellEnd"/>
      <w:r>
        <w:t xml:space="preserve"> requirements have </w:t>
      </w:r>
      <w:r w:rsidRPr="00230D44">
        <w:t>led to alternative water rights arrangements for extractive industries</w:t>
      </w:r>
      <w:r>
        <w:t xml:space="preserve"> in some cases (for example, in 2014 water entitlements we</w:t>
      </w:r>
      <w:r w:rsidRPr="00230D44">
        <w:t>re not required for petroleum operations in Queensland or for mining and petroleum operations in the Northern Territory</w:t>
      </w:r>
      <w:r>
        <w:t xml:space="preserve">) </w:t>
      </w:r>
      <w:r>
        <w:rPr>
          <w:szCs w:val="24"/>
        </w:rPr>
        <w:t>(</w:t>
      </w:r>
      <w:proofErr w:type="spellStart"/>
      <w:r>
        <w:rPr>
          <w:szCs w:val="24"/>
        </w:rPr>
        <w:t>NWC</w:t>
      </w:r>
      <w:proofErr w:type="spellEnd"/>
      <w:r>
        <w:rPr>
          <w:szCs w:val="24"/>
        </w:rPr>
        <w:t> </w:t>
      </w:r>
      <w:proofErr w:type="spellStart"/>
      <w:r>
        <w:rPr>
          <w:szCs w:val="24"/>
        </w:rPr>
        <w:t>2014c</w:t>
      </w:r>
      <w:proofErr w:type="spellEnd"/>
      <w:r>
        <w:rPr>
          <w:szCs w:val="24"/>
        </w:rPr>
        <w:t>)</w:t>
      </w:r>
      <w:r w:rsidRPr="00230D44">
        <w:t xml:space="preserve">. </w:t>
      </w:r>
      <w:r>
        <w:t xml:space="preserve">The </w:t>
      </w:r>
      <w:proofErr w:type="spellStart"/>
      <w:r>
        <w:t>NWC</w:t>
      </w:r>
      <w:proofErr w:type="spellEnd"/>
      <w:r>
        <w:t xml:space="preserve"> argued </w:t>
      </w:r>
      <w:r w:rsidRPr="00230D44">
        <w:t xml:space="preserve">these alternative arrangements </w:t>
      </w:r>
      <w:r>
        <w:t>risked undermining</w:t>
      </w:r>
      <w:r w:rsidRPr="00230D44">
        <w:t xml:space="preserve"> parallel </w:t>
      </w:r>
      <w:proofErr w:type="spellStart"/>
      <w:r w:rsidRPr="00230D44">
        <w:t>NWI</w:t>
      </w:r>
      <w:proofErr w:type="spellEnd"/>
      <w:r w:rsidR="003F5FF6">
        <w:noBreakHyphen/>
      </w:r>
      <w:r w:rsidRPr="00230D44">
        <w:t>consistent arrangements for other sectors by reducing transparency and eroding confidence in the capacity of water entitlement and planning systems to effectiv</w:t>
      </w:r>
      <w:r>
        <w:t>ely manage water for all users.</w:t>
      </w:r>
    </w:p>
    <w:p w14:paraId="32E92967" w14:textId="4DB8537D" w:rsidR="00C62E53" w:rsidRDefault="00C62E53" w:rsidP="00C62E53">
      <w:pPr>
        <w:pStyle w:val="BodyText"/>
      </w:pPr>
      <w:r>
        <w:t xml:space="preserve">Initial consultation suggests some participants remain concerned about the risks of </w:t>
      </w:r>
      <w:r w:rsidRPr="00230D44">
        <w:t>alternative water rights arrangements for extractive industries</w:t>
      </w:r>
      <w:r>
        <w:t xml:space="preserve">. </w:t>
      </w:r>
      <w:r w:rsidRPr="001131DF">
        <w:t xml:space="preserve">Some </w:t>
      </w:r>
      <w:r>
        <w:t>participants</w:t>
      </w:r>
      <w:r w:rsidRPr="001131DF">
        <w:t xml:space="preserve"> </w:t>
      </w:r>
      <w:r>
        <w:t xml:space="preserve">highlighted </w:t>
      </w:r>
      <w:r w:rsidR="00E71194">
        <w:t xml:space="preserve">that </w:t>
      </w:r>
      <w:r w:rsidRPr="001131DF">
        <w:t xml:space="preserve">there may also be scope to extend the coverage of entitlement </w:t>
      </w:r>
      <w:r>
        <w:t xml:space="preserve">regimes to </w:t>
      </w:r>
      <w:r w:rsidRPr="001131DF">
        <w:t>activities</w:t>
      </w:r>
      <w:r>
        <w:t xml:space="preserve"> that intercept large amounts of water</w:t>
      </w:r>
      <w:r w:rsidRPr="001131DF">
        <w:t xml:space="preserve"> (</w:t>
      </w:r>
      <w:r>
        <w:t xml:space="preserve">as occurs for some </w:t>
      </w:r>
      <w:r w:rsidRPr="001131DF">
        <w:t>plantation forestry)</w:t>
      </w:r>
      <w:r>
        <w:t xml:space="preserve"> where this has not already been done</w:t>
      </w:r>
      <w:r w:rsidRPr="001131DF">
        <w:t xml:space="preserve">. </w:t>
      </w:r>
    </w:p>
    <w:p w14:paraId="32E92968" w14:textId="77777777" w:rsidR="00C62E53" w:rsidRDefault="00C62E53" w:rsidP="00C62E53">
      <w:pPr>
        <w:pStyle w:val="Heading4"/>
      </w:pPr>
      <w:r>
        <w:t xml:space="preserve">Entitlements for alternative water sources </w:t>
      </w:r>
    </w:p>
    <w:p w14:paraId="32E92969" w14:textId="77777777" w:rsidR="00C62E53" w:rsidRDefault="00C62E53" w:rsidP="00C62E53">
      <w:pPr>
        <w:pStyle w:val="BodyText"/>
        <w:rPr>
          <w:szCs w:val="24"/>
        </w:rPr>
      </w:pPr>
      <w:r>
        <w:t xml:space="preserve">Some participants have questioned whether </w:t>
      </w:r>
      <w:r w:rsidRPr="003000A7">
        <w:t>entitlement frameworks provide</w:t>
      </w:r>
      <w:r>
        <w:t xml:space="preserve"> sufficient </w:t>
      </w:r>
      <w:r w:rsidRPr="003000A7">
        <w:t xml:space="preserve">certainty for </w:t>
      </w:r>
      <w:r>
        <w:t xml:space="preserve">alternative water sources such as stormwater and managed aquifer recharge, which may be used to supplement surface and groundwater supplies. </w:t>
      </w:r>
      <w:r w:rsidR="007414C5">
        <w:t>T</w:t>
      </w:r>
      <w:r>
        <w:t xml:space="preserve">he Commission welcomes </w:t>
      </w:r>
      <w:r w:rsidR="003A033B">
        <w:t xml:space="preserve">any </w:t>
      </w:r>
      <w:r>
        <w:t>information</w:t>
      </w:r>
      <w:r w:rsidR="003C69E2">
        <w:t xml:space="preserve"> on</w:t>
      </w:r>
      <w:r>
        <w:t xml:space="preserve"> recent developments and thinking in this area.</w:t>
      </w:r>
    </w:p>
    <w:p w14:paraId="32E9296A" w14:textId="0C2EED97" w:rsidR="00C62E53" w:rsidRPr="004E3B94" w:rsidRDefault="00C62E53" w:rsidP="00C62E53">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C62E53" w14:paraId="32E92970" w14:textId="77777777" w:rsidTr="00C62E53">
        <w:trPr>
          <w:cantSplit/>
          <w:tblHeader/>
        </w:trPr>
        <w:tc>
          <w:tcPr>
            <w:tcW w:w="8770" w:type="dxa"/>
            <w:tcBorders>
              <w:top w:val="single" w:sz="6" w:space="0" w:color="78A22F"/>
              <w:left w:val="nil"/>
              <w:bottom w:val="nil"/>
              <w:right w:val="nil"/>
            </w:tcBorders>
            <w:shd w:val="clear" w:color="auto" w:fill="auto"/>
          </w:tcPr>
          <w:p w14:paraId="32E9296B" w14:textId="1D22AEAE" w:rsidR="00C62E53" w:rsidRPr="004064D1" w:rsidRDefault="00D10901" w:rsidP="00386DE0">
            <w:pPr>
              <w:pStyle w:val="InformationRequestTitle"/>
            </w:pPr>
            <w:r>
              <w:t>information request</w:t>
            </w:r>
          </w:p>
          <w:p w14:paraId="32E9296C" w14:textId="0ABE4AA9" w:rsidR="00C62E53" w:rsidRDefault="00C62E53" w:rsidP="00DF139C">
            <w:pPr>
              <w:pStyle w:val="InformationRequestBullet"/>
            </w:pPr>
            <w:r>
              <w:t xml:space="preserve">What further actions are needed to achieve </w:t>
            </w:r>
            <w:r w:rsidRPr="00F740CB">
              <w:t>clea</w:t>
            </w:r>
            <w:r>
              <w:t>r and secure property rights?</w:t>
            </w:r>
          </w:p>
          <w:p w14:paraId="66ADCDE1" w14:textId="77777777" w:rsidR="00DF139C" w:rsidRDefault="00DF139C" w:rsidP="00DF139C">
            <w:pPr>
              <w:pStyle w:val="InformationRequestBullet"/>
            </w:pPr>
            <w:r>
              <w:t xml:space="preserve">What steps have been taken — or should be taken — to: </w:t>
            </w:r>
          </w:p>
          <w:p w14:paraId="34C01EF5" w14:textId="77777777" w:rsidR="00DF139C" w:rsidRPr="00DF139C" w:rsidRDefault="00DF139C" w:rsidP="00DF139C">
            <w:pPr>
              <w:pStyle w:val="ListBullet2"/>
              <w:rPr>
                <w:rFonts w:asciiTheme="majorHAnsi" w:hAnsiTheme="majorHAnsi" w:cstheme="majorHAnsi"/>
                <w:i/>
                <w:sz w:val="22"/>
                <w:szCs w:val="22"/>
              </w:rPr>
            </w:pPr>
            <w:r w:rsidRPr="00DF139C">
              <w:rPr>
                <w:rFonts w:asciiTheme="majorHAnsi" w:hAnsiTheme="majorHAnsi" w:cstheme="majorHAnsi"/>
                <w:i/>
                <w:sz w:val="22"/>
                <w:szCs w:val="22"/>
              </w:rPr>
              <w:t>unbundle entitlements in unregulated surface water and groundwater systems?</w:t>
            </w:r>
          </w:p>
          <w:p w14:paraId="49707E43" w14:textId="77777777" w:rsidR="00DF139C" w:rsidRPr="00DF139C" w:rsidRDefault="00DF139C" w:rsidP="00DF139C">
            <w:pPr>
              <w:pStyle w:val="ListBullet2"/>
              <w:rPr>
                <w:rFonts w:asciiTheme="majorHAnsi" w:hAnsiTheme="majorHAnsi" w:cstheme="majorHAnsi"/>
                <w:i/>
                <w:sz w:val="22"/>
                <w:szCs w:val="22"/>
              </w:rPr>
            </w:pPr>
            <w:r w:rsidRPr="00DF139C">
              <w:rPr>
                <w:rFonts w:asciiTheme="majorHAnsi" w:hAnsiTheme="majorHAnsi" w:cstheme="majorHAnsi"/>
                <w:i/>
                <w:sz w:val="22"/>
                <w:szCs w:val="22"/>
              </w:rPr>
              <w:t>incorporate all water uses (for example, the mining industry) within the one planning framework?</w:t>
            </w:r>
          </w:p>
          <w:p w14:paraId="32E9296E" w14:textId="0D08EC75" w:rsidR="00C62E53" w:rsidRDefault="00C62E53" w:rsidP="00DF139C">
            <w:pPr>
              <w:pStyle w:val="InformationRequestBullet"/>
            </w:pPr>
            <w:r>
              <w:t>What new water sources should be brought into a water entitlement process and why?</w:t>
            </w:r>
          </w:p>
          <w:p w14:paraId="32E9296F" w14:textId="12986BD4" w:rsidR="00C62E53" w:rsidRPr="00824D34" w:rsidRDefault="00C62E53" w:rsidP="00DF139C">
            <w:pPr>
              <w:pStyle w:val="InformationRequestBullet"/>
            </w:pPr>
            <w:r>
              <w:t>Are current approaches to water rights</w:t>
            </w:r>
            <w:r w:rsidR="00C420C0">
              <w:t xml:space="preserve"> compliance and enforcement fit</w:t>
            </w:r>
            <w:r w:rsidR="00C420C0">
              <w:noBreakHyphen/>
              <w:t>for</w:t>
            </w:r>
            <w:r w:rsidR="00C420C0">
              <w:noBreakHyphen/>
            </w:r>
            <w:r>
              <w:t>purpose?</w:t>
            </w:r>
          </w:p>
        </w:tc>
      </w:tr>
      <w:tr w:rsidR="00C62E53" w14:paraId="32E92972" w14:textId="77777777" w:rsidTr="00C62E53">
        <w:tc>
          <w:tcPr>
            <w:tcW w:w="8770" w:type="dxa"/>
            <w:tcBorders>
              <w:top w:val="nil"/>
              <w:left w:val="nil"/>
              <w:bottom w:val="single" w:sz="6" w:space="0" w:color="78A22F"/>
              <w:right w:val="nil"/>
            </w:tcBorders>
            <w:shd w:val="clear" w:color="auto" w:fill="auto"/>
          </w:tcPr>
          <w:p w14:paraId="32E92971" w14:textId="77777777" w:rsidR="00C62E53" w:rsidRDefault="00C62E53" w:rsidP="00C62E53">
            <w:pPr>
              <w:pStyle w:val="Space"/>
              <w:keepLines/>
            </w:pPr>
          </w:p>
        </w:tc>
      </w:tr>
      <w:tr w:rsidR="00C62E53" w:rsidRPr="000863A5" w14:paraId="32E92974" w14:textId="77777777" w:rsidTr="00C62E53">
        <w:tc>
          <w:tcPr>
            <w:tcW w:w="8770" w:type="dxa"/>
            <w:tcBorders>
              <w:top w:val="single" w:sz="6" w:space="0" w:color="78A22F"/>
              <w:left w:val="nil"/>
              <w:bottom w:val="nil"/>
              <w:right w:val="nil"/>
            </w:tcBorders>
          </w:tcPr>
          <w:p w14:paraId="32E92973" w14:textId="2EE46F04" w:rsidR="00C62E53" w:rsidRPr="00626D32" w:rsidRDefault="00C62E53" w:rsidP="00C62E53">
            <w:pPr>
              <w:pStyle w:val="BoxSpaceBelow"/>
              <w:keepLines/>
            </w:pPr>
          </w:p>
        </w:tc>
      </w:tr>
    </w:tbl>
    <w:p w14:paraId="32E92975" w14:textId="665BB609" w:rsidR="00266E68" w:rsidRDefault="00266E68" w:rsidP="00266E68">
      <w:pPr>
        <w:pStyle w:val="Heading3"/>
      </w:pPr>
      <w:r>
        <w:lastRenderedPageBreak/>
        <w:t>Water planning</w:t>
      </w:r>
    </w:p>
    <w:p w14:paraId="32E92976" w14:textId="26F70DBC" w:rsidR="00002A51" w:rsidRDefault="008C64BD" w:rsidP="00266E68">
      <w:pPr>
        <w:pStyle w:val="BodyText"/>
      </w:pPr>
      <w:r>
        <w:t xml:space="preserve">The </w:t>
      </w:r>
      <w:proofErr w:type="spellStart"/>
      <w:r>
        <w:t>NWI</w:t>
      </w:r>
      <w:proofErr w:type="spellEnd"/>
      <w:r>
        <w:t xml:space="preserve"> identifies water planning as a mechanism to help governments and communities make water management and allocation decisions to </w:t>
      </w:r>
      <w:r w:rsidR="007B1814">
        <w:t>balance</w:t>
      </w:r>
      <w:r>
        <w:t xml:space="preserve"> productive, environmental and social objectives </w:t>
      </w:r>
      <w:r w:rsidR="002E0EA5" w:rsidRPr="002E0EA5">
        <w:rPr>
          <w:szCs w:val="24"/>
        </w:rPr>
        <w:t>(</w:t>
      </w:r>
      <w:proofErr w:type="spellStart"/>
      <w:r w:rsidR="002E0EA5" w:rsidRPr="002E0EA5">
        <w:rPr>
          <w:szCs w:val="24"/>
        </w:rPr>
        <w:t>NWC</w:t>
      </w:r>
      <w:proofErr w:type="spellEnd"/>
      <w:r w:rsidR="002E0EA5" w:rsidRPr="002E0EA5">
        <w:rPr>
          <w:szCs w:val="24"/>
        </w:rPr>
        <w:t> 2012)</w:t>
      </w:r>
      <w:r>
        <w:t xml:space="preserve">. </w:t>
      </w:r>
      <w:r w:rsidR="00266E68">
        <w:t xml:space="preserve">The </w:t>
      </w:r>
      <w:proofErr w:type="spellStart"/>
      <w:r w:rsidR="00266E68">
        <w:t>NWI</w:t>
      </w:r>
      <w:proofErr w:type="spellEnd"/>
      <w:r w:rsidR="00266E68">
        <w:t xml:space="preserve"> commits </w:t>
      </w:r>
      <w:r w:rsidR="001E0367">
        <w:t>S</w:t>
      </w:r>
      <w:r w:rsidR="00266E68">
        <w:t xml:space="preserve">tates and </w:t>
      </w:r>
      <w:r w:rsidR="001E0367">
        <w:t>T</w:t>
      </w:r>
      <w:r w:rsidR="00266E68">
        <w:t>erritories to water planning that provides for secure ecological outcomes, by describing environmental and other public benefits outcomes for water systems, and defining appropriate water management arrangements to achieve those outcomes. It also requires water planning that provides for resource security outcomes by determining shares in the consumptive pool a</w:t>
      </w:r>
      <w:r w:rsidR="0025325A">
        <w:t>nd the rules to allocate water.</w:t>
      </w:r>
      <w:r w:rsidR="00D65B59">
        <w:t xml:space="preserve"> </w:t>
      </w:r>
    </w:p>
    <w:p w14:paraId="32E92977" w14:textId="47AAEF2E" w:rsidR="00266E68" w:rsidRDefault="00266E68" w:rsidP="00266E68">
      <w:pPr>
        <w:pStyle w:val="BodyText"/>
      </w:pPr>
      <w:r>
        <w:t xml:space="preserve">In 2014, the </w:t>
      </w:r>
      <w:proofErr w:type="spellStart"/>
      <w:r>
        <w:t>NWC</w:t>
      </w:r>
      <w:proofErr w:type="spellEnd"/>
      <w:r>
        <w:t xml:space="preserve"> observed ‘b</w:t>
      </w:r>
      <w:r w:rsidRPr="00D42B96">
        <w:t xml:space="preserve">roadly </w:t>
      </w:r>
      <w:proofErr w:type="spellStart"/>
      <w:r w:rsidRPr="00D42B96">
        <w:t>NWI</w:t>
      </w:r>
      <w:proofErr w:type="spellEnd"/>
      <w:r w:rsidR="00396CA0">
        <w:noBreakHyphen/>
      </w:r>
      <w:r w:rsidRPr="00D42B96">
        <w:t>consistent water planning arrangements have been put in place for the main areas of intensive water use across Australia</w:t>
      </w:r>
      <w:r w:rsidR="00CB7C97">
        <w:t xml:space="preserve"> …</w:t>
      </w:r>
      <w:r w:rsidR="00BA4FD1">
        <w:t xml:space="preserve"> </w:t>
      </w:r>
      <w:r w:rsidRPr="00996290">
        <w:t>While some remaining areas</w:t>
      </w:r>
      <w:r w:rsidRPr="00996290" w:rsidDel="00C33E85">
        <w:t xml:space="preserve"> </w:t>
      </w:r>
      <w:r w:rsidRPr="00996290">
        <w:t>need to be addressed as a matter of priority</w:t>
      </w:r>
      <w:r>
        <w:t xml:space="preserve"> [for example, in the Darwin </w:t>
      </w:r>
      <w:r w:rsidR="00D7620E">
        <w:t>r</w:t>
      </w:r>
      <w:r>
        <w:t xml:space="preserve">ural </w:t>
      </w:r>
      <w:r w:rsidR="00D7620E">
        <w:t>a</w:t>
      </w:r>
      <w:r>
        <w:t>rea]</w:t>
      </w:r>
      <w:r w:rsidRPr="00996290">
        <w:t>, relatively few areas that experience intensive use of water lack adequate water planning arrangements</w:t>
      </w:r>
      <w:r>
        <w:t>’</w:t>
      </w:r>
      <w:r w:rsidR="00B11019">
        <w:t xml:space="preserve"> </w:t>
      </w:r>
      <w:r w:rsidR="0096090B" w:rsidRPr="0096090B">
        <w:rPr>
          <w:szCs w:val="24"/>
        </w:rPr>
        <w:t>(</w:t>
      </w:r>
      <w:proofErr w:type="spellStart"/>
      <w:r w:rsidR="0096090B" w:rsidRPr="0096090B">
        <w:rPr>
          <w:szCs w:val="24"/>
        </w:rPr>
        <w:t>2014b</w:t>
      </w:r>
      <w:proofErr w:type="spellEnd"/>
      <w:r w:rsidR="0096090B" w:rsidRPr="0096090B">
        <w:rPr>
          <w:szCs w:val="24"/>
        </w:rPr>
        <w:t>, p. 26)</w:t>
      </w:r>
      <w:r w:rsidRPr="00996290">
        <w:t>.</w:t>
      </w:r>
    </w:p>
    <w:p w14:paraId="32E92978" w14:textId="77777777" w:rsidR="00266E68" w:rsidRPr="00996290" w:rsidRDefault="007843E2" w:rsidP="00266E68">
      <w:pPr>
        <w:pStyle w:val="BodyText"/>
      </w:pPr>
      <w:r>
        <w:t>T</w:t>
      </w:r>
      <w:r w:rsidR="00266E68">
        <w:t xml:space="preserve">he </w:t>
      </w:r>
      <w:proofErr w:type="spellStart"/>
      <w:r w:rsidR="00266E68">
        <w:t>NWC</w:t>
      </w:r>
      <w:proofErr w:type="spellEnd"/>
      <w:r w:rsidR="00266E68">
        <w:t xml:space="preserve"> </w:t>
      </w:r>
      <w:r>
        <w:t>also</w:t>
      </w:r>
      <w:r w:rsidR="00266E68">
        <w:t xml:space="preserve"> identified that further progress was required in specific areas of planning, including: </w:t>
      </w:r>
    </w:p>
    <w:p w14:paraId="32E92979" w14:textId="7CC351E4" w:rsidR="00266E68" w:rsidRPr="00996290" w:rsidRDefault="00266E68" w:rsidP="00266E68">
      <w:pPr>
        <w:pStyle w:val="ListBullet"/>
      </w:pPr>
      <w:r w:rsidRPr="00996290">
        <w:t>the conduct of scheduled water plan reviews</w:t>
      </w:r>
      <w:r>
        <w:t>, which should be</w:t>
      </w:r>
      <w:r w:rsidRPr="00996290">
        <w:t xml:space="preserve"> based on a transparent process involving monitoring, evaluation and public reporting on progress towards achieving water planning outcomes, </w:t>
      </w:r>
      <w:r>
        <w:t>and</w:t>
      </w:r>
      <w:r w:rsidRPr="00996290">
        <w:t xml:space="preserve"> community input</w:t>
      </w:r>
    </w:p>
    <w:p w14:paraId="32E9297A" w14:textId="2F9C72B5" w:rsidR="00266E68" w:rsidRDefault="00266E68" w:rsidP="00266E68">
      <w:pPr>
        <w:pStyle w:val="ListBullet"/>
      </w:pPr>
      <w:r w:rsidRPr="00996290">
        <w:t>specific pathways to achieve Indigenous objectives through water planning</w:t>
      </w:r>
      <w:r>
        <w:t xml:space="preserve">. For example, the </w:t>
      </w:r>
      <w:proofErr w:type="spellStart"/>
      <w:r>
        <w:t>NWC</w:t>
      </w:r>
      <w:proofErr w:type="spellEnd"/>
      <w:r>
        <w:t xml:space="preserve"> noted</w:t>
      </w:r>
      <w:r w:rsidR="001609D0">
        <w:t xml:space="preserve"> that</w:t>
      </w:r>
      <w:r>
        <w:t xml:space="preserve"> while progress had been made incorporating Indigenous social, spiritual and customary objectives into water plans, there had been no material increase in water allocation for Indigenous</w:t>
      </w:r>
      <w:r w:rsidR="00CA31B6">
        <w:t xml:space="preserve"> </w:t>
      </w:r>
      <w:r>
        <w:t>social</w:t>
      </w:r>
      <w:r w:rsidR="00DF139C">
        <w:t>, economic or cultural purposes</w:t>
      </w:r>
    </w:p>
    <w:p w14:paraId="32E9297B" w14:textId="5ABE23CD" w:rsidR="00FE7A5F" w:rsidRDefault="00FE7A5F" w:rsidP="00266E68">
      <w:pPr>
        <w:pStyle w:val="ListBullet"/>
      </w:pPr>
      <w:r>
        <w:t>the need to integrate w</w:t>
      </w:r>
      <w:r w:rsidRPr="007D42C4">
        <w:t xml:space="preserve">ater </w:t>
      </w:r>
      <w:r w:rsidRPr="006A3024">
        <w:rPr>
          <w:i/>
        </w:rPr>
        <w:t>quality</w:t>
      </w:r>
      <w:r w:rsidRPr="007D42C4">
        <w:t xml:space="preserve"> objectives</w:t>
      </w:r>
      <w:r>
        <w:t xml:space="preserve"> into </w:t>
      </w:r>
      <w:r w:rsidRPr="000A4E9A">
        <w:t>water planning arrangements</w:t>
      </w:r>
      <w:r w:rsidR="00BC736F">
        <w:t>.</w:t>
      </w:r>
    </w:p>
    <w:p w14:paraId="32E9297C" w14:textId="218AE50A" w:rsidR="00266E68" w:rsidRDefault="00266E68" w:rsidP="00266E68">
      <w:pPr>
        <w:pStyle w:val="BodyText"/>
      </w:pPr>
      <w:r>
        <w:t xml:space="preserve">Decisions about the allocation and sharing of water to balance present and future needs will inevitably be subject to debate. The </w:t>
      </w:r>
      <w:proofErr w:type="spellStart"/>
      <w:r>
        <w:t>NWC</w:t>
      </w:r>
      <w:proofErr w:type="spellEnd"/>
      <w:r>
        <w:t xml:space="preserve"> has previously observed ‘consensus is not a realistic goal, but a firm commitment to good process with a focus o</w:t>
      </w:r>
      <w:r w:rsidR="00171CA5">
        <w:t>n</w:t>
      </w:r>
      <w:r>
        <w:t xml:space="preserve"> transparency, ongoing engagement and effective implementation will produce </w:t>
      </w:r>
      <w:r w:rsidR="00510658">
        <w:t xml:space="preserve">the </w:t>
      </w:r>
      <w:r>
        <w:t xml:space="preserve">community confidence in planning that we need’ </w:t>
      </w:r>
      <w:r w:rsidR="0096090B" w:rsidRPr="0096090B">
        <w:rPr>
          <w:szCs w:val="24"/>
        </w:rPr>
        <w:t>(</w:t>
      </w:r>
      <w:proofErr w:type="spellStart"/>
      <w:r w:rsidR="0096090B" w:rsidRPr="0096090B">
        <w:rPr>
          <w:szCs w:val="24"/>
        </w:rPr>
        <w:t>NWC</w:t>
      </w:r>
      <w:proofErr w:type="spellEnd"/>
      <w:r w:rsidR="0096090B" w:rsidRPr="0096090B">
        <w:rPr>
          <w:szCs w:val="24"/>
        </w:rPr>
        <w:t> 2012, p. 13)</w:t>
      </w:r>
      <w:r>
        <w:t xml:space="preserve">. A key challenge for planners is ensuring planning processes are sufficiently </w:t>
      </w:r>
      <w:r w:rsidR="00A3519D">
        <w:t>robust</w:t>
      </w:r>
      <w:r w:rsidR="00627C61">
        <w:t>, open</w:t>
      </w:r>
      <w:r>
        <w:t xml:space="preserve"> and transparent, while avoiding unnecessary costs (including on </w:t>
      </w:r>
      <w:r w:rsidR="00903CCA">
        <w:t>participants</w:t>
      </w:r>
      <w:r>
        <w:t>)</w:t>
      </w:r>
      <w:r w:rsidRPr="0041039D">
        <w:t>.</w:t>
      </w:r>
      <w:r w:rsidRPr="00065FB7">
        <w:t xml:space="preserve"> </w:t>
      </w:r>
      <w:r>
        <w:t xml:space="preserve">Potential areas for improving water planning </w:t>
      </w:r>
      <w:r w:rsidR="0013501A">
        <w:t xml:space="preserve">as identified by the </w:t>
      </w:r>
      <w:proofErr w:type="spellStart"/>
      <w:r w:rsidR="0013501A">
        <w:t>NWC</w:t>
      </w:r>
      <w:proofErr w:type="spellEnd"/>
      <w:r w:rsidR="0013501A">
        <w:t xml:space="preserve"> </w:t>
      </w:r>
      <w:r w:rsidR="0004318D" w:rsidRPr="0004318D">
        <w:t>(</w:t>
      </w:r>
      <w:proofErr w:type="spellStart"/>
      <w:r w:rsidR="0004318D" w:rsidRPr="0004318D">
        <w:t>2014b</w:t>
      </w:r>
      <w:proofErr w:type="spellEnd"/>
      <w:r w:rsidR="0004318D" w:rsidRPr="0004318D">
        <w:t>)</w:t>
      </w:r>
      <w:r w:rsidR="0013501A">
        <w:t>, and through the Commission</w:t>
      </w:r>
      <w:r w:rsidR="00B86DB1">
        <w:t>’</w:t>
      </w:r>
      <w:r w:rsidR="0013501A">
        <w:t>s own thinking and early</w:t>
      </w:r>
      <w:r w:rsidR="00303767">
        <w:t xml:space="preserve"> consultation</w:t>
      </w:r>
      <w:r w:rsidR="0020736F">
        <w:t>s</w:t>
      </w:r>
      <w:r w:rsidR="000008ED">
        <w:t>,</w:t>
      </w:r>
      <w:r w:rsidR="00303767">
        <w:t xml:space="preserve"> </w:t>
      </w:r>
      <w:r>
        <w:t>are described below.</w:t>
      </w:r>
    </w:p>
    <w:p w14:paraId="32E9297D" w14:textId="77777777" w:rsidR="00266E68" w:rsidRDefault="00266E68" w:rsidP="00266E68">
      <w:pPr>
        <w:pStyle w:val="Heading4"/>
      </w:pPr>
      <w:r>
        <w:t>Streamlining planning requirements</w:t>
      </w:r>
    </w:p>
    <w:p w14:paraId="32E9297E" w14:textId="3DE9B41F" w:rsidR="00FC50FF" w:rsidRPr="00FC50FF" w:rsidRDefault="00A660E7" w:rsidP="00FC50FF">
      <w:pPr>
        <w:pStyle w:val="BodyText"/>
      </w:pPr>
      <w:r>
        <w:t xml:space="preserve">The </w:t>
      </w:r>
      <w:proofErr w:type="spellStart"/>
      <w:r>
        <w:t>NWI</w:t>
      </w:r>
      <w:proofErr w:type="spellEnd"/>
      <w:r>
        <w:t xml:space="preserve"> allows States and Territories to take a ‘risk</w:t>
      </w:r>
      <w:r w:rsidR="00396CA0">
        <w:noBreakHyphen/>
      </w:r>
      <w:r>
        <w:t xml:space="preserve">based’ approach to planning. </w:t>
      </w:r>
      <w:r w:rsidR="008626AA">
        <w:t xml:space="preserve">This approach recognises that not all areas will need to be covered by a formal plan, and that the level of detail, frequency of review and amount of resources devoted can vary between plans. The </w:t>
      </w:r>
      <w:proofErr w:type="spellStart"/>
      <w:r w:rsidR="008626AA">
        <w:t>NWI</w:t>
      </w:r>
      <w:proofErr w:type="spellEnd"/>
      <w:r w:rsidR="008626AA">
        <w:t xml:space="preserve"> specifies </w:t>
      </w:r>
      <w:r w:rsidR="00D7620E">
        <w:t>that</w:t>
      </w:r>
      <w:r w:rsidR="008626AA">
        <w:t xml:space="preserve"> d</w:t>
      </w:r>
      <w:r>
        <w:t xml:space="preserve">ecisions </w:t>
      </w:r>
      <w:r w:rsidR="008626AA">
        <w:t xml:space="preserve">about water plans </w:t>
      </w:r>
      <w:r>
        <w:t>should be based</w:t>
      </w:r>
      <w:r w:rsidR="00FC50FF" w:rsidRPr="00FC50FF">
        <w:t xml:space="preserve"> on an </w:t>
      </w:r>
      <w:r w:rsidR="00FC50FF" w:rsidRPr="00FC50FF">
        <w:lastRenderedPageBreak/>
        <w:t xml:space="preserve">assessment of the level of development of water systems, projected future consumptive demand and the risks of not having a detailed plan. </w:t>
      </w:r>
    </w:p>
    <w:p w14:paraId="32E9297F" w14:textId="77777777" w:rsidR="00023972" w:rsidRDefault="00FC50FF" w:rsidP="00FC50FF">
      <w:pPr>
        <w:pStyle w:val="BodyText"/>
      </w:pPr>
      <w:r w:rsidRPr="00FC50FF">
        <w:t xml:space="preserve">Despite these provisions, there is a view among some participants that past assessments of water planning have focused too heavily on whether jurisdictions have replicated the ideal water plan </w:t>
      </w:r>
      <w:r w:rsidR="00DA6ED3">
        <w:t xml:space="preserve">content </w:t>
      </w:r>
      <w:r w:rsidRPr="00FC50FF">
        <w:t xml:space="preserve">and processes </w:t>
      </w:r>
      <w:r w:rsidR="00DA6ED3">
        <w:t xml:space="preserve">(outlined under the </w:t>
      </w:r>
      <w:proofErr w:type="spellStart"/>
      <w:r w:rsidR="00DA6ED3">
        <w:t>NWI</w:t>
      </w:r>
      <w:proofErr w:type="spellEnd"/>
      <w:r w:rsidR="00DA6ED3">
        <w:t>)</w:t>
      </w:r>
      <w:r w:rsidRPr="00FC50FF">
        <w:t xml:space="preserve"> without questioning whether the benefits of greater </w:t>
      </w:r>
      <w:r w:rsidR="008626AA">
        <w:t>alignment</w:t>
      </w:r>
      <w:r w:rsidRPr="00FC50FF">
        <w:t xml:space="preserve"> with the </w:t>
      </w:r>
      <w:proofErr w:type="spellStart"/>
      <w:r w:rsidRPr="00FC50FF">
        <w:t>NWI</w:t>
      </w:r>
      <w:proofErr w:type="spellEnd"/>
      <w:r w:rsidRPr="00FC50FF">
        <w:t xml:space="preserve"> exceed the costs.</w:t>
      </w:r>
      <w:r w:rsidR="00757480" w:rsidRPr="00757480">
        <w:t xml:space="preserve"> </w:t>
      </w:r>
    </w:p>
    <w:p w14:paraId="32E92980" w14:textId="77777777" w:rsidR="00D8748C" w:rsidRDefault="00D8748C" w:rsidP="00417B3A">
      <w:pPr>
        <w:pStyle w:val="Heading4"/>
      </w:pPr>
      <w:r>
        <w:t>Dynamic and responsive planning arrangements</w:t>
      </w:r>
    </w:p>
    <w:p w14:paraId="32E92981" w14:textId="2B38A536" w:rsidR="00FC50FF" w:rsidRPr="00FC50FF" w:rsidRDefault="00D527A5" w:rsidP="00FC50FF">
      <w:pPr>
        <w:pStyle w:val="BodyText"/>
      </w:pPr>
      <w:r>
        <w:t>A</w:t>
      </w:r>
      <w:r w:rsidR="00BB2A3B">
        <w:t xml:space="preserve"> number of </w:t>
      </w:r>
      <w:r w:rsidR="00757480">
        <w:t xml:space="preserve">water plans are scheduled for </w:t>
      </w:r>
      <w:r w:rsidR="00B86DB1">
        <w:t>jurisdiction</w:t>
      </w:r>
      <w:r w:rsidR="00396CA0">
        <w:noBreakHyphen/>
      </w:r>
      <w:r w:rsidR="00B86DB1">
        <w:t xml:space="preserve">led </w:t>
      </w:r>
      <w:r w:rsidR="00757480">
        <w:t xml:space="preserve">review. </w:t>
      </w:r>
      <w:r>
        <w:t>These r</w:t>
      </w:r>
      <w:r w:rsidR="00757480">
        <w:t xml:space="preserve">eviews </w:t>
      </w:r>
      <w:r>
        <w:t>will</w:t>
      </w:r>
      <w:r w:rsidR="00757480">
        <w:t xml:space="preserve"> need to build on the original plans but </w:t>
      </w:r>
      <w:r>
        <w:t>also be responsive to</w:t>
      </w:r>
      <w:r w:rsidR="00757480">
        <w:t xml:space="preserve"> new issues and opportunities that emerge as entitlement holders become experienced in dealing with their system. </w:t>
      </w:r>
      <w:r w:rsidR="00BB2A3B">
        <w:t>R</w:t>
      </w:r>
      <w:r w:rsidR="00757480">
        <w:t>eviews provide the opportunity to move towards more optimised management of the resource.</w:t>
      </w:r>
    </w:p>
    <w:p w14:paraId="32E92982" w14:textId="77777777" w:rsidR="00266E68" w:rsidRDefault="00266E68" w:rsidP="00266E68">
      <w:pPr>
        <w:pStyle w:val="Heading4"/>
      </w:pPr>
      <w:r>
        <w:t>Accounting for climate change and extreme events</w:t>
      </w:r>
    </w:p>
    <w:p w14:paraId="32E92983" w14:textId="68859E6B" w:rsidR="003D674E" w:rsidRDefault="00266E68" w:rsidP="003D674E">
      <w:pPr>
        <w:pStyle w:val="BodyText"/>
      </w:pPr>
      <w:r>
        <w:t xml:space="preserve">Climate change and extreme weather events present significant challenges for water planning and management. They pose risks to both water availability and water infrastructure. The </w:t>
      </w:r>
      <w:proofErr w:type="spellStart"/>
      <w:r>
        <w:t>NWI</w:t>
      </w:r>
      <w:proofErr w:type="spellEnd"/>
      <w:r>
        <w:t xml:space="preserve"> and </w:t>
      </w:r>
      <w:proofErr w:type="spellStart"/>
      <w:r>
        <w:t>NWI</w:t>
      </w:r>
      <w:proofErr w:type="spellEnd"/>
      <w:r>
        <w:t xml:space="preserve"> </w:t>
      </w:r>
      <w:r w:rsidR="00BA5C99">
        <w:t>p</w:t>
      </w:r>
      <w:r w:rsidR="00270612">
        <w:t xml:space="preserve">olicy </w:t>
      </w:r>
      <w:r w:rsidR="00BA5C99">
        <w:t>g</w:t>
      </w:r>
      <w:r w:rsidR="00270612">
        <w:t xml:space="preserve">uidelines </w:t>
      </w:r>
      <w:r w:rsidR="009339BD">
        <w:t xml:space="preserve">for </w:t>
      </w:r>
      <w:r w:rsidR="00BA5C99">
        <w:t>w</w:t>
      </w:r>
      <w:r>
        <w:t xml:space="preserve">ater planning and management provide some principles and approaches that consider climate change and extreme events. For example, </w:t>
      </w:r>
      <w:r w:rsidR="00D30A30">
        <w:t>the</w:t>
      </w:r>
      <w:r>
        <w:t xml:space="preserve"> </w:t>
      </w:r>
      <w:proofErr w:type="spellStart"/>
      <w:r>
        <w:t>NWI</w:t>
      </w:r>
      <w:proofErr w:type="spellEnd"/>
      <w:r>
        <w:t xml:space="preserve"> policy guidelines note water plans should be robust to a range of water availability scenarios such that plans operate under ‘normal’ condit</w:t>
      </w:r>
      <w:r w:rsidR="002E14AB">
        <w:t>ions nearly all of the time (90 </w:t>
      </w:r>
      <w:r w:rsidR="002E14AB" w:rsidRPr="002E14AB">
        <w:t>to</w:t>
      </w:r>
      <w:r w:rsidR="002E14AB">
        <w:t> </w:t>
      </w:r>
      <w:r w:rsidRPr="002E14AB">
        <w:t>95</w:t>
      </w:r>
      <w:r>
        <w:t xml:space="preserve"> per cent of cases) and should include mechanisms for dea</w:t>
      </w:r>
      <w:r w:rsidR="00DD4CE2">
        <w:t>ling with unprecedented events</w:t>
      </w:r>
      <w:r w:rsidR="00C27C5B">
        <w:t xml:space="preserve"> </w:t>
      </w:r>
      <w:r w:rsidR="00C27C5B" w:rsidRPr="00C27C5B">
        <w:rPr>
          <w:szCs w:val="24"/>
        </w:rPr>
        <w:t>(COAG 2010)</w:t>
      </w:r>
      <w:r w:rsidR="00DD4CE2">
        <w:t>.</w:t>
      </w:r>
      <w:r w:rsidR="003D674E">
        <w:t xml:space="preserve"> </w:t>
      </w:r>
      <w:r w:rsidR="003D674E" w:rsidRPr="0080505B">
        <w:rPr>
          <w:spacing w:val="-2"/>
        </w:rPr>
        <w:t xml:space="preserve">However, a question for this inquiry is whether more needs to be done to ensure water planners are able to effectively manage the </w:t>
      </w:r>
      <w:r w:rsidR="003363EB" w:rsidRPr="0080505B">
        <w:rPr>
          <w:spacing w:val="-2"/>
        </w:rPr>
        <w:t>potential effects of the long</w:t>
      </w:r>
      <w:r w:rsidR="003363EB" w:rsidRPr="0080505B">
        <w:rPr>
          <w:spacing w:val="-2"/>
        </w:rPr>
        <w:noBreakHyphen/>
      </w:r>
      <w:r w:rsidR="003D674E" w:rsidRPr="0080505B">
        <w:rPr>
          <w:spacing w:val="-2"/>
        </w:rPr>
        <w:t>term impact of climate change</w:t>
      </w:r>
      <w:r w:rsidR="00D95322" w:rsidRPr="0080505B">
        <w:rPr>
          <w:spacing w:val="-2"/>
        </w:rPr>
        <w:t xml:space="preserve"> (such as </w:t>
      </w:r>
      <w:r w:rsidR="00D30A30" w:rsidRPr="0080505B">
        <w:rPr>
          <w:spacing w:val="-2"/>
        </w:rPr>
        <w:t xml:space="preserve">a </w:t>
      </w:r>
      <w:r w:rsidR="003D674E" w:rsidRPr="0080505B">
        <w:rPr>
          <w:spacing w:val="-2"/>
        </w:rPr>
        <w:t>significant decrease in water resources</w:t>
      </w:r>
      <w:r w:rsidR="00D95322" w:rsidRPr="0080505B">
        <w:rPr>
          <w:spacing w:val="-2"/>
        </w:rPr>
        <w:t>,</w:t>
      </w:r>
      <w:r w:rsidR="003D674E" w:rsidRPr="0080505B">
        <w:rPr>
          <w:spacing w:val="-2"/>
        </w:rPr>
        <w:t xml:space="preserve"> affecting the consumptive pool and the environment in potentially different ways</w:t>
      </w:r>
      <w:r w:rsidR="00D95322" w:rsidRPr="0080505B">
        <w:rPr>
          <w:spacing w:val="-2"/>
        </w:rPr>
        <w:t>)</w:t>
      </w:r>
      <w:r w:rsidR="003D674E" w:rsidRPr="0080505B">
        <w:rPr>
          <w:spacing w:val="-2"/>
        </w:rPr>
        <w:t>.</w:t>
      </w:r>
    </w:p>
    <w:p w14:paraId="32E92984" w14:textId="06BC9A6F" w:rsidR="00266E68" w:rsidRDefault="00266E68" w:rsidP="00B9517E">
      <w:pPr>
        <w:pStyle w:val="Heading4"/>
      </w:pPr>
      <w:r>
        <w:t xml:space="preserve">Recognising </w:t>
      </w:r>
      <w:r w:rsidR="00E67923">
        <w:t>I</w:t>
      </w:r>
      <w:r>
        <w:t>ndigenous values</w:t>
      </w:r>
    </w:p>
    <w:p w14:paraId="32E92985" w14:textId="474EEE21" w:rsidR="00822794" w:rsidRDefault="00266E68" w:rsidP="00822794">
      <w:pPr>
        <w:pStyle w:val="BodyText"/>
        <w:rPr>
          <w:szCs w:val="24"/>
        </w:rPr>
      </w:pPr>
      <w:r w:rsidRPr="005F0506">
        <w:t xml:space="preserve">Under the </w:t>
      </w:r>
      <w:proofErr w:type="spellStart"/>
      <w:r w:rsidRPr="005F0506">
        <w:t>NWI</w:t>
      </w:r>
      <w:proofErr w:type="spellEnd"/>
      <w:r w:rsidRPr="005F0506">
        <w:t xml:space="preserve">, jurisdictions agreed that </w:t>
      </w:r>
      <w:proofErr w:type="spellStart"/>
      <w:r w:rsidRPr="005F0506">
        <w:t>NWI</w:t>
      </w:r>
      <w:proofErr w:type="spellEnd"/>
      <w:r w:rsidR="00396CA0">
        <w:noBreakHyphen/>
      </w:r>
      <w:r w:rsidRPr="005F0506">
        <w:t xml:space="preserve">consistent water planning frameworks would provide for Indigenous access to water resources through Indigenous representation in water planning processes; water planning arrangements which included Indigenous social, spiritual and customary objectives; and strategies to achieve these </w:t>
      </w:r>
      <w:r w:rsidR="00EF78D2" w:rsidRPr="005F0506">
        <w:t>(</w:t>
      </w:r>
      <w:proofErr w:type="spellStart"/>
      <w:r w:rsidR="00EF78D2" w:rsidRPr="005F0506">
        <w:t>NWC</w:t>
      </w:r>
      <w:proofErr w:type="spellEnd"/>
      <w:r w:rsidR="00EF78D2" w:rsidRPr="005F0506">
        <w:t> </w:t>
      </w:r>
      <w:proofErr w:type="spellStart"/>
      <w:r w:rsidR="00EF78D2" w:rsidRPr="005F0506">
        <w:t>2014b</w:t>
      </w:r>
      <w:proofErr w:type="spellEnd"/>
      <w:r w:rsidR="00EF78D2" w:rsidRPr="005F0506">
        <w:t>)</w:t>
      </w:r>
      <w:r w:rsidRPr="005F0506">
        <w:t xml:space="preserve">. </w:t>
      </w:r>
      <w:r w:rsidR="00EF78D2" w:rsidRPr="005F0506">
        <w:t>T</w:t>
      </w:r>
      <w:r w:rsidR="001355CD" w:rsidRPr="005F0506">
        <w:t xml:space="preserve">he </w:t>
      </w:r>
      <w:proofErr w:type="spellStart"/>
      <w:r w:rsidR="00080FA9" w:rsidRPr="005F0506">
        <w:t>NWC</w:t>
      </w:r>
      <w:proofErr w:type="spellEnd"/>
      <w:r w:rsidR="00080FA9" w:rsidRPr="005F0506">
        <w:t xml:space="preserve"> </w:t>
      </w:r>
      <w:r w:rsidR="00F95FA7" w:rsidRPr="005F0506">
        <w:t>found that</w:t>
      </w:r>
      <w:r w:rsidR="00A967BE" w:rsidRPr="005F0506">
        <w:t>, despite some progress,</w:t>
      </w:r>
      <w:r w:rsidR="001355CD" w:rsidRPr="005F0506">
        <w:t xml:space="preserve"> Indigenous participation in water management </w:t>
      </w:r>
      <w:r w:rsidR="00B42240" w:rsidRPr="005F0506">
        <w:t xml:space="preserve">decisions was patchy and there had been no material increase in water allocation for </w:t>
      </w:r>
      <w:r w:rsidR="00FA5D62" w:rsidRPr="005F0506">
        <w:t>Indigenous</w:t>
      </w:r>
      <w:r w:rsidR="00B42240" w:rsidRPr="005F0506">
        <w:t xml:space="preserve"> social, economic or cultural purposes</w:t>
      </w:r>
      <w:r w:rsidR="00EF78D2" w:rsidRPr="005F0506">
        <w:t xml:space="preserve"> (</w:t>
      </w:r>
      <w:proofErr w:type="spellStart"/>
      <w:r w:rsidR="00EF78D2" w:rsidRPr="005F0506">
        <w:t>2014b</w:t>
      </w:r>
      <w:proofErr w:type="spellEnd"/>
      <w:r w:rsidR="00EF78D2" w:rsidRPr="005F0506">
        <w:t>)</w:t>
      </w:r>
      <w:r w:rsidR="00B42240" w:rsidRPr="005F0506">
        <w:t xml:space="preserve">. </w:t>
      </w:r>
      <w:r w:rsidRPr="005F0506">
        <w:t>During early consultation</w:t>
      </w:r>
      <w:r w:rsidR="00DF3E3C" w:rsidRPr="005F0506">
        <w:t xml:space="preserve"> with participants</w:t>
      </w:r>
      <w:r w:rsidRPr="005F0506">
        <w:t xml:space="preserve">, there was considerable interest in whether there has been progress in addressing </w:t>
      </w:r>
      <w:r w:rsidR="0040137D">
        <w:t xml:space="preserve">these </w:t>
      </w:r>
      <w:r w:rsidRPr="005F0506">
        <w:t>issues</w:t>
      </w:r>
      <w:r w:rsidR="0040137D">
        <w:t>,</w:t>
      </w:r>
      <w:r w:rsidRPr="005F0506">
        <w:t xml:space="preserve"> and </w:t>
      </w:r>
      <w:r w:rsidR="00494330" w:rsidRPr="005F0506">
        <w:t>what</w:t>
      </w:r>
      <w:r w:rsidRPr="005F0506">
        <w:t xml:space="preserve"> else should be done in this area</w:t>
      </w:r>
      <w:r w:rsidR="00494330" w:rsidRPr="005F0506">
        <w:t xml:space="preserve"> to achieve the objectives of the </w:t>
      </w:r>
      <w:proofErr w:type="spellStart"/>
      <w:r w:rsidR="00494330" w:rsidRPr="005F0506">
        <w:t>NWI</w:t>
      </w:r>
      <w:proofErr w:type="spellEnd"/>
      <w:r w:rsidR="00DD4CE2" w:rsidRPr="005F0506">
        <w:t>.</w:t>
      </w:r>
      <w:r w:rsidRPr="005F0506">
        <w:t xml:space="preserve"> </w:t>
      </w:r>
      <w:r w:rsidR="00F5379C" w:rsidRPr="00F5379C">
        <w:t xml:space="preserve">For example, some participants note that there is still scope to more clearly define </w:t>
      </w:r>
      <w:r w:rsidR="002A659F">
        <w:t>I</w:t>
      </w:r>
      <w:r w:rsidR="00F5379C" w:rsidRPr="00F5379C">
        <w:t>ndigenous rights to water.</w:t>
      </w:r>
    </w:p>
    <w:p w14:paraId="32E92986" w14:textId="77777777" w:rsidR="00384DE2" w:rsidRDefault="00384DE2" w:rsidP="00384DE2">
      <w:pPr>
        <w:pStyle w:val="Heading4"/>
      </w:pPr>
      <w:r>
        <w:lastRenderedPageBreak/>
        <w:t>Ensuring water planning and entitlement frameworks support new infrastructure investment</w:t>
      </w:r>
    </w:p>
    <w:p w14:paraId="32E92987" w14:textId="17117617" w:rsidR="00822794" w:rsidRPr="00C85B28" w:rsidRDefault="00295932" w:rsidP="00266E68">
      <w:pPr>
        <w:pStyle w:val="BodyText"/>
      </w:pPr>
      <w:r>
        <w:t>T</w:t>
      </w:r>
      <w:r w:rsidR="00384DE2">
        <w:t>here are number of major greenfield infrastructure investments currently under consideration in Australia (for example,</w:t>
      </w:r>
      <w:r w:rsidR="00570D66">
        <w:t xml:space="preserve"> some infrastructure</w:t>
      </w:r>
      <w:r w:rsidR="00384DE2">
        <w:t xml:space="preserve"> proposals in northern Australia). Several participants emphasised the importance of having robust water entitlement and planning frameworks conducive to investor confidence</w:t>
      </w:r>
      <w:r w:rsidR="0040137D">
        <w:t xml:space="preserve"> —</w:t>
      </w:r>
      <w:r w:rsidR="00384DE2">
        <w:t xml:space="preserve"> thereby facilitating investment in major new infrastructure</w:t>
      </w:r>
      <w:r w:rsidR="0040137D">
        <w:t xml:space="preserve"> — </w:t>
      </w:r>
      <w:r w:rsidR="00384DE2">
        <w:t xml:space="preserve">while managing risks to the supply security of existing water users. </w:t>
      </w:r>
    </w:p>
    <w:p w14:paraId="32E92988" w14:textId="5873662B" w:rsidR="00266E68" w:rsidRPr="004E3B94" w:rsidRDefault="00266E68" w:rsidP="00266E68">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266E68" w14:paraId="32E92990" w14:textId="77777777" w:rsidTr="00266E68">
        <w:trPr>
          <w:cantSplit/>
          <w:tblHeader/>
        </w:trPr>
        <w:tc>
          <w:tcPr>
            <w:tcW w:w="8770" w:type="dxa"/>
            <w:tcBorders>
              <w:top w:val="single" w:sz="6" w:space="0" w:color="78A22F"/>
              <w:left w:val="nil"/>
              <w:bottom w:val="nil"/>
              <w:right w:val="nil"/>
            </w:tcBorders>
            <w:shd w:val="clear" w:color="auto" w:fill="auto"/>
          </w:tcPr>
          <w:p w14:paraId="32E92989" w14:textId="6056144F" w:rsidR="00266E68" w:rsidRPr="00986231" w:rsidRDefault="00D10901" w:rsidP="00621E66">
            <w:pPr>
              <w:pStyle w:val="InformationRequestTitle"/>
            </w:pPr>
            <w:r>
              <w:t>information request</w:t>
            </w:r>
          </w:p>
          <w:p w14:paraId="32E9298A" w14:textId="77777777" w:rsidR="00266E68" w:rsidRDefault="00266E68" w:rsidP="00266E68">
            <w:pPr>
              <w:pStyle w:val="InformationRequestBullet"/>
            </w:pPr>
            <w:r>
              <w:t>What are the key areas of water planning where further progress is required to achieve the objec</w:t>
            </w:r>
            <w:r w:rsidR="003C748C">
              <w:t xml:space="preserve">tives and outcomes of the </w:t>
            </w:r>
            <w:proofErr w:type="spellStart"/>
            <w:r w:rsidR="003C748C">
              <w:t>NWI</w:t>
            </w:r>
            <w:proofErr w:type="spellEnd"/>
            <w:r w:rsidR="003C748C">
              <w:t xml:space="preserve">? </w:t>
            </w:r>
          </w:p>
          <w:p w14:paraId="32E9298B" w14:textId="77777777" w:rsidR="00266E68" w:rsidRPr="00B33464" w:rsidRDefault="00266E68" w:rsidP="00266E68">
            <w:pPr>
              <w:pStyle w:val="InformationRequestBullet"/>
            </w:pPr>
            <w:r>
              <w:t xml:space="preserve">Is there scope to streamline water planning processes to reduce unnecessary costs on planners and </w:t>
            </w:r>
            <w:r w:rsidR="00644119">
              <w:t>participants</w:t>
            </w:r>
            <w:r>
              <w:t>?</w:t>
            </w:r>
          </w:p>
          <w:p w14:paraId="58557454" w14:textId="0EDC3444" w:rsidR="0083630B" w:rsidRPr="0083630B" w:rsidRDefault="0083630B" w:rsidP="0083630B">
            <w:pPr>
              <w:pStyle w:val="InformationRequestBullet"/>
            </w:pPr>
            <w:r>
              <w:t xml:space="preserve">Are processes for reviewing water plans sufficiently robust, transparent, open, and timely? </w:t>
            </w:r>
          </w:p>
          <w:p w14:paraId="32E9298C" w14:textId="6155FC54" w:rsidR="003D674E" w:rsidRPr="00B33464" w:rsidRDefault="003D674E" w:rsidP="003D674E">
            <w:pPr>
              <w:pStyle w:val="InformationRequestBullet"/>
            </w:pPr>
            <w:r>
              <w:t>Is there scope to improve how water plans deal with long</w:t>
            </w:r>
            <w:r w:rsidR="007E751A">
              <w:noBreakHyphen/>
            </w:r>
            <w:r>
              <w:t>term shifts in climate affecting resource availability?</w:t>
            </w:r>
            <w:r w:rsidRPr="00DC55FC">
              <w:t xml:space="preserve"> </w:t>
            </w:r>
            <w:r>
              <w:t>Are there recent examples of leading practice?</w:t>
            </w:r>
          </w:p>
          <w:p w14:paraId="32E9298D" w14:textId="19D93F7D" w:rsidR="00384DE2" w:rsidRPr="00384DE2" w:rsidRDefault="00384DE2" w:rsidP="00384DE2">
            <w:pPr>
              <w:pStyle w:val="InformationRequestBullet"/>
            </w:pPr>
            <w:r>
              <w:t>Are current water entitlement and planning frameworks conducive to investor confidence</w:t>
            </w:r>
            <w:r w:rsidR="0040137D">
              <w:t>,</w:t>
            </w:r>
            <w:r>
              <w:t xml:space="preserve"> facilitating investment in major new infrastructure (such as in northern Australia), while managing risks to the supply security of existing water users?</w:t>
            </w:r>
          </w:p>
          <w:p w14:paraId="32E9298E" w14:textId="3ABE165B" w:rsidR="00266E68" w:rsidRDefault="00266E68" w:rsidP="00053C38">
            <w:pPr>
              <w:pStyle w:val="InformationRequestBullet"/>
            </w:pPr>
            <w:r>
              <w:t xml:space="preserve">How can the interests and needs of Indigenous people be better accommodated and represented </w:t>
            </w:r>
            <w:r w:rsidR="00053C38">
              <w:t>in water planning process</w:t>
            </w:r>
            <w:r w:rsidR="007E751A">
              <w:t>es</w:t>
            </w:r>
            <w:r w:rsidR="00053C38">
              <w:t xml:space="preserve">? </w:t>
            </w:r>
          </w:p>
          <w:p w14:paraId="32E9298F" w14:textId="27FA0768" w:rsidR="00266E68" w:rsidRPr="00B33464" w:rsidRDefault="00B40A88" w:rsidP="004346CF">
            <w:pPr>
              <w:pStyle w:val="InformationRequestBullet"/>
            </w:pPr>
            <w:r>
              <w:t>What steps have been taken — or should be taken — to integrate w</w:t>
            </w:r>
            <w:r w:rsidRPr="007D42C4">
              <w:t xml:space="preserve">ater </w:t>
            </w:r>
            <w:r w:rsidRPr="00B30AC2">
              <w:t>quality</w:t>
            </w:r>
            <w:r w:rsidRPr="007D42C4">
              <w:t xml:space="preserve"> objectives</w:t>
            </w:r>
            <w:r>
              <w:t xml:space="preserve"> into </w:t>
            </w:r>
            <w:r w:rsidRPr="000A4E9A">
              <w:t>water planning arrangements</w:t>
            </w:r>
            <w:r>
              <w:t xml:space="preserve">? </w:t>
            </w:r>
          </w:p>
        </w:tc>
      </w:tr>
      <w:tr w:rsidR="00266E68" w14:paraId="32E92992" w14:textId="77777777" w:rsidTr="00266E68">
        <w:tc>
          <w:tcPr>
            <w:tcW w:w="8770" w:type="dxa"/>
            <w:tcBorders>
              <w:top w:val="nil"/>
              <w:left w:val="nil"/>
              <w:bottom w:val="single" w:sz="6" w:space="0" w:color="78A22F"/>
              <w:right w:val="nil"/>
            </w:tcBorders>
            <w:shd w:val="clear" w:color="auto" w:fill="auto"/>
          </w:tcPr>
          <w:p w14:paraId="32E92991" w14:textId="77777777" w:rsidR="00266E68" w:rsidRDefault="00266E68" w:rsidP="00266E68">
            <w:pPr>
              <w:pStyle w:val="Space"/>
              <w:keepLines/>
            </w:pPr>
          </w:p>
        </w:tc>
      </w:tr>
      <w:tr w:rsidR="00266E68" w:rsidRPr="000863A5" w14:paraId="32E92994" w14:textId="77777777" w:rsidTr="00266E68">
        <w:tc>
          <w:tcPr>
            <w:tcW w:w="8770" w:type="dxa"/>
            <w:tcBorders>
              <w:top w:val="single" w:sz="6" w:space="0" w:color="78A22F"/>
              <w:left w:val="nil"/>
              <w:bottom w:val="nil"/>
              <w:right w:val="nil"/>
            </w:tcBorders>
          </w:tcPr>
          <w:p w14:paraId="32E92993" w14:textId="445DDA95" w:rsidR="00266E68" w:rsidRPr="00626D32" w:rsidRDefault="00266E68" w:rsidP="00266E68">
            <w:pPr>
              <w:pStyle w:val="BoxSpaceBelow"/>
              <w:keepLines/>
            </w:pPr>
          </w:p>
        </w:tc>
      </w:tr>
    </w:tbl>
    <w:p w14:paraId="32E92995" w14:textId="77777777" w:rsidR="00EC4988" w:rsidRDefault="00EC4988" w:rsidP="00EC4988">
      <w:pPr>
        <w:pStyle w:val="Heading3"/>
      </w:pPr>
      <w:r>
        <w:t>Water trading</w:t>
      </w:r>
    </w:p>
    <w:p w14:paraId="32E92996" w14:textId="49E7FB3A" w:rsidR="0097695C" w:rsidRDefault="0097695C" w:rsidP="0097695C">
      <w:pPr>
        <w:pStyle w:val="BodyText"/>
      </w:pPr>
      <w:r>
        <w:t xml:space="preserve">Prior to the reform era, rights to water were generally tied to land </w:t>
      </w:r>
      <w:r w:rsidR="00235AAF">
        <w:t xml:space="preserve">such </w:t>
      </w:r>
      <w:r>
        <w:t xml:space="preserve">that the only way to transfer water between users was through land purchase. During the </w:t>
      </w:r>
      <w:proofErr w:type="spellStart"/>
      <w:r>
        <w:t>1980s</w:t>
      </w:r>
      <w:proofErr w:type="spellEnd"/>
      <w:r>
        <w:t xml:space="preserve"> and 1990s steps were taken to </w:t>
      </w:r>
      <w:r w:rsidR="00D67E1F">
        <w:t xml:space="preserve">unbundle water from land and </w:t>
      </w:r>
      <w:r>
        <w:t>open up water trading, initially within irrigation districts, but subsequently also between districts</w:t>
      </w:r>
      <w:r w:rsidR="00C20D6A">
        <w:t xml:space="preserve"> </w:t>
      </w:r>
      <w:r w:rsidR="00C20D6A" w:rsidRPr="00C20D6A">
        <w:rPr>
          <w:szCs w:val="24"/>
        </w:rPr>
        <w:t>(Australian Water Partnership 2016)</w:t>
      </w:r>
      <w:r>
        <w:t xml:space="preserve">. The </w:t>
      </w:r>
      <w:proofErr w:type="spellStart"/>
      <w:r>
        <w:t>NWI</w:t>
      </w:r>
      <w:proofErr w:type="spellEnd"/>
      <w:r>
        <w:t xml:space="preserve"> built on these initiatives by committing </w:t>
      </w:r>
      <w:r w:rsidR="001E0367">
        <w:t>S</w:t>
      </w:r>
      <w:r>
        <w:t xml:space="preserve">tates and </w:t>
      </w:r>
      <w:r w:rsidR="001E0367">
        <w:t>T</w:t>
      </w:r>
      <w:r>
        <w:t>erritories to progressively remove barriers to trade to achieve an open trading market.</w:t>
      </w:r>
    </w:p>
    <w:p w14:paraId="32E92997" w14:textId="7B9B0DE8" w:rsidR="0097695C" w:rsidRPr="007D5360" w:rsidRDefault="0097695C" w:rsidP="0097695C">
      <w:pPr>
        <w:pStyle w:val="BodyText"/>
      </w:pPr>
      <w:r>
        <w:t xml:space="preserve">The </w:t>
      </w:r>
      <w:proofErr w:type="spellStart"/>
      <w:r>
        <w:t>NWC</w:t>
      </w:r>
      <w:proofErr w:type="spellEnd"/>
      <w:r>
        <w:t xml:space="preserve"> </w:t>
      </w:r>
      <w:r w:rsidR="00C20D6A" w:rsidRPr="00C20D6A">
        <w:t>(</w:t>
      </w:r>
      <w:proofErr w:type="spellStart"/>
      <w:r w:rsidR="00C20D6A" w:rsidRPr="00C20D6A">
        <w:t>2014b</w:t>
      </w:r>
      <w:proofErr w:type="spellEnd"/>
      <w:r w:rsidR="00C20D6A" w:rsidRPr="00C20D6A">
        <w:t>)</w:t>
      </w:r>
      <w:r>
        <w:t xml:space="preserve"> found that, under the </w:t>
      </w:r>
      <w:proofErr w:type="spellStart"/>
      <w:r>
        <w:t>NWI</w:t>
      </w:r>
      <w:proofErr w:type="spellEnd"/>
      <w:r>
        <w:t xml:space="preserve">, considerable progress had been made in </w:t>
      </w:r>
      <w:r w:rsidRPr="007D5360">
        <w:t>remov</w:t>
      </w:r>
      <w:r>
        <w:t>ing</w:t>
      </w:r>
      <w:r w:rsidRPr="007D5360">
        <w:t xml:space="preserve"> unnecessary barriers to trade,</w:t>
      </w:r>
      <w:r>
        <w:t xml:space="preserve"> </w:t>
      </w:r>
      <w:r w:rsidRPr="007D5360">
        <w:t>facilitati</w:t>
      </w:r>
      <w:r>
        <w:t>ng</w:t>
      </w:r>
      <w:r w:rsidRPr="007D5360">
        <w:t xml:space="preserve"> interstate trade and </w:t>
      </w:r>
      <w:r>
        <w:t xml:space="preserve">reducing transaction costs. </w:t>
      </w:r>
      <w:r w:rsidR="00D7620E">
        <w:t>It</w:t>
      </w:r>
      <w:r>
        <w:t xml:space="preserve"> reported that water trading </w:t>
      </w:r>
      <w:r w:rsidRPr="007E3598">
        <w:t>ha</w:t>
      </w:r>
      <w:r>
        <w:t>d</w:t>
      </w:r>
      <w:r w:rsidRPr="007E3598">
        <w:t xml:space="preserve"> become a vital tool for giving irrigators the flexibility to respond to variable water availability and market factors</w:t>
      </w:r>
      <w:r>
        <w:t xml:space="preserve">, particularly for those accessing surface water within the </w:t>
      </w:r>
      <w:proofErr w:type="spellStart"/>
      <w:r>
        <w:t>MDB</w:t>
      </w:r>
      <w:proofErr w:type="spellEnd"/>
      <w:r w:rsidRPr="007E3598">
        <w:t xml:space="preserve">. </w:t>
      </w:r>
      <w:r>
        <w:t xml:space="preserve">The </w:t>
      </w:r>
      <w:proofErr w:type="spellStart"/>
      <w:r>
        <w:t>NWC</w:t>
      </w:r>
      <w:proofErr w:type="spellEnd"/>
      <w:r>
        <w:t xml:space="preserve"> also found that further benefits </w:t>
      </w:r>
      <w:r>
        <w:lastRenderedPageBreak/>
        <w:t xml:space="preserve">could be achieved by </w:t>
      </w:r>
      <w:r w:rsidRPr="007D5360">
        <w:t>improv</w:t>
      </w:r>
      <w:r>
        <w:t>ing</w:t>
      </w:r>
      <w:r w:rsidRPr="007D5360">
        <w:t xml:space="preserve"> market systems</w:t>
      </w:r>
      <w:r>
        <w:t xml:space="preserve"> and </w:t>
      </w:r>
      <w:r w:rsidRPr="007D5360">
        <w:t>access to information</w:t>
      </w:r>
      <w:r>
        <w:t>, and by expanding trade to new water sources.</w:t>
      </w:r>
      <w:r w:rsidRPr="007D5360">
        <w:t xml:space="preserve"> </w:t>
      </w:r>
    </w:p>
    <w:p w14:paraId="32E92998" w14:textId="3D5BC1BD" w:rsidR="0097695C" w:rsidRDefault="00D74C43" w:rsidP="0097695C">
      <w:pPr>
        <w:pStyle w:val="BodyText"/>
      </w:pPr>
      <w:r>
        <w:t>Water</w:t>
      </w:r>
      <w:r w:rsidR="0097695C">
        <w:t xml:space="preserve"> trading </w:t>
      </w:r>
      <w:r w:rsidR="00580BAC">
        <w:t xml:space="preserve">has been a pivotal policy development as </w:t>
      </w:r>
      <w:r w:rsidR="0097695C">
        <w:t xml:space="preserve">it allows water to move to its highest value use and gives irrigators (and others) more options for managing drought and changes in commodity prices. Past reforms to facilitate water markets and trading have been successful to the extent that Australia is </w:t>
      </w:r>
      <w:r w:rsidR="005B3F2C">
        <w:t>seen</w:t>
      </w:r>
      <w:r w:rsidR="0097695C">
        <w:t xml:space="preserve"> as a world leader in water markets</w:t>
      </w:r>
      <w:r w:rsidR="006E7520">
        <w:t xml:space="preserve"> </w:t>
      </w:r>
      <w:r w:rsidR="006E7520" w:rsidRPr="006E7520">
        <w:rPr>
          <w:szCs w:val="24"/>
        </w:rPr>
        <w:t>(</w:t>
      </w:r>
      <w:proofErr w:type="spellStart"/>
      <w:r w:rsidR="006E7520" w:rsidRPr="006E7520">
        <w:rPr>
          <w:szCs w:val="24"/>
        </w:rPr>
        <w:t>SCEW</w:t>
      </w:r>
      <w:proofErr w:type="spellEnd"/>
      <w:r w:rsidR="006E7520" w:rsidRPr="006E7520">
        <w:rPr>
          <w:szCs w:val="24"/>
        </w:rPr>
        <w:t> </w:t>
      </w:r>
      <w:r w:rsidR="006E7520" w:rsidRPr="008B1FB4">
        <w:rPr>
          <w:szCs w:val="24"/>
        </w:rPr>
        <w:t>2013)</w:t>
      </w:r>
      <w:r w:rsidR="0097695C">
        <w:t xml:space="preserve">. Notwithstanding this progress, there </w:t>
      </w:r>
      <w:r w:rsidR="00B86DB1">
        <w:t xml:space="preserve">may be </w:t>
      </w:r>
      <w:r w:rsidR="0097695C">
        <w:t xml:space="preserve">further gains to be realised from </w:t>
      </w:r>
      <w:r w:rsidR="00A41F2A">
        <w:t>overcoming</w:t>
      </w:r>
      <w:r w:rsidR="009F269F">
        <w:t xml:space="preserve"> </w:t>
      </w:r>
      <w:r w:rsidR="0097695C">
        <w:t xml:space="preserve">remaining barriers to trade in both water access entitlements and water allocations. Some prospective areas for improvement are discussed below. </w:t>
      </w:r>
    </w:p>
    <w:p w14:paraId="32E92999" w14:textId="77777777" w:rsidR="0097695C" w:rsidRDefault="0097695C" w:rsidP="0097695C">
      <w:pPr>
        <w:pStyle w:val="Heading4"/>
      </w:pPr>
      <w:r>
        <w:t>Enabling wider trade</w:t>
      </w:r>
    </w:p>
    <w:p w14:paraId="32E9299A" w14:textId="77777777" w:rsidR="0097695C" w:rsidRDefault="0097695C" w:rsidP="0097695C">
      <w:pPr>
        <w:pStyle w:val="BodyText"/>
      </w:pPr>
      <w:r>
        <w:t>In some regions there is little or no trade in surface or groundwater because the water planning and entitlement frameworks in place do not support it. For example, trade can be impeded by:</w:t>
      </w:r>
    </w:p>
    <w:p w14:paraId="32E9299B" w14:textId="77777777" w:rsidR="0097695C" w:rsidRDefault="0097695C" w:rsidP="0097695C">
      <w:pPr>
        <w:pStyle w:val="ListBullet"/>
      </w:pPr>
      <w:r>
        <w:t>the absence of water plans and associated trading rules that would be needed to ensure that trade did not harm other water users or the environment</w:t>
      </w:r>
    </w:p>
    <w:p w14:paraId="32E9299C" w14:textId="77777777" w:rsidR="0097695C" w:rsidRDefault="0097695C" w:rsidP="0097695C">
      <w:pPr>
        <w:pStyle w:val="ListBullet"/>
      </w:pPr>
      <w:r>
        <w:t>the existence of ‘bundled’ entitlements, in which the right to access water has not been separated from the right to use it.</w:t>
      </w:r>
    </w:p>
    <w:p w14:paraId="32E9299D" w14:textId="569ED30E" w:rsidR="0097695C" w:rsidRDefault="0097695C" w:rsidP="0097695C">
      <w:pPr>
        <w:pStyle w:val="BodyText"/>
      </w:pPr>
      <w:r>
        <w:t xml:space="preserve">While such situations might be regarded as ‘unfinished business’ under the </w:t>
      </w:r>
      <w:proofErr w:type="spellStart"/>
      <w:r>
        <w:t>NWI</w:t>
      </w:r>
      <w:proofErr w:type="spellEnd"/>
      <w:r>
        <w:t>, action is not always warranted. This is because the benefits of putting trade</w:t>
      </w:r>
      <w:r w:rsidR="003F5FF6">
        <w:noBreakHyphen/>
      </w:r>
      <w:r>
        <w:t>supportive frameworks in place need to be weighed up against the costs. That said, it is likely t</w:t>
      </w:r>
      <w:r w:rsidR="003363EB">
        <w:t>hat there are areas where trade</w:t>
      </w:r>
      <w:r w:rsidR="003363EB">
        <w:noBreakHyphen/>
      </w:r>
      <w:r>
        <w:t>enabling reforms would produce net gains.</w:t>
      </w:r>
    </w:p>
    <w:p w14:paraId="32E9299E" w14:textId="2A248480" w:rsidR="0097695C" w:rsidRDefault="0097695C" w:rsidP="0097695C">
      <w:pPr>
        <w:pStyle w:val="Heading4"/>
      </w:pPr>
      <w:r>
        <w:t>Making sure that trade restriction</w:t>
      </w:r>
      <w:r w:rsidR="005C7A14">
        <w:t>s</w:t>
      </w:r>
      <w:r>
        <w:t xml:space="preserve"> are efficient and transaction costs low </w:t>
      </w:r>
    </w:p>
    <w:p w14:paraId="32E9299F" w14:textId="247BF7BD" w:rsidR="0097695C" w:rsidRPr="00D67229" w:rsidRDefault="0097695C" w:rsidP="0097695C">
      <w:pPr>
        <w:pStyle w:val="BodyText"/>
      </w:pPr>
      <w:r w:rsidDel="008406B1">
        <w:t xml:space="preserve">There </w:t>
      </w:r>
      <w:r>
        <w:t>may be reasons to limit trade within surface and groundwater systems to manage physical or hydrological constraints, or to provide for environmental needs. For example, limits may be needed to address channel capacity</w:t>
      </w:r>
      <w:r w:rsidR="003363EB">
        <w:t xml:space="preserve"> constraints or to manage inter</w:t>
      </w:r>
      <w:r w:rsidR="003363EB">
        <w:noBreakHyphen/>
      </w:r>
      <w:r>
        <w:t>valley transfers. While such rules or restrictions often have a clear purpose, it is important that they operate transparently and efficiently</w:t>
      </w:r>
      <w:r w:rsidRPr="00A757DB">
        <w:t>.</w:t>
      </w:r>
      <w:r>
        <w:t xml:space="preserve"> </w:t>
      </w:r>
    </w:p>
    <w:p w14:paraId="32E929A0" w14:textId="7EDD4E8E" w:rsidR="0097695C" w:rsidRDefault="0097695C" w:rsidP="0097695C">
      <w:pPr>
        <w:pStyle w:val="BodyText"/>
      </w:pPr>
      <w:r>
        <w:t>Restrictions have also been used</w:t>
      </w:r>
      <w:r w:rsidR="00D7262C">
        <w:t xml:space="preserve"> in the past</w:t>
      </w:r>
      <w:r>
        <w:t xml:space="preserve"> to limit the amount of water traded out of a region in an attempt to maintain production levels and employment in particular locations. The Commission, </w:t>
      </w:r>
      <w:proofErr w:type="spellStart"/>
      <w:r>
        <w:t>NWC</w:t>
      </w:r>
      <w:proofErr w:type="spellEnd"/>
      <w:r>
        <w:t xml:space="preserve"> and others have argued against such restrictions, the logic being that, overall, communities benefit from water (and other resources) being traded to its highest value use and that restrictions are </w:t>
      </w:r>
      <w:r w:rsidR="00044BFA">
        <w:t xml:space="preserve">not an effective </w:t>
      </w:r>
      <w:r w:rsidR="00680A93">
        <w:t>or</w:t>
      </w:r>
      <w:r w:rsidR="00044BFA">
        <w:t xml:space="preserve"> sustainable </w:t>
      </w:r>
      <w:r>
        <w:t xml:space="preserve">way to support local economic activity. Over time some restrictions have been removed, for example, Victoria removed the </w:t>
      </w:r>
      <w:r w:rsidR="000400E8">
        <w:t>four</w:t>
      </w:r>
      <w:r>
        <w:t xml:space="preserve"> per cent limit on entitlement trade out of irrigation areas in July 2014 </w:t>
      </w:r>
      <w:r w:rsidR="008B1FB4" w:rsidRPr="008B1FB4">
        <w:rPr>
          <w:szCs w:val="24"/>
        </w:rPr>
        <w:t>(</w:t>
      </w:r>
      <w:proofErr w:type="spellStart"/>
      <w:r w:rsidR="008B1FB4" w:rsidRPr="008B1FB4">
        <w:rPr>
          <w:szCs w:val="24"/>
        </w:rPr>
        <w:t>NWC</w:t>
      </w:r>
      <w:proofErr w:type="spellEnd"/>
      <w:r w:rsidR="008B1FB4" w:rsidRPr="008B1FB4">
        <w:rPr>
          <w:szCs w:val="24"/>
        </w:rPr>
        <w:t> </w:t>
      </w:r>
      <w:proofErr w:type="spellStart"/>
      <w:r w:rsidR="008B1FB4" w:rsidRPr="008B1FB4">
        <w:rPr>
          <w:szCs w:val="24"/>
        </w:rPr>
        <w:t>2014b</w:t>
      </w:r>
      <w:proofErr w:type="spellEnd"/>
      <w:r w:rsidR="008B1FB4" w:rsidRPr="008B1FB4">
        <w:rPr>
          <w:szCs w:val="24"/>
        </w:rPr>
        <w:t>, p.</w:t>
      </w:r>
      <w:r w:rsidR="008B1FB4" w:rsidRPr="00887C03">
        <w:rPr>
          <w:szCs w:val="24"/>
        </w:rPr>
        <w:t> 235)</w:t>
      </w:r>
      <w:r>
        <w:t xml:space="preserve">. However, the Commission understands that some restrictions remain, including </w:t>
      </w:r>
      <w:r w:rsidR="00B86DB1">
        <w:t xml:space="preserve">notably </w:t>
      </w:r>
      <w:r>
        <w:t>on trading water from rural to urban use in some places.</w:t>
      </w:r>
    </w:p>
    <w:p w14:paraId="32E929A1" w14:textId="7D451D93" w:rsidR="0097695C" w:rsidRDefault="0097695C" w:rsidP="0097695C">
      <w:pPr>
        <w:pStyle w:val="BodyText"/>
      </w:pPr>
      <w:r>
        <w:lastRenderedPageBreak/>
        <w:t xml:space="preserve">Even where trade rules are appropriate, costs and delays can impede trade. For example, incompatible water registries can make interstate trade more cumbersome than it would otherwise be and this can discourage </w:t>
      </w:r>
      <w:r w:rsidR="00044BFA">
        <w:t xml:space="preserve">market </w:t>
      </w:r>
      <w:r>
        <w:t>participation. Excessive termination fees can also impede trade in water. These</w:t>
      </w:r>
      <w:r w:rsidRPr="00CE5D14">
        <w:t xml:space="preserve"> fees </w:t>
      </w:r>
      <w:r>
        <w:t>are</w:t>
      </w:r>
      <w:r w:rsidRPr="00CE5D14">
        <w:t xml:space="preserve"> payable by irrigators </w:t>
      </w:r>
      <w:r>
        <w:t xml:space="preserve">when they </w:t>
      </w:r>
      <w:r w:rsidR="002E14AB">
        <w:t>terminate (or </w:t>
      </w:r>
      <w:r w:rsidRPr="00CE5D14">
        <w:t>surrender) access to an irrigation network</w:t>
      </w:r>
      <w:r>
        <w:t>. While termination fees are warranted in certain circumstances, they can prevent worthwhile trades from occurring by reducing the net proceeds to the seller</w:t>
      </w:r>
      <w:r w:rsidR="00B86DB1">
        <w:t xml:space="preserve">; or in </w:t>
      </w:r>
      <w:r w:rsidR="00BF1443">
        <w:t>the alternative,</w:t>
      </w:r>
      <w:r w:rsidR="00AD5B97">
        <w:t xml:space="preserve"> prevent water from being traded to higher value uses</w:t>
      </w:r>
      <w:r>
        <w:t>.</w:t>
      </w:r>
    </w:p>
    <w:p w14:paraId="32E929A2" w14:textId="77777777" w:rsidR="0097695C" w:rsidRDefault="0097695C" w:rsidP="0097695C">
      <w:pPr>
        <w:pStyle w:val="Heading4"/>
      </w:pPr>
      <w:r>
        <w:t>Improving access to information</w:t>
      </w:r>
    </w:p>
    <w:p w14:paraId="32E929A3" w14:textId="33AF574D" w:rsidR="0097695C" w:rsidRDefault="0097695C" w:rsidP="0097695C">
      <w:pPr>
        <w:pStyle w:val="BodyText"/>
      </w:pPr>
      <w:r>
        <w:t xml:space="preserve">For water markets to function </w:t>
      </w:r>
      <w:r w:rsidR="000A1174">
        <w:t>well</w:t>
      </w:r>
      <w:r>
        <w:t xml:space="preserve">, participants need to have access to timely and reliable information, particularly on trade prices and volumes. </w:t>
      </w:r>
      <w:r w:rsidR="00416860">
        <w:t>T</w:t>
      </w:r>
      <w:r>
        <w:t xml:space="preserve">he </w:t>
      </w:r>
      <w:proofErr w:type="spellStart"/>
      <w:r>
        <w:t>NWC</w:t>
      </w:r>
      <w:proofErr w:type="spellEnd"/>
      <w:r>
        <w:t xml:space="preserve"> found that, despite some improvements, the availability and quality of water market price and volume data was </w:t>
      </w:r>
      <w:r w:rsidR="00887C03">
        <w:t>‘</w:t>
      </w:r>
      <w:r>
        <w:t>less than optimal in all water market sectors</w:t>
      </w:r>
      <w:r w:rsidR="00887C03">
        <w:t>’</w:t>
      </w:r>
      <w:r>
        <w:t xml:space="preserve"> </w:t>
      </w:r>
      <w:r w:rsidR="00351F6F" w:rsidRPr="00351F6F">
        <w:rPr>
          <w:szCs w:val="24"/>
        </w:rPr>
        <w:t>(</w:t>
      </w:r>
      <w:proofErr w:type="spellStart"/>
      <w:r w:rsidR="00351F6F" w:rsidRPr="00351F6F">
        <w:rPr>
          <w:szCs w:val="24"/>
        </w:rPr>
        <w:t>2014b</w:t>
      </w:r>
      <w:proofErr w:type="spellEnd"/>
      <w:r w:rsidR="00351F6F" w:rsidRPr="00351F6F">
        <w:rPr>
          <w:szCs w:val="24"/>
        </w:rPr>
        <w:t>, p. 41)</w:t>
      </w:r>
      <w:r w:rsidR="00416860">
        <w:t>.</w:t>
      </w:r>
    </w:p>
    <w:p w14:paraId="32E929A4" w14:textId="42DBDF08" w:rsidR="0097695C" w:rsidRDefault="005B3F2C" w:rsidP="0097695C">
      <w:pPr>
        <w:pStyle w:val="BodyText"/>
      </w:pPr>
      <w:r>
        <w:t>COAG</w:t>
      </w:r>
      <w:r w:rsidR="0097695C">
        <w:t xml:space="preserve"> attempted to address problems with market information and incompatible water registries through the introduction of a Nat</w:t>
      </w:r>
      <w:r w:rsidR="002E14AB">
        <w:t>ional Water Market System</w:t>
      </w:r>
      <w:r w:rsidR="0097695C">
        <w:t xml:space="preserve">. This system went part of the way to improving market information, but it was never fully implemented. </w:t>
      </w:r>
    </w:p>
    <w:p w14:paraId="32E929A5" w14:textId="645BBADA" w:rsidR="0097695C" w:rsidRDefault="0097695C" w:rsidP="0097695C">
      <w:pPr>
        <w:pStyle w:val="BodyText"/>
      </w:pPr>
      <w:r>
        <w:t xml:space="preserve">The efficient provision of information </w:t>
      </w:r>
      <w:r w:rsidR="00563F13">
        <w:t xml:space="preserve">may </w:t>
      </w:r>
      <w:r>
        <w:t xml:space="preserve">not </w:t>
      </w:r>
      <w:r w:rsidR="00001F08">
        <w:t>necessitate</w:t>
      </w:r>
      <w:r>
        <w:t xml:space="preserve"> the formation of a national water register or centralised dissemination (as was intended through the</w:t>
      </w:r>
      <w:r w:rsidR="002E14AB">
        <w:t xml:space="preserve"> National Water Market System</w:t>
      </w:r>
      <w:r>
        <w:t>). There may be more cost</w:t>
      </w:r>
      <w:r w:rsidR="00396CA0">
        <w:noBreakHyphen/>
      </w:r>
      <w:r>
        <w:t xml:space="preserve">effective ways of improving market information and addressing problems with incompatible water registries through, for example, adoption of best practice. </w:t>
      </w:r>
    </w:p>
    <w:p w14:paraId="32E929A6" w14:textId="393C63DB" w:rsidR="0097695C" w:rsidRPr="004E3B94" w:rsidRDefault="0097695C" w:rsidP="0097695C">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97695C" w14:paraId="32E929AD" w14:textId="77777777" w:rsidTr="0097695C">
        <w:trPr>
          <w:cantSplit/>
          <w:tblHeader/>
        </w:trPr>
        <w:tc>
          <w:tcPr>
            <w:tcW w:w="8770" w:type="dxa"/>
            <w:tcBorders>
              <w:top w:val="single" w:sz="6" w:space="0" w:color="78A22F"/>
              <w:left w:val="nil"/>
              <w:bottom w:val="nil"/>
              <w:right w:val="nil"/>
            </w:tcBorders>
            <w:shd w:val="clear" w:color="auto" w:fill="auto"/>
          </w:tcPr>
          <w:p w14:paraId="32E929A7" w14:textId="080819CA" w:rsidR="0097695C" w:rsidRPr="00B54382" w:rsidRDefault="00D10901" w:rsidP="00621E66">
            <w:pPr>
              <w:pStyle w:val="InformationRequestTitle"/>
            </w:pPr>
            <w:r>
              <w:t>information request</w:t>
            </w:r>
          </w:p>
          <w:p w14:paraId="32E929A8" w14:textId="77777777" w:rsidR="0097695C" w:rsidRDefault="0097695C" w:rsidP="0097695C">
            <w:pPr>
              <w:pStyle w:val="InformationRequestBullet"/>
            </w:pPr>
            <w:r w:rsidRPr="00F47310">
              <w:t xml:space="preserve">To what extent has the </w:t>
            </w:r>
            <w:proofErr w:type="spellStart"/>
            <w:r w:rsidR="00F8209C">
              <w:t>NWI</w:t>
            </w:r>
            <w:proofErr w:type="spellEnd"/>
            <w:r w:rsidRPr="00F47310">
              <w:t xml:space="preserve"> goal of open water trading markets been achieved? </w:t>
            </w:r>
          </w:p>
          <w:p w14:paraId="32E929A9" w14:textId="77777777" w:rsidR="0097695C" w:rsidRDefault="0097695C" w:rsidP="0097695C">
            <w:pPr>
              <w:pStyle w:val="InformationRequestBullet"/>
            </w:pPr>
            <w:r w:rsidRPr="00D67229">
              <w:t>Are there worthwhile opportunities to expand trade to new regions and water resources?</w:t>
            </w:r>
          </w:p>
          <w:p w14:paraId="32E929AA" w14:textId="77777777" w:rsidR="0097695C" w:rsidRPr="00E06318" w:rsidRDefault="0097695C" w:rsidP="0097695C">
            <w:pPr>
              <w:pStyle w:val="InformationRequestBullet"/>
            </w:pPr>
            <w:r w:rsidRPr="00E06318">
              <w:t>Are there restrictions on trading water that are unwarranted and should be removed</w:t>
            </w:r>
            <w:r>
              <w:t xml:space="preserve"> or revised</w:t>
            </w:r>
            <w:r w:rsidRPr="00E06318">
              <w:t>?</w:t>
            </w:r>
          </w:p>
          <w:p w14:paraId="32E929AB" w14:textId="03BE044D" w:rsidR="0097695C" w:rsidRPr="00A71344" w:rsidRDefault="0097695C" w:rsidP="0097695C">
            <w:pPr>
              <w:pStyle w:val="InformationRequestBullet"/>
            </w:pPr>
            <w:r w:rsidRPr="00A71344">
              <w:t>Are there actions that governments should take to reduce costs and delays of trading water, including for inter</w:t>
            </w:r>
            <w:r w:rsidR="00396CA0">
              <w:noBreakHyphen/>
            </w:r>
            <w:r w:rsidRPr="00A71344">
              <w:t>region and interstate trade?</w:t>
            </w:r>
          </w:p>
          <w:p w14:paraId="32E929AC" w14:textId="73BAE21C" w:rsidR="0097695C" w:rsidRPr="00CE4C64" w:rsidRDefault="0097695C" w:rsidP="0097695C">
            <w:pPr>
              <w:pStyle w:val="InformationRequestBullet"/>
            </w:pPr>
            <w:r>
              <w:t xml:space="preserve">How can water market </w:t>
            </w:r>
            <w:r w:rsidRPr="00ED10BA">
              <w:t>information</w:t>
            </w:r>
            <w:r>
              <w:t xml:space="preserve"> be made more timely, reliable and accessible</w:t>
            </w:r>
            <w:r w:rsidR="00C420C0">
              <w:t xml:space="preserve"> in a cost</w:t>
            </w:r>
            <w:r w:rsidR="00C420C0">
              <w:noBreakHyphen/>
            </w:r>
            <w:r w:rsidR="00001F08">
              <w:t>effective way</w:t>
            </w:r>
            <w:r w:rsidRPr="00ED10BA">
              <w:t xml:space="preserve">? </w:t>
            </w:r>
          </w:p>
        </w:tc>
      </w:tr>
      <w:tr w:rsidR="0097695C" w14:paraId="32E929AF" w14:textId="77777777" w:rsidTr="0097695C">
        <w:tc>
          <w:tcPr>
            <w:tcW w:w="8770" w:type="dxa"/>
            <w:tcBorders>
              <w:top w:val="nil"/>
              <w:left w:val="nil"/>
              <w:bottom w:val="single" w:sz="6" w:space="0" w:color="78A22F"/>
              <w:right w:val="nil"/>
            </w:tcBorders>
            <w:shd w:val="clear" w:color="auto" w:fill="auto"/>
          </w:tcPr>
          <w:p w14:paraId="32E929AE" w14:textId="77777777" w:rsidR="0097695C" w:rsidRDefault="0097695C" w:rsidP="0097695C">
            <w:pPr>
              <w:pStyle w:val="Space"/>
              <w:keepLines/>
            </w:pPr>
          </w:p>
        </w:tc>
      </w:tr>
      <w:tr w:rsidR="0097695C" w:rsidRPr="000863A5" w14:paraId="32E929B1" w14:textId="77777777" w:rsidTr="0097695C">
        <w:tc>
          <w:tcPr>
            <w:tcW w:w="8770" w:type="dxa"/>
            <w:tcBorders>
              <w:top w:val="single" w:sz="6" w:space="0" w:color="78A22F"/>
              <w:left w:val="nil"/>
              <w:bottom w:val="nil"/>
              <w:right w:val="nil"/>
            </w:tcBorders>
          </w:tcPr>
          <w:p w14:paraId="32E929B0" w14:textId="1865023D" w:rsidR="0097695C" w:rsidRPr="00626D32" w:rsidRDefault="0097695C" w:rsidP="0097695C">
            <w:pPr>
              <w:pStyle w:val="BoxSpaceBelow"/>
              <w:keepLines/>
            </w:pPr>
          </w:p>
        </w:tc>
      </w:tr>
    </w:tbl>
    <w:p w14:paraId="32E929B2" w14:textId="77777777" w:rsidR="009E2923" w:rsidRDefault="009E2923" w:rsidP="009E2923">
      <w:pPr>
        <w:pStyle w:val="Heading3"/>
      </w:pPr>
      <w:r>
        <w:t>Environmental management</w:t>
      </w:r>
    </w:p>
    <w:p w14:paraId="32E929B3" w14:textId="77777777" w:rsidR="009E2923" w:rsidRDefault="009E2923" w:rsidP="009E2923">
      <w:pPr>
        <w:pStyle w:val="BodyText"/>
      </w:pPr>
      <w:r>
        <w:t xml:space="preserve">Efficient and sustainable management of Australia’s water resources is critical for achieving good environmental outcomes. However, providing adequate water for the </w:t>
      </w:r>
      <w:r>
        <w:lastRenderedPageBreak/>
        <w:t>environment (</w:t>
      </w:r>
      <w:r w:rsidRPr="00F013D1">
        <w:rPr>
          <w:i/>
        </w:rPr>
        <w:t>planned</w:t>
      </w:r>
      <w:r>
        <w:t xml:space="preserve"> and </w:t>
      </w:r>
      <w:r w:rsidRPr="00F013D1">
        <w:rPr>
          <w:i/>
        </w:rPr>
        <w:t>held</w:t>
      </w:r>
      <w:r>
        <w:t xml:space="preserve"> environmental water)</w:t>
      </w:r>
      <w:r w:rsidR="00754F1A">
        <w:t>,</w:t>
      </w:r>
      <w:r>
        <w:t xml:space="preserve"> and making best use of that water</w:t>
      </w:r>
      <w:r w:rsidR="00754F1A">
        <w:t>,</w:t>
      </w:r>
      <w:r>
        <w:t xml:space="preserve"> is only one aspect of environmental management. Policies and regulations covering land and habitat management, river health, urban development, pollution and so on can be just as important for achieving the environmental outcomes that the community values. </w:t>
      </w:r>
    </w:p>
    <w:p w14:paraId="32E929B4" w14:textId="3318B263" w:rsidR="009E2923" w:rsidRDefault="009E2923" w:rsidP="009E2923">
      <w:pPr>
        <w:pStyle w:val="BodyText"/>
      </w:pPr>
      <w:r>
        <w:t>Integrated management of water for environmental and other public benefit outcomes (such as recreation, Indigenous and cultural values and tourism</w:t>
      </w:r>
      <w:r w:rsidR="002876F6">
        <w:t xml:space="preserve">) </w:t>
      </w:r>
      <w:r>
        <w:t xml:space="preserve">is a key element of the </w:t>
      </w:r>
      <w:proofErr w:type="spellStart"/>
      <w:r>
        <w:t>NWI</w:t>
      </w:r>
      <w:proofErr w:type="spellEnd"/>
      <w:r>
        <w:t xml:space="preserve">. </w:t>
      </w:r>
      <w:r w:rsidR="005B3F2C">
        <w:t>T</w:t>
      </w:r>
      <w:r>
        <w:t xml:space="preserve">he </w:t>
      </w:r>
      <w:proofErr w:type="spellStart"/>
      <w:r>
        <w:t>NWC</w:t>
      </w:r>
      <w:proofErr w:type="spellEnd"/>
      <w:r>
        <w:t xml:space="preserve"> found that all jurisdictions have made good progress in establishing an environmental water manager that is accountable for the achievement of environmental and other public benefit outcomes</w:t>
      </w:r>
      <w:r w:rsidR="0029744D">
        <w:t xml:space="preserve"> </w:t>
      </w:r>
      <w:r w:rsidR="00410E53" w:rsidRPr="00410E53">
        <w:rPr>
          <w:szCs w:val="24"/>
        </w:rPr>
        <w:t>(</w:t>
      </w:r>
      <w:proofErr w:type="spellStart"/>
      <w:r w:rsidR="00410E53" w:rsidRPr="00410E53">
        <w:rPr>
          <w:szCs w:val="24"/>
        </w:rPr>
        <w:t>NWC</w:t>
      </w:r>
      <w:proofErr w:type="spellEnd"/>
      <w:r w:rsidR="00410E53" w:rsidRPr="00410E53">
        <w:rPr>
          <w:szCs w:val="24"/>
        </w:rPr>
        <w:t> </w:t>
      </w:r>
      <w:proofErr w:type="spellStart"/>
      <w:r w:rsidR="00410E53" w:rsidRPr="00410E53">
        <w:rPr>
          <w:szCs w:val="24"/>
        </w:rPr>
        <w:t>2014a</w:t>
      </w:r>
      <w:proofErr w:type="spellEnd"/>
      <w:r w:rsidR="00410E53" w:rsidRPr="00410E53">
        <w:rPr>
          <w:szCs w:val="24"/>
        </w:rPr>
        <w:t>)</w:t>
      </w:r>
      <w:r w:rsidRPr="00182CD1">
        <w:rPr>
          <w:color w:val="FF0000"/>
        </w:rPr>
        <w:t xml:space="preserve">. </w:t>
      </w:r>
      <w:r>
        <w:t>And where water resources are shared between jurisdictions (</w:t>
      </w:r>
      <w:r w:rsidR="00F8209C">
        <w:t>for example</w:t>
      </w:r>
      <w:r>
        <w:t xml:space="preserve">, </w:t>
      </w:r>
      <w:r w:rsidR="005B3F2C">
        <w:t xml:space="preserve">the </w:t>
      </w:r>
      <w:r>
        <w:t>Murray</w:t>
      </w:r>
      <w:r w:rsidR="000C0C39">
        <w:t>–</w:t>
      </w:r>
      <w:r>
        <w:t>Darling Basin, Lake Eyre</w:t>
      </w:r>
      <w:r w:rsidR="00F8209C">
        <w:t xml:space="preserve"> and</w:t>
      </w:r>
      <w:r>
        <w:t xml:space="preserve"> Great Artesian Basin), </w:t>
      </w:r>
      <w:r w:rsidR="005B3F2C">
        <w:t xml:space="preserve">the </w:t>
      </w:r>
      <w:proofErr w:type="spellStart"/>
      <w:r w:rsidR="005B3F2C">
        <w:t>NWC</w:t>
      </w:r>
      <w:proofErr w:type="spellEnd"/>
      <w:r w:rsidR="005B3F2C">
        <w:t xml:space="preserve"> found that </w:t>
      </w:r>
      <w:r>
        <w:t xml:space="preserve">relevant governments have effectively collaborated to establish joint environmental water management arrangements </w:t>
      </w:r>
      <w:r w:rsidR="002A76D0" w:rsidRPr="002A76D0">
        <w:rPr>
          <w:szCs w:val="24"/>
        </w:rPr>
        <w:t>(</w:t>
      </w:r>
      <w:proofErr w:type="spellStart"/>
      <w:r w:rsidR="002A76D0" w:rsidRPr="002A76D0">
        <w:rPr>
          <w:szCs w:val="24"/>
        </w:rPr>
        <w:t>NWC</w:t>
      </w:r>
      <w:proofErr w:type="spellEnd"/>
      <w:r w:rsidR="002A76D0" w:rsidRPr="002A76D0">
        <w:rPr>
          <w:szCs w:val="24"/>
        </w:rPr>
        <w:t> </w:t>
      </w:r>
      <w:proofErr w:type="spellStart"/>
      <w:r w:rsidR="002A76D0" w:rsidRPr="002A76D0">
        <w:rPr>
          <w:szCs w:val="24"/>
        </w:rPr>
        <w:t>2014a</w:t>
      </w:r>
      <w:proofErr w:type="spellEnd"/>
      <w:r w:rsidR="002A76D0" w:rsidRPr="002A76D0">
        <w:rPr>
          <w:szCs w:val="24"/>
        </w:rPr>
        <w:t>)</w:t>
      </w:r>
      <w:r w:rsidR="00283F9C">
        <w:t>.</w:t>
      </w:r>
    </w:p>
    <w:p w14:paraId="32E929B5" w14:textId="3B7ACAA0" w:rsidR="009E2923" w:rsidRDefault="009E2923" w:rsidP="009E2923">
      <w:pPr>
        <w:pStyle w:val="BodyText"/>
      </w:pPr>
      <w:r>
        <w:t xml:space="preserve">In other areas, such as monitoring and reporting on the outcomes of environmental water use, the </w:t>
      </w:r>
      <w:proofErr w:type="spellStart"/>
      <w:r>
        <w:t>NWC</w:t>
      </w:r>
      <w:proofErr w:type="spellEnd"/>
      <w:r>
        <w:t xml:space="preserve"> found scope for improvement. And while the </w:t>
      </w:r>
      <w:proofErr w:type="spellStart"/>
      <w:r>
        <w:t>NWC</w:t>
      </w:r>
      <w:proofErr w:type="spellEnd"/>
      <w:r>
        <w:t xml:space="preserve"> detailed the various approaches jurisdictions are taking to water recovery, </w:t>
      </w:r>
      <w:r w:rsidR="00AA6D0B">
        <w:t xml:space="preserve">it did not make an assessment </w:t>
      </w:r>
      <w:r>
        <w:t>as to whether jurisdictions are pursuing water recovery measure</w:t>
      </w:r>
      <w:r w:rsidR="006B4992">
        <w:t>s</w:t>
      </w:r>
      <w:r>
        <w:t xml:space="preserve"> on the basis of cost</w:t>
      </w:r>
      <w:r>
        <w:noBreakHyphen/>
        <w:t>effectiveness</w:t>
      </w:r>
      <w:r w:rsidR="00283F9C">
        <w:t xml:space="preserve"> </w:t>
      </w:r>
      <w:r w:rsidR="002A76D0" w:rsidRPr="002A76D0">
        <w:rPr>
          <w:szCs w:val="24"/>
        </w:rPr>
        <w:t>(</w:t>
      </w:r>
      <w:proofErr w:type="spellStart"/>
      <w:r w:rsidR="002A76D0" w:rsidRPr="002A76D0">
        <w:rPr>
          <w:szCs w:val="24"/>
        </w:rPr>
        <w:t>NWC</w:t>
      </w:r>
      <w:proofErr w:type="spellEnd"/>
      <w:r w:rsidR="002A76D0" w:rsidRPr="002A76D0">
        <w:rPr>
          <w:szCs w:val="24"/>
        </w:rPr>
        <w:t> </w:t>
      </w:r>
      <w:proofErr w:type="spellStart"/>
      <w:r w:rsidR="002A76D0" w:rsidRPr="002A76D0">
        <w:rPr>
          <w:szCs w:val="24"/>
        </w:rPr>
        <w:t>2014b</w:t>
      </w:r>
      <w:proofErr w:type="spellEnd"/>
      <w:r w:rsidR="002A76D0" w:rsidRPr="002A76D0">
        <w:rPr>
          <w:szCs w:val="24"/>
        </w:rPr>
        <w:t>)</w:t>
      </w:r>
      <w:r>
        <w:t>.</w:t>
      </w:r>
    </w:p>
    <w:p w14:paraId="32E929B6" w14:textId="77777777" w:rsidR="009E2923" w:rsidRDefault="009E2923" w:rsidP="009E2923">
      <w:pPr>
        <w:pStyle w:val="BodyText"/>
      </w:pPr>
      <w:r>
        <w:t xml:space="preserve">There may be opportunities to achieve environmental and </w:t>
      </w:r>
      <w:r w:rsidR="00327F1C">
        <w:t xml:space="preserve">other </w:t>
      </w:r>
      <w:r>
        <w:t xml:space="preserve">public benefit outcomes more effectively by addressing the ‘unfinished business’ identified by the </w:t>
      </w:r>
      <w:proofErr w:type="spellStart"/>
      <w:r>
        <w:t>NWC</w:t>
      </w:r>
      <w:proofErr w:type="spellEnd"/>
      <w:r>
        <w:t>, or by making other changes to the arrangements governing environmental water management. Potential areas for reform are discussed below.</w:t>
      </w:r>
    </w:p>
    <w:p w14:paraId="32E929B7" w14:textId="77777777" w:rsidR="009E2923" w:rsidRDefault="00735ACE" w:rsidP="009E2923">
      <w:pPr>
        <w:pStyle w:val="Heading4"/>
      </w:pPr>
      <w:r>
        <w:t xml:space="preserve">Achieving ‘best practice’ </w:t>
      </w:r>
      <w:r w:rsidR="009E2923">
        <w:t>arrangements for held environmental water</w:t>
      </w:r>
    </w:p>
    <w:p w14:paraId="32E929B8" w14:textId="64B1279F" w:rsidR="009E2923" w:rsidRDefault="009E2923" w:rsidP="009E2923">
      <w:pPr>
        <w:pStyle w:val="BodyText"/>
      </w:pPr>
      <w:r>
        <w:t>Where governments (or others) hold entitlements</w:t>
      </w:r>
      <w:r w:rsidR="005B3F2C">
        <w:t xml:space="preserve"> to provide water </w:t>
      </w:r>
      <w:r w:rsidR="00A4105F">
        <w:t>for</w:t>
      </w:r>
      <w:r w:rsidR="005B3F2C">
        <w:t xml:space="preserve"> the environment</w:t>
      </w:r>
      <w:r>
        <w:t>, choices need to be made about how, when and where that water is used. These choices can have a significant bearing on the environmental benefits that are achieved, and any costs and risks imposed on landholders, communities and environmental assets and functions.</w:t>
      </w:r>
    </w:p>
    <w:p w14:paraId="32E929B9" w14:textId="7B49FAC4" w:rsidR="009E2923" w:rsidRDefault="009E2923" w:rsidP="009E2923">
      <w:pPr>
        <w:pStyle w:val="BodyText"/>
      </w:pPr>
      <w:r>
        <w:t>In practice, multiple parties can have a role in the planning and execution of these decisions. Environmental watering in New South Wales, for example, could involve the Commonwealth Environmental Water Holder, the Murray</w:t>
      </w:r>
      <w:r w:rsidR="000C0C39">
        <w:t>–</w:t>
      </w:r>
      <w:r>
        <w:t>Darling Basin Authority, New South Wales Government agencies, river and storage operators, catchment management authorities and so on. This presents potential risks and costs which can only be managed by establishing clear roles and responsibilities, strong accountability mechanisms, and processes that facilitate communication and cooperation amongst agencies</w:t>
      </w:r>
      <w:r w:rsidR="000A0FBF">
        <w:t xml:space="preserve"> and affected parties</w:t>
      </w:r>
      <w:r>
        <w:t>.</w:t>
      </w:r>
    </w:p>
    <w:p w14:paraId="32E929BB" w14:textId="5437F014" w:rsidR="00563F13" w:rsidRDefault="009E2923" w:rsidP="009E2923">
      <w:pPr>
        <w:pStyle w:val="BodyText"/>
      </w:pPr>
      <w:r>
        <w:t>Even with good governance and institutional arrangements, extracting maximum value from held environmental water can be challenging. High</w:t>
      </w:r>
      <w:r>
        <w:noBreakHyphen/>
        <w:t>value environmental watering events can be constrained or put off due to operational realities (</w:t>
      </w:r>
      <w:r w:rsidR="000A0FBF">
        <w:t>for example</w:t>
      </w:r>
      <w:r>
        <w:t>, river height) or potential impacts on landholders (</w:t>
      </w:r>
      <w:r w:rsidR="000A0FBF">
        <w:t>for ex</w:t>
      </w:r>
      <w:r w:rsidR="00C633DB">
        <w:t>am</w:t>
      </w:r>
      <w:r w:rsidR="000A0FBF">
        <w:t>ple</w:t>
      </w:r>
      <w:r>
        <w:t xml:space="preserve">, flooding of private land). And obtaining </w:t>
      </w:r>
      <w:r>
        <w:lastRenderedPageBreak/>
        <w:t xml:space="preserve">reliable information </w:t>
      </w:r>
      <w:r w:rsidR="000A0FBF">
        <w:t>beforehand</w:t>
      </w:r>
      <w:r>
        <w:t xml:space="preserve"> about how the environment will respond to</w:t>
      </w:r>
      <w:r w:rsidR="00C52C2E">
        <w:t xml:space="preserve"> a watering event is difficult.</w:t>
      </w:r>
    </w:p>
    <w:p w14:paraId="32E929BD" w14:textId="213B32D0" w:rsidR="00563F13" w:rsidRPr="004C402A" w:rsidRDefault="009E2923" w:rsidP="00815809">
      <w:pPr>
        <w:pStyle w:val="BodyText"/>
      </w:pPr>
      <w:r w:rsidRPr="00F51EDB">
        <w:rPr>
          <w:szCs w:val="24"/>
        </w:rPr>
        <w:t>Finally, governments sometimes face pressure to use held environmental water to achieve social outcomes, such as filling up a lake for recreation, tourism or amenity purposes. While environmental watering events can</w:t>
      </w:r>
      <w:r w:rsidR="00D7262C" w:rsidRPr="00043886">
        <w:t xml:space="preserve"> often</w:t>
      </w:r>
      <w:r w:rsidRPr="00674249">
        <w:t xml:space="preserve"> deliver supplementary </w:t>
      </w:r>
      <w:r w:rsidR="00D7262C" w:rsidRPr="00674249">
        <w:t>social or</w:t>
      </w:r>
      <w:r w:rsidR="00563F13">
        <w:rPr>
          <w:szCs w:val="24"/>
        </w:rPr>
        <w:t xml:space="preserve"> </w:t>
      </w:r>
      <w:r w:rsidR="006C1C10" w:rsidRPr="00F51EDB">
        <w:rPr>
          <w:szCs w:val="24"/>
        </w:rPr>
        <w:t xml:space="preserve">community </w:t>
      </w:r>
      <w:r w:rsidRPr="00043886">
        <w:t xml:space="preserve">benefits, </w:t>
      </w:r>
      <w:r w:rsidR="00D7262C" w:rsidRPr="00674249">
        <w:t xml:space="preserve">sometimes </w:t>
      </w:r>
      <w:r w:rsidRPr="00674249">
        <w:t xml:space="preserve">this is </w:t>
      </w:r>
      <w:r w:rsidR="00416876" w:rsidRPr="00674249">
        <w:t>not</w:t>
      </w:r>
      <w:r w:rsidRPr="00674249">
        <w:t xml:space="preserve"> possible </w:t>
      </w:r>
      <w:r w:rsidR="00416876" w:rsidRPr="00674249">
        <w:t>(or comes at the expense of environmental benefits)</w:t>
      </w:r>
      <w:r w:rsidRPr="00674249">
        <w:t xml:space="preserve">. For example, an Indigenous community may require cultural flows for customary fishing in an area considered low value from an environmental watering perspective. </w:t>
      </w:r>
      <w:r w:rsidR="00D7262C" w:rsidRPr="00674249">
        <w:t xml:space="preserve">There </w:t>
      </w:r>
      <w:r w:rsidR="00F47361" w:rsidRPr="00674249">
        <w:t>may be</w:t>
      </w:r>
      <w:r w:rsidR="00D7262C" w:rsidRPr="00674249">
        <w:t xml:space="preserve"> opportunities to improve planning processes for environmental water use to maximise social and cultural benefits wherever possible without compromising environmental outcomes.</w:t>
      </w:r>
    </w:p>
    <w:p w14:paraId="32E929BE" w14:textId="77777777" w:rsidR="00FF2B73" w:rsidRDefault="00FF2B73" w:rsidP="0027786D">
      <w:pPr>
        <w:pStyle w:val="Heading4"/>
      </w:pPr>
      <w:r>
        <w:t>Trade of environmental water</w:t>
      </w:r>
    </w:p>
    <w:p w14:paraId="32E929C0" w14:textId="197A5D2D" w:rsidR="00046897" w:rsidRDefault="00416F6D" w:rsidP="00416F6D">
      <w:pPr>
        <w:pStyle w:val="BodyText"/>
      </w:pPr>
      <w:r>
        <w:t xml:space="preserve">The ability </w:t>
      </w:r>
      <w:r w:rsidR="00046897">
        <w:t xml:space="preserve">of environmental water holders </w:t>
      </w:r>
      <w:r>
        <w:t xml:space="preserve">to trade water is important if </w:t>
      </w:r>
      <w:r w:rsidR="00046897">
        <w:t xml:space="preserve">they </w:t>
      </w:r>
      <w:r>
        <w:t xml:space="preserve">are </w:t>
      </w:r>
      <w:r w:rsidRPr="00224CC9">
        <w:t xml:space="preserve">to make </w:t>
      </w:r>
      <w:r w:rsidR="00046897">
        <w:t xml:space="preserve">the </w:t>
      </w:r>
      <w:r w:rsidRPr="00224CC9">
        <w:t xml:space="preserve">best use of </w:t>
      </w:r>
      <w:r w:rsidR="00046897">
        <w:t xml:space="preserve">the </w:t>
      </w:r>
      <w:r w:rsidRPr="00224CC9">
        <w:t xml:space="preserve">water </w:t>
      </w:r>
      <w:r w:rsidR="00046897">
        <w:t>they hold</w:t>
      </w:r>
      <w:r>
        <w:t>. For example</w:t>
      </w:r>
      <w:r w:rsidR="005B3F2C">
        <w:t>,</w:t>
      </w:r>
      <w:r w:rsidR="00695D47" w:rsidRPr="00695D47">
        <w:t xml:space="preserve"> environmental outcomes might be able to be improved through selling environmental water in one year and buying in the next year to provide</w:t>
      </w:r>
      <w:r>
        <w:t xml:space="preserve"> water for an area requiring an environmental flow.</w:t>
      </w:r>
      <w:r w:rsidRPr="00416F6D">
        <w:t xml:space="preserve"> </w:t>
      </w:r>
      <w:r>
        <w:t xml:space="preserve">Trade may also assist in dealing with issues such as delivery constraints and realising value from </w:t>
      </w:r>
      <w:r w:rsidR="00046897">
        <w:t>a</w:t>
      </w:r>
      <w:r>
        <w:t xml:space="preserve"> residual water portfolio after env</w:t>
      </w:r>
      <w:r w:rsidR="00945B99">
        <w:t xml:space="preserve">ironmental needs have been met. </w:t>
      </w:r>
      <w:r w:rsidR="0018176A">
        <w:t>E</w:t>
      </w:r>
      <w:r w:rsidR="00046897" w:rsidRPr="00082103">
        <w:t>nv</w:t>
      </w:r>
      <w:r w:rsidR="00046897" w:rsidRPr="0080219B">
        <w:t>ironmental</w:t>
      </w:r>
      <w:r w:rsidRPr="0080219B">
        <w:t xml:space="preserve"> water holdings can be significant</w:t>
      </w:r>
      <w:r w:rsidR="005B3F2C">
        <w:t>,</w:t>
      </w:r>
      <w:r w:rsidR="00046897">
        <w:t xml:space="preserve"> and </w:t>
      </w:r>
      <w:r w:rsidR="005B3F2C">
        <w:t>so</w:t>
      </w:r>
      <w:r w:rsidR="00046897">
        <w:t xml:space="preserve"> </w:t>
      </w:r>
      <w:r w:rsidR="00F4705D">
        <w:t>trading by</w:t>
      </w:r>
      <w:r w:rsidR="00046897">
        <w:t xml:space="preserve"> environmental water holders </w:t>
      </w:r>
      <w:r w:rsidR="006E4DFF">
        <w:t>may</w:t>
      </w:r>
      <w:r w:rsidR="00046897">
        <w:t xml:space="preserve"> have a material impact on</w:t>
      </w:r>
      <w:r w:rsidR="002306E2">
        <w:t xml:space="preserve"> water markets</w:t>
      </w:r>
      <w:r w:rsidR="00900E63">
        <w:t>.</w:t>
      </w:r>
    </w:p>
    <w:p w14:paraId="32E929C1" w14:textId="77777777" w:rsidR="009E2923" w:rsidRPr="009A2DC3" w:rsidRDefault="00234CAD" w:rsidP="009E2923">
      <w:pPr>
        <w:pStyle w:val="Heading4"/>
      </w:pPr>
      <w:r>
        <w:t xml:space="preserve">Better </w:t>
      </w:r>
      <w:r w:rsidR="00AF4CD3">
        <w:t>i</w:t>
      </w:r>
      <w:r w:rsidR="009E2923">
        <w:t>ntegration between water policy and other resource management activities</w:t>
      </w:r>
    </w:p>
    <w:p w14:paraId="32E929C2" w14:textId="2DEC3301" w:rsidR="009E2923" w:rsidRDefault="009E2923" w:rsidP="009E2923">
      <w:pPr>
        <w:pStyle w:val="BodyText"/>
      </w:pPr>
      <w:r>
        <w:t>Water is one of many factors that can contribute to environmental and other public benefit outcomes. Achieving these outcomes efficiently requires that all of the p</w:t>
      </w:r>
      <w:r w:rsidR="00563F13">
        <w:t xml:space="preserve">ractical </w:t>
      </w:r>
      <w:r>
        <w:t>options (for example, land</w:t>
      </w:r>
      <w:r w:rsidR="00396CA0">
        <w:noBreakHyphen/>
      </w:r>
      <w:r>
        <w:t>use changes, habitat restoration</w:t>
      </w:r>
      <w:r w:rsidR="000A0FBF">
        <w:t xml:space="preserve"> and </w:t>
      </w:r>
      <w:r w:rsidR="003363EB">
        <w:t>a reduction in sediment run</w:t>
      </w:r>
      <w:r w:rsidR="003363EB">
        <w:noBreakHyphen/>
      </w:r>
      <w:r>
        <w:t>off) are weighed up, and the least</w:t>
      </w:r>
      <w:r w:rsidR="004E0D4E">
        <w:noBreakHyphen/>
      </w:r>
      <w:r>
        <w:t>cost measures implemented. In practice this can be challenging; responsibility for different (and often narrow) aspects of natural resource management rests with different institutions, and no single agency may have the authority, or the in</w:t>
      </w:r>
      <w:r w:rsidR="00AF4CD3">
        <w:t>c</w:t>
      </w:r>
      <w:r>
        <w:t xml:space="preserve">entive, to consider the full range of available measures. </w:t>
      </w:r>
    </w:p>
    <w:p w14:paraId="32E929C3" w14:textId="77777777" w:rsidR="009E2923" w:rsidRDefault="009E2923" w:rsidP="009E2923">
      <w:pPr>
        <w:pStyle w:val="BodyText"/>
      </w:pPr>
      <w:r>
        <w:t xml:space="preserve">Further, where water is allocated to the environment, achieving the desired outcomes usually relies on actions </w:t>
      </w:r>
      <w:r w:rsidRPr="00C458C1">
        <w:rPr>
          <w:i/>
        </w:rPr>
        <w:t>outside</w:t>
      </w:r>
      <w:r>
        <w:t xml:space="preserve"> of the control of the environmental water manager — the regenerative benefits of watering a wetland, for example, will be reduced if livestock are allowed unrestricted access, or pests and weeds are not adequately controlled. These issues can only be overcome where policies are well integrated across sectors, and the institutions responsible for administering them work together effectively.</w:t>
      </w:r>
    </w:p>
    <w:p w14:paraId="32E929C4" w14:textId="77777777" w:rsidR="00D7262C" w:rsidRDefault="00D7262C" w:rsidP="00D7262C">
      <w:pPr>
        <w:pStyle w:val="Heading4"/>
      </w:pPr>
      <w:r>
        <w:lastRenderedPageBreak/>
        <w:t xml:space="preserve">Improving environmental reporting arrangements </w:t>
      </w:r>
    </w:p>
    <w:p w14:paraId="32E929C5" w14:textId="482975A3" w:rsidR="00D7262C" w:rsidRDefault="00D7262C" w:rsidP="00D7262C">
      <w:pPr>
        <w:pStyle w:val="BodyText"/>
      </w:pPr>
      <w:r>
        <w:t>Periodic review and public reporting of environmental and other public benefit outcomes is critical for</w:t>
      </w:r>
      <w:r w:rsidR="00497524">
        <w:t>:</w:t>
      </w:r>
      <w:r>
        <w:t xml:space="preserve"> holding environmental water managers to account; identifying the benefits, costs and risks of providing water to the environment (or to support other public benefit outcomes); and making water management practices more effective over time.</w:t>
      </w:r>
    </w:p>
    <w:p w14:paraId="32E929C6" w14:textId="6D0EA8B6" w:rsidR="00D7262C" w:rsidRDefault="005A7FDD" w:rsidP="00D7262C">
      <w:pPr>
        <w:pStyle w:val="BodyText"/>
      </w:pPr>
      <w:r>
        <w:t xml:space="preserve">While most </w:t>
      </w:r>
      <w:r w:rsidR="00247063">
        <w:t>S</w:t>
      </w:r>
      <w:r>
        <w:t xml:space="preserve">tates and </w:t>
      </w:r>
      <w:r w:rsidR="00247063">
        <w:t>T</w:t>
      </w:r>
      <w:r w:rsidR="00D7262C">
        <w:t>erritories have taken steps to establish and improve monitoring and reporting arrangements, gaps remain. In some cases, the outcomes that governments are seeking to achieve are not clearly identified in water plans, or are not defined in a way that facilitates monitoring and evaluation. And where monitoring and reporting does happen, it can be partial, intermittent and inconsistent</w:t>
      </w:r>
      <w:r w:rsidR="00A216C6">
        <w:t xml:space="preserve"> </w:t>
      </w:r>
      <w:r w:rsidR="006F7661" w:rsidRPr="006F7661">
        <w:rPr>
          <w:szCs w:val="24"/>
        </w:rPr>
        <w:t>(</w:t>
      </w:r>
      <w:proofErr w:type="spellStart"/>
      <w:r w:rsidR="006F7661" w:rsidRPr="006F7661">
        <w:rPr>
          <w:szCs w:val="24"/>
        </w:rPr>
        <w:t>NWC</w:t>
      </w:r>
      <w:proofErr w:type="spellEnd"/>
      <w:r w:rsidR="006F7661" w:rsidRPr="006F7661">
        <w:rPr>
          <w:szCs w:val="24"/>
        </w:rPr>
        <w:t> </w:t>
      </w:r>
      <w:proofErr w:type="spellStart"/>
      <w:r w:rsidR="006F7661" w:rsidRPr="006F7661">
        <w:rPr>
          <w:szCs w:val="24"/>
        </w:rPr>
        <w:t>2014a</w:t>
      </w:r>
      <w:proofErr w:type="spellEnd"/>
      <w:r w:rsidR="006F7661" w:rsidRPr="006F7661">
        <w:rPr>
          <w:szCs w:val="24"/>
        </w:rPr>
        <w:t>)</w:t>
      </w:r>
      <w:r w:rsidR="00D7262C">
        <w:t>.</w:t>
      </w:r>
    </w:p>
    <w:p w14:paraId="32E929C7" w14:textId="5D0EEA4A" w:rsidR="009E2923" w:rsidRPr="004E3B94" w:rsidRDefault="009E2923" w:rsidP="009E2923">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9E2923" w14:paraId="32E929CD" w14:textId="77777777" w:rsidTr="009E2923">
        <w:trPr>
          <w:cantSplit/>
          <w:tblHeader/>
        </w:trPr>
        <w:tc>
          <w:tcPr>
            <w:tcW w:w="8770" w:type="dxa"/>
            <w:tcBorders>
              <w:top w:val="single" w:sz="6" w:space="0" w:color="78A22F"/>
              <w:left w:val="nil"/>
              <w:bottom w:val="nil"/>
              <w:right w:val="nil"/>
            </w:tcBorders>
            <w:shd w:val="clear" w:color="auto" w:fill="auto"/>
          </w:tcPr>
          <w:p w14:paraId="32E929C8" w14:textId="320BEDEE" w:rsidR="009E2923" w:rsidRPr="00170058" w:rsidRDefault="00D10901" w:rsidP="00621E66">
            <w:pPr>
              <w:pStyle w:val="InformationRequestTitle"/>
            </w:pPr>
            <w:r>
              <w:t>information request</w:t>
            </w:r>
          </w:p>
          <w:p w14:paraId="32E929C9" w14:textId="77777777" w:rsidR="009E2923" w:rsidRDefault="009E2923" w:rsidP="009E2923">
            <w:pPr>
              <w:pStyle w:val="InformationRequestBullet"/>
            </w:pPr>
            <w:r>
              <w:t xml:space="preserve">What are </w:t>
            </w:r>
            <w:r w:rsidR="00771ADA">
              <w:t xml:space="preserve">the guiding </w:t>
            </w:r>
            <w:r>
              <w:t>principles for ‘best practice’ management of environmental water? Are the institutional and governance arrangements for held environmental water working well?</w:t>
            </w:r>
          </w:p>
          <w:p w14:paraId="32E929CA" w14:textId="77777777" w:rsidR="009E2923" w:rsidRDefault="009E2923" w:rsidP="009E2923">
            <w:pPr>
              <w:pStyle w:val="InformationRequestBullet"/>
            </w:pPr>
            <w:r>
              <w:t xml:space="preserve">What is the role for governments in promoting trade in environmental water, and acquiring environmental water at least cost to the community? </w:t>
            </w:r>
          </w:p>
          <w:p w14:paraId="32E929CB" w14:textId="3F688AFD" w:rsidR="009E2923" w:rsidRDefault="009E2923" w:rsidP="009E2923">
            <w:pPr>
              <w:pStyle w:val="InformationRequestBullet"/>
            </w:pPr>
            <w:r>
              <w:t>How can institutional arrangements be used to ensure agencies with natural resource management responsibilities (including environmental water managers) pursue least</w:t>
            </w:r>
            <w:r w:rsidR="004E0D4E">
              <w:noBreakHyphen/>
            </w:r>
            <w:r>
              <w:t xml:space="preserve">cost approaches to achieving environmental and other public benefit objectives? </w:t>
            </w:r>
          </w:p>
          <w:p w14:paraId="32E929CC" w14:textId="77777777" w:rsidR="009E2923" w:rsidRPr="00CE4C64" w:rsidRDefault="009E2923" w:rsidP="00771ADA">
            <w:pPr>
              <w:pStyle w:val="InformationRequestBullet"/>
            </w:pPr>
            <w:r>
              <w:t>Are the policies that affect the health of water systems sufficiently integrated?</w:t>
            </w:r>
          </w:p>
        </w:tc>
      </w:tr>
      <w:tr w:rsidR="009E2923" w14:paraId="32E929CF" w14:textId="77777777" w:rsidTr="009E2923">
        <w:tc>
          <w:tcPr>
            <w:tcW w:w="8770" w:type="dxa"/>
            <w:tcBorders>
              <w:top w:val="nil"/>
              <w:left w:val="nil"/>
              <w:bottom w:val="single" w:sz="6" w:space="0" w:color="78A22F"/>
              <w:right w:val="nil"/>
            </w:tcBorders>
            <w:shd w:val="clear" w:color="auto" w:fill="auto"/>
          </w:tcPr>
          <w:p w14:paraId="32E929CE" w14:textId="77777777" w:rsidR="009E2923" w:rsidRDefault="009E2923" w:rsidP="009E2923">
            <w:pPr>
              <w:pStyle w:val="Space"/>
              <w:keepLines/>
            </w:pPr>
          </w:p>
        </w:tc>
      </w:tr>
      <w:tr w:rsidR="009E2923" w:rsidRPr="000863A5" w14:paraId="32E929D1" w14:textId="77777777" w:rsidTr="009E2923">
        <w:tc>
          <w:tcPr>
            <w:tcW w:w="8770" w:type="dxa"/>
            <w:tcBorders>
              <w:top w:val="single" w:sz="6" w:space="0" w:color="78A22F"/>
              <w:left w:val="nil"/>
              <w:bottom w:val="nil"/>
              <w:right w:val="nil"/>
            </w:tcBorders>
          </w:tcPr>
          <w:p w14:paraId="32E929D0" w14:textId="471272B8" w:rsidR="009E2923" w:rsidRPr="00626D32" w:rsidRDefault="009E2923" w:rsidP="009E2923">
            <w:pPr>
              <w:pStyle w:val="BoxSpaceBelow"/>
              <w:keepLines/>
            </w:pPr>
          </w:p>
        </w:tc>
      </w:tr>
    </w:tbl>
    <w:p w14:paraId="32E929D2" w14:textId="49CCCF9C" w:rsidR="00EC4988" w:rsidRDefault="00B11167" w:rsidP="00273709">
      <w:pPr>
        <w:pStyle w:val="Heading2"/>
      </w:pPr>
      <w:bookmarkStart w:id="188" w:name="_Toc475361577"/>
      <w:bookmarkStart w:id="189" w:name="_Toc475614199"/>
      <w:bookmarkStart w:id="190" w:name="_Toc475628046"/>
      <w:bookmarkStart w:id="191" w:name="_Toc475628219"/>
      <w:bookmarkStart w:id="192" w:name="_Toc475634090"/>
      <w:bookmarkStart w:id="193" w:name="_Toc476307172"/>
      <w:bookmarkStart w:id="194" w:name="_Toc476307303"/>
      <w:bookmarkStart w:id="195" w:name="_Toc476308490"/>
      <w:bookmarkStart w:id="196" w:name="_Toc476309084"/>
      <w:bookmarkStart w:id="197" w:name="_Toc476312558"/>
      <w:bookmarkStart w:id="198" w:name="_Toc476312796"/>
      <w:bookmarkStart w:id="199" w:name="_Toc476312870"/>
      <w:bookmarkStart w:id="200" w:name="_Toc476318443"/>
      <w:bookmarkStart w:id="201" w:name="_Toc476320084"/>
      <w:bookmarkStart w:id="202" w:name="_Toc476322770"/>
      <w:bookmarkStart w:id="203" w:name="_Toc476324736"/>
      <w:bookmarkStart w:id="204" w:name="_Toc476326763"/>
      <w:bookmarkStart w:id="205" w:name="_Toc476907460"/>
      <w:bookmarkStart w:id="206" w:name="_Toc476910686"/>
      <w:bookmarkStart w:id="207" w:name="_Toc476910771"/>
      <w:bookmarkStart w:id="208" w:name="_Toc476915256"/>
      <w:bookmarkStart w:id="209" w:name="_Toc476916213"/>
      <w:bookmarkStart w:id="210" w:name="_Toc476916332"/>
      <w:r>
        <w:rPr>
          <w:noProof/>
        </w:rPr>
        <w:t>6</w:t>
      </w:r>
      <w:r w:rsidR="00EC4988">
        <w:tab/>
        <w:t>Water services</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32E929D3" w14:textId="77777777" w:rsidR="00EC4988" w:rsidRDefault="00EC4988" w:rsidP="000D0DB7">
      <w:pPr>
        <w:pStyle w:val="Heading3"/>
        <w:spacing w:before="280"/>
      </w:pPr>
      <w:r>
        <w:t>Rural water services</w:t>
      </w:r>
      <w:r w:rsidR="00A16A21">
        <w:t xml:space="preserve"> </w:t>
      </w:r>
    </w:p>
    <w:p w14:paraId="32E929D4" w14:textId="0EB3A313" w:rsidR="00400BE8" w:rsidRDefault="00400BE8" w:rsidP="00400BE8">
      <w:pPr>
        <w:pStyle w:val="BodyText"/>
      </w:pPr>
      <w:r>
        <w:t xml:space="preserve">The </w:t>
      </w:r>
      <w:proofErr w:type="spellStart"/>
      <w:r>
        <w:t>NWI</w:t>
      </w:r>
      <w:proofErr w:type="spellEnd"/>
      <w:r>
        <w:t xml:space="preserve"> s</w:t>
      </w:r>
      <w:r w:rsidR="00577E77">
        <w:t>eeks</w:t>
      </w:r>
      <w:r>
        <w:t xml:space="preserve"> to achieve a number of objectives in relation to rural water services, including: promoting</w:t>
      </w:r>
      <w:r w:rsidRPr="00FA0925">
        <w:t xml:space="preserve"> </w:t>
      </w:r>
      <w:r>
        <w:t xml:space="preserve">the </w:t>
      </w:r>
      <w:r w:rsidRPr="00FA0925">
        <w:t>efficient and sustainable use of water re</w:t>
      </w:r>
      <w:r>
        <w:t xml:space="preserve">sources and water </w:t>
      </w:r>
      <w:r w:rsidR="00580BAC">
        <w:t>infrastructure</w:t>
      </w:r>
      <w:r w:rsidR="00B86453">
        <w:t>;</w:t>
      </w:r>
      <w:r>
        <w:t xml:space="preserve"> ensuring</w:t>
      </w:r>
      <w:r w:rsidRPr="00FA0925">
        <w:t xml:space="preserve"> that </w:t>
      </w:r>
      <w:r>
        <w:t xml:space="preserve">infrastructure operators are </w:t>
      </w:r>
      <w:r w:rsidRPr="00FA0925">
        <w:t>financially viable</w:t>
      </w:r>
      <w:r w:rsidR="00B86453">
        <w:t>;</w:t>
      </w:r>
      <w:r w:rsidRPr="00FA0925">
        <w:t xml:space="preserve"> provid</w:t>
      </w:r>
      <w:r>
        <w:t>ing</w:t>
      </w:r>
      <w:r w:rsidRPr="00FA0925">
        <w:t xml:space="preserve"> </w:t>
      </w:r>
      <w:r>
        <w:t>sufficient</w:t>
      </w:r>
      <w:r w:rsidRPr="00FA0925">
        <w:t xml:space="preserve"> revenue </w:t>
      </w:r>
      <w:r w:rsidR="00E46B6B">
        <w:t>for</w:t>
      </w:r>
      <w:r w:rsidR="006C386F">
        <w:t xml:space="preserve"> </w:t>
      </w:r>
      <w:r w:rsidRPr="00FA0925">
        <w:t>s</w:t>
      </w:r>
      <w:r w:rsidR="00D93300">
        <w:t>ervice delivery</w:t>
      </w:r>
      <w:r>
        <w:t xml:space="preserve"> and facilitating</w:t>
      </w:r>
      <w:r w:rsidRPr="00FA0925">
        <w:t xml:space="preserve"> the functioning of water markets.</w:t>
      </w:r>
      <w:r>
        <w:t xml:space="preserve"> The actions agreed by the jurisdictions to deliver these objectives focus on cost recovery and institutional arrangements. </w:t>
      </w:r>
    </w:p>
    <w:p w14:paraId="32E929D5" w14:textId="67ADEFD6" w:rsidR="00FB5A7A" w:rsidRPr="00C420C0" w:rsidRDefault="000765B4" w:rsidP="00C420C0">
      <w:pPr>
        <w:pStyle w:val="BodyText"/>
      </w:pPr>
      <w:r>
        <w:t xml:space="preserve">The </w:t>
      </w:r>
      <w:proofErr w:type="spellStart"/>
      <w:r>
        <w:t>NWC</w:t>
      </w:r>
      <w:proofErr w:type="spellEnd"/>
      <w:r>
        <w:t xml:space="preserve"> </w:t>
      </w:r>
      <w:r w:rsidR="00400BE8">
        <w:t xml:space="preserve">found </w:t>
      </w:r>
      <w:r w:rsidR="00CC4071">
        <w:t>that bulk water suppliers</w:t>
      </w:r>
      <w:r w:rsidR="00FB5A7A">
        <w:t xml:space="preserve"> and most of the distribution schemes in the </w:t>
      </w:r>
      <w:proofErr w:type="spellStart"/>
      <w:r w:rsidR="00396CA0">
        <w:t>MDB</w:t>
      </w:r>
      <w:proofErr w:type="spellEnd"/>
      <w:r w:rsidR="00FB5A7A">
        <w:t xml:space="preserve"> were recovering their operating costs along with an allowance for future infrastructure refurbishment and/or replacement. </w:t>
      </w:r>
      <w:r w:rsidR="000B5471">
        <w:t>The available information on cost recovery across the rest of rural Australia</w:t>
      </w:r>
      <w:r w:rsidR="000B5471" w:rsidRPr="000B5471">
        <w:t xml:space="preserve"> </w:t>
      </w:r>
      <w:r w:rsidR="000B5471">
        <w:t xml:space="preserve">(with the exception of Harvey Water and </w:t>
      </w:r>
      <w:r w:rsidR="000B5471" w:rsidRPr="00D35F3D">
        <w:t>Tasmanian Irrigation</w:t>
      </w:r>
      <w:r w:rsidR="000B5471">
        <w:t>) was considered to be</w:t>
      </w:r>
      <w:r w:rsidR="00363EEB">
        <w:t xml:space="preserve"> </w:t>
      </w:r>
      <w:r w:rsidR="00FB5A7A">
        <w:t xml:space="preserve">poor </w:t>
      </w:r>
      <w:r w:rsidR="00351F6F" w:rsidRPr="00351F6F">
        <w:rPr>
          <w:szCs w:val="24"/>
        </w:rPr>
        <w:t>(</w:t>
      </w:r>
      <w:proofErr w:type="spellStart"/>
      <w:r w:rsidR="00351F6F" w:rsidRPr="00351F6F">
        <w:rPr>
          <w:szCs w:val="24"/>
        </w:rPr>
        <w:t>NWC</w:t>
      </w:r>
      <w:proofErr w:type="spellEnd"/>
      <w:r w:rsidR="00351F6F" w:rsidRPr="002A76D0">
        <w:rPr>
          <w:szCs w:val="24"/>
        </w:rPr>
        <w:t> </w:t>
      </w:r>
      <w:proofErr w:type="spellStart"/>
      <w:r w:rsidR="00351F6F" w:rsidRPr="002A76D0">
        <w:rPr>
          <w:szCs w:val="24"/>
        </w:rPr>
        <w:t>2014b</w:t>
      </w:r>
      <w:proofErr w:type="spellEnd"/>
      <w:r w:rsidR="00351F6F" w:rsidRPr="002A76D0">
        <w:rPr>
          <w:szCs w:val="24"/>
        </w:rPr>
        <w:t>, p. 45)</w:t>
      </w:r>
      <w:r w:rsidR="00FB5A7A" w:rsidRPr="00B9675E">
        <w:t>.</w:t>
      </w:r>
    </w:p>
    <w:p w14:paraId="32E929D6" w14:textId="2703AB8C" w:rsidR="00400BE8" w:rsidRDefault="00400BE8">
      <w:pPr>
        <w:pStyle w:val="BodyText"/>
      </w:pPr>
      <w:r>
        <w:lastRenderedPageBreak/>
        <w:t xml:space="preserve">The extent to which the agreed institutional arrangements had been implemented by the </w:t>
      </w:r>
      <w:r w:rsidR="0087357D">
        <w:t xml:space="preserve">time the </w:t>
      </w:r>
      <w:proofErr w:type="spellStart"/>
      <w:r w:rsidR="0087357D">
        <w:t>NWC</w:t>
      </w:r>
      <w:proofErr w:type="spellEnd"/>
      <w:r w:rsidR="0087357D">
        <w:t xml:space="preserve"> undertook its </w:t>
      </w:r>
      <w:r>
        <w:t xml:space="preserve">2014 assessment also varied. At one extreme, </w:t>
      </w:r>
      <w:r w:rsidR="00E46B6B">
        <w:t>the</w:t>
      </w:r>
      <w:r>
        <w:t xml:space="preserve"> agreed separation of service delivery</w:t>
      </w:r>
      <w:r w:rsidR="000B5471">
        <w:t xml:space="preserve"> from government</w:t>
      </w:r>
      <w:r>
        <w:t xml:space="preserve"> </w:t>
      </w:r>
      <w:r w:rsidR="00A41C1A">
        <w:t>was</w:t>
      </w:r>
      <w:r>
        <w:t xml:space="preserve"> largely complete</w:t>
      </w:r>
      <w:r w:rsidR="00A41C1A">
        <w:t xml:space="preserve"> </w:t>
      </w:r>
      <w:r w:rsidR="000B5471">
        <w:t xml:space="preserve">by </w:t>
      </w:r>
      <w:r w:rsidR="00A41C1A">
        <w:t>2011</w:t>
      </w:r>
      <w:r>
        <w:t xml:space="preserve"> </w:t>
      </w:r>
      <w:r w:rsidRPr="00040442">
        <w:rPr>
          <w:szCs w:val="24"/>
        </w:rPr>
        <w:t>(</w:t>
      </w:r>
      <w:proofErr w:type="spellStart"/>
      <w:r w:rsidRPr="00040442">
        <w:rPr>
          <w:szCs w:val="24"/>
        </w:rPr>
        <w:t>NWC</w:t>
      </w:r>
      <w:proofErr w:type="spellEnd"/>
      <w:r w:rsidRPr="00040442">
        <w:rPr>
          <w:szCs w:val="24"/>
        </w:rPr>
        <w:t> 2011)</w:t>
      </w:r>
      <w:r>
        <w:t xml:space="preserve">. At the other extreme, the </w:t>
      </w:r>
      <w:r w:rsidR="00FB5A7A">
        <w:t xml:space="preserve">agreed </w:t>
      </w:r>
      <w:r>
        <w:t>performance benchmarking of rural providers was discontinued in 2014</w:t>
      </w:r>
      <w:r w:rsidR="00FB5A7A">
        <w:t xml:space="preserve"> following</w:t>
      </w:r>
      <w:r>
        <w:t xml:space="preserve"> concern that the costs were outweighing the benefits. In respect to other actions agreed within the </w:t>
      </w:r>
      <w:proofErr w:type="spellStart"/>
      <w:r>
        <w:t>NWI</w:t>
      </w:r>
      <w:proofErr w:type="spellEnd"/>
      <w:r>
        <w:t>:</w:t>
      </w:r>
    </w:p>
    <w:p w14:paraId="32E929D7" w14:textId="77777777" w:rsidR="00400BE8" w:rsidRDefault="00A41C1A" w:rsidP="00400BE8">
      <w:pPr>
        <w:pStyle w:val="ListBullet"/>
      </w:pPr>
      <w:r>
        <w:t>the role of</w:t>
      </w:r>
      <w:r w:rsidR="00900472">
        <w:t xml:space="preserve"> the jurisdictions’</w:t>
      </w:r>
      <w:r w:rsidR="00400BE8">
        <w:t xml:space="preserve"> independent economic regulators</w:t>
      </w:r>
      <w:r>
        <w:t xml:space="preserve"> varied from setting infrastructure charges to having no role at all </w:t>
      </w:r>
    </w:p>
    <w:p w14:paraId="32E929D8" w14:textId="407579A5" w:rsidR="00400BE8" w:rsidRDefault="00400BE8" w:rsidP="00400BE8">
      <w:pPr>
        <w:pStyle w:val="ListBullet"/>
      </w:pPr>
      <w:r>
        <w:t xml:space="preserve">while </w:t>
      </w:r>
      <w:r w:rsidR="00A52D58">
        <w:t>there has</w:t>
      </w:r>
      <w:r>
        <w:t xml:space="preserve"> been progress toward ensuring</w:t>
      </w:r>
      <w:r w:rsidR="00900472">
        <w:t xml:space="preserve"> infrastructure</w:t>
      </w:r>
      <w:r w:rsidRPr="00681849">
        <w:t xml:space="preserve"> investment </w:t>
      </w:r>
      <w:r>
        <w:t>was</w:t>
      </w:r>
      <w:r w:rsidRPr="00681849">
        <w:t xml:space="preserve"> economically viable and ecologically sustainable</w:t>
      </w:r>
      <w:r>
        <w:t xml:space="preserve">, there </w:t>
      </w:r>
      <w:r w:rsidR="00900472">
        <w:t xml:space="preserve">was </w:t>
      </w:r>
      <w:r>
        <w:t xml:space="preserve">‘substantial debate about the cost effectiveness and viability of specific investment decisions’ </w:t>
      </w:r>
      <w:r w:rsidR="00351F6F" w:rsidRPr="00351F6F">
        <w:rPr>
          <w:szCs w:val="24"/>
        </w:rPr>
        <w:t>(</w:t>
      </w:r>
      <w:proofErr w:type="spellStart"/>
      <w:r w:rsidR="00351F6F" w:rsidRPr="00351F6F">
        <w:rPr>
          <w:szCs w:val="24"/>
        </w:rPr>
        <w:t>NWC</w:t>
      </w:r>
      <w:proofErr w:type="spellEnd"/>
      <w:r w:rsidR="00351F6F" w:rsidRPr="002A76D0">
        <w:rPr>
          <w:szCs w:val="24"/>
        </w:rPr>
        <w:t> </w:t>
      </w:r>
      <w:proofErr w:type="spellStart"/>
      <w:r w:rsidR="00351F6F" w:rsidRPr="002A76D0">
        <w:rPr>
          <w:szCs w:val="24"/>
        </w:rPr>
        <w:t>2014b</w:t>
      </w:r>
      <w:proofErr w:type="spellEnd"/>
      <w:r w:rsidR="00351F6F" w:rsidRPr="002A76D0">
        <w:rPr>
          <w:szCs w:val="24"/>
        </w:rPr>
        <w:t>, p. 46)</w:t>
      </w:r>
      <w:r w:rsidR="003C748C">
        <w:t xml:space="preserve">. </w:t>
      </w:r>
    </w:p>
    <w:p w14:paraId="32E929D9" w14:textId="77777777" w:rsidR="00C27380" w:rsidRPr="00B869B4" w:rsidRDefault="00653BFD" w:rsidP="00B44FBC">
      <w:pPr>
        <w:pStyle w:val="BodyText"/>
      </w:pPr>
      <w:r>
        <w:t>I</w:t>
      </w:r>
      <w:r w:rsidR="003337A2">
        <w:t xml:space="preserve">n addition to the </w:t>
      </w:r>
      <w:r>
        <w:t xml:space="preserve">‘unfinished business’ from the </w:t>
      </w:r>
      <w:proofErr w:type="spellStart"/>
      <w:r>
        <w:t>NWI</w:t>
      </w:r>
      <w:proofErr w:type="spellEnd"/>
      <w:r>
        <w:t>, the</w:t>
      </w:r>
      <w:r w:rsidR="00B44FBC">
        <w:t xml:space="preserve"> Commission has identified, through early thinking and consultations, </w:t>
      </w:r>
      <w:r>
        <w:t xml:space="preserve">a number of areas </w:t>
      </w:r>
      <w:r w:rsidR="00B44FBC">
        <w:t>where further reform of rural water services may be required. These are discussed in more detail below.</w:t>
      </w:r>
      <w:r w:rsidR="00B44FBC" w:rsidRPr="007E402E">
        <w:t xml:space="preserve"> </w:t>
      </w:r>
    </w:p>
    <w:p w14:paraId="32E929DA" w14:textId="77777777" w:rsidR="00400BE8" w:rsidRDefault="006C386F" w:rsidP="00400BE8">
      <w:pPr>
        <w:pStyle w:val="Heading4"/>
      </w:pPr>
      <w:r>
        <w:t>Setting i</w:t>
      </w:r>
      <w:r w:rsidR="00400BE8">
        <w:t xml:space="preserve">nfrastructure charges </w:t>
      </w:r>
    </w:p>
    <w:p w14:paraId="32E929DB" w14:textId="77777777" w:rsidR="00400BE8" w:rsidRDefault="00400BE8" w:rsidP="00400BE8">
      <w:pPr>
        <w:pStyle w:val="BodyText"/>
      </w:pPr>
      <w:r>
        <w:t>The infrastructure underpinning rural water services (</w:t>
      </w:r>
      <w:r w:rsidRPr="008A49A5">
        <w:t xml:space="preserve">such as dams, pressure pumps, channels, pipes and meters) </w:t>
      </w:r>
      <w:r>
        <w:t xml:space="preserve">has </w:t>
      </w:r>
      <w:r w:rsidRPr="002C525B">
        <w:t>high capital costs</w:t>
      </w:r>
      <w:r w:rsidR="00CF238E">
        <w:t xml:space="preserve">, </w:t>
      </w:r>
      <w:r>
        <w:t>long useful lives</w:t>
      </w:r>
      <w:r w:rsidR="00CF238E">
        <w:t xml:space="preserve"> and</w:t>
      </w:r>
      <w:r>
        <w:t xml:space="preserve"> few (if any) alternative uses</w:t>
      </w:r>
      <w:r w:rsidR="00CF238E">
        <w:t>.</w:t>
      </w:r>
      <w:r>
        <w:t xml:space="preserve"> Further, it is usually impractical and/or unviable to duplicate established infrastructure. </w:t>
      </w:r>
      <w:r w:rsidRPr="002C525B">
        <w:t xml:space="preserve">As a result, </w:t>
      </w:r>
      <w:r w:rsidRPr="008A49A5">
        <w:t xml:space="preserve">the costs of supplying and maintaining infrastructure are </w:t>
      </w:r>
      <w:r>
        <w:t xml:space="preserve">typically </w:t>
      </w:r>
      <w:r w:rsidRPr="008A49A5">
        <w:t>minimised t</w:t>
      </w:r>
      <w:r w:rsidRPr="00B92F4A">
        <w:t xml:space="preserve">hrough supply by a single infrastructure </w:t>
      </w:r>
      <w:r w:rsidR="00CC672B">
        <w:t>provider</w:t>
      </w:r>
      <w:r>
        <w:t>.</w:t>
      </w:r>
      <w:r w:rsidR="00C148A2">
        <w:t xml:space="preserve"> </w:t>
      </w:r>
      <w:r w:rsidR="003337A2">
        <w:t xml:space="preserve">This </w:t>
      </w:r>
      <w:r w:rsidR="00580BAC">
        <w:t>results in an</w:t>
      </w:r>
      <w:r w:rsidR="00771ADA">
        <w:t xml:space="preserve"> absence of competitive </w:t>
      </w:r>
      <w:r w:rsidR="00CC672B">
        <w:t xml:space="preserve">market discipline in charges </w:t>
      </w:r>
      <w:r w:rsidR="00E46B6B">
        <w:t>levied by</w:t>
      </w:r>
      <w:r w:rsidR="00CC672B">
        <w:t xml:space="preserve"> providers. </w:t>
      </w:r>
    </w:p>
    <w:p w14:paraId="32E929DC" w14:textId="0848BEB1" w:rsidR="006B5DED" w:rsidRPr="00E47FE8" w:rsidRDefault="00C148A2" w:rsidP="006B5DED">
      <w:pPr>
        <w:pStyle w:val="BodyText"/>
        <w:rPr>
          <w:color w:val="000000" w:themeColor="text1"/>
        </w:rPr>
      </w:pPr>
      <w:r>
        <w:rPr>
          <w:color w:val="000000" w:themeColor="text1"/>
        </w:rPr>
        <w:t>Notwithstanding, g</w:t>
      </w:r>
      <w:r w:rsidR="00757559" w:rsidRPr="00E47FE8">
        <w:rPr>
          <w:color w:val="000000" w:themeColor="text1"/>
        </w:rPr>
        <w:t>overnments have typically allowed</w:t>
      </w:r>
      <w:r w:rsidR="00512F6C" w:rsidRPr="00E47FE8">
        <w:rPr>
          <w:color w:val="000000" w:themeColor="text1"/>
        </w:rPr>
        <w:t xml:space="preserve"> </w:t>
      </w:r>
      <w:r w:rsidR="00456CAB" w:rsidRPr="00E47FE8">
        <w:rPr>
          <w:color w:val="000000" w:themeColor="text1"/>
        </w:rPr>
        <w:t>irrigator</w:t>
      </w:r>
      <w:r w:rsidR="00396CA0">
        <w:rPr>
          <w:color w:val="000000" w:themeColor="text1"/>
        </w:rPr>
        <w:noBreakHyphen/>
      </w:r>
      <w:r w:rsidR="00456CAB" w:rsidRPr="00E47FE8">
        <w:rPr>
          <w:color w:val="000000" w:themeColor="text1"/>
        </w:rPr>
        <w:t xml:space="preserve">owned </w:t>
      </w:r>
      <w:r w:rsidR="00757559" w:rsidRPr="00E47FE8">
        <w:rPr>
          <w:color w:val="000000" w:themeColor="text1"/>
        </w:rPr>
        <w:t>infrastructure providers to set their own charges</w:t>
      </w:r>
      <w:r w:rsidR="00CC672B" w:rsidRPr="00E47FE8">
        <w:rPr>
          <w:color w:val="000000" w:themeColor="text1"/>
        </w:rPr>
        <w:t xml:space="preserve">. In doing so, they </w:t>
      </w:r>
      <w:r w:rsidR="00512F6C" w:rsidRPr="00E47FE8">
        <w:rPr>
          <w:color w:val="000000" w:themeColor="text1"/>
        </w:rPr>
        <w:t>rel</w:t>
      </w:r>
      <w:r w:rsidR="00757559" w:rsidRPr="00E47FE8">
        <w:rPr>
          <w:color w:val="000000" w:themeColor="text1"/>
        </w:rPr>
        <w:t xml:space="preserve">y on the </w:t>
      </w:r>
      <w:r w:rsidR="00512F6C" w:rsidRPr="00E47FE8">
        <w:rPr>
          <w:color w:val="000000" w:themeColor="text1"/>
        </w:rPr>
        <w:t>irrigators</w:t>
      </w:r>
      <w:r>
        <w:rPr>
          <w:color w:val="000000" w:themeColor="text1"/>
        </w:rPr>
        <w:t>’</w:t>
      </w:r>
      <w:r w:rsidR="00512F6C" w:rsidRPr="00E47FE8">
        <w:rPr>
          <w:color w:val="000000" w:themeColor="text1"/>
        </w:rPr>
        <w:t xml:space="preserve"> se</w:t>
      </w:r>
      <w:r w:rsidR="00C420C0">
        <w:rPr>
          <w:color w:val="000000" w:themeColor="text1"/>
        </w:rPr>
        <w:t>lf</w:t>
      </w:r>
      <w:r w:rsidR="00C420C0">
        <w:rPr>
          <w:color w:val="000000" w:themeColor="text1"/>
        </w:rPr>
        <w:noBreakHyphen/>
      </w:r>
      <w:r w:rsidR="00512F6C" w:rsidRPr="00E47FE8">
        <w:rPr>
          <w:color w:val="000000" w:themeColor="text1"/>
        </w:rPr>
        <w:t>interest</w:t>
      </w:r>
      <w:r w:rsidR="00456CAB" w:rsidRPr="00E47FE8">
        <w:rPr>
          <w:color w:val="000000" w:themeColor="text1"/>
        </w:rPr>
        <w:t xml:space="preserve"> </w:t>
      </w:r>
      <w:r w:rsidR="00E46B6B">
        <w:rPr>
          <w:color w:val="000000" w:themeColor="text1"/>
        </w:rPr>
        <w:t xml:space="preserve">to </w:t>
      </w:r>
      <w:r w:rsidR="00A55783">
        <w:rPr>
          <w:color w:val="000000" w:themeColor="text1"/>
        </w:rPr>
        <w:t>keep charges at an efficient level</w:t>
      </w:r>
      <w:r w:rsidR="00CC672B" w:rsidRPr="00E47FE8">
        <w:rPr>
          <w:color w:val="000000" w:themeColor="text1"/>
        </w:rPr>
        <w:t xml:space="preserve"> while </w:t>
      </w:r>
      <w:r w:rsidR="0003140A">
        <w:rPr>
          <w:color w:val="000000" w:themeColor="text1"/>
        </w:rPr>
        <w:t xml:space="preserve">still </w:t>
      </w:r>
      <w:r w:rsidR="00CC672B" w:rsidRPr="00E47FE8">
        <w:rPr>
          <w:color w:val="000000" w:themeColor="text1"/>
        </w:rPr>
        <w:t>ensuring the network is adequately maintained</w:t>
      </w:r>
      <w:r w:rsidR="00757559" w:rsidRPr="00E47FE8">
        <w:rPr>
          <w:color w:val="000000" w:themeColor="text1"/>
        </w:rPr>
        <w:t>. This collective self</w:t>
      </w:r>
      <w:r w:rsidR="004E0D4E">
        <w:rPr>
          <w:color w:val="000000" w:themeColor="text1"/>
        </w:rPr>
        <w:noBreakHyphen/>
      </w:r>
      <w:r w:rsidR="00757559" w:rsidRPr="00E47FE8">
        <w:rPr>
          <w:color w:val="000000" w:themeColor="text1"/>
        </w:rPr>
        <w:t xml:space="preserve">interest may, however, result in arrangements that have undesirable effects on third parties such as </w:t>
      </w:r>
      <w:r w:rsidR="00771ADA">
        <w:rPr>
          <w:color w:val="000000" w:themeColor="text1"/>
        </w:rPr>
        <w:t>potential new entrants</w:t>
      </w:r>
      <w:r w:rsidR="00757559" w:rsidRPr="00E47FE8">
        <w:rPr>
          <w:color w:val="000000" w:themeColor="text1"/>
        </w:rPr>
        <w:t xml:space="preserve"> and irrigators in other networks.</w:t>
      </w:r>
      <w:r w:rsidR="006B5DED" w:rsidRPr="00E47FE8">
        <w:rPr>
          <w:color w:val="000000" w:themeColor="text1"/>
        </w:rPr>
        <w:t xml:space="preserve"> </w:t>
      </w:r>
    </w:p>
    <w:p w14:paraId="32E929DD" w14:textId="1A2075D4" w:rsidR="00A41210" w:rsidRDefault="00573A0C" w:rsidP="00724A58">
      <w:pPr>
        <w:pStyle w:val="BodyText"/>
        <w:rPr>
          <w:color w:val="000000" w:themeColor="text1"/>
        </w:rPr>
      </w:pPr>
      <w:r>
        <w:rPr>
          <w:color w:val="000000" w:themeColor="text1"/>
        </w:rPr>
        <w:t xml:space="preserve">The preferred course </w:t>
      </w:r>
      <w:r w:rsidR="00BA5304">
        <w:rPr>
          <w:color w:val="000000" w:themeColor="text1"/>
        </w:rPr>
        <w:t xml:space="preserve">in the </w:t>
      </w:r>
      <w:proofErr w:type="spellStart"/>
      <w:r w:rsidR="00BA5304">
        <w:rPr>
          <w:color w:val="000000" w:themeColor="text1"/>
        </w:rPr>
        <w:t>NWI</w:t>
      </w:r>
      <w:proofErr w:type="spellEnd"/>
      <w:r w:rsidR="00BA5304">
        <w:rPr>
          <w:color w:val="000000" w:themeColor="text1"/>
        </w:rPr>
        <w:t xml:space="preserve"> was</w:t>
      </w:r>
      <w:r>
        <w:rPr>
          <w:color w:val="000000" w:themeColor="text1"/>
        </w:rPr>
        <w:t xml:space="preserve"> for </w:t>
      </w:r>
      <w:r w:rsidR="00B20EC7">
        <w:rPr>
          <w:color w:val="000000" w:themeColor="text1"/>
        </w:rPr>
        <w:t>publicly</w:t>
      </w:r>
      <w:r w:rsidR="00967BB3">
        <w:rPr>
          <w:color w:val="000000" w:themeColor="text1"/>
        </w:rPr>
        <w:t>-</w:t>
      </w:r>
      <w:r w:rsidR="00B20EC7" w:rsidRPr="00573A0C">
        <w:rPr>
          <w:color w:val="000000" w:themeColor="text1"/>
        </w:rPr>
        <w:t xml:space="preserve">owned </w:t>
      </w:r>
      <w:r w:rsidR="008627FD">
        <w:rPr>
          <w:color w:val="000000" w:themeColor="text1"/>
        </w:rPr>
        <w:t>rural water services</w:t>
      </w:r>
      <w:r w:rsidR="00B20EC7" w:rsidRPr="00573A0C">
        <w:rPr>
          <w:color w:val="000000" w:themeColor="text1"/>
        </w:rPr>
        <w:t xml:space="preserve"> providers</w:t>
      </w:r>
      <w:r>
        <w:rPr>
          <w:color w:val="000000" w:themeColor="text1"/>
        </w:rPr>
        <w:t xml:space="preserve"> to have infrastructure charges </w:t>
      </w:r>
      <w:r w:rsidRPr="00117846">
        <w:rPr>
          <w:color w:val="000000" w:themeColor="text1"/>
        </w:rPr>
        <w:t xml:space="preserve">set </w:t>
      </w:r>
      <w:r w:rsidR="006B5DED" w:rsidRPr="00E47FE8">
        <w:rPr>
          <w:color w:val="000000" w:themeColor="text1"/>
        </w:rPr>
        <w:t>by</w:t>
      </w:r>
      <w:r w:rsidR="00B20EC7">
        <w:rPr>
          <w:color w:val="000000" w:themeColor="text1"/>
        </w:rPr>
        <w:t xml:space="preserve"> </w:t>
      </w:r>
      <w:r w:rsidR="006B5DED" w:rsidRPr="00E47FE8">
        <w:rPr>
          <w:color w:val="000000" w:themeColor="text1"/>
        </w:rPr>
        <w:t>an independent economic regulator</w:t>
      </w:r>
      <w:r w:rsidRPr="00117846">
        <w:rPr>
          <w:color w:val="000000" w:themeColor="text1"/>
        </w:rPr>
        <w:t xml:space="preserve"> </w:t>
      </w:r>
      <w:r>
        <w:rPr>
          <w:color w:val="000000" w:themeColor="text1"/>
        </w:rPr>
        <w:t xml:space="preserve">rather </w:t>
      </w:r>
      <w:r w:rsidR="00D910DD">
        <w:rPr>
          <w:color w:val="000000" w:themeColor="text1"/>
        </w:rPr>
        <w:t xml:space="preserve">than </w:t>
      </w:r>
      <w:r>
        <w:rPr>
          <w:color w:val="000000" w:themeColor="text1"/>
        </w:rPr>
        <w:t>set</w:t>
      </w:r>
      <w:r w:rsidRPr="00117846">
        <w:rPr>
          <w:color w:val="000000" w:themeColor="text1"/>
        </w:rPr>
        <w:t xml:space="preserve"> </w:t>
      </w:r>
      <w:r w:rsidR="006B5DED" w:rsidRPr="00E47FE8">
        <w:rPr>
          <w:color w:val="000000" w:themeColor="text1"/>
        </w:rPr>
        <w:t>directly by government</w:t>
      </w:r>
      <w:r w:rsidR="006B5DED">
        <w:rPr>
          <w:color w:val="000000" w:themeColor="text1"/>
        </w:rPr>
        <w:t xml:space="preserve"> </w:t>
      </w:r>
      <w:r w:rsidR="00A12783">
        <w:rPr>
          <w:color w:val="000000" w:themeColor="text1"/>
        </w:rPr>
        <w:t>itself</w:t>
      </w:r>
      <w:r w:rsidR="006B5DED" w:rsidRPr="00E47FE8">
        <w:rPr>
          <w:color w:val="000000" w:themeColor="text1"/>
        </w:rPr>
        <w:t xml:space="preserve"> (</w:t>
      </w:r>
      <w:r>
        <w:rPr>
          <w:color w:val="000000" w:themeColor="text1"/>
        </w:rPr>
        <w:t xml:space="preserve">as occurs in some jurisdictions). </w:t>
      </w:r>
      <w:r w:rsidR="00FB3FA0">
        <w:rPr>
          <w:color w:val="000000" w:themeColor="text1"/>
        </w:rPr>
        <w:t>I</w:t>
      </w:r>
      <w:r w:rsidRPr="00117846">
        <w:rPr>
          <w:color w:val="000000" w:themeColor="text1"/>
        </w:rPr>
        <w:t xml:space="preserve">ndependent </w:t>
      </w:r>
      <w:r>
        <w:rPr>
          <w:color w:val="000000" w:themeColor="text1"/>
        </w:rPr>
        <w:t xml:space="preserve">processes </w:t>
      </w:r>
      <w:r w:rsidR="00F07A74">
        <w:rPr>
          <w:color w:val="000000" w:themeColor="text1"/>
        </w:rPr>
        <w:t xml:space="preserve">can </w:t>
      </w:r>
      <w:r>
        <w:rPr>
          <w:color w:val="000000" w:themeColor="text1"/>
        </w:rPr>
        <w:t xml:space="preserve">limit the </w:t>
      </w:r>
      <w:r w:rsidR="00C441C8">
        <w:rPr>
          <w:color w:val="000000" w:themeColor="text1"/>
        </w:rPr>
        <w:t xml:space="preserve">extent of political intervention and therefore provide greater certainty to providers </w:t>
      </w:r>
      <w:r w:rsidR="00FB3FA0">
        <w:rPr>
          <w:color w:val="000000" w:themeColor="text1"/>
        </w:rPr>
        <w:t xml:space="preserve">(and ultimately users and investors) </w:t>
      </w:r>
      <w:r w:rsidR="00C441C8">
        <w:rPr>
          <w:color w:val="000000" w:themeColor="text1"/>
        </w:rPr>
        <w:t>through the</w:t>
      </w:r>
      <w:r w:rsidRPr="00573A0C">
        <w:rPr>
          <w:color w:val="000000" w:themeColor="text1"/>
        </w:rPr>
        <w:t xml:space="preserve"> stability and consistency</w:t>
      </w:r>
      <w:r w:rsidR="00C441C8">
        <w:rPr>
          <w:color w:val="000000" w:themeColor="text1"/>
        </w:rPr>
        <w:t xml:space="preserve"> of decisions over time.</w:t>
      </w:r>
      <w:r>
        <w:rPr>
          <w:color w:val="000000" w:themeColor="text1"/>
        </w:rPr>
        <w:t xml:space="preserve"> </w:t>
      </w:r>
    </w:p>
    <w:p w14:paraId="32E929DE" w14:textId="42F25B5E" w:rsidR="00724A58" w:rsidRPr="00A41210" w:rsidRDefault="00A41210" w:rsidP="00724A58">
      <w:pPr>
        <w:pStyle w:val="BodyText"/>
        <w:rPr>
          <w:color w:val="000000" w:themeColor="text1"/>
        </w:rPr>
      </w:pPr>
      <w:r>
        <w:rPr>
          <w:color w:val="000000" w:themeColor="text1"/>
        </w:rPr>
        <w:t>P</w:t>
      </w:r>
      <w:r w:rsidR="00724A58">
        <w:rPr>
          <w:color w:val="000000" w:themeColor="text1"/>
        </w:rPr>
        <w:t xml:space="preserve">roviders of similar infrastructure services may be subject to different regulatory treatments depending upon their ownership and where they are. </w:t>
      </w:r>
      <w:r w:rsidR="001147E0">
        <w:rPr>
          <w:color w:val="000000" w:themeColor="text1"/>
        </w:rPr>
        <w:t xml:space="preserve">This is more the case in </w:t>
      </w:r>
      <w:r w:rsidR="00D741CE">
        <w:t>off</w:t>
      </w:r>
      <w:r w:rsidR="00D741CE">
        <w:noBreakHyphen/>
      </w:r>
      <w:r w:rsidR="001147E0">
        <w:t xml:space="preserve">river irrigation networks that are variously owned by State </w:t>
      </w:r>
      <w:r w:rsidR="00DC604D">
        <w:t>G</w:t>
      </w:r>
      <w:r w:rsidR="001147E0">
        <w:t>overnments and irrigator</w:t>
      </w:r>
      <w:r w:rsidR="0016156E">
        <w:noBreakHyphen/>
      </w:r>
      <w:r w:rsidR="001147E0">
        <w:t>owned co</w:t>
      </w:r>
      <w:r w:rsidR="001147E0">
        <w:noBreakHyphen/>
        <w:t>operatives. T</w:t>
      </w:r>
      <w:r w:rsidR="001147E0">
        <w:rPr>
          <w:color w:val="000000" w:themeColor="text1"/>
        </w:rPr>
        <w:t xml:space="preserve">his may lead to a situation where prices for infrastructure services are not cost reflective in some areas. </w:t>
      </w:r>
    </w:p>
    <w:p w14:paraId="32E929DF" w14:textId="77777777" w:rsidR="00724A58" w:rsidRDefault="00724A58" w:rsidP="00E47FE8">
      <w:pPr>
        <w:pStyle w:val="Heading4"/>
      </w:pPr>
      <w:r>
        <w:lastRenderedPageBreak/>
        <w:t>Ongoing viability of irrigation networks</w:t>
      </w:r>
    </w:p>
    <w:p w14:paraId="32E929E0" w14:textId="0FF11ABA" w:rsidR="00BF1E9A" w:rsidRDefault="00BF1E9A" w:rsidP="00BF1E9A">
      <w:pPr>
        <w:pStyle w:val="BodyText"/>
        <w:rPr>
          <w:color w:val="000000" w:themeColor="text1"/>
        </w:rPr>
      </w:pPr>
      <w:r>
        <w:rPr>
          <w:color w:val="000000" w:themeColor="text1"/>
        </w:rPr>
        <w:t>Irrigators will connect and disconnect from network</w:t>
      </w:r>
      <w:r w:rsidR="00BD67E7">
        <w:rPr>
          <w:color w:val="000000" w:themeColor="text1"/>
        </w:rPr>
        <w:t xml:space="preserve">s </w:t>
      </w:r>
      <w:r>
        <w:rPr>
          <w:color w:val="000000" w:themeColor="text1"/>
        </w:rPr>
        <w:t xml:space="preserve">for </w:t>
      </w:r>
      <w:r w:rsidR="005E4336">
        <w:rPr>
          <w:color w:val="000000" w:themeColor="text1"/>
        </w:rPr>
        <w:t xml:space="preserve">many </w:t>
      </w:r>
      <w:r>
        <w:rPr>
          <w:color w:val="000000" w:themeColor="text1"/>
        </w:rPr>
        <w:t xml:space="preserve">reasons. </w:t>
      </w:r>
      <w:r w:rsidR="00976B79">
        <w:rPr>
          <w:color w:val="000000" w:themeColor="text1"/>
        </w:rPr>
        <w:t xml:space="preserve">Some </w:t>
      </w:r>
      <w:r>
        <w:rPr>
          <w:color w:val="000000" w:themeColor="text1"/>
        </w:rPr>
        <w:t xml:space="preserve">are </w:t>
      </w:r>
      <w:r w:rsidR="00DA5832">
        <w:rPr>
          <w:color w:val="000000" w:themeColor="text1"/>
        </w:rPr>
        <w:t xml:space="preserve">driven by factors </w:t>
      </w:r>
      <w:r>
        <w:rPr>
          <w:color w:val="000000" w:themeColor="text1"/>
        </w:rPr>
        <w:t xml:space="preserve">beyond the control of network </w:t>
      </w:r>
      <w:r w:rsidR="00580BAC">
        <w:rPr>
          <w:color w:val="000000" w:themeColor="text1"/>
        </w:rPr>
        <w:t xml:space="preserve">operators </w:t>
      </w:r>
      <w:r>
        <w:rPr>
          <w:color w:val="000000" w:themeColor="text1"/>
        </w:rPr>
        <w:t>— for example:</w:t>
      </w:r>
      <w:r>
        <w:t xml:space="preserve"> commodity prices; water </w:t>
      </w:r>
      <w:r w:rsidRPr="005A2982">
        <w:rPr>
          <w:color w:val="000000" w:themeColor="text1"/>
        </w:rPr>
        <w:t>entitlement prices; and, some</w:t>
      </w:r>
      <w:r w:rsidR="00580BAC">
        <w:rPr>
          <w:color w:val="000000" w:themeColor="text1"/>
        </w:rPr>
        <w:t xml:space="preserve"> external</w:t>
      </w:r>
      <w:r w:rsidRPr="005A2982">
        <w:rPr>
          <w:color w:val="000000" w:themeColor="text1"/>
        </w:rPr>
        <w:t xml:space="preserve"> network costs (such as electricity).</w:t>
      </w:r>
      <w:r>
        <w:rPr>
          <w:color w:val="000000" w:themeColor="text1"/>
        </w:rPr>
        <w:t xml:space="preserve"> </w:t>
      </w:r>
      <w:r w:rsidR="00580BAC">
        <w:rPr>
          <w:color w:val="000000" w:themeColor="text1"/>
        </w:rPr>
        <w:t>D</w:t>
      </w:r>
      <w:r w:rsidRPr="000A1252">
        <w:rPr>
          <w:color w:val="000000" w:themeColor="text1"/>
        </w:rPr>
        <w:t>isconnection</w:t>
      </w:r>
      <w:r w:rsidR="00580BAC">
        <w:rPr>
          <w:color w:val="000000" w:themeColor="text1"/>
        </w:rPr>
        <w:t>s</w:t>
      </w:r>
      <w:r>
        <w:rPr>
          <w:color w:val="000000" w:themeColor="text1"/>
        </w:rPr>
        <w:t xml:space="preserve"> </w:t>
      </w:r>
      <w:r w:rsidRPr="005A2982">
        <w:rPr>
          <w:color w:val="000000" w:themeColor="text1"/>
        </w:rPr>
        <w:t>result</w:t>
      </w:r>
      <w:r>
        <w:rPr>
          <w:color w:val="000000" w:themeColor="text1"/>
        </w:rPr>
        <w:t xml:space="preserve"> in</w:t>
      </w:r>
      <w:r w:rsidRPr="005A2982">
        <w:rPr>
          <w:color w:val="000000" w:themeColor="text1"/>
        </w:rPr>
        <w:t xml:space="preserve"> </w:t>
      </w:r>
      <w:r>
        <w:rPr>
          <w:color w:val="000000" w:themeColor="text1"/>
        </w:rPr>
        <w:t xml:space="preserve">higher </w:t>
      </w:r>
      <w:r w:rsidRPr="005A2982">
        <w:rPr>
          <w:color w:val="000000" w:themeColor="text1"/>
        </w:rPr>
        <w:t xml:space="preserve">infrastructure charges </w:t>
      </w:r>
      <w:r>
        <w:rPr>
          <w:color w:val="000000" w:themeColor="text1"/>
        </w:rPr>
        <w:t>for</w:t>
      </w:r>
      <w:r w:rsidRPr="005A2982">
        <w:rPr>
          <w:color w:val="000000" w:themeColor="text1"/>
        </w:rPr>
        <w:t xml:space="preserve"> the remaining irrigators.</w:t>
      </w:r>
      <w:r>
        <w:rPr>
          <w:color w:val="000000" w:themeColor="text1"/>
        </w:rPr>
        <w:t xml:space="preserve"> </w:t>
      </w:r>
      <w:r w:rsidR="00A912AC">
        <w:rPr>
          <w:color w:val="000000" w:themeColor="text1"/>
        </w:rPr>
        <w:t xml:space="preserve">Ongoing </w:t>
      </w:r>
      <w:r>
        <w:rPr>
          <w:color w:val="000000" w:themeColor="text1"/>
        </w:rPr>
        <w:t xml:space="preserve">disconnections </w:t>
      </w:r>
      <w:r w:rsidR="00580BAC">
        <w:rPr>
          <w:color w:val="000000" w:themeColor="text1"/>
        </w:rPr>
        <w:t xml:space="preserve">may </w:t>
      </w:r>
      <w:r>
        <w:rPr>
          <w:color w:val="000000" w:themeColor="text1"/>
        </w:rPr>
        <w:t xml:space="preserve">eventually </w:t>
      </w:r>
      <w:r w:rsidR="00BD67E7">
        <w:rPr>
          <w:color w:val="000000" w:themeColor="text1"/>
        </w:rPr>
        <w:t>push</w:t>
      </w:r>
      <w:r>
        <w:rPr>
          <w:color w:val="000000" w:themeColor="text1"/>
        </w:rPr>
        <w:t xml:space="preserve"> the cost of the network beyond the financial capacity of the remaining irrigators</w:t>
      </w:r>
      <w:r w:rsidR="00D52534">
        <w:rPr>
          <w:color w:val="000000" w:themeColor="text1"/>
        </w:rPr>
        <w:t xml:space="preserve"> and it will no longer be viable</w:t>
      </w:r>
      <w:r>
        <w:rPr>
          <w:color w:val="000000" w:themeColor="text1"/>
        </w:rPr>
        <w:t xml:space="preserve">. </w:t>
      </w:r>
      <w:r w:rsidR="00D43130">
        <w:rPr>
          <w:color w:val="000000" w:themeColor="text1"/>
        </w:rPr>
        <w:t xml:space="preserve">As with any private organisation, the risk and consequences of a network’s failure </w:t>
      </w:r>
      <w:r w:rsidR="00A912AC">
        <w:rPr>
          <w:color w:val="000000" w:themeColor="text1"/>
        </w:rPr>
        <w:t xml:space="preserve">reside with </w:t>
      </w:r>
      <w:r w:rsidR="00D43130">
        <w:rPr>
          <w:color w:val="000000" w:themeColor="text1"/>
        </w:rPr>
        <w:t>the owners (regardless of whether the assets were once under public ownership).</w:t>
      </w:r>
    </w:p>
    <w:p w14:paraId="32E929E1" w14:textId="77777777" w:rsidR="00BF1E9A" w:rsidRDefault="00D43130" w:rsidP="006E253D">
      <w:pPr>
        <w:pStyle w:val="BodyText"/>
        <w:rPr>
          <w:color w:val="000000" w:themeColor="text1"/>
        </w:rPr>
      </w:pPr>
      <w:r>
        <w:rPr>
          <w:color w:val="000000" w:themeColor="text1"/>
        </w:rPr>
        <w:t>T</w:t>
      </w:r>
      <w:r w:rsidR="006E3594" w:rsidRPr="005A2982">
        <w:rPr>
          <w:color w:val="000000" w:themeColor="text1"/>
        </w:rPr>
        <w:t>ermination fees</w:t>
      </w:r>
      <w:r w:rsidR="006E3594">
        <w:rPr>
          <w:color w:val="000000" w:themeColor="text1"/>
        </w:rPr>
        <w:t xml:space="preserve"> </w:t>
      </w:r>
      <w:r>
        <w:rPr>
          <w:color w:val="000000" w:themeColor="text1"/>
        </w:rPr>
        <w:t xml:space="preserve">are one mechanism available to networks to help manage </w:t>
      </w:r>
      <w:r w:rsidR="00A35046">
        <w:rPr>
          <w:color w:val="000000" w:themeColor="text1"/>
        </w:rPr>
        <w:t xml:space="preserve">reduced utilisation of </w:t>
      </w:r>
      <w:r>
        <w:rPr>
          <w:color w:val="000000" w:themeColor="text1"/>
        </w:rPr>
        <w:t xml:space="preserve">a network. These fees are paid by those users seeking to disconnect from the network and </w:t>
      </w:r>
      <w:r w:rsidR="00E85799">
        <w:rPr>
          <w:color w:val="000000" w:themeColor="text1"/>
        </w:rPr>
        <w:t xml:space="preserve">provide </w:t>
      </w:r>
      <w:r w:rsidR="00E85799" w:rsidRPr="005A2982">
        <w:rPr>
          <w:color w:val="000000" w:themeColor="text1"/>
        </w:rPr>
        <w:t xml:space="preserve">a source of </w:t>
      </w:r>
      <w:r>
        <w:rPr>
          <w:color w:val="000000" w:themeColor="text1"/>
        </w:rPr>
        <w:t xml:space="preserve">funding to support </w:t>
      </w:r>
      <w:r w:rsidR="006E3594" w:rsidRPr="005A2982">
        <w:rPr>
          <w:color w:val="000000" w:themeColor="text1"/>
        </w:rPr>
        <w:t xml:space="preserve">ongoing operations </w:t>
      </w:r>
      <w:r w:rsidR="006E3594">
        <w:rPr>
          <w:color w:val="000000" w:themeColor="text1"/>
        </w:rPr>
        <w:t xml:space="preserve">while </w:t>
      </w:r>
      <w:r w:rsidR="00E85799">
        <w:rPr>
          <w:color w:val="000000" w:themeColor="text1"/>
        </w:rPr>
        <w:t xml:space="preserve">a </w:t>
      </w:r>
      <w:r w:rsidR="006E3594">
        <w:rPr>
          <w:color w:val="000000" w:themeColor="text1"/>
        </w:rPr>
        <w:t xml:space="preserve">network is </w:t>
      </w:r>
      <w:r w:rsidR="006E3594" w:rsidRPr="005A2982">
        <w:rPr>
          <w:color w:val="000000" w:themeColor="text1"/>
        </w:rPr>
        <w:t>reconfigur</w:t>
      </w:r>
      <w:r w:rsidR="006E3594">
        <w:rPr>
          <w:color w:val="000000" w:themeColor="text1"/>
        </w:rPr>
        <w:t>ed</w:t>
      </w:r>
      <w:r w:rsidR="00E85799">
        <w:rPr>
          <w:color w:val="000000" w:themeColor="text1"/>
        </w:rPr>
        <w:t xml:space="preserve"> </w:t>
      </w:r>
      <w:r>
        <w:rPr>
          <w:color w:val="000000" w:themeColor="text1"/>
        </w:rPr>
        <w:t>to reflect its changed circumstances.</w:t>
      </w:r>
      <w:r w:rsidR="00E85799">
        <w:rPr>
          <w:color w:val="000000" w:themeColor="text1"/>
        </w:rPr>
        <w:t xml:space="preserve"> </w:t>
      </w:r>
      <w:r w:rsidR="001D46ED">
        <w:rPr>
          <w:color w:val="000000" w:themeColor="text1"/>
        </w:rPr>
        <w:t>Other mechanisms and alternatives for managing change will depend upon the circumstances of the network.</w:t>
      </w:r>
    </w:p>
    <w:p w14:paraId="32E929E2" w14:textId="77777777" w:rsidR="00C80DF0" w:rsidRPr="00135A96" w:rsidRDefault="00C80DF0" w:rsidP="00C80DF0">
      <w:pPr>
        <w:pStyle w:val="Heading4"/>
      </w:pPr>
      <w:r w:rsidRPr="00135A96">
        <w:t xml:space="preserve">Making decisions on </w:t>
      </w:r>
      <w:r w:rsidR="008A49A5">
        <w:t>irrigation</w:t>
      </w:r>
      <w:r w:rsidR="003F7700">
        <w:t xml:space="preserve"> water </w:t>
      </w:r>
      <w:r w:rsidRPr="00135A96">
        <w:t>infrastructure</w:t>
      </w:r>
    </w:p>
    <w:p w14:paraId="32E929E3" w14:textId="6779C1E9" w:rsidR="00C3578E" w:rsidRPr="00C3578E" w:rsidRDefault="00A00880">
      <w:pPr>
        <w:pStyle w:val="BodyText"/>
      </w:pPr>
      <w:r>
        <w:t>I</w:t>
      </w:r>
      <w:r w:rsidR="00400BE8" w:rsidRPr="00C3578E">
        <w:t>nfrastructure projects should be subject to a robust cost</w:t>
      </w:r>
      <w:r w:rsidR="000C6413">
        <w:noBreakHyphen/>
      </w:r>
      <w:r w:rsidR="00400BE8" w:rsidRPr="00C3578E">
        <w:t xml:space="preserve">benefit analysis, and demonstrate a net benefit, before being commissioned. </w:t>
      </w:r>
      <w:r w:rsidR="00AD1486">
        <w:t xml:space="preserve">This is an essential prerequisite to avoid </w:t>
      </w:r>
      <w:r w:rsidR="00AD1486" w:rsidDel="006C08A6">
        <w:t>excessive prices</w:t>
      </w:r>
      <w:r w:rsidR="00D95DCD">
        <w:t xml:space="preserve"> </w:t>
      </w:r>
      <w:r w:rsidR="006C08A6">
        <w:t xml:space="preserve">or </w:t>
      </w:r>
      <w:r w:rsidR="00672451">
        <w:t>significant</w:t>
      </w:r>
      <w:r w:rsidR="006C08A6">
        <w:t xml:space="preserve"> government </w:t>
      </w:r>
      <w:r w:rsidR="00D95DCD">
        <w:t>subsidies, and</w:t>
      </w:r>
      <w:r w:rsidR="006C08A6">
        <w:t xml:space="preserve"> to</w:t>
      </w:r>
      <w:r w:rsidR="00AD1486" w:rsidDel="006C08A6">
        <w:t xml:space="preserve"> </w:t>
      </w:r>
      <w:r w:rsidR="00AD1486">
        <w:t xml:space="preserve">promote investor confidence. </w:t>
      </w:r>
      <w:r w:rsidR="00C3578E" w:rsidRPr="00C3578E">
        <w:t>Any cost</w:t>
      </w:r>
      <w:r w:rsidR="000C6413">
        <w:noBreakHyphen/>
      </w:r>
      <w:r w:rsidR="00C3578E" w:rsidRPr="00C3578E">
        <w:t xml:space="preserve">benefit analysis should consider the possible alternative actions, such </w:t>
      </w:r>
      <w:r w:rsidR="00F34E36">
        <w:t>as</w:t>
      </w:r>
      <w:r w:rsidR="00C3578E" w:rsidRPr="00C3578E">
        <w:t xml:space="preserve"> more intensive use of existing infrastructure and water resources (where capacity exists), and whether those actions would bring at least the same outcomes at a lower cost. </w:t>
      </w:r>
    </w:p>
    <w:p w14:paraId="32E929E4" w14:textId="77777777" w:rsidR="00C3578E" w:rsidRDefault="00400BE8" w:rsidP="00E47FE8">
      <w:pPr>
        <w:pStyle w:val="BodyText"/>
      </w:pPr>
      <w:r w:rsidRPr="00D55C34">
        <w:t xml:space="preserve">A project will be more likely to show a net benefit where it meets the current and forecast needs of users. Engaging with users through consultation and, where possible, collaboration </w:t>
      </w:r>
      <w:r w:rsidR="000C6413">
        <w:t xml:space="preserve">is </w:t>
      </w:r>
      <w:r w:rsidRPr="00D55C34">
        <w:t>therefore an important step in this process. Engagement is also important so that users are aware of the likely charges they will bear as users of the infrastructure — assuming full cost recovery, users’ preparedness to pay is an important threshold test as to whether a project will deliver a net benefit.</w:t>
      </w:r>
    </w:p>
    <w:p w14:paraId="32E929E5" w14:textId="1EE0FB86" w:rsidR="00C80DF0" w:rsidRPr="004E3B94" w:rsidRDefault="00C80DF0" w:rsidP="00C80DF0">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C80DF0" w14:paraId="32E929F1" w14:textId="77777777" w:rsidTr="00C80DF0">
        <w:trPr>
          <w:cantSplit/>
          <w:tblHeader/>
        </w:trPr>
        <w:tc>
          <w:tcPr>
            <w:tcW w:w="8770" w:type="dxa"/>
            <w:tcBorders>
              <w:top w:val="single" w:sz="6" w:space="0" w:color="78A22F"/>
              <w:left w:val="nil"/>
              <w:bottom w:val="nil"/>
              <w:right w:val="nil"/>
            </w:tcBorders>
            <w:shd w:val="clear" w:color="auto" w:fill="auto"/>
          </w:tcPr>
          <w:p w14:paraId="32E929E6" w14:textId="4510FB42" w:rsidR="00C80DF0" w:rsidRPr="00170058" w:rsidRDefault="00D10901" w:rsidP="00621E66">
            <w:pPr>
              <w:pStyle w:val="InformationRequestTitle"/>
            </w:pPr>
            <w:r>
              <w:t>information request</w:t>
            </w:r>
          </w:p>
          <w:p w14:paraId="32E929E7" w14:textId="77777777" w:rsidR="00390407" w:rsidRDefault="00390407" w:rsidP="00390407">
            <w:pPr>
              <w:pStyle w:val="InformationRequestBullet"/>
            </w:pPr>
            <w:r>
              <w:t xml:space="preserve">Has the </w:t>
            </w:r>
            <w:proofErr w:type="spellStart"/>
            <w:r>
              <w:t>NWI</w:t>
            </w:r>
            <w:proofErr w:type="spellEnd"/>
            <w:r>
              <w:t xml:space="preserve"> been successful in achieving its objectives with respect to </w:t>
            </w:r>
            <w:r w:rsidR="005F451C">
              <w:t>rural water</w:t>
            </w:r>
            <w:r>
              <w:t xml:space="preserve"> services? If not, what actions are required to achieve these objectives?</w:t>
            </w:r>
          </w:p>
          <w:p w14:paraId="32E929E8" w14:textId="77777777" w:rsidR="00390407" w:rsidRDefault="00390407" w:rsidP="00390407">
            <w:pPr>
              <w:pStyle w:val="InformationRequestBullet"/>
              <w:rPr>
                <w:color w:val="000000" w:themeColor="text1"/>
              </w:rPr>
            </w:pPr>
            <w:r w:rsidRPr="00E47FE8">
              <w:rPr>
                <w:color w:val="000000" w:themeColor="text1"/>
              </w:rPr>
              <w:t xml:space="preserve">Are there any instances where </w:t>
            </w:r>
            <w:r>
              <w:rPr>
                <w:color w:val="000000" w:themeColor="text1"/>
              </w:rPr>
              <w:t xml:space="preserve">similar </w:t>
            </w:r>
            <w:r w:rsidR="00C366D2">
              <w:rPr>
                <w:color w:val="000000" w:themeColor="text1"/>
              </w:rPr>
              <w:t>rural water service</w:t>
            </w:r>
            <w:r>
              <w:rPr>
                <w:color w:val="000000" w:themeColor="text1"/>
              </w:rPr>
              <w:t xml:space="preserve"> providers should be subject to </w:t>
            </w:r>
            <w:r w:rsidRPr="00E47FE8">
              <w:rPr>
                <w:color w:val="000000" w:themeColor="text1"/>
              </w:rPr>
              <w:t xml:space="preserve">different regulatory </w:t>
            </w:r>
            <w:r>
              <w:rPr>
                <w:color w:val="000000" w:themeColor="text1"/>
              </w:rPr>
              <w:t>treatments based on the nature of their ownership and/or jurisdiction of operation</w:t>
            </w:r>
            <w:r w:rsidRPr="00E47FE8">
              <w:rPr>
                <w:color w:val="000000" w:themeColor="text1"/>
              </w:rPr>
              <w:t>? If so, when and why are such different approaches warranted?</w:t>
            </w:r>
          </w:p>
          <w:p w14:paraId="32E929E9" w14:textId="77777777" w:rsidR="00390407" w:rsidRPr="00E47FE8" w:rsidRDefault="00390407" w:rsidP="00390407">
            <w:pPr>
              <w:pStyle w:val="InformationRequestBullet"/>
              <w:rPr>
                <w:color w:val="000000" w:themeColor="text1"/>
              </w:rPr>
            </w:pPr>
            <w:r w:rsidRPr="009369F8">
              <w:rPr>
                <w:color w:val="000000" w:themeColor="text1"/>
              </w:rPr>
              <w:t>What role should independent economic regulators play in the regulation of rural water services?</w:t>
            </w:r>
          </w:p>
          <w:p w14:paraId="32E929EA" w14:textId="77777777" w:rsidR="00390407" w:rsidRPr="00390407" w:rsidRDefault="00390407" w:rsidP="00390407">
            <w:pPr>
              <w:pStyle w:val="InformationRequestBullet"/>
            </w:pPr>
            <w:r w:rsidRPr="00390407">
              <w:t xml:space="preserve">How are the needs of </w:t>
            </w:r>
            <w:r w:rsidR="00C366D2">
              <w:rPr>
                <w:color w:val="000000" w:themeColor="text1"/>
              </w:rPr>
              <w:t>rural water service</w:t>
            </w:r>
            <w:r w:rsidR="005F451C">
              <w:rPr>
                <w:color w:val="000000" w:themeColor="text1"/>
              </w:rPr>
              <w:t xml:space="preserve"> providers</w:t>
            </w:r>
            <w:r>
              <w:rPr>
                <w:color w:val="000000" w:themeColor="text1"/>
              </w:rPr>
              <w:t xml:space="preserve"> </w:t>
            </w:r>
            <w:r w:rsidR="00C62589">
              <w:rPr>
                <w:color w:val="000000" w:themeColor="text1"/>
              </w:rPr>
              <w:t xml:space="preserve">(both bulk water and irrigation </w:t>
            </w:r>
            <w:r w:rsidR="001A0621">
              <w:rPr>
                <w:color w:val="000000" w:themeColor="text1"/>
              </w:rPr>
              <w:t>delivery</w:t>
            </w:r>
            <w:r w:rsidR="00C62589">
              <w:rPr>
                <w:color w:val="000000" w:themeColor="text1"/>
              </w:rPr>
              <w:t xml:space="preserve">) </w:t>
            </w:r>
            <w:r>
              <w:t>and preferences of users balanced in the setting of infrastructure charges? In what ways could these processes be improved?</w:t>
            </w:r>
          </w:p>
          <w:p w14:paraId="32E929EB" w14:textId="77777777" w:rsidR="001A0621" w:rsidRDefault="001A0621" w:rsidP="00390407">
            <w:pPr>
              <w:pStyle w:val="InformationRequestBullet"/>
            </w:pPr>
            <w:r>
              <w:t>H</w:t>
            </w:r>
            <w:r w:rsidRPr="00A34998">
              <w:t xml:space="preserve">ow </w:t>
            </w:r>
            <w:r>
              <w:t>effectively do infrastructure network owners engage with users (both current and prospective) to ensure infrastructure</w:t>
            </w:r>
            <w:r w:rsidRPr="00A34998">
              <w:t xml:space="preserve"> programs</w:t>
            </w:r>
            <w:r>
              <w:t xml:space="preserve"> address current and future needs? </w:t>
            </w:r>
          </w:p>
          <w:p w14:paraId="32E929EC" w14:textId="0026C4AE" w:rsidR="00C62098" w:rsidRDefault="00390407" w:rsidP="00390407">
            <w:pPr>
              <w:pStyle w:val="InformationRequestBullet"/>
            </w:pPr>
            <w:r>
              <w:t>Is infrastructure charging sufficiently flexible to cope with changes to the number and composition of customers within networks? If not, how could infrastructure charges be improved?</w:t>
            </w:r>
            <w:r w:rsidR="00DF2C85">
              <w:t xml:space="preserve"> What role have played in this?</w:t>
            </w:r>
          </w:p>
          <w:p w14:paraId="32E929ED" w14:textId="265ABDEA" w:rsidR="00390407" w:rsidRDefault="00785B54" w:rsidP="00390407">
            <w:pPr>
              <w:pStyle w:val="InformationRequestBullet"/>
            </w:pPr>
            <w:r>
              <w:t xml:space="preserve">Have </w:t>
            </w:r>
            <w:r w:rsidR="00DF2C85">
              <w:t xml:space="preserve">termination fees </w:t>
            </w:r>
            <w:r w:rsidR="00C62098">
              <w:t>b</w:t>
            </w:r>
            <w:r w:rsidR="00DF2C85">
              <w:t>e</w:t>
            </w:r>
            <w:r w:rsidR="00C62098">
              <w:t>e</w:t>
            </w:r>
            <w:r w:rsidR="00DF2C85">
              <w:t>n</w:t>
            </w:r>
            <w:r w:rsidR="00C62098">
              <w:t xml:space="preserve"> </w:t>
            </w:r>
            <w:r>
              <w:t>effective in enabling infrastructure network owners to adjust their networks in response to declining usage</w:t>
            </w:r>
            <w:r w:rsidR="00DF2C85">
              <w:t>?</w:t>
            </w:r>
          </w:p>
          <w:p w14:paraId="32E929EE" w14:textId="77777777" w:rsidR="003023A9" w:rsidRDefault="00390407" w:rsidP="00390407">
            <w:pPr>
              <w:pStyle w:val="InformationRequestBullet"/>
            </w:pPr>
            <w:r>
              <w:t>What, if any, government oversight should there be of privately ow</w:t>
            </w:r>
            <w:r w:rsidR="00E06F35">
              <w:t>ned providers of</w:t>
            </w:r>
            <w:r>
              <w:t xml:space="preserve"> irrigation services?</w:t>
            </w:r>
          </w:p>
          <w:p w14:paraId="32E929EF" w14:textId="0F196434" w:rsidR="00C80DF0" w:rsidRDefault="00C80DF0" w:rsidP="00390407">
            <w:pPr>
              <w:pStyle w:val="InformationRequestBullet"/>
            </w:pPr>
            <w:r>
              <w:t>How robust are the cost</w:t>
            </w:r>
            <w:r w:rsidR="00396CA0">
              <w:noBreakHyphen/>
            </w:r>
            <w:r>
              <w:t>benefit analyses applied to irrigation infrastructure projects? Where could they be improved?</w:t>
            </w:r>
          </w:p>
          <w:p w14:paraId="32E929F0" w14:textId="77777777" w:rsidR="00C80DF0" w:rsidRPr="00CE4C64" w:rsidRDefault="00C366D2" w:rsidP="00C80DF0">
            <w:pPr>
              <w:pStyle w:val="InformationRequestBullet"/>
            </w:pPr>
            <w:r>
              <w:t xml:space="preserve">Are there sufficient checks and balances to prevent unviable or unsustainable infrastructure projects from proceeding? If not, what are the areas needing improvement? </w:t>
            </w:r>
          </w:p>
        </w:tc>
      </w:tr>
      <w:tr w:rsidR="00C80DF0" w14:paraId="32E929F3" w14:textId="77777777" w:rsidTr="00C80DF0">
        <w:tc>
          <w:tcPr>
            <w:tcW w:w="8770" w:type="dxa"/>
            <w:tcBorders>
              <w:top w:val="nil"/>
              <w:left w:val="nil"/>
              <w:bottom w:val="single" w:sz="6" w:space="0" w:color="78A22F"/>
              <w:right w:val="nil"/>
            </w:tcBorders>
            <w:shd w:val="clear" w:color="auto" w:fill="auto"/>
          </w:tcPr>
          <w:p w14:paraId="32E929F2" w14:textId="77777777" w:rsidR="00C80DF0" w:rsidRDefault="00C80DF0" w:rsidP="00C80DF0">
            <w:pPr>
              <w:pStyle w:val="Space"/>
              <w:keepLines/>
            </w:pPr>
          </w:p>
        </w:tc>
      </w:tr>
      <w:tr w:rsidR="00C80DF0" w:rsidRPr="000863A5" w14:paraId="32E929F5" w14:textId="77777777" w:rsidTr="00C80DF0">
        <w:tc>
          <w:tcPr>
            <w:tcW w:w="8770" w:type="dxa"/>
            <w:tcBorders>
              <w:top w:val="single" w:sz="6" w:space="0" w:color="78A22F"/>
              <w:left w:val="nil"/>
              <w:bottom w:val="nil"/>
              <w:right w:val="nil"/>
            </w:tcBorders>
          </w:tcPr>
          <w:p w14:paraId="32E929F4" w14:textId="46B10BEB" w:rsidR="00C80DF0" w:rsidRPr="00626D32" w:rsidRDefault="00C80DF0" w:rsidP="00C80DF0">
            <w:pPr>
              <w:pStyle w:val="BoxSpaceBelow"/>
              <w:keepLines/>
            </w:pPr>
          </w:p>
        </w:tc>
      </w:tr>
    </w:tbl>
    <w:p w14:paraId="32E929F6" w14:textId="77777777" w:rsidR="00EC4988" w:rsidRDefault="00EC4988" w:rsidP="002537EC">
      <w:pPr>
        <w:pStyle w:val="Heading3"/>
        <w:spacing w:before="480"/>
      </w:pPr>
      <w:r>
        <w:t>Urban water services</w:t>
      </w:r>
    </w:p>
    <w:p w14:paraId="32E929F7" w14:textId="297D8A18" w:rsidR="003B1A50" w:rsidRDefault="003B1A50" w:rsidP="003B1A50">
      <w:pPr>
        <w:pStyle w:val="BodyText"/>
      </w:pPr>
      <w:r>
        <w:t xml:space="preserve">Households and businesses </w:t>
      </w:r>
      <w:r w:rsidR="009C7941">
        <w:t xml:space="preserve">in metropolitan and regional towns and cities </w:t>
      </w:r>
      <w:r>
        <w:t xml:space="preserve">use a range of urban water services </w:t>
      </w:r>
      <w:r w:rsidR="00CC49E0">
        <w:t>including</w:t>
      </w:r>
      <w:r>
        <w:t xml:space="preserve"> potable water supply, the collection and treatment of wastewater, </w:t>
      </w:r>
      <w:r w:rsidR="00CC49E0">
        <w:t>supply of recycled water,</w:t>
      </w:r>
      <w:r>
        <w:t xml:space="preserve"> </w:t>
      </w:r>
      <w:r w:rsidR="00A35046">
        <w:t xml:space="preserve">drainage and </w:t>
      </w:r>
      <w:r>
        <w:t>stormwater management</w:t>
      </w:r>
      <w:r w:rsidR="00A35046">
        <w:t>,</w:t>
      </w:r>
      <w:r>
        <w:t xml:space="preserve"> and flood mitigation. </w:t>
      </w:r>
    </w:p>
    <w:p w14:paraId="32E929F8" w14:textId="3783F73B" w:rsidR="00800E1C" w:rsidRDefault="00DA0ACF" w:rsidP="006E7A5B">
      <w:pPr>
        <w:pStyle w:val="BodyText"/>
      </w:pPr>
      <w:r>
        <w:t xml:space="preserve">Governments have </w:t>
      </w:r>
      <w:r w:rsidR="001A75E0">
        <w:t xml:space="preserve">made </w:t>
      </w:r>
      <w:r w:rsidR="008933BD">
        <w:t xml:space="preserve">considerable efforts to </w:t>
      </w:r>
      <w:r>
        <w:t>increas</w:t>
      </w:r>
      <w:r w:rsidR="008933BD">
        <w:t>e</w:t>
      </w:r>
      <w:r>
        <w:t xml:space="preserve"> the efficiency of urban water services</w:t>
      </w:r>
      <w:r w:rsidR="001A75E0">
        <w:t xml:space="preserve"> over time. </w:t>
      </w:r>
      <w:r w:rsidR="00E95D09">
        <w:t xml:space="preserve">Prior to the </w:t>
      </w:r>
      <w:proofErr w:type="spellStart"/>
      <w:r w:rsidR="00E95D09">
        <w:t>NWI</w:t>
      </w:r>
      <w:proofErr w:type="spellEnd"/>
      <w:r w:rsidR="00E95D09">
        <w:t xml:space="preserve">, significant urban water reform occurred through </w:t>
      </w:r>
      <w:r w:rsidR="00DC604D">
        <w:t>two</w:t>
      </w:r>
      <w:r w:rsidR="00857D1F">
        <w:t xml:space="preserve"> 1994 </w:t>
      </w:r>
      <w:r w:rsidR="00E95D09">
        <w:t xml:space="preserve">COAG agreements, </w:t>
      </w:r>
      <w:r w:rsidR="00DC604D">
        <w:t xml:space="preserve">the </w:t>
      </w:r>
      <w:r w:rsidR="00E95D09">
        <w:t>Water Re</w:t>
      </w:r>
      <w:r w:rsidR="00D53427">
        <w:t>form Framework</w:t>
      </w:r>
      <w:r w:rsidR="00E95D09">
        <w:t xml:space="preserve"> and </w:t>
      </w:r>
      <w:r w:rsidR="00DC604D">
        <w:t xml:space="preserve">the </w:t>
      </w:r>
      <w:r w:rsidR="00E95D09">
        <w:t>National Competition Policy.</w:t>
      </w:r>
      <w:r w:rsidR="00E95D09" w:rsidRPr="00E95D09">
        <w:t xml:space="preserve"> </w:t>
      </w:r>
      <w:r w:rsidR="00E95D09">
        <w:t xml:space="preserve">The </w:t>
      </w:r>
      <w:proofErr w:type="spellStart"/>
      <w:r w:rsidR="00E95D09">
        <w:t>NWI</w:t>
      </w:r>
      <w:proofErr w:type="spellEnd"/>
      <w:r w:rsidR="00E95D09">
        <w:t xml:space="preserve"> builds</w:t>
      </w:r>
      <w:r w:rsidR="00CF7B9C">
        <w:t xml:space="preserve"> on these reforms by seeking to</w:t>
      </w:r>
      <w:r w:rsidR="00800E1C">
        <w:t>:</w:t>
      </w:r>
      <w:r w:rsidR="00CF7B9C">
        <w:t xml:space="preserve"> </w:t>
      </w:r>
      <w:r w:rsidR="00800E1C">
        <w:t xml:space="preserve">improve pricing practices and move towards full cost recovery for both metropolitan and regional service providers; increase the use of independent bodies to set or review prices, or to determine price setting </w:t>
      </w:r>
      <w:r w:rsidR="00800E1C">
        <w:lastRenderedPageBreak/>
        <w:t>processes; benchmark utility performance; promote water use efficiency and appropriate use of water restrictions; and support the development of ‘water sensitive cities’.</w:t>
      </w:r>
    </w:p>
    <w:p w14:paraId="32E929F9" w14:textId="7430F44D" w:rsidR="00704D07" w:rsidRDefault="00E95D09" w:rsidP="00704D07">
      <w:pPr>
        <w:pStyle w:val="BodyText"/>
      </w:pPr>
      <w:r>
        <w:t xml:space="preserve">The </w:t>
      </w:r>
      <w:proofErr w:type="spellStart"/>
      <w:r>
        <w:t>NWC</w:t>
      </w:r>
      <w:proofErr w:type="spellEnd"/>
      <w:r>
        <w:t xml:space="preserve"> </w:t>
      </w:r>
      <w:r w:rsidR="00800E1C">
        <w:t xml:space="preserve">found that </w:t>
      </w:r>
      <w:r>
        <w:t xml:space="preserve">actions articulated within the </w:t>
      </w:r>
      <w:proofErr w:type="spellStart"/>
      <w:r>
        <w:t>NWI</w:t>
      </w:r>
      <w:proofErr w:type="spellEnd"/>
      <w:r>
        <w:t xml:space="preserve"> for urban water reform </w:t>
      </w:r>
      <w:r w:rsidR="00800E1C">
        <w:t>were</w:t>
      </w:r>
      <w:r>
        <w:t xml:space="preserve"> </w:t>
      </w:r>
      <w:r w:rsidR="00800E1C">
        <w:t>largely complete</w:t>
      </w:r>
      <w:r w:rsidR="00DC604D">
        <w:t xml:space="preserve"> </w:t>
      </w:r>
      <w:r w:rsidR="00DF139C">
        <w:rPr>
          <w:szCs w:val="24"/>
        </w:rPr>
        <w:t>(</w:t>
      </w:r>
      <w:proofErr w:type="spellStart"/>
      <w:r w:rsidR="00DF139C">
        <w:rPr>
          <w:szCs w:val="24"/>
        </w:rPr>
        <w:t>NWC</w:t>
      </w:r>
      <w:proofErr w:type="spellEnd"/>
      <w:r w:rsidR="00DF139C">
        <w:rPr>
          <w:szCs w:val="24"/>
        </w:rPr>
        <w:t> </w:t>
      </w:r>
      <w:proofErr w:type="spellStart"/>
      <w:r w:rsidR="00DF139C">
        <w:rPr>
          <w:szCs w:val="24"/>
        </w:rPr>
        <w:t>2014b</w:t>
      </w:r>
      <w:proofErr w:type="spellEnd"/>
      <w:r w:rsidR="00DC604D" w:rsidRPr="00DC604D">
        <w:rPr>
          <w:szCs w:val="24"/>
        </w:rPr>
        <w:t>)</w:t>
      </w:r>
      <w:r w:rsidR="00392D77">
        <w:t>.</w:t>
      </w:r>
      <w:r w:rsidR="00CB1066" w:rsidRPr="00CB1066">
        <w:t xml:space="preserve"> </w:t>
      </w:r>
      <w:r w:rsidR="00CB1066">
        <w:t xml:space="preserve">For example, most jurisdictions have made </w:t>
      </w:r>
      <w:r w:rsidR="00DC604D">
        <w:t xml:space="preserve">significant </w:t>
      </w:r>
      <w:r w:rsidR="00CB1066">
        <w:t xml:space="preserve">progress towards achieving ‘full cost recovery’ as required under the </w:t>
      </w:r>
      <w:proofErr w:type="spellStart"/>
      <w:r w:rsidR="00CB1066">
        <w:t>NWI</w:t>
      </w:r>
      <w:proofErr w:type="spellEnd"/>
      <w:r w:rsidR="00CB1066">
        <w:t xml:space="preserve">. </w:t>
      </w:r>
      <w:r>
        <w:t>However</w:t>
      </w:r>
      <w:r w:rsidR="00CB1066">
        <w:t xml:space="preserve"> the </w:t>
      </w:r>
      <w:proofErr w:type="spellStart"/>
      <w:r w:rsidR="00CB1066">
        <w:t>NWC</w:t>
      </w:r>
      <w:proofErr w:type="spellEnd"/>
      <w:r w:rsidR="00CB1066">
        <w:t xml:space="preserve"> noted that</w:t>
      </w:r>
      <w:r>
        <w:t xml:space="preserve"> ‘economic regulation </w:t>
      </w:r>
      <w:r w:rsidR="00D429D3">
        <w:t>of price</w:t>
      </w:r>
      <w:r>
        <w:t xml:space="preserve"> is not effective in all jurisdictions as governments continue to blur their roles as owner, policy setter and regulator’ </w:t>
      </w:r>
      <w:r w:rsidR="00D429D3" w:rsidRPr="00D429D3">
        <w:rPr>
          <w:szCs w:val="24"/>
        </w:rPr>
        <w:t>(</w:t>
      </w:r>
      <w:proofErr w:type="spellStart"/>
      <w:r w:rsidR="00D429D3" w:rsidRPr="00D429D3">
        <w:rPr>
          <w:szCs w:val="24"/>
        </w:rPr>
        <w:t>NWC</w:t>
      </w:r>
      <w:proofErr w:type="spellEnd"/>
      <w:r w:rsidR="00D429D3" w:rsidRPr="00D429D3">
        <w:rPr>
          <w:szCs w:val="24"/>
        </w:rPr>
        <w:t> </w:t>
      </w:r>
      <w:proofErr w:type="spellStart"/>
      <w:r w:rsidR="00D429D3" w:rsidRPr="00D429D3">
        <w:rPr>
          <w:szCs w:val="24"/>
        </w:rPr>
        <w:t>2014b</w:t>
      </w:r>
      <w:proofErr w:type="spellEnd"/>
      <w:r w:rsidR="00D429D3" w:rsidRPr="00D429D3">
        <w:rPr>
          <w:szCs w:val="24"/>
        </w:rPr>
        <w:t>, p. 45)</w:t>
      </w:r>
      <w:r>
        <w:t xml:space="preserve">. </w:t>
      </w:r>
      <w:r w:rsidR="00DC604D">
        <w:t xml:space="preserve">Further effort may also be required to clarify roles and responsibilities in relation to promoting water sensitive cities. Finally, the </w:t>
      </w:r>
      <w:proofErr w:type="spellStart"/>
      <w:r w:rsidR="00DC604D">
        <w:t>NWC</w:t>
      </w:r>
      <w:proofErr w:type="spellEnd"/>
      <w:r>
        <w:t xml:space="preserve"> found that regional and remote service providers continue to face service quality challenges. </w:t>
      </w:r>
    </w:p>
    <w:p w14:paraId="32E929FA" w14:textId="27BEF1A0" w:rsidR="00C96771" w:rsidRDefault="009219DE" w:rsidP="00C96771">
      <w:pPr>
        <w:pStyle w:val="BodyText"/>
      </w:pPr>
      <w:r>
        <w:t>There may be opportunities to improve the efficiency</w:t>
      </w:r>
      <w:bookmarkStart w:id="211" w:name="_GoBack"/>
      <w:bookmarkEnd w:id="211"/>
      <w:r>
        <w:t xml:space="preserve"> of urban water services </w:t>
      </w:r>
      <w:r w:rsidR="002A5B32">
        <w:t xml:space="preserve">by </w:t>
      </w:r>
      <w:r>
        <w:t xml:space="preserve">addressing the ‘unfinished business’ identified by the </w:t>
      </w:r>
      <w:proofErr w:type="spellStart"/>
      <w:r>
        <w:t>NWC</w:t>
      </w:r>
      <w:proofErr w:type="spellEnd"/>
      <w:r>
        <w:t xml:space="preserve">, or by making other changes to the arrangements governing </w:t>
      </w:r>
      <w:r w:rsidR="002A5B32">
        <w:t>urban water service provision</w:t>
      </w:r>
      <w:r>
        <w:t xml:space="preserve">. Potential areas </w:t>
      </w:r>
      <w:r w:rsidR="00C96771">
        <w:t>where policy can increase the efficiency of urban water services include:</w:t>
      </w:r>
    </w:p>
    <w:p w14:paraId="32E929FB" w14:textId="1628D324" w:rsidR="00C96771" w:rsidRDefault="00C96771" w:rsidP="00C96771">
      <w:pPr>
        <w:pStyle w:val="ListBullet"/>
      </w:pPr>
      <w:r>
        <w:t>governance and structural arrangements, which determine the processes, roles and responsibilities of policy</w:t>
      </w:r>
      <w:r w:rsidR="004E0D4E">
        <w:noBreakHyphen/>
      </w:r>
      <w:r>
        <w:t xml:space="preserve">makers, regulators and service providers </w:t>
      </w:r>
    </w:p>
    <w:p w14:paraId="32E929FC" w14:textId="77777777" w:rsidR="00C96771" w:rsidRDefault="00C96771" w:rsidP="00C96771">
      <w:pPr>
        <w:pStyle w:val="ListBullet"/>
      </w:pPr>
      <w:r>
        <w:t>pricing processes and competition, which affect the efficient supply and use of urban water</w:t>
      </w:r>
    </w:p>
    <w:p w14:paraId="32E929FD" w14:textId="77777777" w:rsidR="00C96771" w:rsidRDefault="00C96771" w:rsidP="00C96771">
      <w:pPr>
        <w:pStyle w:val="ListBullet"/>
      </w:pPr>
      <w:r>
        <w:t>health, safety and environmental regulatory processes, which determine the standards that apply to urban water.</w:t>
      </w:r>
    </w:p>
    <w:p w14:paraId="32E929FE" w14:textId="77777777" w:rsidR="00D31529" w:rsidRDefault="002E43B2" w:rsidP="00C96771">
      <w:pPr>
        <w:pStyle w:val="BodyText"/>
      </w:pPr>
      <w:r>
        <w:t>Common to</w:t>
      </w:r>
      <w:r w:rsidR="00C96771">
        <w:t xml:space="preserve"> these elements is the emergence of more decentralised ways of delivering urban water services, broadly known as ‘integrated water cycle management’. </w:t>
      </w:r>
    </w:p>
    <w:p w14:paraId="32E929FF" w14:textId="1D3C73CA" w:rsidR="00B9604A" w:rsidRPr="007F1D32" w:rsidRDefault="00492A09" w:rsidP="00B9604A">
      <w:pPr>
        <w:pStyle w:val="BodyText"/>
        <w:rPr>
          <w:i/>
        </w:rPr>
      </w:pPr>
      <w:r>
        <w:t>The Commission undertook an inquiry in</w:t>
      </w:r>
      <w:r w:rsidR="00B632A7">
        <w:t>to the urban water sector</w:t>
      </w:r>
      <w:r w:rsidR="0049378B">
        <w:t xml:space="preserve"> </w:t>
      </w:r>
      <w:r w:rsidR="005C56B2" w:rsidRPr="005C56B2">
        <w:rPr>
          <w:szCs w:val="24"/>
        </w:rPr>
        <w:t>(PC 2011)</w:t>
      </w:r>
      <w:r w:rsidR="000A03A5">
        <w:t xml:space="preserve">. </w:t>
      </w:r>
      <w:r w:rsidR="002E43B2">
        <w:t>T</w:t>
      </w:r>
      <w:r w:rsidR="00F21A8E">
        <w:t>he Commission’s early thinking on the issues relevant to efficient provision of urban water services</w:t>
      </w:r>
      <w:r w:rsidR="002E43B2">
        <w:t xml:space="preserve"> are </w:t>
      </w:r>
      <w:r w:rsidR="00F21A8E">
        <w:t xml:space="preserve">informed </w:t>
      </w:r>
      <w:r w:rsidR="0009324C">
        <w:t xml:space="preserve">to some degree </w:t>
      </w:r>
      <w:r w:rsidR="00F21A8E">
        <w:t xml:space="preserve">by this </w:t>
      </w:r>
      <w:r w:rsidR="008F17B1">
        <w:t>inquiry</w:t>
      </w:r>
      <w:r w:rsidR="0009324C">
        <w:t xml:space="preserve"> but</w:t>
      </w:r>
      <w:r w:rsidR="00DC604D">
        <w:t>,</w:t>
      </w:r>
      <w:r w:rsidR="0009324C">
        <w:t xml:space="preserve"> just as the </w:t>
      </w:r>
      <w:proofErr w:type="spellStart"/>
      <w:r w:rsidR="0009324C">
        <w:t>NWI’s</w:t>
      </w:r>
      <w:proofErr w:type="spellEnd"/>
      <w:r w:rsidR="0009324C">
        <w:t xml:space="preserve"> 20</w:t>
      </w:r>
      <w:r w:rsidR="00DC604D">
        <w:t>1</w:t>
      </w:r>
      <w:r w:rsidR="0009324C">
        <w:t xml:space="preserve">4 conclusions may not represent the priorities of today, so the 2011 </w:t>
      </w:r>
      <w:r w:rsidR="00363EEB">
        <w:t>inquiry</w:t>
      </w:r>
      <w:r w:rsidR="0009324C">
        <w:t xml:space="preserve"> will be more relevant in some ways and less in others. T</w:t>
      </w:r>
      <w:r w:rsidR="00B9604A">
        <w:t xml:space="preserve">he Commission </w:t>
      </w:r>
      <w:r w:rsidR="002E43B2">
        <w:t>i</w:t>
      </w:r>
      <w:r w:rsidR="0093308E">
        <w:t>s</w:t>
      </w:r>
      <w:r w:rsidR="002E43B2">
        <w:t xml:space="preserve"> interested in </w:t>
      </w:r>
      <w:r w:rsidR="00B9604A">
        <w:t xml:space="preserve">the extent to which </w:t>
      </w:r>
      <w:r w:rsidR="00742DD9">
        <w:t>factors may have changed</w:t>
      </w:r>
      <w:r w:rsidR="002E43B2">
        <w:t xml:space="preserve"> and </w:t>
      </w:r>
      <w:r w:rsidR="0093308E">
        <w:t>any</w:t>
      </w:r>
      <w:r w:rsidR="002E43B2">
        <w:t xml:space="preserve"> implications f</w:t>
      </w:r>
      <w:r w:rsidR="0009324C">
        <w:t>or this review.</w:t>
      </w:r>
    </w:p>
    <w:p w14:paraId="32E92A00" w14:textId="77777777" w:rsidR="003B1A50" w:rsidRDefault="00E95D09" w:rsidP="00101774">
      <w:pPr>
        <w:pStyle w:val="Heading4"/>
      </w:pPr>
      <w:r>
        <w:t>Addressing g</w:t>
      </w:r>
      <w:r w:rsidR="003B1A50">
        <w:t>overnance and structural issues</w:t>
      </w:r>
    </w:p>
    <w:p w14:paraId="7292F4E5" w14:textId="77777777" w:rsidR="00C67BE1" w:rsidRDefault="008933BD" w:rsidP="00E63E6C">
      <w:pPr>
        <w:pStyle w:val="BodyText"/>
      </w:pPr>
      <w:r>
        <w:t xml:space="preserve">In </w:t>
      </w:r>
      <w:r w:rsidR="003B1A50">
        <w:t>Australia</w:t>
      </w:r>
      <w:r w:rsidR="006B7772">
        <w:t xml:space="preserve">, governments regularly </w:t>
      </w:r>
      <w:r w:rsidR="00E95D09">
        <w:t>take three distinct roles in relatio</w:t>
      </w:r>
      <w:r w:rsidR="00D741CE">
        <w:t xml:space="preserve">n to urban water: </w:t>
      </w:r>
    </w:p>
    <w:p w14:paraId="6695094A" w14:textId="23BDA6C4" w:rsidR="00C67BE1" w:rsidRDefault="00D741CE" w:rsidP="00C04F59">
      <w:pPr>
        <w:pStyle w:val="ListBullet"/>
      </w:pPr>
      <w:r>
        <w:t>set high</w:t>
      </w:r>
      <w:r w:rsidR="00964D95">
        <w:noBreakHyphen/>
      </w:r>
      <w:r w:rsidR="00E95D09">
        <w:t>level po</w:t>
      </w:r>
      <w:r w:rsidR="00C04F59">
        <w:t>licy frameworks for the sector</w:t>
      </w:r>
    </w:p>
    <w:p w14:paraId="4E8D790E" w14:textId="3170B2BA" w:rsidR="00C67BE1" w:rsidRDefault="00E95D09" w:rsidP="00C04F59">
      <w:pPr>
        <w:pStyle w:val="ListBullet"/>
      </w:pPr>
      <w:r>
        <w:t>establish and implement detailed regulatory frameworks on matters such as</w:t>
      </w:r>
      <w:r w:rsidR="00C04F59">
        <w:t xml:space="preserve"> pricing and water quality</w:t>
      </w:r>
    </w:p>
    <w:p w14:paraId="6D2B47A9" w14:textId="7138AA1E" w:rsidR="00C67BE1" w:rsidRDefault="00E95D09" w:rsidP="00C04F59">
      <w:pPr>
        <w:pStyle w:val="ListBullet"/>
      </w:pPr>
      <w:r>
        <w:t>act as service providers through government</w:t>
      </w:r>
      <w:r w:rsidR="00396CA0">
        <w:noBreakHyphen/>
      </w:r>
      <w:r w:rsidR="00C04F59">
        <w:t>owned businesses</w:t>
      </w:r>
      <w:r w:rsidR="00CC4071">
        <w:t>.</w:t>
      </w:r>
    </w:p>
    <w:p w14:paraId="32E92A01" w14:textId="30691BAD" w:rsidR="00E63E6C" w:rsidRDefault="008933BD" w:rsidP="00E63E6C">
      <w:pPr>
        <w:pStyle w:val="BodyText"/>
      </w:pPr>
      <w:r>
        <w:t>This combination of roles can create tension between competing objectives, such as increasing financial</w:t>
      </w:r>
      <w:r w:rsidR="00873A30">
        <w:t xml:space="preserve"> (dividend)</w:t>
      </w:r>
      <w:r>
        <w:t xml:space="preserve"> returns, promoting economic efficiency and maintaining </w:t>
      </w:r>
      <w:r>
        <w:lastRenderedPageBreak/>
        <w:t xml:space="preserve">service quality. </w:t>
      </w:r>
      <w:r w:rsidR="00873A30">
        <w:t>In the absence of good structural and governance arrangements, t</w:t>
      </w:r>
      <w:r>
        <w:t>hese tensions flow through to complicate</w:t>
      </w:r>
      <w:r w:rsidR="006F1B9F">
        <w:t xml:space="preserve"> and compromise </w:t>
      </w:r>
      <w:r>
        <w:t>decision making by</w:t>
      </w:r>
      <w:r w:rsidR="003B1A50">
        <w:t xml:space="preserve"> </w:t>
      </w:r>
      <w:r w:rsidR="00DA0ACF">
        <w:t>government</w:t>
      </w:r>
      <w:r w:rsidR="004E0D4E">
        <w:noBreakHyphen/>
      </w:r>
      <w:r w:rsidR="00DA0ACF">
        <w:t xml:space="preserve">owned </w:t>
      </w:r>
      <w:r>
        <w:t>service providers</w:t>
      </w:r>
      <w:r w:rsidR="00106540">
        <w:t xml:space="preserve">. </w:t>
      </w:r>
    </w:p>
    <w:p w14:paraId="32E92A02" w14:textId="3F8618A4" w:rsidR="003B1A50" w:rsidRDefault="003B1A50" w:rsidP="003B1A50">
      <w:pPr>
        <w:pStyle w:val="BodyText"/>
      </w:pPr>
      <w:r>
        <w:t xml:space="preserve">Industry structure can also have efficiency implications. The creation of large </w:t>
      </w:r>
      <w:r w:rsidR="0047518C">
        <w:t xml:space="preserve">urban water utilities </w:t>
      </w:r>
      <w:r w:rsidR="006B7772">
        <w:t>with common prices across their service area</w:t>
      </w:r>
      <w:r w:rsidDel="0047518C">
        <w:t xml:space="preserve"> </w:t>
      </w:r>
      <w:r>
        <w:t xml:space="preserve">may result in </w:t>
      </w:r>
      <w:r w:rsidR="00D741CE">
        <w:t>‘cross</w:t>
      </w:r>
      <w:r w:rsidR="00D741CE">
        <w:noBreakHyphen/>
      </w:r>
      <w:r w:rsidR="008933BD">
        <w:t>subsidies’ between areas, that is,</w:t>
      </w:r>
      <w:r>
        <w:t xml:space="preserve"> areas that are relatively expensive to serve</w:t>
      </w:r>
      <w:r w:rsidR="008933BD">
        <w:t xml:space="preserve"> enjoy </w:t>
      </w:r>
      <w:r w:rsidR="006B7772">
        <w:t>prices that are below the cost of supplying them</w:t>
      </w:r>
      <w:r w:rsidR="008933BD">
        <w:t xml:space="preserve"> while relatively lower cost areas face</w:t>
      </w:r>
      <w:r>
        <w:t xml:space="preserve"> </w:t>
      </w:r>
      <w:r w:rsidR="006B7772">
        <w:t xml:space="preserve">prices that are higher than the cost of supplying them. </w:t>
      </w:r>
      <w:r>
        <w:t>Smaller</w:t>
      </w:r>
      <w:r w:rsidDel="0047518C">
        <w:t xml:space="preserve"> </w:t>
      </w:r>
      <w:r w:rsidR="0047518C">
        <w:t xml:space="preserve">water utilities </w:t>
      </w:r>
      <w:r>
        <w:t>may face difficulties in attracting sufficiently skilled staff and meeting important service standards such as water quality</w:t>
      </w:r>
      <w:r w:rsidR="000153A8">
        <w:t>, due to their small size and revenue base</w:t>
      </w:r>
      <w:r>
        <w:t>.</w:t>
      </w:r>
      <w:r w:rsidR="000153A8">
        <w:t xml:space="preserve"> These issues can be particularly acute in remote areas, including some Indigenous communities</w:t>
      </w:r>
      <w:r>
        <w:t xml:space="preserve">. </w:t>
      </w:r>
    </w:p>
    <w:p w14:paraId="32E92A03" w14:textId="49486A93" w:rsidR="003B1A50" w:rsidRDefault="00A86C93" w:rsidP="003B1A50">
      <w:pPr>
        <w:pStyle w:val="Heading4"/>
      </w:pPr>
      <w:r>
        <w:t>Price</w:t>
      </w:r>
      <w:r w:rsidR="00396CA0">
        <w:noBreakHyphen/>
      </w:r>
      <w:r>
        <w:t xml:space="preserve">setting and </w:t>
      </w:r>
      <w:r w:rsidR="00E95D09">
        <w:t xml:space="preserve">competition </w:t>
      </w:r>
      <w:r w:rsidR="0083311A">
        <w:t xml:space="preserve">to </w:t>
      </w:r>
      <w:r w:rsidR="00E95D09">
        <w:t>promote</w:t>
      </w:r>
      <w:r>
        <w:t xml:space="preserve"> efficiency</w:t>
      </w:r>
    </w:p>
    <w:p w14:paraId="32E92A04" w14:textId="44098B5D" w:rsidR="003B1A50" w:rsidRDefault="00DA0ACF" w:rsidP="003B1A50">
      <w:pPr>
        <w:pStyle w:val="BodyText"/>
      </w:pPr>
      <w:r>
        <w:t>G</w:t>
      </w:r>
      <w:r w:rsidR="003B1A50">
        <w:t>overnments</w:t>
      </w:r>
      <w:r>
        <w:t>, rather than markets,</w:t>
      </w:r>
      <w:r w:rsidR="003B1A50">
        <w:t xml:space="preserve"> play </w:t>
      </w:r>
      <w:r>
        <w:t>the dominant</w:t>
      </w:r>
      <w:r w:rsidR="003B1A50">
        <w:t xml:space="preserve"> role in determining </w:t>
      </w:r>
      <w:r>
        <w:t>p</w:t>
      </w:r>
      <w:r w:rsidR="003B1A50">
        <w:t>rice</w:t>
      </w:r>
      <w:r>
        <w:t>s</w:t>
      </w:r>
      <w:r w:rsidR="003B1A50">
        <w:t xml:space="preserve"> for urban water services. </w:t>
      </w:r>
      <w:r w:rsidR="00E63E6C">
        <w:t>They use a</w:t>
      </w:r>
      <w:r>
        <w:t xml:space="preserve"> </w:t>
      </w:r>
      <w:r w:rsidR="00975FF7">
        <w:t xml:space="preserve">spectrum </w:t>
      </w:r>
      <w:r>
        <w:t>of approaches</w:t>
      </w:r>
      <w:r w:rsidR="00871FC0">
        <w:t>,</w:t>
      </w:r>
      <w:r>
        <w:t xml:space="preserve"> often in combination. These include g</w:t>
      </w:r>
      <w:r w:rsidR="003B1A50">
        <w:t>overnment ownership</w:t>
      </w:r>
      <w:r w:rsidR="00E63E6C">
        <w:t xml:space="preserve"> and/or direct price control</w:t>
      </w:r>
      <w:r>
        <w:t xml:space="preserve">, </w:t>
      </w:r>
      <w:r w:rsidR="003B1A50">
        <w:t>independent economic regulat</w:t>
      </w:r>
      <w:r w:rsidR="00D741CE">
        <w:t>ion and price</w:t>
      </w:r>
      <w:r w:rsidR="00D741CE">
        <w:noBreakHyphen/>
      </w:r>
      <w:r>
        <w:t>setting, and price</w:t>
      </w:r>
      <w:r w:rsidR="00396CA0">
        <w:noBreakHyphen/>
      </w:r>
      <w:r>
        <w:t xml:space="preserve">monitoring. </w:t>
      </w:r>
    </w:p>
    <w:p w14:paraId="32E92A05" w14:textId="77777777" w:rsidR="00632E82" w:rsidRDefault="000153A8" w:rsidP="00DA0ACF">
      <w:pPr>
        <w:pStyle w:val="BodyText"/>
      </w:pPr>
      <w:r>
        <w:t xml:space="preserve">Recent changes in Victoria have sought to give customers a greater role in determining prices and service quality for water and other utilities. These reforms recognise that consumers of utility services often cannot express their preferences by changing supplier, but that these views can provide important insights on how services can be improved and how much customers are willing to pay to improve them. </w:t>
      </w:r>
    </w:p>
    <w:p w14:paraId="32E92A06" w14:textId="593DE91E" w:rsidR="003B1A50" w:rsidRDefault="00E95D09" w:rsidP="00DA0ACF">
      <w:pPr>
        <w:pStyle w:val="BodyText"/>
      </w:pPr>
      <w:r>
        <w:t>While urban water supply is presently dominated by large monopoly businesses,</w:t>
      </w:r>
      <w:r w:rsidR="004274EC">
        <w:t xml:space="preserve"> </w:t>
      </w:r>
      <w:r w:rsidR="003B1A50">
        <w:t xml:space="preserve">competitive pressure </w:t>
      </w:r>
      <w:r>
        <w:t>and private participation in the sector is inc</w:t>
      </w:r>
      <w:r w:rsidR="00D741CE">
        <w:t>reasing. For example government</w:t>
      </w:r>
      <w:r w:rsidR="00D741CE">
        <w:noBreakHyphen/>
      </w:r>
      <w:r>
        <w:t xml:space="preserve">owned utilities </w:t>
      </w:r>
      <w:r w:rsidR="00340C43">
        <w:t xml:space="preserve">have </w:t>
      </w:r>
      <w:r>
        <w:t xml:space="preserve">increasingly </w:t>
      </w:r>
      <w:r w:rsidR="00340C43">
        <w:t>contracted out</w:t>
      </w:r>
      <w:r>
        <w:t xml:space="preserve"> operation and maintenance </w:t>
      </w:r>
      <w:r w:rsidR="00340C43">
        <w:t>activities</w:t>
      </w:r>
      <w:r>
        <w:t xml:space="preserve"> and private suppliers of recycled water have emerged. </w:t>
      </w:r>
      <w:r w:rsidR="00E63E6C">
        <w:t>Increas</w:t>
      </w:r>
      <w:r>
        <w:t>ed</w:t>
      </w:r>
      <w:r w:rsidR="004274EC">
        <w:t xml:space="preserve"> </w:t>
      </w:r>
      <w:r w:rsidR="003B1A50">
        <w:t>competit</w:t>
      </w:r>
      <w:r>
        <w:t xml:space="preserve">ion </w:t>
      </w:r>
      <w:r w:rsidR="00E63E6C">
        <w:t>could</w:t>
      </w:r>
      <w:r w:rsidR="003B1A50">
        <w:t xml:space="preserve"> potentially </w:t>
      </w:r>
      <w:r w:rsidR="00E63E6C">
        <w:t>improve the efficiency</w:t>
      </w:r>
      <w:r w:rsidR="003B1A50">
        <w:t xml:space="preserve"> of </w:t>
      </w:r>
      <w:r w:rsidR="00E63E6C">
        <w:t xml:space="preserve">urban water </w:t>
      </w:r>
      <w:r w:rsidR="004274EC">
        <w:t>services</w:t>
      </w:r>
      <w:r>
        <w:t xml:space="preserve"> and </w:t>
      </w:r>
      <w:r w:rsidR="00E63E6C">
        <w:t xml:space="preserve">there may be scope for policy to further support this process. </w:t>
      </w:r>
    </w:p>
    <w:p w14:paraId="32E92A07" w14:textId="77777777" w:rsidR="00E95D09" w:rsidRDefault="00E95D09" w:rsidP="00E95D09">
      <w:pPr>
        <w:pStyle w:val="Heading4"/>
      </w:pPr>
      <w:r>
        <w:t>Public health, safety and environmental regulation</w:t>
      </w:r>
      <w:r w:rsidR="00EE7AF3">
        <w:t>s</w:t>
      </w:r>
      <w:r>
        <w:t xml:space="preserve"> </w:t>
      </w:r>
    </w:p>
    <w:p w14:paraId="32E92A08" w14:textId="2A803626" w:rsidR="00E95D09" w:rsidRPr="00573A6E" w:rsidRDefault="00E95D09" w:rsidP="00E95D09">
      <w:pPr>
        <w:pStyle w:val="BodyText"/>
        <w:rPr>
          <w:spacing w:val="-4"/>
        </w:rPr>
      </w:pPr>
      <w:r w:rsidRPr="00573A6E">
        <w:rPr>
          <w:spacing w:val="-4"/>
        </w:rPr>
        <w:t>Public health, safety (particularly dam safety) and environmental regulations play a large role in determining the nature and cost of urban water services. As a result</w:t>
      </w:r>
      <w:r w:rsidR="00632E82" w:rsidRPr="00573A6E">
        <w:rPr>
          <w:spacing w:val="-4"/>
        </w:rPr>
        <w:t>,</w:t>
      </w:r>
      <w:r w:rsidRPr="00573A6E">
        <w:rPr>
          <w:spacing w:val="-4"/>
        </w:rPr>
        <w:t xml:space="preserve"> the processes by which these regulations are determined have a significant impact on the sector. For significant imposts, the process should demonstrate that the benefits of regulation exceed their costs. This outcome will be more likely if th</w:t>
      </w:r>
      <w:r w:rsidR="00D741CE" w:rsidRPr="00573A6E">
        <w:rPr>
          <w:spacing w:val="-4"/>
        </w:rPr>
        <w:t>e various regulators and policy</w:t>
      </w:r>
      <w:r w:rsidR="00D741CE" w:rsidRPr="00573A6E">
        <w:rPr>
          <w:spacing w:val="-4"/>
        </w:rPr>
        <w:noBreakHyphen/>
      </w:r>
      <w:r w:rsidRPr="00573A6E">
        <w:rPr>
          <w:spacing w:val="-4"/>
        </w:rPr>
        <w:t>makers involved have clear roles and responsibilities</w:t>
      </w:r>
      <w:r w:rsidR="00236804" w:rsidRPr="00573A6E">
        <w:rPr>
          <w:spacing w:val="-4"/>
        </w:rPr>
        <w:t>, and the decision</w:t>
      </w:r>
      <w:r w:rsidR="00396CA0" w:rsidRPr="00573A6E">
        <w:rPr>
          <w:spacing w:val="-4"/>
        </w:rPr>
        <w:noBreakHyphen/>
      </w:r>
      <w:r w:rsidR="00236804" w:rsidRPr="00573A6E">
        <w:rPr>
          <w:spacing w:val="-4"/>
        </w:rPr>
        <w:t>making process is transparent</w:t>
      </w:r>
      <w:r w:rsidRPr="00573A6E">
        <w:rPr>
          <w:spacing w:val="-4"/>
        </w:rPr>
        <w:t>. Once regulations are determined, it is also important that service providers</w:t>
      </w:r>
      <w:r w:rsidR="003C748C" w:rsidRPr="00573A6E">
        <w:rPr>
          <w:spacing w:val="-4"/>
        </w:rPr>
        <w:t xml:space="preserve"> comply with them efficiently. </w:t>
      </w:r>
    </w:p>
    <w:p w14:paraId="32E92A09" w14:textId="77777777" w:rsidR="003B1A50" w:rsidRDefault="00E95D09" w:rsidP="003B1A50">
      <w:pPr>
        <w:pStyle w:val="Heading4"/>
      </w:pPr>
      <w:r>
        <w:lastRenderedPageBreak/>
        <w:t>I</w:t>
      </w:r>
      <w:r w:rsidR="003B1A50">
        <w:t>ntegrated water cycle management</w:t>
      </w:r>
      <w:r>
        <w:t xml:space="preserve"> and demand management can offer benefits</w:t>
      </w:r>
    </w:p>
    <w:p w14:paraId="32E92A0A" w14:textId="5DB493AA" w:rsidR="003B1A50" w:rsidRPr="002537EC" w:rsidRDefault="003B1A50" w:rsidP="000534E9">
      <w:pPr>
        <w:pStyle w:val="BodyText"/>
        <w:rPr>
          <w:color w:val="1F497D"/>
        </w:rPr>
      </w:pPr>
      <w:r w:rsidRPr="002537EC">
        <w:t>Traditionally, urban water services have relied on large</w:t>
      </w:r>
      <w:r w:rsidR="00396CA0" w:rsidRPr="002537EC">
        <w:noBreakHyphen/>
      </w:r>
      <w:r w:rsidRPr="002537EC">
        <w:t>scale centralised infrastructure such as dams, pipes, pumps and treatment plants. However, households and businesses are increasingly using more decentralised urban water services</w:t>
      </w:r>
      <w:r w:rsidR="00E63E6C" w:rsidRPr="002537EC">
        <w:t xml:space="preserve"> such as</w:t>
      </w:r>
      <w:r w:rsidRPr="002537EC">
        <w:t xml:space="preserve"> local collection and treatment of w</w:t>
      </w:r>
      <w:r w:rsidR="00D741CE" w:rsidRPr="002537EC">
        <w:t>astewater and stormwater for re</w:t>
      </w:r>
      <w:r w:rsidRPr="002537EC">
        <w:t xml:space="preserve">use. Proponents argue that these </w:t>
      </w:r>
      <w:r w:rsidR="000A04C6" w:rsidRPr="002537EC">
        <w:t>‘integrated water cycle management’</w:t>
      </w:r>
      <w:r w:rsidRPr="002537EC">
        <w:t xml:space="preserve"> approaches can reduce the impact of droughts on urban water supply</w:t>
      </w:r>
      <w:r w:rsidR="004274EC" w:rsidRPr="002537EC">
        <w:t>,</w:t>
      </w:r>
      <w:r w:rsidRPr="002537EC">
        <w:t xml:space="preserve"> and </w:t>
      </w:r>
      <w:r w:rsidR="00E63E6C" w:rsidRPr="002537EC">
        <w:t>improve urban amenity</w:t>
      </w:r>
      <w:r w:rsidR="000A04C6" w:rsidRPr="002537EC">
        <w:t xml:space="preserve"> or ‘liveability’. </w:t>
      </w:r>
      <w:r w:rsidR="00940096" w:rsidRPr="002537EC">
        <w:t>In some cases they will offer water that is lower cost that existing sources, and in other cases they will be higher cost. However, assessments of whether they should be adopted in a given case can be complicated because some of their benefits are difficult to quantify.</w:t>
      </w:r>
    </w:p>
    <w:p w14:paraId="47D3048F" w14:textId="37ED8481" w:rsidR="002537EC" w:rsidRPr="004E3B94" w:rsidRDefault="003B1A50" w:rsidP="002537EC">
      <w:pPr>
        <w:pStyle w:val="BodyText"/>
        <w:spacing w:after="240"/>
      </w:pPr>
      <w:r w:rsidRPr="002537EC">
        <w:rPr>
          <w:spacing w:val="-4"/>
        </w:rPr>
        <w:t xml:space="preserve">Measures to reduce water demand also play an important role in </w:t>
      </w:r>
      <w:r w:rsidR="004274EC" w:rsidRPr="002537EC">
        <w:rPr>
          <w:spacing w:val="-4"/>
        </w:rPr>
        <w:t xml:space="preserve">maintaining </w:t>
      </w:r>
      <w:r w:rsidRPr="002537EC">
        <w:rPr>
          <w:spacing w:val="-4"/>
        </w:rPr>
        <w:t xml:space="preserve">water supply during </w:t>
      </w:r>
      <w:r w:rsidR="004274EC" w:rsidRPr="002537EC">
        <w:rPr>
          <w:spacing w:val="-4"/>
        </w:rPr>
        <w:t>periods of drought or low rainfall</w:t>
      </w:r>
      <w:r w:rsidRPr="002537EC">
        <w:rPr>
          <w:spacing w:val="-4"/>
        </w:rPr>
        <w:t xml:space="preserve">. While </w:t>
      </w:r>
      <w:r w:rsidR="004274EC" w:rsidRPr="002537EC">
        <w:rPr>
          <w:spacing w:val="-4"/>
        </w:rPr>
        <w:t xml:space="preserve">water restrictions are generally accepted by the community as necessary to manage periods of low rainfall (such as during the Millennium Drought), they can impose significant costs on </w:t>
      </w:r>
      <w:r w:rsidRPr="002537EC" w:rsidDel="004274EC">
        <w:rPr>
          <w:spacing w:val="-4"/>
        </w:rPr>
        <w:t xml:space="preserve">water </w:t>
      </w:r>
      <w:r w:rsidRPr="002537EC">
        <w:rPr>
          <w:spacing w:val="-4"/>
        </w:rPr>
        <w:t>users</w:t>
      </w:r>
      <w:r w:rsidR="00E55DB9" w:rsidRPr="002537EC">
        <w:rPr>
          <w:spacing w:val="-4"/>
        </w:rPr>
        <w:t xml:space="preserve"> </w:t>
      </w:r>
      <w:r w:rsidR="00E55DB9" w:rsidRPr="002537EC">
        <w:rPr>
          <w:spacing w:val="-4"/>
          <w:szCs w:val="24"/>
        </w:rPr>
        <w:t>(PC 2011)</w:t>
      </w:r>
      <w:r w:rsidRPr="002537EC">
        <w:rPr>
          <w:spacing w:val="-4"/>
        </w:rPr>
        <w:t xml:space="preserve">. </w:t>
      </w:r>
      <w:r w:rsidR="004274EC" w:rsidRPr="002537EC">
        <w:rPr>
          <w:spacing w:val="-4"/>
        </w:rPr>
        <w:t>Community awareness campaigns and water use efficiency programs (</w:t>
      </w:r>
      <w:r w:rsidR="000A04C6" w:rsidRPr="002537EC">
        <w:rPr>
          <w:spacing w:val="-4"/>
        </w:rPr>
        <w:t xml:space="preserve">such as the Water Efficiency Labelling </w:t>
      </w:r>
      <w:r w:rsidR="00DC604D" w:rsidRPr="002537EC">
        <w:rPr>
          <w:spacing w:val="-4"/>
        </w:rPr>
        <w:t>and Standards s</w:t>
      </w:r>
      <w:r w:rsidR="000A04C6" w:rsidRPr="002537EC">
        <w:rPr>
          <w:spacing w:val="-4"/>
        </w:rPr>
        <w:t xml:space="preserve">cheme </w:t>
      </w:r>
      <w:r w:rsidR="00E55DB9" w:rsidRPr="002537EC">
        <w:rPr>
          <w:spacing w:val="-4"/>
        </w:rPr>
        <w:t>developed in response to</w:t>
      </w:r>
      <w:r w:rsidR="000A04C6" w:rsidRPr="002537EC">
        <w:rPr>
          <w:spacing w:val="-4"/>
        </w:rPr>
        <w:t xml:space="preserve"> the </w:t>
      </w:r>
      <w:proofErr w:type="spellStart"/>
      <w:r w:rsidR="000A04C6" w:rsidRPr="002537EC">
        <w:rPr>
          <w:spacing w:val="-4"/>
        </w:rPr>
        <w:t>NWI</w:t>
      </w:r>
      <w:proofErr w:type="spellEnd"/>
      <w:r w:rsidR="004274EC" w:rsidRPr="002537EC">
        <w:rPr>
          <w:spacing w:val="-4"/>
        </w:rPr>
        <w:t xml:space="preserve">) can also have the effect of lowering demand for water, potentially delaying the need for </w:t>
      </w:r>
      <w:r w:rsidRPr="002537EC">
        <w:rPr>
          <w:spacing w:val="-4"/>
        </w:rPr>
        <w:t xml:space="preserve">new </w:t>
      </w:r>
      <w:r w:rsidR="004274EC" w:rsidRPr="002537EC">
        <w:rPr>
          <w:spacing w:val="-4"/>
        </w:rPr>
        <w:t xml:space="preserve">bulk water </w:t>
      </w:r>
      <w:r w:rsidRPr="002537EC">
        <w:rPr>
          <w:spacing w:val="-4"/>
        </w:rPr>
        <w:t>sources.</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F621AC" w14:paraId="32E92A18" w14:textId="77777777" w:rsidTr="00422743">
        <w:trPr>
          <w:cantSplit/>
          <w:tblHeader/>
        </w:trPr>
        <w:tc>
          <w:tcPr>
            <w:tcW w:w="8770" w:type="dxa"/>
            <w:tcBorders>
              <w:top w:val="single" w:sz="6" w:space="0" w:color="78A22F"/>
              <w:left w:val="nil"/>
              <w:bottom w:val="nil"/>
              <w:right w:val="nil"/>
            </w:tcBorders>
            <w:shd w:val="clear" w:color="auto" w:fill="auto"/>
          </w:tcPr>
          <w:p w14:paraId="32E92A0D" w14:textId="3EA2EBF3" w:rsidR="00F621AC" w:rsidRPr="00F621AC" w:rsidRDefault="00D10901" w:rsidP="002537EC">
            <w:pPr>
              <w:pStyle w:val="InformationRequestTitle"/>
              <w:keepNext w:val="0"/>
              <w:keepLines w:val="0"/>
            </w:pPr>
            <w:r>
              <w:t>information request</w:t>
            </w:r>
          </w:p>
          <w:p w14:paraId="32E92A0E" w14:textId="77777777" w:rsidR="003A2FB8" w:rsidRDefault="00D0414A" w:rsidP="002537EC">
            <w:pPr>
              <w:pStyle w:val="InformationRequestBullet"/>
            </w:pPr>
            <w:r>
              <w:t xml:space="preserve">What </w:t>
            </w:r>
            <w:r w:rsidR="0085288B">
              <w:t xml:space="preserve">policy and institutional arrangements are needed </w:t>
            </w:r>
            <w:r w:rsidR="000B36E2">
              <w:t xml:space="preserve">in </w:t>
            </w:r>
            <w:r>
              <w:t xml:space="preserve">the urban water sector to improve </w:t>
            </w:r>
            <w:r w:rsidR="000B36E2">
              <w:t>the efficiency</w:t>
            </w:r>
            <w:r>
              <w:t xml:space="preserve"> of service </w:t>
            </w:r>
            <w:r w:rsidR="000B36E2">
              <w:t>provision</w:t>
            </w:r>
            <w:r>
              <w:t xml:space="preserve">? </w:t>
            </w:r>
          </w:p>
          <w:p w14:paraId="32E92A0F" w14:textId="77777777" w:rsidR="003A2FB8" w:rsidRDefault="003A2FB8" w:rsidP="002537EC">
            <w:pPr>
              <w:pStyle w:val="InformationRequestBullet"/>
            </w:pPr>
            <w:r>
              <w:t>What</w:t>
            </w:r>
            <w:r w:rsidRPr="00514CEE">
              <w:t xml:space="preserve"> approach should be taken to price regulation</w:t>
            </w:r>
            <w:r>
              <w:t xml:space="preserve"> in the urban water sector</w:t>
            </w:r>
            <w:r w:rsidRPr="00514CEE">
              <w:t>? Is there a need for greater consistency in price setting approaches across different jurisdictions?</w:t>
            </w:r>
            <w:r w:rsidR="0085288B">
              <w:t xml:space="preserve"> </w:t>
            </w:r>
            <w:r w:rsidR="007B2472">
              <w:t>Do</w:t>
            </w:r>
            <w:r w:rsidR="0085288B">
              <w:t xml:space="preserve"> current pricing practices </w:t>
            </w:r>
            <w:r w:rsidR="007B2472">
              <w:t xml:space="preserve">promote </w:t>
            </w:r>
            <w:r w:rsidR="0085288B">
              <w:t>investor confidence?</w:t>
            </w:r>
          </w:p>
          <w:p w14:paraId="32E92A10" w14:textId="77777777" w:rsidR="003A2FB8" w:rsidRDefault="003A2FB8" w:rsidP="002537EC">
            <w:pPr>
              <w:pStyle w:val="InformationRequestBullet"/>
            </w:pPr>
            <w:r>
              <w:t>Is</w:t>
            </w:r>
            <w:r w:rsidRPr="00514CEE">
              <w:t xml:space="preserve"> there a case to increase the involvement of customers in regulatory decision making, as is </w:t>
            </w:r>
            <w:r>
              <w:t>commencing</w:t>
            </w:r>
            <w:r w:rsidRPr="00514CEE">
              <w:t xml:space="preserve"> in Victoria?</w:t>
            </w:r>
            <w:r w:rsidR="00403FA8">
              <w:t xml:space="preserve"> If so, what is the best way to do this?</w:t>
            </w:r>
          </w:p>
          <w:p w14:paraId="32E92A13" w14:textId="77777777" w:rsidR="002F30E7" w:rsidRDefault="002F30E7" w:rsidP="002537EC">
            <w:pPr>
              <w:pStyle w:val="ListBullet"/>
              <w:rPr>
                <w:rFonts w:ascii="Arial" w:hAnsi="Arial"/>
                <w:i/>
                <w:sz w:val="22"/>
              </w:rPr>
            </w:pPr>
            <w:r>
              <w:rPr>
                <w:rFonts w:ascii="Arial" w:hAnsi="Arial"/>
                <w:i/>
                <w:sz w:val="22"/>
              </w:rPr>
              <w:t>How can the level of competition in the provision of urban water services be increased?</w:t>
            </w:r>
          </w:p>
          <w:p w14:paraId="32E92A14" w14:textId="0B42ABE3" w:rsidR="003A2FB8" w:rsidRDefault="00F95083" w:rsidP="002537EC">
            <w:pPr>
              <w:pStyle w:val="ListBullet"/>
              <w:rPr>
                <w:rFonts w:ascii="Arial" w:hAnsi="Arial"/>
                <w:i/>
                <w:sz w:val="22"/>
              </w:rPr>
            </w:pPr>
            <w:r>
              <w:rPr>
                <w:rFonts w:ascii="Arial" w:hAnsi="Arial"/>
                <w:i/>
                <w:sz w:val="22"/>
              </w:rPr>
              <w:t>Do</w:t>
            </w:r>
            <w:r w:rsidRPr="00704D07">
              <w:rPr>
                <w:rFonts w:ascii="Arial" w:hAnsi="Arial"/>
                <w:i/>
                <w:sz w:val="22"/>
              </w:rPr>
              <w:t xml:space="preserve"> </w:t>
            </w:r>
            <w:r w:rsidR="003A2FB8" w:rsidRPr="00704D07">
              <w:rPr>
                <w:rFonts w:ascii="Arial" w:hAnsi="Arial"/>
                <w:i/>
                <w:sz w:val="22"/>
              </w:rPr>
              <w:t xml:space="preserve">water and wastewater services delivered to regional and remote communities, including Indigenous communities, </w:t>
            </w:r>
            <w:r w:rsidR="002F30E7">
              <w:rPr>
                <w:rFonts w:ascii="Arial" w:hAnsi="Arial"/>
                <w:i/>
                <w:sz w:val="22"/>
              </w:rPr>
              <w:t>comply with</w:t>
            </w:r>
            <w:r>
              <w:rPr>
                <w:rFonts w:ascii="Arial" w:hAnsi="Arial"/>
                <w:i/>
                <w:sz w:val="22"/>
              </w:rPr>
              <w:t xml:space="preserve"> relevant </w:t>
            </w:r>
            <w:r w:rsidR="00522B1E">
              <w:rPr>
                <w:rFonts w:ascii="Arial" w:hAnsi="Arial"/>
                <w:i/>
                <w:sz w:val="22"/>
              </w:rPr>
              <w:t xml:space="preserve">public </w:t>
            </w:r>
            <w:r>
              <w:rPr>
                <w:rFonts w:ascii="Arial" w:hAnsi="Arial"/>
                <w:i/>
                <w:sz w:val="22"/>
              </w:rPr>
              <w:t>health</w:t>
            </w:r>
            <w:r w:rsidR="002F30E7">
              <w:rPr>
                <w:rFonts w:ascii="Arial" w:hAnsi="Arial"/>
                <w:i/>
                <w:sz w:val="22"/>
              </w:rPr>
              <w:t>,</w:t>
            </w:r>
            <w:r>
              <w:rPr>
                <w:rFonts w:ascii="Arial" w:hAnsi="Arial"/>
                <w:i/>
                <w:sz w:val="22"/>
              </w:rPr>
              <w:t xml:space="preserve"> safety </w:t>
            </w:r>
            <w:r w:rsidR="002F30E7">
              <w:rPr>
                <w:rFonts w:ascii="Arial" w:hAnsi="Arial"/>
                <w:i/>
                <w:sz w:val="22"/>
              </w:rPr>
              <w:t>and environmental regulations</w:t>
            </w:r>
            <w:r w:rsidR="003A2FB8" w:rsidRPr="00704D07">
              <w:rPr>
                <w:rFonts w:ascii="Arial" w:hAnsi="Arial"/>
                <w:i/>
                <w:sz w:val="22"/>
              </w:rPr>
              <w:t>? If not, what policy remedies might improve performance?</w:t>
            </w:r>
          </w:p>
          <w:p w14:paraId="32E92A15" w14:textId="7F9A536E" w:rsidR="00704D07" w:rsidRPr="00704D07" w:rsidRDefault="00704D07" w:rsidP="002537EC">
            <w:pPr>
              <w:pStyle w:val="ListBullet"/>
              <w:rPr>
                <w:rFonts w:ascii="Arial" w:hAnsi="Arial"/>
                <w:i/>
                <w:sz w:val="22"/>
              </w:rPr>
            </w:pPr>
            <w:r w:rsidRPr="00704D07">
              <w:rPr>
                <w:rFonts w:ascii="Arial" w:hAnsi="Arial"/>
                <w:i/>
                <w:sz w:val="22"/>
              </w:rPr>
              <w:t>Do the processes for determining public health, safety and environmental regulations applying to urban water providers promote cost</w:t>
            </w:r>
            <w:r w:rsidR="00396CA0">
              <w:rPr>
                <w:rFonts w:ascii="Arial" w:hAnsi="Arial"/>
                <w:i/>
                <w:sz w:val="22"/>
              </w:rPr>
              <w:noBreakHyphen/>
            </w:r>
            <w:r w:rsidRPr="00704D07">
              <w:rPr>
                <w:rFonts w:ascii="Arial" w:hAnsi="Arial"/>
                <w:i/>
                <w:sz w:val="22"/>
              </w:rPr>
              <w:t>effective and targeted regulations? Do the various policy</w:t>
            </w:r>
            <w:r w:rsidR="00396CA0">
              <w:rPr>
                <w:rFonts w:ascii="Arial" w:hAnsi="Arial"/>
                <w:i/>
                <w:sz w:val="22"/>
              </w:rPr>
              <w:noBreakHyphen/>
            </w:r>
            <w:r w:rsidRPr="00704D07">
              <w:rPr>
                <w:rFonts w:ascii="Arial" w:hAnsi="Arial"/>
                <w:i/>
                <w:sz w:val="22"/>
              </w:rPr>
              <w:t>making and regulatory bodies have clear roles and responsibilities?</w:t>
            </w:r>
          </w:p>
          <w:p w14:paraId="32E92A16" w14:textId="1AAEBE34" w:rsidR="00E63E6C" w:rsidRDefault="005200F4" w:rsidP="002537EC">
            <w:pPr>
              <w:pStyle w:val="InformationRequestBullet"/>
              <w:rPr>
                <w:rFonts w:ascii="Times New Roman" w:hAnsi="Times New Roman"/>
                <w:i w:val="0"/>
                <w:sz w:val="24"/>
                <w:szCs w:val="24"/>
              </w:rPr>
            </w:pPr>
            <w:r>
              <w:t xml:space="preserve">What is the importance of </w:t>
            </w:r>
            <w:r w:rsidR="00E63E6C" w:rsidRPr="00514CEE">
              <w:t>integrated water cycle management</w:t>
            </w:r>
            <w:r>
              <w:t>?</w:t>
            </w:r>
            <w:r w:rsidR="00E95D09">
              <w:t xml:space="preserve"> Are roles and responsibilities in relation to </w:t>
            </w:r>
            <w:r w:rsidR="00C75A8A">
              <w:t>this</w:t>
            </w:r>
            <w:r w:rsidR="00E95D09">
              <w:t xml:space="preserve"> clear?</w:t>
            </w:r>
          </w:p>
          <w:p w14:paraId="32E92A17" w14:textId="0447309A" w:rsidR="00F621AC" w:rsidRPr="002537EC" w:rsidRDefault="003B1A50" w:rsidP="002537EC">
            <w:pPr>
              <w:pStyle w:val="InformationRequestBullet"/>
              <w:rPr>
                <w:spacing w:val="-2"/>
              </w:rPr>
            </w:pPr>
            <w:r w:rsidRPr="002537EC">
              <w:rPr>
                <w:spacing w:val="-2"/>
              </w:rPr>
              <w:t>How can demand management approaches such as water restrictions and water</w:t>
            </w:r>
            <w:r w:rsidR="00396CA0" w:rsidRPr="002537EC">
              <w:rPr>
                <w:spacing w:val="-2"/>
              </w:rPr>
              <w:noBreakHyphen/>
            </w:r>
            <w:r w:rsidRPr="002537EC">
              <w:rPr>
                <w:spacing w:val="-2"/>
              </w:rPr>
              <w:t>use ef</w:t>
            </w:r>
            <w:r w:rsidRPr="002537EC">
              <w:rPr>
                <w:spacing w:val="-1"/>
              </w:rPr>
              <w:t>ficiency measures best contribute to the efficiency of urban water services?</w:t>
            </w:r>
          </w:p>
        </w:tc>
      </w:tr>
      <w:tr w:rsidR="00F621AC" w14:paraId="32E92A1A" w14:textId="77777777" w:rsidTr="00422743">
        <w:tc>
          <w:tcPr>
            <w:tcW w:w="8770" w:type="dxa"/>
            <w:tcBorders>
              <w:top w:val="nil"/>
              <w:left w:val="nil"/>
              <w:bottom w:val="single" w:sz="6" w:space="0" w:color="78A22F"/>
              <w:right w:val="nil"/>
            </w:tcBorders>
            <w:shd w:val="clear" w:color="auto" w:fill="auto"/>
          </w:tcPr>
          <w:p w14:paraId="32E92A19" w14:textId="77777777" w:rsidR="00F621AC" w:rsidRDefault="00F621AC" w:rsidP="002537EC">
            <w:pPr>
              <w:pStyle w:val="Space"/>
              <w:keepNext w:val="0"/>
            </w:pPr>
          </w:p>
        </w:tc>
      </w:tr>
    </w:tbl>
    <w:p w14:paraId="32E92A1D" w14:textId="33DDA309" w:rsidR="00EC4988" w:rsidRDefault="00B11167" w:rsidP="00273709">
      <w:pPr>
        <w:pStyle w:val="Heading2"/>
      </w:pPr>
      <w:bookmarkStart w:id="212" w:name="_Ref476903449"/>
      <w:bookmarkStart w:id="213" w:name="_Toc475361578"/>
      <w:bookmarkStart w:id="214" w:name="_Toc475614200"/>
      <w:bookmarkStart w:id="215" w:name="_Toc475628047"/>
      <w:bookmarkStart w:id="216" w:name="_Toc475628220"/>
      <w:bookmarkStart w:id="217" w:name="_Toc475634091"/>
      <w:bookmarkStart w:id="218" w:name="_Toc476307173"/>
      <w:bookmarkStart w:id="219" w:name="_Toc476307304"/>
      <w:bookmarkStart w:id="220" w:name="_Toc476308491"/>
      <w:bookmarkStart w:id="221" w:name="_Toc476309085"/>
      <w:bookmarkStart w:id="222" w:name="_Toc476312559"/>
      <w:bookmarkStart w:id="223" w:name="_Toc476312797"/>
      <w:bookmarkStart w:id="224" w:name="_Toc476312871"/>
      <w:bookmarkStart w:id="225" w:name="_Toc476318444"/>
      <w:bookmarkStart w:id="226" w:name="_Toc476320085"/>
      <w:bookmarkStart w:id="227" w:name="_Toc476322771"/>
      <w:bookmarkStart w:id="228" w:name="_Toc476324737"/>
      <w:bookmarkStart w:id="229" w:name="_Toc476326764"/>
      <w:bookmarkStart w:id="230" w:name="_Toc476907461"/>
      <w:bookmarkStart w:id="231" w:name="_Toc476910687"/>
      <w:bookmarkStart w:id="232" w:name="_Toc476910772"/>
      <w:bookmarkStart w:id="233" w:name="_Toc476915257"/>
      <w:bookmarkStart w:id="234" w:name="_Toc476916214"/>
      <w:bookmarkStart w:id="235" w:name="_Toc476916333"/>
      <w:r>
        <w:rPr>
          <w:noProof/>
        </w:rPr>
        <w:lastRenderedPageBreak/>
        <w:t>7</w:t>
      </w:r>
      <w:r w:rsidR="00EC4988">
        <w:tab/>
        <w:t>Achieving reform</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32E92A1E" w14:textId="77777777" w:rsidR="001B3ABE" w:rsidRDefault="00EF04EA" w:rsidP="00273709">
      <w:pPr>
        <w:pStyle w:val="BodyText"/>
      </w:pPr>
      <w:r>
        <w:t>T</w:t>
      </w:r>
      <w:r w:rsidR="001069BF">
        <w:t xml:space="preserve">he Commission </w:t>
      </w:r>
      <w:r w:rsidR="00BA7CE8">
        <w:t xml:space="preserve">wants </w:t>
      </w:r>
      <w:r w:rsidR="001069BF">
        <w:t xml:space="preserve">to identify policy changes that </w:t>
      </w:r>
      <w:r w:rsidR="00BA7CE8">
        <w:t xml:space="preserve">are needed to deliver ongoing </w:t>
      </w:r>
      <w:r w:rsidR="001069BF">
        <w:t>benefit</w:t>
      </w:r>
      <w:r w:rsidR="00BA7CE8">
        <w:t>s to</w:t>
      </w:r>
      <w:r w:rsidR="001069BF">
        <w:t xml:space="preserve"> the community, </w:t>
      </w:r>
      <w:r w:rsidR="0067627F">
        <w:t xml:space="preserve">and </w:t>
      </w:r>
      <w:r w:rsidR="001069BF">
        <w:t xml:space="preserve">will also </w:t>
      </w:r>
      <w:r w:rsidR="002F28A0">
        <w:t>consider</w:t>
      </w:r>
      <w:r w:rsidR="001069BF">
        <w:t xml:space="preserve"> how these </w:t>
      </w:r>
      <w:r w:rsidR="007E417F">
        <w:t xml:space="preserve">changes </w:t>
      </w:r>
      <w:r w:rsidR="002F28A0">
        <w:t>c</w:t>
      </w:r>
      <w:r w:rsidR="001069BF">
        <w:t>ould be best achieved</w:t>
      </w:r>
      <w:r w:rsidR="001B3ABE">
        <w:t>. In doing this, the Commission will consider</w:t>
      </w:r>
      <w:r>
        <w:t xml:space="preserve"> </w:t>
      </w:r>
      <w:r w:rsidR="00BA7CE8">
        <w:t xml:space="preserve">whether </w:t>
      </w:r>
      <w:r w:rsidR="002F28A0">
        <w:t xml:space="preserve">a national approach </w:t>
      </w:r>
      <w:r w:rsidR="00BA7CE8">
        <w:t>is needed for such policy endeavour</w:t>
      </w:r>
      <w:r w:rsidR="002F28A0">
        <w:t xml:space="preserve">. </w:t>
      </w:r>
    </w:p>
    <w:p w14:paraId="32E92A1F" w14:textId="4EAD4205" w:rsidR="002F28A0" w:rsidRDefault="002A1560" w:rsidP="00273709">
      <w:pPr>
        <w:pStyle w:val="BodyText"/>
      </w:pPr>
      <w:r>
        <w:t>M</w:t>
      </w:r>
      <w:r w:rsidR="00416108">
        <w:t xml:space="preserve">ost worthwhile </w:t>
      </w:r>
      <w:r w:rsidR="00397BFD">
        <w:t xml:space="preserve">water </w:t>
      </w:r>
      <w:r w:rsidR="00416108">
        <w:t xml:space="preserve">policy changes by a State or Territory Government would generate net benefits for the people </w:t>
      </w:r>
      <w:r>
        <w:t xml:space="preserve">and businesses </w:t>
      </w:r>
      <w:r w:rsidR="00416108">
        <w:t xml:space="preserve">within that jurisdiction. As such, independent action by </w:t>
      </w:r>
      <w:r w:rsidR="001E0367">
        <w:t>S</w:t>
      </w:r>
      <w:r w:rsidR="00416108">
        <w:t>tate</w:t>
      </w:r>
      <w:r>
        <w:t xml:space="preserve"> and </w:t>
      </w:r>
      <w:r w:rsidR="00EC3747">
        <w:t>Territory</w:t>
      </w:r>
      <w:r w:rsidR="00416108">
        <w:t xml:space="preserve"> </w:t>
      </w:r>
      <w:r w:rsidR="00E91F24">
        <w:t>G</w:t>
      </w:r>
      <w:r w:rsidR="00416108">
        <w:t xml:space="preserve">overnments </w:t>
      </w:r>
      <w:r w:rsidR="00397BFD">
        <w:t>is feasible</w:t>
      </w:r>
      <w:r>
        <w:t xml:space="preserve"> and the benefits (once known) should generate the policy imprimatur</w:t>
      </w:r>
      <w:r w:rsidR="00397BFD">
        <w:t>. The question is whether a national approach to reform could make achieving reform more likely</w:t>
      </w:r>
      <w:r w:rsidR="007655F0">
        <w:t>.</w:t>
      </w:r>
    </w:p>
    <w:p w14:paraId="32E92A20" w14:textId="77777777" w:rsidR="004B25E8" w:rsidRDefault="003E2EF1" w:rsidP="00273709">
      <w:pPr>
        <w:pStyle w:val="BodyText"/>
      </w:pPr>
      <w:r>
        <w:t xml:space="preserve">There is a long history of a national approach being taken to at least some aspects of water policy through the </w:t>
      </w:r>
      <w:proofErr w:type="spellStart"/>
      <w:r>
        <w:t>NWI</w:t>
      </w:r>
      <w:proofErr w:type="spellEnd"/>
      <w:r>
        <w:t xml:space="preserve"> and preceding COAG agreements. The terms of reference ask the Commission to consider the scope for improving the </w:t>
      </w:r>
      <w:proofErr w:type="spellStart"/>
      <w:r>
        <w:t>NWI</w:t>
      </w:r>
      <w:proofErr w:type="spellEnd"/>
      <w:r w:rsidR="004B25E8">
        <w:t xml:space="preserve"> to address current and future challenges. Accordingly, the Commission is interested in views on whether a ‘refreshed’ </w:t>
      </w:r>
      <w:proofErr w:type="spellStart"/>
      <w:r w:rsidR="004B25E8">
        <w:t>NWI</w:t>
      </w:r>
      <w:proofErr w:type="spellEnd"/>
      <w:r w:rsidR="004B25E8">
        <w:t xml:space="preserve"> is </w:t>
      </w:r>
      <w:r w:rsidR="002A1560">
        <w:t>the best</w:t>
      </w:r>
      <w:r w:rsidR="004B25E8">
        <w:t xml:space="preserve"> way forward.</w:t>
      </w:r>
    </w:p>
    <w:p w14:paraId="32E92A22" w14:textId="77777777" w:rsidR="00D44D64" w:rsidRDefault="00D44D64" w:rsidP="00D61437">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D44D64" w14:paraId="32E92A26" w14:textId="77777777" w:rsidTr="002D15FE">
        <w:trPr>
          <w:cantSplit/>
          <w:tblHeader/>
        </w:trPr>
        <w:tc>
          <w:tcPr>
            <w:tcW w:w="8770" w:type="dxa"/>
            <w:tcBorders>
              <w:top w:val="single" w:sz="6" w:space="0" w:color="78A22F"/>
              <w:left w:val="nil"/>
              <w:bottom w:val="nil"/>
              <w:right w:val="nil"/>
            </w:tcBorders>
            <w:shd w:val="clear" w:color="auto" w:fill="auto"/>
          </w:tcPr>
          <w:p w14:paraId="32E92A23" w14:textId="0F242AA4" w:rsidR="00D44D64" w:rsidRPr="00986231" w:rsidRDefault="00D10901" w:rsidP="00621E66">
            <w:pPr>
              <w:pStyle w:val="InformationRequestTitle"/>
            </w:pPr>
            <w:r>
              <w:t>information request</w:t>
            </w:r>
          </w:p>
          <w:p w14:paraId="32E92A24" w14:textId="77777777" w:rsidR="00D44D64" w:rsidRDefault="00D44D64" w:rsidP="00D44D64">
            <w:pPr>
              <w:pStyle w:val="InformationRequestBullet"/>
            </w:pPr>
            <w:r>
              <w:t xml:space="preserve">Should further water reform be pursued through an improved </w:t>
            </w:r>
            <w:proofErr w:type="spellStart"/>
            <w:r>
              <w:t>NWI</w:t>
            </w:r>
            <w:proofErr w:type="spellEnd"/>
            <w:r>
              <w:t>?</w:t>
            </w:r>
          </w:p>
          <w:p w14:paraId="32E92A25" w14:textId="77777777" w:rsidR="00D44D64" w:rsidRPr="00FA18CB" w:rsidRDefault="00D44D64" w:rsidP="002A1560">
            <w:pPr>
              <w:pStyle w:val="InformationRequestBullet"/>
            </w:pPr>
            <w:r>
              <w:t xml:space="preserve">How can </w:t>
            </w:r>
            <w:r w:rsidR="002A1560">
              <w:t>policy impetus be best generated</w:t>
            </w:r>
            <w:r>
              <w:t>?</w:t>
            </w:r>
          </w:p>
        </w:tc>
      </w:tr>
      <w:tr w:rsidR="00D44D64" w14:paraId="32E92A28" w14:textId="77777777" w:rsidTr="002D15FE">
        <w:tc>
          <w:tcPr>
            <w:tcW w:w="8770" w:type="dxa"/>
            <w:tcBorders>
              <w:top w:val="nil"/>
              <w:left w:val="nil"/>
              <w:bottom w:val="single" w:sz="6" w:space="0" w:color="78A22F"/>
              <w:right w:val="nil"/>
            </w:tcBorders>
            <w:shd w:val="clear" w:color="auto" w:fill="auto"/>
          </w:tcPr>
          <w:p w14:paraId="32E92A27" w14:textId="77777777" w:rsidR="00D44D64" w:rsidRDefault="00D44D64" w:rsidP="002D15FE">
            <w:pPr>
              <w:pStyle w:val="Space"/>
              <w:keepLines/>
            </w:pPr>
          </w:p>
        </w:tc>
      </w:tr>
      <w:tr w:rsidR="00D44D64" w:rsidRPr="000863A5" w14:paraId="32E92A2A" w14:textId="77777777" w:rsidTr="002D15FE">
        <w:tc>
          <w:tcPr>
            <w:tcW w:w="8770" w:type="dxa"/>
            <w:tcBorders>
              <w:top w:val="single" w:sz="6" w:space="0" w:color="78A22F"/>
              <w:left w:val="nil"/>
              <w:bottom w:val="nil"/>
              <w:right w:val="nil"/>
            </w:tcBorders>
          </w:tcPr>
          <w:p w14:paraId="32E92A29" w14:textId="46C27ADF" w:rsidR="00D44D64" w:rsidRPr="00626D32" w:rsidRDefault="00D44D64" w:rsidP="002D15FE">
            <w:pPr>
              <w:pStyle w:val="BoxSpaceBelow"/>
              <w:keepLines/>
            </w:pPr>
          </w:p>
        </w:tc>
      </w:tr>
    </w:tbl>
    <w:p w14:paraId="32E92A2B" w14:textId="77777777" w:rsidR="009F0D0D" w:rsidRDefault="009F0D0D">
      <w:pPr>
        <w:rPr>
          <w:szCs w:val="20"/>
        </w:rPr>
      </w:pPr>
      <w:r>
        <w:br w:type="page"/>
      </w:r>
    </w:p>
    <w:p w14:paraId="32E92A2C" w14:textId="77777777" w:rsidR="009F1227" w:rsidRDefault="009F1227" w:rsidP="000D0DB7">
      <w:pPr>
        <w:pStyle w:val="Heading2nosectionno"/>
        <w:spacing w:after="360"/>
      </w:pPr>
      <w:bookmarkStart w:id="236" w:name="_Toc476318445"/>
      <w:bookmarkStart w:id="237" w:name="_Toc476320086"/>
      <w:bookmarkStart w:id="238" w:name="_Toc476322772"/>
      <w:bookmarkStart w:id="239" w:name="_Toc476324738"/>
      <w:bookmarkStart w:id="240" w:name="_Toc476326765"/>
      <w:bookmarkStart w:id="241" w:name="_Toc475361579"/>
      <w:bookmarkStart w:id="242" w:name="_Toc475614201"/>
      <w:bookmarkStart w:id="243" w:name="_Toc475628048"/>
      <w:bookmarkStart w:id="244" w:name="_Toc475628221"/>
      <w:bookmarkStart w:id="245" w:name="_Toc475634092"/>
      <w:bookmarkStart w:id="246" w:name="_Toc476307174"/>
      <w:bookmarkStart w:id="247" w:name="_Toc476307305"/>
      <w:bookmarkStart w:id="248" w:name="_Toc476308492"/>
      <w:bookmarkStart w:id="249" w:name="_Toc476309086"/>
      <w:bookmarkStart w:id="250" w:name="_Toc476312560"/>
      <w:bookmarkStart w:id="251" w:name="_Toc476312798"/>
      <w:bookmarkStart w:id="252" w:name="_Toc476312872"/>
      <w:r>
        <w:lastRenderedPageBreak/>
        <w:t>References</w:t>
      </w:r>
    </w:p>
    <w:p w14:paraId="1C3A3CEE" w14:textId="539C15EC" w:rsidR="00727E57" w:rsidRPr="00CB4839" w:rsidRDefault="00727E57" w:rsidP="00CB4839">
      <w:pPr>
        <w:pStyle w:val="Reference"/>
      </w:pPr>
      <w:r w:rsidRPr="00CB4839">
        <w:t>Australian Water Partnership 2016, The Australian water reform journey, Canberra.</w:t>
      </w:r>
    </w:p>
    <w:p w14:paraId="01402944" w14:textId="77777777" w:rsidR="00727E57" w:rsidRPr="00CB4839" w:rsidRDefault="00727E57" w:rsidP="00CB4839">
      <w:pPr>
        <w:pStyle w:val="Reference"/>
      </w:pPr>
      <w:r w:rsidRPr="00CB4839">
        <w:t>COAG (Council of Australian Governments) 2004, Intergovernmental Agreement on a National Water Initiative.</w:t>
      </w:r>
    </w:p>
    <w:p w14:paraId="157BCF07" w14:textId="5571E053" w:rsidR="00727E57" w:rsidRPr="00CB4839" w:rsidRDefault="00727E57" w:rsidP="00CB4839">
      <w:pPr>
        <w:pStyle w:val="Reference"/>
      </w:pPr>
      <w:r w:rsidRPr="00CB4839">
        <w:t xml:space="preserve">COAG (Council of Australian Governments) 2008, COAG work program on water </w:t>
      </w:r>
      <w:r w:rsidR="0080505B">
        <w:t>–</w:t>
      </w:r>
      <w:r w:rsidRPr="00CB4839">
        <w:t xml:space="preserve"> November</w:t>
      </w:r>
      <w:r w:rsidR="0080505B">
        <w:t xml:space="preserve"> </w:t>
      </w:r>
      <w:r w:rsidRPr="00CB4839">
        <w:t xml:space="preserve">2008 </w:t>
      </w:r>
      <w:r w:rsidR="0080505B">
        <w:t>–</w:t>
      </w:r>
      <w:r w:rsidRPr="00CB4839">
        <w:t xml:space="preserve"> agreed</w:t>
      </w:r>
      <w:r w:rsidR="0080505B">
        <w:t xml:space="preserve"> </w:t>
      </w:r>
      <w:r w:rsidRPr="00CB4839">
        <w:t>actions.</w:t>
      </w:r>
    </w:p>
    <w:p w14:paraId="49C1F14C" w14:textId="77777777" w:rsidR="00727E57" w:rsidRPr="00CB4839" w:rsidRDefault="00727E57" w:rsidP="00CB4839">
      <w:pPr>
        <w:pStyle w:val="Reference"/>
      </w:pPr>
      <w:r w:rsidRPr="00CB4839">
        <w:t>MDBA (Murray-Darling Basin Authority) nd, A path to water reform: timeline of water resource management in the Murray-Darling Basin.</w:t>
      </w:r>
    </w:p>
    <w:p w14:paraId="3052C6F7" w14:textId="77777777" w:rsidR="00727E57" w:rsidRPr="00CB4839" w:rsidRDefault="00727E57" w:rsidP="00CB4839">
      <w:pPr>
        <w:pStyle w:val="Reference"/>
      </w:pPr>
      <w:r w:rsidRPr="00CB4839">
        <w:t>NWC (National Water Commission) 2010, The impacts of water trading in the southern Murray-Darling Basin.</w:t>
      </w:r>
    </w:p>
    <w:p w14:paraId="72A7C57F" w14:textId="77777777" w:rsidR="00727E57" w:rsidRPr="00CB4839" w:rsidRDefault="00727E57" w:rsidP="00CB4839">
      <w:pPr>
        <w:pStyle w:val="Reference"/>
      </w:pPr>
      <w:r w:rsidRPr="00CB4839">
        <w:t>NWC (National Water Commission) 2011, The National Water Initiative — securing Australia’s water future: 2011 assessment, Canberra.</w:t>
      </w:r>
    </w:p>
    <w:p w14:paraId="29509C30" w14:textId="77777777" w:rsidR="00727E57" w:rsidRPr="00CB4839" w:rsidRDefault="00727E57" w:rsidP="00CB4839">
      <w:pPr>
        <w:pStyle w:val="Reference"/>
      </w:pPr>
      <w:r w:rsidRPr="00CB4839">
        <w:t>NWC (National Water Commission) 2012, Water Planning in Australia - delivering on the intent of the National Water Initiative, Discussion Paper, Canberra.</w:t>
      </w:r>
    </w:p>
    <w:p w14:paraId="1484AB71" w14:textId="77777777" w:rsidR="00727E57" w:rsidRPr="00CB4839" w:rsidRDefault="00727E57" w:rsidP="00CB4839">
      <w:pPr>
        <w:pStyle w:val="Reference"/>
      </w:pPr>
      <w:r w:rsidRPr="00CB4839">
        <w:t>NWC (National Water Commission) 2014a, Australian Environmental Water Management: 2014 Review, Canberra.</w:t>
      </w:r>
    </w:p>
    <w:p w14:paraId="40B1C4E6" w14:textId="77777777" w:rsidR="00727E57" w:rsidRPr="00CB4839" w:rsidRDefault="00727E57" w:rsidP="00CB4839">
      <w:pPr>
        <w:pStyle w:val="Reference"/>
      </w:pPr>
      <w:r w:rsidRPr="00CB4839">
        <w:t>NWC (National Water Commission) 2014b, Australia’s water blueprint: national reform assessment 2014, September, Canberra.</w:t>
      </w:r>
    </w:p>
    <w:p w14:paraId="7EDB83E4" w14:textId="77777777" w:rsidR="00727E57" w:rsidRPr="00CB4839" w:rsidRDefault="00727E57" w:rsidP="00CB4839">
      <w:pPr>
        <w:pStyle w:val="Reference"/>
      </w:pPr>
      <w:r w:rsidRPr="00CB4839">
        <w:t>NWC (National Water Commission) 2014c, Water for mining and unconventional gas under the National Water Initiative, Canberra.</w:t>
      </w:r>
    </w:p>
    <w:p w14:paraId="465FC7F3" w14:textId="77777777" w:rsidR="00727E57" w:rsidRPr="00CB4839" w:rsidRDefault="00727E57" w:rsidP="00CB4839">
      <w:pPr>
        <w:pStyle w:val="Reference"/>
      </w:pPr>
      <w:r w:rsidRPr="00CB4839">
        <w:t>PC (Productivity Commission) 2005, Review of National Competition Policy reforms.</w:t>
      </w:r>
    </w:p>
    <w:p w14:paraId="6386945C" w14:textId="77777777" w:rsidR="00727E57" w:rsidRPr="00CB4839" w:rsidRDefault="00727E57" w:rsidP="00CB4839">
      <w:pPr>
        <w:pStyle w:val="Reference"/>
      </w:pPr>
      <w:r w:rsidRPr="00CB4839">
        <w:t>PC (Productivity Commission) 2011, Australia’s urban water sector, Report no. 55, Final Inquiry Report, Canberra.</w:t>
      </w:r>
    </w:p>
    <w:p w14:paraId="3CF67A85" w14:textId="45896481" w:rsidR="00727E57" w:rsidRPr="00CB4839" w:rsidRDefault="00727E57" w:rsidP="00CB4839">
      <w:pPr>
        <w:pStyle w:val="Reference"/>
      </w:pPr>
      <w:proofErr w:type="spellStart"/>
      <w:r w:rsidRPr="00CB4839">
        <w:t>PIRSA</w:t>
      </w:r>
      <w:proofErr w:type="spellEnd"/>
      <w:r w:rsidRPr="00CB4839">
        <w:t xml:space="preserve"> (Primary Industries and Regions SA) 2013, Critical events for the Murray-Darling Basin, http://www.pir.sa.gov.au/aghistory/left_nav/natural_resources/water_resources_</w:t>
      </w:r>
      <w:r w:rsidR="0080505B">
        <w:br/>
      </w:r>
      <w:r w:rsidRPr="00CB4839">
        <w:t>ag_dev/murray-darling_basin/critical_events_for_the_murray_darling_basin (accessed 8</w:t>
      </w:r>
      <w:r w:rsidR="0080505B">
        <w:t> </w:t>
      </w:r>
      <w:r w:rsidRPr="00CB4839">
        <w:t>March 2017).</w:t>
      </w:r>
    </w:p>
    <w:p w14:paraId="56C705C6" w14:textId="77777777" w:rsidR="00727E57" w:rsidRPr="00CB4839" w:rsidRDefault="00727E57" w:rsidP="00CB4839">
      <w:pPr>
        <w:pStyle w:val="Reference"/>
      </w:pPr>
      <w:r w:rsidRPr="00CB4839">
        <w:t>SCEW (Standing Council on Environmental and Water) 2013, Next steps in national water reform: preparation for the future.</w:t>
      </w:r>
    </w:p>
    <w:p w14:paraId="32E92A3C" w14:textId="4496432E" w:rsidR="009F0D0D" w:rsidRPr="00CB4839" w:rsidRDefault="009F0D0D" w:rsidP="00CB4839">
      <w:pPr>
        <w:pStyle w:val="Reference"/>
      </w:pPr>
      <w:r w:rsidRPr="00CB4839">
        <w:br w:type="page"/>
      </w:r>
    </w:p>
    <w:p w14:paraId="62AC6C58" w14:textId="33CB4CC5" w:rsidR="00FC1DD6" w:rsidRDefault="00FC1DD6" w:rsidP="0080505B">
      <w:pPr>
        <w:pStyle w:val="Heading2"/>
        <w:spacing w:after="360"/>
      </w:pPr>
      <w:bookmarkStart w:id="253" w:name="_Toc476907462"/>
      <w:bookmarkStart w:id="254" w:name="_Toc476910688"/>
      <w:bookmarkStart w:id="255" w:name="_Toc476910773"/>
      <w:bookmarkStart w:id="256" w:name="_Toc476915258"/>
      <w:bookmarkStart w:id="257" w:name="_Toc476916215"/>
      <w:bookmarkStart w:id="258" w:name="_Toc476916334"/>
      <w:r>
        <w:lastRenderedPageBreak/>
        <w:t>Attachment A: Glossary</w:t>
      </w:r>
      <w:bookmarkEnd w:id="253"/>
      <w:bookmarkEnd w:id="254"/>
      <w:bookmarkEnd w:id="255"/>
      <w:bookmarkEnd w:id="256"/>
      <w:bookmarkEnd w:id="257"/>
      <w:bookmarkEnd w:id="2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42"/>
      </w:tblGrid>
      <w:tr w:rsidR="0077300D" w14:paraId="32E92A44" w14:textId="77777777" w:rsidTr="00692335">
        <w:tc>
          <w:tcPr>
            <w:tcW w:w="2263" w:type="dxa"/>
          </w:tcPr>
          <w:bookmarkEnd w:id="236"/>
          <w:bookmarkEnd w:id="237"/>
          <w:bookmarkEnd w:id="238"/>
          <w:bookmarkEnd w:id="239"/>
          <w:bookmarkEnd w:id="240"/>
          <w:p w14:paraId="32E92A42" w14:textId="77777777" w:rsidR="0077300D" w:rsidRDefault="0077300D" w:rsidP="0077300D">
            <w:pPr>
              <w:pStyle w:val="BodyText"/>
              <w:jc w:val="left"/>
            </w:pPr>
            <w:r w:rsidRPr="00D02A6F">
              <w:t>Environmental outcomes</w:t>
            </w:r>
          </w:p>
        </w:tc>
        <w:tc>
          <w:tcPr>
            <w:tcW w:w="6742" w:type="dxa"/>
          </w:tcPr>
          <w:p w14:paraId="32E92A43" w14:textId="77777777" w:rsidR="0077300D" w:rsidRPr="001F2083" w:rsidRDefault="0077300D" w:rsidP="0077300D">
            <w:pPr>
              <w:pStyle w:val="BodyText"/>
            </w:pPr>
            <w:r>
              <w:t>M</w:t>
            </w:r>
            <w:r w:rsidRPr="00D02A6F">
              <w:t xml:space="preserve">aintaining ecosystem function (for example, </w:t>
            </w:r>
            <w:r w:rsidRPr="009E22B0">
              <w:t>through periodic inundation of floodplain wetlands); biodiversity, water quality; and river health targets.</w:t>
            </w:r>
          </w:p>
        </w:tc>
      </w:tr>
      <w:tr w:rsidR="0077300D" w14:paraId="32E92A47" w14:textId="77777777" w:rsidTr="00692335">
        <w:tc>
          <w:tcPr>
            <w:tcW w:w="2263" w:type="dxa"/>
          </w:tcPr>
          <w:p w14:paraId="32E92A45" w14:textId="77777777" w:rsidR="0077300D" w:rsidRDefault="0077300D" w:rsidP="0077300D">
            <w:pPr>
              <w:pStyle w:val="BodyText"/>
              <w:jc w:val="left"/>
            </w:pPr>
            <w:r w:rsidRPr="009E22B0">
              <w:t>Groundwater</w:t>
            </w:r>
          </w:p>
        </w:tc>
        <w:tc>
          <w:tcPr>
            <w:tcW w:w="6742" w:type="dxa"/>
          </w:tcPr>
          <w:p w14:paraId="32E92A46" w14:textId="77777777" w:rsidR="0077300D" w:rsidRPr="001F2083" w:rsidRDefault="0077300D" w:rsidP="0077300D">
            <w:pPr>
              <w:pStyle w:val="BodyText"/>
            </w:pPr>
            <w:r>
              <w:t>W</w:t>
            </w:r>
            <w:r w:rsidRPr="009E22B0">
              <w:t>ater occurring naturally below ground level (whether in an aquifer or otherwise), or water occurring at a place below ground that has been pumped, diverted or released to that place for the purpose of being stored there, but does not include water held in underground tanks, pipes or other works.</w:t>
            </w:r>
          </w:p>
        </w:tc>
      </w:tr>
      <w:tr w:rsidR="0077300D" w14:paraId="32E92A4A" w14:textId="77777777" w:rsidTr="00692335">
        <w:tc>
          <w:tcPr>
            <w:tcW w:w="2263" w:type="dxa"/>
          </w:tcPr>
          <w:p w14:paraId="32E92A48" w14:textId="77777777" w:rsidR="0077300D" w:rsidRDefault="0077300D" w:rsidP="0077300D">
            <w:pPr>
              <w:pStyle w:val="BodyText"/>
              <w:jc w:val="left"/>
            </w:pPr>
            <w:r w:rsidRPr="009E22B0">
              <w:t>Held environmental water</w:t>
            </w:r>
          </w:p>
        </w:tc>
        <w:tc>
          <w:tcPr>
            <w:tcW w:w="6742" w:type="dxa"/>
          </w:tcPr>
          <w:p w14:paraId="32E92A49" w14:textId="77777777" w:rsidR="0077300D" w:rsidRPr="0080505B" w:rsidRDefault="0077300D" w:rsidP="0077300D">
            <w:pPr>
              <w:pStyle w:val="BodyText"/>
              <w:rPr>
                <w:spacing w:val="-2"/>
              </w:rPr>
            </w:pPr>
            <w:r w:rsidRPr="0080505B">
              <w:rPr>
                <w:spacing w:val="-2"/>
              </w:rPr>
              <w:t>Where water access entitlements are held and used (usually by governments) for the purpose of achieving environmental outcomes.</w:t>
            </w:r>
          </w:p>
        </w:tc>
      </w:tr>
      <w:tr w:rsidR="0077300D" w14:paraId="32E92A4D" w14:textId="77777777" w:rsidTr="00692335">
        <w:tc>
          <w:tcPr>
            <w:tcW w:w="2263" w:type="dxa"/>
          </w:tcPr>
          <w:p w14:paraId="32E92A4B" w14:textId="77777777" w:rsidR="0077300D" w:rsidRDefault="0077300D" w:rsidP="0077300D">
            <w:pPr>
              <w:pStyle w:val="BodyText"/>
              <w:jc w:val="left"/>
            </w:pPr>
            <w:r w:rsidRPr="009E22B0">
              <w:t>Integrated water cycle management</w:t>
            </w:r>
          </w:p>
        </w:tc>
        <w:tc>
          <w:tcPr>
            <w:tcW w:w="6742" w:type="dxa"/>
          </w:tcPr>
          <w:p w14:paraId="32E92A4C" w14:textId="5092587A" w:rsidR="0077300D" w:rsidRPr="001F2083" w:rsidRDefault="0077300D" w:rsidP="0077300D">
            <w:pPr>
              <w:pStyle w:val="BodyText"/>
            </w:pPr>
            <w:r>
              <w:t>I</w:t>
            </w:r>
            <w:r w:rsidRPr="009E22B0">
              <w:t>ncludes managing groundwater and water</w:t>
            </w:r>
            <w:r w:rsidR="00396CA0">
              <w:noBreakHyphen/>
            </w:r>
            <w:r w:rsidRPr="009E22B0">
              <w:t>intercepting land use changes; in the urban context, it could include water supply, drainage, water pollution control, groundwater, water recycling and water conservation and land use planning</w:t>
            </w:r>
            <w:r w:rsidR="00B9517E">
              <w:t>.</w:t>
            </w:r>
          </w:p>
        </w:tc>
      </w:tr>
      <w:tr w:rsidR="0077300D" w14:paraId="32E92A50" w14:textId="77777777" w:rsidTr="00692335">
        <w:tc>
          <w:tcPr>
            <w:tcW w:w="2263" w:type="dxa"/>
          </w:tcPr>
          <w:p w14:paraId="32E92A4E" w14:textId="77777777" w:rsidR="0077300D" w:rsidRDefault="0077300D" w:rsidP="0077300D">
            <w:pPr>
              <w:pStyle w:val="BodyText"/>
              <w:jc w:val="left"/>
            </w:pPr>
            <w:r w:rsidRPr="009E22B0">
              <w:t>Interception</w:t>
            </w:r>
          </w:p>
        </w:tc>
        <w:tc>
          <w:tcPr>
            <w:tcW w:w="6742" w:type="dxa"/>
          </w:tcPr>
          <w:p w14:paraId="32E92A4F" w14:textId="77777777" w:rsidR="0077300D" w:rsidRPr="001F2083" w:rsidRDefault="0077300D" w:rsidP="0077300D">
            <w:pPr>
              <w:pStyle w:val="BodyText"/>
            </w:pPr>
            <w:r>
              <w:t>T</w:t>
            </w:r>
            <w:r w:rsidRPr="009E22B0">
              <w:t>he interception of surface or ground water that would otherwise flow, directly or indirectly, into a watercourse, lake, wetland, aquifer, dam or reservoir.</w:t>
            </w:r>
          </w:p>
        </w:tc>
      </w:tr>
      <w:tr w:rsidR="0077300D" w14:paraId="32E92A53" w14:textId="77777777" w:rsidTr="00692335">
        <w:tc>
          <w:tcPr>
            <w:tcW w:w="2263" w:type="dxa"/>
          </w:tcPr>
          <w:p w14:paraId="32E92A51" w14:textId="77777777" w:rsidR="0077300D" w:rsidRDefault="0077300D" w:rsidP="0077300D">
            <w:pPr>
              <w:pStyle w:val="BodyText"/>
              <w:jc w:val="left"/>
            </w:pPr>
            <w:r w:rsidRPr="009E22B0">
              <w:t>Other public benefits</w:t>
            </w:r>
          </w:p>
        </w:tc>
        <w:tc>
          <w:tcPr>
            <w:tcW w:w="6742" w:type="dxa"/>
          </w:tcPr>
          <w:p w14:paraId="32E92A52" w14:textId="2E2C6F8D" w:rsidR="0077300D" w:rsidRPr="001F2083" w:rsidRDefault="0077300D" w:rsidP="0077300D">
            <w:pPr>
              <w:pStyle w:val="BodyText"/>
            </w:pPr>
            <w:r>
              <w:t>M</w:t>
            </w:r>
            <w:r w:rsidRPr="009E22B0">
              <w:t xml:space="preserve">itigating pollution, public health (for example, limiting noxious algal blooms), </w:t>
            </w:r>
            <w:r w:rsidR="00E67923">
              <w:t>I</w:t>
            </w:r>
            <w:r w:rsidRPr="009E22B0">
              <w:t>ndigenous and cultural values, recreation, fisheries, tourism, navigation and amenity values.</w:t>
            </w:r>
          </w:p>
        </w:tc>
      </w:tr>
      <w:tr w:rsidR="0077300D" w14:paraId="32E92A59" w14:textId="77777777" w:rsidTr="00692335">
        <w:tc>
          <w:tcPr>
            <w:tcW w:w="2263" w:type="dxa"/>
          </w:tcPr>
          <w:p w14:paraId="32E92A57" w14:textId="77777777" w:rsidR="0077300D" w:rsidRDefault="0077300D" w:rsidP="0077300D">
            <w:pPr>
              <w:pStyle w:val="BodyText"/>
              <w:jc w:val="left"/>
            </w:pPr>
            <w:r w:rsidRPr="009E22B0">
              <w:t>Planned environmental water</w:t>
            </w:r>
          </w:p>
        </w:tc>
        <w:tc>
          <w:tcPr>
            <w:tcW w:w="6742" w:type="dxa"/>
          </w:tcPr>
          <w:p w14:paraId="32E92A58" w14:textId="6A5AA9E3" w:rsidR="0077300D" w:rsidRDefault="0077300D" w:rsidP="0077300D">
            <w:pPr>
              <w:pStyle w:val="BodyText"/>
            </w:pPr>
            <w:r>
              <w:t>W</w:t>
            </w:r>
            <w:r w:rsidRPr="009E22B0">
              <w:t>here rules contained in water plans constrain the volume and timing of water extractions, thus ‘leaving water behind’ for the environment. Examples of rules</w:t>
            </w:r>
            <w:r w:rsidR="00396CA0">
              <w:noBreakHyphen/>
            </w:r>
            <w:r w:rsidRPr="009E22B0">
              <w:t>based provisions include minimum stream flows, caps on the take of water for consumptive use and cease</w:t>
            </w:r>
            <w:r w:rsidR="00396CA0">
              <w:noBreakHyphen/>
            </w:r>
            <w:r w:rsidRPr="009E22B0">
              <w:t>to</w:t>
            </w:r>
            <w:r w:rsidR="00396CA0">
              <w:noBreakHyphen/>
            </w:r>
            <w:r w:rsidRPr="009E22B0">
              <w:t>pump rules.</w:t>
            </w:r>
          </w:p>
        </w:tc>
      </w:tr>
      <w:tr w:rsidR="0077300D" w14:paraId="32E92A5C" w14:textId="77777777" w:rsidTr="00692335">
        <w:tc>
          <w:tcPr>
            <w:tcW w:w="2263" w:type="dxa"/>
          </w:tcPr>
          <w:p w14:paraId="32E92A5A" w14:textId="77777777" w:rsidR="0077300D" w:rsidRDefault="0077300D" w:rsidP="0077300D">
            <w:pPr>
              <w:pStyle w:val="BodyText"/>
              <w:jc w:val="left"/>
            </w:pPr>
            <w:r w:rsidRPr="009E22B0">
              <w:t>Potable water</w:t>
            </w:r>
          </w:p>
        </w:tc>
        <w:tc>
          <w:tcPr>
            <w:tcW w:w="6742" w:type="dxa"/>
          </w:tcPr>
          <w:p w14:paraId="32E92A5B" w14:textId="77777777" w:rsidR="0077300D" w:rsidRDefault="0077300D" w:rsidP="0077300D">
            <w:pPr>
              <w:pStyle w:val="BodyText"/>
            </w:pPr>
            <w:r>
              <w:t>W</w:t>
            </w:r>
            <w:r w:rsidRPr="009E22B0">
              <w:t>ater that is safe to drink or use for food preparation.</w:t>
            </w:r>
          </w:p>
        </w:tc>
      </w:tr>
      <w:tr w:rsidR="0077300D" w14:paraId="32E92A62" w14:textId="77777777" w:rsidTr="00692335">
        <w:tc>
          <w:tcPr>
            <w:tcW w:w="2263" w:type="dxa"/>
          </w:tcPr>
          <w:p w14:paraId="32E92A60" w14:textId="77777777" w:rsidR="0077300D" w:rsidRDefault="0077300D" w:rsidP="0077300D">
            <w:pPr>
              <w:pStyle w:val="BodyText"/>
              <w:jc w:val="left"/>
            </w:pPr>
            <w:r w:rsidRPr="009E22B0">
              <w:t>Security</w:t>
            </w:r>
          </w:p>
        </w:tc>
        <w:tc>
          <w:tcPr>
            <w:tcW w:w="6742" w:type="dxa"/>
          </w:tcPr>
          <w:p w14:paraId="32E92A61" w14:textId="77777777" w:rsidR="0077300D" w:rsidRDefault="0077300D" w:rsidP="0077300D">
            <w:pPr>
              <w:pStyle w:val="BodyText"/>
            </w:pPr>
            <w:r>
              <w:t>T</w:t>
            </w:r>
            <w:r w:rsidRPr="009E22B0">
              <w:t>he legal status and tenure of a right to access water. This includes the frequency with which water allocated under a water access entitlement is able to be supplied in full.</w:t>
            </w:r>
          </w:p>
        </w:tc>
      </w:tr>
      <w:tr w:rsidR="0077300D" w14:paraId="32E92A65" w14:textId="77777777" w:rsidTr="00692335">
        <w:tc>
          <w:tcPr>
            <w:tcW w:w="2263" w:type="dxa"/>
          </w:tcPr>
          <w:p w14:paraId="32E92A63" w14:textId="77777777" w:rsidR="0077300D" w:rsidRDefault="0077300D" w:rsidP="0077300D">
            <w:pPr>
              <w:pStyle w:val="BodyText"/>
              <w:jc w:val="left"/>
            </w:pPr>
            <w:r w:rsidRPr="009E22B0">
              <w:t>Surface water</w:t>
            </w:r>
          </w:p>
        </w:tc>
        <w:tc>
          <w:tcPr>
            <w:tcW w:w="6742" w:type="dxa"/>
          </w:tcPr>
          <w:p w14:paraId="32E92A64" w14:textId="77777777" w:rsidR="0077300D" w:rsidRDefault="0077300D" w:rsidP="0077300D">
            <w:pPr>
              <w:pStyle w:val="BodyText"/>
            </w:pPr>
            <w:r>
              <w:t>W</w:t>
            </w:r>
            <w:r w:rsidRPr="009E22B0">
              <w:t>ater that flows over land and in water courses or artificial channels and is able to be captured and stored and supplemented from dams and reservoirs.</w:t>
            </w:r>
          </w:p>
        </w:tc>
      </w:tr>
      <w:tr w:rsidR="0077300D" w14:paraId="32E92A6B" w14:textId="77777777" w:rsidTr="00692335">
        <w:tc>
          <w:tcPr>
            <w:tcW w:w="2263" w:type="dxa"/>
          </w:tcPr>
          <w:p w14:paraId="32E92A69" w14:textId="77777777" w:rsidR="0077300D" w:rsidRDefault="0077300D" w:rsidP="0080505B">
            <w:pPr>
              <w:pStyle w:val="BodyText"/>
              <w:keepNext/>
              <w:keepLines/>
              <w:jc w:val="left"/>
            </w:pPr>
            <w:r w:rsidRPr="009E22B0">
              <w:lastRenderedPageBreak/>
              <w:t>Unbundling</w:t>
            </w:r>
          </w:p>
        </w:tc>
        <w:tc>
          <w:tcPr>
            <w:tcW w:w="6742" w:type="dxa"/>
          </w:tcPr>
          <w:p w14:paraId="32E92A6A" w14:textId="77777777" w:rsidR="0077300D" w:rsidRDefault="0077300D" w:rsidP="0080505B">
            <w:pPr>
              <w:pStyle w:val="BodyText"/>
              <w:keepNext/>
              <w:keepLines/>
            </w:pPr>
            <w:r>
              <w:t>T</w:t>
            </w:r>
            <w:r w:rsidRPr="009E22B0">
              <w:t>he separating of historic water entitlements which bundled water, land, water use, delivery and works approvals, into separate entitlements or licences.</w:t>
            </w:r>
          </w:p>
        </w:tc>
      </w:tr>
      <w:tr w:rsidR="0077300D" w14:paraId="32E92A6E" w14:textId="77777777" w:rsidTr="00692335">
        <w:tc>
          <w:tcPr>
            <w:tcW w:w="2263" w:type="dxa"/>
          </w:tcPr>
          <w:p w14:paraId="32E92A6C" w14:textId="25CA352E" w:rsidR="0077300D" w:rsidRDefault="0077300D" w:rsidP="0077300D">
            <w:pPr>
              <w:pStyle w:val="BodyText"/>
              <w:jc w:val="left"/>
            </w:pPr>
            <w:r w:rsidRPr="009E22B0">
              <w:t>Unregulated systems</w:t>
            </w:r>
          </w:p>
        </w:tc>
        <w:tc>
          <w:tcPr>
            <w:tcW w:w="6742" w:type="dxa"/>
          </w:tcPr>
          <w:p w14:paraId="32E92A6D" w14:textId="17C94339" w:rsidR="0077300D" w:rsidRDefault="0077300D" w:rsidP="0077300D">
            <w:pPr>
              <w:pStyle w:val="BodyText"/>
            </w:pPr>
            <w:r>
              <w:t>W</w:t>
            </w:r>
            <w:r w:rsidRPr="009E22B0">
              <w:t>ater resources that are not controlled through the use of infrastructure to store and release water. Water allocations are based on seasonal flows, and water can only be accessed once predetermined flow conditions are met. There are commonly a number of restrictions on extraction, for example, maximum daily extr</w:t>
            </w:r>
            <w:r w:rsidR="003363EB">
              <w:t>action, extraction timing, and ‘cease to pump’</w:t>
            </w:r>
            <w:r w:rsidRPr="009E22B0">
              <w:t xml:space="preserve"> when there is a minimum passing flow.</w:t>
            </w:r>
          </w:p>
        </w:tc>
      </w:tr>
      <w:tr w:rsidR="0077300D" w14:paraId="32E92A71" w14:textId="77777777" w:rsidTr="00692335">
        <w:tc>
          <w:tcPr>
            <w:tcW w:w="2263" w:type="dxa"/>
          </w:tcPr>
          <w:p w14:paraId="32E92A6F" w14:textId="77777777" w:rsidR="0077300D" w:rsidRDefault="0077300D" w:rsidP="0077300D">
            <w:pPr>
              <w:pStyle w:val="BodyText"/>
              <w:jc w:val="left"/>
            </w:pPr>
            <w:r w:rsidRPr="009E22B0">
              <w:t>Water access entitlement</w:t>
            </w:r>
          </w:p>
        </w:tc>
        <w:tc>
          <w:tcPr>
            <w:tcW w:w="6742" w:type="dxa"/>
          </w:tcPr>
          <w:p w14:paraId="32E92A70" w14:textId="77777777" w:rsidR="0077300D" w:rsidRDefault="0077300D" w:rsidP="0077300D">
            <w:pPr>
              <w:pStyle w:val="BodyText"/>
            </w:pPr>
            <w:r>
              <w:t>A</w:t>
            </w:r>
            <w:r w:rsidRPr="009E22B0">
              <w:t xml:space="preserve"> perpetual or ongoing entitlement to exclusive access to a share of water from a specified consumptive pool as defined in the relevant water plan.</w:t>
            </w:r>
          </w:p>
        </w:tc>
      </w:tr>
      <w:tr w:rsidR="0077300D" w14:paraId="32E92A74" w14:textId="77777777" w:rsidTr="00692335">
        <w:tc>
          <w:tcPr>
            <w:tcW w:w="2263" w:type="dxa"/>
          </w:tcPr>
          <w:p w14:paraId="32E92A72" w14:textId="77777777" w:rsidR="0077300D" w:rsidRDefault="0077300D" w:rsidP="0077300D">
            <w:pPr>
              <w:pStyle w:val="BodyText"/>
              <w:jc w:val="left"/>
            </w:pPr>
            <w:r w:rsidRPr="009E22B0">
              <w:t>Water allocation</w:t>
            </w:r>
          </w:p>
        </w:tc>
        <w:tc>
          <w:tcPr>
            <w:tcW w:w="6742" w:type="dxa"/>
          </w:tcPr>
          <w:p w14:paraId="32E92A73" w14:textId="77777777" w:rsidR="0077300D" w:rsidRPr="00D741CE" w:rsidRDefault="0077300D" w:rsidP="0077300D">
            <w:pPr>
              <w:pStyle w:val="BodyText"/>
            </w:pPr>
            <w:r w:rsidRPr="00D741CE">
              <w:t>The specific volume of water allocated to water access entitlements in a given season, defined according to rules established in the relevant water plan.</w:t>
            </w:r>
          </w:p>
        </w:tc>
      </w:tr>
      <w:tr w:rsidR="0019425E" w14:paraId="7B538B80" w14:textId="77777777" w:rsidTr="00692335">
        <w:tc>
          <w:tcPr>
            <w:tcW w:w="2263" w:type="dxa"/>
          </w:tcPr>
          <w:p w14:paraId="74F2E2D9" w14:textId="69DD4707" w:rsidR="0019425E" w:rsidRPr="009E22B0" w:rsidRDefault="0019425E" w:rsidP="0077300D">
            <w:pPr>
              <w:pStyle w:val="BodyText"/>
              <w:jc w:val="left"/>
            </w:pPr>
            <w:r>
              <w:t>Water planning processes</w:t>
            </w:r>
          </w:p>
        </w:tc>
        <w:tc>
          <w:tcPr>
            <w:tcW w:w="6742" w:type="dxa"/>
          </w:tcPr>
          <w:p w14:paraId="24F58DF4" w14:textId="28F8BFA8" w:rsidR="0019425E" w:rsidRDefault="0019425E" w:rsidP="0077300D">
            <w:pPr>
              <w:pStyle w:val="BodyText"/>
            </w:pPr>
            <w:r>
              <w:t>A planning process that establishes rules for sharing water between the environmental needs of the river or aquifer and water users, and also between different types of water use such as town supply, rural domestic supply, stock watering, industry and irrigation.</w:t>
            </w:r>
          </w:p>
        </w:tc>
      </w:tr>
      <w:tr w:rsidR="0019425E" w14:paraId="32E92A77" w14:textId="77777777" w:rsidTr="00692335">
        <w:tc>
          <w:tcPr>
            <w:tcW w:w="2263" w:type="dxa"/>
          </w:tcPr>
          <w:p w14:paraId="32E92A75" w14:textId="77777777" w:rsidR="0019425E" w:rsidRDefault="0019425E" w:rsidP="0077300D">
            <w:pPr>
              <w:pStyle w:val="BodyText"/>
              <w:jc w:val="left"/>
            </w:pPr>
            <w:r w:rsidRPr="009E22B0">
              <w:t>Water resource plan</w:t>
            </w:r>
          </w:p>
        </w:tc>
        <w:tc>
          <w:tcPr>
            <w:tcW w:w="6742" w:type="dxa"/>
          </w:tcPr>
          <w:p w14:paraId="32E92A76" w14:textId="798482E8" w:rsidR="0019425E" w:rsidRDefault="0019425E" w:rsidP="0077300D">
            <w:pPr>
              <w:pStyle w:val="BodyText"/>
            </w:pPr>
            <w:r>
              <w:t>A</w:t>
            </w:r>
            <w:r w:rsidRPr="009E22B0">
              <w:t xml:space="preserve"> document</w:t>
            </w:r>
            <w:r>
              <w:t xml:space="preserve"> required under the Murray–Darling Basin Plan</w:t>
            </w:r>
            <w:r w:rsidRPr="009E22B0">
              <w:t xml:space="preserve"> that describes the allocation of water between uses (including the environment) and how</w:t>
            </w:r>
            <w:r>
              <w:t xml:space="preserve"> water is to be subsequently re</w:t>
            </w:r>
            <w:r>
              <w:noBreakHyphen/>
            </w:r>
            <w:r w:rsidRPr="009E22B0">
              <w:t>allocated. Plans might also include conditions on water users to meet a range of environmental and other objectives of water use.</w:t>
            </w:r>
          </w:p>
        </w:tc>
      </w:tr>
      <w:tr w:rsidR="0019425E" w14:paraId="32E92A7D" w14:textId="77777777" w:rsidTr="00692335">
        <w:tc>
          <w:tcPr>
            <w:tcW w:w="2263" w:type="dxa"/>
          </w:tcPr>
          <w:p w14:paraId="32E92A7B" w14:textId="77777777" w:rsidR="0019425E" w:rsidRDefault="0019425E" w:rsidP="0077300D">
            <w:pPr>
              <w:pStyle w:val="BodyText"/>
              <w:jc w:val="left"/>
            </w:pPr>
            <w:r w:rsidRPr="009E22B0">
              <w:t>Water system</w:t>
            </w:r>
          </w:p>
        </w:tc>
        <w:tc>
          <w:tcPr>
            <w:tcW w:w="6742" w:type="dxa"/>
          </w:tcPr>
          <w:p w14:paraId="32E92A7C" w14:textId="79EC52E2" w:rsidR="0019425E" w:rsidRPr="0080505B" w:rsidRDefault="0019425E" w:rsidP="0077300D">
            <w:pPr>
              <w:pStyle w:val="BodyText"/>
              <w:rPr>
                <w:spacing w:val="-2"/>
              </w:rPr>
            </w:pPr>
            <w:r w:rsidRPr="0080505B">
              <w:rPr>
                <w:spacing w:val="-2"/>
              </w:rPr>
              <w:t xml:space="preserve">A system that is </w:t>
            </w:r>
            <w:proofErr w:type="spellStart"/>
            <w:r w:rsidRPr="0080505B">
              <w:rPr>
                <w:spacing w:val="-2"/>
              </w:rPr>
              <w:t>hydrologically</w:t>
            </w:r>
            <w:proofErr w:type="spellEnd"/>
            <w:r w:rsidRPr="0080505B">
              <w:rPr>
                <w:spacing w:val="-2"/>
              </w:rPr>
              <w:t xml:space="preserve"> connected and described at the level desired for management purposes (for example, sub</w:t>
            </w:r>
            <w:r w:rsidRPr="0080505B">
              <w:rPr>
                <w:spacing w:val="-2"/>
              </w:rPr>
              <w:noBreakHyphen/>
              <w:t>catchment, catchment, basin or drainage division and/or groundwater management unit, sub</w:t>
            </w:r>
            <w:r w:rsidRPr="0080505B">
              <w:rPr>
                <w:spacing w:val="-2"/>
              </w:rPr>
              <w:noBreakHyphen/>
              <w:t>aquifer, aquifer or groundwater basin).</w:t>
            </w:r>
          </w:p>
        </w:tc>
      </w:tr>
    </w:tbl>
    <w:p w14:paraId="1B3F3529" w14:textId="59330438" w:rsidR="000C5C97" w:rsidRDefault="000C5C97" w:rsidP="000C5C97">
      <w:pPr>
        <w:pStyle w:val="Heading2"/>
      </w:pPr>
      <w:bookmarkStart w:id="259" w:name="_Toc476907463"/>
      <w:bookmarkStart w:id="260" w:name="_Toc476910689"/>
      <w:bookmarkStart w:id="261" w:name="_Toc476910774"/>
      <w:bookmarkStart w:id="262" w:name="_Toc476915259"/>
      <w:bookmarkStart w:id="263" w:name="_Toc476916216"/>
      <w:bookmarkStart w:id="264" w:name="_Toc476916335"/>
      <w:bookmarkStart w:id="265" w:name="_Toc476318446"/>
      <w:bookmarkStart w:id="266" w:name="_Toc476320087"/>
      <w:bookmarkStart w:id="267" w:name="_Toc476322773"/>
      <w:bookmarkStart w:id="268" w:name="_Toc476324739"/>
      <w:bookmarkStart w:id="269" w:name="_Toc476326766"/>
      <w:r>
        <w:lastRenderedPageBreak/>
        <w:t xml:space="preserve">Attachment B: </w:t>
      </w:r>
      <w:proofErr w:type="spellStart"/>
      <w:r>
        <w:t>NWC’s</w:t>
      </w:r>
      <w:proofErr w:type="spellEnd"/>
      <w:r>
        <w:t xml:space="preserve"> </w:t>
      </w:r>
      <w:r w:rsidR="008648C6">
        <w:t xml:space="preserve">2014 </w:t>
      </w:r>
      <w:r>
        <w:t>recommendations</w:t>
      </w:r>
      <w:bookmarkEnd w:id="259"/>
      <w:bookmarkEnd w:id="260"/>
      <w:bookmarkEnd w:id="261"/>
      <w:bookmarkEnd w:id="262"/>
      <w:bookmarkEnd w:id="263"/>
      <w:bookmarkEnd w:id="264"/>
    </w:p>
    <w:p w14:paraId="32E92A7F" w14:textId="4389E580" w:rsidR="000C5C97" w:rsidRDefault="000C5C97" w:rsidP="000C5C97">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71"/>
      </w:tblGrid>
      <w:tr w:rsidR="000C5C97" w14:paraId="53B39219" w14:textId="77777777" w:rsidTr="000C5C97">
        <w:tc>
          <w:tcPr>
            <w:tcW w:w="8771" w:type="dxa"/>
            <w:tcBorders>
              <w:top w:val="single" w:sz="6" w:space="0" w:color="78A22F"/>
              <w:left w:val="nil"/>
              <w:bottom w:val="nil"/>
              <w:right w:val="nil"/>
            </w:tcBorders>
            <w:shd w:val="clear" w:color="auto" w:fill="auto"/>
          </w:tcPr>
          <w:p w14:paraId="5960052E" w14:textId="539635AE" w:rsidR="000C5C97" w:rsidRPr="00784A05" w:rsidRDefault="000C5C97" w:rsidP="000C5C97">
            <w:pPr>
              <w:pStyle w:val="TableTitle"/>
            </w:pPr>
            <w:r>
              <w:rPr>
                <w:b w:val="0"/>
              </w:rPr>
              <w:t xml:space="preserve">Table </w:t>
            </w:r>
            <w:proofErr w:type="spellStart"/>
            <w:r>
              <w:rPr>
                <w:b w:val="0"/>
              </w:rPr>
              <w:t>B.</w:t>
            </w:r>
            <w:r w:rsidR="00B11167">
              <w:rPr>
                <w:b w:val="0"/>
                <w:noProof/>
              </w:rPr>
              <w:t>1</w:t>
            </w:r>
            <w:proofErr w:type="spellEnd"/>
            <w:r>
              <w:tab/>
            </w:r>
            <w:r w:rsidR="00674249">
              <w:t xml:space="preserve">2014 </w:t>
            </w:r>
            <w:proofErr w:type="spellStart"/>
            <w:r w:rsidR="00674249">
              <w:t>NWI</w:t>
            </w:r>
            <w:proofErr w:type="spellEnd"/>
            <w:r w:rsidR="00674249">
              <w:t xml:space="preserve"> assessment: </w:t>
            </w:r>
            <w:proofErr w:type="spellStart"/>
            <w:r w:rsidR="00674249">
              <w:t>NWC’s</w:t>
            </w:r>
            <w:proofErr w:type="spellEnd"/>
            <w:r w:rsidR="00674249">
              <w:t xml:space="preserve"> 10 recommendations</w:t>
            </w:r>
          </w:p>
        </w:tc>
      </w:tr>
      <w:tr w:rsidR="000C5C97" w14:paraId="7BB5D386" w14:textId="77777777" w:rsidTr="000C5C97">
        <w:tc>
          <w:tcPr>
            <w:tcW w:w="8771" w:type="dxa"/>
            <w:tcBorders>
              <w:top w:val="nil"/>
              <w:left w:val="nil"/>
              <w:bottom w:val="nil"/>
              <w:right w:val="nil"/>
            </w:tcBorders>
            <w:shd w:val="clear" w:color="auto" w:fill="auto"/>
          </w:tcPr>
          <w:tbl>
            <w:tblPr>
              <w:tblW w:w="8367" w:type="dxa"/>
              <w:tblCellMar>
                <w:top w:w="28" w:type="dxa"/>
                <w:left w:w="0" w:type="dxa"/>
                <w:right w:w="0" w:type="dxa"/>
              </w:tblCellMar>
              <w:tblLook w:val="0000" w:firstRow="0" w:lastRow="0" w:firstColumn="0" w:lastColumn="0" w:noHBand="0" w:noVBand="0"/>
            </w:tblPr>
            <w:tblGrid>
              <w:gridCol w:w="2416"/>
              <w:gridCol w:w="5951"/>
            </w:tblGrid>
            <w:tr w:rsidR="003363EB" w14:paraId="1E2ED840" w14:textId="77777777" w:rsidTr="007268A9">
              <w:trPr>
                <w:tblHeader/>
              </w:trPr>
              <w:tc>
                <w:tcPr>
                  <w:tcW w:w="1444" w:type="pct"/>
                  <w:tcBorders>
                    <w:top w:val="single" w:sz="6" w:space="0" w:color="BFBFBF"/>
                    <w:bottom w:val="single" w:sz="6" w:space="0" w:color="BFBFBF"/>
                  </w:tcBorders>
                  <w:shd w:val="clear" w:color="auto" w:fill="auto"/>
                  <w:tcMar>
                    <w:top w:w="28" w:type="dxa"/>
                  </w:tcMar>
                </w:tcPr>
                <w:p w14:paraId="2AF8A180" w14:textId="77777777" w:rsidR="003363EB" w:rsidRDefault="003363EB" w:rsidP="000C5C97">
                  <w:pPr>
                    <w:pStyle w:val="TableColumnHeading"/>
                    <w:jc w:val="left"/>
                  </w:pPr>
                  <w:r>
                    <w:t>Recommendation</w:t>
                  </w:r>
                </w:p>
              </w:tc>
              <w:tc>
                <w:tcPr>
                  <w:tcW w:w="3556" w:type="pct"/>
                  <w:tcBorders>
                    <w:top w:val="single" w:sz="6" w:space="0" w:color="BFBFBF"/>
                    <w:bottom w:val="single" w:sz="6" w:space="0" w:color="BFBFBF"/>
                  </w:tcBorders>
                </w:tcPr>
                <w:p w14:paraId="1F586BDE" w14:textId="1B0AEBAF" w:rsidR="003363EB" w:rsidRDefault="003363EB" w:rsidP="000C5C97">
                  <w:pPr>
                    <w:pStyle w:val="TableColumnHeading"/>
                    <w:jc w:val="left"/>
                  </w:pPr>
                  <w:r>
                    <w:t>Details</w:t>
                  </w:r>
                </w:p>
              </w:tc>
            </w:tr>
            <w:tr w:rsidR="003363EB" w14:paraId="06012245" w14:textId="77777777" w:rsidTr="007268A9">
              <w:tc>
                <w:tcPr>
                  <w:tcW w:w="1444" w:type="pct"/>
                  <w:tcBorders>
                    <w:top w:val="single" w:sz="6" w:space="0" w:color="BFBFBF"/>
                  </w:tcBorders>
                </w:tcPr>
                <w:p w14:paraId="062AD65C" w14:textId="77777777" w:rsidR="003363EB" w:rsidRPr="00E42036" w:rsidRDefault="003363EB" w:rsidP="00D97C83">
                  <w:pPr>
                    <w:pStyle w:val="TableBodyText"/>
                    <w:spacing w:before="80" w:line="220" w:lineRule="atLeast"/>
                    <w:jc w:val="left"/>
                  </w:pPr>
                  <w:r w:rsidRPr="00E42036">
                    <w:t>Governments should not backtrack on water reform</w:t>
                  </w:r>
                </w:p>
              </w:tc>
              <w:tc>
                <w:tcPr>
                  <w:tcW w:w="3556" w:type="pct"/>
                  <w:tcBorders>
                    <w:top w:val="single" w:sz="6" w:space="0" w:color="BFBFBF"/>
                  </w:tcBorders>
                </w:tcPr>
                <w:p w14:paraId="346E495C" w14:textId="4BB5136D" w:rsidR="003363EB" w:rsidRDefault="003363EB" w:rsidP="00D97C83">
                  <w:pPr>
                    <w:pStyle w:val="TableBodyText"/>
                    <w:spacing w:before="80" w:line="220" w:lineRule="atLeast"/>
                    <w:jc w:val="left"/>
                  </w:pPr>
                  <w:r>
                    <w:t>A</w:t>
                  </w:r>
                  <w:r w:rsidRPr="00070C4A">
                    <w:t xml:space="preserve">ll Australian </w:t>
                  </w:r>
                  <w:r w:rsidR="00156F50">
                    <w:t>G</w:t>
                  </w:r>
                  <w:r w:rsidR="007268A9" w:rsidRPr="00070C4A">
                    <w:t>overnments</w:t>
                  </w:r>
                  <w:r w:rsidRPr="00070C4A">
                    <w:t xml:space="preserve"> should fully embed National Water Initiative principles in water management decision making an</w:t>
                  </w:r>
                  <w:r>
                    <w:t xml:space="preserve">d maintain progress on reform. </w:t>
                  </w:r>
                </w:p>
              </w:tc>
            </w:tr>
            <w:tr w:rsidR="003363EB" w14:paraId="27074CC4" w14:textId="77777777" w:rsidTr="007268A9">
              <w:tc>
                <w:tcPr>
                  <w:tcW w:w="1444" w:type="pct"/>
                  <w:shd w:val="solid" w:color="F2F2F2" w:themeColor="background1" w:themeShade="F2" w:fill="auto"/>
                </w:tcPr>
                <w:p w14:paraId="748C6E5B" w14:textId="77777777" w:rsidR="003363EB" w:rsidRPr="00E42036" w:rsidRDefault="003363EB" w:rsidP="00D97C83">
                  <w:pPr>
                    <w:pStyle w:val="TableBodyText"/>
                    <w:spacing w:line="220" w:lineRule="atLeast"/>
                    <w:jc w:val="left"/>
                  </w:pPr>
                  <w:r w:rsidRPr="00E42036">
                    <w:t>Governments should not ‘mark their own scorecards’ on water reform</w:t>
                  </w:r>
                </w:p>
              </w:tc>
              <w:tc>
                <w:tcPr>
                  <w:tcW w:w="3556" w:type="pct"/>
                  <w:shd w:val="solid" w:color="F2F2F2" w:themeColor="background1" w:themeShade="F2" w:fill="auto"/>
                </w:tcPr>
                <w:p w14:paraId="4A72893A" w14:textId="5061D753" w:rsidR="003363EB" w:rsidRDefault="003363EB" w:rsidP="00D97C83">
                  <w:pPr>
                    <w:pStyle w:val="TableBodyText"/>
                    <w:spacing w:line="220" w:lineRule="atLeast"/>
                    <w:jc w:val="left"/>
                  </w:pPr>
                  <w:r>
                    <w:t>I</w:t>
                  </w:r>
                  <w:r w:rsidRPr="00070C4A">
                    <w:t xml:space="preserve">ndependent oversight and public reporting of the progress of water reform in achieving economic, social and environmental outcomes should continue. </w:t>
                  </w:r>
                </w:p>
              </w:tc>
            </w:tr>
            <w:tr w:rsidR="003363EB" w14:paraId="0E45AAA3" w14:textId="77777777" w:rsidTr="007268A9">
              <w:tc>
                <w:tcPr>
                  <w:tcW w:w="1444" w:type="pct"/>
                </w:tcPr>
                <w:p w14:paraId="5E18B4BF" w14:textId="77777777" w:rsidR="003363EB" w:rsidRPr="00E42036" w:rsidRDefault="003363EB" w:rsidP="00D97C83">
                  <w:pPr>
                    <w:pStyle w:val="TableBodyText"/>
                    <w:spacing w:line="220" w:lineRule="atLeast"/>
                    <w:jc w:val="left"/>
                  </w:pPr>
                  <w:r w:rsidRPr="00E42036">
                    <w:t>The Murray–Darling Basin Plan should be implemented in full and independently audited</w:t>
                  </w:r>
                </w:p>
              </w:tc>
              <w:tc>
                <w:tcPr>
                  <w:tcW w:w="3556" w:type="pct"/>
                </w:tcPr>
                <w:p w14:paraId="74DAF068" w14:textId="0CB5EF2F" w:rsidR="003363EB" w:rsidRDefault="003363EB" w:rsidP="00D97C83">
                  <w:pPr>
                    <w:pStyle w:val="TableBodyText"/>
                    <w:spacing w:line="220" w:lineRule="atLeast"/>
                    <w:jc w:val="left"/>
                  </w:pPr>
                  <w:r>
                    <w:t>A</w:t>
                  </w:r>
                  <w:r w:rsidRPr="0072668A">
                    <w:t>ll Murray–Darling Basin governments should fully implement the Basin Plan and rigorous, regular and independent audits should be undertaken to build trust in its ability to secure enduring outcomes for the Ba</w:t>
                  </w:r>
                  <w:r>
                    <w:t xml:space="preserve">sin and its communities. </w:t>
                  </w:r>
                </w:p>
              </w:tc>
            </w:tr>
            <w:tr w:rsidR="003363EB" w14:paraId="6B1C9F83" w14:textId="77777777" w:rsidTr="007268A9">
              <w:tc>
                <w:tcPr>
                  <w:tcW w:w="1444" w:type="pct"/>
                  <w:shd w:val="solid" w:color="F2F2F2" w:themeColor="background1" w:themeShade="F2" w:fill="auto"/>
                </w:tcPr>
                <w:p w14:paraId="21AFF56D" w14:textId="77777777" w:rsidR="003363EB" w:rsidRPr="00E42036" w:rsidRDefault="003363EB" w:rsidP="00D97C83">
                  <w:pPr>
                    <w:pStyle w:val="TableBodyText"/>
                    <w:spacing w:line="220" w:lineRule="atLeast"/>
                    <w:jc w:val="left"/>
                  </w:pPr>
                  <w:r w:rsidRPr="00E42036">
                    <w:t>Reforms to water rights and markets should be completed and expanded</w:t>
                  </w:r>
                </w:p>
              </w:tc>
              <w:tc>
                <w:tcPr>
                  <w:tcW w:w="3556" w:type="pct"/>
                  <w:shd w:val="solid" w:color="F2F2F2" w:themeColor="background1" w:themeShade="F2" w:fill="auto"/>
                </w:tcPr>
                <w:p w14:paraId="766711A3" w14:textId="2D98CF9D" w:rsidR="003363EB" w:rsidRDefault="003363EB" w:rsidP="00D97C83">
                  <w:pPr>
                    <w:pStyle w:val="TableBodyText"/>
                    <w:spacing w:line="220" w:lineRule="atLeast"/>
                    <w:jc w:val="left"/>
                  </w:pPr>
                  <w:r>
                    <w:t>E</w:t>
                  </w:r>
                  <w:r w:rsidRPr="00070C4A">
                    <w:t xml:space="preserve">ntitlement and market reforms should be expanded to enhance market performance </w:t>
                  </w:r>
                  <w:r>
                    <w:t xml:space="preserve">and extend productivity gains. </w:t>
                  </w:r>
                </w:p>
              </w:tc>
            </w:tr>
            <w:tr w:rsidR="003363EB" w14:paraId="5F1F6F3D" w14:textId="77777777" w:rsidTr="007268A9">
              <w:tc>
                <w:tcPr>
                  <w:tcW w:w="1444" w:type="pct"/>
                </w:tcPr>
                <w:p w14:paraId="442043D3" w14:textId="77777777" w:rsidR="003363EB" w:rsidRPr="00E42036" w:rsidRDefault="003363EB" w:rsidP="00D97C83">
                  <w:pPr>
                    <w:pStyle w:val="TableBodyText"/>
                    <w:spacing w:line="220" w:lineRule="atLeast"/>
                    <w:jc w:val="left"/>
                  </w:pPr>
                  <w:r w:rsidRPr="00E42036">
                    <w:t>Urban water reform should be accelerated to drive greater efficiency and innovation</w:t>
                  </w:r>
                </w:p>
              </w:tc>
              <w:tc>
                <w:tcPr>
                  <w:tcW w:w="3556" w:type="pct"/>
                </w:tcPr>
                <w:p w14:paraId="24D6CA66" w14:textId="03A9CCCC" w:rsidR="003363EB" w:rsidRDefault="003363EB" w:rsidP="00D97C83">
                  <w:pPr>
                    <w:pStyle w:val="TableBodyText"/>
                    <w:spacing w:line="220" w:lineRule="atLeast"/>
                    <w:jc w:val="left"/>
                  </w:pPr>
                  <w:r>
                    <w:t>A</w:t>
                  </w:r>
                  <w:r w:rsidRPr="00070C4A">
                    <w:t xml:space="preserve"> contemporary urban water reform agenda should be developed by governments to improve economic efficiency and encourage innovation through independence of price setting, clearer performance objectives, contestability</w:t>
                  </w:r>
                  <w:r>
                    <w:t xml:space="preserve">, and customer engagement. </w:t>
                  </w:r>
                </w:p>
              </w:tc>
            </w:tr>
            <w:tr w:rsidR="003363EB" w14:paraId="0314CF18" w14:textId="77777777" w:rsidTr="007268A9">
              <w:tc>
                <w:tcPr>
                  <w:tcW w:w="1444" w:type="pct"/>
                  <w:shd w:val="solid" w:color="F2F2F2" w:themeColor="background1" w:themeShade="F2" w:fill="auto"/>
                </w:tcPr>
                <w:p w14:paraId="53FB5C3D" w14:textId="77777777" w:rsidR="003363EB" w:rsidRPr="00E42036" w:rsidRDefault="003363EB" w:rsidP="00D97C83">
                  <w:pPr>
                    <w:pStyle w:val="TableBodyText"/>
                    <w:spacing w:line="220" w:lineRule="atLeast"/>
                    <w:jc w:val="left"/>
                  </w:pPr>
                  <w:r w:rsidRPr="00E42036">
                    <w:t>Water quality objectives should be integrated into decision making</w:t>
                  </w:r>
                </w:p>
              </w:tc>
              <w:tc>
                <w:tcPr>
                  <w:tcW w:w="3556" w:type="pct"/>
                  <w:shd w:val="solid" w:color="F2F2F2" w:themeColor="background1" w:themeShade="F2" w:fill="auto"/>
                </w:tcPr>
                <w:p w14:paraId="5D363179" w14:textId="3BC2EAA7" w:rsidR="003363EB" w:rsidRDefault="003363EB" w:rsidP="00D97C83">
                  <w:pPr>
                    <w:pStyle w:val="TableBodyText"/>
                    <w:spacing w:line="220" w:lineRule="atLeast"/>
                    <w:jc w:val="left"/>
                  </w:pPr>
                  <w:r>
                    <w:t>W</w:t>
                  </w:r>
                  <w:r w:rsidRPr="00070C4A">
                    <w:t>ater quality should be incorporated into water planning to achieve more resilient enviro</w:t>
                  </w:r>
                  <w:r>
                    <w:t xml:space="preserve">nmental and economic outcomes. </w:t>
                  </w:r>
                </w:p>
              </w:tc>
            </w:tr>
            <w:tr w:rsidR="003363EB" w14:paraId="47A2EF9F" w14:textId="77777777" w:rsidTr="007268A9">
              <w:tc>
                <w:tcPr>
                  <w:tcW w:w="1444" w:type="pct"/>
                </w:tcPr>
                <w:p w14:paraId="505980EB" w14:textId="77777777" w:rsidR="003363EB" w:rsidRPr="00E42036" w:rsidRDefault="003363EB" w:rsidP="00D97C83">
                  <w:pPr>
                    <w:pStyle w:val="TableBodyText"/>
                    <w:spacing w:line="220" w:lineRule="atLeast"/>
                    <w:jc w:val="left"/>
                  </w:pPr>
                  <w:r w:rsidRPr="00E42036">
                    <w:t>Water information collection and sharing should be streamlined</w:t>
                  </w:r>
                </w:p>
              </w:tc>
              <w:tc>
                <w:tcPr>
                  <w:tcW w:w="3556" w:type="pct"/>
                </w:tcPr>
                <w:p w14:paraId="14B38FDE" w14:textId="31C26630" w:rsidR="003363EB" w:rsidRDefault="003363EB" w:rsidP="00D97C83">
                  <w:pPr>
                    <w:pStyle w:val="TableBodyText"/>
                    <w:spacing w:line="220" w:lineRule="atLeast"/>
                    <w:jc w:val="left"/>
                  </w:pPr>
                  <w:r>
                    <w:t>T</w:t>
                  </w:r>
                  <w:r w:rsidRPr="00070C4A">
                    <w:t xml:space="preserve">he Australian Government should review reporting associated with the National Water Account, the </w:t>
                  </w:r>
                  <w:r w:rsidRPr="00683F9A">
                    <w:rPr>
                      <w:i/>
                    </w:rPr>
                    <w:t>Water</w:t>
                  </w:r>
                  <w:r w:rsidR="00EF6396">
                    <w:rPr>
                      <w:i/>
                    </w:rPr>
                    <w:t> </w:t>
                  </w:r>
                  <w:r w:rsidRPr="00683F9A">
                    <w:rPr>
                      <w:i/>
                    </w:rPr>
                    <w:t>Act</w:t>
                  </w:r>
                  <w:r w:rsidR="00EF6396">
                    <w:rPr>
                      <w:i/>
                    </w:rPr>
                    <w:t> </w:t>
                  </w:r>
                  <w:r w:rsidRPr="00683F9A">
                    <w:rPr>
                      <w:i/>
                    </w:rPr>
                    <w:t>2007</w:t>
                  </w:r>
                  <w:r w:rsidRPr="00070C4A">
                    <w:t>, the Murray–Darling Basin Plan and the Water Account Australia to ensure efforts are well targeted to stakeholder needs and information is shared and reused amo</w:t>
                  </w:r>
                  <w:r>
                    <w:t xml:space="preserve">ng jurisdictions and agencies. </w:t>
                  </w:r>
                </w:p>
              </w:tc>
            </w:tr>
            <w:tr w:rsidR="003363EB" w14:paraId="2AA29DF7" w14:textId="77777777" w:rsidTr="007268A9">
              <w:tc>
                <w:tcPr>
                  <w:tcW w:w="1444" w:type="pct"/>
                  <w:shd w:val="solid" w:color="F2F2F2" w:themeColor="background1" w:themeShade="F2" w:fill="auto"/>
                </w:tcPr>
                <w:p w14:paraId="50CF7489" w14:textId="66E85208" w:rsidR="003363EB" w:rsidRPr="00E42036" w:rsidRDefault="003363EB" w:rsidP="00D97C83">
                  <w:pPr>
                    <w:pStyle w:val="TableBodyText"/>
                    <w:spacing w:line="220" w:lineRule="atLeast"/>
                    <w:jc w:val="left"/>
                  </w:pPr>
                  <w:r w:rsidRPr="00E42036">
                    <w:t>Governments should invest in water infrastructure only after rigorous cost</w:t>
                  </w:r>
                  <w:r w:rsidR="00396CA0">
                    <w:noBreakHyphen/>
                  </w:r>
                  <w:r w:rsidRPr="00E42036">
                    <w:t>benefit analysis</w:t>
                  </w:r>
                </w:p>
              </w:tc>
              <w:tc>
                <w:tcPr>
                  <w:tcW w:w="3556" w:type="pct"/>
                  <w:shd w:val="solid" w:color="F2F2F2" w:themeColor="background1" w:themeShade="F2" w:fill="auto"/>
                </w:tcPr>
                <w:p w14:paraId="154F9F65" w14:textId="4083A73B" w:rsidR="003363EB" w:rsidRDefault="003363EB" w:rsidP="00D97C83">
                  <w:pPr>
                    <w:pStyle w:val="TableBodyText"/>
                    <w:spacing w:line="220" w:lineRule="atLeast"/>
                    <w:jc w:val="left"/>
                  </w:pPr>
                  <w:r>
                    <w:t>A</w:t>
                  </w:r>
                  <w:r w:rsidRPr="00070C4A">
                    <w:t>ll government water infrastructure investment should generate a return for the community and be subject to robust water planning and tran</w:t>
                  </w:r>
                  <w:r>
                    <w:t>sparent cost</w:t>
                  </w:r>
                  <w:r w:rsidR="00396CA0">
                    <w:noBreakHyphen/>
                  </w:r>
                  <w:r>
                    <w:t xml:space="preserve">benefit analysis. </w:t>
                  </w:r>
                </w:p>
              </w:tc>
            </w:tr>
            <w:tr w:rsidR="003363EB" w14:paraId="4888DE6B" w14:textId="77777777" w:rsidTr="007268A9">
              <w:tc>
                <w:tcPr>
                  <w:tcW w:w="1444" w:type="pct"/>
                  <w:shd w:val="clear" w:color="auto" w:fill="auto"/>
                </w:tcPr>
                <w:p w14:paraId="3B92D004" w14:textId="77777777" w:rsidR="003363EB" w:rsidRPr="00E42036" w:rsidRDefault="003363EB" w:rsidP="00D97C83">
                  <w:pPr>
                    <w:pStyle w:val="TableBodyText"/>
                    <w:spacing w:line="220" w:lineRule="atLeast"/>
                    <w:jc w:val="left"/>
                  </w:pPr>
                  <w:r w:rsidRPr="00E42036">
                    <w:t>The National Water Initiative principles should underpin resource development decisions </w:t>
                  </w:r>
                </w:p>
              </w:tc>
              <w:tc>
                <w:tcPr>
                  <w:tcW w:w="3556" w:type="pct"/>
                </w:tcPr>
                <w:p w14:paraId="0A4307A4" w14:textId="5B9DB69F" w:rsidR="003363EB" w:rsidRDefault="003363EB" w:rsidP="00D97C83">
                  <w:pPr>
                    <w:pStyle w:val="TableBodyText"/>
                    <w:spacing w:line="220" w:lineRule="atLeast"/>
                    <w:jc w:val="left"/>
                  </w:pPr>
                  <w:proofErr w:type="spellStart"/>
                  <w:r w:rsidRPr="00070C4A">
                    <w:t>NWI</w:t>
                  </w:r>
                  <w:proofErr w:type="spellEnd"/>
                  <w:r w:rsidRPr="00070C4A">
                    <w:t xml:space="preserve"> principles, including best practice water pricing, should underpin all new water developments including those in northern Australia.</w:t>
                  </w:r>
                </w:p>
              </w:tc>
            </w:tr>
            <w:tr w:rsidR="003363EB" w14:paraId="0EADF755" w14:textId="77777777" w:rsidTr="003363EB">
              <w:tc>
                <w:tcPr>
                  <w:tcW w:w="1421" w:type="pct"/>
                  <w:tcBorders>
                    <w:bottom w:val="single" w:sz="6" w:space="0" w:color="BFBFBF"/>
                  </w:tcBorders>
                  <w:shd w:val="solid" w:color="F2F2F2" w:themeColor="background1" w:themeShade="F2" w:fill="auto"/>
                </w:tcPr>
                <w:p w14:paraId="45C97F6B" w14:textId="77777777" w:rsidR="003363EB" w:rsidRPr="00E42036" w:rsidRDefault="003363EB" w:rsidP="00D97C83">
                  <w:pPr>
                    <w:pStyle w:val="TableBodyText"/>
                    <w:spacing w:line="220" w:lineRule="atLeast"/>
                    <w:jc w:val="left"/>
                  </w:pPr>
                  <w:r w:rsidRPr="00E42036">
                    <w:t>The National Water Initiative should guide the way water is allocated and managed for all users, including extractive industries</w:t>
                  </w:r>
                </w:p>
              </w:tc>
              <w:tc>
                <w:tcPr>
                  <w:tcW w:w="3497" w:type="pct"/>
                  <w:tcBorders>
                    <w:bottom w:val="single" w:sz="6" w:space="0" w:color="BFBFBF"/>
                  </w:tcBorders>
                  <w:shd w:val="solid" w:color="F2F2F2" w:themeColor="background1" w:themeShade="F2" w:fill="auto"/>
                </w:tcPr>
                <w:p w14:paraId="5E2A0FD3" w14:textId="208A2A17" w:rsidR="003363EB" w:rsidRDefault="003363EB" w:rsidP="00D97C83">
                  <w:pPr>
                    <w:pStyle w:val="TableBodyText"/>
                    <w:spacing w:line="220" w:lineRule="atLeast"/>
                    <w:jc w:val="left"/>
                  </w:pPr>
                  <w:r>
                    <w:t>W</w:t>
                  </w:r>
                  <w:r w:rsidRPr="00070C4A">
                    <w:t xml:space="preserve">ater for extractive industries needs to be planned and managed by jurisdictions within </w:t>
                  </w:r>
                  <w:proofErr w:type="spellStart"/>
                  <w:r w:rsidRPr="00070C4A">
                    <w:t>NWI</w:t>
                  </w:r>
                  <w:proofErr w:type="spellEnd"/>
                  <w:r w:rsidRPr="00070C4A">
                    <w:noBreakHyphen/>
                    <w:t>consistent regional water frameworks to mitigate potential impacts on other water users and the environment.</w:t>
                  </w:r>
                </w:p>
              </w:tc>
            </w:tr>
          </w:tbl>
          <w:p w14:paraId="42F63E03" w14:textId="77777777" w:rsidR="000C5C97" w:rsidRDefault="000C5C97" w:rsidP="000C5C97">
            <w:pPr>
              <w:pStyle w:val="Box"/>
            </w:pPr>
          </w:p>
        </w:tc>
      </w:tr>
      <w:tr w:rsidR="000C5C97" w14:paraId="2C162EDE" w14:textId="77777777" w:rsidTr="000C5C97">
        <w:tc>
          <w:tcPr>
            <w:tcW w:w="8771" w:type="dxa"/>
            <w:tcBorders>
              <w:top w:val="nil"/>
              <w:left w:val="nil"/>
              <w:bottom w:val="nil"/>
              <w:right w:val="nil"/>
            </w:tcBorders>
            <w:shd w:val="clear" w:color="auto" w:fill="auto"/>
          </w:tcPr>
          <w:p w14:paraId="0980C51A" w14:textId="48102799" w:rsidR="000C5C97" w:rsidRDefault="000C5C97" w:rsidP="000C5C97">
            <w:pPr>
              <w:pStyle w:val="Source"/>
            </w:pPr>
            <w:r>
              <w:rPr>
                <w:i/>
              </w:rPr>
              <w:t>Source</w:t>
            </w:r>
            <w:r w:rsidRPr="00167F06">
              <w:t xml:space="preserve">: </w:t>
            </w:r>
            <w:proofErr w:type="spellStart"/>
            <w:r>
              <w:t>NWC</w:t>
            </w:r>
            <w:proofErr w:type="spellEnd"/>
            <w:r>
              <w:t xml:space="preserve"> </w:t>
            </w:r>
            <w:r w:rsidRPr="00351F6F">
              <w:rPr>
                <w:rFonts w:cs="Arial"/>
              </w:rPr>
              <w:t>(</w:t>
            </w:r>
            <w:proofErr w:type="spellStart"/>
            <w:r w:rsidRPr="00351F6F">
              <w:rPr>
                <w:rFonts w:cs="Arial"/>
              </w:rPr>
              <w:t>2014b</w:t>
            </w:r>
            <w:proofErr w:type="spellEnd"/>
            <w:r w:rsidRPr="00351F6F">
              <w:rPr>
                <w:rFonts w:cs="Arial"/>
              </w:rPr>
              <w:t>)</w:t>
            </w:r>
            <w:r>
              <w:t>.</w:t>
            </w:r>
          </w:p>
        </w:tc>
      </w:tr>
      <w:tr w:rsidR="000C5C97" w14:paraId="2169FFF5" w14:textId="77777777" w:rsidTr="000C5C97">
        <w:tc>
          <w:tcPr>
            <w:tcW w:w="8771" w:type="dxa"/>
            <w:tcBorders>
              <w:top w:val="nil"/>
              <w:left w:val="nil"/>
              <w:bottom w:val="single" w:sz="6" w:space="0" w:color="78A22F"/>
              <w:right w:val="nil"/>
            </w:tcBorders>
            <w:shd w:val="clear" w:color="auto" w:fill="auto"/>
          </w:tcPr>
          <w:p w14:paraId="6A10CBDE" w14:textId="77777777" w:rsidR="000C5C97" w:rsidRDefault="000C5C97" w:rsidP="000C5C97">
            <w:pPr>
              <w:pStyle w:val="Box"/>
              <w:spacing w:before="0" w:line="120" w:lineRule="exact"/>
            </w:pPr>
          </w:p>
        </w:tc>
      </w:tr>
      <w:tr w:rsidR="000C5C97" w:rsidRPr="000863A5" w14:paraId="124202BA" w14:textId="77777777" w:rsidTr="000C5C97">
        <w:tc>
          <w:tcPr>
            <w:tcW w:w="8771" w:type="dxa"/>
            <w:tcBorders>
              <w:top w:val="single" w:sz="6" w:space="0" w:color="78A22F"/>
              <w:left w:val="nil"/>
              <w:bottom w:val="nil"/>
              <w:right w:val="nil"/>
            </w:tcBorders>
          </w:tcPr>
          <w:p w14:paraId="7A8D1A97" w14:textId="464DEB68" w:rsidR="000C5C97" w:rsidRPr="00626D32" w:rsidRDefault="000C5C97" w:rsidP="000C5C97">
            <w:pPr>
              <w:pStyle w:val="BoxSpaceBelow"/>
            </w:pPr>
          </w:p>
        </w:tc>
      </w:tr>
    </w:tbl>
    <w:p w14:paraId="32E92AB6" w14:textId="77777777" w:rsidR="00295D08" w:rsidRDefault="00295D08" w:rsidP="008F0196">
      <w:pPr>
        <w:pStyle w:val="BodyText"/>
        <w:rPr>
          <w:b/>
        </w:rPr>
      </w:pPr>
      <w:r>
        <w:br w:type="page"/>
      </w:r>
    </w:p>
    <w:p w14:paraId="32E92AB7" w14:textId="77777777" w:rsidR="00D13886" w:rsidRPr="00672E5C" w:rsidRDefault="004B56A8" w:rsidP="00D13886">
      <w:pPr>
        <w:pStyle w:val="Heading2"/>
        <w:rPr>
          <w:rStyle w:val="BodyTextChar"/>
          <w:b w:val="0"/>
        </w:rPr>
      </w:pPr>
      <w:bookmarkStart w:id="270" w:name="_Toc476907464"/>
      <w:bookmarkStart w:id="271" w:name="_Toc476910690"/>
      <w:bookmarkStart w:id="272" w:name="_Toc476910775"/>
      <w:bookmarkStart w:id="273" w:name="_Toc476915260"/>
      <w:bookmarkStart w:id="274" w:name="_Toc476916217"/>
      <w:bookmarkStart w:id="275" w:name="_Toc476916336"/>
      <w:r>
        <w:lastRenderedPageBreak/>
        <w:t xml:space="preserve">Attachment </w:t>
      </w:r>
      <w:r w:rsidR="00FE1596">
        <w:t>C</w:t>
      </w:r>
      <w:r>
        <w:t xml:space="preserve">: </w:t>
      </w:r>
      <w:r w:rsidR="00D13886">
        <w:t xml:space="preserve">How to </w:t>
      </w:r>
      <w:r w:rsidR="00D13886" w:rsidRPr="00391500">
        <w:t>make a submission</w:t>
      </w:r>
      <w:bookmarkEnd w:id="241"/>
      <w:bookmarkEnd w:id="242"/>
      <w:bookmarkEnd w:id="243"/>
      <w:bookmarkEnd w:id="244"/>
      <w:bookmarkEnd w:id="245"/>
      <w:bookmarkEnd w:id="246"/>
      <w:bookmarkEnd w:id="247"/>
      <w:bookmarkEnd w:id="248"/>
      <w:bookmarkEnd w:id="249"/>
      <w:bookmarkEnd w:id="250"/>
      <w:bookmarkEnd w:id="251"/>
      <w:bookmarkEnd w:id="252"/>
      <w:bookmarkEnd w:id="265"/>
      <w:bookmarkEnd w:id="266"/>
      <w:bookmarkEnd w:id="267"/>
      <w:bookmarkEnd w:id="268"/>
      <w:bookmarkEnd w:id="269"/>
      <w:bookmarkEnd w:id="270"/>
      <w:bookmarkEnd w:id="271"/>
      <w:bookmarkEnd w:id="272"/>
      <w:bookmarkEnd w:id="273"/>
      <w:bookmarkEnd w:id="274"/>
      <w:bookmarkEnd w:id="275"/>
    </w:p>
    <w:p w14:paraId="32E92AB8" w14:textId="77777777" w:rsidR="00D13886" w:rsidRDefault="00D13886" w:rsidP="00DD64CC">
      <w:pPr>
        <w:pStyle w:val="Heading3"/>
        <w:spacing w:before="280"/>
      </w:pPr>
      <w:r>
        <w:t>How to prepare a submission</w:t>
      </w:r>
    </w:p>
    <w:p w14:paraId="32E92AB9" w14:textId="77777777" w:rsidR="00D13886" w:rsidRDefault="00D13886" w:rsidP="00D13886">
      <w:pPr>
        <w:pStyle w:val="BodyText"/>
      </w:pPr>
      <w:r>
        <w:t>Submissions may range from a short letter outlining your views on a particular topic to a much more substantial document covering a range of issues. Where possible, you should provide evidence, such as relevant data and documentation, to support your views.</w:t>
      </w:r>
    </w:p>
    <w:p w14:paraId="32E92ABA" w14:textId="77777777" w:rsidR="00D13886" w:rsidRDefault="00D13886" w:rsidP="00D13886">
      <w:pPr>
        <w:pStyle w:val="Heading4"/>
      </w:pPr>
      <w:r>
        <w:t>Generally</w:t>
      </w:r>
    </w:p>
    <w:p w14:paraId="32E92ABB" w14:textId="112BE6A7" w:rsidR="00D13886" w:rsidRDefault="00D13886" w:rsidP="00D13886">
      <w:pPr>
        <w:pStyle w:val="ListBullet"/>
      </w:pPr>
      <w:r>
        <w:t>Each submission, except for any at</w:t>
      </w:r>
      <w:r w:rsidR="00CC4071">
        <w:t>tachment supplied in confidence</w:t>
      </w:r>
      <w:r>
        <w:t>, will be published on the Commission’s website shortly after receipt, and will remain there indefinitely as a public document.</w:t>
      </w:r>
    </w:p>
    <w:p w14:paraId="32E92ABC" w14:textId="77777777" w:rsidR="00D13886" w:rsidRDefault="00D13886" w:rsidP="00D13886">
      <w:pPr>
        <w:pStyle w:val="ListBullet"/>
      </w:pPr>
      <w:r>
        <w:t>The Commission reserves the right to not publish material on its website that is offensive, potentially defamatory, or clearly out of scope for the inquiry or study in question.</w:t>
      </w:r>
    </w:p>
    <w:p w14:paraId="32E92ABD" w14:textId="77777777" w:rsidR="00D13886" w:rsidRDefault="00D13886" w:rsidP="00D13886">
      <w:pPr>
        <w:pStyle w:val="Heading4"/>
      </w:pPr>
      <w:r>
        <w:t>Copyright</w:t>
      </w:r>
    </w:p>
    <w:p w14:paraId="32E92ABE" w14:textId="77777777" w:rsidR="00D13886" w:rsidRDefault="00D13886" w:rsidP="00D13886">
      <w:pPr>
        <w:pStyle w:val="ListBullet"/>
      </w:pPr>
      <w:r>
        <w:t>Copyright in submissions sent to the Commission resides with the author(s), not with the Commission.</w:t>
      </w:r>
    </w:p>
    <w:p w14:paraId="32E92ABF" w14:textId="77777777" w:rsidR="00D13886" w:rsidRDefault="00D13886" w:rsidP="00D13886">
      <w:pPr>
        <w:pStyle w:val="ListBullet"/>
      </w:pPr>
      <w:r>
        <w:t>Do not send us material for which you are not the copyright owner — such as newspaper articles — you should just reference or link to this material in your submission.</w:t>
      </w:r>
    </w:p>
    <w:p w14:paraId="32E92AC0" w14:textId="77777777" w:rsidR="00D13886" w:rsidRDefault="00D13886" w:rsidP="00D13886">
      <w:pPr>
        <w:pStyle w:val="Heading4"/>
      </w:pPr>
      <w:r>
        <w:t>In confidence material</w:t>
      </w:r>
    </w:p>
    <w:p w14:paraId="32E92AC1" w14:textId="77777777" w:rsidR="00D13886" w:rsidRPr="009D6440" w:rsidRDefault="00D13886" w:rsidP="00D13886">
      <w:pPr>
        <w:pStyle w:val="ListBullet"/>
      </w:pPr>
      <w:r w:rsidRPr="009D6440">
        <w:t>This is a public review and all submissions should be provided as public documents that can be placed on the Commission</w:t>
      </w:r>
      <w:r>
        <w:t>’</w:t>
      </w:r>
      <w:r w:rsidRPr="009D6440">
        <w:t>s website for others to read and comment on. However, information which is of a confidential nature or which is submitted in confidence can be treated as such by the Commission, provided the cause for such treatment is shown.</w:t>
      </w:r>
    </w:p>
    <w:p w14:paraId="32E92AC2" w14:textId="77777777" w:rsidR="00D13886" w:rsidRDefault="00D13886" w:rsidP="00D13886">
      <w:pPr>
        <w:pStyle w:val="ListBullet"/>
      </w:pPr>
      <w:r w:rsidRPr="009D6440">
        <w:t>The Commission may also request a non</w:t>
      </w:r>
      <w:r>
        <w:noBreakHyphen/>
      </w:r>
      <w:r w:rsidRPr="009D6440">
        <w:t>confidential summary of the confidential material it is given, or the reasons why a summary cannot be provided.</w:t>
      </w:r>
    </w:p>
    <w:p w14:paraId="32E92AC3" w14:textId="77777777" w:rsidR="00D13886" w:rsidRDefault="00D13886" w:rsidP="00D13886">
      <w:pPr>
        <w:pStyle w:val="ListBullet"/>
      </w:pPr>
      <w:r w:rsidRPr="009D6440">
        <w:t xml:space="preserve">Material supplied in confidence should be clearly marked </w:t>
      </w:r>
      <w:r>
        <w:t>‘</w:t>
      </w:r>
      <w:r w:rsidRPr="009D6440">
        <w:t>IN CONFIDENCE</w:t>
      </w:r>
      <w:r>
        <w:t>’</w:t>
      </w:r>
      <w:r w:rsidRPr="009D6440">
        <w:t xml:space="preserve"> and be in a separate attachment to non</w:t>
      </w:r>
      <w:r>
        <w:noBreakHyphen/>
      </w:r>
      <w:r w:rsidRPr="009D6440">
        <w:t>confidential material.</w:t>
      </w:r>
    </w:p>
    <w:p w14:paraId="32E92AC4" w14:textId="77777777" w:rsidR="00D13886" w:rsidRPr="009D6440" w:rsidRDefault="00D13886" w:rsidP="00D13886">
      <w:pPr>
        <w:pStyle w:val="ListBullet"/>
      </w:pPr>
      <w:r w:rsidRPr="009D6440">
        <w:t>You are encouraged to contact the Commission for further information and advice before submitting such material.</w:t>
      </w:r>
    </w:p>
    <w:p w14:paraId="32E92AC5" w14:textId="77777777" w:rsidR="00D13886" w:rsidRDefault="00D13886" w:rsidP="00D13886">
      <w:pPr>
        <w:pStyle w:val="Heading4"/>
      </w:pPr>
      <w:r>
        <w:lastRenderedPageBreak/>
        <w:t>Privacy</w:t>
      </w:r>
    </w:p>
    <w:p w14:paraId="32E92AC6" w14:textId="2D4FDA4B" w:rsidR="00D13886" w:rsidRDefault="00D13886" w:rsidP="00D13886">
      <w:pPr>
        <w:pStyle w:val="ListBullet"/>
      </w:pPr>
      <w:r>
        <w:t xml:space="preserve">For privacy reasons, all </w:t>
      </w:r>
      <w:r w:rsidRPr="009D6440">
        <w:rPr>
          <w:b/>
        </w:rPr>
        <w:t>personal</w:t>
      </w:r>
      <w:r>
        <w:t xml:space="preserve"> details (e.g. home and email address, signatures, phone, mobile and fax numbers) will be removed before they are published on the </w:t>
      </w:r>
      <w:r w:rsidR="0007598A">
        <w:t>website. Please do not provide</w:t>
      </w:r>
      <w:r>
        <w:t xml:space="preserve"> these details unless necessary.</w:t>
      </w:r>
    </w:p>
    <w:p w14:paraId="32E92AC7" w14:textId="77777777" w:rsidR="00D13886" w:rsidRDefault="00D13886" w:rsidP="00D13886">
      <w:pPr>
        <w:pStyle w:val="ListBullet"/>
      </w:pPr>
      <w:r>
        <w:t>You may wish to remain anonymous or use a pseudonym. Please note that, if you choose to remain anonymous or use a pseudonym, the Commission may place less weight on your submission.</w:t>
      </w:r>
    </w:p>
    <w:p w14:paraId="32E92AC8" w14:textId="77777777" w:rsidR="00D13886" w:rsidRDefault="00D13886" w:rsidP="00D13886">
      <w:pPr>
        <w:pStyle w:val="Heading4"/>
      </w:pPr>
      <w:r>
        <w:t>Technical tips</w:t>
      </w:r>
    </w:p>
    <w:p w14:paraId="32E92AC9" w14:textId="34883B09" w:rsidR="00D13886" w:rsidRPr="009D6440" w:rsidRDefault="00D13886" w:rsidP="00D13886">
      <w:pPr>
        <w:pStyle w:val="ListBullet"/>
      </w:pPr>
      <w:r w:rsidRPr="009D6440">
        <w:t>The Commission prefers to receive submissions a</w:t>
      </w:r>
      <w:r w:rsidR="0007598A">
        <w:t>s a Microsoft Word (.</w:t>
      </w:r>
      <w:proofErr w:type="spellStart"/>
      <w:r w:rsidR="0007598A">
        <w:t>docx</w:t>
      </w:r>
      <w:proofErr w:type="spellEnd"/>
      <w:r w:rsidR="0007598A">
        <w:t>) file</w:t>
      </w:r>
      <w:r w:rsidRPr="009D6440">
        <w:t>. PDF files are acceptable if produced from a Word document or similar text based software. You may wish to research the Internet on how to make your documents more accessible or for the more technical, follow advice from Web Content Accessibility Guidelines (WCAG) 2.0</w:t>
      </w:r>
      <w:r>
        <w:t>&lt;</w:t>
      </w:r>
      <w:r w:rsidRPr="00C738C7">
        <w:t>http://</w:t>
      </w:r>
      <w:proofErr w:type="spellStart"/>
      <w:r w:rsidRPr="00C738C7">
        <w:t>www.w3.org</w:t>
      </w:r>
      <w:proofErr w:type="spellEnd"/>
      <w:r w:rsidRPr="00C738C7">
        <w:t>/</w:t>
      </w:r>
      <w:proofErr w:type="spellStart"/>
      <w:r w:rsidRPr="00C738C7">
        <w:t>TR</w:t>
      </w:r>
      <w:proofErr w:type="spellEnd"/>
      <w:r w:rsidRPr="00C738C7">
        <w:t>/</w:t>
      </w:r>
      <w:proofErr w:type="spellStart"/>
      <w:r w:rsidRPr="00C738C7">
        <w:t>WCAG20</w:t>
      </w:r>
      <w:proofErr w:type="spellEnd"/>
      <w:r w:rsidRPr="00C738C7">
        <w:t>/</w:t>
      </w:r>
      <w:r>
        <w:t>&gt;.</w:t>
      </w:r>
    </w:p>
    <w:p w14:paraId="32E92ACA" w14:textId="77777777" w:rsidR="00D13886" w:rsidRPr="009D6440" w:rsidRDefault="00D13886" w:rsidP="00D13886">
      <w:pPr>
        <w:pStyle w:val="ListBullet"/>
      </w:pPr>
      <w:r w:rsidRPr="009D6440">
        <w:t>Do not send password protected files.</w:t>
      </w:r>
    </w:p>
    <w:p w14:paraId="32E92ACB" w14:textId="77777777" w:rsidR="00D13886" w:rsidRPr="009D6440" w:rsidRDefault="00D13886" w:rsidP="00D13886">
      <w:pPr>
        <w:pStyle w:val="ListBullet"/>
      </w:pPr>
      <w:r w:rsidRPr="009D6440">
        <w:t>Track changes, editing marks, hidden text and internal links should be removed from submissions.</w:t>
      </w:r>
    </w:p>
    <w:p w14:paraId="32E92ACC" w14:textId="77777777" w:rsidR="00D13886" w:rsidRDefault="00D13886" w:rsidP="00D13886">
      <w:pPr>
        <w:pStyle w:val="ListBullet"/>
      </w:pPr>
      <w:r w:rsidRPr="009D6440">
        <w:t>To minimise linking problems, type the full web address (for example, http://</w:t>
      </w:r>
      <w:proofErr w:type="spellStart"/>
      <w:r w:rsidRPr="009D6440">
        <w:t>www.referred</w:t>
      </w:r>
      <w:r>
        <w:noBreakHyphen/>
      </w:r>
      <w:r w:rsidRPr="009D6440">
        <w:t>website.com</w:t>
      </w:r>
      <w:proofErr w:type="spellEnd"/>
      <w:r w:rsidRPr="009D6440">
        <w:t>/folder/file</w:t>
      </w:r>
      <w:r>
        <w:noBreakHyphen/>
      </w:r>
      <w:proofErr w:type="spellStart"/>
      <w:r w:rsidRPr="009D6440">
        <w:t>name.html</w:t>
      </w:r>
      <w:proofErr w:type="spellEnd"/>
      <w:r w:rsidRPr="009D6440">
        <w:t>).</w:t>
      </w:r>
    </w:p>
    <w:p w14:paraId="32E92ACD" w14:textId="77777777" w:rsidR="00D13886" w:rsidRDefault="00D13886" w:rsidP="00D13886">
      <w:pPr>
        <w:pStyle w:val="Heading3"/>
      </w:pPr>
      <w:r>
        <w:t>How to lodge a submission</w:t>
      </w:r>
    </w:p>
    <w:p w14:paraId="32E92ACE" w14:textId="77777777" w:rsidR="00D13886" w:rsidRDefault="00D13886" w:rsidP="00D13886">
      <w:pPr>
        <w:pStyle w:val="BodyText"/>
        <w:spacing w:after="240"/>
      </w:pPr>
      <w:r w:rsidRPr="008960C8">
        <w:t>Submissions should be lodged using the online form on the Commission’s website. Submissions lodged by post should be accompanied by a submission cover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621"/>
      </w:tblGrid>
      <w:tr w:rsidR="00D13886" w14:paraId="32E92AD1" w14:textId="77777777" w:rsidTr="00B10D18">
        <w:tc>
          <w:tcPr>
            <w:tcW w:w="1384" w:type="dxa"/>
          </w:tcPr>
          <w:p w14:paraId="32E92ACF" w14:textId="77777777" w:rsidR="00D13886" w:rsidRDefault="00D13886" w:rsidP="00B10D18">
            <w:pPr>
              <w:pStyle w:val="BodyText"/>
              <w:tabs>
                <w:tab w:val="left" w:pos="1701"/>
              </w:tabs>
              <w:spacing w:before="120"/>
            </w:pPr>
            <w:r>
              <w:t>Online</w:t>
            </w:r>
          </w:p>
        </w:tc>
        <w:tc>
          <w:tcPr>
            <w:tcW w:w="7621" w:type="dxa"/>
          </w:tcPr>
          <w:p w14:paraId="32E92AD0" w14:textId="46FBCD69" w:rsidR="00D13886" w:rsidRPr="008D1222" w:rsidRDefault="001F2083" w:rsidP="00B10D18">
            <w:pPr>
              <w:pStyle w:val="BodyText"/>
              <w:tabs>
                <w:tab w:val="left" w:pos="1701"/>
              </w:tabs>
              <w:spacing w:before="120"/>
              <w:rPr>
                <w:u w:val="single"/>
              </w:rPr>
            </w:pPr>
            <w:proofErr w:type="spellStart"/>
            <w:r w:rsidRPr="0080505B">
              <w:rPr>
                <w:u w:val="single"/>
              </w:rPr>
              <w:t>www.pc.gov.au</w:t>
            </w:r>
            <w:proofErr w:type="spellEnd"/>
            <w:r w:rsidRPr="0080505B">
              <w:rPr>
                <w:u w:val="single"/>
              </w:rPr>
              <w:t>/inquiries/current/water-reform</w:t>
            </w:r>
          </w:p>
        </w:tc>
      </w:tr>
      <w:tr w:rsidR="00D13886" w14:paraId="32E92AD4" w14:textId="77777777" w:rsidTr="00B10D18">
        <w:tc>
          <w:tcPr>
            <w:tcW w:w="1384" w:type="dxa"/>
          </w:tcPr>
          <w:p w14:paraId="32E92AD2" w14:textId="77777777" w:rsidR="00D13886" w:rsidRDefault="00D13886" w:rsidP="00B10D18">
            <w:pPr>
              <w:pStyle w:val="BodyText"/>
              <w:tabs>
                <w:tab w:val="left" w:pos="1701"/>
              </w:tabs>
              <w:spacing w:before="120"/>
            </w:pPr>
            <w:r>
              <w:t>Post*</w:t>
            </w:r>
          </w:p>
        </w:tc>
        <w:tc>
          <w:tcPr>
            <w:tcW w:w="7621" w:type="dxa"/>
          </w:tcPr>
          <w:p w14:paraId="32E92AD3" w14:textId="7AC8649F" w:rsidR="00D13886" w:rsidRDefault="001F2083" w:rsidP="00E94410">
            <w:pPr>
              <w:pStyle w:val="BodyText"/>
              <w:spacing w:before="120"/>
              <w:jc w:val="left"/>
            </w:pPr>
            <w:r>
              <w:t>National Water Reform inquiry</w:t>
            </w:r>
            <w:r>
              <w:br/>
              <w:t>Productivity Commission</w:t>
            </w:r>
            <w:r>
              <w:br/>
              <w:t>GPO Box 1428</w:t>
            </w:r>
            <w:r>
              <w:br/>
            </w:r>
            <w:r w:rsidR="00CF504B">
              <w:t>Canberra City ACT 2601</w:t>
            </w:r>
          </w:p>
        </w:tc>
      </w:tr>
    </w:tbl>
    <w:p w14:paraId="32E92AD5" w14:textId="77777777" w:rsidR="00D13886" w:rsidRPr="00391500" w:rsidRDefault="00D13886" w:rsidP="00D13886">
      <w:pPr>
        <w:pStyle w:val="Heading4"/>
      </w:pPr>
      <w:r w:rsidRPr="00391500">
        <w:t>Due date for submissions</w:t>
      </w:r>
    </w:p>
    <w:p w14:paraId="32E92AD7" w14:textId="0A4467D2" w:rsidR="0091251E" w:rsidRDefault="00D13886" w:rsidP="008D1222">
      <w:pPr>
        <w:pStyle w:val="BodyText"/>
      </w:pPr>
      <w:r>
        <w:t xml:space="preserve">Please send submissions to the Commission by </w:t>
      </w:r>
      <w:r w:rsidR="00D02A6F">
        <w:rPr>
          <w:b/>
        </w:rPr>
        <w:t>18</w:t>
      </w:r>
      <w:r w:rsidR="00F74C53">
        <w:rPr>
          <w:b/>
        </w:rPr>
        <w:t> </w:t>
      </w:r>
      <w:r w:rsidR="00D02A6F">
        <w:rPr>
          <w:b/>
        </w:rPr>
        <w:t>April 2017</w:t>
      </w:r>
      <w:r w:rsidR="00D02A6F" w:rsidRPr="008D1222">
        <w:t>.</w:t>
      </w:r>
    </w:p>
    <w:sectPr w:rsidR="0091251E" w:rsidSect="008E084F">
      <w:headerReference w:type="even" r:id="rId17"/>
      <w:headerReference w:type="default" r:id="rId18"/>
      <w:footerReference w:type="even" r:id="rId19"/>
      <w:footerReference w:type="default" r:id="rId20"/>
      <w:type w:val="oddPage"/>
      <w:pgSz w:w="11907" w:h="16840" w:code="9"/>
      <w:pgMar w:top="1985" w:right="1304" w:bottom="1247" w:left="1814" w:header="1701" w:footer="397" w:gutter="0"/>
      <w:pgNumType w:start="1" w:chapSep="period"/>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E92ADD" w15:done="0"/>
  <w15:commentEx w15:paraId="32E92AE8" w15:done="0"/>
  <w15:commentEx w15:paraId="6431000B" w15:done="0"/>
  <w15:commentEx w15:paraId="6D2078A8" w15:done="0"/>
  <w15:commentEx w15:paraId="3FE36B16" w15:done="0"/>
  <w15:commentEx w15:paraId="0A2AB8F9" w15:done="0"/>
  <w15:commentEx w15:paraId="32E92AF2" w15:done="0"/>
  <w15:commentEx w15:paraId="32E92AF3" w15:done="0"/>
  <w15:commentEx w15:paraId="32E92AF4" w15:done="0"/>
  <w15:commentEx w15:paraId="32E92AF5" w15:done="0"/>
  <w15:commentEx w15:paraId="710029F5" w15:done="0"/>
  <w15:commentEx w15:paraId="32E92AF7" w15:done="0"/>
  <w15:commentEx w15:paraId="32E92AF8" w15:done="0"/>
  <w15:commentEx w15:paraId="32E92AFB" w15:done="0"/>
  <w15:commentEx w15:paraId="2A6D5BFE" w15:done="0"/>
  <w15:commentEx w15:paraId="36AD4A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2D1C0" w14:textId="77777777" w:rsidR="008D1222" w:rsidRDefault="008D1222">
      <w:r>
        <w:separator/>
      </w:r>
    </w:p>
  </w:endnote>
  <w:endnote w:type="continuationSeparator" w:id="0">
    <w:p w14:paraId="2EC99B17" w14:textId="77777777" w:rsidR="008D1222" w:rsidRDefault="008D1222">
      <w:r>
        <w:continuationSeparator/>
      </w:r>
    </w:p>
  </w:endnote>
  <w:endnote w:type="continuationNotice" w:id="1">
    <w:p w14:paraId="119A7A84" w14:textId="77777777" w:rsidR="008D1222" w:rsidRDefault="008D1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bertus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ade Gothic LT Std Light">
    <w:altName w:val="Trade Gothic LT Std Light"/>
    <w:panose1 w:val="00000000000000000000"/>
    <w:charset w:val="00"/>
    <w:family w:val="swiss"/>
    <w:notTrueType/>
    <w:pitch w:val="default"/>
    <w:sig w:usb0="00000003" w:usb1="00000000" w:usb2="00000000" w:usb3="00000000" w:csb0="00000001" w:csb1="00000000"/>
  </w:font>
  <w:font w:name="Trade Gothic LT Std">
    <w:altName w:val="Trade Gothic LT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D1222" w14:paraId="32E92B09" w14:textId="77777777" w:rsidTr="005F48ED">
      <w:trPr>
        <w:trHeight w:hRule="exact" w:val="567"/>
      </w:trPr>
      <w:tc>
        <w:tcPr>
          <w:tcW w:w="510" w:type="dxa"/>
        </w:tcPr>
        <w:p w14:paraId="32E92B06" w14:textId="77777777" w:rsidR="008D1222" w:rsidRDefault="008D1222">
          <w:pPr>
            <w:pStyle w:val="Footer"/>
            <w:ind w:right="360" w:firstLine="360"/>
          </w:pPr>
        </w:p>
      </w:tc>
      <w:tc>
        <w:tcPr>
          <w:tcW w:w="7767" w:type="dxa"/>
        </w:tcPr>
        <w:p w14:paraId="32E92B07" w14:textId="77777777" w:rsidR="008D1222" w:rsidRPr="00BA5B14" w:rsidRDefault="008D1222"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 xml:space="preserve">Water Issues </w:t>
          </w:r>
          <w:proofErr w:type="spellStart"/>
          <w:r>
            <w:rPr>
              <w:rFonts w:cs="Arial"/>
            </w:rPr>
            <w:t>Paper_PH</w:t>
          </w:r>
          <w:proofErr w:type="spellEnd"/>
          <w:r w:rsidRPr="00BA5B14">
            <w:rPr>
              <w:rFonts w:cs="Arial"/>
            </w:rPr>
            <w:fldChar w:fldCharType="end"/>
          </w:r>
        </w:p>
      </w:tc>
      <w:tc>
        <w:tcPr>
          <w:tcW w:w="510" w:type="dxa"/>
        </w:tcPr>
        <w:p w14:paraId="32E92B08" w14:textId="77777777" w:rsidR="008D1222" w:rsidRPr="00A24443" w:rsidRDefault="008D1222">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sidR="00377BF6">
            <w:rPr>
              <w:rStyle w:val="PageNumber"/>
              <w:caps w:val="0"/>
              <w:noProof/>
            </w:rPr>
            <w:t>1</w:t>
          </w:r>
          <w:r w:rsidRPr="0045783B">
            <w:rPr>
              <w:rStyle w:val="PageNumber"/>
              <w:caps w:val="0"/>
            </w:rPr>
            <w:fldChar w:fldCharType="end"/>
          </w:r>
        </w:p>
      </w:tc>
    </w:tr>
  </w:tbl>
  <w:p w14:paraId="32E92B0A" w14:textId="77777777" w:rsidR="008D1222" w:rsidRDefault="008D1222">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D1222" w14:paraId="32E92B16" w14:textId="77777777" w:rsidTr="005F48ED">
      <w:trPr>
        <w:trHeight w:hRule="exact" w:val="567"/>
      </w:trPr>
      <w:tc>
        <w:tcPr>
          <w:tcW w:w="510" w:type="dxa"/>
        </w:tcPr>
        <w:p w14:paraId="32E92B13" w14:textId="77777777" w:rsidR="008D1222" w:rsidRPr="00A24443" w:rsidRDefault="008D1222"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F139C">
            <w:rPr>
              <w:rStyle w:val="PageNumber"/>
              <w:caps w:val="0"/>
              <w:noProof/>
            </w:rPr>
            <w:t>vi</w:t>
          </w:r>
          <w:r w:rsidRPr="00A24443">
            <w:rPr>
              <w:rStyle w:val="PageNumber"/>
              <w:caps w:val="0"/>
            </w:rPr>
            <w:fldChar w:fldCharType="end"/>
          </w:r>
        </w:p>
      </w:tc>
      <w:tc>
        <w:tcPr>
          <w:tcW w:w="7767" w:type="dxa"/>
        </w:tcPr>
        <w:p w14:paraId="32E92B14" w14:textId="76A2CA68" w:rsidR="008D1222" w:rsidRPr="0013739A" w:rsidRDefault="008D1222" w:rsidP="0013739A">
          <w:pPr>
            <w:pStyle w:val="Footer"/>
            <w:rPr>
              <w:rFonts w:cs="Arial"/>
            </w:rPr>
          </w:pPr>
          <w:r>
            <w:rPr>
              <w:rFonts w:cs="Arial"/>
            </w:rPr>
            <w:t>National water reform</w:t>
          </w:r>
          <w:bookmarkStart w:id="32" w:name="DraftReportEven"/>
          <w:bookmarkEnd w:id="32"/>
        </w:p>
      </w:tc>
      <w:tc>
        <w:tcPr>
          <w:tcW w:w="510" w:type="dxa"/>
        </w:tcPr>
        <w:p w14:paraId="32E92B15" w14:textId="77777777" w:rsidR="008D1222" w:rsidRDefault="008D1222" w:rsidP="0019293B">
          <w:pPr>
            <w:pStyle w:val="Footer"/>
          </w:pPr>
        </w:p>
      </w:tc>
    </w:tr>
  </w:tbl>
  <w:p w14:paraId="32E92B17" w14:textId="77777777" w:rsidR="008D1222" w:rsidRDefault="008D1222" w:rsidP="0019293B">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D1222" w14:paraId="32E92B1B" w14:textId="77777777" w:rsidTr="005F48ED">
      <w:trPr>
        <w:trHeight w:hRule="exact" w:val="567"/>
      </w:trPr>
      <w:tc>
        <w:tcPr>
          <w:tcW w:w="510" w:type="dxa"/>
        </w:tcPr>
        <w:p w14:paraId="32E92B18" w14:textId="77777777" w:rsidR="008D1222" w:rsidRDefault="008D1222">
          <w:pPr>
            <w:pStyle w:val="Footer"/>
            <w:ind w:right="360" w:firstLine="360"/>
          </w:pPr>
        </w:p>
      </w:tc>
      <w:tc>
        <w:tcPr>
          <w:tcW w:w="7767" w:type="dxa"/>
        </w:tcPr>
        <w:p w14:paraId="32E92B19" w14:textId="3C2FA11B" w:rsidR="008D1222" w:rsidRPr="00BA5B14" w:rsidRDefault="008D1222" w:rsidP="00292D48">
          <w:pPr>
            <w:pStyle w:val="Footer"/>
            <w:jc w:val="right"/>
            <w:rPr>
              <w:rFonts w:cs="Arial"/>
            </w:rPr>
          </w:pPr>
          <w:r>
            <w:rPr>
              <w:rFonts w:cs="Arial"/>
            </w:rPr>
            <w:t>Issues Paper</w:t>
          </w:r>
          <w:bookmarkStart w:id="33" w:name="DraftReportOdd"/>
          <w:bookmarkEnd w:id="33"/>
        </w:p>
      </w:tc>
      <w:tc>
        <w:tcPr>
          <w:tcW w:w="510" w:type="dxa"/>
        </w:tcPr>
        <w:p w14:paraId="32E92B1A" w14:textId="77777777" w:rsidR="008D1222" w:rsidRPr="00A24443" w:rsidRDefault="008D1222">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F139C">
            <w:rPr>
              <w:rStyle w:val="PageNumber"/>
              <w:caps w:val="0"/>
              <w:noProof/>
            </w:rPr>
            <w:t>v</w:t>
          </w:r>
          <w:r w:rsidRPr="00A24443">
            <w:rPr>
              <w:rStyle w:val="PageNumber"/>
              <w:caps w:val="0"/>
            </w:rPr>
            <w:fldChar w:fldCharType="end"/>
          </w:r>
        </w:p>
      </w:tc>
    </w:tr>
  </w:tbl>
  <w:p w14:paraId="32E92B1C" w14:textId="77777777" w:rsidR="008D1222" w:rsidRDefault="008D1222">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E084F" w14:paraId="07443EA2" w14:textId="77777777" w:rsidTr="005F48ED">
      <w:trPr>
        <w:trHeight w:hRule="exact" w:val="567"/>
      </w:trPr>
      <w:tc>
        <w:tcPr>
          <w:tcW w:w="510" w:type="dxa"/>
        </w:tcPr>
        <w:p w14:paraId="61C2B4F7" w14:textId="77777777" w:rsidR="008E084F" w:rsidRPr="00A24443" w:rsidRDefault="008E084F"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F139C">
            <w:rPr>
              <w:rStyle w:val="PageNumber"/>
              <w:caps w:val="0"/>
              <w:noProof/>
            </w:rPr>
            <w:t>24</w:t>
          </w:r>
          <w:r w:rsidRPr="00A24443">
            <w:rPr>
              <w:rStyle w:val="PageNumber"/>
              <w:caps w:val="0"/>
            </w:rPr>
            <w:fldChar w:fldCharType="end"/>
          </w:r>
        </w:p>
      </w:tc>
      <w:tc>
        <w:tcPr>
          <w:tcW w:w="7767" w:type="dxa"/>
        </w:tcPr>
        <w:p w14:paraId="05A55E45" w14:textId="77777777" w:rsidR="008E084F" w:rsidRPr="0013739A" w:rsidRDefault="008E084F" w:rsidP="0013739A">
          <w:pPr>
            <w:pStyle w:val="Footer"/>
            <w:rPr>
              <w:rFonts w:cs="Arial"/>
            </w:rPr>
          </w:pPr>
          <w:r>
            <w:rPr>
              <w:rFonts w:cs="Arial"/>
            </w:rPr>
            <w:t>National water reform</w:t>
          </w:r>
        </w:p>
      </w:tc>
      <w:tc>
        <w:tcPr>
          <w:tcW w:w="510" w:type="dxa"/>
        </w:tcPr>
        <w:p w14:paraId="341E3E2E" w14:textId="77777777" w:rsidR="008E084F" w:rsidRDefault="008E084F" w:rsidP="0019293B">
          <w:pPr>
            <w:pStyle w:val="Footer"/>
          </w:pPr>
        </w:p>
      </w:tc>
    </w:tr>
  </w:tbl>
  <w:p w14:paraId="6023911C" w14:textId="77777777" w:rsidR="008E084F" w:rsidRDefault="008E084F" w:rsidP="0019293B">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E084F" w14:paraId="7E0CAB2D" w14:textId="77777777" w:rsidTr="005F48ED">
      <w:trPr>
        <w:trHeight w:hRule="exact" w:val="567"/>
      </w:trPr>
      <w:tc>
        <w:tcPr>
          <w:tcW w:w="510" w:type="dxa"/>
        </w:tcPr>
        <w:p w14:paraId="44368CDB" w14:textId="77777777" w:rsidR="008E084F" w:rsidRDefault="008E084F">
          <w:pPr>
            <w:pStyle w:val="Footer"/>
            <w:ind w:right="360" w:firstLine="360"/>
          </w:pPr>
        </w:p>
      </w:tc>
      <w:tc>
        <w:tcPr>
          <w:tcW w:w="7767" w:type="dxa"/>
        </w:tcPr>
        <w:p w14:paraId="7BC68D77" w14:textId="77777777" w:rsidR="008E084F" w:rsidRPr="00BA5B14" w:rsidRDefault="008E084F" w:rsidP="00292D48">
          <w:pPr>
            <w:pStyle w:val="Footer"/>
            <w:jc w:val="right"/>
            <w:rPr>
              <w:rFonts w:cs="Arial"/>
            </w:rPr>
          </w:pPr>
          <w:r>
            <w:rPr>
              <w:rFonts w:cs="Arial"/>
            </w:rPr>
            <w:t>Issues Paper</w:t>
          </w:r>
        </w:p>
      </w:tc>
      <w:tc>
        <w:tcPr>
          <w:tcW w:w="510" w:type="dxa"/>
        </w:tcPr>
        <w:p w14:paraId="0B2DFB41" w14:textId="77777777" w:rsidR="008E084F" w:rsidRPr="00A24443" w:rsidRDefault="008E084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F139C">
            <w:rPr>
              <w:rStyle w:val="PageNumber"/>
              <w:caps w:val="0"/>
              <w:noProof/>
            </w:rPr>
            <w:t>23</w:t>
          </w:r>
          <w:r w:rsidRPr="00A24443">
            <w:rPr>
              <w:rStyle w:val="PageNumber"/>
              <w:caps w:val="0"/>
            </w:rPr>
            <w:fldChar w:fldCharType="end"/>
          </w:r>
        </w:p>
      </w:tc>
    </w:tr>
  </w:tbl>
  <w:p w14:paraId="470FD0E3" w14:textId="77777777" w:rsidR="008E084F" w:rsidRDefault="008E084F">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87393" w14:textId="77777777" w:rsidR="008D1222" w:rsidRDefault="008D1222">
      <w:r>
        <w:separator/>
      </w:r>
    </w:p>
  </w:footnote>
  <w:footnote w:type="continuationSeparator" w:id="0">
    <w:p w14:paraId="51470F72" w14:textId="77777777" w:rsidR="008D1222" w:rsidRDefault="008D1222">
      <w:r>
        <w:continuationSeparator/>
      </w:r>
    </w:p>
  </w:footnote>
  <w:footnote w:type="continuationNotice" w:id="1">
    <w:p w14:paraId="603C930A" w14:textId="77777777" w:rsidR="008D1222" w:rsidRPr="008D1222" w:rsidRDefault="008D1222" w:rsidP="008D1222">
      <w:pPr>
        <w:spacing w:line="40" w:lineRule="exact"/>
        <w:rPr>
          <w:sz w:val="8"/>
          <w:szCs w:val="8"/>
        </w:rPr>
      </w:pPr>
    </w:p>
  </w:footnote>
  <w:footnote w:id="2">
    <w:p w14:paraId="32E92B1D" w14:textId="77777777" w:rsidR="008D1222" w:rsidRDefault="008D1222" w:rsidP="00416A57">
      <w:pPr>
        <w:pStyle w:val="FootnoteText"/>
      </w:pPr>
      <w:r w:rsidRPr="00400BE8">
        <w:rPr>
          <w:rStyle w:val="FootnoteReference"/>
        </w:rPr>
        <w:footnoteRef/>
      </w:r>
      <w:r>
        <w:tab/>
        <w:t xml:space="preserve">Seven parties agreed to the </w:t>
      </w:r>
      <w:proofErr w:type="spellStart"/>
      <w:r>
        <w:t>NWI</w:t>
      </w:r>
      <w:proofErr w:type="spellEnd"/>
      <w:r>
        <w:t xml:space="preserve"> in 2004. All COAG members had agreed to the initiative by 2006.</w:t>
      </w:r>
    </w:p>
  </w:footnote>
  <w:footnote w:id="3">
    <w:p w14:paraId="32E92B1E" w14:textId="26B6D94E" w:rsidR="008D1222" w:rsidRDefault="008D1222" w:rsidP="00416A57">
      <w:pPr>
        <w:pStyle w:val="FootnoteText"/>
      </w:pPr>
      <w:r w:rsidRPr="00400BE8">
        <w:rPr>
          <w:rStyle w:val="FootnoteReference"/>
        </w:rPr>
        <w:footnoteRef/>
      </w:r>
      <w:r>
        <w:tab/>
        <w:t xml:space="preserve">The agreements were: </w:t>
      </w:r>
      <w:proofErr w:type="spellStart"/>
      <w:r>
        <w:t>COAG’s</w:t>
      </w:r>
      <w:proofErr w:type="spellEnd"/>
      <w:r>
        <w:t xml:space="preserve"> 2008 Work Program on Water; </w:t>
      </w:r>
      <w:proofErr w:type="spellStart"/>
      <w:r>
        <w:t>COAG’s</w:t>
      </w:r>
      <w:proofErr w:type="spellEnd"/>
      <w:r>
        <w:t xml:space="preserve"> response to the </w:t>
      </w:r>
      <w:proofErr w:type="spellStart"/>
      <w:r>
        <w:t>NWC’s</w:t>
      </w:r>
      <w:proofErr w:type="spellEnd"/>
      <w:r>
        <w:t xml:space="preserve"> 2009 biennial assessment; and </w:t>
      </w:r>
      <w:proofErr w:type="spellStart"/>
      <w:r>
        <w:t>COAG’s</w:t>
      </w:r>
      <w:proofErr w:type="spellEnd"/>
      <w:r>
        <w:t xml:space="preserve"> acceptance of recommendations made by officials on the Standing Council on Environment and Water in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8D1222" w14:paraId="32E92B04" w14:textId="77777777">
      <w:tc>
        <w:tcPr>
          <w:tcW w:w="6634" w:type="dxa"/>
          <w:tcBorders>
            <w:top w:val="single" w:sz="6" w:space="0" w:color="auto"/>
          </w:tcBorders>
        </w:tcPr>
        <w:p w14:paraId="32E92B02" w14:textId="77777777" w:rsidR="008D1222" w:rsidRDefault="008D1222" w:rsidP="00E669E2">
          <w:pPr>
            <w:pStyle w:val="HeaderOdd"/>
          </w:pPr>
        </w:p>
      </w:tc>
      <w:tc>
        <w:tcPr>
          <w:tcW w:w="2155" w:type="dxa"/>
          <w:tcBorders>
            <w:top w:val="single" w:sz="24" w:space="0" w:color="auto"/>
          </w:tcBorders>
        </w:tcPr>
        <w:p w14:paraId="32E92B03" w14:textId="77777777" w:rsidR="008D1222" w:rsidRDefault="008D1222" w:rsidP="00E669E2">
          <w:pPr>
            <w:pStyle w:val="HeaderOdd"/>
          </w:pPr>
        </w:p>
      </w:tc>
    </w:tr>
  </w:tbl>
  <w:p w14:paraId="32E92B05" w14:textId="77777777" w:rsidR="008D1222" w:rsidRDefault="008D1222"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8D1222" w14:paraId="32E92B0D" w14:textId="77777777">
      <w:tc>
        <w:tcPr>
          <w:tcW w:w="2155" w:type="dxa"/>
          <w:tcBorders>
            <w:top w:val="single" w:sz="24" w:space="0" w:color="auto"/>
          </w:tcBorders>
        </w:tcPr>
        <w:p w14:paraId="32E92B0B" w14:textId="77777777" w:rsidR="008D1222" w:rsidRDefault="008D1222" w:rsidP="0019293B">
          <w:pPr>
            <w:pStyle w:val="HeaderEven"/>
          </w:pPr>
        </w:p>
      </w:tc>
      <w:tc>
        <w:tcPr>
          <w:tcW w:w="6634" w:type="dxa"/>
          <w:tcBorders>
            <w:top w:val="single" w:sz="6" w:space="0" w:color="auto"/>
          </w:tcBorders>
        </w:tcPr>
        <w:p w14:paraId="32E92B0C" w14:textId="77777777" w:rsidR="008D1222" w:rsidRDefault="008D1222" w:rsidP="0019293B">
          <w:pPr>
            <w:pStyle w:val="HeaderEven"/>
          </w:pPr>
        </w:p>
      </w:tc>
    </w:tr>
  </w:tbl>
  <w:p w14:paraId="32E92B0E" w14:textId="77777777" w:rsidR="008D1222" w:rsidRDefault="008D1222" w:rsidP="0019293B">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8D1222" w14:paraId="32E92B11" w14:textId="77777777">
      <w:tc>
        <w:tcPr>
          <w:tcW w:w="6634" w:type="dxa"/>
          <w:tcBorders>
            <w:top w:val="single" w:sz="6" w:space="0" w:color="auto"/>
          </w:tcBorders>
        </w:tcPr>
        <w:p w14:paraId="32E92B0F" w14:textId="77777777" w:rsidR="008D1222" w:rsidRDefault="008D1222" w:rsidP="00E669E2">
          <w:pPr>
            <w:pStyle w:val="HeaderOdd"/>
          </w:pPr>
        </w:p>
      </w:tc>
      <w:tc>
        <w:tcPr>
          <w:tcW w:w="2155" w:type="dxa"/>
          <w:tcBorders>
            <w:top w:val="single" w:sz="24" w:space="0" w:color="auto"/>
          </w:tcBorders>
        </w:tcPr>
        <w:p w14:paraId="32E92B10" w14:textId="77777777" w:rsidR="008D1222" w:rsidRDefault="008D1222" w:rsidP="00E669E2">
          <w:pPr>
            <w:pStyle w:val="HeaderOdd"/>
          </w:pPr>
        </w:p>
      </w:tc>
    </w:tr>
  </w:tbl>
  <w:p w14:paraId="32E92B12" w14:textId="77777777" w:rsidR="008D1222" w:rsidRDefault="008D1222" w:rsidP="00E669E2">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8E084F" w14:paraId="73226BF7" w14:textId="77777777">
      <w:tc>
        <w:tcPr>
          <w:tcW w:w="2155" w:type="dxa"/>
          <w:tcBorders>
            <w:top w:val="single" w:sz="24" w:space="0" w:color="auto"/>
          </w:tcBorders>
        </w:tcPr>
        <w:p w14:paraId="355AF30C" w14:textId="77777777" w:rsidR="008E084F" w:rsidRDefault="008E084F" w:rsidP="0019293B">
          <w:pPr>
            <w:pStyle w:val="HeaderEven"/>
          </w:pPr>
        </w:p>
      </w:tc>
      <w:tc>
        <w:tcPr>
          <w:tcW w:w="6634" w:type="dxa"/>
          <w:tcBorders>
            <w:top w:val="single" w:sz="6" w:space="0" w:color="auto"/>
          </w:tcBorders>
        </w:tcPr>
        <w:p w14:paraId="7D2AEF11" w14:textId="77777777" w:rsidR="008E084F" w:rsidRDefault="008E084F" w:rsidP="0019293B">
          <w:pPr>
            <w:pStyle w:val="HeaderEven"/>
          </w:pPr>
        </w:p>
      </w:tc>
    </w:tr>
  </w:tbl>
  <w:p w14:paraId="0A94C843" w14:textId="77777777" w:rsidR="008E084F" w:rsidRDefault="008E084F"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8E084F" w14:paraId="21BA93DC" w14:textId="77777777">
      <w:tc>
        <w:tcPr>
          <w:tcW w:w="6634" w:type="dxa"/>
          <w:tcBorders>
            <w:top w:val="single" w:sz="6" w:space="0" w:color="auto"/>
          </w:tcBorders>
        </w:tcPr>
        <w:p w14:paraId="378917D7" w14:textId="77777777" w:rsidR="008E084F" w:rsidRDefault="008E084F" w:rsidP="00E669E2">
          <w:pPr>
            <w:pStyle w:val="HeaderOdd"/>
          </w:pPr>
        </w:p>
      </w:tc>
      <w:tc>
        <w:tcPr>
          <w:tcW w:w="2155" w:type="dxa"/>
          <w:tcBorders>
            <w:top w:val="single" w:sz="24" w:space="0" w:color="auto"/>
          </w:tcBorders>
        </w:tcPr>
        <w:p w14:paraId="21645917" w14:textId="77777777" w:rsidR="008E084F" w:rsidRDefault="008E084F" w:rsidP="00E669E2">
          <w:pPr>
            <w:pStyle w:val="HeaderOdd"/>
          </w:pPr>
        </w:p>
      </w:tc>
    </w:tr>
  </w:tbl>
  <w:p w14:paraId="0DC723DC" w14:textId="77777777" w:rsidR="008E084F" w:rsidRDefault="008E084F"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BC7108A"/>
    <w:multiLevelType w:val="hybridMultilevel"/>
    <w:tmpl w:val="6C08C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1EF95E52"/>
    <w:multiLevelType w:val="multilevel"/>
    <w:tmpl w:val="5AD4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nsid w:val="2AC03A58"/>
    <w:multiLevelType w:val="hybridMultilevel"/>
    <w:tmpl w:val="F64432D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nsid w:val="2EB50673"/>
    <w:multiLevelType w:val="hybridMultilevel"/>
    <w:tmpl w:val="F912DF18"/>
    <w:lvl w:ilvl="0" w:tplc="AC388E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F5D3116"/>
    <w:multiLevelType w:val="hybridMultilevel"/>
    <w:tmpl w:val="4CA4AE46"/>
    <w:lvl w:ilvl="0" w:tplc="F1921BC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7">
    <w:nsid w:val="3673227F"/>
    <w:multiLevelType w:val="multilevel"/>
    <w:tmpl w:val="43B627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D220879"/>
    <w:multiLevelType w:val="hybridMultilevel"/>
    <w:tmpl w:val="609CDA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nsid w:val="3FC05F0A"/>
    <w:multiLevelType w:val="hybridMultilevel"/>
    <w:tmpl w:val="8006C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34C0C99"/>
    <w:multiLevelType w:val="hybridMultilevel"/>
    <w:tmpl w:val="7C786B62"/>
    <w:lvl w:ilvl="0" w:tplc="EF78707E">
      <w:start w:val="1"/>
      <w:numFmt w:val="bullet"/>
      <w:lvlText w:val=""/>
      <w:lvlJc w:val="left"/>
      <w:pPr>
        <w:ind w:left="360" w:hanging="360"/>
      </w:pPr>
      <w:rPr>
        <w:rFonts w:ascii="Symbol" w:hAnsi="Symbol"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9C957EC"/>
    <w:multiLevelType w:val="multilevel"/>
    <w:tmpl w:val="8D9C3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C24694"/>
    <w:multiLevelType w:val="hybridMultilevel"/>
    <w:tmpl w:val="A648AF08"/>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5">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6">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7">
    <w:nsid w:val="586E4975"/>
    <w:multiLevelType w:val="multilevel"/>
    <w:tmpl w:val="803A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D10BB4"/>
    <w:multiLevelType w:val="hybridMultilevel"/>
    <w:tmpl w:val="7A7A2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nsid w:val="5C3473D9"/>
    <w:multiLevelType w:val="hybridMultilevel"/>
    <w:tmpl w:val="10DAFC18"/>
    <w:lvl w:ilvl="0" w:tplc="D478B71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3">
    <w:nsid w:val="64652FF2"/>
    <w:multiLevelType w:val="hybridMultilevel"/>
    <w:tmpl w:val="2D102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6C432EF"/>
    <w:multiLevelType w:val="hybridMultilevel"/>
    <w:tmpl w:val="B13CFE0C"/>
    <w:lvl w:ilvl="0" w:tplc="199AA99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9DD051C"/>
    <w:multiLevelType w:val="hybridMultilevel"/>
    <w:tmpl w:val="6B680CAE"/>
    <w:lvl w:ilvl="0" w:tplc="4882097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4A12513"/>
    <w:multiLevelType w:val="singleLevel"/>
    <w:tmpl w:val="098EF31E"/>
    <w:lvl w:ilvl="0">
      <w:numFmt w:val="bullet"/>
      <w:lvlText w:val="-"/>
      <w:lvlJc w:val="left"/>
      <w:pPr>
        <w:tabs>
          <w:tab w:val="num" w:pos="360"/>
        </w:tabs>
        <w:ind w:left="352" w:hanging="352"/>
      </w:pPr>
      <w:rPr>
        <w:rFonts w:ascii="Albertus (W1)" w:hAnsi="Albertus (W1)" w:cs="Albertus (W1)" w:hint="default"/>
        <w:sz w:val="24"/>
        <w:szCs w:val="24"/>
      </w:rPr>
    </w:lvl>
  </w:abstractNum>
  <w:abstractNum w:abstractNumId="37">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8">
    <w:nsid w:val="7BAC50DC"/>
    <w:multiLevelType w:val="hybridMultilevel"/>
    <w:tmpl w:val="AA227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6"/>
  </w:num>
  <w:num w:numId="2">
    <w:abstractNumId w:val="2"/>
  </w:num>
  <w:num w:numId="3">
    <w:abstractNumId w:val="24"/>
  </w:num>
  <w:num w:numId="4">
    <w:abstractNumId w:val="3"/>
  </w:num>
  <w:num w:numId="5">
    <w:abstractNumId w:val="32"/>
  </w:num>
  <w:num w:numId="6">
    <w:abstractNumId w:val="26"/>
  </w:num>
  <w:num w:numId="7">
    <w:abstractNumId w:val="8"/>
  </w:num>
  <w:num w:numId="8">
    <w:abstractNumId w:val="25"/>
  </w:num>
  <w:num w:numId="9">
    <w:abstractNumId w:val="7"/>
  </w:num>
  <w:num w:numId="10">
    <w:abstractNumId w:val="6"/>
  </w:num>
  <w:num w:numId="11">
    <w:abstractNumId w:val="11"/>
  </w:num>
  <w:num w:numId="12">
    <w:abstractNumId w:val="13"/>
  </w:num>
  <w:num w:numId="13">
    <w:abstractNumId w:val="4"/>
  </w:num>
  <w:num w:numId="14">
    <w:abstractNumId w:val="29"/>
  </w:num>
  <w:num w:numId="15">
    <w:abstractNumId w:val="37"/>
  </w:num>
  <w:num w:numId="16">
    <w:abstractNumId w:val="23"/>
  </w:num>
  <w:num w:numId="17">
    <w:abstractNumId w:val="39"/>
  </w:num>
  <w:num w:numId="18">
    <w:abstractNumId w:val="31"/>
  </w:num>
  <w:num w:numId="19">
    <w:abstractNumId w:val="9"/>
  </w:num>
  <w:num w:numId="20">
    <w:abstractNumId w:val="20"/>
  </w:num>
  <w:num w:numId="21">
    <w:abstractNumId w:val="0"/>
  </w:num>
  <w:num w:numId="22">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3">
    <w:abstractNumId w:val="10"/>
  </w:num>
  <w:num w:numId="24">
    <w:abstractNumId w:val="33"/>
  </w:num>
  <w:num w:numId="25">
    <w:abstractNumId w:val="19"/>
  </w:num>
  <w:num w:numId="26">
    <w:abstractNumId w:val="18"/>
  </w:num>
  <w:num w:numId="27">
    <w:abstractNumId w:val="36"/>
  </w:num>
  <w:num w:numId="28">
    <w:abstractNumId w:val="22"/>
  </w:num>
  <w:num w:numId="29">
    <w:abstractNumId w:val="12"/>
  </w:num>
  <w:num w:numId="30">
    <w:abstractNumId w:val="27"/>
  </w:num>
  <w:num w:numId="31">
    <w:abstractNumId w:val="21"/>
  </w:num>
  <w:num w:numId="32">
    <w:abstractNumId w:val="35"/>
  </w:num>
  <w:num w:numId="33">
    <w:abstractNumId w:val="14"/>
  </w:num>
  <w:num w:numId="34">
    <w:abstractNumId w:val="17"/>
  </w:num>
  <w:num w:numId="35">
    <w:abstractNumId w:val="24"/>
  </w:num>
  <w:num w:numId="36">
    <w:abstractNumId w:val="38"/>
  </w:num>
  <w:num w:numId="37">
    <w:abstractNumId w:val="5"/>
  </w:num>
  <w:num w:numId="38">
    <w:abstractNumId w:val="28"/>
  </w:num>
  <w:num w:numId="39">
    <w:abstractNumId w:val="25"/>
  </w:num>
  <w:num w:numId="40">
    <w:abstractNumId w:val="28"/>
  </w:num>
  <w:num w:numId="41">
    <w:abstractNumId w:val="24"/>
  </w:num>
  <w:num w:numId="42">
    <w:abstractNumId w:val="34"/>
  </w:num>
  <w:num w:numId="43">
    <w:abstractNumId w:val="15"/>
  </w:num>
  <w:num w:numId="44">
    <w:abstractNumId w:val="30"/>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ris, Peter">
    <w15:presenceInfo w15:providerId="AD" w15:userId="S-1-5-21-4285900246-1529922971-1310196836-14115"/>
  </w15:person>
  <w15:person w15:author="Loke, Paul">
    <w15:presenceInfo w15:providerId="AD" w15:userId="S-1-5-21-4285900246-1529922971-1310196836-11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mirrorMargin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Issues paper"/>
    <w:docVar w:name="ShortReportTitle" w:val="National water reform"/>
  </w:docVars>
  <w:rsids>
    <w:rsidRoot w:val="00E12FE6"/>
    <w:rsid w:val="000006C0"/>
    <w:rsid w:val="000008ED"/>
    <w:rsid w:val="00000E80"/>
    <w:rsid w:val="00000EBB"/>
    <w:rsid w:val="00001007"/>
    <w:rsid w:val="00001702"/>
    <w:rsid w:val="0000179D"/>
    <w:rsid w:val="00001F08"/>
    <w:rsid w:val="00002039"/>
    <w:rsid w:val="00002981"/>
    <w:rsid w:val="00002A51"/>
    <w:rsid w:val="00002ACF"/>
    <w:rsid w:val="0000309B"/>
    <w:rsid w:val="00003DA4"/>
    <w:rsid w:val="000051BE"/>
    <w:rsid w:val="00005C18"/>
    <w:rsid w:val="00006347"/>
    <w:rsid w:val="0000663F"/>
    <w:rsid w:val="0000666A"/>
    <w:rsid w:val="000073C7"/>
    <w:rsid w:val="0000761F"/>
    <w:rsid w:val="00007A1E"/>
    <w:rsid w:val="000101E1"/>
    <w:rsid w:val="000101F0"/>
    <w:rsid w:val="000117A3"/>
    <w:rsid w:val="00011AFD"/>
    <w:rsid w:val="00011E88"/>
    <w:rsid w:val="00011EA5"/>
    <w:rsid w:val="00012354"/>
    <w:rsid w:val="00012614"/>
    <w:rsid w:val="000126E8"/>
    <w:rsid w:val="00012B6B"/>
    <w:rsid w:val="000134BA"/>
    <w:rsid w:val="00014476"/>
    <w:rsid w:val="00014BF9"/>
    <w:rsid w:val="000153A8"/>
    <w:rsid w:val="000154FE"/>
    <w:rsid w:val="00015F99"/>
    <w:rsid w:val="00016C4C"/>
    <w:rsid w:val="000170D1"/>
    <w:rsid w:val="000172F5"/>
    <w:rsid w:val="00020760"/>
    <w:rsid w:val="00020C2A"/>
    <w:rsid w:val="00021CB7"/>
    <w:rsid w:val="0002275B"/>
    <w:rsid w:val="000227D5"/>
    <w:rsid w:val="000233DE"/>
    <w:rsid w:val="0002357B"/>
    <w:rsid w:val="00023972"/>
    <w:rsid w:val="00023995"/>
    <w:rsid w:val="00023DAF"/>
    <w:rsid w:val="000245AA"/>
    <w:rsid w:val="00024E62"/>
    <w:rsid w:val="00025386"/>
    <w:rsid w:val="000301F4"/>
    <w:rsid w:val="000303C6"/>
    <w:rsid w:val="00030EF6"/>
    <w:rsid w:val="0003140A"/>
    <w:rsid w:val="0003162B"/>
    <w:rsid w:val="00031840"/>
    <w:rsid w:val="00031B42"/>
    <w:rsid w:val="00031FE7"/>
    <w:rsid w:val="0003209B"/>
    <w:rsid w:val="00032614"/>
    <w:rsid w:val="00032680"/>
    <w:rsid w:val="00032E95"/>
    <w:rsid w:val="00032FB3"/>
    <w:rsid w:val="00033513"/>
    <w:rsid w:val="0003381B"/>
    <w:rsid w:val="00035861"/>
    <w:rsid w:val="0003664B"/>
    <w:rsid w:val="00036DCE"/>
    <w:rsid w:val="00036FC9"/>
    <w:rsid w:val="0003779C"/>
    <w:rsid w:val="000400E8"/>
    <w:rsid w:val="000406D0"/>
    <w:rsid w:val="0004111F"/>
    <w:rsid w:val="00041522"/>
    <w:rsid w:val="000429E8"/>
    <w:rsid w:val="0004318D"/>
    <w:rsid w:val="00043296"/>
    <w:rsid w:val="00043886"/>
    <w:rsid w:val="00043AEB"/>
    <w:rsid w:val="00044BFA"/>
    <w:rsid w:val="00044F66"/>
    <w:rsid w:val="00045D95"/>
    <w:rsid w:val="00046516"/>
    <w:rsid w:val="00046584"/>
    <w:rsid w:val="00046750"/>
    <w:rsid w:val="00046897"/>
    <w:rsid w:val="00046AC9"/>
    <w:rsid w:val="0004794A"/>
    <w:rsid w:val="00050EFA"/>
    <w:rsid w:val="00051CA4"/>
    <w:rsid w:val="000523E9"/>
    <w:rsid w:val="00052AF2"/>
    <w:rsid w:val="000531B9"/>
    <w:rsid w:val="000534E9"/>
    <w:rsid w:val="00053C38"/>
    <w:rsid w:val="00054692"/>
    <w:rsid w:val="000546E5"/>
    <w:rsid w:val="0005497E"/>
    <w:rsid w:val="00055077"/>
    <w:rsid w:val="000565B3"/>
    <w:rsid w:val="00056846"/>
    <w:rsid w:val="00056CE1"/>
    <w:rsid w:val="000571FE"/>
    <w:rsid w:val="00057750"/>
    <w:rsid w:val="000579AE"/>
    <w:rsid w:val="00057AFC"/>
    <w:rsid w:val="00060401"/>
    <w:rsid w:val="00060489"/>
    <w:rsid w:val="000604DA"/>
    <w:rsid w:val="000608DB"/>
    <w:rsid w:val="00061ABD"/>
    <w:rsid w:val="000624DA"/>
    <w:rsid w:val="00063C9D"/>
    <w:rsid w:val="00063CDB"/>
    <w:rsid w:val="00064A42"/>
    <w:rsid w:val="00064FC1"/>
    <w:rsid w:val="000651E4"/>
    <w:rsid w:val="00065D50"/>
    <w:rsid w:val="00066A44"/>
    <w:rsid w:val="00066A63"/>
    <w:rsid w:val="00066B9A"/>
    <w:rsid w:val="00067488"/>
    <w:rsid w:val="00070243"/>
    <w:rsid w:val="000706CE"/>
    <w:rsid w:val="00070B21"/>
    <w:rsid w:val="00070C4A"/>
    <w:rsid w:val="0007150B"/>
    <w:rsid w:val="00072005"/>
    <w:rsid w:val="0007205E"/>
    <w:rsid w:val="0007256D"/>
    <w:rsid w:val="00072DDD"/>
    <w:rsid w:val="00074406"/>
    <w:rsid w:val="00075647"/>
    <w:rsid w:val="000756A0"/>
    <w:rsid w:val="0007598A"/>
    <w:rsid w:val="00075F8B"/>
    <w:rsid w:val="0007648C"/>
    <w:rsid w:val="000765B4"/>
    <w:rsid w:val="00077AFC"/>
    <w:rsid w:val="00077B93"/>
    <w:rsid w:val="00080B01"/>
    <w:rsid w:val="00080DBE"/>
    <w:rsid w:val="00080FA9"/>
    <w:rsid w:val="000814E1"/>
    <w:rsid w:val="00082103"/>
    <w:rsid w:val="0008236C"/>
    <w:rsid w:val="00082705"/>
    <w:rsid w:val="0008304C"/>
    <w:rsid w:val="00083405"/>
    <w:rsid w:val="000834E8"/>
    <w:rsid w:val="0008432B"/>
    <w:rsid w:val="00084651"/>
    <w:rsid w:val="000848F3"/>
    <w:rsid w:val="000857D0"/>
    <w:rsid w:val="00085973"/>
    <w:rsid w:val="00087278"/>
    <w:rsid w:val="000875AF"/>
    <w:rsid w:val="000875BA"/>
    <w:rsid w:val="00087C61"/>
    <w:rsid w:val="00090201"/>
    <w:rsid w:val="00090E05"/>
    <w:rsid w:val="00090FC3"/>
    <w:rsid w:val="00091172"/>
    <w:rsid w:val="000917A2"/>
    <w:rsid w:val="00091D5F"/>
    <w:rsid w:val="00092B77"/>
    <w:rsid w:val="00092C04"/>
    <w:rsid w:val="00092FBD"/>
    <w:rsid w:val="0009324C"/>
    <w:rsid w:val="00093675"/>
    <w:rsid w:val="000938F5"/>
    <w:rsid w:val="00094B52"/>
    <w:rsid w:val="00094DD7"/>
    <w:rsid w:val="0009538F"/>
    <w:rsid w:val="00095663"/>
    <w:rsid w:val="00095798"/>
    <w:rsid w:val="000965C1"/>
    <w:rsid w:val="00096E55"/>
    <w:rsid w:val="00097190"/>
    <w:rsid w:val="000974CD"/>
    <w:rsid w:val="0009783E"/>
    <w:rsid w:val="00097ED5"/>
    <w:rsid w:val="00097ED7"/>
    <w:rsid w:val="000A022C"/>
    <w:rsid w:val="000A03A5"/>
    <w:rsid w:val="000A04C6"/>
    <w:rsid w:val="000A0669"/>
    <w:rsid w:val="000A0FBF"/>
    <w:rsid w:val="000A1174"/>
    <w:rsid w:val="000A1252"/>
    <w:rsid w:val="000A13DB"/>
    <w:rsid w:val="000A18CD"/>
    <w:rsid w:val="000A1BB9"/>
    <w:rsid w:val="000A20B0"/>
    <w:rsid w:val="000A22DB"/>
    <w:rsid w:val="000A37CB"/>
    <w:rsid w:val="000A4C3B"/>
    <w:rsid w:val="000A4E9A"/>
    <w:rsid w:val="000A5190"/>
    <w:rsid w:val="000A5324"/>
    <w:rsid w:val="000A55BB"/>
    <w:rsid w:val="000A6F04"/>
    <w:rsid w:val="000B0B5D"/>
    <w:rsid w:val="000B0DB3"/>
    <w:rsid w:val="000B1022"/>
    <w:rsid w:val="000B1AA3"/>
    <w:rsid w:val="000B1F68"/>
    <w:rsid w:val="000B1F6C"/>
    <w:rsid w:val="000B2263"/>
    <w:rsid w:val="000B2A3E"/>
    <w:rsid w:val="000B2D05"/>
    <w:rsid w:val="000B2FC2"/>
    <w:rsid w:val="000B36E2"/>
    <w:rsid w:val="000B376B"/>
    <w:rsid w:val="000B3874"/>
    <w:rsid w:val="000B43C7"/>
    <w:rsid w:val="000B4977"/>
    <w:rsid w:val="000B4FA7"/>
    <w:rsid w:val="000B4FF6"/>
    <w:rsid w:val="000B5135"/>
    <w:rsid w:val="000B523B"/>
    <w:rsid w:val="000B52E8"/>
    <w:rsid w:val="000B5471"/>
    <w:rsid w:val="000B5B55"/>
    <w:rsid w:val="000B601B"/>
    <w:rsid w:val="000B64D0"/>
    <w:rsid w:val="000B68E4"/>
    <w:rsid w:val="000B6C0A"/>
    <w:rsid w:val="000B7931"/>
    <w:rsid w:val="000C0C39"/>
    <w:rsid w:val="000C207E"/>
    <w:rsid w:val="000C351D"/>
    <w:rsid w:val="000C3B46"/>
    <w:rsid w:val="000C3D8F"/>
    <w:rsid w:val="000C493A"/>
    <w:rsid w:val="000C4B80"/>
    <w:rsid w:val="000C5C97"/>
    <w:rsid w:val="000C614E"/>
    <w:rsid w:val="000C6413"/>
    <w:rsid w:val="000C6E29"/>
    <w:rsid w:val="000C714C"/>
    <w:rsid w:val="000C750B"/>
    <w:rsid w:val="000D09CE"/>
    <w:rsid w:val="000D0B94"/>
    <w:rsid w:val="000D0DB7"/>
    <w:rsid w:val="000D19B5"/>
    <w:rsid w:val="000D1D13"/>
    <w:rsid w:val="000D202B"/>
    <w:rsid w:val="000D20B9"/>
    <w:rsid w:val="000D34BC"/>
    <w:rsid w:val="000D38E2"/>
    <w:rsid w:val="000D41E9"/>
    <w:rsid w:val="000D49BA"/>
    <w:rsid w:val="000D55D9"/>
    <w:rsid w:val="000D63D8"/>
    <w:rsid w:val="000D6C23"/>
    <w:rsid w:val="000D7296"/>
    <w:rsid w:val="000D775A"/>
    <w:rsid w:val="000D781C"/>
    <w:rsid w:val="000D789E"/>
    <w:rsid w:val="000D7AE7"/>
    <w:rsid w:val="000D7AF7"/>
    <w:rsid w:val="000E05AC"/>
    <w:rsid w:val="000E0AEA"/>
    <w:rsid w:val="000E1CE9"/>
    <w:rsid w:val="000E1F93"/>
    <w:rsid w:val="000E40BB"/>
    <w:rsid w:val="000E41E3"/>
    <w:rsid w:val="000E584D"/>
    <w:rsid w:val="000E5BB5"/>
    <w:rsid w:val="000E6875"/>
    <w:rsid w:val="000E723E"/>
    <w:rsid w:val="000E74B8"/>
    <w:rsid w:val="000E785D"/>
    <w:rsid w:val="000F0035"/>
    <w:rsid w:val="000F04E7"/>
    <w:rsid w:val="000F060A"/>
    <w:rsid w:val="000F079E"/>
    <w:rsid w:val="000F0C0D"/>
    <w:rsid w:val="000F1286"/>
    <w:rsid w:val="000F18FF"/>
    <w:rsid w:val="000F1BF8"/>
    <w:rsid w:val="000F2807"/>
    <w:rsid w:val="000F36D4"/>
    <w:rsid w:val="000F39EA"/>
    <w:rsid w:val="000F3C77"/>
    <w:rsid w:val="000F420B"/>
    <w:rsid w:val="000F539C"/>
    <w:rsid w:val="000F590D"/>
    <w:rsid w:val="000F5C8D"/>
    <w:rsid w:val="000F6101"/>
    <w:rsid w:val="000F6708"/>
    <w:rsid w:val="000F694D"/>
    <w:rsid w:val="000F6A55"/>
    <w:rsid w:val="00100A0A"/>
    <w:rsid w:val="00100B06"/>
    <w:rsid w:val="00100B58"/>
    <w:rsid w:val="00100E70"/>
    <w:rsid w:val="001010EB"/>
    <w:rsid w:val="00101774"/>
    <w:rsid w:val="00101824"/>
    <w:rsid w:val="00101943"/>
    <w:rsid w:val="001026AD"/>
    <w:rsid w:val="00102889"/>
    <w:rsid w:val="00103193"/>
    <w:rsid w:val="00103513"/>
    <w:rsid w:val="00103ECD"/>
    <w:rsid w:val="00104A6C"/>
    <w:rsid w:val="001053A2"/>
    <w:rsid w:val="001061BF"/>
    <w:rsid w:val="00106481"/>
    <w:rsid w:val="00106540"/>
    <w:rsid w:val="001069BF"/>
    <w:rsid w:val="00106CB9"/>
    <w:rsid w:val="00107468"/>
    <w:rsid w:val="00110116"/>
    <w:rsid w:val="0011072C"/>
    <w:rsid w:val="00110A17"/>
    <w:rsid w:val="00110BA1"/>
    <w:rsid w:val="00111EBE"/>
    <w:rsid w:val="00111FB6"/>
    <w:rsid w:val="00112471"/>
    <w:rsid w:val="001133FF"/>
    <w:rsid w:val="00113A16"/>
    <w:rsid w:val="00113D53"/>
    <w:rsid w:val="001143D1"/>
    <w:rsid w:val="001147B1"/>
    <w:rsid w:val="001147E0"/>
    <w:rsid w:val="001151C4"/>
    <w:rsid w:val="00116303"/>
    <w:rsid w:val="00117556"/>
    <w:rsid w:val="00117846"/>
    <w:rsid w:val="001179A1"/>
    <w:rsid w:val="00120072"/>
    <w:rsid w:val="001210F1"/>
    <w:rsid w:val="00121439"/>
    <w:rsid w:val="0012254A"/>
    <w:rsid w:val="00122937"/>
    <w:rsid w:val="00122A59"/>
    <w:rsid w:val="001230AC"/>
    <w:rsid w:val="001234E2"/>
    <w:rsid w:val="00123662"/>
    <w:rsid w:val="00123989"/>
    <w:rsid w:val="001245F5"/>
    <w:rsid w:val="00126EB8"/>
    <w:rsid w:val="00126ED3"/>
    <w:rsid w:val="00127386"/>
    <w:rsid w:val="001274D4"/>
    <w:rsid w:val="00127802"/>
    <w:rsid w:val="00130554"/>
    <w:rsid w:val="0013175A"/>
    <w:rsid w:val="00132ACA"/>
    <w:rsid w:val="0013456D"/>
    <w:rsid w:val="00134948"/>
    <w:rsid w:val="00134F42"/>
    <w:rsid w:val="0013501A"/>
    <w:rsid w:val="001355CD"/>
    <w:rsid w:val="00135D3E"/>
    <w:rsid w:val="001360BD"/>
    <w:rsid w:val="001363AA"/>
    <w:rsid w:val="001367FC"/>
    <w:rsid w:val="00136BD0"/>
    <w:rsid w:val="0013739A"/>
    <w:rsid w:val="00137998"/>
    <w:rsid w:val="00140534"/>
    <w:rsid w:val="00141C24"/>
    <w:rsid w:val="00142165"/>
    <w:rsid w:val="00142886"/>
    <w:rsid w:val="001439D8"/>
    <w:rsid w:val="001439FB"/>
    <w:rsid w:val="00143ADA"/>
    <w:rsid w:val="00143F02"/>
    <w:rsid w:val="00144572"/>
    <w:rsid w:val="001445BA"/>
    <w:rsid w:val="001447A4"/>
    <w:rsid w:val="001448CC"/>
    <w:rsid w:val="00144AC9"/>
    <w:rsid w:val="00145345"/>
    <w:rsid w:val="001458BE"/>
    <w:rsid w:val="00145B30"/>
    <w:rsid w:val="00145EE6"/>
    <w:rsid w:val="0014645C"/>
    <w:rsid w:val="001465B4"/>
    <w:rsid w:val="001466EC"/>
    <w:rsid w:val="001477C8"/>
    <w:rsid w:val="001478D3"/>
    <w:rsid w:val="00147A43"/>
    <w:rsid w:val="001506D5"/>
    <w:rsid w:val="0015071A"/>
    <w:rsid w:val="0015099A"/>
    <w:rsid w:val="00150A40"/>
    <w:rsid w:val="00150BA5"/>
    <w:rsid w:val="00150ED5"/>
    <w:rsid w:val="00151784"/>
    <w:rsid w:val="00151B60"/>
    <w:rsid w:val="00151FE3"/>
    <w:rsid w:val="001530D5"/>
    <w:rsid w:val="001531BC"/>
    <w:rsid w:val="00154C19"/>
    <w:rsid w:val="00154EDF"/>
    <w:rsid w:val="0015560A"/>
    <w:rsid w:val="00155A8A"/>
    <w:rsid w:val="00155F17"/>
    <w:rsid w:val="00156242"/>
    <w:rsid w:val="001562AA"/>
    <w:rsid w:val="00156786"/>
    <w:rsid w:val="00156F50"/>
    <w:rsid w:val="00157348"/>
    <w:rsid w:val="001578D6"/>
    <w:rsid w:val="00157EDD"/>
    <w:rsid w:val="0016069B"/>
    <w:rsid w:val="001609D0"/>
    <w:rsid w:val="0016156E"/>
    <w:rsid w:val="00161842"/>
    <w:rsid w:val="001618A9"/>
    <w:rsid w:val="0016197C"/>
    <w:rsid w:val="001619B7"/>
    <w:rsid w:val="00162013"/>
    <w:rsid w:val="00162434"/>
    <w:rsid w:val="00162C6E"/>
    <w:rsid w:val="00162D45"/>
    <w:rsid w:val="00163329"/>
    <w:rsid w:val="001633A2"/>
    <w:rsid w:val="00163935"/>
    <w:rsid w:val="00163B0F"/>
    <w:rsid w:val="001641B0"/>
    <w:rsid w:val="001643CC"/>
    <w:rsid w:val="001647B0"/>
    <w:rsid w:val="00164890"/>
    <w:rsid w:val="00165516"/>
    <w:rsid w:val="00165578"/>
    <w:rsid w:val="00165721"/>
    <w:rsid w:val="00165735"/>
    <w:rsid w:val="00165E90"/>
    <w:rsid w:val="00166A54"/>
    <w:rsid w:val="00167071"/>
    <w:rsid w:val="0016780E"/>
    <w:rsid w:val="00170058"/>
    <w:rsid w:val="00170171"/>
    <w:rsid w:val="0017031A"/>
    <w:rsid w:val="0017095B"/>
    <w:rsid w:val="00170C8A"/>
    <w:rsid w:val="00171CA5"/>
    <w:rsid w:val="00171EBF"/>
    <w:rsid w:val="0017212C"/>
    <w:rsid w:val="00172736"/>
    <w:rsid w:val="00173BBA"/>
    <w:rsid w:val="00173BBB"/>
    <w:rsid w:val="0017438F"/>
    <w:rsid w:val="0017458A"/>
    <w:rsid w:val="00174927"/>
    <w:rsid w:val="00174D83"/>
    <w:rsid w:val="00174DEE"/>
    <w:rsid w:val="00174E04"/>
    <w:rsid w:val="00175650"/>
    <w:rsid w:val="00177050"/>
    <w:rsid w:val="00177A86"/>
    <w:rsid w:val="00177B42"/>
    <w:rsid w:val="00180662"/>
    <w:rsid w:val="00180802"/>
    <w:rsid w:val="0018176A"/>
    <w:rsid w:val="001819E7"/>
    <w:rsid w:val="00182B3D"/>
    <w:rsid w:val="00182DEB"/>
    <w:rsid w:val="00183016"/>
    <w:rsid w:val="00183E82"/>
    <w:rsid w:val="00184006"/>
    <w:rsid w:val="0018454B"/>
    <w:rsid w:val="0018537A"/>
    <w:rsid w:val="001854F0"/>
    <w:rsid w:val="00185E06"/>
    <w:rsid w:val="00185EC5"/>
    <w:rsid w:val="00185F39"/>
    <w:rsid w:val="001861C7"/>
    <w:rsid w:val="001878BB"/>
    <w:rsid w:val="00190DEA"/>
    <w:rsid w:val="00191159"/>
    <w:rsid w:val="0019168F"/>
    <w:rsid w:val="00191AE0"/>
    <w:rsid w:val="0019221F"/>
    <w:rsid w:val="00192451"/>
    <w:rsid w:val="0019293B"/>
    <w:rsid w:val="00193AC8"/>
    <w:rsid w:val="00193B75"/>
    <w:rsid w:val="0019425E"/>
    <w:rsid w:val="0019426B"/>
    <w:rsid w:val="001952D4"/>
    <w:rsid w:val="0019601E"/>
    <w:rsid w:val="001965CF"/>
    <w:rsid w:val="001969A7"/>
    <w:rsid w:val="00196C10"/>
    <w:rsid w:val="00196C53"/>
    <w:rsid w:val="001972A2"/>
    <w:rsid w:val="00197F79"/>
    <w:rsid w:val="001A023C"/>
    <w:rsid w:val="001A0621"/>
    <w:rsid w:val="001A0F1C"/>
    <w:rsid w:val="001A11D6"/>
    <w:rsid w:val="001A221F"/>
    <w:rsid w:val="001A3609"/>
    <w:rsid w:val="001A42C0"/>
    <w:rsid w:val="001A4C68"/>
    <w:rsid w:val="001A5262"/>
    <w:rsid w:val="001A5D1F"/>
    <w:rsid w:val="001A5DCC"/>
    <w:rsid w:val="001A6A4B"/>
    <w:rsid w:val="001A6F41"/>
    <w:rsid w:val="001A75E0"/>
    <w:rsid w:val="001B0931"/>
    <w:rsid w:val="001B1CEC"/>
    <w:rsid w:val="001B24E8"/>
    <w:rsid w:val="001B26E9"/>
    <w:rsid w:val="001B27E1"/>
    <w:rsid w:val="001B310C"/>
    <w:rsid w:val="001B330C"/>
    <w:rsid w:val="001B3411"/>
    <w:rsid w:val="001B3ABE"/>
    <w:rsid w:val="001B4A20"/>
    <w:rsid w:val="001B4FAB"/>
    <w:rsid w:val="001B64F2"/>
    <w:rsid w:val="001B71F9"/>
    <w:rsid w:val="001B7AA2"/>
    <w:rsid w:val="001C0682"/>
    <w:rsid w:val="001C0865"/>
    <w:rsid w:val="001C0AED"/>
    <w:rsid w:val="001C168A"/>
    <w:rsid w:val="001C1EA3"/>
    <w:rsid w:val="001C214A"/>
    <w:rsid w:val="001C2FE4"/>
    <w:rsid w:val="001C38F7"/>
    <w:rsid w:val="001C3ABA"/>
    <w:rsid w:val="001C3EBB"/>
    <w:rsid w:val="001C3F23"/>
    <w:rsid w:val="001C4618"/>
    <w:rsid w:val="001C5111"/>
    <w:rsid w:val="001C5293"/>
    <w:rsid w:val="001C5E8A"/>
    <w:rsid w:val="001C6BE9"/>
    <w:rsid w:val="001D05F0"/>
    <w:rsid w:val="001D17A9"/>
    <w:rsid w:val="001D27A3"/>
    <w:rsid w:val="001D2912"/>
    <w:rsid w:val="001D2AF3"/>
    <w:rsid w:val="001D2E94"/>
    <w:rsid w:val="001D314B"/>
    <w:rsid w:val="001D321C"/>
    <w:rsid w:val="001D3241"/>
    <w:rsid w:val="001D3435"/>
    <w:rsid w:val="001D3536"/>
    <w:rsid w:val="001D35CE"/>
    <w:rsid w:val="001D3868"/>
    <w:rsid w:val="001D3D1B"/>
    <w:rsid w:val="001D45F8"/>
    <w:rsid w:val="001D46ED"/>
    <w:rsid w:val="001D51ED"/>
    <w:rsid w:val="001D59B3"/>
    <w:rsid w:val="001D5B96"/>
    <w:rsid w:val="001D6322"/>
    <w:rsid w:val="001D632C"/>
    <w:rsid w:val="001D6469"/>
    <w:rsid w:val="001D681C"/>
    <w:rsid w:val="001D6966"/>
    <w:rsid w:val="001D6A59"/>
    <w:rsid w:val="001D7837"/>
    <w:rsid w:val="001D7C13"/>
    <w:rsid w:val="001E0367"/>
    <w:rsid w:val="001E05B0"/>
    <w:rsid w:val="001E0DC7"/>
    <w:rsid w:val="001E11A0"/>
    <w:rsid w:val="001E14AA"/>
    <w:rsid w:val="001E1789"/>
    <w:rsid w:val="001E1974"/>
    <w:rsid w:val="001E2BBC"/>
    <w:rsid w:val="001E3007"/>
    <w:rsid w:val="001E33BF"/>
    <w:rsid w:val="001E3C93"/>
    <w:rsid w:val="001E5398"/>
    <w:rsid w:val="001E6F31"/>
    <w:rsid w:val="001E7A68"/>
    <w:rsid w:val="001E7BE8"/>
    <w:rsid w:val="001E7F6F"/>
    <w:rsid w:val="001F003D"/>
    <w:rsid w:val="001F0248"/>
    <w:rsid w:val="001F04E9"/>
    <w:rsid w:val="001F0C8B"/>
    <w:rsid w:val="001F0E2E"/>
    <w:rsid w:val="001F15D5"/>
    <w:rsid w:val="001F1D08"/>
    <w:rsid w:val="001F2083"/>
    <w:rsid w:val="001F230A"/>
    <w:rsid w:val="001F33E3"/>
    <w:rsid w:val="001F3AF6"/>
    <w:rsid w:val="001F3EB3"/>
    <w:rsid w:val="001F4F86"/>
    <w:rsid w:val="001F5243"/>
    <w:rsid w:val="001F5D6B"/>
    <w:rsid w:val="001F63F1"/>
    <w:rsid w:val="002029F4"/>
    <w:rsid w:val="00202A36"/>
    <w:rsid w:val="00202C2C"/>
    <w:rsid w:val="00202EE1"/>
    <w:rsid w:val="00203050"/>
    <w:rsid w:val="00203AD5"/>
    <w:rsid w:val="00204597"/>
    <w:rsid w:val="0020481B"/>
    <w:rsid w:val="00204868"/>
    <w:rsid w:val="0020538F"/>
    <w:rsid w:val="002058D3"/>
    <w:rsid w:val="002061B8"/>
    <w:rsid w:val="00206E1E"/>
    <w:rsid w:val="0020736F"/>
    <w:rsid w:val="002076B4"/>
    <w:rsid w:val="0020782B"/>
    <w:rsid w:val="00210031"/>
    <w:rsid w:val="002100F9"/>
    <w:rsid w:val="00211545"/>
    <w:rsid w:val="00212451"/>
    <w:rsid w:val="00212D83"/>
    <w:rsid w:val="00212E02"/>
    <w:rsid w:val="002133CC"/>
    <w:rsid w:val="002135AB"/>
    <w:rsid w:val="00213EA6"/>
    <w:rsid w:val="002144BE"/>
    <w:rsid w:val="002144D4"/>
    <w:rsid w:val="00214D20"/>
    <w:rsid w:val="002152FA"/>
    <w:rsid w:val="00215C7D"/>
    <w:rsid w:val="00216562"/>
    <w:rsid w:val="0021688B"/>
    <w:rsid w:val="00216CFB"/>
    <w:rsid w:val="00216D62"/>
    <w:rsid w:val="00217499"/>
    <w:rsid w:val="002179AC"/>
    <w:rsid w:val="00217B69"/>
    <w:rsid w:val="00220135"/>
    <w:rsid w:val="0022068B"/>
    <w:rsid w:val="00220F0A"/>
    <w:rsid w:val="002216A5"/>
    <w:rsid w:val="0022376C"/>
    <w:rsid w:val="0022389B"/>
    <w:rsid w:val="00223E24"/>
    <w:rsid w:val="002241CD"/>
    <w:rsid w:val="00224684"/>
    <w:rsid w:val="00224CC9"/>
    <w:rsid w:val="0022545E"/>
    <w:rsid w:val="00225688"/>
    <w:rsid w:val="00225ABF"/>
    <w:rsid w:val="00225B2F"/>
    <w:rsid w:val="00225DE8"/>
    <w:rsid w:val="002274A5"/>
    <w:rsid w:val="00227AED"/>
    <w:rsid w:val="002306E2"/>
    <w:rsid w:val="002314A0"/>
    <w:rsid w:val="00232601"/>
    <w:rsid w:val="00232CB2"/>
    <w:rsid w:val="00234A77"/>
    <w:rsid w:val="00234CAD"/>
    <w:rsid w:val="00234DF8"/>
    <w:rsid w:val="00235AAF"/>
    <w:rsid w:val="00235D6F"/>
    <w:rsid w:val="00235E65"/>
    <w:rsid w:val="0023635B"/>
    <w:rsid w:val="00236804"/>
    <w:rsid w:val="00236A95"/>
    <w:rsid w:val="002377E4"/>
    <w:rsid w:val="0023786C"/>
    <w:rsid w:val="002378FD"/>
    <w:rsid w:val="0024006D"/>
    <w:rsid w:val="00242279"/>
    <w:rsid w:val="00242834"/>
    <w:rsid w:val="00242AF7"/>
    <w:rsid w:val="00243997"/>
    <w:rsid w:val="00244A06"/>
    <w:rsid w:val="0024516C"/>
    <w:rsid w:val="00245512"/>
    <w:rsid w:val="00245543"/>
    <w:rsid w:val="00245C82"/>
    <w:rsid w:val="00246495"/>
    <w:rsid w:val="002467A5"/>
    <w:rsid w:val="00246894"/>
    <w:rsid w:val="00246897"/>
    <w:rsid w:val="00246A64"/>
    <w:rsid w:val="00246D60"/>
    <w:rsid w:val="00247063"/>
    <w:rsid w:val="00247657"/>
    <w:rsid w:val="00250470"/>
    <w:rsid w:val="00250FBA"/>
    <w:rsid w:val="00251125"/>
    <w:rsid w:val="00251404"/>
    <w:rsid w:val="00251FA8"/>
    <w:rsid w:val="002523CB"/>
    <w:rsid w:val="0025318C"/>
    <w:rsid w:val="0025325A"/>
    <w:rsid w:val="00253398"/>
    <w:rsid w:val="002537EC"/>
    <w:rsid w:val="0025483B"/>
    <w:rsid w:val="00255A17"/>
    <w:rsid w:val="002563E8"/>
    <w:rsid w:val="0025667C"/>
    <w:rsid w:val="00256811"/>
    <w:rsid w:val="00257950"/>
    <w:rsid w:val="002603F4"/>
    <w:rsid w:val="002604A5"/>
    <w:rsid w:val="00260DD2"/>
    <w:rsid w:val="00261626"/>
    <w:rsid w:val="00261C63"/>
    <w:rsid w:val="00263A4B"/>
    <w:rsid w:val="00263F1E"/>
    <w:rsid w:val="00264070"/>
    <w:rsid w:val="002646E1"/>
    <w:rsid w:val="002647D2"/>
    <w:rsid w:val="00264C1E"/>
    <w:rsid w:val="002650BC"/>
    <w:rsid w:val="002650BF"/>
    <w:rsid w:val="00265774"/>
    <w:rsid w:val="002657AA"/>
    <w:rsid w:val="00265C81"/>
    <w:rsid w:val="00265DD0"/>
    <w:rsid w:val="00265E9A"/>
    <w:rsid w:val="0026634D"/>
    <w:rsid w:val="00266E68"/>
    <w:rsid w:val="002673BB"/>
    <w:rsid w:val="00267555"/>
    <w:rsid w:val="00267F11"/>
    <w:rsid w:val="00270391"/>
    <w:rsid w:val="00270612"/>
    <w:rsid w:val="0027106C"/>
    <w:rsid w:val="002721BE"/>
    <w:rsid w:val="002724BA"/>
    <w:rsid w:val="00272B1B"/>
    <w:rsid w:val="00272D9F"/>
    <w:rsid w:val="002731F5"/>
    <w:rsid w:val="00273709"/>
    <w:rsid w:val="002737EE"/>
    <w:rsid w:val="00274328"/>
    <w:rsid w:val="00274530"/>
    <w:rsid w:val="00274D77"/>
    <w:rsid w:val="00275374"/>
    <w:rsid w:val="00275415"/>
    <w:rsid w:val="0027566B"/>
    <w:rsid w:val="0027587F"/>
    <w:rsid w:val="002758DC"/>
    <w:rsid w:val="00275A29"/>
    <w:rsid w:val="00275BC3"/>
    <w:rsid w:val="0027631A"/>
    <w:rsid w:val="0027667C"/>
    <w:rsid w:val="0027706E"/>
    <w:rsid w:val="0027786D"/>
    <w:rsid w:val="00280416"/>
    <w:rsid w:val="002811D0"/>
    <w:rsid w:val="00281C50"/>
    <w:rsid w:val="00282057"/>
    <w:rsid w:val="00282188"/>
    <w:rsid w:val="00282EDD"/>
    <w:rsid w:val="0028344D"/>
    <w:rsid w:val="00283788"/>
    <w:rsid w:val="00283F9C"/>
    <w:rsid w:val="0028473D"/>
    <w:rsid w:val="00284C69"/>
    <w:rsid w:val="00284E96"/>
    <w:rsid w:val="002850F9"/>
    <w:rsid w:val="00285443"/>
    <w:rsid w:val="00285913"/>
    <w:rsid w:val="00286DF6"/>
    <w:rsid w:val="00286F30"/>
    <w:rsid w:val="002876F6"/>
    <w:rsid w:val="0028788F"/>
    <w:rsid w:val="00287C29"/>
    <w:rsid w:val="00290869"/>
    <w:rsid w:val="00290E46"/>
    <w:rsid w:val="002915E9"/>
    <w:rsid w:val="00291B40"/>
    <w:rsid w:val="00292D48"/>
    <w:rsid w:val="0029318C"/>
    <w:rsid w:val="00293629"/>
    <w:rsid w:val="002942FF"/>
    <w:rsid w:val="00294548"/>
    <w:rsid w:val="00294F4B"/>
    <w:rsid w:val="00294F5A"/>
    <w:rsid w:val="00295932"/>
    <w:rsid w:val="00295D02"/>
    <w:rsid w:val="00295D08"/>
    <w:rsid w:val="00296053"/>
    <w:rsid w:val="002972E2"/>
    <w:rsid w:val="0029744D"/>
    <w:rsid w:val="00297D34"/>
    <w:rsid w:val="00297EC0"/>
    <w:rsid w:val="002A012E"/>
    <w:rsid w:val="002A0137"/>
    <w:rsid w:val="002A0328"/>
    <w:rsid w:val="002A04CE"/>
    <w:rsid w:val="002A05FC"/>
    <w:rsid w:val="002A1560"/>
    <w:rsid w:val="002A1E2C"/>
    <w:rsid w:val="002A258C"/>
    <w:rsid w:val="002A2607"/>
    <w:rsid w:val="002A2611"/>
    <w:rsid w:val="002A2AB4"/>
    <w:rsid w:val="002A2D76"/>
    <w:rsid w:val="002A2E40"/>
    <w:rsid w:val="002A3926"/>
    <w:rsid w:val="002A4112"/>
    <w:rsid w:val="002A41C5"/>
    <w:rsid w:val="002A4C8B"/>
    <w:rsid w:val="002A5B32"/>
    <w:rsid w:val="002A5DDF"/>
    <w:rsid w:val="002A5F27"/>
    <w:rsid w:val="002A6031"/>
    <w:rsid w:val="002A620F"/>
    <w:rsid w:val="002A659F"/>
    <w:rsid w:val="002A66E7"/>
    <w:rsid w:val="002A6870"/>
    <w:rsid w:val="002A71F8"/>
    <w:rsid w:val="002A76D0"/>
    <w:rsid w:val="002A7917"/>
    <w:rsid w:val="002B0B94"/>
    <w:rsid w:val="002B0FC0"/>
    <w:rsid w:val="002B150E"/>
    <w:rsid w:val="002B1F77"/>
    <w:rsid w:val="002B20E7"/>
    <w:rsid w:val="002B2DE3"/>
    <w:rsid w:val="002B3A76"/>
    <w:rsid w:val="002B3C22"/>
    <w:rsid w:val="002B4008"/>
    <w:rsid w:val="002B40F8"/>
    <w:rsid w:val="002B41B0"/>
    <w:rsid w:val="002B495B"/>
    <w:rsid w:val="002B5BDA"/>
    <w:rsid w:val="002B64D2"/>
    <w:rsid w:val="002B7804"/>
    <w:rsid w:val="002B79CF"/>
    <w:rsid w:val="002C0950"/>
    <w:rsid w:val="002C1AE8"/>
    <w:rsid w:val="002C21D3"/>
    <w:rsid w:val="002C24D3"/>
    <w:rsid w:val="002C26A3"/>
    <w:rsid w:val="002C3EB4"/>
    <w:rsid w:val="002C4377"/>
    <w:rsid w:val="002C439F"/>
    <w:rsid w:val="002C4D30"/>
    <w:rsid w:val="002C525B"/>
    <w:rsid w:val="002C6FF2"/>
    <w:rsid w:val="002C7322"/>
    <w:rsid w:val="002C7440"/>
    <w:rsid w:val="002C772E"/>
    <w:rsid w:val="002C7D4F"/>
    <w:rsid w:val="002D00C2"/>
    <w:rsid w:val="002D0B05"/>
    <w:rsid w:val="002D0C42"/>
    <w:rsid w:val="002D0E8E"/>
    <w:rsid w:val="002D114F"/>
    <w:rsid w:val="002D1565"/>
    <w:rsid w:val="002D15FE"/>
    <w:rsid w:val="002D2834"/>
    <w:rsid w:val="002D2A31"/>
    <w:rsid w:val="002D2F2A"/>
    <w:rsid w:val="002D3178"/>
    <w:rsid w:val="002D4103"/>
    <w:rsid w:val="002D469A"/>
    <w:rsid w:val="002D4830"/>
    <w:rsid w:val="002D5320"/>
    <w:rsid w:val="002D53B9"/>
    <w:rsid w:val="002D5C53"/>
    <w:rsid w:val="002D5D48"/>
    <w:rsid w:val="002D6114"/>
    <w:rsid w:val="002D718D"/>
    <w:rsid w:val="002D7797"/>
    <w:rsid w:val="002E0284"/>
    <w:rsid w:val="002E0EA5"/>
    <w:rsid w:val="002E14AB"/>
    <w:rsid w:val="002E3397"/>
    <w:rsid w:val="002E43B2"/>
    <w:rsid w:val="002E44D6"/>
    <w:rsid w:val="002E48F8"/>
    <w:rsid w:val="002E4F99"/>
    <w:rsid w:val="002E6993"/>
    <w:rsid w:val="002E699A"/>
    <w:rsid w:val="002E69E8"/>
    <w:rsid w:val="002F14C8"/>
    <w:rsid w:val="002F1960"/>
    <w:rsid w:val="002F23B0"/>
    <w:rsid w:val="002F28A0"/>
    <w:rsid w:val="002F2B0C"/>
    <w:rsid w:val="002F30E7"/>
    <w:rsid w:val="002F4467"/>
    <w:rsid w:val="002F5B2A"/>
    <w:rsid w:val="002F6155"/>
    <w:rsid w:val="002F7106"/>
    <w:rsid w:val="002F7A75"/>
    <w:rsid w:val="003000A7"/>
    <w:rsid w:val="003004AB"/>
    <w:rsid w:val="00301189"/>
    <w:rsid w:val="00301E4A"/>
    <w:rsid w:val="003023A9"/>
    <w:rsid w:val="003028F2"/>
    <w:rsid w:val="00302BF0"/>
    <w:rsid w:val="00303489"/>
    <w:rsid w:val="00303767"/>
    <w:rsid w:val="00303B70"/>
    <w:rsid w:val="003044A4"/>
    <w:rsid w:val="0030596F"/>
    <w:rsid w:val="0030598D"/>
    <w:rsid w:val="00305C3D"/>
    <w:rsid w:val="00305F93"/>
    <w:rsid w:val="00306395"/>
    <w:rsid w:val="00306755"/>
    <w:rsid w:val="00306910"/>
    <w:rsid w:val="00306DC1"/>
    <w:rsid w:val="003077E4"/>
    <w:rsid w:val="00307CB6"/>
    <w:rsid w:val="00310052"/>
    <w:rsid w:val="003102E1"/>
    <w:rsid w:val="00310CB7"/>
    <w:rsid w:val="00310E28"/>
    <w:rsid w:val="0031306C"/>
    <w:rsid w:val="003130D3"/>
    <w:rsid w:val="0031318A"/>
    <w:rsid w:val="0031354C"/>
    <w:rsid w:val="00313DAE"/>
    <w:rsid w:val="00314201"/>
    <w:rsid w:val="00314659"/>
    <w:rsid w:val="00314753"/>
    <w:rsid w:val="00314C06"/>
    <w:rsid w:val="00314F30"/>
    <w:rsid w:val="00315052"/>
    <w:rsid w:val="003152EA"/>
    <w:rsid w:val="0031531F"/>
    <w:rsid w:val="00315B83"/>
    <w:rsid w:val="003162F8"/>
    <w:rsid w:val="003168B8"/>
    <w:rsid w:val="0031721E"/>
    <w:rsid w:val="00320F4B"/>
    <w:rsid w:val="003219E5"/>
    <w:rsid w:val="00321DB6"/>
    <w:rsid w:val="00322D64"/>
    <w:rsid w:val="00323E09"/>
    <w:rsid w:val="0032425B"/>
    <w:rsid w:val="00324430"/>
    <w:rsid w:val="00324C7D"/>
    <w:rsid w:val="00325789"/>
    <w:rsid w:val="00326363"/>
    <w:rsid w:val="00326A9E"/>
    <w:rsid w:val="003271EB"/>
    <w:rsid w:val="00327DB6"/>
    <w:rsid w:val="00327E39"/>
    <w:rsid w:val="00327F1C"/>
    <w:rsid w:val="003303AA"/>
    <w:rsid w:val="003315E3"/>
    <w:rsid w:val="00331650"/>
    <w:rsid w:val="00331C49"/>
    <w:rsid w:val="003337A2"/>
    <w:rsid w:val="00333932"/>
    <w:rsid w:val="00333EF5"/>
    <w:rsid w:val="00334012"/>
    <w:rsid w:val="003345FD"/>
    <w:rsid w:val="003346F3"/>
    <w:rsid w:val="003363EB"/>
    <w:rsid w:val="00336406"/>
    <w:rsid w:val="00336E8C"/>
    <w:rsid w:val="003371C1"/>
    <w:rsid w:val="00337A31"/>
    <w:rsid w:val="00337E49"/>
    <w:rsid w:val="00340C43"/>
    <w:rsid w:val="003411B5"/>
    <w:rsid w:val="00341546"/>
    <w:rsid w:val="00341BC0"/>
    <w:rsid w:val="0034271E"/>
    <w:rsid w:val="003429F6"/>
    <w:rsid w:val="00342C14"/>
    <w:rsid w:val="003442D1"/>
    <w:rsid w:val="00344360"/>
    <w:rsid w:val="00344B32"/>
    <w:rsid w:val="00344D4E"/>
    <w:rsid w:val="00344F31"/>
    <w:rsid w:val="003462CC"/>
    <w:rsid w:val="00346F47"/>
    <w:rsid w:val="00350E8E"/>
    <w:rsid w:val="003510B7"/>
    <w:rsid w:val="0035148A"/>
    <w:rsid w:val="003518AA"/>
    <w:rsid w:val="00351F6F"/>
    <w:rsid w:val="00352165"/>
    <w:rsid w:val="003526B2"/>
    <w:rsid w:val="00353182"/>
    <w:rsid w:val="00353A75"/>
    <w:rsid w:val="00353EEE"/>
    <w:rsid w:val="00353EF9"/>
    <w:rsid w:val="00353F3A"/>
    <w:rsid w:val="003557A3"/>
    <w:rsid w:val="0035592A"/>
    <w:rsid w:val="00355980"/>
    <w:rsid w:val="00355FD6"/>
    <w:rsid w:val="00356071"/>
    <w:rsid w:val="003562AC"/>
    <w:rsid w:val="003565D9"/>
    <w:rsid w:val="00356EA0"/>
    <w:rsid w:val="00356EAD"/>
    <w:rsid w:val="003571C7"/>
    <w:rsid w:val="00357D9C"/>
    <w:rsid w:val="003601CD"/>
    <w:rsid w:val="003602E1"/>
    <w:rsid w:val="0036031F"/>
    <w:rsid w:val="00360C8D"/>
    <w:rsid w:val="003614B9"/>
    <w:rsid w:val="003625B7"/>
    <w:rsid w:val="00362C16"/>
    <w:rsid w:val="0036359F"/>
    <w:rsid w:val="00363EEB"/>
    <w:rsid w:val="0036403C"/>
    <w:rsid w:val="00364278"/>
    <w:rsid w:val="00364BCA"/>
    <w:rsid w:val="00365994"/>
    <w:rsid w:val="003664F5"/>
    <w:rsid w:val="00366989"/>
    <w:rsid w:val="00367187"/>
    <w:rsid w:val="00367A9A"/>
    <w:rsid w:val="0037026F"/>
    <w:rsid w:val="00371240"/>
    <w:rsid w:val="00371B8A"/>
    <w:rsid w:val="0037267C"/>
    <w:rsid w:val="0037286E"/>
    <w:rsid w:val="00372E16"/>
    <w:rsid w:val="0037450B"/>
    <w:rsid w:val="0037462E"/>
    <w:rsid w:val="00374731"/>
    <w:rsid w:val="0037544C"/>
    <w:rsid w:val="00375C1A"/>
    <w:rsid w:val="00375E11"/>
    <w:rsid w:val="003761C4"/>
    <w:rsid w:val="00376E59"/>
    <w:rsid w:val="0037712E"/>
    <w:rsid w:val="00377BF6"/>
    <w:rsid w:val="00377EB4"/>
    <w:rsid w:val="00377EC1"/>
    <w:rsid w:val="00377FF7"/>
    <w:rsid w:val="0038016B"/>
    <w:rsid w:val="00380340"/>
    <w:rsid w:val="00380504"/>
    <w:rsid w:val="00381AE3"/>
    <w:rsid w:val="00382C17"/>
    <w:rsid w:val="00382CE1"/>
    <w:rsid w:val="00382D20"/>
    <w:rsid w:val="00383026"/>
    <w:rsid w:val="0038332E"/>
    <w:rsid w:val="00383440"/>
    <w:rsid w:val="0038376C"/>
    <w:rsid w:val="00383A27"/>
    <w:rsid w:val="00383F68"/>
    <w:rsid w:val="00384A74"/>
    <w:rsid w:val="00384DE2"/>
    <w:rsid w:val="0038505B"/>
    <w:rsid w:val="00385154"/>
    <w:rsid w:val="003855BF"/>
    <w:rsid w:val="00385D1A"/>
    <w:rsid w:val="003868C5"/>
    <w:rsid w:val="00386903"/>
    <w:rsid w:val="00386A69"/>
    <w:rsid w:val="00386DE0"/>
    <w:rsid w:val="00387457"/>
    <w:rsid w:val="00387CF1"/>
    <w:rsid w:val="00390008"/>
    <w:rsid w:val="003900CF"/>
    <w:rsid w:val="00390407"/>
    <w:rsid w:val="00390667"/>
    <w:rsid w:val="00390844"/>
    <w:rsid w:val="003910DB"/>
    <w:rsid w:val="003919F9"/>
    <w:rsid w:val="00391EB8"/>
    <w:rsid w:val="003920CF"/>
    <w:rsid w:val="0039222C"/>
    <w:rsid w:val="0039248A"/>
    <w:rsid w:val="00392CF7"/>
    <w:rsid w:val="00392D77"/>
    <w:rsid w:val="00392DC0"/>
    <w:rsid w:val="003936C7"/>
    <w:rsid w:val="00393FDE"/>
    <w:rsid w:val="0039477D"/>
    <w:rsid w:val="00394F92"/>
    <w:rsid w:val="003953F4"/>
    <w:rsid w:val="0039545D"/>
    <w:rsid w:val="00395CA7"/>
    <w:rsid w:val="003961EE"/>
    <w:rsid w:val="003965A8"/>
    <w:rsid w:val="003966BD"/>
    <w:rsid w:val="00396CA0"/>
    <w:rsid w:val="00396EF0"/>
    <w:rsid w:val="00397589"/>
    <w:rsid w:val="0039769E"/>
    <w:rsid w:val="00397BFD"/>
    <w:rsid w:val="00397C7E"/>
    <w:rsid w:val="003A033B"/>
    <w:rsid w:val="003A071D"/>
    <w:rsid w:val="003A1377"/>
    <w:rsid w:val="003A172D"/>
    <w:rsid w:val="003A1FF7"/>
    <w:rsid w:val="003A2DBA"/>
    <w:rsid w:val="003A2FB8"/>
    <w:rsid w:val="003A3A1C"/>
    <w:rsid w:val="003A417B"/>
    <w:rsid w:val="003A5BAA"/>
    <w:rsid w:val="003A65B2"/>
    <w:rsid w:val="003A6A42"/>
    <w:rsid w:val="003A737B"/>
    <w:rsid w:val="003A7A67"/>
    <w:rsid w:val="003A7B8F"/>
    <w:rsid w:val="003A7F47"/>
    <w:rsid w:val="003B010D"/>
    <w:rsid w:val="003B13AE"/>
    <w:rsid w:val="003B1A50"/>
    <w:rsid w:val="003B1FC8"/>
    <w:rsid w:val="003B23C2"/>
    <w:rsid w:val="003B2BCF"/>
    <w:rsid w:val="003B3163"/>
    <w:rsid w:val="003B31A1"/>
    <w:rsid w:val="003B3260"/>
    <w:rsid w:val="003B4891"/>
    <w:rsid w:val="003B5568"/>
    <w:rsid w:val="003B59A5"/>
    <w:rsid w:val="003B59D3"/>
    <w:rsid w:val="003B5AAC"/>
    <w:rsid w:val="003B650E"/>
    <w:rsid w:val="003B7096"/>
    <w:rsid w:val="003B75E6"/>
    <w:rsid w:val="003B7674"/>
    <w:rsid w:val="003B76AA"/>
    <w:rsid w:val="003C00F9"/>
    <w:rsid w:val="003C0466"/>
    <w:rsid w:val="003C0FE2"/>
    <w:rsid w:val="003C14F0"/>
    <w:rsid w:val="003C14F4"/>
    <w:rsid w:val="003C1763"/>
    <w:rsid w:val="003C1811"/>
    <w:rsid w:val="003C1A34"/>
    <w:rsid w:val="003C26D5"/>
    <w:rsid w:val="003C284C"/>
    <w:rsid w:val="003C2EB0"/>
    <w:rsid w:val="003C341E"/>
    <w:rsid w:val="003C34E9"/>
    <w:rsid w:val="003C38B5"/>
    <w:rsid w:val="003C3A86"/>
    <w:rsid w:val="003C4781"/>
    <w:rsid w:val="003C4A0D"/>
    <w:rsid w:val="003C4B6E"/>
    <w:rsid w:val="003C5D99"/>
    <w:rsid w:val="003C66D8"/>
    <w:rsid w:val="003C69E2"/>
    <w:rsid w:val="003C748C"/>
    <w:rsid w:val="003C79C6"/>
    <w:rsid w:val="003C7D83"/>
    <w:rsid w:val="003D0DD3"/>
    <w:rsid w:val="003D0FAB"/>
    <w:rsid w:val="003D1087"/>
    <w:rsid w:val="003D1398"/>
    <w:rsid w:val="003D16FE"/>
    <w:rsid w:val="003D2FC6"/>
    <w:rsid w:val="003D3337"/>
    <w:rsid w:val="003D4453"/>
    <w:rsid w:val="003D468D"/>
    <w:rsid w:val="003D5417"/>
    <w:rsid w:val="003D5633"/>
    <w:rsid w:val="003D56CF"/>
    <w:rsid w:val="003D5878"/>
    <w:rsid w:val="003D591B"/>
    <w:rsid w:val="003D5B26"/>
    <w:rsid w:val="003D674E"/>
    <w:rsid w:val="003D7245"/>
    <w:rsid w:val="003D7AF3"/>
    <w:rsid w:val="003E0143"/>
    <w:rsid w:val="003E042F"/>
    <w:rsid w:val="003E09E0"/>
    <w:rsid w:val="003E0F43"/>
    <w:rsid w:val="003E127A"/>
    <w:rsid w:val="003E1F5E"/>
    <w:rsid w:val="003E2526"/>
    <w:rsid w:val="003E28B0"/>
    <w:rsid w:val="003E2EF1"/>
    <w:rsid w:val="003E2F59"/>
    <w:rsid w:val="003E32EF"/>
    <w:rsid w:val="003E4A3B"/>
    <w:rsid w:val="003E5625"/>
    <w:rsid w:val="003E5FBB"/>
    <w:rsid w:val="003E60C2"/>
    <w:rsid w:val="003E61C1"/>
    <w:rsid w:val="003E6B78"/>
    <w:rsid w:val="003E6D7C"/>
    <w:rsid w:val="003E714A"/>
    <w:rsid w:val="003E746B"/>
    <w:rsid w:val="003E7E36"/>
    <w:rsid w:val="003F0789"/>
    <w:rsid w:val="003F0A03"/>
    <w:rsid w:val="003F0D66"/>
    <w:rsid w:val="003F11A3"/>
    <w:rsid w:val="003F1495"/>
    <w:rsid w:val="003F14A2"/>
    <w:rsid w:val="003F184C"/>
    <w:rsid w:val="003F2B58"/>
    <w:rsid w:val="003F4554"/>
    <w:rsid w:val="003F5FF6"/>
    <w:rsid w:val="003F6E98"/>
    <w:rsid w:val="003F717D"/>
    <w:rsid w:val="003F71A4"/>
    <w:rsid w:val="003F72DB"/>
    <w:rsid w:val="003F7700"/>
    <w:rsid w:val="003F7B8A"/>
    <w:rsid w:val="004008F4"/>
    <w:rsid w:val="00400BE8"/>
    <w:rsid w:val="00401297"/>
    <w:rsid w:val="0040134F"/>
    <w:rsid w:val="0040137D"/>
    <w:rsid w:val="00401882"/>
    <w:rsid w:val="00401A85"/>
    <w:rsid w:val="00402256"/>
    <w:rsid w:val="004027B5"/>
    <w:rsid w:val="0040335E"/>
    <w:rsid w:val="00403B27"/>
    <w:rsid w:val="00403E4D"/>
    <w:rsid w:val="00403FA8"/>
    <w:rsid w:val="00404929"/>
    <w:rsid w:val="00405AD6"/>
    <w:rsid w:val="00405AFF"/>
    <w:rsid w:val="004061C0"/>
    <w:rsid w:val="0040649A"/>
    <w:rsid w:val="004064D1"/>
    <w:rsid w:val="004100C8"/>
    <w:rsid w:val="0041039D"/>
    <w:rsid w:val="00410793"/>
    <w:rsid w:val="00410C20"/>
    <w:rsid w:val="00410E53"/>
    <w:rsid w:val="00411468"/>
    <w:rsid w:val="00411625"/>
    <w:rsid w:val="0041199D"/>
    <w:rsid w:val="004119AC"/>
    <w:rsid w:val="00411DBD"/>
    <w:rsid w:val="00412ACE"/>
    <w:rsid w:val="00412BA3"/>
    <w:rsid w:val="00413CDC"/>
    <w:rsid w:val="004145D2"/>
    <w:rsid w:val="00414FD3"/>
    <w:rsid w:val="004151A2"/>
    <w:rsid w:val="00415BBA"/>
    <w:rsid w:val="00415F1C"/>
    <w:rsid w:val="00416108"/>
    <w:rsid w:val="004162A2"/>
    <w:rsid w:val="004164C8"/>
    <w:rsid w:val="0041673C"/>
    <w:rsid w:val="00416860"/>
    <w:rsid w:val="00416876"/>
    <w:rsid w:val="0041693F"/>
    <w:rsid w:val="00416A57"/>
    <w:rsid w:val="00416F6D"/>
    <w:rsid w:val="00417089"/>
    <w:rsid w:val="0041758D"/>
    <w:rsid w:val="00417B3A"/>
    <w:rsid w:val="00417CF2"/>
    <w:rsid w:val="00417DF6"/>
    <w:rsid w:val="00417EB6"/>
    <w:rsid w:val="00417EBA"/>
    <w:rsid w:val="00420651"/>
    <w:rsid w:val="00420C47"/>
    <w:rsid w:val="00420CF0"/>
    <w:rsid w:val="004211EE"/>
    <w:rsid w:val="00421BB4"/>
    <w:rsid w:val="00422666"/>
    <w:rsid w:val="00422743"/>
    <w:rsid w:val="004230A5"/>
    <w:rsid w:val="004234D0"/>
    <w:rsid w:val="0042442E"/>
    <w:rsid w:val="00424B26"/>
    <w:rsid w:val="00424BB4"/>
    <w:rsid w:val="00424F55"/>
    <w:rsid w:val="00425C28"/>
    <w:rsid w:val="00426ADB"/>
    <w:rsid w:val="00426CB4"/>
    <w:rsid w:val="00426D15"/>
    <w:rsid w:val="00426E15"/>
    <w:rsid w:val="004274EC"/>
    <w:rsid w:val="0043000E"/>
    <w:rsid w:val="00430DEB"/>
    <w:rsid w:val="00431249"/>
    <w:rsid w:val="0043153E"/>
    <w:rsid w:val="00433274"/>
    <w:rsid w:val="004346CF"/>
    <w:rsid w:val="00434B5E"/>
    <w:rsid w:val="00434C19"/>
    <w:rsid w:val="0043533C"/>
    <w:rsid w:val="00435A1C"/>
    <w:rsid w:val="00436C8C"/>
    <w:rsid w:val="0043716A"/>
    <w:rsid w:val="0043769A"/>
    <w:rsid w:val="004376A5"/>
    <w:rsid w:val="00437754"/>
    <w:rsid w:val="004377B9"/>
    <w:rsid w:val="00437E97"/>
    <w:rsid w:val="00440272"/>
    <w:rsid w:val="00440309"/>
    <w:rsid w:val="0044109A"/>
    <w:rsid w:val="00441178"/>
    <w:rsid w:val="004414F1"/>
    <w:rsid w:val="00441885"/>
    <w:rsid w:val="00441F69"/>
    <w:rsid w:val="00442329"/>
    <w:rsid w:val="0044309C"/>
    <w:rsid w:val="00443237"/>
    <w:rsid w:val="004435C7"/>
    <w:rsid w:val="004436B4"/>
    <w:rsid w:val="00443C5C"/>
    <w:rsid w:val="00443CF7"/>
    <w:rsid w:val="00443F4F"/>
    <w:rsid w:val="00443F51"/>
    <w:rsid w:val="00444038"/>
    <w:rsid w:val="0044491A"/>
    <w:rsid w:val="00444C0C"/>
    <w:rsid w:val="004452DA"/>
    <w:rsid w:val="00445A40"/>
    <w:rsid w:val="0044630C"/>
    <w:rsid w:val="00446678"/>
    <w:rsid w:val="004467F2"/>
    <w:rsid w:val="00446A1A"/>
    <w:rsid w:val="0044700F"/>
    <w:rsid w:val="00450810"/>
    <w:rsid w:val="004518BB"/>
    <w:rsid w:val="00451AFD"/>
    <w:rsid w:val="00451BA1"/>
    <w:rsid w:val="00451E08"/>
    <w:rsid w:val="0045220F"/>
    <w:rsid w:val="00452BBA"/>
    <w:rsid w:val="004547F4"/>
    <w:rsid w:val="00454CF5"/>
    <w:rsid w:val="00454EE1"/>
    <w:rsid w:val="004561B3"/>
    <w:rsid w:val="00456509"/>
    <w:rsid w:val="00456524"/>
    <w:rsid w:val="00456B4F"/>
    <w:rsid w:val="00456CAB"/>
    <w:rsid w:val="00456E38"/>
    <w:rsid w:val="00456EB1"/>
    <w:rsid w:val="00460574"/>
    <w:rsid w:val="00460D48"/>
    <w:rsid w:val="00460F20"/>
    <w:rsid w:val="00461953"/>
    <w:rsid w:val="00462C59"/>
    <w:rsid w:val="00462C67"/>
    <w:rsid w:val="0046314A"/>
    <w:rsid w:val="0046332D"/>
    <w:rsid w:val="004633E8"/>
    <w:rsid w:val="004633FE"/>
    <w:rsid w:val="00463A8B"/>
    <w:rsid w:val="00464A9D"/>
    <w:rsid w:val="00464F86"/>
    <w:rsid w:val="0046543C"/>
    <w:rsid w:val="00465B4F"/>
    <w:rsid w:val="00466335"/>
    <w:rsid w:val="00467540"/>
    <w:rsid w:val="00467AF3"/>
    <w:rsid w:val="00470737"/>
    <w:rsid w:val="00470957"/>
    <w:rsid w:val="00470FAE"/>
    <w:rsid w:val="0047114E"/>
    <w:rsid w:val="00472054"/>
    <w:rsid w:val="004720EE"/>
    <w:rsid w:val="0047251B"/>
    <w:rsid w:val="00473D85"/>
    <w:rsid w:val="004747A7"/>
    <w:rsid w:val="00474C2D"/>
    <w:rsid w:val="00474D7F"/>
    <w:rsid w:val="0047518C"/>
    <w:rsid w:val="004765F6"/>
    <w:rsid w:val="00476E09"/>
    <w:rsid w:val="00476E96"/>
    <w:rsid w:val="00477144"/>
    <w:rsid w:val="00477E4F"/>
    <w:rsid w:val="0048014A"/>
    <w:rsid w:val="0048018C"/>
    <w:rsid w:val="004806B4"/>
    <w:rsid w:val="00480C82"/>
    <w:rsid w:val="00481DC6"/>
    <w:rsid w:val="00482202"/>
    <w:rsid w:val="00482922"/>
    <w:rsid w:val="004832CD"/>
    <w:rsid w:val="00483ADA"/>
    <w:rsid w:val="00483B98"/>
    <w:rsid w:val="00483D04"/>
    <w:rsid w:val="004849E5"/>
    <w:rsid w:val="00485652"/>
    <w:rsid w:val="004858F2"/>
    <w:rsid w:val="00485C0C"/>
    <w:rsid w:val="00486524"/>
    <w:rsid w:val="00486C02"/>
    <w:rsid w:val="00486CBE"/>
    <w:rsid w:val="0048786B"/>
    <w:rsid w:val="00490180"/>
    <w:rsid w:val="00490393"/>
    <w:rsid w:val="004907C4"/>
    <w:rsid w:val="00490B85"/>
    <w:rsid w:val="004910B2"/>
    <w:rsid w:val="00491185"/>
    <w:rsid w:val="00491380"/>
    <w:rsid w:val="004923BD"/>
    <w:rsid w:val="00492A09"/>
    <w:rsid w:val="004931DD"/>
    <w:rsid w:val="004935D3"/>
    <w:rsid w:val="0049378B"/>
    <w:rsid w:val="00494330"/>
    <w:rsid w:val="00494542"/>
    <w:rsid w:val="0049459F"/>
    <w:rsid w:val="00494609"/>
    <w:rsid w:val="004946DF"/>
    <w:rsid w:val="00494713"/>
    <w:rsid w:val="00494736"/>
    <w:rsid w:val="00495A45"/>
    <w:rsid w:val="00495E5E"/>
    <w:rsid w:val="00495FCB"/>
    <w:rsid w:val="004961CC"/>
    <w:rsid w:val="00496E05"/>
    <w:rsid w:val="00497123"/>
    <w:rsid w:val="00497524"/>
    <w:rsid w:val="0049797E"/>
    <w:rsid w:val="00497A32"/>
    <w:rsid w:val="00497FF8"/>
    <w:rsid w:val="004A0814"/>
    <w:rsid w:val="004A111D"/>
    <w:rsid w:val="004A149B"/>
    <w:rsid w:val="004A1CE6"/>
    <w:rsid w:val="004A206E"/>
    <w:rsid w:val="004A210F"/>
    <w:rsid w:val="004A222C"/>
    <w:rsid w:val="004A2C21"/>
    <w:rsid w:val="004A31B4"/>
    <w:rsid w:val="004A326C"/>
    <w:rsid w:val="004A3274"/>
    <w:rsid w:val="004A38DD"/>
    <w:rsid w:val="004A45A6"/>
    <w:rsid w:val="004A4C0D"/>
    <w:rsid w:val="004A4DBD"/>
    <w:rsid w:val="004A5634"/>
    <w:rsid w:val="004A5B81"/>
    <w:rsid w:val="004A5DE8"/>
    <w:rsid w:val="004A6DE2"/>
    <w:rsid w:val="004A7067"/>
    <w:rsid w:val="004A716F"/>
    <w:rsid w:val="004A7432"/>
    <w:rsid w:val="004B0039"/>
    <w:rsid w:val="004B07BF"/>
    <w:rsid w:val="004B0A58"/>
    <w:rsid w:val="004B0ECD"/>
    <w:rsid w:val="004B10FA"/>
    <w:rsid w:val="004B1968"/>
    <w:rsid w:val="004B1BB1"/>
    <w:rsid w:val="004B1E69"/>
    <w:rsid w:val="004B20B7"/>
    <w:rsid w:val="004B25E8"/>
    <w:rsid w:val="004B2A91"/>
    <w:rsid w:val="004B3376"/>
    <w:rsid w:val="004B3B94"/>
    <w:rsid w:val="004B3C16"/>
    <w:rsid w:val="004B3C89"/>
    <w:rsid w:val="004B43AE"/>
    <w:rsid w:val="004B48BE"/>
    <w:rsid w:val="004B4A70"/>
    <w:rsid w:val="004B56A8"/>
    <w:rsid w:val="004B5BA8"/>
    <w:rsid w:val="004B64D6"/>
    <w:rsid w:val="004B6EF8"/>
    <w:rsid w:val="004B7EDD"/>
    <w:rsid w:val="004B7FDD"/>
    <w:rsid w:val="004C0C07"/>
    <w:rsid w:val="004C0C3C"/>
    <w:rsid w:val="004C1062"/>
    <w:rsid w:val="004C1554"/>
    <w:rsid w:val="004C242B"/>
    <w:rsid w:val="004C27C4"/>
    <w:rsid w:val="004C2EA7"/>
    <w:rsid w:val="004C30ED"/>
    <w:rsid w:val="004C3E2F"/>
    <w:rsid w:val="004C3ED3"/>
    <w:rsid w:val="004C402A"/>
    <w:rsid w:val="004C40CF"/>
    <w:rsid w:val="004C515E"/>
    <w:rsid w:val="004C5485"/>
    <w:rsid w:val="004C576C"/>
    <w:rsid w:val="004C69B3"/>
    <w:rsid w:val="004C6AAC"/>
    <w:rsid w:val="004C6FAF"/>
    <w:rsid w:val="004C7DE8"/>
    <w:rsid w:val="004D12C2"/>
    <w:rsid w:val="004D180C"/>
    <w:rsid w:val="004D2A9C"/>
    <w:rsid w:val="004D34F5"/>
    <w:rsid w:val="004D37EF"/>
    <w:rsid w:val="004D484E"/>
    <w:rsid w:val="004D4BB3"/>
    <w:rsid w:val="004D4BE6"/>
    <w:rsid w:val="004D4BF8"/>
    <w:rsid w:val="004D5675"/>
    <w:rsid w:val="004D5699"/>
    <w:rsid w:val="004D5BB3"/>
    <w:rsid w:val="004D6236"/>
    <w:rsid w:val="004D63B4"/>
    <w:rsid w:val="004D6729"/>
    <w:rsid w:val="004D69A6"/>
    <w:rsid w:val="004D727D"/>
    <w:rsid w:val="004D75B6"/>
    <w:rsid w:val="004D77A0"/>
    <w:rsid w:val="004D77FC"/>
    <w:rsid w:val="004D7B61"/>
    <w:rsid w:val="004E0D4E"/>
    <w:rsid w:val="004E1B23"/>
    <w:rsid w:val="004E2351"/>
    <w:rsid w:val="004E259F"/>
    <w:rsid w:val="004E2763"/>
    <w:rsid w:val="004E2C39"/>
    <w:rsid w:val="004E3673"/>
    <w:rsid w:val="004E3C2F"/>
    <w:rsid w:val="004E5554"/>
    <w:rsid w:val="004E5595"/>
    <w:rsid w:val="004E5B7C"/>
    <w:rsid w:val="004E5F10"/>
    <w:rsid w:val="004E707C"/>
    <w:rsid w:val="004E72DC"/>
    <w:rsid w:val="004F0280"/>
    <w:rsid w:val="004F0A2F"/>
    <w:rsid w:val="004F0B8A"/>
    <w:rsid w:val="004F19C8"/>
    <w:rsid w:val="004F2E15"/>
    <w:rsid w:val="004F2ED4"/>
    <w:rsid w:val="004F31F8"/>
    <w:rsid w:val="004F4279"/>
    <w:rsid w:val="004F4566"/>
    <w:rsid w:val="004F48AC"/>
    <w:rsid w:val="004F4A82"/>
    <w:rsid w:val="004F4AD7"/>
    <w:rsid w:val="004F4BDD"/>
    <w:rsid w:val="004F52A4"/>
    <w:rsid w:val="004F562B"/>
    <w:rsid w:val="004F67C5"/>
    <w:rsid w:val="004F77F6"/>
    <w:rsid w:val="0050023C"/>
    <w:rsid w:val="00500B81"/>
    <w:rsid w:val="00500C4B"/>
    <w:rsid w:val="00501ACD"/>
    <w:rsid w:val="00501FBD"/>
    <w:rsid w:val="005020EC"/>
    <w:rsid w:val="00502406"/>
    <w:rsid w:val="00502597"/>
    <w:rsid w:val="00503131"/>
    <w:rsid w:val="0050321A"/>
    <w:rsid w:val="00503E13"/>
    <w:rsid w:val="00504D77"/>
    <w:rsid w:val="005051E2"/>
    <w:rsid w:val="0050690D"/>
    <w:rsid w:val="005103C9"/>
    <w:rsid w:val="00510658"/>
    <w:rsid w:val="00510822"/>
    <w:rsid w:val="00510E8E"/>
    <w:rsid w:val="00511541"/>
    <w:rsid w:val="00511905"/>
    <w:rsid w:val="00512F3B"/>
    <w:rsid w:val="00512F6C"/>
    <w:rsid w:val="0051301C"/>
    <w:rsid w:val="00513AAE"/>
    <w:rsid w:val="005140F6"/>
    <w:rsid w:val="0051537C"/>
    <w:rsid w:val="0051553F"/>
    <w:rsid w:val="00515A71"/>
    <w:rsid w:val="00516836"/>
    <w:rsid w:val="00516BDC"/>
    <w:rsid w:val="00516C35"/>
    <w:rsid w:val="00516D72"/>
    <w:rsid w:val="00517167"/>
    <w:rsid w:val="00517795"/>
    <w:rsid w:val="00517B66"/>
    <w:rsid w:val="005200F4"/>
    <w:rsid w:val="00520166"/>
    <w:rsid w:val="00521AB2"/>
    <w:rsid w:val="0052219B"/>
    <w:rsid w:val="005223D7"/>
    <w:rsid w:val="005226EB"/>
    <w:rsid w:val="0052272C"/>
    <w:rsid w:val="00522B1E"/>
    <w:rsid w:val="00522B47"/>
    <w:rsid w:val="0052320C"/>
    <w:rsid w:val="00523639"/>
    <w:rsid w:val="00523AEB"/>
    <w:rsid w:val="0052462B"/>
    <w:rsid w:val="00524F0C"/>
    <w:rsid w:val="005250A3"/>
    <w:rsid w:val="00525CF5"/>
    <w:rsid w:val="00526BFD"/>
    <w:rsid w:val="0052714A"/>
    <w:rsid w:val="00527532"/>
    <w:rsid w:val="005316BD"/>
    <w:rsid w:val="00531FE5"/>
    <w:rsid w:val="005323A5"/>
    <w:rsid w:val="0053248E"/>
    <w:rsid w:val="0053306F"/>
    <w:rsid w:val="00533264"/>
    <w:rsid w:val="00533C7B"/>
    <w:rsid w:val="00533D36"/>
    <w:rsid w:val="00534852"/>
    <w:rsid w:val="00534B64"/>
    <w:rsid w:val="00534DAD"/>
    <w:rsid w:val="005355A8"/>
    <w:rsid w:val="005356C5"/>
    <w:rsid w:val="005357FD"/>
    <w:rsid w:val="00535DC6"/>
    <w:rsid w:val="0053651D"/>
    <w:rsid w:val="005368F4"/>
    <w:rsid w:val="00537300"/>
    <w:rsid w:val="005376A6"/>
    <w:rsid w:val="005402FA"/>
    <w:rsid w:val="0054116D"/>
    <w:rsid w:val="00541A9E"/>
    <w:rsid w:val="00543313"/>
    <w:rsid w:val="00543859"/>
    <w:rsid w:val="0054387B"/>
    <w:rsid w:val="00543E11"/>
    <w:rsid w:val="005447E9"/>
    <w:rsid w:val="00547362"/>
    <w:rsid w:val="00547C8A"/>
    <w:rsid w:val="005506F5"/>
    <w:rsid w:val="0055285C"/>
    <w:rsid w:val="00552C56"/>
    <w:rsid w:val="005532FC"/>
    <w:rsid w:val="00553FD6"/>
    <w:rsid w:val="0055538F"/>
    <w:rsid w:val="0055695B"/>
    <w:rsid w:val="00556D8D"/>
    <w:rsid w:val="00556E18"/>
    <w:rsid w:val="00556E69"/>
    <w:rsid w:val="005576C1"/>
    <w:rsid w:val="00557812"/>
    <w:rsid w:val="00560E15"/>
    <w:rsid w:val="00561069"/>
    <w:rsid w:val="00561369"/>
    <w:rsid w:val="005617E9"/>
    <w:rsid w:val="00561E1B"/>
    <w:rsid w:val="00561F2E"/>
    <w:rsid w:val="005628DD"/>
    <w:rsid w:val="00562CFB"/>
    <w:rsid w:val="00563F13"/>
    <w:rsid w:val="005640AF"/>
    <w:rsid w:val="0056422E"/>
    <w:rsid w:val="005644A8"/>
    <w:rsid w:val="005646C7"/>
    <w:rsid w:val="005647B1"/>
    <w:rsid w:val="00564BCD"/>
    <w:rsid w:val="00565CBD"/>
    <w:rsid w:val="005664F1"/>
    <w:rsid w:val="00566EFC"/>
    <w:rsid w:val="0056735D"/>
    <w:rsid w:val="005674C6"/>
    <w:rsid w:val="0056775C"/>
    <w:rsid w:val="00567CEB"/>
    <w:rsid w:val="00567FE2"/>
    <w:rsid w:val="005701CD"/>
    <w:rsid w:val="00570C3E"/>
    <w:rsid w:val="00570D66"/>
    <w:rsid w:val="005713B6"/>
    <w:rsid w:val="0057241F"/>
    <w:rsid w:val="005726E9"/>
    <w:rsid w:val="005728C4"/>
    <w:rsid w:val="005728E9"/>
    <w:rsid w:val="005729BD"/>
    <w:rsid w:val="005731F4"/>
    <w:rsid w:val="00573437"/>
    <w:rsid w:val="00573601"/>
    <w:rsid w:val="00573A0C"/>
    <w:rsid w:val="00573A6E"/>
    <w:rsid w:val="00573A83"/>
    <w:rsid w:val="00573BE3"/>
    <w:rsid w:val="00573C65"/>
    <w:rsid w:val="00573DC9"/>
    <w:rsid w:val="0057407C"/>
    <w:rsid w:val="005749A4"/>
    <w:rsid w:val="00575885"/>
    <w:rsid w:val="005764B1"/>
    <w:rsid w:val="005766C0"/>
    <w:rsid w:val="0057709E"/>
    <w:rsid w:val="00577B0B"/>
    <w:rsid w:val="00577E77"/>
    <w:rsid w:val="00580154"/>
    <w:rsid w:val="00580660"/>
    <w:rsid w:val="00580BAC"/>
    <w:rsid w:val="00581658"/>
    <w:rsid w:val="00582292"/>
    <w:rsid w:val="00582B87"/>
    <w:rsid w:val="00582CCF"/>
    <w:rsid w:val="00583066"/>
    <w:rsid w:val="00583847"/>
    <w:rsid w:val="005838B5"/>
    <w:rsid w:val="005838D9"/>
    <w:rsid w:val="00583C39"/>
    <w:rsid w:val="005847BD"/>
    <w:rsid w:val="0058599F"/>
    <w:rsid w:val="00586804"/>
    <w:rsid w:val="00586A90"/>
    <w:rsid w:val="00586B3F"/>
    <w:rsid w:val="0058722F"/>
    <w:rsid w:val="00587AA9"/>
    <w:rsid w:val="00587F28"/>
    <w:rsid w:val="005900EB"/>
    <w:rsid w:val="005909CF"/>
    <w:rsid w:val="00591B41"/>
    <w:rsid w:val="00591CF2"/>
    <w:rsid w:val="00591E71"/>
    <w:rsid w:val="00592103"/>
    <w:rsid w:val="00592730"/>
    <w:rsid w:val="00594CF6"/>
    <w:rsid w:val="00594D22"/>
    <w:rsid w:val="005956B1"/>
    <w:rsid w:val="00595B55"/>
    <w:rsid w:val="0059690C"/>
    <w:rsid w:val="005973A3"/>
    <w:rsid w:val="0059779F"/>
    <w:rsid w:val="005A0104"/>
    <w:rsid w:val="005A0AA0"/>
    <w:rsid w:val="005A0D41"/>
    <w:rsid w:val="005A1155"/>
    <w:rsid w:val="005A1423"/>
    <w:rsid w:val="005A1ED1"/>
    <w:rsid w:val="005A20DE"/>
    <w:rsid w:val="005A25EA"/>
    <w:rsid w:val="005A34BF"/>
    <w:rsid w:val="005A350D"/>
    <w:rsid w:val="005A35E7"/>
    <w:rsid w:val="005A361C"/>
    <w:rsid w:val="005A3DA1"/>
    <w:rsid w:val="005A5CF6"/>
    <w:rsid w:val="005A6BCB"/>
    <w:rsid w:val="005A75A5"/>
    <w:rsid w:val="005A7FDD"/>
    <w:rsid w:val="005B02EA"/>
    <w:rsid w:val="005B048D"/>
    <w:rsid w:val="005B27EC"/>
    <w:rsid w:val="005B295C"/>
    <w:rsid w:val="005B39FD"/>
    <w:rsid w:val="005B3CA6"/>
    <w:rsid w:val="005B3F2C"/>
    <w:rsid w:val="005B418F"/>
    <w:rsid w:val="005B4D90"/>
    <w:rsid w:val="005B5FE4"/>
    <w:rsid w:val="005B6672"/>
    <w:rsid w:val="005B67BC"/>
    <w:rsid w:val="005B71B9"/>
    <w:rsid w:val="005B786E"/>
    <w:rsid w:val="005C12A0"/>
    <w:rsid w:val="005C1477"/>
    <w:rsid w:val="005C176E"/>
    <w:rsid w:val="005C18ED"/>
    <w:rsid w:val="005C1FC9"/>
    <w:rsid w:val="005C28A1"/>
    <w:rsid w:val="005C2E79"/>
    <w:rsid w:val="005C38A9"/>
    <w:rsid w:val="005C4FA3"/>
    <w:rsid w:val="005C546B"/>
    <w:rsid w:val="005C556E"/>
    <w:rsid w:val="005C56B2"/>
    <w:rsid w:val="005C6726"/>
    <w:rsid w:val="005C694A"/>
    <w:rsid w:val="005C6CC3"/>
    <w:rsid w:val="005C6CFF"/>
    <w:rsid w:val="005C74A7"/>
    <w:rsid w:val="005C7A14"/>
    <w:rsid w:val="005D0910"/>
    <w:rsid w:val="005D1005"/>
    <w:rsid w:val="005D1DF0"/>
    <w:rsid w:val="005D329F"/>
    <w:rsid w:val="005D4745"/>
    <w:rsid w:val="005D4E32"/>
    <w:rsid w:val="005D5255"/>
    <w:rsid w:val="005D6E85"/>
    <w:rsid w:val="005E0BBC"/>
    <w:rsid w:val="005E0F12"/>
    <w:rsid w:val="005E19A5"/>
    <w:rsid w:val="005E1C08"/>
    <w:rsid w:val="005E26A3"/>
    <w:rsid w:val="005E286D"/>
    <w:rsid w:val="005E28C8"/>
    <w:rsid w:val="005E2FE9"/>
    <w:rsid w:val="005E35B7"/>
    <w:rsid w:val="005E3B70"/>
    <w:rsid w:val="005E4227"/>
    <w:rsid w:val="005E4336"/>
    <w:rsid w:val="005E44B2"/>
    <w:rsid w:val="005E471A"/>
    <w:rsid w:val="005E491E"/>
    <w:rsid w:val="005E4D5C"/>
    <w:rsid w:val="005E544C"/>
    <w:rsid w:val="005E57E3"/>
    <w:rsid w:val="005E6E58"/>
    <w:rsid w:val="005E74AE"/>
    <w:rsid w:val="005E7A00"/>
    <w:rsid w:val="005E7B28"/>
    <w:rsid w:val="005E7DBA"/>
    <w:rsid w:val="005E7F94"/>
    <w:rsid w:val="005F0506"/>
    <w:rsid w:val="005F1B39"/>
    <w:rsid w:val="005F20F8"/>
    <w:rsid w:val="005F20FE"/>
    <w:rsid w:val="005F2E33"/>
    <w:rsid w:val="005F3087"/>
    <w:rsid w:val="005F33F2"/>
    <w:rsid w:val="005F3454"/>
    <w:rsid w:val="005F3666"/>
    <w:rsid w:val="005F3830"/>
    <w:rsid w:val="005F42E6"/>
    <w:rsid w:val="005F451C"/>
    <w:rsid w:val="005F4549"/>
    <w:rsid w:val="005F4810"/>
    <w:rsid w:val="005F48ED"/>
    <w:rsid w:val="005F4979"/>
    <w:rsid w:val="005F4D90"/>
    <w:rsid w:val="005F4F9A"/>
    <w:rsid w:val="006014BC"/>
    <w:rsid w:val="006034AB"/>
    <w:rsid w:val="00603A22"/>
    <w:rsid w:val="006052DF"/>
    <w:rsid w:val="006054A2"/>
    <w:rsid w:val="00605A48"/>
    <w:rsid w:val="00605F04"/>
    <w:rsid w:val="00606E78"/>
    <w:rsid w:val="006078A2"/>
    <w:rsid w:val="00607BF1"/>
    <w:rsid w:val="00610BA6"/>
    <w:rsid w:val="00610C0C"/>
    <w:rsid w:val="006115C3"/>
    <w:rsid w:val="00611BBA"/>
    <w:rsid w:val="006123A1"/>
    <w:rsid w:val="006128E3"/>
    <w:rsid w:val="00613EF2"/>
    <w:rsid w:val="00614457"/>
    <w:rsid w:val="006146AE"/>
    <w:rsid w:val="00614C45"/>
    <w:rsid w:val="00615B3B"/>
    <w:rsid w:val="00615BA8"/>
    <w:rsid w:val="00616932"/>
    <w:rsid w:val="006170C4"/>
    <w:rsid w:val="00617894"/>
    <w:rsid w:val="006206F3"/>
    <w:rsid w:val="00621E66"/>
    <w:rsid w:val="006221A9"/>
    <w:rsid w:val="00623069"/>
    <w:rsid w:val="0062334F"/>
    <w:rsid w:val="00623E6F"/>
    <w:rsid w:val="006251A3"/>
    <w:rsid w:val="00625EE9"/>
    <w:rsid w:val="006262AE"/>
    <w:rsid w:val="00626460"/>
    <w:rsid w:val="00627457"/>
    <w:rsid w:val="00627BAB"/>
    <w:rsid w:val="00627C61"/>
    <w:rsid w:val="006300A0"/>
    <w:rsid w:val="0063037B"/>
    <w:rsid w:val="00630A4A"/>
    <w:rsid w:val="00630D4D"/>
    <w:rsid w:val="00630E2D"/>
    <w:rsid w:val="00630E89"/>
    <w:rsid w:val="00631DB1"/>
    <w:rsid w:val="00631E3A"/>
    <w:rsid w:val="006320DD"/>
    <w:rsid w:val="00632247"/>
    <w:rsid w:val="00632A74"/>
    <w:rsid w:val="00632E82"/>
    <w:rsid w:val="00633BF0"/>
    <w:rsid w:val="006340EE"/>
    <w:rsid w:val="006343AB"/>
    <w:rsid w:val="00634427"/>
    <w:rsid w:val="0063443D"/>
    <w:rsid w:val="00634DED"/>
    <w:rsid w:val="00634F0E"/>
    <w:rsid w:val="006355F6"/>
    <w:rsid w:val="00636236"/>
    <w:rsid w:val="00636BDB"/>
    <w:rsid w:val="00637B4B"/>
    <w:rsid w:val="00640E55"/>
    <w:rsid w:val="00640ED9"/>
    <w:rsid w:val="00640F94"/>
    <w:rsid w:val="006415D4"/>
    <w:rsid w:val="00641EBF"/>
    <w:rsid w:val="0064366B"/>
    <w:rsid w:val="00643983"/>
    <w:rsid w:val="00643FA2"/>
    <w:rsid w:val="00644119"/>
    <w:rsid w:val="006447F9"/>
    <w:rsid w:val="006452BB"/>
    <w:rsid w:val="0064567F"/>
    <w:rsid w:val="0064584B"/>
    <w:rsid w:val="00645E3C"/>
    <w:rsid w:val="00645E44"/>
    <w:rsid w:val="0064728E"/>
    <w:rsid w:val="00647B3B"/>
    <w:rsid w:val="006502CD"/>
    <w:rsid w:val="00650334"/>
    <w:rsid w:val="0065045B"/>
    <w:rsid w:val="0065045C"/>
    <w:rsid w:val="00650592"/>
    <w:rsid w:val="006509BE"/>
    <w:rsid w:val="00650D4B"/>
    <w:rsid w:val="006514DB"/>
    <w:rsid w:val="006531C3"/>
    <w:rsid w:val="006536FA"/>
    <w:rsid w:val="00653BFD"/>
    <w:rsid w:val="00653DC0"/>
    <w:rsid w:val="00653F27"/>
    <w:rsid w:val="00654003"/>
    <w:rsid w:val="00654721"/>
    <w:rsid w:val="00654D42"/>
    <w:rsid w:val="0065535A"/>
    <w:rsid w:val="006555BA"/>
    <w:rsid w:val="006555F4"/>
    <w:rsid w:val="00655D24"/>
    <w:rsid w:val="00660212"/>
    <w:rsid w:val="00660DC4"/>
    <w:rsid w:val="00662472"/>
    <w:rsid w:val="006628F9"/>
    <w:rsid w:val="0066319C"/>
    <w:rsid w:val="00663CB6"/>
    <w:rsid w:val="00664478"/>
    <w:rsid w:val="006651D3"/>
    <w:rsid w:val="006655C4"/>
    <w:rsid w:val="00665FD2"/>
    <w:rsid w:val="00666E02"/>
    <w:rsid w:val="00667029"/>
    <w:rsid w:val="00670913"/>
    <w:rsid w:val="00670B76"/>
    <w:rsid w:val="00670C14"/>
    <w:rsid w:val="006718FC"/>
    <w:rsid w:val="00671E6A"/>
    <w:rsid w:val="00671EF6"/>
    <w:rsid w:val="00672451"/>
    <w:rsid w:val="00672E5C"/>
    <w:rsid w:val="006736FD"/>
    <w:rsid w:val="00673D1B"/>
    <w:rsid w:val="00674249"/>
    <w:rsid w:val="006747C7"/>
    <w:rsid w:val="0067498C"/>
    <w:rsid w:val="00675B60"/>
    <w:rsid w:val="0067627F"/>
    <w:rsid w:val="00676334"/>
    <w:rsid w:val="006768F5"/>
    <w:rsid w:val="00677132"/>
    <w:rsid w:val="00677677"/>
    <w:rsid w:val="006802AB"/>
    <w:rsid w:val="00680823"/>
    <w:rsid w:val="00680A93"/>
    <w:rsid w:val="006826D0"/>
    <w:rsid w:val="00682C5C"/>
    <w:rsid w:val="00683F9A"/>
    <w:rsid w:val="00684127"/>
    <w:rsid w:val="006846FB"/>
    <w:rsid w:val="00684C86"/>
    <w:rsid w:val="00684E3D"/>
    <w:rsid w:val="0068538F"/>
    <w:rsid w:val="00685F70"/>
    <w:rsid w:val="006860EE"/>
    <w:rsid w:val="006862EB"/>
    <w:rsid w:val="00686767"/>
    <w:rsid w:val="00686D1D"/>
    <w:rsid w:val="00686D7E"/>
    <w:rsid w:val="006903C3"/>
    <w:rsid w:val="006904BB"/>
    <w:rsid w:val="0069156E"/>
    <w:rsid w:val="00691576"/>
    <w:rsid w:val="006917CD"/>
    <w:rsid w:val="00691AAF"/>
    <w:rsid w:val="00691F2A"/>
    <w:rsid w:val="0069219D"/>
    <w:rsid w:val="00692335"/>
    <w:rsid w:val="006924F1"/>
    <w:rsid w:val="006927A1"/>
    <w:rsid w:val="00692D05"/>
    <w:rsid w:val="00693127"/>
    <w:rsid w:val="00693660"/>
    <w:rsid w:val="00693BC4"/>
    <w:rsid w:val="00694A3F"/>
    <w:rsid w:val="00694B7F"/>
    <w:rsid w:val="00695D47"/>
    <w:rsid w:val="00696F03"/>
    <w:rsid w:val="00697EBC"/>
    <w:rsid w:val="006A01A4"/>
    <w:rsid w:val="006A0211"/>
    <w:rsid w:val="006A0C00"/>
    <w:rsid w:val="006A1237"/>
    <w:rsid w:val="006A1A5D"/>
    <w:rsid w:val="006A1E65"/>
    <w:rsid w:val="006A3024"/>
    <w:rsid w:val="006A3214"/>
    <w:rsid w:val="006A324E"/>
    <w:rsid w:val="006A3A8E"/>
    <w:rsid w:val="006A3C58"/>
    <w:rsid w:val="006A453B"/>
    <w:rsid w:val="006A457F"/>
    <w:rsid w:val="006A4655"/>
    <w:rsid w:val="006A4D32"/>
    <w:rsid w:val="006A5111"/>
    <w:rsid w:val="006A5343"/>
    <w:rsid w:val="006A7195"/>
    <w:rsid w:val="006A733D"/>
    <w:rsid w:val="006B0EF3"/>
    <w:rsid w:val="006B11D0"/>
    <w:rsid w:val="006B25FE"/>
    <w:rsid w:val="006B2B3C"/>
    <w:rsid w:val="006B3C6A"/>
    <w:rsid w:val="006B3F1B"/>
    <w:rsid w:val="006B4347"/>
    <w:rsid w:val="006B4392"/>
    <w:rsid w:val="006B4992"/>
    <w:rsid w:val="006B4CDD"/>
    <w:rsid w:val="006B5649"/>
    <w:rsid w:val="006B5C1C"/>
    <w:rsid w:val="006B5DED"/>
    <w:rsid w:val="006B5F69"/>
    <w:rsid w:val="006B637D"/>
    <w:rsid w:val="006B6AB5"/>
    <w:rsid w:val="006B75AE"/>
    <w:rsid w:val="006B7772"/>
    <w:rsid w:val="006B77AA"/>
    <w:rsid w:val="006B7A78"/>
    <w:rsid w:val="006B7C89"/>
    <w:rsid w:val="006B7F8F"/>
    <w:rsid w:val="006C08A6"/>
    <w:rsid w:val="006C09BC"/>
    <w:rsid w:val="006C0A64"/>
    <w:rsid w:val="006C0D38"/>
    <w:rsid w:val="006C182F"/>
    <w:rsid w:val="006C1A66"/>
    <w:rsid w:val="006C1C10"/>
    <w:rsid w:val="006C1D81"/>
    <w:rsid w:val="006C2AC6"/>
    <w:rsid w:val="006C2E91"/>
    <w:rsid w:val="006C3154"/>
    <w:rsid w:val="006C3680"/>
    <w:rsid w:val="006C36E4"/>
    <w:rsid w:val="006C386F"/>
    <w:rsid w:val="006C3D4C"/>
    <w:rsid w:val="006C3E8A"/>
    <w:rsid w:val="006C4E7A"/>
    <w:rsid w:val="006C7038"/>
    <w:rsid w:val="006C7BCC"/>
    <w:rsid w:val="006D0220"/>
    <w:rsid w:val="006D04BE"/>
    <w:rsid w:val="006D0A7D"/>
    <w:rsid w:val="006D1356"/>
    <w:rsid w:val="006D17BB"/>
    <w:rsid w:val="006D2280"/>
    <w:rsid w:val="006D2950"/>
    <w:rsid w:val="006D2E04"/>
    <w:rsid w:val="006D3F05"/>
    <w:rsid w:val="006D41F1"/>
    <w:rsid w:val="006D4239"/>
    <w:rsid w:val="006D4BBF"/>
    <w:rsid w:val="006D4CEE"/>
    <w:rsid w:val="006D4DE8"/>
    <w:rsid w:val="006D554A"/>
    <w:rsid w:val="006D582B"/>
    <w:rsid w:val="006D5929"/>
    <w:rsid w:val="006D6062"/>
    <w:rsid w:val="006D62B3"/>
    <w:rsid w:val="006D6F94"/>
    <w:rsid w:val="006D7512"/>
    <w:rsid w:val="006D78D7"/>
    <w:rsid w:val="006E00A3"/>
    <w:rsid w:val="006E0481"/>
    <w:rsid w:val="006E0B4C"/>
    <w:rsid w:val="006E1399"/>
    <w:rsid w:val="006E1417"/>
    <w:rsid w:val="006E1910"/>
    <w:rsid w:val="006E2221"/>
    <w:rsid w:val="006E253D"/>
    <w:rsid w:val="006E281F"/>
    <w:rsid w:val="006E2B50"/>
    <w:rsid w:val="006E319D"/>
    <w:rsid w:val="006E3266"/>
    <w:rsid w:val="006E3406"/>
    <w:rsid w:val="006E3594"/>
    <w:rsid w:val="006E3A7B"/>
    <w:rsid w:val="006E3B50"/>
    <w:rsid w:val="006E3DD6"/>
    <w:rsid w:val="006E3FEB"/>
    <w:rsid w:val="006E4080"/>
    <w:rsid w:val="006E4DFF"/>
    <w:rsid w:val="006E5EF4"/>
    <w:rsid w:val="006E658C"/>
    <w:rsid w:val="006E6EC9"/>
    <w:rsid w:val="006E73EF"/>
    <w:rsid w:val="006E7520"/>
    <w:rsid w:val="006E7A5B"/>
    <w:rsid w:val="006E7C7E"/>
    <w:rsid w:val="006E7E07"/>
    <w:rsid w:val="006E7FAA"/>
    <w:rsid w:val="006F0B57"/>
    <w:rsid w:val="006F1A35"/>
    <w:rsid w:val="006F1B9F"/>
    <w:rsid w:val="006F2052"/>
    <w:rsid w:val="006F34E4"/>
    <w:rsid w:val="006F3643"/>
    <w:rsid w:val="006F383A"/>
    <w:rsid w:val="006F4026"/>
    <w:rsid w:val="006F44F3"/>
    <w:rsid w:val="006F505F"/>
    <w:rsid w:val="006F5B4C"/>
    <w:rsid w:val="006F63B0"/>
    <w:rsid w:val="006F64A0"/>
    <w:rsid w:val="006F720E"/>
    <w:rsid w:val="006F7661"/>
    <w:rsid w:val="006F7677"/>
    <w:rsid w:val="006F7DBB"/>
    <w:rsid w:val="0070004C"/>
    <w:rsid w:val="007004FA"/>
    <w:rsid w:val="00701248"/>
    <w:rsid w:val="007014DD"/>
    <w:rsid w:val="00701590"/>
    <w:rsid w:val="007029C1"/>
    <w:rsid w:val="00702A5A"/>
    <w:rsid w:val="00702E80"/>
    <w:rsid w:val="00702FF3"/>
    <w:rsid w:val="00703741"/>
    <w:rsid w:val="00703857"/>
    <w:rsid w:val="00704A22"/>
    <w:rsid w:val="00704D07"/>
    <w:rsid w:val="00705DC1"/>
    <w:rsid w:val="007062BF"/>
    <w:rsid w:val="0070651C"/>
    <w:rsid w:val="00706566"/>
    <w:rsid w:val="00706664"/>
    <w:rsid w:val="0070668F"/>
    <w:rsid w:val="007066EB"/>
    <w:rsid w:val="007068AB"/>
    <w:rsid w:val="0070741C"/>
    <w:rsid w:val="00707556"/>
    <w:rsid w:val="007079C9"/>
    <w:rsid w:val="007108A8"/>
    <w:rsid w:val="00711899"/>
    <w:rsid w:val="00712499"/>
    <w:rsid w:val="00713E6F"/>
    <w:rsid w:val="00714B1F"/>
    <w:rsid w:val="00714D4D"/>
    <w:rsid w:val="0071597B"/>
    <w:rsid w:val="007159E4"/>
    <w:rsid w:val="00715D16"/>
    <w:rsid w:val="00715E0F"/>
    <w:rsid w:val="0071646E"/>
    <w:rsid w:val="00717240"/>
    <w:rsid w:val="00717379"/>
    <w:rsid w:val="00717CEB"/>
    <w:rsid w:val="00717F6B"/>
    <w:rsid w:val="007204A7"/>
    <w:rsid w:val="00720E6D"/>
    <w:rsid w:val="007218CB"/>
    <w:rsid w:val="0072245D"/>
    <w:rsid w:val="007234B4"/>
    <w:rsid w:val="00723AAF"/>
    <w:rsid w:val="00723CDF"/>
    <w:rsid w:val="00723F8A"/>
    <w:rsid w:val="00724A58"/>
    <w:rsid w:val="00724D7E"/>
    <w:rsid w:val="0072523E"/>
    <w:rsid w:val="0072580D"/>
    <w:rsid w:val="0072623B"/>
    <w:rsid w:val="0072668A"/>
    <w:rsid w:val="007266D3"/>
    <w:rsid w:val="007268A9"/>
    <w:rsid w:val="00726921"/>
    <w:rsid w:val="00726D27"/>
    <w:rsid w:val="00727E57"/>
    <w:rsid w:val="00730229"/>
    <w:rsid w:val="00730752"/>
    <w:rsid w:val="007309D4"/>
    <w:rsid w:val="00732029"/>
    <w:rsid w:val="007323DE"/>
    <w:rsid w:val="00732636"/>
    <w:rsid w:val="00732656"/>
    <w:rsid w:val="00734436"/>
    <w:rsid w:val="00734A23"/>
    <w:rsid w:val="0073529E"/>
    <w:rsid w:val="00735524"/>
    <w:rsid w:val="007357B3"/>
    <w:rsid w:val="00735ACE"/>
    <w:rsid w:val="00736639"/>
    <w:rsid w:val="00736A7B"/>
    <w:rsid w:val="00737878"/>
    <w:rsid w:val="007404F4"/>
    <w:rsid w:val="00740EE9"/>
    <w:rsid w:val="007414C5"/>
    <w:rsid w:val="0074179C"/>
    <w:rsid w:val="00741BF5"/>
    <w:rsid w:val="00741C54"/>
    <w:rsid w:val="00741D7C"/>
    <w:rsid w:val="0074289A"/>
    <w:rsid w:val="00742DD9"/>
    <w:rsid w:val="007430FB"/>
    <w:rsid w:val="0074442F"/>
    <w:rsid w:val="007445CE"/>
    <w:rsid w:val="00744A86"/>
    <w:rsid w:val="007453FD"/>
    <w:rsid w:val="0074553F"/>
    <w:rsid w:val="00745B52"/>
    <w:rsid w:val="00745CFA"/>
    <w:rsid w:val="0074609C"/>
    <w:rsid w:val="0074700B"/>
    <w:rsid w:val="00747291"/>
    <w:rsid w:val="0074743F"/>
    <w:rsid w:val="007474E8"/>
    <w:rsid w:val="007475EC"/>
    <w:rsid w:val="00747C3F"/>
    <w:rsid w:val="0075259F"/>
    <w:rsid w:val="007536E8"/>
    <w:rsid w:val="00754463"/>
    <w:rsid w:val="00754BFF"/>
    <w:rsid w:val="00754F1A"/>
    <w:rsid w:val="0075516F"/>
    <w:rsid w:val="007554F4"/>
    <w:rsid w:val="00755B03"/>
    <w:rsid w:val="00755E4C"/>
    <w:rsid w:val="00755FC7"/>
    <w:rsid w:val="0075678A"/>
    <w:rsid w:val="00756FE2"/>
    <w:rsid w:val="007573BC"/>
    <w:rsid w:val="00757480"/>
    <w:rsid w:val="00757559"/>
    <w:rsid w:val="0076046E"/>
    <w:rsid w:val="007604BB"/>
    <w:rsid w:val="007605F7"/>
    <w:rsid w:val="0076071C"/>
    <w:rsid w:val="00760891"/>
    <w:rsid w:val="00760F2D"/>
    <w:rsid w:val="007617A3"/>
    <w:rsid w:val="00761CA8"/>
    <w:rsid w:val="00762BFD"/>
    <w:rsid w:val="0076304C"/>
    <w:rsid w:val="0076309E"/>
    <w:rsid w:val="00763175"/>
    <w:rsid w:val="0076382C"/>
    <w:rsid w:val="007645DF"/>
    <w:rsid w:val="00764994"/>
    <w:rsid w:val="00764AC8"/>
    <w:rsid w:val="00764B66"/>
    <w:rsid w:val="00764F0B"/>
    <w:rsid w:val="007655F0"/>
    <w:rsid w:val="00765C07"/>
    <w:rsid w:val="0076673E"/>
    <w:rsid w:val="00766D2D"/>
    <w:rsid w:val="00767C95"/>
    <w:rsid w:val="00767EFB"/>
    <w:rsid w:val="00770124"/>
    <w:rsid w:val="00770838"/>
    <w:rsid w:val="00770B68"/>
    <w:rsid w:val="00771ADA"/>
    <w:rsid w:val="00771CB9"/>
    <w:rsid w:val="00772463"/>
    <w:rsid w:val="00772715"/>
    <w:rsid w:val="00772909"/>
    <w:rsid w:val="0077300D"/>
    <w:rsid w:val="00774C34"/>
    <w:rsid w:val="00774E1B"/>
    <w:rsid w:val="00774F39"/>
    <w:rsid w:val="0077538E"/>
    <w:rsid w:val="007755FF"/>
    <w:rsid w:val="007759F7"/>
    <w:rsid w:val="00775AD2"/>
    <w:rsid w:val="00775E38"/>
    <w:rsid w:val="00776E42"/>
    <w:rsid w:val="00776F42"/>
    <w:rsid w:val="00777818"/>
    <w:rsid w:val="00777A75"/>
    <w:rsid w:val="00781623"/>
    <w:rsid w:val="007823D8"/>
    <w:rsid w:val="00782EA8"/>
    <w:rsid w:val="007843E2"/>
    <w:rsid w:val="00784DF2"/>
    <w:rsid w:val="00785232"/>
    <w:rsid w:val="00785645"/>
    <w:rsid w:val="00785B54"/>
    <w:rsid w:val="00785BA5"/>
    <w:rsid w:val="00785CDD"/>
    <w:rsid w:val="007865C6"/>
    <w:rsid w:val="00786B4F"/>
    <w:rsid w:val="00790271"/>
    <w:rsid w:val="007902D9"/>
    <w:rsid w:val="00791C43"/>
    <w:rsid w:val="007946C9"/>
    <w:rsid w:val="007948EC"/>
    <w:rsid w:val="00795D18"/>
    <w:rsid w:val="0079701E"/>
    <w:rsid w:val="0079744E"/>
    <w:rsid w:val="007A005F"/>
    <w:rsid w:val="007A072D"/>
    <w:rsid w:val="007A07DC"/>
    <w:rsid w:val="007A1027"/>
    <w:rsid w:val="007A1087"/>
    <w:rsid w:val="007A11E9"/>
    <w:rsid w:val="007A1269"/>
    <w:rsid w:val="007A12A8"/>
    <w:rsid w:val="007A1462"/>
    <w:rsid w:val="007A188B"/>
    <w:rsid w:val="007A19D9"/>
    <w:rsid w:val="007A21EB"/>
    <w:rsid w:val="007A25DB"/>
    <w:rsid w:val="007A2832"/>
    <w:rsid w:val="007A3591"/>
    <w:rsid w:val="007A3DAD"/>
    <w:rsid w:val="007A40D0"/>
    <w:rsid w:val="007A438E"/>
    <w:rsid w:val="007A453B"/>
    <w:rsid w:val="007A47FF"/>
    <w:rsid w:val="007A4A30"/>
    <w:rsid w:val="007A50DD"/>
    <w:rsid w:val="007A5999"/>
    <w:rsid w:val="007A59BD"/>
    <w:rsid w:val="007A5C7C"/>
    <w:rsid w:val="007A6042"/>
    <w:rsid w:val="007A6297"/>
    <w:rsid w:val="007A7222"/>
    <w:rsid w:val="007A74E9"/>
    <w:rsid w:val="007A7508"/>
    <w:rsid w:val="007B0A31"/>
    <w:rsid w:val="007B0D4A"/>
    <w:rsid w:val="007B1814"/>
    <w:rsid w:val="007B1A93"/>
    <w:rsid w:val="007B1BFD"/>
    <w:rsid w:val="007B2472"/>
    <w:rsid w:val="007B2BD1"/>
    <w:rsid w:val="007B2C7A"/>
    <w:rsid w:val="007B35D8"/>
    <w:rsid w:val="007B3601"/>
    <w:rsid w:val="007B3774"/>
    <w:rsid w:val="007B3BF7"/>
    <w:rsid w:val="007B3E2C"/>
    <w:rsid w:val="007B4187"/>
    <w:rsid w:val="007B45B8"/>
    <w:rsid w:val="007B4E7E"/>
    <w:rsid w:val="007B4F32"/>
    <w:rsid w:val="007B52BE"/>
    <w:rsid w:val="007B54D7"/>
    <w:rsid w:val="007B5FD2"/>
    <w:rsid w:val="007B625A"/>
    <w:rsid w:val="007B62FE"/>
    <w:rsid w:val="007B6D93"/>
    <w:rsid w:val="007B762A"/>
    <w:rsid w:val="007B7662"/>
    <w:rsid w:val="007B7A4D"/>
    <w:rsid w:val="007B7F52"/>
    <w:rsid w:val="007C05E1"/>
    <w:rsid w:val="007C115D"/>
    <w:rsid w:val="007C246D"/>
    <w:rsid w:val="007C294A"/>
    <w:rsid w:val="007C2957"/>
    <w:rsid w:val="007C36C9"/>
    <w:rsid w:val="007C3E5F"/>
    <w:rsid w:val="007C490C"/>
    <w:rsid w:val="007C4E37"/>
    <w:rsid w:val="007C504E"/>
    <w:rsid w:val="007C607B"/>
    <w:rsid w:val="007C7090"/>
    <w:rsid w:val="007C7446"/>
    <w:rsid w:val="007C7A76"/>
    <w:rsid w:val="007D042B"/>
    <w:rsid w:val="007D049C"/>
    <w:rsid w:val="007D0AFC"/>
    <w:rsid w:val="007D0EB3"/>
    <w:rsid w:val="007D11F4"/>
    <w:rsid w:val="007D1735"/>
    <w:rsid w:val="007D1874"/>
    <w:rsid w:val="007D197B"/>
    <w:rsid w:val="007D226E"/>
    <w:rsid w:val="007D3B1B"/>
    <w:rsid w:val="007D3FB4"/>
    <w:rsid w:val="007D42C4"/>
    <w:rsid w:val="007D45B3"/>
    <w:rsid w:val="007D4FD1"/>
    <w:rsid w:val="007D51DA"/>
    <w:rsid w:val="007D56D4"/>
    <w:rsid w:val="007D63AA"/>
    <w:rsid w:val="007D6401"/>
    <w:rsid w:val="007D65EA"/>
    <w:rsid w:val="007D73DB"/>
    <w:rsid w:val="007D7C18"/>
    <w:rsid w:val="007D7C60"/>
    <w:rsid w:val="007E01E4"/>
    <w:rsid w:val="007E2275"/>
    <w:rsid w:val="007E243E"/>
    <w:rsid w:val="007E2A36"/>
    <w:rsid w:val="007E30AE"/>
    <w:rsid w:val="007E36DC"/>
    <w:rsid w:val="007E3940"/>
    <w:rsid w:val="007E39B9"/>
    <w:rsid w:val="007E3BEB"/>
    <w:rsid w:val="007E402E"/>
    <w:rsid w:val="007E417F"/>
    <w:rsid w:val="007E4A94"/>
    <w:rsid w:val="007E4F41"/>
    <w:rsid w:val="007E61C8"/>
    <w:rsid w:val="007E6FF0"/>
    <w:rsid w:val="007E751A"/>
    <w:rsid w:val="007E75E7"/>
    <w:rsid w:val="007E7A12"/>
    <w:rsid w:val="007E7CC0"/>
    <w:rsid w:val="007F14A0"/>
    <w:rsid w:val="007F17D9"/>
    <w:rsid w:val="007F1845"/>
    <w:rsid w:val="007F1D32"/>
    <w:rsid w:val="007F23AE"/>
    <w:rsid w:val="007F2531"/>
    <w:rsid w:val="007F3774"/>
    <w:rsid w:val="007F3DE7"/>
    <w:rsid w:val="007F41BF"/>
    <w:rsid w:val="007F480B"/>
    <w:rsid w:val="007F562B"/>
    <w:rsid w:val="007F56ED"/>
    <w:rsid w:val="007F7107"/>
    <w:rsid w:val="007F71CC"/>
    <w:rsid w:val="007F770F"/>
    <w:rsid w:val="007F7840"/>
    <w:rsid w:val="0080090B"/>
    <w:rsid w:val="00800D4C"/>
    <w:rsid w:val="00800E1C"/>
    <w:rsid w:val="00801325"/>
    <w:rsid w:val="00801972"/>
    <w:rsid w:val="0080219B"/>
    <w:rsid w:val="008030BB"/>
    <w:rsid w:val="00803505"/>
    <w:rsid w:val="00803D0A"/>
    <w:rsid w:val="0080439A"/>
    <w:rsid w:val="00804AD4"/>
    <w:rsid w:val="00804C54"/>
    <w:rsid w:val="00804DD0"/>
    <w:rsid w:val="0080505B"/>
    <w:rsid w:val="00805237"/>
    <w:rsid w:val="008068B7"/>
    <w:rsid w:val="00806F8D"/>
    <w:rsid w:val="00807167"/>
    <w:rsid w:val="008072D2"/>
    <w:rsid w:val="00807921"/>
    <w:rsid w:val="008101C5"/>
    <w:rsid w:val="0081030F"/>
    <w:rsid w:val="00810D58"/>
    <w:rsid w:val="00810E22"/>
    <w:rsid w:val="0081136E"/>
    <w:rsid w:val="00811622"/>
    <w:rsid w:val="00811EED"/>
    <w:rsid w:val="00812A0B"/>
    <w:rsid w:val="00812EA0"/>
    <w:rsid w:val="00812EB5"/>
    <w:rsid w:val="00812F4A"/>
    <w:rsid w:val="008142B0"/>
    <w:rsid w:val="00814B44"/>
    <w:rsid w:val="00814D1D"/>
    <w:rsid w:val="00815809"/>
    <w:rsid w:val="00815A0E"/>
    <w:rsid w:val="0081622F"/>
    <w:rsid w:val="00816814"/>
    <w:rsid w:val="00816EAF"/>
    <w:rsid w:val="008178A2"/>
    <w:rsid w:val="00820554"/>
    <w:rsid w:val="00820645"/>
    <w:rsid w:val="0082087D"/>
    <w:rsid w:val="00820D1B"/>
    <w:rsid w:val="00822794"/>
    <w:rsid w:val="00822FC9"/>
    <w:rsid w:val="0082321A"/>
    <w:rsid w:val="0082355C"/>
    <w:rsid w:val="0082364D"/>
    <w:rsid w:val="008246B2"/>
    <w:rsid w:val="00824EAA"/>
    <w:rsid w:val="008257B6"/>
    <w:rsid w:val="008260DF"/>
    <w:rsid w:val="00826123"/>
    <w:rsid w:val="00827332"/>
    <w:rsid w:val="00827ED2"/>
    <w:rsid w:val="008307C6"/>
    <w:rsid w:val="008314F7"/>
    <w:rsid w:val="00831DA2"/>
    <w:rsid w:val="00831F1B"/>
    <w:rsid w:val="008322E7"/>
    <w:rsid w:val="00832308"/>
    <w:rsid w:val="0083257C"/>
    <w:rsid w:val="0083311A"/>
    <w:rsid w:val="00833512"/>
    <w:rsid w:val="00834E53"/>
    <w:rsid w:val="008353B8"/>
    <w:rsid w:val="00835771"/>
    <w:rsid w:val="00836259"/>
    <w:rsid w:val="0083630B"/>
    <w:rsid w:val="00836415"/>
    <w:rsid w:val="00836E59"/>
    <w:rsid w:val="0083731C"/>
    <w:rsid w:val="00837924"/>
    <w:rsid w:val="008379A5"/>
    <w:rsid w:val="008406B1"/>
    <w:rsid w:val="00840B37"/>
    <w:rsid w:val="00841508"/>
    <w:rsid w:val="00842009"/>
    <w:rsid w:val="00842397"/>
    <w:rsid w:val="00842933"/>
    <w:rsid w:val="008434E8"/>
    <w:rsid w:val="0084454D"/>
    <w:rsid w:val="00844FCE"/>
    <w:rsid w:val="00845403"/>
    <w:rsid w:val="00845EB4"/>
    <w:rsid w:val="008471CC"/>
    <w:rsid w:val="00850087"/>
    <w:rsid w:val="00850818"/>
    <w:rsid w:val="00850C7D"/>
    <w:rsid w:val="0085165D"/>
    <w:rsid w:val="008526C0"/>
    <w:rsid w:val="0085288B"/>
    <w:rsid w:val="00852ACD"/>
    <w:rsid w:val="00852CC0"/>
    <w:rsid w:val="008530BB"/>
    <w:rsid w:val="0085432F"/>
    <w:rsid w:val="00854E10"/>
    <w:rsid w:val="00854E21"/>
    <w:rsid w:val="008554C4"/>
    <w:rsid w:val="0085563A"/>
    <w:rsid w:val="008558FA"/>
    <w:rsid w:val="008559D1"/>
    <w:rsid w:val="00857364"/>
    <w:rsid w:val="008578D1"/>
    <w:rsid w:val="00857D1F"/>
    <w:rsid w:val="00857E20"/>
    <w:rsid w:val="008602FE"/>
    <w:rsid w:val="0086082C"/>
    <w:rsid w:val="00860F8E"/>
    <w:rsid w:val="008618E7"/>
    <w:rsid w:val="00862234"/>
    <w:rsid w:val="00862687"/>
    <w:rsid w:val="008626AA"/>
    <w:rsid w:val="008627FD"/>
    <w:rsid w:val="00863067"/>
    <w:rsid w:val="00863422"/>
    <w:rsid w:val="00863B3C"/>
    <w:rsid w:val="00863E59"/>
    <w:rsid w:val="008648C6"/>
    <w:rsid w:val="00864A74"/>
    <w:rsid w:val="00864ADC"/>
    <w:rsid w:val="00864FB4"/>
    <w:rsid w:val="00865359"/>
    <w:rsid w:val="0086656C"/>
    <w:rsid w:val="00867A7C"/>
    <w:rsid w:val="00870168"/>
    <w:rsid w:val="008702A4"/>
    <w:rsid w:val="00871498"/>
    <w:rsid w:val="00871FC0"/>
    <w:rsid w:val="008729C2"/>
    <w:rsid w:val="00873375"/>
    <w:rsid w:val="0087357D"/>
    <w:rsid w:val="00873A30"/>
    <w:rsid w:val="00874B1E"/>
    <w:rsid w:val="0087560B"/>
    <w:rsid w:val="0087611F"/>
    <w:rsid w:val="00877EEA"/>
    <w:rsid w:val="00880153"/>
    <w:rsid w:val="00880966"/>
    <w:rsid w:val="00880B56"/>
    <w:rsid w:val="00880C85"/>
    <w:rsid w:val="00880F97"/>
    <w:rsid w:val="0088133A"/>
    <w:rsid w:val="00882293"/>
    <w:rsid w:val="008823A6"/>
    <w:rsid w:val="0088287B"/>
    <w:rsid w:val="00883136"/>
    <w:rsid w:val="0088320F"/>
    <w:rsid w:val="008833FC"/>
    <w:rsid w:val="00883F09"/>
    <w:rsid w:val="008849D0"/>
    <w:rsid w:val="00884B09"/>
    <w:rsid w:val="00884C84"/>
    <w:rsid w:val="008852E6"/>
    <w:rsid w:val="0088584A"/>
    <w:rsid w:val="00886255"/>
    <w:rsid w:val="0088655D"/>
    <w:rsid w:val="00887C03"/>
    <w:rsid w:val="00887C4E"/>
    <w:rsid w:val="00890F96"/>
    <w:rsid w:val="0089161B"/>
    <w:rsid w:val="00891930"/>
    <w:rsid w:val="0089285E"/>
    <w:rsid w:val="00892AE9"/>
    <w:rsid w:val="00892B78"/>
    <w:rsid w:val="00892FA4"/>
    <w:rsid w:val="008930D8"/>
    <w:rsid w:val="00893303"/>
    <w:rsid w:val="008933BD"/>
    <w:rsid w:val="008935D3"/>
    <w:rsid w:val="00893823"/>
    <w:rsid w:val="0089436C"/>
    <w:rsid w:val="00894762"/>
    <w:rsid w:val="00894A6C"/>
    <w:rsid w:val="00895FFD"/>
    <w:rsid w:val="008964C1"/>
    <w:rsid w:val="00896F2D"/>
    <w:rsid w:val="00896FA6"/>
    <w:rsid w:val="008974D7"/>
    <w:rsid w:val="00897AAD"/>
    <w:rsid w:val="00897AF4"/>
    <w:rsid w:val="008A04FD"/>
    <w:rsid w:val="008A1051"/>
    <w:rsid w:val="008A11BE"/>
    <w:rsid w:val="008A1440"/>
    <w:rsid w:val="008A1B24"/>
    <w:rsid w:val="008A29AA"/>
    <w:rsid w:val="008A3CE1"/>
    <w:rsid w:val="008A3D58"/>
    <w:rsid w:val="008A4334"/>
    <w:rsid w:val="008A49A5"/>
    <w:rsid w:val="008A4B07"/>
    <w:rsid w:val="008A5562"/>
    <w:rsid w:val="008A5D6B"/>
    <w:rsid w:val="008A5DBB"/>
    <w:rsid w:val="008A6922"/>
    <w:rsid w:val="008A692C"/>
    <w:rsid w:val="008A72A7"/>
    <w:rsid w:val="008B0C9E"/>
    <w:rsid w:val="008B1FB4"/>
    <w:rsid w:val="008B205B"/>
    <w:rsid w:val="008B254F"/>
    <w:rsid w:val="008B4129"/>
    <w:rsid w:val="008B5916"/>
    <w:rsid w:val="008B7751"/>
    <w:rsid w:val="008B7E30"/>
    <w:rsid w:val="008C0A7F"/>
    <w:rsid w:val="008C0ABC"/>
    <w:rsid w:val="008C20E6"/>
    <w:rsid w:val="008C2C5E"/>
    <w:rsid w:val="008C3537"/>
    <w:rsid w:val="008C368C"/>
    <w:rsid w:val="008C38B9"/>
    <w:rsid w:val="008C3DB7"/>
    <w:rsid w:val="008C4434"/>
    <w:rsid w:val="008C510C"/>
    <w:rsid w:val="008C5D4F"/>
    <w:rsid w:val="008C5F68"/>
    <w:rsid w:val="008C64BD"/>
    <w:rsid w:val="008C6857"/>
    <w:rsid w:val="008D08F4"/>
    <w:rsid w:val="008D0D11"/>
    <w:rsid w:val="008D0FFF"/>
    <w:rsid w:val="008D1222"/>
    <w:rsid w:val="008D1330"/>
    <w:rsid w:val="008D17B4"/>
    <w:rsid w:val="008D22C6"/>
    <w:rsid w:val="008D2440"/>
    <w:rsid w:val="008D2486"/>
    <w:rsid w:val="008D2CDA"/>
    <w:rsid w:val="008D365C"/>
    <w:rsid w:val="008D36E3"/>
    <w:rsid w:val="008D3997"/>
    <w:rsid w:val="008D3B53"/>
    <w:rsid w:val="008D3C7F"/>
    <w:rsid w:val="008D3D74"/>
    <w:rsid w:val="008D4432"/>
    <w:rsid w:val="008D5479"/>
    <w:rsid w:val="008D5B93"/>
    <w:rsid w:val="008D5FC4"/>
    <w:rsid w:val="008D62E8"/>
    <w:rsid w:val="008D6D91"/>
    <w:rsid w:val="008D6DB7"/>
    <w:rsid w:val="008D7078"/>
    <w:rsid w:val="008D7622"/>
    <w:rsid w:val="008D7BF7"/>
    <w:rsid w:val="008E0156"/>
    <w:rsid w:val="008E084F"/>
    <w:rsid w:val="008E0E96"/>
    <w:rsid w:val="008E1287"/>
    <w:rsid w:val="008E1B71"/>
    <w:rsid w:val="008E1F1B"/>
    <w:rsid w:val="008E2053"/>
    <w:rsid w:val="008E224D"/>
    <w:rsid w:val="008E2A40"/>
    <w:rsid w:val="008E2CF3"/>
    <w:rsid w:val="008E3730"/>
    <w:rsid w:val="008E3C27"/>
    <w:rsid w:val="008E4086"/>
    <w:rsid w:val="008E4B10"/>
    <w:rsid w:val="008E6ADD"/>
    <w:rsid w:val="008E6C26"/>
    <w:rsid w:val="008E6C58"/>
    <w:rsid w:val="008E70A2"/>
    <w:rsid w:val="008E764B"/>
    <w:rsid w:val="008E7829"/>
    <w:rsid w:val="008F0196"/>
    <w:rsid w:val="008F108A"/>
    <w:rsid w:val="008F1599"/>
    <w:rsid w:val="008F1662"/>
    <w:rsid w:val="008F17B1"/>
    <w:rsid w:val="008F1EBD"/>
    <w:rsid w:val="008F2149"/>
    <w:rsid w:val="008F35A2"/>
    <w:rsid w:val="008F35F7"/>
    <w:rsid w:val="008F3DA9"/>
    <w:rsid w:val="008F4117"/>
    <w:rsid w:val="008F435A"/>
    <w:rsid w:val="008F5252"/>
    <w:rsid w:val="008F5342"/>
    <w:rsid w:val="008F5381"/>
    <w:rsid w:val="008F5D11"/>
    <w:rsid w:val="008F6BF1"/>
    <w:rsid w:val="008F7374"/>
    <w:rsid w:val="008F75A2"/>
    <w:rsid w:val="008F76FB"/>
    <w:rsid w:val="008F7A09"/>
    <w:rsid w:val="00900389"/>
    <w:rsid w:val="00900472"/>
    <w:rsid w:val="0090087F"/>
    <w:rsid w:val="00900A90"/>
    <w:rsid w:val="00900C5F"/>
    <w:rsid w:val="00900E63"/>
    <w:rsid w:val="0090201C"/>
    <w:rsid w:val="009021A6"/>
    <w:rsid w:val="0090298C"/>
    <w:rsid w:val="009030BF"/>
    <w:rsid w:val="00903700"/>
    <w:rsid w:val="00903B52"/>
    <w:rsid w:val="00903CCA"/>
    <w:rsid w:val="0090418C"/>
    <w:rsid w:val="009048F2"/>
    <w:rsid w:val="00904A59"/>
    <w:rsid w:val="00904FBF"/>
    <w:rsid w:val="00905D20"/>
    <w:rsid w:val="00905E25"/>
    <w:rsid w:val="00907B04"/>
    <w:rsid w:val="0091031D"/>
    <w:rsid w:val="0091032F"/>
    <w:rsid w:val="00910751"/>
    <w:rsid w:val="0091087D"/>
    <w:rsid w:val="00911739"/>
    <w:rsid w:val="009119D4"/>
    <w:rsid w:val="00911AC4"/>
    <w:rsid w:val="00911C7D"/>
    <w:rsid w:val="0091251E"/>
    <w:rsid w:val="0091410A"/>
    <w:rsid w:val="00914368"/>
    <w:rsid w:val="0091488A"/>
    <w:rsid w:val="00915023"/>
    <w:rsid w:val="00915F7A"/>
    <w:rsid w:val="00915FA7"/>
    <w:rsid w:val="009200BF"/>
    <w:rsid w:val="0092045B"/>
    <w:rsid w:val="00920B33"/>
    <w:rsid w:val="00920BCD"/>
    <w:rsid w:val="00920C2B"/>
    <w:rsid w:val="00921599"/>
    <w:rsid w:val="009219DE"/>
    <w:rsid w:val="0092277A"/>
    <w:rsid w:val="00923D92"/>
    <w:rsid w:val="00924776"/>
    <w:rsid w:val="009249A7"/>
    <w:rsid w:val="00924CEE"/>
    <w:rsid w:val="00924D77"/>
    <w:rsid w:val="00925393"/>
    <w:rsid w:val="00925999"/>
    <w:rsid w:val="0092646A"/>
    <w:rsid w:val="009267C4"/>
    <w:rsid w:val="00926C0A"/>
    <w:rsid w:val="009272D7"/>
    <w:rsid w:val="00927EB1"/>
    <w:rsid w:val="00930212"/>
    <w:rsid w:val="0093076E"/>
    <w:rsid w:val="00930DB0"/>
    <w:rsid w:val="00930EFD"/>
    <w:rsid w:val="00931076"/>
    <w:rsid w:val="009312B6"/>
    <w:rsid w:val="009313F8"/>
    <w:rsid w:val="009316ED"/>
    <w:rsid w:val="0093238E"/>
    <w:rsid w:val="009323FD"/>
    <w:rsid w:val="009328F1"/>
    <w:rsid w:val="0093308E"/>
    <w:rsid w:val="00933708"/>
    <w:rsid w:val="009339BD"/>
    <w:rsid w:val="00933A22"/>
    <w:rsid w:val="00933A52"/>
    <w:rsid w:val="009345D9"/>
    <w:rsid w:val="00934B15"/>
    <w:rsid w:val="00934DDC"/>
    <w:rsid w:val="00935398"/>
    <w:rsid w:val="00935633"/>
    <w:rsid w:val="009356C0"/>
    <w:rsid w:val="00935AED"/>
    <w:rsid w:val="0093643D"/>
    <w:rsid w:val="009367AF"/>
    <w:rsid w:val="009369F8"/>
    <w:rsid w:val="00936BD2"/>
    <w:rsid w:val="00936EC4"/>
    <w:rsid w:val="009371B3"/>
    <w:rsid w:val="00940096"/>
    <w:rsid w:val="00940C87"/>
    <w:rsid w:val="0094122C"/>
    <w:rsid w:val="00941E2D"/>
    <w:rsid w:val="00941F4B"/>
    <w:rsid w:val="00942332"/>
    <w:rsid w:val="00942B62"/>
    <w:rsid w:val="00944DB8"/>
    <w:rsid w:val="00945B99"/>
    <w:rsid w:val="00946DE1"/>
    <w:rsid w:val="00947459"/>
    <w:rsid w:val="00947B42"/>
    <w:rsid w:val="0095088C"/>
    <w:rsid w:val="00950FD6"/>
    <w:rsid w:val="009513D6"/>
    <w:rsid w:val="009515DA"/>
    <w:rsid w:val="009517FE"/>
    <w:rsid w:val="00951F2F"/>
    <w:rsid w:val="009522DC"/>
    <w:rsid w:val="00952C1E"/>
    <w:rsid w:val="00952E9A"/>
    <w:rsid w:val="0095312A"/>
    <w:rsid w:val="0095323B"/>
    <w:rsid w:val="00953648"/>
    <w:rsid w:val="0095486B"/>
    <w:rsid w:val="00954F8F"/>
    <w:rsid w:val="009555D9"/>
    <w:rsid w:val="009557CE"/>
    <w:rsid w:val="00956A0C"/>
    <w:rsid w:val="00956BD9"/>
    <w:rsid w:val="00957816"/>
    <w:rsid w:val="00957B74"/>
    <w:rsid w:val="0096017B"/>
    <w:rsid w:val="009604D8"/>
    <w:rsid w:val="009607F3"/>
    <w:rsid w:val="0096090B"/>
    <w:rsid w:val="00960CFA"/>
    <w:rsid w:val="00960D19"/>
    <w:rsid w:val="00960DC7"/>
    <w:rsid w:val="0096182E"/>
    <w:rsid w:val="009619FB"/>
    <w:rsid w:val="00961B8C"/>
    <w:rsid w:val="00961D06"/>
    <w:rsid w:val="00962489"/>
    <w:rsid w:val="009624CC"/>
    <w:rsid w:val="0096372E"/>
    <w:rsid w:val="00963F26"/>
    <w:rsid w:val="00964D95"/>
    <w:rsid w:val="00964E0C"/>
    <w:rsid w:val="00965818"/>
    <w:rsid w:val="00965E26"/>
    <w:rsid w:val="00966191"/>
    <w:rsid w:val="00966991"/>
    <w:rsid w:val="00967BB3"/>
    <w:rsid w:val="00967CD3"/>
    <w:rsid w:val="00967DB9"/>
    <w:rsid w:val="00971518"/>
    <w:rsid w:val="00971B21"/>
    <w:rsid w:val="00972462"/>
    <w:rsid w:val="00972941"/>
    <w:rsid w:val="00972D80"/>
    <w:rsid w:val="00973F23"/>
    <w:rsid w:val="00975FF7"/>
    <w:rsid w:val="0097695C"/>
    <w:rsid w:val="00976B79"/>
    <w:rsid w:val="00976D38"/>
    <w:rsid w:val="0097719F"/>
    <w:rsid w:val="00977762"/>
    <w:rsid w:val="00977972"/>
    <w:rsid w:val="00980704"/>
    <w:rsid w:val="00980CBC"/>
    <w:rsid w:val="00980F5D"/>
    <w:rsid w:val="00981CB0"/>
    <w:rsid w:val="00981DF2"/>
    <w:rsid w:val="00981FAB"/>
    <w:rsid w:val="00982868"/>
    <w:rsid w:val="0098296F"/>
    <w:rsid w:val="00982E0C"/>
    <w:rsid w:val="009834EC"/>
    <w:rsid w:val="00983E30"/>
    <w:rsid w:val="00984D1E"/>
    <w:rsid w:val="00985134"/>
    <w:rsid w:val="0098539B"/>
    <w:rsid w:val="00985DF7"/>
    <w:rsid w:val="00986231"/>
    <w:rsid w:val="00986611"/>
    <w:rsid w:val="00987390"/>
    <w:rsid w:val="00990740"/>
    <w:rsid w:val="00990C2C"/>
    <w:rsid w:val="0099105A"/>
    <w:rsid w:val="00991E99"/>
    <w:rsid w:val="009925DC"/>
    <w:rsid w:val="00992D80"/>
    <w:rsid w:val="00992DA9"/>
    <w:rsid w:val="00993334"/>
    <w:rsid w:val="00993DCD"/>
    <w:rsid w:val="00994485"/>
    <w:rsid w:val="009958AB"/>
    <w:rsid w:val="00996290"/>
    <w:rsid w:val="00997E7D"/>
    <w:rsid w:val="00997E88"/>
    <w:rsid w:val="009A04AC"/>
    <w:rsid w:val="009A0932"/>
    <w:rsid w:val="009A0977"/>
    <w:rsid w:val="009A1175"/>
    <w:rsid w:val="009A2566"/>
    <w:rsid w:val="009A2648"/>
    <w:rsid w:val="009A2694"/>
    <w:rsid w:val="009A2DF3"/>
    <w:rsid w:val="009A2E51"/>
    <w:rsid w:val="009A30F9"/>
    <w:rsid w:val="009A3507"/>
    <w:rsid w:val="009A3583"/>
    <w:rsid w:val="009A430D"/>
    <w:rsid w:val="009A4328"/>
    <w:rsid w:val="009A46BE"/>
    <w:rsid w:val="009A4C44"/>
    <w:rsid w:val="009A5142"/>
    <w:rsid w:val="009A5171"/>
    <w:rsid w:val="009A53A2"/>
    <w:rsid w:val="009A6078"/>
    <w:rsid w:val="009A624C"/>
    <w:rsid w:val="009A6776"/>
    <w:rsid w:val="009A7C44"/>
    <w:rsid w:val="009B04C5"/>
    <w:rsid w:val="009B0958"/>
    <w:rsid w:val="009B20B8"/>
    <w:rsid w:val="009B44FD"/>
    <w:rsid w:val="009B6CB5"/>
    <w:rsid w:val="009B6E8C"/>
    <w:rsid w:val="009B7ED3"/>
    <w:rsid w:val="009B7F28"/>
    <w:rsid w:val="009C070C"/>
    <w:rsid w:val="009C0937"/>
    <w:rsid w:val="009C12DF"/>
    <w:rsid w:val="009C1EDC"/>
    <w:rsid w:val="009C2245"/>
    <w:rsid w:val="009C2707"/>
    <w:rsid w:val="009C4227"/>
    <w:rsid w:val="009C4A68"/>
    <w:rsid w:val="009C4F48"/>
    <w:rsid w:val="009C5176"/>
    <w:rsid w:val="009C557A"/>
    <w:rsid w:val="009C5650"/>
    <w:rsid w:val="009C5BBB"/>
    <w:rsid w:val="009C5C55"/>
    <w:rsid w:val="009C5E17"/>
    <w:rsid w:val="009C5EA7"/>
    <w:rsid w:val="009C7941"/>
    <w:rsid w:val="009C7D33"/>
    <w:rsid w:val="009D00F1"/>
    <w:rsid w:val="009D08F4"/>
    <w:rsid w:val="009D0CCC"/>
    <w:rsid w:val="009D0CF8"/>
    <w:rsid w:val="009D0D00"/>
    <w:rsid w:val="009D0DE5"/>
    <w:rsid w:val="009D10D3"/>
    <w:rsid w:val="009D272A"/>
    <w:rsid w:val="009D3347"/>
    <w:rsid w:val="009D3546"/>
    <w:rsid w:val="009D4F24"/>
    <w:rsid w:val="009D5B46"/>
    <w:rsid w:val="009D5FBD"/>
    <w:rsid w:val="009D68C4"/>
    <w:rsid w:val="009D691D"/>
    <w:rsid w:val="009D72AE"/>
    <w:rsid w:val="009E01B4"/>
    <w:rsid w:val="009E0C68"/>
    <w:rsid w:val="009E0D59"/>
    <w:rsid w:val="009E1252"/>
    <w:rsid w:val="009E1844"/>
    <w:rsid w:val="009E22B0"/>
    <w:rsid w:val="009E245E"/>
    <w:rsid w:val="009E25B2"/>
    <w:rsid w:val="009E2923"/>
    <w:rsid w:val="009E2FE2"/>
    <w:rsid w:val="009E3712"/>
    <w:rsid w:val="009E459F"/>
    <w:rsid w:val="009E50CA"/>
    <w:rsid w:val="009E69A2"/>
    <w:rsid w:val="009E772A"/>
    <w:rsid w:val="009E77E7"/>
    <w:rsid w:val="009E7F27"/>
    <w:rsid w:val="009F0D0D"/>
    <w:rsid w:val="009F0D1B"/>
    <w:rsid w:val="009F1227"/>
    <w:rsid w:val="009F17BA"/>
    <w:rsid w:val="009F1F04"/>
    <w:rsid w:val="009F269F"/>
    <w:rsid w:val="009F2827"/>
    <w:rsid w:val="009F3231"/>
    <w:rsid w:val="009F3593"/>
    <w:rsid w:val="009F38E3"/>
    <w:rsid w:val="009F3A63"/>
    <w:rsid w:val="009F3A9F"/>
    <w:rsid w:val="009F460D"/>
    <w:rsid w:val="009F48EB"/>
    <w:rsid w:val="009F4DCC"/>
    <w:rsid w:val="009F53D7"/>
    <w:rsid w:val="009F54FC"/>
    <w:rsid w:val="009F551D"/>
    <w:rsid w:val="009F5A8C"/>
    <w:rsid w:val="009F5BBD"/>
    <w:rsid w:val="009F63AA"/>
    <w:rsid w:val="009F696D"/>
    <w:rsid w:val="009F6BC6"/>
    <w:rsid w:val="009F74EF"/>
    <w:rsid w:val="009F7857"/>
    <w:rsid w:val="009F7D22"/>
    <w:rsid w:val="009F7D9D"/>
    <w:rsid w:val="00A002D4"/>
    <w:rsid w:val="00A00880"/>
    <w:rsid w:val="00A00EA6"/>
    <w:rsid w:val="00A00EE2"/>
    <w:rsid w:val="00A01CE1"/>
    <w:rsid w:val="00A02826"/>
    <w:rsid w:val="00A02ADA"/>
    <w:rsid w:val="00A03814"/>
    <w:rsid w:val="00A03959"/>
    <w:rsid w:val="00A03D75"/>
    <w:rsid w:val="00A03FCE"/>
    <w:rsid w:val="00A04747"/>
    <w:rsid w:val="00A04C2E"/>
    <w:rsid w:val="00A0641A"/>
    <w:rsid w:val="00A06A56"/>
    <w:rsid w:val="00A108A2"/>
    <w:rsid w:val="00A1096C"/>
    <w:rsid w:val="00A10F33"/>
    <w:rsid w:val="00A112F1"/>
    <w:rsid w:val="00A1183B"/>
    <w:rsid w:val="00A11C81"/>
    <w:rsid w:val="00A11EA2"/>
    <w:rsid w:val="00A12739"/>
    <w:rsid w:val="00A12783"/>
    <w:rsid w:val="00A13616"/>
    <w:rsid w:val="00A13837"/>
    <w:rsid w:val="00A13886"/>
    <w:rsid w:val="00A13E87"/>
    <w:rsid w:val="00A1403D"/>
    <w:rsid w:val="00A15BD9"/>
    <w:rsid w:val="00A15D5A"/>
    <w:rsid w:val="00A16692"/>
    <w:rsid w:val="00A16A21"/>
    <w:rsid w:val="00A16BF1"/>
    <w:rsid w:val="00A16E75"/>
    <w:rsid w:val="00A16E91"/>
    <w:rsid w:val="00A17328"/>
    <w:rsid w:val="00A2014B"/>
    <w:rsid w:val="00A2081C"/>
    <w:rsid w:val="00A20B22"/>
    <w:rsid w:val="00A20C5E"/>
    <w:rsid w:val="00A216C6"/>
    <w:rsid w:val="00A219FC"/>
    <w:rsid w:val="00A224D8"/>
    <w:rsid w:val="00A22D71"/>
    <w:rsid w:val="00A22E99"/>
    <w:rsid w:val="00A232AB"/>
    <w:rsid w:val="00A23A20"/>
    <w:rsid w:val="00A24443"/>
    <w:rsid w:val="00A245E1"/>
    <w:rsid w:val="00A25159"/>
    <w:rsid w:val="00A25299"/>
    <w:rsid w:val="00A2561D"/>
    <w:rsid w:val="00A25795"/>
    <w:rsid w:val="00A25E2F"/>
    <w:rsid w:val="00A25E4B"/>
    <w:rsid w:val="00A2673A"/>
    <w:rsid w:val="00A268B9"/>
    <w:rsid w:val="00A2703A"/>
    <w:rsid w:val="00A27359"/>
    <w:rsid w:val="00A27379"/>
    <w:rsid w:val="00A277D2"/>
    <w:rsid w:val="00A303AF"/>
    <w:rsid w:val="00A3106F"/>
    <w:rsid w:val="00A32E31"/>
    <w:rsid w:val="00A33376"/>
    <w:rsid w:val="00A33854"/>
    <w:rsid w:val="00A33D54"/>
    <w:rsid w:val="00A33DFF"/>
    <w:rsid w:val="00A34536"/>
    <w:rsid w:val="00A35046"/>
    <w:rsid w:val="00A35115"/>
    <w:rsid w:val="00A3519D"/>
    <w:rsid w:val="00A35635"/>
    <w:rsid w:val="00A360EF"/>
    <w:rsid w:val="00A36D9A"/>
    <w:rsid w:val="00A36FB6"/>
    <w:rsid w:val="00A378DB"/>
    <w:rsid w:val="00A408AE"/>
    <w:rsid w:val="00A40A20"/>
    <w:rsid w:val="00A40AB3"/>
    <w:rsid w:val="00A40B1D"/>
    <w:rsid w:val="00A4105F"/>
    <w:rsid w:val="00A410BF"/>
    <w:rsid w:val="00A41210"/>
    <w:rsid w:val="00A414A4"/>
    <w:rsid w:val="00A4195F"/>
    <w:rsid w:val="00A41C1A"/>
    <w:rsid w:val="00A41C70"/>
    <w:rsid w:val="00A41F2A"/>
    <w:rsid w:val="00A42CE7"/>
    <w:rsid w:val="00A42F15"/>
    <w:rsid w:val="00A430BD"/>
    <w:rsid w:val="00A43122"/>
    <w:rsid w:val="00A43902"/>
    <w:rsid w:val="00A43C61"/>
    <w:rsid w:val="00A44A0B"/>
    <w:rsid w:val="00A451DC"/>
    <w:rsid w:val="00A45C4C"/>
    <w:rsid w:val="00A45D88"/>
    <w:rsid w:val="00A45E11"/>
    <w:rsid w:val="00A45E57"/>
    <w:rsid w:val="00A46392"/>
    <w:rsid w:val="00A46772"/>
    <w:rsid w:val="00A47BAD"/>
    <w:rsid w:val="00A5008E"/>
    <w:rsid w:val="00A50126"/>
    <w:rsid w:val="00A5104A"/>
    <w:rsid w:val="00A51969"/>
    <w:rsid w:val="00A52D58"/>
    <w:rsid w:val="00A53512"/>
    <w:rsid w:val="00A53575"/>
    <w:rsid w:val="00A53792"/>
    <w:rsid w:val="00A554AB"/>
    <w:rsid w:val="00A55547"/>
    <w:rsid w:val="00A55783"/>
    <w:rsid w:val="00A55A63"/>
    <w:rsid w:val="00A55E50"/>
    <w:rsid w:val="00A56328"/>
    <w:rsid w:val="00A5653D"/>
    <w:rsid w:val="00A56B88"/>
    <w:rsid w:val="00A56FAF"/>
    <w:rsid w:val="00A57062"/>
    <w:rsid w:val="00A57123"/>
    <w:rsid w:val="00A60297"/>
    <w:rsid w:val="00A613D8"/>
    <w:rsid w:val="00A61F0C"/>
    <w:rsid w:val="00A62229"/>
    <w:rsid w:val="00A62D27"/>
    <w:rsid w:val="00A6329B"/>
    <w:rsid w:val="00A637BB"/>
    <w:rsid w:val="00A65B47"/>
    <w:rsid w:val="00A65FB2"/>
    <w:rsid w:val="00A660E7"/>
    <w:rsid w:val="00A6639D"/>
    <w:rsid w:val="00A666FD"/>
    <w:rsid w:val="00A6724A"/>
    <w:rsid w:val="00A67781"/>
    <w:rsid w:val="00A67949"/>
    <w:rsid w:val="00A70C17"/>
    <w:rsid w:val="00A70E4F"/>
    <w:rsid w:val="00A70EA0"/>
    <w:rsid w:val="00A71344"/>
    <w:rsid w:val="00A734B2"/>
    <w:rsid w:val="00A734FB"/>
    <w:rsid w:val="00A73566"/>
    <w:rsid w:val="00A7406E"/>
    <w:rsid w:val="00A74216"/>
    <w:rsid w:val="00A74F39"/>
    <w:rsid w:val="00A7520A"/>
    <w:rsid w:val="00A757DB"/>
    <w:rsid w:val="00A75BE6"/>
    <w:rsid w:val="00A75E7E"/>
    <w:rsid w:val="00A7604F"/>
    <w:rsid w:val="00A761F9"/>
    <w:rsid w:val="00A76529"/>
    <w:rsid w:val="00A766F5"/>
    <w:rsid w:val="00A77E97"/>
    <w:rsid w:val="00A80152"/>
    <w:rsid w:val="00A8028B"/>
    <w:rsid w:val="00A80424"/>
    <w:rsid w:val="00A80D16"/>
    <w:rsid w:val="00A82391"/>
    <w:rsid w:val="00A823DC"/>
    <w:rsid w:val="00A828E4"/>
    <w:rsid w:val="00A82B30"/>
    <w:rsid w:val="00A82CFE"/>
    <w:rsid w:val="00A83CC0"/>
    <w:rsid w:val="00A83D7D"/>
    <w:rsid w:val="00A843CC"/>
    <w:rsid w:val="00A848C1"/>
    <w:rsid w:val="00A8511C"/>
    <w:rsid w:val="00A8633F"/>
    <w:rsid w:val="00A86C93"/>
    <w:rsid w:val="00A86EC4"/>
    <w:rsid w:val="00A871B8"/>
    <w:rsid w:val="00A87534"/>
    <w:rsid w:val="00A8755A"/>
    <w:rsid w:val="00A90248"/>
    <w:rsid w:val="00A908EE"/>
    <w:rsid w:val="00A909E2"/>
    <w:rsid w:val="00A91004"/>
    <w:rsid w:val="00A912AC"/>
    <w:rsid w:val="00A9186B"/>
    <w:rsid w:val="00A91BCE"/>
    <w:rsid w:val="00A91CBE"/>
    <w:rsid w:val="00A92058"/>
    <w:rsid w:val="00A92423"/>
    <w:rsid w:val="00A92AF0"/>
    <w:rsid w:val="00A92B53"/>
    <w:rsid w:val="00A92E72"/>
    <w:rsid w:val="00A938F7"/>
    <w:rsid w:val="00A93D1F"/>
    <w:rsid w:val="00A940BB"/>
    <w:rsid w:val="00A949B7"/>
    <w:rsid w:val="00A94EF9"/>
    <w:rsid w:val="00A94FA6"/>
    <w:rsid w:val="00A967BE"/>
    <w:rsid w:val="00A96D4D"/>
    <w:rsid w:val="00A97247"/>
    <w:rsid w:val="00A975C2"/>
    <w:rsid w:val="00A97A7C"/>
    <w:rsid w:val="00A97D97"/>
    <w:rsid w:val="00AA0AA9"/>
    <w:rsid w:val="00AA0ECA"/>
    <w:rsid w:val="00AA0F9E"/>
    <w:rsid w:val="00AA0FEB"/>
    <w:rsid w:val="00AA1C9A"/>
    <w:rsid w:val="00AA2E5F"/>
    <w:rsid w:val="00AA2FFC"/>
    <w:rsid w:val="00AA3FE1"/>
    <w:rsid w:val="00AA48BD"/>
    <w:rsid w:val="00AA49A0"/>
    <w:rsid w:val="00AA51E9"/>
    <w:rsid w:val="00AA530D"/>
    <w:rsid w:val="00AA5E96"/>
    <w:rsid w:val="00AA6710"/>
    <w:rsid w:val="00AA6CA7"/>
    <w:rsid w:val="00AA6D0B"/>
    <w:rsid w:val="00AA6D31"/>
    <w:rsid w:val="00AA7274"/>
    <w:rsid w:val="00AA752F"/>
    <w:rsid w:val="00AB0681"/>
    <w:rsid w:val="00AB0704"/>
    <w:rsid w:val="00AB0713"/>
    <w:rsid w:val="00AB0880"/>
    <w:rsid w:val="00AB10E0"/>
    <w:rsid w:val="00AB15E7"/>
    <w:rsid w:val="00AB3408"/>
    <w:rsid w:val="00AB35B6"/>
    <w:rsid w:val="00AB39DD"/>
    <w:rsid w:val="00AB3D7E"/>
    <w:rsid w:val="00AB3E1F"/>
    <w:rsid w:val="00AB45BA"/>
    <w:rsid w:val="00AB45EF"/>
    <w:rsid w:val="00AB4959"/>
    <w:rsid w:val="00AB4C9A"/>
    <w:rsid w:val="00AB4D7E"/>
    <w:rsid w:val="00AB4DE1"/>
    <w:rsid w:val="00AB6000"/>
    <w:rsid w:val="00AB7883"/>
    <w:rsid w:val="00AB7EF8"/>
    <w:rsid w:val="00AC0015"/>
    <w:rsid w:val="00AC13B9"/>
    <w:rsid w:val="00AC1847"/>
    <w:rsid w:val="00AC195A"/>
    <w:rsid w:val="00AC2166"/>
    <w:rsid w:val="00AC27DE"/>
    <w:rsid w:val="00AC2AA9"/>
    <w:rsid w:val="00AC2FD2"/>
    <w:rsid w:val="00AC3067"/>
    <w:rsid w:val="00AC32B1"/>
    <w:rsid w:val="00AC3421"/>
    <w:rsid w:val="00AC3A15"/>
    <w:rsid w:val="00AC40F7"/>
    <w:rsid w:val="00AC5F80"/>
    <w:rsid w:val="00AC62B8"/>
    <w:rsid w:val="00AC661C"/>
    <w:rsid w:val="00AC6E31"/>
    <w:rsid w:val="00AD1241"/>
    <w:rsid w:val="00AD1486"/>
    <w:rsid w:val="00AD1A76"/>
    <w:rsid w:val="00AD263B"/>
    <w:rsid w:val="00AD2CA1"/>
    <w:rsid w:val="00AD32C0"/>
    <w:rsid w:val="00AD3500"/>
    <w:rsid w:val="00AD35F4"/>
    <w:rsid w:val="00AD4D12"/>
    <w:rsid w:val="00AD4DA1"/>
    <w:rsid w:val="00AD520B"/>
    <w:rsid w:val="00AD5296"/>
    <w:rsid w:val="00AD5439"/>
    <w:rsid w:val="00AD5B97"/>
    <w:rsid w:val="00AD5C49"/>
    <w:rsid w:val="00AD6B69"/>
    <w:rsid w:val="00AD6C18"/>
    <w:rsid w:val="00AD6F9B"/>
    <w:rsid w:val="00AD6FAC"/>
    <w:rsid w:val="00AD756C"/>
    <w:rsid w:val="00AE0986"/>
    <w:rsid w:val="00AE0EB0"/>
    <w:rsid w:val="00AE16B0"/>
    <w:rsid w:val="00AE1CF6"/>
    <w:rsid w:val="00AE1E4B"/>
    <w:rsid w:val="00AE2313"/>
    <w:rsid w:val="00AE38AD"/>
    <w:rsid w:val="00AE3BCC"/>
    <w:rsid w:val="00AE3C14"/>
    <w:rsid w:val="00AE3DD2"/>
    <w:rsid w:val="00AE4539"/>
    <w:rsid w:val="00AE4A42"/>
    <w:rsid w:val="00AE5683"/>
    <w:rsid w:val="00AE59D7"/>
    <w:rsid w:val="00AE6037"/>
    <w:rsid w:val="00AE7B83"/>
    <w:rsid w:val="00AE7C72"/>
    <w:rsid w:val="00AF02A5"/>
    <w:rsid w:val="00AF0588"/>
    <w:rsid w:val="00AF1B83"/>
    <w:rsid w:val="00AF37CA"/>
    <w:rsid w:val="00AF3AA3"/>
    <w:rsid w:val="00AF3E9B"/>
    <w:rsid w:val="00AF4CD3"/>
    <w:rsid w:val="00AF4DE3"/>
    <w:rsid w:val="00AF50E2"/>
    <w:rsid w:val="00AF5798"/>
    <w:rsid w:val="00AF66A6"/>
    <w:rsid w:val="00AF6967"/>
    <w:rsid w:val="00AF6B0D"/>
    <w:rsid w:val="00B0003B"/>
    <w:rsid w:val="00B003E4"/>
    <w:rsid w:val="00B0086E"/>
    <w:rsid w:val="00B00E1B"/>
    <w:rsid w:val="00B0135E"/>
    <w:rsid w:val="00B014CF"/>
    <w:rsid w:val="00B01858"/>
    <w:rsid w:val="00B01B82"/>
    <w:rsid w:val="00B0232A"/>
    <w:rsid w:val="00B023AF"/>
    <w:rsid w:val="00B031A9"/>
    <w:rsid w:val="00B03341"/>
    <w:rsid w:val="00B039FE"/>
    <w:rsid w:val="00B046AC"/>
    <w:rsid w:val="00B0497D"/>
    <w:rsid w:val="00B04A40"/>
    <w:rsid w:val="00B05925"/>
    <w:rsid w:val="00B05A42"/>
    <w:rsid w:val="00B05AAD"/>
    <w:rsid w:val="00B05FB7"/>
    <w:rsid w:val="00B06424"/>
    <w:rsid w:val="00B06A18"/>
    <w:rsid w:val="00B07B7B"/>
    <w:rsid w:val="00B07E62"/>
    <w:rsid w:val="00B10467"/>
    <w:rsid w:val="00B10C1D"/>
    <w:rsid w:val="00B10D18"/>
    <w:rsid w:val="00B11019"/>
    <w:rsid w:val="00B11167"/>
    <w:rsid w:val="00B11706"/>
    <w:rsid w:val="00B11D10"/>
    <w:rsid w:val="00B123CC"/>
    <w:rsid w:val="00B1389B"/>
    <w:rsid w:val="00B13B67"/>
    <w:rsid w:val="00B1429C"/>
    <w:rsid w:val="00B14732"/>
    <w:rsid w:val="00B14F62"/>
    <w:rsid w:val="00B15279"/>
    <w:rsid w:val="00B15DB5"/>
    <w:rsid w:val="00B16761"/>
    <w:rsid w:val="00B17281"/>
    <w:rsid w:val="00B172F8"/>
    <w:rsid w:val="00B177D8"/>
    <w:rsid w:val="00B17BB9"/>
    <w:rsid w:val="00B20808"/>
    <w:rsid w:val="00B20910"/>
    <w:rsid w:val="00B20EC7"/>
    <w:rsid w:val="00B21072"/>
    <w:rsid w:val="00B21135"/>
    <w:rsid w:val="00B2128E"/>
    <w:rsid w:val="00B213CC"/>
    <w:rsid w:val="00B21D5C"/>
    <w:rsid w:val="00B21F0A"/>
    <w:rsid w:val="00B22F31"/>
    <w:rsid w:val="00B235E6"/>
    <w:rsid w:val="00B247CA"/>
    <w:rsid w:val="00B25D99"/>
    <w:rsid w:val="00B2606C"/>
    <w:rsid w:val="00B2608F"/>
    <w:rsid w:val="00B277C8"/>
    <w:rsid w:val="00B27A30"/>
    <w:rsid w:val="00B27B01"/>
    <w:rsid w:val="00B30737"/>
    <w:rsid w:val="00B30738"/>
    <w:rsid w:val="00B309E0"/>
    <w:rsid w:val="00B30AC2"/>
    <w:rsid w:val="00B318CD"/>
    <w:rsid w:val="00B32375"/>
    <w:rsid w:val="00B32648"/>
    <w:rsid w:val="00B32BF1"/>
    <w:rsid w:val="00B33C26"/>
    <w:rsid w:val="00B3415A"/>
    <w:rsid w:val="00B34A86"/>
    <w:rsid w:val="00B34C67"/>
    <w:rsid w:val="00B3709F"/>
    <w:rsid w:val="00B371BA"/>
    <w:rsid w:val="00B37A0B"/>
    <w:rsid w:val="00B40A88"/>
    <w:rsid w:val="00B40C92"/>
    <w:rsid w:val="00B414AF"/>
    <w:rsid w:val="00B41512"/>
    <w:rsid w:val="00B417F6"/>
    <w:rsid w:val="00B421D1"/>
    <w:rsid w:val="00B42240"/>
    <w:rsid w:val="00B42443"/>
    <w:rsid w:val="00B425C3"/>
    <w:rsid w:val="00B430E4"/>
    <w:rsid w:val="00B4373D"/>
    <w:rsid w:val="00B440AD"/>
    <w:rsid w:val="00B44734"/>
    <w:rsid w:val="00B44FBC"/>
    <w:rsid w:val="00B4593B"/>
    <w:rsid w:val="00B45E5F"/>
    <w:rsid w:val="00B479BB"/>
    <w:rsid w:val="00B50CCB"/>
    <w:rsid w:val="00B50CE7"/>
    <w:rsid w:val="00B50CEE"/>
    <w:rsid w:val="00B5110D"/>
    <w:rsid w:val="00B51363"/>
    <w:rsid w:val="00B51370"/>
    <w:rsid w:val="00B51622"/>
    <w:rsid w:val="00B53C92"/>
    <w:rsid w:val="00B53E7E"/>
    <w:rsid w:val="00B54382"/>
    <w:rsid w:val="00B549FE"/>
    <w:rsid w:val="00B555DA"/>
    <w:rsid w:val="00B55DE0"/>
    <w:rsid w:val="00B56082"/>
    <w:rsid w:val="00B56898"/>
    <w:rsid w:val="00B57580"/>
    <w:rsid w:val="00B57641"/>
    <w:rsid w:val="00B57F9C"/>
    <w:rsid w:val="00B6017D"/>
    <w:rsid w:val="00B60203"/>
    <w:rsid w:val="00B60682"/>
    <w:rsid w:val="00B61A0B"/>
    <w:rsid w:val="00B61B9C"/>
    <w:rsid w:val="00B62137"/>
    <w:rsid w:val="00B62B4F"/>
    <w:rsid w:val="00B632A7"/>
    <w:rsid w:val="00B6342E"/>
    <w:rsid w:val="00B63593"/>
    <w:rsid w:val="00B63EF7"/>
    <w:rsid w:val="00B650E7"/>
    <w:rsid w:val="00B65A21"/>
    <w:rsid w:val="00B65B22"/>
    <w:rsid w:val="00B65C98"/>
    <w:rsid w:val="00B677AE"/>
    <w:rsid w:val="00B67A59"/>
    <w:rsid w:val="00B70E2D"/>
    <w:rsid w:val="00B7113F"/>
    <w:rsid w:val="00B717F1"/>
    <w:rsid w:val="00B7192F"/>
    <w:rsid w:val="00B7274D"/>
    <w:rsid w:val="00B73358"/>
    <w:rsid w:val="00B739D2"/>
    <w:rsid w:val="00B73B5C"/>
    <w:rsid w:val="00B73E35"/>
    <w:rsid w:val="00B74BA9"/>
    <w:rsid w:val="00B750EA"/>
    <w:rsid w:val="00B769ED"/>
    <w:rsid w:val="00B808B2"/>
    <w:rsid w:val="00B80B6E"/>
    <w:rsid w:val="00B81B0B"/>
    <w:rsid w:val="00B8268F"/>
    <w:rsid w:val="00B82697"/>
    <w:rsid w:val="00B827B3"/>
    <w:rsid w:val="00B82A8E"/>
    <w:rsid w:val="00B8337B"/>
    <w:rsid w:val="00B83A93"/>
    <w:rsid w:val="00B83FB1"/>
    <w:rsid w:val="00B84EB7"/>
    <w:rsid w:val="00B858DE"/>
    <w:rsid w:val="00B85DFF"/>
    <w:rsid w:val="00B86453"/>
    <w:rsid w:val="00B86576"/>
    <w:rsid w:val="00B8698E"/>
    <w:rsid w:val="00B86DB1"/>
    <w:rsid w:val="00B87064"/>
    <w:rsid w:val="00B87C05"/>
    <w:rsid w:val="00B901FF"/>
    <w:rsid w:val="00B9044B"/>
    <w:rsid w:val="00B9275B"/>
    <w:rsid w:val="00B9280C"/>
    <w:rsid w:val="00B92AC0"/>
    <w:rsid w:val="00B92B67"/>
    <w:rsid w:val="00B92F4A"/>
    <w:rsid w:val="00B93A02"/>
    <w:rsid w:val="00B940B8"/>
    <w:rsid w:val="00B94FBB"/>
    <w:rsid w:val="00B9517E"/>
    <w:rsid w:val="00B956FF"/>
    <w:rsid w:val="00B9604A"/>
    <w:rsid w:val="00B968DA"/>
    <w:rsid w:val="00B96A47"/>
    <w:rsid w:val="00B97289"/>
    <w:rsid w:val="00B97393"/>
    <w:rsid w:val="00B97AE7"/>
    <w:rsid w:val="00B97E54"/>
    <w:rsid w:val="00BA0197"/>
    <w:rsid w:val="00BA15CC"/>
    <w:rsid w:val="00BA178B"/>
    <w:rsid w:val="00BA1ABC"/>
    <w:rsid w:val="00BA21DA"/>
    <w:rsid w:val="00BA2BCF"/>
    <w:rsid w:val="00BA3987"/>
    <w:rsid w:val="00BA3F5C"/>
    <w:rsid w:val="00BA4658"/>
    <w:rsid w:val="00BA4FD1"/>
    <w:rsid w:val="00BA52F5"/>
    <w:rsid w:val="00BA5304"/>
    <w:rsid w:val="00BA56A4"/>
    <w:rsid w:val="00BA5B14"/>
    <w:rsid w:val="00BA5C62"/>
    <w:rsid w:val="00BA5C99"/>
    <w:rsid w:val="00BA6CA4"/>
    <w:rsid w:val="00BA6D87"/>
    <w:rsid w:val="00BA6F3F"/>
    <w:rsid w:val="00BA7004"/>
    <w:rsid w:val="00BA73B6"/>
    <w:rsid w:val="00BA7C5C"/>
    <w:rsid w:val="00BA7CE8"/>
    <w:rsid w:val="00BA7E27"/>
    <w:rsid w:val="00BA7E80"/>
    <w:rsid w:val="00BB0069"/>
    <w:rsid w:val="00BB01B3"/>
    <w:rsid w:val="00BB15B4"/>
    <w:rsid w:val="00BB15CF"/>
    <w:rsid w:val="00BB1805"/>
    <w:rsid w:val="00BB1BCB"/>
    <w:rsid w:val="00BB1C60"/>
    <w:rsid w:val="00BB224E"/>
    <w:rsid w:val="00BB24F2"/>
    <w:rsid w:val="00BB2603"/>
    <w:rsid w:val="00BB2A3B"/>
    <w:rsid w:val="00BB39F3"/>
    <w:rsid w:val="00BB4488"/>
    <w:rsid w:val="00BB456C"/>
    <w:rsid w:val="00BB4FCD"/>
    <w:rsid w:val="00BB538F"/>
    <w:rsid w:val="00BB5D7E"/>
    <w:rsid w:val="00BB6F3D"/>
    <w:rsid w:val="00BB72A7"/>
    <w:rsid w:val="00BB76DA"/>
    <w:rsid w:val="00BB7DD7"/>
    <w:rsid w:val="00BB7E60"/>
    <w:rsid w:val="00BC01C6"/>
    <w:rsid w:val="00BC0325"/>
    <w:rsid w:val="00BC04E9"/>
    <w:rsid w:val="00BC1F97"/>
    <w:rsid w:val="00BC24A7"/>
    <w:rsid w:val="00BC2E72"/>
    <w:rsid w:val="00BC329D"/>
    <w:rsid w:val="00BC37FF"/>
    <w:rsid w:val="00BC3D50"/>
    <w:rsid w:val="00BC41D4"/>
    <w:rsid w:val="00BC421A"/>
    <w:rsid w:val="00BC455B"/>
    <w:rsid w:val="00BC45D9"/>
    <w:rsid w:val="00BC4BF2"/>
    <w:rsid w:val="00BC5E59"/>
    <w:rsid w:val="00BC6A9D"/>
    <w:rsid w:val="00BC7046"/>
    <w:rsid w:val="00BC736F"/>
    <w:rsid w:val="00BC73B4"/>
    <w:rsid w:val="00BC7BA7"/>
    <w:rsid w:val="00BD049F"/>
    <w:rsid w:val="00BD13EA"/>
    <w:rsid w:val="00BD1B9A"/>
    <w:rsid w:val="00BD1D7F"/>
    <w:rsid w:val="00BD26CA"/>
    <w:rsid w:val="00BD2755"/>
    <w:rsid w:val="00BD2B4F"/>
    <w:rsid w:val="00BD4520"/>
    <w:rsid w:val="00BD5060"/>
    <w:rsid w:val="00BD5454"/>
    <w:rsid w:val="00BD59DF"/>
    <w:rsid w:val="00BD5F37"/>
    <w:rsid w:val="00BD6541"/>
    <w:rsid w:val="00BD67E7"/>
    <w:rsid w:val="00BD720D"/>
    <w:rsid w:val="00BD72A4"/>
    <w:rsid w:val="00BD7776"/>
    <w:rsid w:val="00BD7E80"/>
    <w:rsid w:val="00BE0809"/>
    <w:rsid w:val="00BE0AB5"/>
    <w:rsid w:val="00BE0BFB"/>
    <w:rsid w:val="00BE0C36"/>
    <w:rsid w:val="00BE26A8"/>
    <w:rsid w:val="00BE2DBE"/>
    <w:rsid w:val="00BE3808"/>
    <w:rsid w:val="00BE44B8"/>
    <w:rsid w:val="00BE4DDB"/>
    <w:rsid w:val="00BE50F4"/>
    <w:rsid w:val="00BE51C5"/>
    <w:rsid w:val="00BE58C3"/>
    <w:rsid w:val="00BE5A81"/>
    <w:rsid w:val="00BE606D"/>
    <w:rsid w:val="00BE6C5C"/>
    <w:rsid w:val="00BE778C"/>
    <w:rsid w:val="00BE783B"/>
    <w:rsid w:val="00BE7B6B"/>
    <w:rsid w:val="00BE7F5F"/>
    <w:rsid w:val="00BF1443"/>
    <w:rsid w:val="00BF1953"/>
    <w:rsid w:val="00BF1E9A"/>
    <w:rsid w:val="00BF24DE"/>
    <w:rsid w:val="00BF3D61"/>
    <w:rsid w:val="00BF4423"/>
    <w:rsid w:val="00BF57C0"/>
    <w:rsid w:val="00BF58B1"/>
    <w:rsid w:val="00BF5A3D"/>
    <w:rsid w:val="00BF6CB7"/>
    <w:rsid w:val="00BF70B3"/>
    <w:rsid w:val="00BF77C2"/>
    <w:rsid w:val="00BF7EE6"/>
    <w:rsid w:val="00BF7F20"/>
    <w:rsid w:val="00C0021A"/>
    <w:rsid w:val="00C01247"/>
    <w:rsid w:val="00C0277E"/>
    <w:rsid w:val="00C02D24"/>
    <w:rsid w:val="00C033E6"/>
    <w:rsid w:val="00C038BC"/>
    <w:rsid w:val="00C03B88"/>
    <w:rsid w:val="00C04E00"/>
    <w:rsid w:val="00C04F59"/>
    <w:rsid w:val="00C05D16"/>
    <w:rsid w:val="00C0620E"/>
    <w:rsid w:val="00C062E9"/>
    <w:rsid w:val="00C06D2A"/>
    <w:rsid w:val="00C0757A"/>
    <w:rsid w:val="00C07A54"/>
    <w:rsid w:val="00C07B64"/>
    <w:rsid w:val="00C100C9"/>
    <w:rsid w:val="00C10A28"/>
    <w:rsid w:val="00C11161"/>
    <w:rsid w:val="00C11EDF"/>
    <w:rsid w:val="00C1210B"/>
    <w:rsid w:val="00C12FB0"/>
    <w:rsid w:val="00C134FF"/>
    <w:rsid w:val="00C13721"/>
    <w:rsid w:val="00C13AC8"/>
    <w:rsid w:val="00C13EE5"/>
    <w:rsid w:val="00C13F7C"/>
    <w:rsid w:val="00C1474C"/>
    <w:rsid w:val="00C147FF"/>
    <w:rsid w:val="00C148A2"/>
    <w:rsid w:val="00C14FE4"/>
    <w:rsid w:val="00C15078"/>
    <w:rsid w:val="00C160F9"/>
    <w:rsid w:val="00C16441"/>
    <w:rsid w:val="00C16448"/>
    <w:rsid w:val="00C20D6A"/>
    <w:rsid w:val="00C21071"/>
    <w:rsid w:val="00C21967"/>
    <w:rsid w:val="00C220A8"/>
    <w:rsid w:val="00C22296"/>
    <w:rsid w:val="00C23495"/>
    <w:rsid w:val="00C23600"/>
    <w:rsid w:val="00C23CA2"/>
    <w:rsid w:val="00C23DD6"/>
    <w:rsid w:val="00C23EB2"/>
    <w:rsid w:val="00C247A2"/>
    <w:rsid w:val="00C25074"/>
    <w:rsid w:val="00C252CE"/>
    <w:rsid w:val="00C25BF4"/>
    <w:rsid w:val="00C25E3A"/>
    <w:rsid w:val="00C26942"/>
    <w:rsid w:val="00C26CD7"/>
    <w:rsid w:val="00C27380"/>
    <w:rsid w:val="00C27C5B"/>
    <w:rsid w:val="00C27F46"/>
    <w:rsid w:val="00C3066D"/>
    <w:rsid w:val="00C30CC3"/>
    <w:rsid w:val="00C30DFC"/>
    <w:rsid w:val="00C3105C"/>
    <w:rsid w:val="00C31C43"/>
    <w:rsid w:val="00C33176"/>
    <w:rsid w:val="00C3329F"/>
    <w:rsid w:val="00C33E85"/>
    <w:rsid w:val="00C340C1"/>
    <w:rsid w:val="00C349C6"/>
    <w:rsid w:val="00C3578E"/>
    <w:rsid w:val="00C366D2"/>
    <w:rsid w:val="00C37538"/>
    <w:rsid w:val="00C40609"/>
    <w:rsid w:val="00C40F67"/>
    <w:rsid w:val="00C4154C"/>
    <w:rsid w:val="00C41FB6"/>
    <w:rsid w:val="00C420C0"/>
    <w:rsid w:val="00C420D5"/>
    <w:rsid w:val="00C421B3"/>
    <w:rsid w:val="00C42758"/>
    <w:rsid w:val="00C42A8C"/>
    <w:rsid w:val="00C43140"/>
    <w:rsid w:val="00C43BE9"/>
    <w:rsid w:val="00C441C8"/>
    <w:rsid w:val="00C44206"/>
    <w:rsid w:val="00C445BC"/>
    <w:rsid w:val="00C45367"/>
    <w:rsid w:val="00C45712"/>
    <w:rsid w:val="00C458A9"/>
    <w:rsid w:val="00C46C60"/>
    <w:rsid w:val="00C46F25"/>
    <w:rsid w:val="00C478F3"/>
    <w:rsid w:val="00C502CE"/>
    <w:rsid w:val="00C50706"/>
    <w:rsid w:val="00C50BDD"/>
    <w:rsid w:val="00C5120B"/>
    <w:rsid w:val="00C51852"/>
    <w:rsid w:val="00C51935"/>
    <w:rsid w:val="00C52416"/>
    <w:rsid w:val="00C52C2E"/>
    <w:rsid w:val="00C538CA"/>
    <w:rsid w:val="00C53EA9"/>
    <w:rsid w:val="00C543F4"/>
    <w:rsid w:val="00C54627"/>
    <w:rsid w:val="00C54D0B"/>
    <w:rsid w:val="00C56153"/>
    <w:rsid w:val="00C566EF"/>
    <w:rsid w:val="00C56E2D"/>
    <w:rsid w:val="00C573C5"/>
    <w:rsid w:val="00C60EFB"/>
    <w:rsid w:val="00C6103D"/>
    <w:rsid w:val="00C62098"/>
    <w:rsid w:val="00C62426"/>
    <w:rsid w:val="00C62589"/>
    <w:rsid w:val="00C6291C"/>
    <w:rsid w:val="00C629FB"/>
    <w:rsid w:val="00C62DB7"/>
    <w:rsid w:val="00C62E53"/>
    <w:rsid w:val="00C633CB"/>
    <w:rsid w:val="00C633DB"/>
    <w:rsid w:val="00C63408"/>
    <w:rsid w:val="00C635EC"/>
    <w:rsid w:val="00C635F6"/>
    <w:rsid w:val="00C63B80"/>
    <w:rsid w:val="00C64D2A"/>
    <w:rsid w:val="00C65652"/>
    <w:rsid w:val="00C65786"/>
    <w:rsid w:val="00C65920"/>
    <w:rsid w:val="00C65D39"/>
    <w:rsid w:val="00C65FDF"/>
    <w:rsid w:val="00C662AD"/>
    <w:rsid w:val="00C664CD"/>
    <w:rsid w:val="00C668F3"/>
    <w:rsid w:val="00C66A1C"/>
    <w:rsid w:val="00C6740E"/>
    <w:rsid w:val="00C6751A"/>
    <w:rsid w:val="00C677D0"/>
    <w:rsid w:val="00C67BE1"/>
    <w:rsid w:val="00C67D13"/>
    <w:rsid w:val="00C67D9E"/>
    <w:rsid w:val="00C70022"/>
    <w:rsid w:val="00C70088"/>
    <w:rsid w:val="00C702B9"/>
    <w:rsid w:val="00C70ECC"/>
    <w:rsid w:val="00C7330F"/>
    <w:rsid w:val="00C736B7"/>
    <w:rsid w:val="00C739D3"/>
    <w:rsid w:val="00C73BA6"/>
    <w:rsid w:val="00C74114"/>
    <w:rsid w:val="00C74E8A"/>
    <w:rsid w:val="00C7518D"/>
    <w:rsid w:val="00C75526"/>
    <w:rsid w:val="00C75809"/>
    <w:rsid w:val="00C75A8A"/>
    <w:rsid w:val="00C7634A"/>
    <w:rsid w:val="00C765BC"/>
    <w:rsid w:val="00C80DF0"/>
    <w:rsid w:val="00C8137B"/>
    <w:rsid w:val="00C81D4A"/>
    <w:rsid w:val="00C823B0"/>
    <w:rsid w:val="00C83724"/>
    <w:rsid w:val="00C839DA"/>
    <w:rsid w:val="00C83B59"/>
    <w:rsid w:val="00C83E68"/>
    <w:rsid w:val="00C8428B"/>
    <w:rsid w:val="00C84898"/>
    <w:rsid w:val="00C86037"/>
    <w:rsid w:val="00C8652D"/>
    <w:rsid w:val="00C867D9"/>
    <w:rsid w:val="00C8680A"/>
    <w:rsid w:val="00C869C9"/>
    <w:rsid w:val="00C86BD2"/>
    <w:rsid w:val="00C8762C"/>
    <w:rsid w:val="00C87E31"/>
    <w:rsid w:val="00C87F2F"/>
    <w:rsid w:val="00C908F2"/>
    <w:rsid w:val="00C90A43"/>
    <w:rsid w:val="00C9172C"/>
    <w:rsid w:val="00C91D71"/>
    <w:rsid w:val="00C92641"/>
    <w:rsid w:val="00C937B5"/>
    <w:rsid w:val="00C949A4"/>
    <w:rsid w:val="00C94B8D"/>
    <w:rsid w:val="00C94E6E"/>
    <w:rsid w:val="00C9559D"/>
    <w:rsid w:val="00C95E95"/>
    <w:rsid w:val="00C96771"/>
    <w:rsid w:val="00C96F41"/>
    <w:rsid w:val="00C9723D"/>
    <w:rsid w:val="00C9795D"/>
    <w:rsid w:val="00C9798B"/>
    <w:rsid w:val="00C979EF"/>
    <w:rsid w:val="00CA00F9"/>
    <w:rsid w:val="00CA02E9"/>
    <w:rsid w:val="00CA0A45"/>
    <w:rsid w:val="00CA117B"/>
    <w:rsid w:val="00CA286E"/>
    <w:rsid w:val="00CA2961"/>
    <w:rsid w:val="00CA2F19"/>
    <w:rsid w:val="00CA31B6"/>
    <w:rsid w:val="00CA3CB0"/>
    <w:rsid w:val="00CA46CF"/>
    <w:rsid w:val="00CA4884"/>
    <w:rsid w:val="00CA4C23"/>
    <w:rsid w:val="00CA5837"/>
    <w:rsid w:val="00CA5B1E"/>
    <w:rsid w:val="00CA5BF0"/>
    <w:rsid w:val="00CA610B"/>
    <w:rsid w:val="00CA6DCF"/>
    <w:rsid w:val="00CA76DA"/>
    <w:rsid w:val="00CB1066"/>
    <w:rsid w:val="00CB2FCA"/>
    <w:rsid w:val="00CB3EE1"/>
    <w:rsid w:val="00CB4604"/>
    <w:rsid w:val="00CB4839"/>
    <w:rsid w:val="00CB4B9D"/>
    <w:rsid w:val="00CB4EDF"/>
    <w:rsid w:val="00CB50D7"/>
    <w:rsid w:val="00CB5F4A"/>
    <w:rsid w:val="00CB6600"/>
    <w:rsid w:val="00CB7177"/>
    <w:rsid w:val="00CB7340"/>
    <w:rsid w:val="00CB73F2"/>
    <w:rsid w:val="00CB7947"/>
    <w:rsid w:val="00CB798B"/>
    <w:rsid w:val="00CB7C97"/>
    <w:rsid w:val="00CB7CED"/>
    <w:rsid w:val="00CB7E91"/>
    <w:rsid w:val="00CC0201"/>
    <w:rsid w:val="00CC070F"/>
    <w:rsid w:val="00CC0EEA"/>
    <w:rsid w:val="00CC0FEF"/>
    <w:rsid w:val="00CC1332"/>
    <w:rsid w:val="00CC15E3"/>
    <w:rsid w:val="00CC1998"/>
    <w:rsid w:val="00CC1D92"/>
    <w:rsid w:val="00CC27C1"/>
    <w:rsid w:val="00CC2D7C"/>
    <w:rsid w:val="00CC3E25"/>
    <w:rsid w:val="00CC3E8D"/>
    <w:rsid w:val="00CC4071"/>
    <w:rsid w:val="00CC48A4"/>
    <w:rsid w:val="00CC4946"/>
    <w:rsid w:val="00CC49E0"/>
    <w:rsid w:val="00CC5276"/>
    <w:rsid w:val="00CC55DD"/>
    <w:rsid w:val="00CC57CD"/>
    <w:rsid w:val="00CC5AC6"/>
    <w:rsid w:val="00CC64A1"/>
    <w:rsid w:val="00CC672B"/>
    <w:rsid w:val="00CC7442"/>
    <w:rsid w:val="00CC7585"/>
    <w:rsid w:val="00CD05DC"/>
    <w:rsid w:val="00CD097E"/>
    <w:rsid w:val="00CD178C"/>
    <w:rsid w:val="00CD1B75"/>
    <w:rsid w:val="00CD1DD8"/>
    <w:rsid w:val="00CD24B3"/>
    <w:rsid w:val="00CD30B2"/>
    <w:rsid w:val="00CD30F7"/>
    <w:rsid w:val="00CD35FA"/>
    <w:rsid w:val="00CD3715"/>
    <w:rsid w:val="00CD3BCB"/>
    <w:rsid w:val="00CD3F51"/>
    <w:rsid w:val="00CD4ABF"/>
    <w:rsid w:val="00CD5104"/>
    <w:rsid w:val="00CD5249"/>
    <w:rsid w:val="00CD52C8"/>
    <w:rsid w:val="00CD6787"/>
    <w:rsid w:val="00CD6D4E"/>
    <w:rsid w:val="00CD7D8C"/>
    <w:rsid w:val="00CE0C8B"/>
    <w:rsid w:val="00CE1B84"/>
    <w:rsid w:val="00CE1BFB"/>
    <w:rsid w:val="00CE26EF"/>
    <w:rsid w:val="00CE27D7"/>
    <w:rsid w:val="00CE3B55"/>
    <w:rsid w:val="00CE3F48"/>
    <w:rsid w:val="00CE4120"/>
    <w:rsid w:val="00CE47CB"/>
    <w:rsid w:val="00CE48D9"/>
    <w:rsid w:val="00CE4FEC"/>
    <w:rsid w:val="00CE5E67"/>
    <w:rsid w:val="00CE6023"/>
    <w:rsid w:val="00CE655C"/>
    <w:rsid w:val="00CE7C3D"/>
    <w:rsid w:val="00CE7C8E"/>
    <w:rsid w:val="00CE7CD0"/>
    <w:rsid w:val="00CF00FF"/>
    <w:rsid w:val="00CF0B6E"/>
    <w:rsid w:val="00CF0CF1"/>
    <w:rsid w:val="00CF1200"/>
    <w:rsid w:val="00CF1650"/>
    <w:rsid w:val="00CF1AB1"/>
    <w:rsid w:val="00CF1ED5"/>
    <w:rsid w:val="00CF1FAC"/>
    <w:rsid w:val="00CF1FE8"/>
    <w:rsid w:val="00CF238E"/>
    <w:rsid w:val="00CF29D9"/>
    <w:rsid w:val="00CF3B11"/>
    <w:rsid w:val="00CF3B92"/>
    <w:rsid w:val="00CF416D"/>
    <w:rsid w:val="00CF47F6"/>
    <w:rsid w:val="00CF4D1C"/>
    <w:rsid w:val="00CF504B"/>
    <w:rsid w:val="00CF50BC"/>
    <w:rsid w:val="00CF52A9"/>
    <w:rsid w:val="00CF5884"/>
    <w:rsid w:val="00CF62CB"/>
    <w:rsid w:val="00CF63F4"/>
    <w:rsid w:val="00CF7139"/>
    <w:rsid w:val="00CF737A"/>
    <w:rsid w:val="00CF777A"/>
    <w:rsid w:val="00CF7B9C"/>
    <w:rsid w:val="00CF7BF7"/>
    <w:rsid w:val="00D00340"/>
    <w:rsid w:val="00D0064A"/>
    <w:rsid w:val="00D006DC"/>
    <w:rsid w:val="00D01615"/>
    <w:rsid w:val="00D01A13"/>
    <w:rsid w:val="00D02A6F"/>
    <w:rsid w:val="00D03252"/>
    <w:rsid w:val="00D0414A"/>
    <w:rsid w:val="00D042E1"/>
    <w:rsid w:val="00D045F4"/>
    <w:rsid w:val="00D05E67"/>
    <w:rsid w:val="00D06BDF"/>
    <w:rsid w:val="00D06E5C"/>
    <w:rsid w:val="00D07D8A"/>
    <w:rsid w:val="00D10901"/>
    <w:rsid w:val="00D10BAE"/>
    <w:rsid w:val="00D113C6"/>
    <w:rsid w:val="00D11BB3"/>
    <w:rsid w:val="00D123BF"/>
    <w:rsid w:val="00D12E58"/>
    <w:rsid w:val="00D13228"/>
    <w:rsid w:val="00D13886"/>
    <w:rsid w:val="00D13FEF"/>
    <w:rsid w:val="00D14039"/>
    <w:rsid w:val="00D141A7"/>
    <w:rsid w:val="00D14417"/>
    <w:rsid w:val="00D144C8"/>
    <w:rsid w:val="00D14D30"/>
    <w:rsid w:val="00D16D6F"/>
    <w:rsid w:val="00D16E2F"/>
    <w:rsid w:val="00D20D38"/>
    <w:rsid w:val="00D22C61"/>
    <w:rsid w:val="00D256E4"/>
    <w:rsid w:val="00D25A14"/>
    <w:rsid w:val="00D265BD"/>
    <w:rsid w:val="00D26673"/>
    <w:rsid w:val="00D26B2B"/>
    <w:rsid w:val="00D26B5F"/>
    <w:rsid w:val="00D270A4"/>
    <w:rsid w:val="00D277CB"/>
    <w:rsid w:val="00D2786B"/>
    <w:rsid w:val="00D27D71"/>
    <w:rsid w:val="00D30854"/>
    <w:rsid w:val="00D30A30"/>
    <w:rsid w:val="00D30F5C"/>
    <w:rsid w:val="00D30F71"/>
    <w:rsid w:val="00D312C1"/>
    <w:rsid w:val="00D313F6"/>
    <w:rsid w:val="00D31529"/>
    <w:rsid w:val="00D316B8"/>
    <w:rsid w:val="00D31D3D"/>
    <w:rsid w:val="00D31FE9"/>
    <w:rsid w:val="00D32631"/>
    <w:rsid w:val="00D328E6"/>
    <w:rsid w:val="00D32D95"/>
    <w:rsid w:val="00D33F11"/>
    <w:rsid w:val="00D347C7"/>
    <w:rsid w:val="00D34E1B"/>
    <w:rsid w:val="00D357FA"/>
    <w:rsid w:val="00D359C8"/>
    <w:rsid w:val="00D35FA0"/>
    <w:rsid w:val="00D36CE3"/>
    <w:rsid w:val="00D376BA"/>
    <w:rsid w:val="00D37D8E"/>
    <w:rsid w:val="00D40725"/>
    <w:rsid w:val="00D40ED0"/>
    <w:rsid w:val="00D41B24"/>
    <w:rsid w:val="00D42190"/>
    <w:rsid w:val="00D4299B"/>
    <w:rsid w:val="00D429D3"/>
    <w:rsid w:val="00D42B96"/>
    <w:rsid w:val="00D42C96"/>
    <w:rsid w:val="00D43017"/>
    <w:rsid w:val="00D43130"/>
    <w:rsid w:val="00D434A0"/>
    <w:rsid w:val="00D434C5"/>
    <w:rsid w:val="00D4355C"/>
    <w:rsid w:val="00D439C7"/>
    <w:rsid w:val="00D445FD"/>
    <w:rsid w:val="00D44C5A"/>
    <w:rsid w:val="00D44D64"/>
    <w:rsid w:val="00D45634"/>
    <w:rsid w:val="00D45844"/>
    <w:rsid w:val="00D45A6A"/>
    <w:rsid w:val="00D47028"/>
    <w:rsid w:val="00D47C97"/>
    <w:rsid w:val="00D47E2B"/>
    <w:rsid w:val="00D5158A"/>
    <w:rsid w:val="00D5182D"/>
    <w:rsid w:val="00D52534"/>
    <w:rsid w:val="00D527A5"/>
    <w:rsid w:val="00D53427"/>
    <w:rsid w:val="00D53AA1"/>
    <w:rsid w:val="00D5446F"/>
    <w:rsid w:val="00D5568A"/>
    <w:rsid w:val="00D55ADE"/>
    <w:rsid w:val="00D55C34"/>
    <w:rsid w:val="00D56B87"/>
    <w:rsid w:val="00D57E78"/>
    <w:rsid w:val="00D607F1"/>
    <w:rsid w:val="00D6140F"/>
    <w:rsid w:val="00D61437"/>
    <w:rsid w:val="00D628E2"/>
    <w:rsid w:val="00D62CE1"/>
    <w:rsid w:val="00D638BB"/>
    <w:rsid w:val="00D63D73"/>
    <w:rsid w:val="00D64251"/>
    <w:rsid w:val="00D64452"/>
    <w:rsid w:val="00D65439"/>
    <w:rsid w:val="00D65B59"/>
    <w:rsid w:val="00D65C25"/>
    <w:rsid w:val="00D66DD6"/>
    <w:rsid w:val="00D66E1E"/>
    <w:rsid w:val="00D67229"/>
    <w:rsid w:val="00D67E1F"/>
    <w:rsid w:val="00D70696"/>
    <w:rsid w:val="00D70DBA"/>
    <w:rsid w:val="00D71D0F"/>
    <w:rsid w:val="00D7262C"/>
    <w:rsid w:val="00D72FBD"/>
    <w:rsid w:val="00D7381C"/>
    <w:rsid w:val="00D73AB5"/>
    <w:rsid w:val="00D741CE"/>
    <w:rsid w:val="00D744B5"/>
    <w:rsid w:val="00D74C43"/>
    <w:rsid w:val="00D751B1"/>
    <w:rsid w:val="00D75722"/>
    <w:rsid w:val="00D75856"/>
    <w:rsid w:val="00D7620E"/>
    <w:rsid w:val="00D770B9"/>
    <w:rsid w:val="00D77900"/>
    <w:rsid w:val="00D77D78"/>
    <w:rsid w:val="00D77F8F"/>
    <w:rsid w:val="00D809BC"/>
    <w:rsid w:val="00D80CF5"/>
    <w:rsid w:val="00D81528"/>
    <w:rsid w:val="00D82007"/>
    <w:rsid w:val="00D82446"/>
    <w:rsid w:val="00D82535"/>
    <w:rsid w:val="00D834DD"/>
    <w:rsid w:val="00D83900"/>
    <w:rsid w:val="00D8412D"/>
    <w:rsid w:val="00D8471B"/>
    <w:rsid w:val="00D85BBF"/>
    <w:rsid w:val="00D85D58"/>
    <w:rsid w:val="00D85F41"/>
    <w:rsid w:val="00D869D1"/>
    <w:rsid w:val="00D8748C"/>
    <w:rsid w:val="00D87AC8"/>
    <w:rsid w:val="00D87D3D"/>
    <w:rsid w:val="00D903C4"/>
    <w:rsid w:val="00D904CF"/>
    <w:rsid w:val="00D91094"/>
    <w:rsid w:val="00D910DD"/>
    <w:rsid w:val="00D91214"/>
    <w:rsid w:val="00D91356"/>
    <w:rsid w:val="00D9247F"/>
    <w:rsid w:val="00D93043"/>
    <w:rsid w:val="00D93300"/>
    <w:rsid w:val="00D93AC7"/>
    <w:rsid w:val="00D946AD"/>
    <w:rsid w:val="00D95322"/>
    <w:rsid w:val="00D95343"/>
    <w:rsid w:val="00D955E8"/>
    <w:rsid w:val="00D95842"/>
    <w:rsid w:val="00D95DCD"/>
    <w:rsid w:val="00D9776B"/>
    <w:rsid w:val="00D97957"/>
    <w:rsid w:val="00D97C4B"/>
    <w:rsid w:val="00D97C83"/>
    <w:rsid w:val="00D97D1F"/>
    <w:rsid w:val="00DA02C8"/>
    <w:rsid w:val="00DA0ACF"/>
    <w:rsid w:val="00DA0D4C"/>
    <w:rsid w:val="00DA1FB1"/>
    <w:rsid w:val="00DA2798"/>
    <w:rsid w:val="00DA2991"/>
    <w:rsid w:val="00DA4C35"/>
    <w:rsid w:val="00DA4EB5"/>
    <w:rsid w:val="00DA5832"/>
    <w:rsid w:val="00DA5A88"/>
    <w:rsid w:val="00DA5BBA"/>
    <w:rsid w:val="00DA6ED3"/>
    <w:rsid w:val="00DA7993"/>
    <w:rsid w:val="00DB06B7"/>
    <w:rsid w:val="00DB08BC"/>
    <w:rsid w:val="00DB0C89"/>
    <w:rsid w:val="00DB0F60"/>
    <w:rsid w:val="00DB1114"/>
    <w:rsid w:val="00DB22B7"/>
    <w:rsid w:val="00DB26D2"/>
    <w:rsid w:val="00DB4F4B"/>
    <w:rsid w:val="00DB57F1"/>
    <w:rsid w:val="00DB67C9"/>
    <w:rsid w:val="00DB6EE0"/>
    <w:rsid w:val="00DB73B8"/>
    <w:rsid w:val="00DB792F"/>
    <w:rsid w:val="00DB7A30"/>
    <w:rsid w:val="00DB7AC1"/>
    <w:rsid w:val="00DB7B55"/>
    <w:rsid w:val="00DB7BD0"/>
    <w:rsid w:val="00DB7E8D"/>
    <w:rsid w:val="00DB7F72"/>
    <w:rsid w:val="00DC0158"/>
    <w:rsid w:val="00DC0310"/>
    <w:rsid w:val="00DC0C95"/>
    <w:rsid w:val="00DC0E9E"/>
    <w:rsid w:val="00DC1954"/>
    <w:rsid w:val="00DC19B9"/>
    <w:rsid w:val="00DC25E5"/>
    <w:rsid w:val="00DC2EA4"/>
    <w:rsid w:val="00DC2F3C"/>
    <w:rsid w:val="00DC32F9"/>
    <w:rsid w:val="00DC35E2"/>
    <w:rsid w:val="00DC4205"/>
    <w:rsid w:val="00DC4B66"/>
    <w:rsid w:val="00DC4F0B"/>
    <w:rsid w:val="00DC55BB"/>
    <w:rsid w:val="00DC5F8F"/>
    <w:rsid w:val="00DC604D"/>
    <w:rsid w:val="00DC699F"/>
    <w:rsid w:val="00DC791A"/>
    <w:rsid w:val="00DD057B"/>
    <w:rsid w:val="00DD0DAB"/>
    <w:rsid w:val="00DD17DA"/>
    <w:rsid w:val="00DD2CB6"/>
    <w:rsid w:val="00DD370B"/>
    <w:rsid w:val="00DD44D0"/>
    <w:rsid w:val="00DD4691"/>
    <w:rsid w:val="00DD497C"/>
    <w:rsid w:val="00DD4CE2"/>
    <w:rsid w:val="00DD4EF3"/>
    <w:rsid w:val="00DD64CC"/>
    <w:rsid w:val="00DD6580"/>
    <w:rsid w:val="00DD6A91"/>
    <w:rsid w:val="00DD6AB7"/>
    <w:rsid w:val="00DD6B19"/>
    <w:rsid w:val="00DD70F0"/>
    <w:rsid w:val="00DD79B8"/>
    <w:rsid w:val="00DD7BF2"/>
    <w:rsid w:val="00DD7C36"/>
    <w:rsid w:val="00DE2D79"/>
    <w:rsid w:val="00DE30B9"/>
    <w:rsid w:val="00DE39DC"/>
    <w:rsid w:val="00DE3BE9"/>
    <w:rsid w:val="00DE44C2"/>
    <w:rsid w:val="00DE58A1"/>
    <w:rsid w:val="00DE5A06"/>
    <w:rsid w:val="00DE5A60"/>
    <w:rsid w:val="00DE5B53"/>
    <w:rsid w:val="00DE6079"/>
    <w:rsid w:val="00DE6493"/>
    <w:rsid w:val="00DE660F"/>
    <w:rsid w:val="00DE6953"/>
    <w:rsid w:val="00DE7825"/>
    <w:rsid w:val="00DE7C4B"/>
    <w:rsid w:val="00DF0E71"/>
    <w:rsid w:val="00DF1080"/>
    <w:rsid w:val="00DF139C"/>
    <w:rsid w:val="00DF17AE"/>
    <w:rsid w:val="00DF1A66"/>
    <w:rsid w:val="00DF2645"/>
    <w:rsid w:val="00DF2C85"/>
    <w:rsid w:val="00DF2F04"/>
    <w:rsid w:val="00DF3270"/>
    <w:rsid w:val="00DF3BAB"/>
    <w:rsid w:val="00DF3CC9"/>
    <w:rsid w:val="00DF3D4E"/>
    <w:rsid w:val="00DF3E3C"/>
    <w:rsid w:val="00DF4123"/>
    <w:rsid w:val="00DF4A65"/>
    <w:rsid w:val="00DF4A6D"/>
    <w:rsid w:val="00DF4C3A"/>
    <w:rsid w:val="00DF6480"/>
    <w:rsid w:val="00DF6E97"/>
    <w:rsid w:val="00DF78B2"/>
    <w:rsid w:val="00DF7CFC"/>
    <w:rsid w:val="00E000A0"/>
    <w:rsid w:val="00E0170B"/>
    <w:rsid w:val="00E01847"/>
    <w:rsid w:val="00E01D7F"/>
    <w:rsid w:val="00E0275C"/>
    <w:rsid w:val="00E02869"/>
    <w:rsid w:val="00E03561"/>
    <w:rsid w:val="00E04308"/>
    <w:rsid w:val="00E047B9"/>
    <w:rsid w:val="00E04DEA"/>
    <w:rsid w:val="00E0592F"/>
    <w:rsid w:val="00E059C8"/>
    <w:rsid w:val="00E05C03"/>
    <w:rsid w:val="00E05FDB"/>
    <w:rsid w:val="00E0621E"/>
    <w:rsid w:val="00E06318"/>
    <w:rsid w:val="00E06F35"/>
    <w:rsid w:val="00E0744A"/>
    <w:rsid w:val="00E077EA"/>
    <w:rsid w:val="00E1049F"/>
    <w:rsid w:val="00E10D18"/>
    <w:rsid w:val="00E11905"/>
    <w:rsid w:val="00E11A0A"/>
    <w:rsid w:val="00E12869"/>
    <w:rsid w:val="00E12BEC"/>
    <w:rsid w:val="00E12BF8"/>
    <w:rsid w:val="00E12FE6"/>
    <w:rsid w:val="00E13024"/>
    <w:rsid w:val="00E13276"/>
    <w:rsid w:val="00E133FC"/>
    <w:rsid w:val="00E14123"/>
    <w:rsid w:val="00E145A8"/>
    <w:rsid w:val="00E150B3"/>
    <w:rsid w:val="00E1520E"/>
    <w:rsid w:val="00E157A6"/>
    <w:rsid w:val="00E15AA0"/>
    <w:rsid w:val="00E16146"/>
    <w:rsid w:val="00E161BD"/>
    <w:rsid w:val="00E165C7"/>
    <w:rsid w:val="00E1709C"/>
    <w:rsid w:val="00E17484"/>
    <w:rsid w:val="00E17BAE"/>
    <w:rsid w:val="00E17C2F"/>
    <w:rsid w:val="00E17C72"/>
    <w:rsid w:val="00E17E4E"/>
    <w:rsid w:val="00E20BBF"/>
    <w:rsid w:val="00E20C2C"/>
    <w:rsid w:val="00E20C64"/>
    <w:rsid w:val="00E20E97"/>
    <w:rsid w:val="00E20EE8"/>
    <w:rsid w:val="00E213B7"/>
    <w:rsid w:val="00E214C8"/>
    <w:rsid w:val="00E21809"/>
    <w:rsid w:val="00E21908"/>
    <w:rsid w:val="00E21FC6"/>
    <w:rsid w:val="00E22211"/>
    <w:rsid w:val="00E22437"/>
    <w:rsid w:val="00E22E62"/>
    <w:rsid w:val="00E237EF"/>
    <w:rsid w:val="00E23BAE"/>
    <w:rsid w:val="00E24E0E"/>
    <w:rsid w:val="00E27830"/>
    <w:rsid w:val="00E31E8E"/>
    <w:rsid w:val="00E323CB"/>
    <w:rsid w:val="00E3384C"/>
    <w:rsid w:val="00E33B9E"/>
    <w:rsid w:val="00E33FFF"/>
    <w:rsid w:val="00E3475E"/>
    <w:rsid w:val="00E34BCD"/>
    <w:rsid w:val="00E34BF2"/>
    <w:rsid w:val="00E352E0"/>
    <w:rsid w:val="00E3604F"/>
    <w:rsid w:val="00E3665A"/>
    <w:rsid w:val="00E36B61"/>
    <w:rsid w:val="00E36B97"/>
    <w:rsid w:val="00E37BC2"/>
    <w:rsid w:val="00E37FF8"/>
    <w:rsid w:val="00E40194"/>
    <w:rsid w:val="00E401CA"/>
    <w:rsid w:val="00E40449"/>
    <w:rsid w:val="00E41023"/>
    <w:rsid w:val="00E416E3"/>
    <w:rsid w:val="00E430CA"/>
    <w:rsid w:val="00E431A9"/>
    <w:rsid w:val="00E4467D"/>
    <w:rsid w:val="00E452C1"/>
    <w:rsid w:val="00E458BB"/>
    <w:rsid w:val="00E45BDA"/>
    <w:rsid w:val="00E45EB3"/>
    <w:rsid w:val="00E46095"/>
    <w:rsid w:val="00E46108"/>
    <w:rsid w:val="00E463B1"/>
    <w:rsid w:val="00E46A6C"/>
    <w:rsid w:val="00E46B6B"/>
    <w:rsid w:val="00E46ED7"/>
    <w:rsid w:val="00E47B6E"/>
    <w:rsid w:val="00E47C64"/>
    <w:rsid w:val="00E47FE8"/>
    <w:rsid w:val="00E50A83"/>
    <w:rsid w:val="00E50C72"/>
    <w:rsid w:val="00E51558"/>
    <w:rsid w:val="00E518BE"/>
    <w:rsid w:val="00E525BF"/>
    <w:rsid w:val="00E54F44"/>
    <w:rsid w:val="00E5531D"/>
    <w:rsid w:val="00E55DB9"/>
    <w:rsid w:val="00E574C7"/>
    <w:rsid w:val="00E57936"/>
    <w:rsid w:val="00E57982"/>
    <w:rsid w:val="00E603DE"/>
    <w:rsid w:val="00E60BAC"/>
    <w:rsid w:val="00E60CDF"/>
    <w:rsid w:val="00E617FF"/>
    <w:rsid w:val="00E61A8E"/>
    <w:rsid w:val="00E61E9E"/>
    <w:rsid w:val="00E631F4"/>
    <w:rsid w:val="00E637DC"/>
    <w:rsid w:val="00E63E6C"/>
    <w:rsid w:val="00E64C21"/>
    <w:rsid w:val="00E65535"/>
    <w:rsid w:val="00E662AF"/>
    <w:rsid w:val="00E669E2"/>
    <w:rsid w:val="00E67923"/>
    <w:rsid w:val="00E70F74"/>
    <w:rsid w:val="00E71194"/>
    <w:rsid w:val="00E718A2"/>
    <w:rsid w:val="00E722AD"/>
    <w:rsid w:val="00E728D0"/>
    <w:rsid w:val="00E7329D"/>
    <w:rsid w:val="00E73E6A"/>
    <w:rsid w:val="00E73FC6"/>
    <w:rsid w:val="00E742F5"/>
    <w:rsid w:val="00E74A4D"/>
    <w:rsid w:val="00E74B7C"/>
    <w:rsid w:val="00E74C08"/>
    <w:rsid w:val="00E74D4B"/>
    <w:rsid w:val="00E750C9"/>
    <w:rsid w:val="00E752A9"/>
    <w:rsid w:val="00E76135"/>
    <w:rsid w:val="00E76755"/>
    <w:rsid w:val="00E8031E"/>
    <w:rsid w:val="00E81693"/>
    <w:rsid w:val="00E82128"/>
    <w:rsid w:val="00E827F3"/>
    <w:rsid w:val="00E8298A"/>
    <w:rsid w:val="00E829EE"/>
    <w:rsid w:val="00E82F4F"/>
    <w:rsid w:val="00E83151"/>
    <w:rsid w:val="00E83985"/>
    <w:rsid w:val="00E84B95"/>
    <w:rsid w:val="00E854CD"/>
    <w:rsid w:val="00E85799"/>
    <w:rsid w:val="00E864DF"/>
    <w:rsid w:val="00E86AED"/>
    <w:rsid w:val="00E86DE3"/>
    <w:rsid w:val="00E8778C"/>
    <w:rsid w:val="00E87FAE"/>
    <w:rsid w:val="00E9007A"/>
    <w:rsid w:val="00E9017D"/>
    <w:rsid w:val="00E901D4"/>
    <w:rsid w:val="00E9074A"/>
    <w:rsid w:val="00E9101C"/>
    <w:rsid w:val="00E91102"/>
    <w:rsid w:val="00E913B1"/>
    <w:rsid w:val="00E91472"/>
    <w:rsid w:val="00E91F24"/>
    <w:rsid w:val="00E92CC4"/>
    <w:rsid w:val="00E939BA"/>
    <w:rsid w:val="00E93B0D"/>
    <w:rsid w:val="00E94410"/>
    <w:rsid w:val="00E95A72"/>
    <w:rsid w:val="00E95D09"/>
    <w:rsid w:val="00E9607B"/>
    <w:rsid w:val="00E961B2"/>
    <w:rsid w:val="00E969CB"/>
    <w:rsid w:val="00E96AB2"/>
    <w:rsid w:val="00E96B46"/>
    <w:rsid w:val="00E971D3"/>
    <w:rsid w:val="00E9746A"/>
    <w:rsid w:val="00E977DF"/>
    <w:rsid w:val="00E97A41"/>
    <w:rsid w:val="00E97CAF"/>
    <w:rsid w:val="00EA15AC"/>
    <w:rsid w:val="00EA1BE2"/>
    <w:rsid w:val="00EA21C0"/>
    <w:rsid w:val="00EA2247"/>
    <w:rsid w:val="00EA46AB"/>
    <w:rsid w:val="00EA53D9"/>
    <w:rsid w:val="00EA5421"/>
    <w:rsid w:val="00EA5662"/>
    <w:rsid w:val="00EA70D5"/>
    <w:rsid w:val="00EA72C6"/>
    <w:rsid w:val="00EA7401"/>
    <w:rsid w:val="00EA77F0"/>
    <w:rsid w:val="00EA7AC0"/>
    <w:rsid w:val="00EB0CBD"/>
    <w:rsid w:val="00EB1177"/>
    <w:rsid w:val="00EB22B0"/>
    <w:rsid w:val="00EB2C3F"/>
    <w:rsid w:val="00EB2CC3"/>
    <w:rsid w:val="00EB39C6"/>
    <w:rsid w:val="00EB3D03"/>
    <w:rsid w:val="00EB3E85"/>
    <w:rsid w:val="00EB442A"/>
    <w:rsid w:val="00EB44A6"/>
    <w:rsid w:val="00EB4BAA"/>
    <w:rsid w:val="00EB4CB0"/>
    <w:rsid w:val="00EB4EDE"/>
    <w:rsid w:val="00EB512F"/>
    <w:rsid w:val="00EB595A"/>
    <w:rsid w:val="00EB5A60"/>
    <w:rsid w:val="00EB6AD3"/>
    <w:rsid w:val="00EB72E4"/>
    <w:rsid w:val="00EB7492"/>
    <w:rsid w:val="00EB7CA2"/>
    <w:rsid w:val="00EC04A6"/>
    <w:rsid w:val="00EC082E"/>
    <w:rsid w:val="00EC133E"/>
    <w:rsid w:val="00EC175A"/>
    <w:rsid w:val="00EC1903"/>
    <w:rsid w:val="00EC1997"/>
    <w:rsid w:val="00EC2844"/>
    <w:rsid w:val="00EC3382"/>
    <w:rsid w:val="00EC36B8"/>
    <w:rsid w:val="00EC3747"/>
    <w:rsid w:val="00EC3D70"/>
    <w:rsid w:val="00EC3DED"/>
    <w:rsid w:val="00EC4158"/>
    <w:rsid w:val="00EC4452"/>
    <w:rsid w:val="00EC48E7"/>
    <w:rsid w:val="00EC4988"/>
    <w:rsid w:val="00EC5500"/>
    <w:rsid w:val="00EC5BAA"/>
    <w:rsid w:val="00EC5F61"/>
    <w:rsid w:val="00EC60DE"/>
    <w:rsid w:val="00EC659E"/>
    <w:rsid w:val="00EC7305"/>
    <w:rsid w:val="00ED0EE9"/>
    <w:rsid w:val="00ED106E"/>
    <w:rsid w:val="00ED10BA"/>
    <w:rsid w:val="00ED12FF"/>
    <w:rsid w:val="00ED1471"/>
    <w:rsid w:val="00ED18F8"/>
    <w:rsid w:val="00ED1B6C"/>
    <w:rsid w:val="00ED2381"/>
    <w:rsid w:val="00ED2F66"/>
    <w:rsid w:val="00ED40A2"/>
    <w:rsid w:val="00ED5B01"/>
    <w:rsid w:val="00ED67AF"/>
    <w:rsid w:val="00ED7998"/>
    <w:rsid w:val="00EE04A4"/>
    <w:rsid w:val="00EE0529"/>
    <w:rsid w:val="00EE0601"/>
    <w:rsid w:val="00EE15A8"/>
    <w:rsid w:val="00EE1C1D"/>
    <w:rsid w:val="00EE289C"/>
    <w:rsid w:val="00EE2925"/>
    <w:rsid w:val="00EE2BA9"/>
    <w:rsid w:val="00EE2C63"/>
    <w:rsid w:val="00EE3806"/>
    <w:rsid w:val="00EE3E8F"/>
    <w:rsid w:val="00EE5143"/>
    <w:rsid w:val="00EE52F2"/>
    <w:rsid w:val="00EE5E2C"/>
    <w:rsid w:val="00EE62FA"/>
    <w:rsid w:val="00EE6A9C"/>
    <w:rsid w:val="00EE6EBB"/>
    <w:rsid w:val="00EE6EDA"/>
    <w:rsid w:val="00EE7619"/>
    <w:rsid w:val="00EE778E"/>
    <w:rsid w:val="00EE7ADA"/>
    <w:rsid w:val="00EE7AF3"/>
    <w:rsid w:val="00EE7B02"/>
    <w:rsid w:val="00EF03B8"/>
    <w:rsid w:val="00EF04EA"/>
    <w:rsid w:val="00EF05CD"/>
    <w:rsid w:val="00EF17B0"/>
    <w:rsid w:val="00EF2AD7"/>
    <w:rsid w:val="00EF3C39"/>
    <w:rsid w:val="00EF4146"/>
    <w:rsid w:val="00EF44B8"/>
    <w:rsid w:val="00EF52D3"/>
    <w:rsid w:val="00EF6213"/>
    <w:rsid w:val="00EF6395"/>
    <w:rsid w:val="00EF6396"/>
    <w:rsid w:val="00EF6719"/>
    <w:rsid w:val="00EF6C6C"/>
    <w:rsid w:val="00EF6E1C"/>
    <w:rsid w:val="00EF78D2"/>
    <w:rsid w:val="00F00046"/>
    <w:rsid w:val="00F007CF"/>
    <w:rsid w:val="00F0084C"/>
    <w:rsid w:val="00F009B2"/>
    <w:rsid w:val="00F01661"/>
    <w:rsid w:val="00F01874"/>
    <w:rsid w:val="00F01B38"/>
    <w:rsid w:val="00F01E71"/>
    <w:rsid w:val="00F020CE"/>
    <w:rsid w:val="00F024A7"/>
    <w:rsid w:val="00F03650"/>
    <w:rsid w:val="00F04382"/>
    <w:rsid w:val="00F044F0"/>
    <w:rsid w:val="00F047C7"/>
    <w:rsid w:val="00F04E75"/>
    <w:rsid w:val="00F053F2"/>
    <w:rsid w:val="00F05425"/>
    <w:rsid w:val="00F056FC"/>
    <w:rsid w:val="00F0632F"/>
    <w:rsid w:val="00F06946"/>
    <w:rsid w:val="00F069AE"/>
    <w:rsid w:val="00F06FE5"/>
    <w:rsid w:val="00F070CA"/>
    <w:rsid w:val="00F070F1"/>
    <w:rsid w:val="00F071B6"/>
    <w:rsid w:val="00F07A74"/>
    <w:rsid w:val="00F10476"/>
    <w:rsid w:val="00F108FD"/>
    <w:rsid w:val="00F11CE3"/>
    <w:rsid w:val="00F12110"/>
    <w:rsid w:val="00F12516"/>
    <w:rsid w:val="00F12DF0"/>
    <w:rsid w:val="00F1348F"/>
    <w:rsid w:val="00F135D8"/>
    <w:rsid w:val="00F154CE"/>
    <w:rsid w:val="00F166B4"/>
    <w:rsid w:val="00F16A76"/>
    <w:rsid w:val="00F170C1"/>
    <w:rsid w:val="00F17397"/>
    <w:rsid w:val="00F2018E"/>
    <w:rsid w:val="00F203A1"/>
    <w:rsid w:val="00F207BC"/>
    <w:rsid w:val="00F20DDD"/>
    <w:rsid w:val="00F20F22"/>
    <w:rsid w:val="00F2180D"/>
    <w:rsid w:val="00F218A3"/>
    <w:rsid w:val="00F21A8E"/>
    <w:rsid w:val="00F21B97"/>
    <w:rsid w:val="00F21DAD"/>
    <w:rsid w:val="00F222D2"/>
    <w:rsid w:val="00F229E6"/>
    <w:rsid w:val="00F24C7A"/>
    <w:rsid w:val="00F25995"/>
    <w:rsid w:val="00F270EA"/>
    <w:rsid w:val="00F27134"/>
    <w:rsid w:val="00F2783E"/>
    <w:rsid w:val="00F27BA5"/>
    <w:rsid w:val="00F300AC"/>
    <w:rsid w:val="00F30371"/>
    <w:rsid w:val="00F309D0"/>
    <w:rsid w:val="00F3111A"/>
    <w:rsid w:val="00F31299"/>
    <w:rsid w:val="00F31476"/>
    <w:rsid w:val="00F31486"/>
    <w:rsid w:val="00F31998"/>
    <w:rsid w:val="00F31DD5"/>
    <w:rsid w:val="00F31ECF"/>
    <w:rsid w:val="00F32076"/>
    <w:rsid w:val="00F3231C"/>
    <w:rsid w:val="00F323A8"/>
    <w:rsid w:val="00F324E8"/>
    <w:rsid w:val="00F32793"/>
    <w:rsid w:val="00F32809"/>
    <w:rsid w:val="00F32E3A"/>
    <w:rsid w:val="00F3307B"/>
    <w:rsid w:val="00F33A2E"/>
    <w:rsid w:val="00F346F1"/>
    <w:rsid w:val="00F3475C"/>
    <w:rsid w:val="00F34CA3"/>
    <w:rsid w:val="00F34E36"/>
    <w:rsid w:val="00F34F0E"/>
    <w:rsid w:val="00F3534A"/>
    <w:rsid w:val="00F35BFB"/>
    <w:rsid w:val="00F362DE"/>
    <w:rsid w:val="00F369BA"/>
    <w:rsid w:val="00F36ACC"/>
    <w:rsid w:val="00F40C7F"/>
    <w:rsid w:val="00F40FB9"/>
    <w:rsid w:val="00F413A4"/>
    <w:rsid w:val="00F41D9F"/>
    <w:rsid w:val="00F42093"/>
    <w:rsid w:val="00F42906"/>
    <w:rsid w:val="00F43109"/>
    <w:rsid w:val="00F43595"/>
    <w:rsid w:val="00F43849"/>
    <w:rsid w:val="00F43906"/>
    <w:rsid w:val="00F43B54"/>
    <w:rsid w:val="00F44511"/>
    <w:rsid w:val="00F446E9"/>
    <w:rsid w:val="00F455C7"/>
    <w:rsid w:val="00F457C8"/>
    <w:rsid w:val="00F45852"/>
    <w:rsid w:val="00F46815"/>
    <w:rsid w:val="00F468FA"/>
    <w:rsid w:val="00F46DA2"/>
    <w:rsid w:val="00F4705D"/>
    <w:rsid w:val="00F47310"/>
    <w:rsid w:val="00F47361"/>
    <w:rsid w:val="00F50005"/>
    <w:rsid w:val="00F5046D"/>
    <w:rsid w:val="00F50EE5"/>
    <w:rsid w:val="00F512B6"/>
    <w:rsid w:val="00F51609"/>
    <w:rsid w:val="00F516D3"/>
    <w:rsid w:val="00F51D71"/>
    <w:rsid w:val="00F51EDB"/>
    <w:rsid w:val="00F52355"/>
    <w:rsid w:val="00F52E65"/>
    <w:rsid w:val="00F5310F"/>
    <w:rsid w:val="00F5344B"/>
    <w:rsid w:val="00F5379C"/>
    <w:rsid w:val="00F53811"/>
    <w:rsid w:val="00F53AE5"/>
    <w:rsid w:val="00F54451"/>
    <w:rsid w:val="00F558DF"/>
    <w:rsid w:val="00F55B2A"/>
    <w:rsid w:val="00F55BCB"/>
    <w:rsid w:val="00F55C25"/>
    <w:rsid w:val="00F565A0"/>
    <w:rsid w:val="00F57032"/>
    <w:rsid w:val="00F57E40"/>
    <w:rsid w:val="00F60012"/>
    <w:rsid w:val="00F60489"/>
    <w:rsid w:val="00F613E3"/>
    <w:rsid w:val="00F6164E"/>
    <w:rsid w:val="00F61EB6"/>
    <w:rsid w:val="00F621AC"/>
    <w:rsid w:val="00F627BD"/>
    <w:rsid w:val="00F62B51"/>
    <w:rsid w:val="00F63AC4"/>
    <w:rsid w:val="00F63EB1"/>
    <w:rsid w:val="00F63F04"/>
    <w:rsid w:val="00F64E16"/>
    <w:rsid w:val="00F665D0"/>
    <w:rsid w:val="00F66698"/>
    <w:rsid w:val="00F66DE4"/>
    <w:rsid w:val="00F67E96"/>
    <w:rsid w:val="00F707AE"/>
    <w:rsid w:val="00F72AE6"/>
    <w:rsid w:val="00F73727"/>
    <w:rsid w:val="00F740CB"/>
    <w:rsid w:val="00F74820"/>
    <w:rsid w:val="00F74C53"/>
    <w:rsid w:val="00F752B5"/>
    <w:rsid w:val="00F76178"/>
    <w:rsid w:val="00F766A7"/>
    <w:rsid w:val="00F769CE"/>
    <w:rsid w:val="00F77206"/>
    <w:rsid w:val="00F77EB2"/>
    <w:rsid w:val="00F81006"/>
    <w:rsid w:val="00F810BC"/>
    <w:rsid w:val="00F81D5F"/>
    <w:rsid w:val="00F8209C"/>
    <w:rsid w:val="00F830DF"/>
    <w:rsid w:val="00F832AF"/>
    <w:rsid w:val="00F83448"/>
    <w:rsid w:val="00F83A49"/>
    <w:rsid w:val="00F83B0C"/>
    <w:rsid w:val="00F85325"/>
    <w:rsid w:val="00F85445"/>
    <w:rsid w:val="00F85FB3"/>
    <w:rsid w:val="00F8667F"/>
    <w:rsid w:val="00F86FC8"/>
    <w:rsid w:val="00F873FB"/>
    <w:rsid w:val="00F8796E"/>
    <w:rsid w:val="00F908CF"/>
    <w:rsid w:val="00F91145"/>
    <w:rsid w:val="00F91D84"/>
    <w:rsid w:val="00F922FA"/>
    <w:rsid w:val="00F92700"/>
    <w:rsid w:val="00F927AC"/>
    <w:rsid w:val="00F92ADD"/>
    <w:rsid w:val="00F93879"/>
    <w:rsid w:val="00F94982"/>
    <w:rsid w:val="00F94FFC"/>
    <w:rsid w:val="00F95083"/>
    <w:rsid w:val="00F957EF"/>
    <w:rsid w:val="00F95FA7"/>
    <w:rsid w:val="00F96BF7"/>
    <w:rsid w:val="00F9776A"/>
    <w:rsid w:val="00F978B6"/>
    <w:rsid w:val="00F979F9"/>
    <w:rsid w:val="00FA0884"/>
    <w:rsid w:val="00FA1261"/>
    <w:rsid w:val="00FA1637"/>
    <w:rsid w:val="00FA18CB"/>
    <w:rsid w:val="00FA1EE9"/>
    <w:rsid w:val="00FA2363"/>
    <w:rsid w:val="00FA2F73"/>
    <w:rsid w:val="00FA3014"/>
    <w:rsid w:val="00FA3C56"/>
    <w:rsid w:val="00FA3DD2"/>
    <w:rsid w:val="00FA4003"/>
    <w:rsid w:val="00FA41DE"/>
    <w:rsid w:val="00FA4640"/>
    <w:rsid w:val="00FA4EC1"/>
    <w:rsid w:val="00FA574E"/>
    <w:rsid w:val="00FA5B48"/>
    <w:rsid w:val="00FA5D62"/>
    <w:rsid w:val="00FA6177"/>
    <w:rsid w:val="00FA7010"/>
    <w:rsid w:val="00FB0799"/>
    <w:rsid w:val="00FB0E73"/>
    <w:rsid w:val="00FB3E93"/>
    <w:rsid w:val="00FB3FA0"/>
    <w:rsid w:val="00FB4C3E"/>
    <w:rsid w:val="00FB5A7A"/>
    <w:rsid w:val="00FB621F"/>
    <w:rsid w:val="00FB6571"/>
    <w:rsid w:val="00FB70C6"/>
    <w:rsid w:val="00FC0BC3"/>
    <w:rsid w:val="00FC0D22"/>
    <w:rsid w:val="00FC0DAA"/>
    <w:rsid w:val="00FC1DD6"/>
    <w:rsid w:val="00FC2A4E"/>
    <w:rsid w:val="00FC2AFE"/>
    <w:rsid w:val="00FC3282"/>
    <w:rsid w:val="00FC3C66"/>
    <w:rsid w:val="00FC49E8"/>
    <w:rsid w:val="00FC4D45"/>
    <w:rsid w:val="00FC50FF"/>
    <w:rsid w:val="00FC51D5"/>
    <w:rsid w:val="00FC5366"/>
    <w:rsid w:val="00FC5753"/>
    <w:rsid w:val="00FC6066"/>
    <w:rsid w:val="00FC6A94"/>
    <w:rsid w:val="00FC6AC8"/>
    <w:rsid w:val="00FD0666"/>
    <w:rsid w:val="00FD1270"/>
    <w:rsid w:val="00FD176B"/>
    <w:rsid w:val="00FD22B1"/>
    <w:rsid w:val="00FD2455"/>
    <w:rsid w:val="00FD291E"/>
    <w:rsid w:val="00FD33F1"/>
    <w:rsid w:val="00FD3566"/>
    <w:rsid w:val="00FD3E8B"/>
    <w:rsid w:val="00FD4E12"/>
    <w:rsid w:val="00FD5607"/>
    <w:rsid w:val="00FD6754"/>
    <w:rsid w:val="00FD77D0"/>
    <w:rsid w:val="00FE01FC"/>
    <w:rsid w:val="00FE1596"/>
    <w:rsid w:val="00FE181D"/>
    <w:rsid w:val="00FE19F9"/>
    <w:rsid w:val="00FE1C0A"/>
    <w:rsid w:val="00FE1CD5"/>
    <w:rsid w:val="00FE1D43"/>
    <w:rsid w:val="00FE1D7F"/>
    <w:rsid w:val="00FE2A10"/>
    <w:rsid w:val="00FE314C"/>
    <w:rsid w:val="00FE3B62"/>
    <w:rsid w:val="00FE4056"/>
    <w:rsid w:val="00FE4F74"/>
    <w:rsid w:val="00FE5397"/>
    <w:rsid w:val="00FE5A62"/>
    <w:rsid w:val="00FE6B02"/>
    <w:rsid w:val="00FE7125"/>
    <w:rsid w:val="00FE771A"/>
    <w:rsid w:val="00FE7A5F"/>
    <w:rsid w:val="00FF00CE"/>
    <w:rsid w:val="00FF01CB"/>
    <w:rsid w:val="00FF03B0"/>
    <w:rsid w:val="00FF0444"/>
    <w:rsid w:val="00FF2B73"/>
    <w:rsid w:val="00FF2B7C"/>
    <w:rsid w:val="00FF33AC"/>
    <w:rsid w:val="00FF3403"/>
    <w:rsid w:val="00FF353A"/>
    <w:rsid w:val="00FF38AB"/>
    <w:rsid w:val="00FF394F"/>
    <w:rsid w:val="00FF3D05"/>
    <w:rsid w:val="00FF40E8"/>
    <w:rsid w:val="00FF4275"/>
    <w:rsid w:val="00FF4C3E"/>
    <w:rsid w:val="00FF5CFD"/>
    <w:rsid w:val="00FF5F61"/>
    <w:rsid w:val="00FF6A1A"/>
    <w:rsid w:val="00FF7139"/>
    <w:rsid w:val="00FF7A77"/>
    <w:rsid w:val="00FF7C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32E9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toc 1" w:uiPriority="39"/>
    <w:lsdException w:name="toc 2" w:uiPriority="39"/>
    <w:lsdException w:name="footnote text"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5344B"/>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uiPriority w:val="99"/>
    <w:semiHidden/>
    <w:rsid w:val="00243997"/>
    <w:rPr>
      <w:rFonts w:ascii="Times New Roman" w:hAnsi="Times New Roman"/>
      <w:position w:val="6"/>
      <w:sz w:val="20"/>
      <w:vertAlign w:val="baseline"/>
    </w:rPr>
  </w:style>
  <w:style w:type="paragraph" w:styleId="FootnoteText">
    <w:name w:val="footnote text"/>
    <w:basedOn w:val="BodyText"/>
    <w:link w:val="FootnoteTextChar"/>
    <w:uiPriority w:val="99"/>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paragraph" w:styleId="CommentSubject">
    <w:name w:val="annotation subject"/>
    <w:basedOn w:val="CommentText"/>
    <w:next w:val="CommentText"/>
    <w:link w:val="CommentSubjectChar"/>
    <w:rsid w:val="00D14039"/>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D14039"/>
    <w:rPr>
      <w:szCs w:val="24"/>
    </w:rPr>
  </w:style>
  <w:style w:type="character" w:customStyle="1" w:styleId="CommentSubjectChar">
    <w:name w:val="Comment Subject Char"/>
    <w:basedOn w:val="CommentTextChar"/>
    <w:link w:val="CommentSubject"/>
    <w:rsid w:val="00D14039"/>
    <w:rPr>
      <w:b/>
      <w:bCs/>
      <w:szCs w:val="24"/>
    </w:rPr>
  </w:style>
  <w:style w:type="character" w:customStyle="1" w:styleId="A12">
    <w:name w:val="A12"/>
    <w:uiPriority w:val="99"/>
    <w:rsid w:val="00D16E2F"/>
    <w:rPr>
      <w:rFonts w:cs="Trade Gothic LT Std Light"/>
      <w:color w:val="000000"/>
      <w:sz w:val="10"/>
      <w:szCs w:val="10"/>
    </w:rPr>
  </w:style>
  <w:style w:type="paragraph" w:customStyle="1" w:styleId="Default">
    <w:name w:val="Default"/>
    <w:rsid w:val="00E525BF"/>
    <w:pPr>
      <w:autoSpaceDE w:val="0"/>
      <w:autoSpaceDN w:val="0"/>
      <w:adjustRightInd w:val="0"/>
    </w:pPr>
    <w:rPr>
      <w:color w:val="000000"/>
      <w:sz w:val="24"/>
      <w:szCs w:val="24"/>
    </w:rPr>
  </w:style>
  <w:style w:type="paragraph" w:styleId="ListParagraph">
    <w:name w:val="List Paragraph"/>
    <w:basedOn w:val="Normal"/>
    <w:uiPriority w:val="34"/>
    <w:qFormat/>
    <w:rsid w:val="001C3EBB"/>
    <w:pPr>
      <w:ind w:left="720"/>
      <w:contextualSpacing/>
    </w:pPr>
  </w:style>
  <w:style w:type="character" w:customStyle="1" w:styleId="Heading2Char">
    <w:name w:val="Heading 2 Char"/>
    <w:basedOn w:val="DefaultParagraphFont"/>
    <w:link w:val="Heading2"/>
    <w:rsid w:val="00CE47CB"/>
    <w:rPr>
      <w:rFonts w:ascii="Arial" w:hAnsi="Arial"/>
      <w:b/>
      <w:sz w:val="32"/>
    </w:rPr>
  </w:style>
  <w:style w:type="character" w:styleId="Hyperlink">
    <w:name w:val="Hyperlink"/>
    <w:basedOn w:val="DefaultParagraphFont"/>
    <w:rsid w:val="00CE47CB"/>
    <w:rPr>
      <w:color w:val="78A22F" w:themeColor="hyperlink"/>
      <w:u w:val="single"/>
    </w:rPr>
  </w:style>
  <w:style w:type="paragraph" w:customStyle="1" w:styleId="Heading1NotTOC">
    <w:name w:val="Heading 1 Not TOC"/>
    <w:basedOn w:val="Heading1"/>
    <w:next w:val="BodyText"/>
    <w:rsid w:val="00CE47CB"/>
    <w:rPr>
      <w:kern w:val="28"/>
      <w:szCs w:val="26"/>
      <w:lang w:eastAsia="en-US"/>
    </w:rPr>
  </w:style>
  <w:style w:type="paragraph" w:styleId="Revision">
    <w:name w:val="Revision"/>
    <w:hidden/>
    <w:uiPriority w:val="99"/>
    <w:semiHidden/>
    <w:rsid w:val="00CE47CB"/>
    <w:rPr>
      <w:sz w:val="24"/>
      <w:szCs w:val="24"/>
    </w:rPr>
  </w:style>
  <w:style w:type="paragraph" w:customStyle="1" w:styleId="BoxSpaceAboveElement">
    <w:name w:val="Box Space Above Element"/>
    <w:basedOn w:val="BoxSpaceAbove"/>
    <w:link w:val="BoxSpaceAboveElementChar"/>
    <w:qFormat/>
    <w:rsid w:val="00CE47CB"/>
    <w:pPr>
      <w:spacing w:before="240"/>
    </w:pPr>
    <w:rPr>
      <w:b/>
      <w:vanish/>
      <w:color w:val="FF00FF"/>
      <w:sz w:val="14"/>
    </w:rPr>
  </w:style>
  <w:style w:type="character" w:customStyle="1" w:styleId="BoxSpaceAboveElementChar">
    <w:name w:val="Box Space Above Element Char"/>
    <w:basedOn w:val="DefaultParagraphFont"/>
    <w:link w:val="BoxSpaceAboveElement"/>
    <w:rsid w:val="00CE47CB"/>
    <w:rPr>
      <w:b/>
      <w:vanish/>
      <w:color w:val="FF00FF"/>
      <w:sz w:val="14"/>
    </w:rPr>
  </w:style>
  <w:style w:type="character" w:customStyle="1" w:styleId="Heading3Char">
    <w:name w:val="Heading 3 Char"/>
    <w:basedOn w:val="DefaultParagraphFont"/>
    <w:link w:val="Heading3"/>
    <w:rsid w:val="00CE47CB"/>
    <w:rPr>
      <w:rFonts w:ascii="Arial" w:hAnsi="Arial"/>
      <w:b/>
      <w:sz w:val="26"/>
    </w:rPr>
  </w:style>
  <w:style w:type="paragraph" w:customStyle="1" w:styleId="Pa10">
    <w:name w:val="Pa10"/>
    <w:basedOn w:val="Default"/>
    <w:next w:val="Default"/>
    <w:uiPriority w:val="99"/>
    <w:rsid w:val="000D63D8"/>
    <w:pPr>
      <w:spacing w:line="181" w:lineRule="atLeast"/>
    </w:pPr>
    <w:rPr>
      <w:rFonts w:ascii="Trade Gothic LT Std" w:hAnsi="Trade Gothic LT Std"/>
      <w:color w:val="auto"/>
    </w:rPr>
  </w:style>
  <w:style w:type="character" w:customStyle="1" w:styleId="FootnoteTextChar">
    <w:name w:val="Footnote Text Char"/>
    <w:basedOn w:val="DefaultParagraphFont"/>
    <w:link w:val="FootnoteText"/>
    <w:uiPriority w:val="99"/>
    <w:rsid w:val="00097ED5"/>
  </w:style>
  <w:style w:type="character" w:styleId="FollowedHyperlink">
    <w:name w:val="FollowedHyperlink"/>
    <w:basedOn w:val="DefaultParagraphFont"/>
    <w:semiHidden/>
    <w:unhideWhenUsed/>
    <w:rsid w:val="00FC6066"/>
    <w:rPr>
      <w:color w:val="387DD2" w:themeColor="followedHyperlink"/>
      <w:u w:val="single"/>
    </w:rPr>
  </w:style>
  <w:style w:type="character" w:styleId="EndnoteReference">
    <w:name w:val="endnote reference"/>
    <w:basedOn w:val="DefaultParagraphFont"/>
    <w:semiHidden/>
    <w:unhideWhenUsed/>
    <w:rsid w:val="00400BE8"/>
    <w:rPr>
      <w:vertAlign w:val="superscript"/>
    </w:rPr>
  </w:style>
  <w:style w:type="paragraph" w:customStyle="1" w:styleId="Pa15">
    <w:name w:val="Pa15"/>
    <w:basedOn w:val="Default"/>
    <w:next w:val="Default"/>
    <w:uiPriority w:val="99"/>
    <w:rsid w:val="00070C4A"/>
    <w:pPr>
      <w:spacing w:line="181" w:lineRule="atLeast"/>
    </w:pPr>
    <w:rPr>
      <w:rFonts w:ascii="Trade Gothic LT Std" w:hAnsi="Trade Gothic LT Std"/>
      <w:color w:val="auto"/>
    </w:rPr>
  </w:style>
  <w:style w:type="paragraph" w:styleId="TOCHeading">
    <w:name w:val="TOC Heading"/>
    <w:basedOn w:val="Heading1"/>
    <w:next w:val="Normal"/>
    <w:uiPriority w:val="39"/>
    <w:semiHidden/>
    <w:unhideWhenUsed/>
    <w:qFormat/>
    <w:rsid w:val="003761C4"/>
    <w:pPr>
      <w:keepLines/>
      <w:spacing w:before="480" w:after="0" w:line="276" w:lineRule="auto"/>
      <w:ind w:left="0" w:firstLine="0"/>
      <w:outlineLvl w:val="9"/>
    </w:pPr>
    <w:rPr>
      <w:rFonts w:asciiTheme="majorHAnsi" w:eastAsiaTheme="majorEastAsia" w:hAnsiTheme="majorHAnsi" w:cstheme="majorBidi"/>
      <w:b/>
      <w:bCs/>
      <w:color w:val="597923" w:themeColor="accent1" w:themeShade="BF"/>
      <w:sz w:val="28"/>
      <w:szCs w:val="28"/>
      <w:lang w:val="en-US" w:eastAsia="ja-JP"/>
    </w:rPr>
  </w:style>
  <w:style w:type="paragraph" w:styleId="Bibliography">
    <w:name w:val="Bibliography"/>
    <w:basedOn w:val="Normal"/>
    <w:next w:val="Normal"/>
    <w:uiPriority w:val="37"/>
    <w:unhideWhenUsed/>
    <w:rsid w:val="00306DC1"/>
    <w:pPr>
      <w:spacing w:after="240"/>
      <w:ind w:left="720" w:hanging="720"/>
    </w:pPr>
  </w:style>
  <w:style w:type="paragraph" w:customStyle="1" w:styleId="definition">
    <w:name w:val="definition"/>
    <w:basedOn w:val="Normal"/>
    <w:rsid w:val="004B1E69"/>
    <w:pPr>
      <w:spacing w:before="100" w:beforeAutospacing="1" w:after="100" w:afterAutospacing="1"/>
    </w:pPr>
  </w:style>
  <w:style w:type="paragraph" w:customStyle="1" w:styleId="paragraph">
    <w:name w:val="paragraph"/>
    <w:basedOn w:val="Normal"/>
    <w:rsid w:val="004B1E69"/>
    <w:pPr>
      <w:spacing w:before="100" w:beforeAutospacing="1" w:after="100" w:afterAutospacing="1"/>
    </w:pPr>
  </w:style>
  <w:style w:type="paragraph" w:customStyle="1" w:styleId="paragraphsub">
    <w:name w:val="paragraphsub"/>
    <w:basedOn w:val="Normal"/>
    <w:rsid w:val="004B1E69"/>
    <w:pPr>
      <w:spacing w:before="100" w:beforeAutospacing="1" w:after="100" w:afterAutospacing="1"/>
    </w:pPr>
  </w:style>
  <w:style w:type="paragraph" w:customStyle="1" w:styleId="subsection2">
    <w:name w:val="subsection2"/>
    <w:basedOn w:val="Normal"/>
    <w:rsid w:val="004B1E6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toc 1" w:uiPriority="39"/>
    <w:lsdException w:name="toc 2" w:uiPriority="39"/>
    <w:lsdException w:name="footnote text"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5344B"/>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uiPriority w:val="99"/>
    <w:semiHidden/>
    <w:rsid w:val="00243997"/>
    <w:rPr>
      <w:rFonts w:ascii="Times New Roman" w:hAnsi="Times New Roman"/>
      <w:position w:val="6"/>
      <w:sz w:val="20"/>
      <w:vertAlign w:val="baseline"/>
    </w:rPr>
  </w:style>
  <w:style w:type="paragraph" w:styleId="FootnoteText">
    <w:name w:val="footnote text"/>
    <w:basedOn w:val="BodyText"/>
    <w:link w:val="FootnoteTextChar"/>
    <w:uiPriority w:val="99"/>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paragraph" w:styleId="CommentSubject">
    <w:name w:val="annotation subject"/>
    <w:basedOn w:val="CommentText"/>
    <w:next w:val="CommentText"/>
    <w:link w:val="CommentSubjectChar"/>
    <w:rsid w:val="00D14039"/>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D14039"/>
    <w:rPr>
      <w:szCs w:val="24"/>
    </w:rPr>
  </w:style>
  <w:style w:type="character" w:customStyle="1" w:styleId="CommentSubjectChar">
    <w:name w:val="Comment Subject Char"/>
    <w:basedOn w:val="CommentTextChar"/>
    <w:link w:val="CommentSubject"/>
    <w:rsid w:val="00D14039"/>
    <w:rPr>
      <w:b/>
      <w:bCs/>
      <w:szCs w:val="24"/>
    </w:rPr>
  </w:style>
  <w:style w:type="character" w:customStyle="1" w:styleId="A12">
    <w:name w:val="A12"/>
    <w:uiPriority w:val="99"/>
    <w:rsid w:val="00D16E2F"/>
    <w:rPr>
      <w:rFonts w:cs="Trade Gothic LT Std Light"/>
      <w:color w:val="000000"/>
      <w:sz w:val="10"/>
      <w:szCs w:val="10"/>
    </w:rPr>
  </w:style>
  <w:style w:type="paragraph" w:customStyle="1" w:styleId="Default">
    <w:name w:val="Default"/>
    <w:rsid w:val="00E525BF"/>
    <w:pPr>
      <w:autoSpaceDE w:val="0"/>
      <w:autoSpaceDN w:val="0"/>
      <w:adjustRightInd w:val="0"/>
    </w:pPr>
    <w:rPr>
      <w:color w:val="000000"/>
      <w:sz w:val="24"/>
      <w:szCs w:val="24"/>
    </w:rPr>
  </w:style>
  <w:style w:type="paragraph" w:styleId="ListParagraph">
    <w:name w:val="List Paragraph"/>
    <w:basedOn w:val="Normal"/>
    <w:uiPriority w:val="34"/>
    <w:qFormat/>
    <w:rsid w:val="001C3EBB"/>
    <w:pPr>
      <w:ind w:left="720"/>
      <w:contextualSpacing/>
    </w:pPr>
  </w:style>
  <w:style w:type="character" w:customStyle="1" w:styleId="Heading2Char">
    <w:name w:val="Heading 2 Char"/>
    <w:basedOn w:val="DefaultParagraphFont"/>
    <w:link w:val="Heading2"/>
    <w:rsid w:val="00CE47CB"/>
    <w:rPr>
      <w:rFonts w:ascii="Arial" w:hAnsi="Arial"/>
      <w:b/>
      <w:sz w:val="32"/>
    </w:rPr>
  </w:style>
  <w:style w:type="character" w:styleId="Hyperlink">
    <w:name w:val="Hyperlink"/>
    <w:basedOn w:val="DefaultParagraphFont"/>
    <w:rsid w:val="00CE47CB"/>
    <w:rPr>
      <w:color w:val="78A22F" w:themeColor="hyperlink"/>
      <w:u w:val="single"/>
    </w:rPr>
  </w:style>
  <w:style w:type="paragraph" w:customStyle="1" w:styleId="Heading1NotTOC">
    <w:name w:val="Heading 1 Not TOC"/>
    <w:basedOn w:val="Heading1"/>
    <w:next w:val="BodyText"/>
    <w:rsid w:val="00CE47CB"/>
    <w:rPr>
      <w:kern w:val="28"/>
      <w:szCs w:val="26"/>
      <w:lang w:eastAsia="en-US"/>
    </w:rPr>
  </w:style>
  <w:style w:type="paragraph" w:styleId="Revision">
    <w:name w:val="Revision"/>
    <w:hidden/>
    <w:uiPriority w:val="99"/>
    <w:semiHidden/>
    <w:rsid w:val="00CE47CB"/>
    <w:rPr>
      <w:sz w:val="24"/>
      <w:szCs w:val="24"/>
    </w:rPr>
  </w:style>
  <w:style w:type="paragraph" w:customStyle="1" w:styleId="BoxSpaceAboveElement">
    <w:name w:val="Box Space Above Element"/>
    <w:basedOn w:val="BoxSpaceAbove"/>
    <w:link w:val="BoxSpaceAboveElementChar"/>
    <w:qFormat/>
    <w:rsid w:val="00CE47CB"/>
    <w:pPr>
      <w:spacing w:before="240"/>
    </w:pPr>
    <w:rPr>
      <w:b/>
      <w:vanish/>
      <w:color w:val="FF00FF"/>
      <w:sz w:val="14"/>
    </w:rPr>
  </w:style>
  <w:style w:type="character" w:customStyle="1" w:styleId="BoxSpaceAboveElementChar">
    <w:name w:val="Box Space Above Element Char"/>
    <w:basedOn w:val="DefaultParagraphFont"/>
    <w:link w:val="BoxSpaceAboveElement"/>
    <w:rsid w:val="00CE47CB"/>
    <w:rPr>
      <w:b/>
      <w:vanish/>
      <w:color w:val="FF00FF"/>
      <w:sz w:val="14"/>
    </w:rPr>
  </w:style>
  <w:style w:type="character" w:customStyle="1" w:styleId="Heading3Char">
    <w:name w:val="Heading 3 Char"/>
    <w:basedOn w:val="DefaultParagraphFont"/>
    <w:link w:val="Heading3"/>
    <w:rsid w:val="00CE47CB"/>
    <w:rPr>
      <w:rFonts w:ascii="Arial" w:hAnsi="Arial"/>
      <w:b/>
      <w:sz w:val="26"/>
    </w:rPr>
  </w:style>
  <w:style w:type="paragraph" w:customStyle="1" w:styleId="Pa10">
    <w:name w:val="Pa10"/>
    <w:basedOn w:val="Default"/>
    <w:next w:val="Default"/>
    <w:uiPriority w:val="99"/>
    <w:rsid w:val="000D63D8"/>
    <w:pPr>
      <w:spacing w:line="181" w:lineRule="atLeast"/>
    </w:pPr>
    <w:rPr>
      <w:rFonts w:ascii="Trade Gothic LT Std" w:hAnsi="Trade Gothic LT Std"/>
      <w:color w:val="auto"/>
    </w:rPr>
  </w:style>
  <w:style w:type="character" w:customStyle="1" w:styleId="FootnoteTextChar">
    <w:name w:val="Footnote Text Char"/>
    <w:basedOn w:val="DefaultParagraphFont"/>
    <w:link w:val="FootnoteText"/>
    <w:uiPriority w:val="99"/>
    <w:rsid w:val="00097ED5"/>
  </w:style>
  <w:style w:type="character" w:styleId="FollowedHyperlink">
    <w:name w:val="FollowedHyperlink"/>
    <w:basedOn w:val="DefaultParagraphFont"/>
    <w:semiHidden/>
    <w:unhideWhenUsed/>
    <w:rsid w:val="00FC6066"/>
    <w:rPr>
      <w:color w:val="387DD2" w:themeColor="followedHyperlink"/>
      <w:u w:val="single"/>
    </w:rPr>
  </w:style>
  <w:style w:type="character" w:styleId="EndnoteReference">
    <w:name w:val="endnote reference"/>
    <w:basedOn w:val="DefaultParagraphFont"/>
    <w:semiHidden/>
    <w:unhideWhenUsed/>
    <w:rsid w:val="00400BE8"/>
    <w:rPr>
      <w:vertAlign w:val="superscript"/>
    </w:rPr>
  </w:style>
  <w:style w:type="paragraph" w:customStyle="1" w:styleId="Pa15">
    <w:name w:val="Pa15"/>
    <w:basedOn w:val="Default"/>
    <w:next w:val="Default"/>
    <w:uiPriority w:val="99"/>
    <w:rsid w:val="00070C4A"/>
    <w:pPr>
      <w:spacing w:line="181" w:lineRule="atLeast"/>
    </w:pPr>
    <w:rPr>
      <w:rFonts w:ascii="Trade Gothic LT Std" w:hAnsi="Trade Gothic LT Std"/>
      <w:color w:val="auto"/>
    </w:rPr>
  </w:style>
  <w:style w:type="paragraph" w:styleId="TOCHeading">
    <w:name w:val="TOC Heading"/>
    <w:basedOn w:val="Heading1"/>
    <w:next w:val="Normal"/>
    <w:uiPriority w:val="39"/>
    <w:semiHidden/>
    <w:unhideWhenUsed/>
    <w:qFormat/>
    <w:rsid w:val="003761C4"/>
    <w:pPr>
      <w:keepLines/>
      <w:spacing w:before="480" w:after="0" w:line="276" w:lineRule="auto"/>
      <w:ind w:left="0" w:firstLine="0"/>
      <w:outlineLvl w:val="9"/>
    </w:pPr>
    <w:rPr>
      <w:rFonts w:asciiTheme="majorHAnsi" w:eastAsiaTheme="majorEastAsia" w:hAnsiTheme="majorHAnsi" w:cstheme="majorBidi"/>
      <w:b/>
      <w:bCs/>
      <w:color w:val="597923" w:themeColor="accent1" w:themeShade="BF"/>
      <w:sz w:val="28"/>
      <w:szCs w:val="28"/>
      <w:lang w:val="en-US" w:eastAsia="ja-JP"/>
    </w:rPr>
  </w:style>
  <w:style w:type="paragraph" w:styleId="Bibliography">
    <w:name w:val="Bibliography"/>
    <w:basedOn w:val="Normal"/>
    <w:next w:val="Normal"/>
    <w:uiPriority w:val="37"/>
    <w:unhideWhenUsed/>
    <w:rsid w:val="00306DC1"/>
    <w:pPr>
      <w:spacing w:after="240"/>
      <w:ind w:left="720" w:hanging="720"/>
    </w:pPr>
  </w:style>
  <w:style w:type="paragraph" w:customStyle="1" w:styleId="definition">
    <w:name w:val="definition"/>
    <w:basedOn w:val="Normal"/>
    <w:rsid w:val="004B1E69"/>
    <w:pPr>
      <w:spacing w:before="100" w:beforeAutospacing="1" w:after="100" w:afterAutospacing="1"/>
    </w:pPr>
  </w:style>
  <w:style w:type="paragraph" w:customStyle="1" w:styleId="paragraph">
    <w:name w:val="paragraph"/>
    <w:basedOn w:val="Normal"/>
    <w:rsid w:val="004B1E69"/>
    <w:pPr>
      <w:spacing w:before="100" w:beforeAutospacing="1" w:after="100" w:afterAutospacing="1"/>
    </w:pPr>
  </w:style>
  <w:style w:type="paragraph" w:customStyle="1" w:styleId="paragraphsub">
    <w:name w:val="paragraphsub"/>
    <w:basedOn w:val="Normal"/>
    <w:rsid w:val="004B1E69"/>
    <w:pPr>
      <w:spacing w:before="100" w:beforeAutospacing="1" w:after="100" w:afterAutospacing="1"/>
    </w:pPr>
  </w:style>
  <w:style w:type="paragraph" w:customStyle="1" w:styleId="subsection2">
    <w:name w:val="subsection2"/>
    <w:basedOn w:val="Normal"/>
    <w:rsid w:val="004B1E6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035745">
      <w:bodyDiv w:val="1"/>
      <w:marLeft w:val="0"/>
      <w:marRight w:val="0"/>
      <w:marTop w:val="0"/>
      <w:marBottom w:val="0"/>
      <w:divBdr>
        <w:top w:val="none" w:sz="0" w:space="0" w:color="auto"/>
        <w:left w:val="none" w:sz="0" w:space="0" w:color="auto"/>
        <w:bottom w:val="none" w:sz="0" w:space="0" w:color="auto"/>
        <w:right w:val="none" w:sz="0" w:space="0" w:color="auto"/>
      </w:divBdr>
    </w:div>
    <w:div w:id="311835167">
      <w:bodyDiv w:val="1"/>
      <w:marLeft w:val="0"/>
      <w:marRight w:val="0"/>
      <w:marTop w:val="0"/>
      <w:marBottom w:val="0"/>
      <w:divBdr>
        <w:top w:val="none" w:sz="0" w:space="0" w:color="auto"/>
        <w:left w:val="none" w:sz="0" w:space="0" w:color="auto"/>
        <w:bottom w:val="none" w:sz="0" w:space="0" w:color="auto"/>
        <w:right w:val="none" w:sz="0" w:space="0" w:color="auto"/>
      </w:divBdr>
    </w:div>
    <w:div w:id="571044194">
      <w:bodyDiv w:val="1"/>
      <w:marLeft w:val="0"/>
      <w:marRight w:val="0"/>
      <w:marTop w:val="0"/>
      <w:marBottom w:val="0"/>
      <w:divBdr>
        <w:top w:val="none" w:sz="0" w:space="0" w:color="auto"/>
        <w:left w:val="none" w:sz="0" w:space="0" w:color="auto"/>
        <w:bottom w:val="none" w:sz="0" w:space="0" w:color="auto"/>
        <w:right w:val="none" w:sz="0" w:space="0" w:color="auto"/>
      </w:divBdr>
    </w:div>
    <w:div w:id="1051885445">
      <w:bodyDiv w:val="1"/>
      <w:marLeft w:val="0"/>
      <w:marRight w:val="0"/>
      <w:marTop w:val="0"/>
      <w:marBottom w:val="0"/>
      <w:divBdr>
        <w:top w:val="none" w:sz="0" w:space="0" w:color="auto"/>
        <w:left w:val="none" w:sz="0" w:space="0" w:color="auto"/>
        <w:bottom w:val="none" w:sz="0" w:space="0" w:color="auto"/>
        <w:right w:val="none" w:sz="0" w:space="0" w:color="auto"/>
      </w:divBdr>
    </w:div>
    <w:div w:id="1098722075">
      <w:bodyDiv w:val="1"/>
      <w:marLeft w:val="0"/>
      <w:marRight w:val="0"/>
      <w:marTop w:val="0"/>
      <w:marBottom w:val="0"/>
      <w:divBdr>
        <w:top w:val="none" w:sz="0" w:space="0" w:color="auto"/>
        <w:left w:val="none" w:sz="0" w:space="0" w:color="auto"/>
        <w:bottom w:val="none" w:sz="0" w:space="0" w:color="auto"/>
        <w:right w:val="none" w:sz="0" w:space="0" w:color="auto"/>
      </w:divBdr>
    </w:div>
    <w:div w:id="1134563776">
      <w:bodyDiv w:val="1"/>
      <w:marLeft w:val="0"/>
      <w:marRight w:val="0"/>
      <w:marTop w:val="0"/>
      <w:marBottom w:val="0"/>
      <w:divBdr>
        <w:top w:val="none" w:sz="0" w:space="0" w:color="auto"/>
        <w:left w:val="none" w:sz="0" w:space="0" w:color="auto"/>
        <w:bottom w:val="none" w:sz="0" w:space="0" w:color="auto"/>
        <w:right w:val="none" w:sz="0" w:space="0" w:color="auto"/>
      </w:divBdr>
    </w:div>
    <w:div w:id="1151101122">
      <w:bodyDiv w:val="1"/>
      <w:marLeft w:val="0"/>
      <w:marRight w:val="0"/>
      <w:marTop w:val="0"/>
      <w:marBottom w:val="0"/>
      <w:divBdr>
        <w:top w:val="none" w:sz="0" w:space="0" w:color="auto"/>
        <w:left w:val="none" w:sz="0" w:space="0" w:color="auto"/>
        <w:bottom w:val="none" w:sz="0" w:space="0" w:color="auto"/>
        <w:right w:val="none" w:sz="0" w:space="0" w:color="auto"/>
      </w:divBdr>
    </w:div>
    <w:div w:id="1294287392">
      <w:bodyDiv w:val="1"/>
      <w:marLeft w:val="0"/>
      <w:marRight w:val="0"/>
      <w:marTop w:val="0"/>
      <w:marBottom w:val="0"/>
      <w:divBdr>
        <w:top w:val="none" w:sz="0" w:space="0" w:color="auto"/>
        <w:left w:val="none" w:sz="0" w:space="0" w:color="auto"/>
        <w:bottom w:val="none" w:sz="0" w:space="0" w:color="auto"/>
        <w:right w:val="none" w:sz="0" w:space="0" w:color="auto"/>
      </w:divBdr>
    </w:div>
    <w:div w:id="1423451274">
      <w:bodyDiv w:val="1"/>
      <w:marLeft w:val="0"/>
      <w:marRight w:val="0"/>
      <w:marTop w:val="0"/>
      <w:marBottom w:val="0"/>
      <w:divBdr>
        <w:top w:val="none" w:sz="0" w:space="0" w:color="auto"/>
        <w:left w:val="none" w:sz="0" w:space="0" w:color="auto"/>
        <w:bottom w:val="none" w:sz="0" w:space="0" w:color="auto"/>
        <w:right w:val="none" w:sz="0" w:space="0" w:color="auto"/>
      </w:divBdr>
      <w:divsChild>
        <w:div w:id="546723655">
          <w:marLeft w:val="0"/>
          <w:marRight w:val="0"/>
          <w:marTop w:val="0"/>
          <w:marBottom w:val="0"/>
          <w:divBdr>
            <w:top w:val="none" w:sz="0" w:space="0" w:color="auto"/>
            <w:left w:val="none" w:sz="0" w:space="0" w:color="auto"/>
            <w:bottom w:val="none" w:sz="0" w:space="0" w:color="auto"/>
            <w:right w:val="none" w:sz="0" w:space="0" w:color="auto"/>
          </w:divBdr>
          <w:divsChild>
            <w:div w:id="2051105593">
              <w:marLeft w:val="0"/>
              <w:marRight w:val="0"/>
              <w:marTop w:val="0"/>
              <w:marBottom w:val="0"/>
              <w:divBdr>
                <w:top w:val="none" w:sz="0" w:space="0" w:color="auto"/>
                <w:left w:val="none" w:sz="0" w:space="0" w:color="auto"/>
                <w:bottom w:val="none" w:sz="0" w:space="0" w:color="auto"/>
                <w:right w:val="none" w:sz="0" w:space="0" w:color="auto"/>
              </w:divBdr>
              <w:divsChild>
                <w:div w:id="591158278">
                  <w:marLeft w:val="0"/>
                  <w:marRight w:val="0"/>
                  <w:marTop w:val="0"/>
                  <w:marBottom w:val="0"/>
                  <w:divBdr>
                    <w:top w:val="none" w:sz="0" w:space="0" w:color="auto"/>
                    <w:left w:val="none" w:sz="0" w:space="0" w:color="auto"/>
                    <w:bottom w:val="none" w:sz="0" w:space="0" w:color="auto"/>
                    <w:right w:val="none" w:sz="0" w:space="0" w:color="auto"/>
                  </w:divBdr>
                  <w:divsChild>
                    <w:div w:id="1079793130">
                      <w:marLeft w:val="0"/>
                      <w:marRight w:val="0"/>
                      <w:marTop w:val="0"/>
                      <w:marBottom w:val="0"/>
                      <w:divBdr>
                        <w:top w:val="none" w:sz="0" w:space="0" w:color="auto"/>
                        <w:left w:val="none" w:sz="0" w:space="0" w:color="auto"/>
                        <w:bottom w:val="none" w:sz="0" w:space="0" w:color="auto"/>
                        <w:right w:val="none" w:sz="0" w:space="0" w:color="auto"/>
                      </w:divBdr>
                      <w:divsChild>
                        <w:div w:id="443308307">
                          <w:marLeft w:val="0"/>
                          <w:marRight w:val="0"/>
                          <w:marTop w:val="0"/>
                          <w:marBottom w:val="0"/>
                          <w:divBdr>
                            <w:top w:val="none" w:sz="0" w:space="0" w:color="auto"/>
                            <w:left w:val="none" w:sz="0" w:space="0" w:color="auto"/>
                            <w:bottom w:val="none" w:sz="0" w:space="0" w:color="auto"/>
                            <w:right w:val="none" w:sz="0" w:space="0" w:color="auto"/>
                          </w:divBdr>
                          <w:divsChild>
                            <w:div w:id="334310000">
                              <w:marLeft w:val="0"/>
                              <w:marRight w:val="0"/>
                              <w:marTop w:val="0"/>
                              <w:marBottom w:val="0"/>
                              <w:divBdr>
                                <w:top w:val="none" w:sz="0" w:space="0" w:color="auto"/>
                                <w:left w:val="none" w:sz="0" w:space="0" w:color="auto"/>
                                <w:bottom w:val="none" w:sz="0" w:space="0" w:color="auto"/>
                                <w:right w:val="none" w:sz="0" w:space="0" w:color="auto"/>
                              </w:divBdr>
                              <w:divsChild>
                                <w:div w:id="688141096">
                                  <w:marLeft w:val="0"/>
                                  <w:marRight w:val="0"/>
                                  <w:marTop w:val="0"/>
                                  <w:marBottom w:val="0"/>
                                  <w:divBdr>
                                    <w:top w:val="none" w:sz="0" w:space="0" w:color="auto"/>
                                    <w:left w:val="none" w:sz="0" w:space="0" w:color="auto"/>
                                    <w:bottom w:val="none" w:sz="0" w:space="0" w:color="auto"/>
                                    <w:right w:val="none" w:sz="0" w:space="0" w:color="auto"/>
                                  </w:divBdr>
                                  <w:divsChild>
                                    <w:div w:id="2035571439">
                                      <w:marLeft w:val="0"/>
                                      <w:marRight w:val="0"/>
                                      <w:marTop w:val="0"/>
                                      <w:marBottom w:val="0"/>
                                      <w:divBdr>
                                        <w:top w:val="none" w:sz="0" w:space="0" w:color="auto"/>
                                        <w:left w:val="none" w:sz="0" w:space="0" w:color="auto"/>
                                        <w:bottom w:val="none" w:sz="0" w:space="0" w:color="auto"/>
                                        <w:right w:val="none" w:sz="0" w:space="0" w:color="auto"/>
                                      </w:divBdr>
                                      <w:divsChild>
                                        <w:div w:id="657420392">
                                          <w:marLeft w:val="0"/>
                                          <w:marRight w:val="0"/>
                                          <w:marTop w:val="0"/>
                                          <w:marBottom w:val="0"/>
                                          <w:divBdr>
                                            <w:top w:val="none" w:sz="0" w:space="0" w:color="auto"/>
                                            <w:left w:val="none" w:sz="0" w:space="0" w:color="auto"/>
                                            <w:bottom w:val="none" w:sz="0" w:space="0" w:color="auto"/>
                                            <w:right w:val="none" w:sz="0" w:space="0" w:color="auto"/>
                                          </w:divBdr>
                                          <w:divsChild>
                                            <w:div w:id="32581225">
                                              <w:marLeft w:val="0"/>
                                              <w:marRight w:val="0"/>
                                              <w:marTop w:val="0"/>
                                              <w:marBottom w:val="0"/>
                                              <w:divBdr>
                                                <w:top w:val="none" w:sz="0" w:space="0" w:color="auto"/>
                                                <w:left w:val="none" w:sz="0" w:space="0" w:color="auto"/>
                                                <w:bottom w:val="none" w:sz="0" w:space="0" w:color="auto"/>
                                                <w:right w:val="none" w:sz="0" w:space="0" w:color="auto"/>
                                              </w:divBdr>
                                              <w:divsChild>
                                                <w:div w:id="1319261240">
                                                  <w:marLeft w:val="0"/>
                                                  <w:marRight w:val="0"/>
                                                  <w:marTop w:val="0"/>
                                                  <w:marBottom w:val="0"/>
                                                  <w:divBdr>
                                                    <w:top w:val="none" w:sz="0" w:space="0" w:color="auto"/>
                                                    <w:left w:val="none" w:sz="0" w:space="0" w:color="auto"/>
                                                    <w:bottom w:val="none" w:sz="0" w:space="0" w:color="auto"/>
                                                    <w:right w:val="none" w:sz="0" w:space="0" w:color="auto"/>
                                                  </w:divBdr>
                                                  <w:divsChild>
                                                    <w:div w:id="191383409">
                                                      <w:marLeft w:val="0"/>
                                                      <w:marRight w:val="0"/>
                                                      <w:marTop w:val="0"/>
                                                      <w:marBottom w:val="0"/>
                                                      <w:divBdr>
                                                        <w:top w:val="none" w:sz="0" w:space="0" w:color="auto"/>
                                                        <w:left w:val="none" w:sz="0" w:space="0" w:color="auto"/>
                                                        <w:bottom w:val="none" w:sz="0" w:space="0" w:color="auto"/>
                                                        <w:right w:val="none" w:sz="0" w:space="0" w:color="auto"/>
                                                      </w:divBdr>
                                                      <w:divsChild>
                                                        <w:div w:id="104367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2842233">
      <w:bodyDiv w:val="1"/>
      <w:marLeft w:val="0"/>
      <w:marRight w:val="0"/>
      <w:marTop w:val="0"/>
      <w:marBottom w:val="0"/>
      <w:divBdr>
        <w:top w:val="none" w:sz="0" w:space="0" w:color="auto"/>
        <w:left w:val="none" w:sz="0" w:space="0" w:color="auto"/>
        <w:bottom w:val="none" w:sz="0" w:space="0" w:color="auto"/>
        <w:right w:val="none" w:sz="0" w:space="0" w:color="auto"/>
      </w:divBdr>
    </w:div>
    <w:div w:id="1532646872">
      <w:bodyDiv w:val="1"/>
      <w:marLeft w:val="0"/>
      <w:marRight w:val="0"/>
      <w:marTop w:val="0"/>
      <w:marBottom w:val="0"/>
      <w:divBdr>
        <w:top w:val="none" w:sz="0" w:space="0" w:color="auto"/>
        <w:left w:val="none" w:sz="0" w:space="0" w:color="auto"/>
        <w:bottom w:val="none" w:sz="0" w:space="0" w:color="auto"/>
        <w:right w:val="none" w:sz="0" w:space="0" w:color="auto"/>
      </w:divBdr>
    </w:div>
    <w:div w:id="1632512586">
      <w:bodyDiv w:val="1"/>
      <w:marLeft w:val="0"/>
      <w:marRight w:val="0"/>
      <w:marTop w:val="0"/>
      <w:marBottom w:val="0"/>
      <w:divBdr>
        <w:top w:val="none" w:sz="0" w:space="0" w:color="auto"/>
        <w:left w:val="none" w:sz="0" w:space="0" w:color="auto"/>
        <w:bottom w:val="none" w:sz="0" w:space="0" w:color="auto"/>
        <w:right w:val="none" w:sz="0" w:space="0" w:color="auto"/>
      </w:divBdr>
    </w:div>
    <w:div w:id="1657495405">
      <w:bodyDiv w:val="1"/>
      <w:marLeft w:val="0"/>
      <w:marRight w:val="0"/>
      <w:marTop w:val="0"/>
      <w:marBottom w:val="0"/>
      <w:divBdr>
        <w:top w:val="none" w:sz="0" w:space="0" w:color="auto"/>
        <w:left w:val="none" w:sz="0" w:space="0" w:color="auto"/>
        <w:bottom w:val="none" w:sz="0" w:space="0" w:color="auto"/>
        <w:right w:val="none" w:sz="0" w:space="0" w:color="auto"/>
      </w:divBdr>
    </w:div>
    <w:div w:id="1731684140">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36742020">
      <w:bodyDiv w:val="1"/>
      <w:marLeft w:val="0"/>
      <w:marRight w:val="0"/>
      <w:marTop w:val="0"/>
      <w:marBottom w:val="0"/>
      <w:divBdr>
        <w:top w:val="none" w:sz="0" w:space="0" w:color="auto"/>
        <w:left w:val="none" w:sz="0" w:space="0" w:color="auto"/>
        <w:bottom w:val="none" w:sz="0" w:space="0" w:color="auto"/>
        <w:right w:val="none" w:sz="0" w:space="0" w:color="auto"/>
      </w:divBdr>
    </w:div>
    <w:div w:id="1972634874">
      <w:bodyDiv w:val="1"/>
      <w:marLeft w:val="0"/>
      <w:marRight w:val="0"/>
      <w:marTop w:val="0"/>
      <w:marBottom w:val="0"/>
      <w:divBdr>
        <w:top w:val="none" w:sz="0" w:space="0" w:color="auto"/>
        <w:left w:val="none" w:sz="0" w:space="0" w:color="auto"/>
        <w:bottom w:val="none" w:sz="0" w:space="0" w:color="auto"/>
        <w:right w:val="none" w:sz="0" w:space="0" w:color="auto"/>
      </w:divBdr>
    </w:div>
    <w:div w:id="1988316453">
      <w:bodyDiv w:val="1"/>
      <w:marLeft w:val="0"/>
      <w:marRight w:val="0"/>
      <w:marTop w:val="0"/>
      <w:marBottom w:val="0"/>
      <w:divBdr>
        <w:top w:val="none" w:sz="0" w:space="0" w:color="auto"/>
        <w:left w:val="none" w:sz="0" w:space="0" w:color="auto"/>
        <w:bottom w:val="none" w:sz="0" w:space="0" w:color="auto"/>
        <w:right w:val="none" w:sz="0" w:space="0" w:color="auto"/>
      </w:divBdr>
      <w:divsChild>
        <w:div w:id="912156228">
          <w:marLeft w:val="0"/>
          <w:marRight w:val="0"/>
          <w:marTop w:val="0"/>
          <w:marBottom w:val="0"/>
          <w:divBdr>
            <w:top w:val="none" w:sz="0" w:space="0" w:color="auto"/>
            <w:left w:val="none" w:sz="0" w:space="0" w:color="auto"/>
            <w:bottom w:val="none" w:sz="0" w:space="0" w:color="auto"/>
            <w:right w:val="none" w:sz="0" w:space="0" w:color="auto"/>
          </w:divBdr>
          <w:divsChild>
            <w:div w:id="1071150720">
              <w:marLeft w:val="0"/>
              <w:marRight w:val="0"/>
              <w:marTop w:val="0"/>
              <w:marBottom w:val="0"/>
              <w:divBdr>
                <w:top w:val="none" w:sz="0" w:space="0" w:color="auto"/>
                <w:left w:val="none" w:sz="0" w:space="0" w:color="auto"/>
                <w:bottom w:val="none" w:sz="0" w:space="0" w:color="auto"/>
                <w:right w:val="none" w:sz="0" w:space="0" w:color="auto"/>
              </w:divBdr>
              <w:divsChild>
                <w:div w:id="465204914">
                  <w:marLeft w:val="0"/>
                  <w:marRight w:val="0"/>
                  <w:marTop w:val="0"/>
                  <w:marBottom w:val="0"/>
                  <w:divBdr>
                    <w:top w:val="none" w:sz="0" w:space="0" w:color="auto"/>
                    <w:left w:val="none" w:sz="0" w:space="0" w:color="auto"/>
                    <w:bottom w:val="none" w:sz="0" w:space="0" w:color="auto"/>
                    <w:right w:val="none" w:sz="0" w:space="0" w:color="auto"/>
                  </w:divBdr>
                  <w:divsChild>
                    <w:div w:id="1839886458">
                      <w:marLeft w:val="0"/>
                      <w:marRight w:val="0"/>
                      <w:marTop w:val="0"/>
                      <w:marBottom w:val="0"/>
                      <w:divBdr>
                        <w:top w:val="none" w:sz="0" w:space="0" w:color="auto"/>
                        <w:left w:val="none" w:sz="0" w:space="0" w:color="auto"/>
                        <w:bottom w:val="none" w:sz="0" w:space="0" w:color="auto"/>
                        <w:right w:val="none" w:sz="0" w:space="0" w:color="auto"/>
                      </w:divBdr>
                      <w:divsChild>
                        <w:div w:id="423649269">
                          <w:marLeft w:val="0"/>
                          <w:marRight w:val="0"/>
                          <w:marTop w:val="0"/>
                          <w:marBottom w:val="0"/>
                          <w:divBdr>
                            <w:top w:val="none" w:sz="0" w:space="0" w:color="auto"/>
                            <w:left w:val="none" w:sz="0" w:space="0" w:color="auto"/>
                            <w:bottom w:val="none" w:sz="0" w:space="0" w:color="auto"/>
                            <w:right w:val="none" w:sz="0" w:space="0" w:color="auto"/>
                          </w:divBdr>
                          <w:divsChild>
                            <w:div w:id="2107965888">
                              <w:marLeft w:val="0"/>
                              <w:marRight w:val="0"/>
                              <w:marTop w:val="0"/>
                              <w:marBottom w:val="0"/>
                              <w:divBdr>
                                <w:top w:val="none" w:sz="0" w:space="0" w:color="auto"/>
                                <w:left w:val="none" w:sz="0" w:space="0" w:color="auto"/>
                                <w:bottom w:val="none" w:sz="0" w:space="0" w:color="auto"/>
                                <w:right w:val="none" w:sz="0" w:space="0" w:color="auto"/>
                              </w:divBdr>
                              <w:divsChild>
                                <w:div w:id="61991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28"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 Id="rId27" Type="http://schemas.microsoft.com/office/2011/relationships/people" Target="people.xm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958AF-2738-43F9-AC98-DA7D5946F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12464</Words>
  <Characters>72500</Characters>
  <Application>Microsoft Office Word</Application>
  <DocSecurity>0</DocSecurity>
  <Lines>604</Lines>
  <Paragraphs>169</Paragraphs>
  <ScaleCrop>false</ScaleCrop>
  <HeadingPairs>
    <vt:vector size="2" baseType="variant">
      <vt:variant>
        <vt:lpstr>Title</vt:lpstr>
      </vt:variant>
      <vt:variant>
        <vt:i4>1</vt:i4>
      </vt:variant>
    </vt:vector>
  </HeadingPairs>
  <TitlesOfParts>
    <vt:vector size="1" baseType="lpstr">
      <vt:lpstr>National Water Reform - Issues Paper</vt:lpstr>
    </vt:vector>
  </TitlesOfParts>
  <Company/>
  <LinksUpToDate>false</LinksUpToDate>
  <CharactersWithSpaces>84795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Water Reform - Issues Paper</dc:title>
  <dc:subject/>
  <dc:creator/>
  <cp:keywords/>
  <dc:description/>
  <cp:lastModifiedBy/>
  <cp:revision>1</cp:revision>
  <dcterms:created xsi:type="dcterms:W3CDTF">2017-03-14T22:24:00Z</dcterms:created>
  <dcterms:modified xsi:type="dcterms:W3CDTF">2017-03-15T04:39:00Z</dcterms:modified>
</cp:coreProperties>
</file>