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0DA52" w14:textId="54592EC0" w:rsidR="00C17BE3" w:rsidRPr="00C17BE3" w:rsidRDefault="00C17BE3" w:rsidP="00C17BE3">
      <w:pPr>
        <w:pStyle w:val="Heading1NotTOC"/>
        <w:spacing w:before="0" w:after="0"/>
        <w:rPr>
          <w:color w:val="FFFFFF" w:themeColor="background1"/>
          <w:sz w:val="16"/>
          <w:szCs w:val="16"/>
        </w:rPr>
      </w:pPr>
      <w:r>
        <w:rPr>
          <w:noProof/>
          <w:lang w:eastAsia="en-AU"/>
        </w:rPr>
        <w:drawing>
          <wp:anchor distT="0" distB="0" distL="114300" distR="114300" simplePos="0" relativeHeight="251659264" behindDoc="0" locked="0" layoutInCell="1" allowOverlap="1" wp14:anchorId="227A1FC8" wp14:editId="44519F86">
            <wp:simplePos x="154379" y="118753"/>
            <wp:positionH relativeFrom="page">
              <wp:align>center</wp:align>
            </wp:positionH>
            <wp:positionV relativeFrom="page">
              <wp:align>center</wp:align>
            </wp:positionV>
            <wp:extent cx="7632000" cy="10857600"/>
            <wp:effectExtent l="0" t="0" r="7620" b="1270"/>
            <wp:wrapNone/>
            <wp:docPr id="1" name="Picture 1" descr="Workplace Relations Framework Productivity Commission Draft Report August 2015. &#10;This is a draft report prepared for further public consultation and input. The Commission will finalise its report after these processes have taken place.&#10;" title="Workplace Relations Framework Productivity Commission Draft Report August 20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aps\01 INQUIRIES\Workplace Relations (inquiry)\Printing\Cover Artwork\draft-workplace-relations-titl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32000" cy="1085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7BE3">
        <w:rPr>
          <w:color w:val="FFFFFF" w:themeColor="background1"/>
          <w:sz w:val="16"/>
          <w:szCs w:val="16"/>
        </w:rPr>
        <w:t xml:space="preserve">Workplace Relations Framework Productivity Commission Draft Report August 2015. </w:t>
      </w:r>
    </w:p>
    <w:p w14:paraId="7FAF3F5B" w14:textId="4155AE99" w:rsidR="00B04D19" w:rsidRPr="00C17BE3" w:rsidRDefault="00C17BE3" w:rsidP="00C17BE3">
      <w:pPr>
        <w:pStyle w:val="BodyText"/>
        <w:spacing w:before="0"/>
        <w:rPr>
          <w:color w:val="FFFFFF" w:themeColor="background1"/>
        </w:rPr>
      </w:pPr>
      <w:r w:rsidRPr="00C17BE3">
        <w:rPr>
          <w:color w:val="FFFFFF" w:themeColor="background1"/>
          <w:sz w:val="16"/>
          <w:szCs w:val="16"/>
          <w:lang w:eastAsia="en-US"/>
        </w:rPr>
        <w:t>This is a draft report prepared for further public consultation and input. The Commission will finalise its report after these processes have taken place.</w:t>
      </w:r>
    </w:p>
    <w:p w14:paraId="653C27E5" w14:textId="35DF58A9" w:rsidR="00B04D19" w:rsidRDefault="00B04D19" w:rsidP="00CD5E6B">
      <w:pPr>
        <w:pStyle w:val="BodyText"/>
        <w:rPr>
          <w:b/>
          <w:szCs w:val="26"/>
        </w:rPr>
      </w:pPr>
      <w:r>
        <w:br w:type="page"/>
      </w:r>
    </w:p>
    <w:p w14:paraId="4FD3561B"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799B2272"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4F42296A" wp14:editId="383B97D5">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F856B0C" w14:textId="436C8FE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C6879F5" w14:textId="77777777" w:rsidR="008A3857" w:rsidRPr="008A3857" w:rsidRDefault="008A3857" w:rsidP="008A3857">
      <w:pPr>
        <w:pStyle w:val="Copyrightsubtitle"/>
      </w:pPr>
      <w:r w:rsidRPr="008A3857">
        <w:t>Use of the Commonwealth Coat of Arms</w:t>
      </w:r>
    </w:p>
    <w:p w14:paraId="5F1B9A99" w14:textId="7C349606"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4106BD51" w14:textId="77777777" w:rsidR="008A3857" w:rsidRPr="008A3857" w:rsidRDefault="008A3857" w:rsidP="008A3857">
      <w:pPr>
        <w:pStyle w:val="Copyrightsubtitle"/>
      </w:pPr>
      <w:r w:rsidRPr="008A3857">
        <w:t>Third party copyright</w:t>
      </w:r>
    </w:p>
    <w:p w14:paraId="3A99AF2F"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34E260FC" w14:textId="77777777" w:rsidR="008A3857" w:rsidRPr="008A3857" w:rsidRDefault="008A3857" w:rsidP="008A3857">
      <w:pPr>
        <w:pStyle w:val="Copyrightsubtitle"/>
      </w:pPr>
      <w:r w:rsidRPr="008A3857">
        <w:t>Attribution</w:t>
      </w:r>
    </w:p>
    <w:p w14:paraId="6BAF8540" w14:textId="37067EE6" w:rsidR="008A3857" w:rsidRPr="001F7C52" w:rsidRDefault="008A3857" w:rsidP="00BA0B81">
      <w:pPr>
        <w:pStyle w:val="Copyrightbodytext"/>
      </w:pPr>
      <w:r w:rsidRPr="001F7C52">
        <w:t xml:space="preserve">This work should be attributed as follows, </w:t>
      </w:r>
      <w:r w:rsidRPr="001F7C52">
        <w:rPr>
          <w:i/>
        </w:rPr>
        <w:t>Source: Productivity Commission,</w:t>
      </w:r>
      <w:r w:rsidR="00186A88" w:rsidRPr="001F7C52">
        <w:rPr>
          <w:i/>
        </w:rPr>
        <w:t xml:space="preserve"> Workplace Relations Framework, Draft Report</w:t>
      </w:r>
      <w:r w:rsidR="00186A88" w:rsidRPr="001F7C52">
        <w:t>.</w:t>
      </w:r>
    </w:p>
    <w:p w14:paraId="4797E30F" w14:textId="0F3F2170" w:rsidR="008A3857" w:rsidRPr="008A3857" w:rsidRDefault="008A3857" w:rsidP="00BA0B81">
      <w:pPr>
        <w:pStyle w:val="Copyrightbodytext"/>
        <w:spacing w:before="120"/>
      </w:pPr>
      <w:r w:rsidRPr="001F7C52">
        <w:t xml:space="preserve">If you have adapted, modified or transformed this work in anyway, please use the following, </w:t>
      </w:r>
      <w:r w:rsidRPr="001F7C52">
        <w:rPr>
          <w:i/>
        </w:rPr>
        <w:t>Source: based on Productivity Commission</w:t>
      </w:r>
      <w:r w:rsidR="00122FE9" w:rsidRPr="001F7C52">
        <w:rPr>
          <w:i/>
        </w:rPr>
        <w:t xml:space="preserve"> </w:t>
      </w:r>
      <w:r w:rsidRPr="001F7C52">
        <w:rPr>
          <w:i/>
        </w:rPr>
        <w:t>data</w:t>
      </w:r>
      <w:r w:rsidR="00186A88" w:rsidRPr="001F7C52">
        <w:rPr>
          <w:i/>
        </w:rPr>
        <w:t>, Workplace Relations Framework, Draft Report</w:t>
      </w:r>
      <w:r w:rsidRPr="001F7C52">
        <w:t>.</w:t>
      </w:r>
    </w:p>
    <w:p w14:paraId="28EE8533"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178CBB1" w14:textId="2CCE196E" w:rsidR="008A3857" w:rsidRPr="008A3857" w:rsidRDefault="00186A88" w:rsidP="008A3857">
      <w:pPr>
        <w:pStyle w:val="Copyrightbodytext"/>
      </w:pPr>
      <w:r w:rsidRPr="00186A88">
        <w:t xml:space="preserve">Productivity Commission 2015, </w:t>
      </w:r>
      <w:r w:rsidRPr="00186A88">
        <w:rPr>
          <w:i/>
        </w:rPr>
        <w:t>Workplace Relations Framework</w:t>
      </w:r>
      <w:r w:rsidRPr="00186A88">
        <w:t>, Draft Report, Canberra</w:t>
      </w:r>
    </w:p>
    <w:p w14:paraId="722B4128" w14:textId="77777777" w:rsidR="008A3857" w:rsidRPr="008A3857" w:rsidRDefault="008A3857" w:rsidP="008A3857">
      <w:pPr>
        <w:pStyle w:val="Copyrightsubtitle"/>
      </w:pPr>
      <w:bookmarkStart w:id="1" w:name="JEL"/>
      <w:bookmarkEnd w:id="1"/>
      <w:r w:rsidRPr="008A3857">
        <w:t>Publications enquiries</w:t>
      </w:r>
    </w:p>
    <w:p w14:paraId="006F7F0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50695E80"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46CE3414" w14:textId="77777777" w:rsidTr="00524704">
        <w:tc>
          <w:tcPr>
            <w:tcW w:w="8771" w:type="dxa"/>
            <w:tcBorders>
              <w:top w:val="single" w:sz="6" w:space="0" w:color="78A22F"/>
              <w:left w:val="nil"/>
              <w:bottom w:val="nil"/>
              <w:right w:val="nil"/>
            </w:tcBorders>
            <w:shd w:val="clear" w:color="auto" w:fill="F2F2F2" w:themeFill="background1" w:themeFillShade="F2"/>
          </w:tcPr>
          <w:p w14:paraId="755B335C" w14:textId="77777777" w:rsidR="008A3857" w:rsidRPr="008A3857" w:rsidRDefault="008A3857" w:rsidP="00524704">
            <w:pPr>
              <w:pStyle w:val="BoxTitle"/>
              <w:rPr>
                <w:sz w:val="22"/>
                <w:szCs w:val="22"/>
              </w:rPr>
            </w:pPr>
            <w:r w:rsidRPr="008A3857">
              <w:rPr>
                <w:sz w:val="22"/>
                <w:szCs w:val="22"/>
              </w:rPr>
              <w:t>The Productivity Commission</w:t>
            </w:r>
          </w:p>
        </w:tc>
      </w:tr>
      <w:tr w:rsidR="008A3857" w14:paraId="77D3F9BB" w14:textId="77777777" w:rsidTr="00524704">
        <w:trPr>
          <w:cantSplit/>
        </w:trPr>
        <w:tc>
          <w:tcPr>
            <w:tcW w:w="8771" w:type="dxa"/>
            <w:tcBorders>
              <w:top w:val="nil"/>
              <w:left w:val="nil"/>
              <w:bottom w:val="nil"/>
              <w:right w:val="nil"/>
            </w:tcBorders>
            <w:shd w:val="clear" w:color="auto" w:fill="F2F2F2" w:themeFill="background1" w:themeFillShade="F2"/>
          </w:tcPr>
          <w:p w14:paraId="6FB0AD11" w14:textId="77777777" w:rsidR="008A3857" w:rsidRDefault="008A3857" w:rsidP="00524704">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7EC6227" w14:textId="77777777" w:rsidR="008A3857" w:rsidRDefault="008A3857" w:rsidP="00524704">
            <w:pPr>
              <w:pStyle w:val="Box"/>
            </w:pPr>
            <w:r w:rsidRPr="00BB5DCF">
              <w:t>The Commission’s independence is underpinned by an Act of Parliament. Its processes and outputs are open to public scrutiny and are driven by concern for the wellbeing of the community as a whole.</w:t>
            </w:r>
          </w:p>
          <w:p w14:paraId="727E7178" w14:textId="69B41875"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6CB8ED18" w14:textId="77777777" w:rsidTr="00524704">
        <w:trPr>
          <w:cantSplit/>
        </w:trPr>
        <w:tc>
          <w:tcPr>
            <w:tcW w:w="8771" w:type="dxa"/>
            <w:tcBorders>
              <w:top w:val="nil"/>
              <w:left w:val="nil"/>
              <w:bottom w:val="single" w:sz="6" w:space="0" w:color="78A22F"/>
              <w:right w:val="nil"/>
            </w:tcBorders>
            <w:shd w:val="clear" w:color="auto" w:fill="F2F2F2" w:themeFill="background1" w:themeFillShade="F2"/>
          </w:tcPr>
          <w:p w14:paraId="1A2085C7" w14:textId="77777777" w:rsidR="008A3857" w:rsidRDefault="008A3857" w:rsidP="00524704">
            <w:pPr>
              <w:pStyle w:val="Box"/>
              <w:spacing w:before="0" w:line="120" w:lineRule="exact"/>
            </w:pPr>
          </w:p>
        </w:tc>
      </w:tr>
    </w:tbl>
    <w:p w14:paraId="0D6CAEB4" w14:textId="77777777" w:rsidR="00735FEA" w:rsidRDefault="00735FEA">
      <w:pPr>
        <w:pStyle w:val="BodyText"/>
        <w:sectPr w:rsidR="00735FEA" w:rsidSect="00122FE9">
          <w:headerReference w:type="even" r:id="rId16"/>
          <w:headerReference w:type="default" r:id="rId17"/>
          <w:footerReference w:type="even" r:id="rId18"/>
          <w:footerReference w:type="default" r:id="rId19"/>
          <w:headerReference w:type="first" r:id="rId20"/>
          <w:footerReference w:type="first" r:id="rId21"/>
          <w:type w:val="oddPage"/>
          <w:pgSz w:w="11907" w:h="16840" w:code="9"/>
          <w:pgMar w:top="1304" w:right="1304" w:bottom="567" w:left="1814" w:header="1701" w:footer="397" w:gutter="0"/>
          <w:pgNumType w:fmt="lowerRoman" w:start="1"/>
          <w:cols w:space="720"/>
          <w:titlePg/>
        </w:sectPr>
      </w:pPr>
      <w:bookmarkStart w:id="2" w:name="cov"/>
      <w:bookmarkEnd w:id="2"/>
    </w:p>
    <w:p w14:paraId="1D76E1F8" w14:textId="77777777" w:rsidR="00E631D2" w:rsidRDefault="00E631D2">
      <w:pPr>
        <w:pStyle w:val="Heading1"/>
      </w:pPr>
      <w:bookmarkStart w:id="3" w:name="_Toc425602211"/>
      <w:bookmarkStart w:id="4" w:name="_Toc425847593"/>
      <w:r>
        <w:lastRenderedPageBreak/>
        <w:t>Opportunity for further comment</w:t>
      </w:r>
      <w:bookmarkEnd w:id="3"/>
      <w:bookmarkEnd w:id="4"/>
    </w:p>
    <w:p w14:paraId="74C7B1DF" w14:textId="796F9BF7" w:rsidR="00E631D2" w:rsidRDefault="00E631D2">
      <w:pPr>
        <w:pStyle w:val="BodyText"/>
      </w:pPr>
      <w:r>
        <w:t xml:space="preserve">You are invited to examine this draft </w:t>
      </w:r>
      <w:r w:rsidR="00974E43">
        <w:t xml:space="preserve">and comment on it by written submission to the Productivity Commission, preferably in electronic format, by </w:t>
      </w:r>
      <w:r w:rsidR="00974E43" w:rsidRPr="00796AA8">
        <w:rPr>
          <w:b/>
        </w:rPr>
        <w:t>18 September 2015</w:t>
      </w:r>
      <w:r w:rsidR="00974E43">
        <w:t>. Further information on how to provide a submission is included on the inquiry website http://</w:t>
      </w:r>
      <w:proofErr w:type="spellStart"/>
      <w:r w:rsidR="00974E43">
        <w:t>www.pc.gov.au</w:t>
      </w:r>
      <w:proofErr w:type="spellEnd"/>
      <w:r w:rsidR="00974E43">
        <w:t>/inquiries/current/workplace-relations.</w:t>
      </w:r>
    </w:p>
    <w:p w14:paraId="2BFF9C7E" w14:textId="42F37390" w:rsidR="00E631D2" w:rsidRDefault="00E631D2">
      <w:pPr>
        <w:pStyle w:val="BodyText"/>
      </w:pPr>
      <w:r>
        <w:t>The final report will be prepared after further submissions have been received</w:t>
      </w:r>
      <w:r w:rsidR="00974E43">
        <w:t xml:space="preserve"> and public hearings have been held, and will be forwarded to the Australian Government by the end of November 2015.</w:t>
      </w:r>
    </w:p>
    <w:p w14:paraId="08235795" w14:textId="77777777" w:rsidR="00E631D2" w:rsidRPr="007151C7" w:rsidRDefault="00E631D2" w:rsidP="00524704">
      <w:pPr>
        <w:pStyle w:val="Heading3"/>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43"/>
        <w:gridCol w:w="3402"/>
        <w:gridCol w:w="3544"/>
      </w:tblGrid>
      <w:tr w:rsidR="00E631D2" w:rsidRPr="002E1C30" w14:paraId="739807E8" w14:textId="77777777" w:rsidTr="0071198C">
        <w:trPr>
          <w:tblHeader/>
        </w:trPr>
        <w:tc>
          <w:tcPr>
            <w:tcW w:w="1843" w:type="dxa"/>
            <w:tcBorders>
              <w:top w:val="single" w:sz="4" w:space="0" w:color="78A22F"/>
              <w:bottom w:val="single" w:sz="4" w:space="0" w:color="78A22F"/>
            </w:tcBorders>
            <w:tcMar>
              <w:left w:w="0" w:type="dxa"/>
              <w:right w:w="0" w:type="dxa"/>
            </w:tcMar>
            <w:vAlign w:val="center"/>
          </w:tcPr>
          <w:p w14:paraId="4EE39F62"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3402" w:type="dxa"/>
            <w:tcBorders>
              <w:top w:val="single" w:sz="4" w:space="0" w:color="78A22F"/>
              <w:bottom w:val="single" w:sz="4" w:space="0" w:color="78A22F"/>
            </w:tcBorders>
            <w:vAlign w:val="center"/>
          </w:tcPr>
          <w:p w14:paraId="0D664B8B"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544" w:type="dxa"/>
            <w:tcBorders>
              <w:top w:val="single" w:sz="4" w:space="0" w:color="78A22F"/>
              <w:bottom w:val="single" w:sz="4" w:space="0" w:color="78A22F"/>
            </w:tcBorders>
            <w:vAlign w:val="center"/>
          </w:tcPr>
          <w:p w14:paraId="286CDE47"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E631D2" w14:paraId="49CE69EB" w14:textId="77777777" w:rsidTr="00524704">
        <w:tc>
          <w:tcPr>
            <w:tcW w:w="1843" w:type="dxa"/>
            <w:tcBorders>
              <w:top w:val="single" w:sz="4" w:space="0" w:color="78A22F"/>
            </w:tcBorders>
            <w:shd w:val="clear" w:color="auto" w:fill="F2F2F2" w:themeFill="background1" w:themeFillShade="F2"/>
            <w:tcMar>
              <w:left w:w="0" w:type="dxa"/>
              <w:right w:w="0" w:type="dxa"/>
            </w:tcMar>
          </w:tcPr>
          <w:p w14:paraId="2A743F60" w14:textId="77777777" w:rsidR="00E631D2" w:rsidRDefault="00E631D2" w:rsidP="00C302A3">
            <w:pPr>
              <w:pStyle w:val="TableBodyText"/>
              <w:spacing w:before="80"/>
              <w:jc w:val="left"/>
            </w:pPr>
            <w:r>
              <w:t>Bendigo, VIC</w:t>
            </w:r>
          </w:p>
        </w:tc>
        <w:tc>
          <w:tcPr>
            <w:tcW w:w="3402" w:type="dxa"/>
            <w:tcBorders>
              <w:top w:val="single" w:sz="4" w:space="0" w:color="78A22F"/>
            </w:tcBorders>
            <w:shd w:val="clear" w:color="auto" w:fill="F2F2F2" w:themeFill="background1" w:themeFillShade="F2"/>
          </w:tcPr>
          <w:p w14:paraId="48B01586" w14:textId="77777777" w:rsidR="00E631D2" w:rsidRDefault="00E631D2" w:rsidP="0029472E">
            <w:pPr>
              <w:pStyle w:val="TableBodyText"/>
              <w:spacing w:before="80"/>
              <w:jc w:val="left"/>
            </w:pPr>
            <w:r>
              <w:t>Friday 4 September 2015</w:t>
            </w:r>
          </w:p>
        </w:tc>
        <w:tc>
          <w:tcPr>
            <w:tcW w:w="3544" w:type="dxa"/>
            <w:tcBorders>
              <w:top w:val="single" w:sz="4" w:space="0" w:color="78A22F"/>
            </w:tcBorders>
            <w:shd w:val="clear" w:color="auto" w:fill="F2F2F2" w:themeFill="background1" w:themeFillShade="F2"/>
          </w:tcPr>
          <w:p w14:paraId="51AF3699" w14:textId="24A0521C" w:rsidR="00D648DF" w:rsidRDefault="00D648DF" w:rsidP="0029472E">
            <w:pPr>
              <w:pStyle w:val="TableBodyText"/>
              <w:spacing w:before="80" w:after="240"/>
              <w:jc w:val="left"/>
            </w:pPr>
            <w:proofErr w:type="spellStart"/>
            <w:r>
              <w:t>TBC</w:t>
            </w:r>
            <w:proofErr w:type="spellEnd"/>
          </w:p>
        </w:tc>
      </w:tr>
      <w:tr w:rsidR="00E631D2" w14:paraId="2D5E9902" w14:textId="77777777" w:rsidTr="00524704">
        <w:tc>
          <w:tcPr>
            <w:tcW w:w="1843" w:type="dxa"/>
            <w:tcMar>
              <w:left w:w="0" w:type="dxa"/>
              <w:right w:w="0" w:type="dxa"/>
            </w:tcMar>
          </w:tcPr>
          <w:p w14:paraId="0EC22A26" w14:textId="77777777" w:rsidR="00E631D2" w:rsidRDefault="00E631D2" w:rsidP="002C6E62">
            <w:pPr>
              <w:pStyle w:val="TableBodyText"/>
              <w:jc w:val="left"/>
            </w:pPr>
            <w:r>
              <w:t>Hobart, TAS</w:t>
            </w:r>
          </w:p>
        </w:tc>
        <w:tc>
          <w:tcPr>
            <w:tcW w:w="3402" w:type="dxa"/>
          </w:tcPr>
          <w:p w14:paraId="49D7BC1C" w14:textId="77777777" w:rsidR="00E631D2" w:rsidRDefault="00E631D2" w:rsidP="0029472E">
            <w:pPr>
              <w:pStyle w:val="TableBodyText"/>
              <w:jc w:val="left"/>
            </w:pPr>
            <w:r>
              <w:t>Monday 7 September 2015</w:t>
            </w:r>
          </w:p>
        </w:tc>
        <w:tc>
          <w:tcPr>
            <w:tcW w:w="3544" w:type="dxa"/>
          </w:tcPr>
          <w:p w14:paraId="7DD60A02" w14:textId="77777777" w:rsidR="00E631D2" w:rsidRDefault="00E631D2" w:rsidP="0029472E">
            <w:pPr>
              <w:pStyle w:val="TableBodyText"/>
              <w:jc w:val="left"/>
            </w:pPr>
            <w:r>
              <w:t xml:space="preserve">The Old </w:t>
            </w:r>
            <w:proofErr w:type="spellStart"/>
            <w:r>
              <w:t>Woolstore</w:t>
            </w:r>
            <w:proofErr w:type="spellEnd"/>
          </w:p>
          <w:p w14:paraId="174AD874" w14:textId="77777777" w:rsidR="00E631D2" w:rsidRDefault="00E631D2" w:rsidP="0029472E">
            <w:pPr>
              <w:pStyle w:val="TableBodyText"/>
              <w:jc w:val="left"/>
            </w:pPr>
            <w:r>
              <w:t>1 Macquarie Street</w:t>
            </w:r>
          </w:p>
        </w:tc>
      </w:tr>
      <w:tr w:rsidR="00E631D2" w14:paraId="7C875426" w14:textId="77777777" w:rsidTr="00524704">
        <w:tc>
          <w:tcPr>
            <w:tcW w:w="1843" w:type="dxa"/>
            <w:shd w:val="clear" w:color="auto" w:fill="F2F2F2" w:themeFill="background1" w:themeFillShade="F2"/>
            <w:tcMar>
              <w:left w:w="0" w:type="dxa"/>
              <w:right w:w="0" w:type="dxa"/>
            </w:tcMar>
          </w:tcPr>
          <w:p w14:paraId="2120A46A" w14:textId="77777777" w:rsidR="00E631D2" w:rsidRDefault="00E631D2" w:rsidP="002C6E62">
            <w:pPr>
              <w:pStyle w:val="TableBodyText"/>
              <w:jc w:val="left"/>
            </w:pPr>
            <w:r>
              <w:t>Melbourne, VIC</w:t>
            </w:r>
          </w:p>
        </w:tc>
        <w:tc>
          <w:tcPr>
            <w:tcW w:w="3402" w:type="dxa"/>
            <w:shd w:val="clear" w:color="auto" w:fill="F2F2F2" w:themeFill="background1" w:themeFillShade="F2"/>
          </w:tcPr>
          <w:p w14:paraId="7C50434E" w14:textId="77777777" w:rsidR="00E631D2" w:rsidRDefault="00E631D2" w:rsidP="0029472E">
            <w:pPr>
              <w:pStyle w:val="TableBodyText"/>
              <w:jc w:val="left"/>
            </w:pPr>
            <w:r>
              <w:t>Tuesday 8 September 2015</w:t>
            </w:r>
          </w:p>
        </w:tc>
        <w:tc>
          <w:tcPr>
            <w:tcW w:w="3544" w:type="dxa"/>
            <w:shd w:val="clear" w:color="auto" w:fill="F2F2F2" w:themeFill="background1" w:themeFillShade="F2"/>
          </w:tcPr>
          <w:p w14:paraId="2E330E82" w14:textId="77777777" w:rsidR="00E631D2" w:rsidRDefault="00E631D2" w:rsidP="0029472E">
            <w:pPr>
              <w:pStyle w:val="TableBodyText"/>
              <w:jc w:val="left"/>
            </w:pPr>
            <w:r>
              <w:t>Rattigan Room</w:t>
            </w:r>
          </w:p>
          <w:p w14:paraId="77C05EC6" w14:textId="77777777" w:rsidR="00E631D2" w:rsidRDefault="00E631D2" w:rsidP="0029472E">
            <w:pPr>
              <w:pStyle w:val="TableBodyText"/>
              <w:jc w:val="left"/>
            </w:pPr>
            <w:r>
              <w:t>Productivity Commission</w:t>
            </w:r>
          </w:p>
          <w:p w14:paraId="2A00D20F" w14:textId="77777777" w:rsidR="00E631D2" w:rsidRDefault="00E631D2" w:rsidP="0029472E">
            <w:pPr>
              <w:pStyle w:val="TableBodyText"/>
              <w:jc w:val="left"/>
            </w:pPr>
            <w:r>
              <w:t>Level 12, 530 Collins Street</w:t>
            </w:r>
          </w:p>
        </w:tc>
      </w:tr>
      <w:tr w:rsidR="00E631D2" w14:paraId="48168B79" w14:textId="77777777" w:rsidTr="00524704">
        <w:tc>
          <w:tcPr>
            <w:tcW w:w="1843" w:type="dxa"/>
            <w:tcMar>
              <w:left w:w="0" w:type="dxa"/>
              <w:right w:w="0" w:type="dxa"/>
            </w:tcMar>
          </w:tcPr>
          <w:p w14:paraId="6EB439AD" w14:textId="77777777" w:rsidR="00E631D2" w:rsidRDefault="00E631D2" w:rsidP="002C6E62">
            <w:pPr>
              <w:pStyle w:val="TableBodyText"/>
              <w:jc w:val="left"/>
            </w:pPr>
            <w:r>
              <w:t>Canberra, ACT</w:t>
            </w:r>
          </w:p>
        </w:tc>
        <w:tc>
          <w:tcPr>
            <w:tcW w:w="3402" w:type="dxa"/>
          </w:tcPr>
          <w:p w14:paraId="13159611" w14:textId="77777777" w:rsidR="00E631D2" w:rsidRDefault="00E631D2" w:rsidP="0029472E">
            <w:pPr>
              <w:pStyle w:val="TableBodyText"/>
              <w:jc w:val="left"/>
            </w:pPr>
            <w:r>
              <w:t>Friday 11 September 2015</w:t>
            </w:r>
          </w:p>
        </w:tc>
        <w:tc>
          <w:tcPr>
            <w:tcW w:w="3544" w:type="dxa"/>
          </w:tcPr>
          <w:p w14:paraId="3E2AB329" w14:textId="77777777" w:rsidR="00E631D2" w:rsidRDefault="00E631D2" w:rsidP="0029472E">
            <w:pPr>
              <w:pStyle w:val="TableBodyText"/>
              <w:jc w:val="left"/>
            </w:pPr>
            <w:r>
              <w:t>Hearing Room</w:t>
            </w:r>
          </w:p>
          <w:p w14:paraId="07281373" w14:textId="77777777" w:rsidR="00E631D2" w:rsidRDefault="00E631D2" w:rsidP="0029472E">
            <w:pPr>
              <w:pStyle w:val="TableBodyText"/>
              <w:jc w:val="left"/>
            </w:pPr>
            <w:r>
              <w:t>Productivity Commission</w:t>
            </w:r>
          </w:p>
          <w:p w14:paraId="277ED74E" w14:textId="77777777" w:rsidR="00E631D2" w:rsidRDefault="00E631D2" w:rsidP="0029472E">
            <w:pPr>
              <w:pStyle w:val="TableBodyText"/>
              <w:jc w:val="left"/>
            </w:pPr>
            <w:r>
              <w:t>Level 2, 15 Moore Street</w:t>
            </w:r>
          </w:p>
        </w:tc>
      </w:tr>
      <w:tr w:rsidR="00E631D2" w14:paraId="5FD144A9" w14:textId="77777777" w:rsidTr="00524704">
        <w:tc>
          <w:tcPr>
            <w:tcW w:w="1843" w:type="dxa"/>
            <w:shd w:val="clear" w:color="auto" w:fill="F2F2F2" w:themeFill="background1" w:themeFillShade="F2"/>
            <w:tcMar>
              <w:left w:w="0" w:type="dxa"/>
              <w:right w:w="0" w:type="dxa"/>
            </w:tcMar>
          </w:tcPr>
          <w:p w14:paraId="23F18D61" w14:textId="77777777" w:rsidR="00E631D2" w:rsidRDefault="00E631D2" w:rsidP="002C6E62">
            <w:pPr>
              <w:pStyle w:val="TableBodyText"/>
              <w:jc w:val="left"/>
            </w:pPr>
            <w:r>
              <w:t>Perth, WA</w:t>
            </w:r>
          </w:p>
        </w:tc>
        <w:tc>
          <w:tcPr>
            <w:tcW w:w="3402" w:type="dxa"/>
            <w:shd w:val="clear" w:color="auto" w:fill="F2F2F2" w:themeFill="background1" w:themeFillShade="F2"/>
          </w:tcPr>
          <w:p w14:paraId="04C995B6" w14:textId="77777777" w:rsidR="00E631D2" w:rsidRDefault="00E631D2" w:rsidP="0029472E">
            <w:pPr>
              <w:pStyle w:val="TableBodyText"/>
              <w:jc w:val="left"/>
            </w:pPr>
            <w:r>
              <w:t>Monday 14 September 2015</w:t>
            </w:r>
          </w:p>
        </w:tc>
        <w:tc>
          <w:tcPr>
            <w:tcW w:w="3544" w:type="dxa"/>
            <w:shd w:val="clear" w:color="auto" w:fill="F2F2F2" w:themeFill="background1" w:themeFillShade="F2"/>
          </w:tcPr>
          <w:p w14:paraId="29E5B3DF" w14:textId="77777777" w:rsidR="00E631D2" w:rsidRDefault="00E631D2" w:rsidP="0029472E">
            <w:pPr>
              <w:pStyle w:val="TableBodyText"/>
              <w:jc w:val="left"/>
            </w:pPr>
            <w:r>
              <w:t xml:space="preserve">Hotel </w:t>
            </w:r>
            <w:proofErr w:type="spellStart"/>
            <w:r>
              <w:t>Mercure</w:t>
            </w:r>
            <w:proofErr w:type="spellEnd"/>
            <w:r>
              <w:t xml:space="preserve"> Perth</w:t>
            </w:r>
          </w:p>
          <w:p w14:paraId="6C3246C1" w14:textId="77777777" w:rsidR="00E631D2" w:rsidRDefault="00E631D2" w:rsidP="0029472E">
            <w:pPr>
              <w:pStyle w:val="TableBodyText"/>
              <w:jc w:val="left"/>
            </w:pPr>
            <w:r>
              <w:t>10 Irwin Street</w:t>
            </w:r>
          </w:p>
        </w:tc>
      </w:tr>
      <w:tr w:rsidR="00E631D2" w14:paraId="264EBD85" w14:textId="77777777" w:rsidTr="00D648DF">
        <w:tc>
          <w:tcPr>
            <w:tcW w:w="1843" w:type="dxa"/>
            <w:tcMar>
              <w:left w:w="0" w:type="dxa"/>
              <w:right w:w="0" w:type="dxa"/>
            </w:tcMar>
          </w:tcPr>
          <w:p w14:paraId="7A43EC78" w14:textId="77777777" w:rsidR="00E631D2" w:rsidRDefault="00E631D2" w:rsidP="002C6E62">
            <w:pPr>
              <w:pStyle w:val="TableBodyText"/>
              <w:jc w:val="left"/>
            </w:pPr>
            <w:r>
              <w:t>Adelaide, SA</w:t>
            </w:r>
          </w:p>
        </w:tc>
        <w:tc>
          <w:tcPr>
            <w:tcW w:w="3402" w:type="dxa"/>
          </w:tcPr>
          <w:p w14:paraId="1AD3B913" w14:textId="77777777" w:rsidR="00E631D2" w:rsidRDefault="00E631D2" w:rsidP="0029472E">
            <w:pPr>
              <w:pStyle w:val="TableBodyText"/>
              <w:jc w:val="left"/>
            </w:pPr>
            <w:r>
              <w:t>Tuesday 15 September 2015</w:t>
            </w:r>
          </w:p>
        </w:tc>
        <w:tc>
          <w:tcPr>
            <w:tcW w:w="3544" w:type="dxa"/>
          </w:tcPr>
          <w:p w14:paraId="24A28030" w14:textId="77777777" w:rsidR="00D648DF" w:rsidRDefault="00D648DF" w:rsidP="0029472E">
            <w:pPr>
              <w:pStyle w:val="TableBodyText"/>
              <w:jc w:val="left"/>
            </w:pPr>
            <w:r>
              <w:t>Stamford Plaza Adelaide</w:t>
            </w:r>
          </w:p>
          <w:p w14:paraId="091C8609" w14:textId="77777777" w:rsidR="00D648DF" w:rsidRDefault="00D648DF" w:rsidP="0029472E">
            <w:pPr>
              <w:pStyle w:val="TableBodyText"/>
              <w:jc w:val="left"/>
            </w:pPr>
            <w:r>
              <w:t>150 North Terrace</w:t>
            </w:r>
          </w:p>
        </w:tc>
      </w:tr>
      <w:tr w:rsidR="00D648DF" w14:paraId="64793A9C" w14:textId="77777777" w:rsidTr="0071198C">
        <w:tc>
          <w:tcPr>
            <w:tcW w:w="1843" w:type="dxa"/>
            <w:shd w:val="clear" w:color="auto" w:fill="F2F2F2" w:themeFill="background1" w:themeFillShade="F2"/>
            <w:tcMar>
              <w:left w:w="0" w:type="dxa"/>
              <w:right w:w="0" w:type="dxa"/>
            </w:tcMar>
          </w:tcPr>
          <w:p w14:paraId="35C95E46" w14:textId="77777777" w:rsidR="00D648DF" w:rsidRDefault="00D648DF" w:rsidP="002C6E62">
            <w:pPr>
              <w:pStyle w:val="TableBodyText"/>
              <w:jc w:val="left"/>
            </w:pPr>
            <w:r>
              <w:t>Sydney, NSW</w:t>
            </w:r>
          </w:p>
        </w:tc>
        <w:tc>
          <w:tcPr>
            <w:tcW w:w="3402" w:type="dxa"/>
            <w:shd w:val="clear" w:color="auto" w:fill="F2F2F2" w:themeFill="background1" w:themeFillShade="F2"/>
          </w:tcPr>
          <w:p w14:paraId="09327DCC" w14:textId="77777777" w:rsidR="00D648DF" w:rsidRDefault="00D648DF" w:rsidP="0029472E">
            <w:pPr>
              <w:pStyle w:val="TableBodyText"/>
              <w:jc w:val="left"/>
            </w:pPr>
            <w:r>
              <w:t>Thursday 17 September 2015</w:t>
            </w:r>
          </w:p>
        </w:tc>
        <w:tc>
          <w:tcPr>
            <w:tcW w:w="3544" w:type="dxa"/>
            <w:shd w:val="clear" w:color="auto" w:fill="F2F2F2" w:themeFill="background1" w:themeFillShade="F2"/>
          </w:tcPr>
          <w:p w14:paraId="285CBE49" w14:textId="77777777" w:rsidR="00D648DF" w:rsidRDefault="00D648DF" w:rsidP="0029472E">
            <w:pPr>
              <w:pStyle w:val="TableBodyText"/>
              <w:jc w:val="left"/>
            </w:pPr>
            <w:r>
              <w:t>The Grace Hotel</w:t>
            </w:r>
          </w:p>
          <w:p w14:paraId="08FCC75F" w14:textId="77777777" w:rsidR="00D648DF" w:rsidRDefault="00D648DF" w:rsidP="0029472E">
            <w:pPr>
              <w:pStyle w:val="TableBodyText"/>
              <w:jc w:val="left"/>
            </w:pPr>
            <w:r>
              <w:t>77 York Street</w:t>
            </w:r>
          </w:p>
        </w:tc>
      </w:tr>
      <w:tr w:rsidR="00D648DF" w14:paraId="55A09A2E" w14:textId="77777777" w:rsidTr="00524704">
        <w:tc>
          <w:tcPr>
            <w:tcW w:w="1843" w:type="dxa"/>
            <w:tcBorders>
              <w:bottom w:val="single" w:sz="4" w:space="0" w:color="78A22F"/>
            </w:tcBorders>
            <w:tcMar>
              <w:left w:w="0" w:type="dxa"/>
              <w:right w:w="0" w:type="dxa"/>
            </w:tcMar>
          </w:tcPr>
          <w:p w14:paraId="19CA6E3B" w14:textId="77777777" w:rsidR="00D648DF" w:rsidRDefault="00D648DF" w:rsidP="0029472E">
            <w:pPr>
              <w:pStyle w:val="TableBodyText"/>
              <w:spacing w:before="40" w:after="120"/>
              <w:jc w:val="left"/>
            </w:pPr>
            <w:r>
              <w:t>Ipswich, QLD</w:t>
            </w:r>
          </w:p>
        </w:tc>
        <w:tc>
          <w:tcPr>
            <w:tcW w:w="3402" w:type="dxa"/>
            <w:tcBorders>
              <w:bottom w:val="single" w:sz="4" w:space="0" w:color="78A22F"/>
            </w:tcBorders>
          </w:tcPr>
          <w:p w14:paraId="05F39512" w14:textId="77777777" w:rsidR="00D648DF" w:rsidRDefault="00D648DF" w:rsidP="0029472E">
            <w:pPr>
              <w:pStyle w:val="TableBodyText"/>
              <w:spacing w:before="40" w:after="120"/>
              <w:jc w:val="left"/>
            </w:pPr>
            <w:r>
              <w:t>Monday 21 September 2015</w:t>
            </w:r>
          </w:p>
        </w:tc>
        <w:tc>
          <w:tcPr>
            <w:tcW w:w="3544" w:type="dxa"/>
            <w:tcBorders>
              <w:bottom w:val="single" w:sz="4" w:space="0" w:color="78A22F"/>
            </w:tcBorders>
          </w:tcPr>
          <w:p w14:paraId="53E00EB2" w14:textId="20FF8AB3" w:rsidR="00D648DF" w:rsidRDefault="002F1E63" w:rsidP="0029472E">
            <w:pPr>
              <w:pStyle w:val="TableBodyText"/>
              <w:spacing w:before="40" w:after="120"/>
              <w:jc w:val="left"/>
            </w:pPr>
            <w:proofErr w:type="spellStart"/>
            <w:r>
              <w:t>TBC</w:t>
            </w:r>
            <w:proofErr w:type="spellEnd"/>
          </w:p>
        </w:tc>
      </w:tr>
    </w:tbl>
    <w:p w14:paraId="562494ED" w14:textId="3CBE0F89" w:rsidR="00E631D2" w:rsidRDefault="00974E43" w:rsidP="00974E43">
      <w:pPr>
        <w:pStyle w:val="Heading3"/>
        <w:spacing w:after="240"/>
      </w:pPr>
      <w:r>
        <w:t>Commissioners</w:t>
      </w:r>
    </w:p>
    <w:p w14:paraId="731D0E64" w14:textId="6EA18BB8" w:rsidR="00974E43" w:rsidRDefault="00974E43" w:rsidP="00524704">
      <w:pPr>
        <w:pStyle w:val="BodyText"/>
        <w:rPr>
          <w:lang w:eastAsia="en-US"/>
        </w:rPr>
      </w:pPr>
      <w:r>
        <w:rPr>
          <w:lang w:eastAsia="en-US"/>
        </w:rPr>
        <w:t xml:space="preserve">For the purposes of this inquiry and draft report, in accordance with section 40 of the </w:t>
      </w:r>
      <w:r w:rsidRPr="00974E43">
        <w:rPr>
          <w:i/>
          <w:lang w:eastAsia="en-US"/>
        </w:rPr>
        <w:t>Productivity Commission Act 1998</w:t>
      </w:r>
      <w:r>
        <w:rPr>
          <w:lang w:eastAsia="en-US"/>
        </w:rPr>
        <w:t xml:space="preserve"> the powers of the Productivity Commission have been exercised by:</w:t>
      </w:r>
    </w:p>
    <w:p w14:paraId="2880C20F" w14:textId="73DC2225" w:rsidR="00974E43" w:rsidRDefault="00974E43" w:rsidP="00974E43">
      <w:pPr>
        <w:pStyle w:val="BodyText"/>
        <w:spacing w:before="120" w:line="160" w:lineRule="atLeast"/>
        <w:rPr>
          <w:lang w:eastAsia="en-US"/>
        </w:rPr>
      </w:pPr>
      <w:r>
        <w:rPr>
          <w:lang w:eastAsia="en-US"/>
        </w:rPr>
        <w:t>Peter Harris</w:t>
      </w:r>
      <w:r>
        <w:rPr>
          <w:lang w:eastAsia="en-US"/>
        </w:rPr>
        <w:tab/>
        <w:t>Presiding Commissioner</w:t>
      </w:r>
    </w:p>
    <w:p w14:paraId="5472278E" w14:textId="58B74871" w:rsidR="00E631D2" w:rsidRPr="003C10D8" w:rsidRDefault="00974E43" w:rsidP="00974E43">
      <w:pPr>
        <w:pStyle w:val="BodyText"/>
        <w:spacing w:before="120" w:line="160" w:lineRule="atLeast"/>
        <w:rPr>
          <w:lang w:eastAsia="en-US"/>
        </w:rPr>
        <w:sectPr w:rsidR="00E631D2" w:rsidRPr="003C10D8" w:rsidSect="00524704">
          <w:headerReference w:type="even" r:id="rId22"/>
          <w:headerReference w:type="default" r:id="rId23"/>
          <w:footerReference w:type="even" r:id="rId24"/>
          <w:footerReference w:type="default" r:id="rId25"/>
          <w:headerReference w:type="first" r:id="rId26"/>
          <w:type w:val="oddPage"/>
          <w:pgSz w:w="11907" w:h="16840" w:code="9"/>
          <w:pgMar w:top="1985" w:right="1304" w:bottom="1191" w:left="1814" w:header="1701" w:footer="397" w:gutter="0"/>
          <w:pgNumType w:fmt="lowerRoman"/>
          <w:cols w:space="720"/>
        </w:sectPr>
      </w:pPr>
      <w:r>
        <w:rPr>
          <w:lang w:eastAsia="en-US"/>
        </w:rPr>
        <w:t>Patricia Scott</w:t>
      </w:r>
      <w:r>
        <w:rPr>
          <w:lang w:eastAsia="en-US"/>
        </w:rPr>
        <w:tab/>
        <w:t>Commissioner</w:t>
      </w:r>
    </w:p>
    <w:p w14:paraId="3A645C29" w14:textId="77777777" w:rsidR="00E631D2" w:rsidRDefault="00E631D2" w:rsidP="00524704">
      <w:pPr>
        <w:pStyle w:val="Heading1"/>
      </w:pPr>
      <w:bookmarkStart w:id="5" w:name="_Toc425602212"/>
      <w:bookmarkStart w:id="6" w:name="_Toc425847594"/>
      <w:r>
        <w:lastRenderedPageBreak/>
        <w:t>Terms of reference</w:t>
      </w:r>
      <w:bookmarkEnd w:id="5"/>
      <w:bookmarkEnd w:id="6"/>
    </w:p>
    <w:p w14:paraId="48065986" w14:textId="77777777" w:rsidR="00B84EA5" w:rsidRDefault="00B84EA5" w:rsidP="00B84EA5">
      <w:pPr>
        <w:pStyle w:val="BodyText"/>
        <w:jc w:val="center"/>
      </w:pPr>
      <w:r>
        <w:t>WORKPLACE RELATIONS FRAMEWORK</w:t>
      </w:r>
    </w:p>
    <w:p w14:paraId="36A539EE" w14:textId="77777777" w:rsidR="00B84EA5" w:rsidRPr="00B84EA5" w:rsidRDefault="00B84EA5" w:rsidP="00B84EA5">
      <w:pPr>
        <w:pStyle w:val="BodyText"/>
        <w:jc w:val="center"/>
        <w:rPr>
          <w:b/>
          <w:i/>
        </w:rPr>
      </w:pPr>
      <w:r w:rsidRPr="00B84EA5">
        <w:rPr>
          <w:b/>
          <w:i/>
        </w:rPr>
        <w:t>Productivity Commission Act 1998</w:t>
      </w:r>
    </w:p>
    <w:p w14:paraId="7BAC278A" w14:textId="77777777" w:rsidR="00B84EA5" w:rsidRDefault="00B84EA5" w:rsidP="00B84EA5">
      <w:pPr>
        <w:pStyle w:val="BodyText"/>
      </w:pPr>
      <w:r>
        <w:t xml:space="preserve">I, Joseph Benedict Hockey, Treasurer, pursuant to Parts 2 and 3 of the </w:t>
      </w:r>
      <w:r w:rsidRPr="00B84EA5">
        <w:rPr>
          <w:i/>
        </w:rPr>
        <w:t>Productivity Commission Act 1998</w:t>
      </w:r>
      <w:r>
        <w:t>, hereby request that the Productivity Commission undertake an inquiry into the workplace relations framework.</w:t>
      </w:r>
    </w:p>
    <w:p w14:paraId="1675CF4C" w14:textId="77777777" w:rsidR="00B84EA5" w:rsidRPr="00B84EA5" w:rsidRDefault="00B84EA5" w:rsidP="00B84EA5">
      <w:pPr>
        <w:pStyle w:val="BodyText"/>
        <w:rPr>
          <w:b/>
        </w:rPr>
      </w:pPr>
      <w:r w:rsidRPr="00B84EA5">
        <w:rPr>
          <w:b/>
        </w:rPr>
        <w:t>Background</w:t>
      </w:r>
    </w:p>
    <w:p w14:paraId="409E5B52" w14:textId="77777777" w:rsidR="00B84EA5" w:rsidRDefault="00B84EA5" w:rsidP="00B84EA5">
      <w:pPr>
        <w:pStyle w:val="BodyText"/>
      </w:pPr>
      <w:r>
        <w:t>The Australian Government believes that it is fundamentally important to make sure that the Fair Work laws work for everyone.</w:t>
      </w:r>
    </w:p>
    <w:p w14:paraId="162221EC" w14:textId="77777777" w:rsidR="00B84EA5" w:rsidRDefault="00B84EA5" w:rsidP="00B84EA5">
      <w:pPr>
        <w:pStyle w:val="BodyText"/>
      </w:pPr>
      <w: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367C1900" w14:textId="77777777" w:rsidR="00B84EA5" w:rsidRDefault="00B84EA5" w:rsidP="00B84EA5">
      <w:pPr>
        <w:pStyle w:val="BodyText"/>
      </w:pPr>
      <w: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51D7ECAA" w14:textId="77777777" w:rsidR="00B84EA5" w:rsidRPr="00B84EA5" w:rsidRDefault="00B84EA5" w:rsidP="00B84EA5">
      <w:pPr>
        <w:pStyle w:val="BodyText"/>
        <w:rPr>
          <w:b/>
        </w:rPr>
      </w:pPr>
      <w:r w:rsidRPr="00B84EA5">
        <w:rPr>
          <w:b/>
        </w:rPr>
        <w:t>Scope of the Inquiry</w:t>
      </w:r>
    </w:p>
    <w:p w14:paraId="639F2387" w14:textId="77777777" w:rsidR="00B84EA5" w:rsidRDefault="00B84EA5" w:rsidP="00B84EA5">
      <w:pPr>
        <w:pStyle w:val="BodyText"/>
      </w:pPr>
      <w:r>
        <w:t xml:space="preserve">The Productivity Commission will assess the performance of the workplace relations framework, including the </w:t>
      </w:r>
      <w:r w:rsidRPr="00B84EA5">
        <w:rPr>
          <w:i/>
        </w:rPr>
        <w:t>Fair Work Act 2009</w:t>
      </w:r>
      <w: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6B22CFDA" w14:textId="77777777" w:rsidR="00B84EA5" w:rsidRDefault="00B84EA5" w:rsidP="00B84EA5">
      <w:pPr>
        <w:pStyle w:val="BodyText"/>
      </w:pPr>
      <w:r>
        <w:t>In particular, the review will assess the impact of the workplace relations framework on matters including:</w:t>
      </w:r>
    </w:p>
    <w:p w14:paraId="318CC7EC" w14:textId="744609A5" w:rsidR="00B84EA5" w:rsidRDefault="00B84EA5" w:rsidP="00B84EA5">
      <w:pPr>
        <w:pStyle w:val="ListBullet"/>
      </w:pPr>
      <w:r>
        <w:t>unemployment, underemployment and job creation</w:t>
      </w:r>
    </w:p>
    <w:p w14:paraId="00DE679A" w14:textId="47220142" w:rsidR="00B84EA5" w:rsidRDefault="00B84EA5" w:rsidP="00B84EA5">
      <w:pPr>
        <w:pStyle w:val="ListBullet"/>
      </w:pPr>
      <w:r>
        <w:t>fair and equitable pay and conditions for employees, including the maintenance of a relevant safety net</w:t>
      </w:r>
    </w:p>
    <w:p w14:paraId="6F3941A1" w14:textId="063FF1DA" w:rsidR="00B84EA5" w:rsidRDefault="00B84EA5" w:rsidP="00B84EA5">
      <w:pPr>
        <w:pStyle w:val="ListBullet"/>
      </w:pPr>
      <w:r>
        <w:lastRenderedPageBreak/>
        <w:t>small businesses</w:t>
      </w:r>
    </w:p>
    <w:p w14:paraId="0297B0A9" w14:textId="21FEFF6F" w:rsidR="00B84EA5" w:rsidRDefault="00B84EA5" w:rsidP="00B84EA5">
      <w:pPr>
        <w:pStyle w:val="ListBullet"/>
      </w:pPr>
      <w:r>
        <w:t>productivity, competitiveness and business investment</w:t>
      </w:r>
    </w:p>
    <w:p w14:paraId="1060E2F1" w14:textId="08E128FC" w:rsidR="00B84EA5" w:rsidRDefault="00B84EA5" w:rsidP="00B84EA5">
      <w:pPr>
        <w:pStyle w:val="ListBullet"/>
      </w:pPr>
      <w:r>
        <w:t xml:space="preserve">the ability of business and the labour market to respond appropriately to changing economic conditions </w:t>
      </w:r>
    </w:p>
    <w:p w14:paraId="6FEEFD15" w14:textId="0848B93B" w:rsidR="00B84EA5" w:rsidRDefault="00B84EA5" w:rsidP="00B84EA5">
      <w:pPr>
        <w:pStyle w:val="ListBullet"/>
      </w:pPr>
      <w:r>
        <w:t>patterns of engagement in the labour market</w:t>
      </w:r>
    </w:p>
    <w:p w14:paraId="3E70150D" w14:textId="5D835B6F" w:rsidR="00B84EA5" w:rsidRDefault="00B84EA5" w:rsidP="00B84EA5">
      <w:pPr>
        <w:pStyle w:val="ListBullet"/>
      </w:pPr>
      <w:r>
        <w:t>the ability for employers to flexibly manage and engage with their employees</w:t>
      </w:r>
    </w:p>
    <w:p w14:paraId="6CE46850" w14:textId="24E9693C" w:rsidR="00B84EA5" w:rsidRDefault="00B84EA5" w:rsidP="00B84EA5">
      <w:pPr>
        <w:pStyle w:val="ListBullet"/>
      </w:pPr>
      <w:r>
        <w:t>barriers to bargaining</w:t>
      </w:r>
    </w:p>
    <w:p w14:paraId="1182C80A" w14:textId="541492E7" w:rsidR="00B84EA5" w:rsidRDefault="00B84EA5" w:rsidP="00B84EA5">
      <w:pPr>
        <w:pStyle w:val="ListBullet"/>
      </w:pPr>
      <w:r>
        <w:t>red tape and the compliance burden for employers</w:t>
      </w:r>
    </w:p>
    <w:p w14:paraId="6140EE97" w14:textId="2CBD1637" w:rsidR="00B84EA5" w:rsidRDefault="00B84EA5" w:rsidP="00B84EA5">
      <w:pPr>
        <w:pStyle w:val="ListBullet"/>
      </w:pPr>
      <w:r>
        <w:t>industrial conflict and days lost due to industrial action</w:t>
      </w:r>
    </w:p>
    <w:p w14:paraId="130DF139" w14:textId="331157B5" w:rsidR="00B84EA5" w:rsidRDefault="00B84EA5" w:rsidP="00B84EA5">
      <w:pPr>
        <w:pStyle w:val="ListBullet"/>
      </w:pPr>
      <w:r>
        <w:t>appropriate scope for independent contracting.</w:t>
      </w:r>
    </w:p>
    <w:p w14:paraId="18EBCD6F" w14:textId="09218442" w:rsidR="00B84EA5" w:rsidRDefault="00B84EA5" w:rsidP="00B84EA5">
      <w:pPr>
        <w:pStyle w:val="BodyText"/>
      </w:pPr>
      <w: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noBreakHyphen/>
        <w:t>operation and Development.</w:t>
      </w:r>
    </w:p>
    <w:p w14:paraId="2934D7DE" w14:textId="77777777" w:rsidR="00B84EA5" w:rsidRDefault="00B84EA5" w:rsidP="00B84EA5">
      <w:pPr>
        <w:pStyle w:val="BodyText"/>
      </w:pPr>
      <w:r>
        <w:t xml:space="preserve">The workplace relations framework encompasses the </w:t>
      </w:r>
      <w:r w:rsidRPr="00B84EA5">
        <w:rPr>
          <w:i/>
        </w:rPr>
        <w:t>Fair Work Act 2009</w:t>
      </w:r>
      <w:r>
        <w:t xml:space="preserve">, including the institutions and instruments that operate under the Act; and the </w:t>
      </w:r>
      <w:r w:rsidRPr="00B84EA5">
        <w:rPr>
          <w:i/>
        </w:rPr>
        <w:t>Independent Contractors Act 2006</w:t>
      </w:r>
      <w:r>
        <w:t>.</w:t>
      </w:r>
    </w:p>
    <w:p w14:paraId="6B4A307E" w14:textId="77777777" w:rsidR="00B84EA5" w:rsidRDefault="00B84EA5" w:rsidP="00B84EA5">
      <w:pPr>
        <w:pStyle w:val="BodyText"/>
      </w:pPr>
      <w: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1833519B" w14:textId="77777777" w:rsidR="00B84EA5" w:rsidRDefault="00B84EA5" w:rsidP="00B84EA5">
      <w:pPr>
        <w:pStyle w:val="BodyText"/>
      </w:pPr>
      <w:r>
        <w:t>The Productivity Commission will identify and quantify, as far as possible, the full costs and benefits of its recommendations.</w:t>
      </w:r>
    </w:p>
    <w:p w14:paraId="03CE5625" w14:textId="77777777" w:rsidR="00B84EA5" w:rsidRDefault="00B84EA5" w:rsidP="00B84EA5">
      <w:pPr>
        <w:pStyle w:val="BodyText"/>
      </w:pPr>
      <w:r>
        <w:t xml:space="preserve">An overarching principle for any recommendations should be the need to ensure a framework to serve the country in the long term, given the level of legislative change in this area in recent years. </w:t>
      </w:r>
    </w:p>
    <w:p w14:paraId="1DCB6AB6" w14:textId="77777777" w:rsidR="00B84EA5" w:rsidRDefault="00B84EA5" w:rsidP="00B84EA5">
      <w:pPr>
        <w:pStyle w:val="BodyText"/>
      </w:pPr>
      <w:r>
        <w:t>In conducting the review, the Productivity Commission will draw on the full spectrum of evidence sources including, but not limited to:</w:t>
      </w:r>
    </w:p>
    <w:p w14:paraId="1FC99479" w14:textId="375D528C" w:rsidR="00B84EA5" w:rsidRDefault="00B84EA5" w:rsidP="00B84EA5">
      <w:pPr>
        <w:pStyle w:val="ListBullet"/>
      </w:pPr>
      <w:r>
        <w:t>Australian Bureau of Statistics data and publications</w:t>
      </w:r>
    </w:p>
    <w:p w14:paraId="13519CF5" w14:textId="043DF2CB" w:rsidR="00B84EA5" w:rsidRDefault="00B84EA5" w:rsidP="00B84EA5">
      <w:pPr>
        <w:pStyle w:val="ListBullet"/>
      </w:pPr>
      <w:r>
        <w:t xml:space="preserve">data sources maintained by other relevant Government bodies, including but not limited to the Department of Employment, Fair Work Commission and Fair Work Ombudsman </w:t>
      </w:r>
    </w:p>
    <w:p w14:paraId="3CFF22EB" w14:textId="00500E3E" w:rsidR="00B84EA5" w:rsidRDefault="00B84EA5" w:rsidP="00B84EA5">
      <w:pPr>
        <w:pStyle w:val="ListBullet"/>
      </w:pPr>
      <w:r>
        <w:t>employers or their representatives</w:t>
      </w:r>
    </w:p>
    <w:p w14:paraId="22EB68E4" w14:textId="01734FBA" w:rsidR="00B84EA5" w:rsidRDefault="00B84EA5" w:rsidP="00B84EA5">
      <w:pPr>
        <w:pStyle w:val="ListBullet"/>
      </w:pPr>
      <w:r>
        <w:t xml:space="preserve">employees or their representatives </w:t>
      </w:r>
    </w:p>
    <w:p w14:paraId="3C23AC4C" w14:textId="36E63822" w:rsidR="00B84EA5" w:rsidRDefault="00B84EA5" w:rsidP="00B84EA5">
      <w:pPr>
        <w:pStyle w:val="ListBullet"/>
      </w:pPr>
      <w:r>
        <w:lastRenderedPageBreak/>
        <w:t>academia</w:t>
      </w:r>
    </w:p>
    <w:p w14:paraId="3F95C5A9" w14:textId="70F315C2" w:rsidR="00B84EA5" w:rsidRDefault="00B84EA5" w:rsidP="00B84EA5">
      <w:pPr>
        <w:pStyle w:val="ListBullet"/>
      </w:pPr>
      <w:r>
        <w:t>special interest groups.</w:t>
      </w:r>
    </w:p>
    <w:p w14:paraId="6FCCCD5E" w14:textId="77777777" w:rsidR="00B84EA5" w:rsidRDefault="00B84EA5" w:rsidP="00B84EA5">
      <w:pPr>
        <w:pStyle w:val="BodyText"/>
      </w:pPr>
      <w:r>
        <w:t xml:space="preserve">The review should also identify gaps in the evidence base where further collection may assist in the analysis of the overall performance and impact of the system. </w:t>
      </w:r>
    </w:p>
    <w:p w14:paraId="1EEF7B59" w14:textId="77777777" w:rsidR="00B84EA5" w:rsidRPr="00796AA8" w:rsidRDefault="00B84EA5" w:rsidP="00B84EA5">
      <w:pPr>
        <w:pStyle w:val="BodyText"/>
        <w:rPr>
          <w:b/>
        </w:rPr>
      </w:pPr>
      <w:r w:rsidRPr="00796AA8">
        <w:rPr>
          <w:b/>
        </w:rPr>
        <w:t>Process</w:t>
      </w:r>
    </w:p>
    <w:p w14:paraId="645BC3E5" w14:textId="77777777" w:rsidR="00B84EA5" w:rsidRDefault="00B84EA5" w:rsidP="00B84EA5">
      <w:pPr>
        <w:pStyle w:val="BodyText"/>
      </w:pPr>
      <w:r>
        <w:t xml:space="preserve">The Commission is to undertake an appropriate public consultation process including holding hearings, inviting public submissions and releasing a draft report to the public. </w:t>
      </w:r>
    </w:p>
    <w:p w14:paraId="2F771BBB" w14:textId="77777777" w:rsidR="00B84EA5" w:rsidRDefault="00B84EA5" w:rsidP="00B84EA5">
      <w:pPr>
        <w:pStyle w:val="BodyText"/>
      </w:pPr>
      <w:r>
        <w:t>The final report should be provided to the Government in November 2015.</w:t>
      </w:r>
    </w:p>
    <w:p w14:paraId="34EDFB4E" w14:textId="77777777" w:rsidR="00B84EA5" w:rsidRDefault="00B84EA5" w:rsidP="00C302A3">
      <w:pPr>
        <w:pStyle w:val="BodyText"/>
        <w:spacing w:before="840"/>
      </w:pPr>
      <w:r>
        <w:t>J. B. HOCKEY</w:t>
      </w:r>
    </w:p>
    <w:p w14:paraId="28CEBECC" w14:textId="77777777" w:rsidR="00B84EA5" w:rsidRDefault="00B84EA5" w:rsidP="00B84EA5">
      <w:pPr>
        <w:pStyle w:val="BodyText"/>
      </w:pPr>
      <w:r>
        <w:t>Treasurer</w:t>
      </w:r>
    </w:p>
    <w:p w14:paraId="174FA445" w14:textId="1E7A5B53" w:rsidR="00E631D2" w:rsidRDefault="00B84EA5" w:rsidP="00B84EA5">
      <w:pPr>
        <w:pStyle w:val="BodyText"/>
      </w:pPr>
      <w:r>
        <w:t>[Received 19 December 2014]</w:t>
      </w:r>
    </w:p>
    <w:p w14:paraId="655DAF53" w14:textId="77777777" w:rsidR="00E631D2" w:rsidRDefault="00E631D2" w:rsidP="00524704">
      <w:pPr>
        <w:pStyle w:val="BodyText"/>
        <w:sectPr w:rsidR="00E631D2" w:rsidSect="00524704">
          <w:headerReference w:type="even" r:id="rId27"/>
          <w:headerReference w:type="default" r:id="rId28"/>
          <w:footerReference w:type="even" r:id="rId29"/>
          <w:footerReference w:type="default" r:id="rId30"/>
          <w:headerReference w:type="first" r:id="rId31"/>
          <w:pgSz w:w="11907" w:h="16840" w:code="9"/>
          <w:pgMar w:top="1985" w:right="1304" w:bottom="1247" w:left="1814" w:header="1701" w:footer="397" w:gutter="0"/>
          <w:pgNumType w:fmt="lowerRoman"/>
          <w:cols w:space="720"/>
        </w:sectPr>
      </w:pPr>
    </w:p>
    <w:p w14:paraId="50BAA4B1" w14:textId="6B94444E" w:rsidR="00C262A6" w:rsidRDefault="00735FEA" w:rsidP="008206EE">
      <w:pPr>
        <w:pStyle w:val="Heading1NotTOC"/>
        <w:rPr>
          <w:noProof/>
        </w:rPr>
      </w:pPr>
      <w:bookmarkStart w:id="7" w:name="Contents"/>
      <w:bookmarkEnd w:id="7"/>
      <w:r w:rsidRPr="00B153C3">
        <w:lastRenderedPageBreak/>
        <w:t>Contents</w:t>
      </w:r>
      <w:bookmarkStart w:id="8" w:name="InsertContents"/>
      <w:bookmarkEnd w:id="8"/>
    </w:p>
    <w:p w14:paraId="234CF99D" w14:textId="7CF066D9" w:rsidR="00C262A6" w:rsidRDefault="00C262A6">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5B10B14F" w14:textId="638B2C6B" w:rsidR="00C262A6" w:rsidRDefault="00C262A6">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2A6F0329" w14:textId="57B78076" w:rsidR="00C262A6" w:rsidRDefault="00C262A6">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xiii</w:t>
      </w:r>
    </w:p>
    <w:p w14:paraId="7FD8FF1A" w14:textId="77777777" w:rsidR="00C262A6" w:rsidRDefault="00C262A6">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E70364F" w14:textId="77777777" w:rsidR="00C262A6" w:rsidRDefault="00C262A6">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45</w:t>
      </w:r>
    </w:p>
    <w:p w14:paraId="71E038F5" w14:textId="77777777" w:rsidR="00C262A6" w:rsidRDefault="00C262A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63</w:t>
      </w:r>
    </w:p>
    <w:p w14:paraId="41F5FB0D" w14:textId="77777777" w:rsidR="00C262A6" w:rsidRPr="00C262A6" w:rsidRDefault="00C262A6" w:rsidP="00C262A6">
      <w:pPr>
        <w:pStyle w:val="TOC2"/>
        <w:tabs>
          <w:tab w:val="left" w:pos="1320"/>
        </w:tabs>
        <w:ind w:left="1276" w:hanging="709"/>
        <w:rPr>
          <w:noProof/>
        </w:rPr>
      </w:pPr>
      <w:r>
        <w:rPr>
          <w:noProof/>
        </w:rPr>
        <w:t>1.1</w:t>
      </w:r>
      <w:r w:rsidRPr="00C262A6">
        <w:rPr>
          <w:noProof/>
        </w:rPr>
        <w:tab/>
      </w:r>
      <w:r>
        <w:rPr>
          <w:noProof/>
        </w:rPr>
        <w:t>The inquiry terms of reference</w:t>
      </w:r>
      <w:r>
        <w:rPr>
          <w:noProof/>
        </w:rPr>
        <w:tab/>
        <w:t>64</w:t>
      </w:r>
    </w:p>
    <w:p w14:paraId="14ACF8B8" w14:textId="77777777" w:rsidR="00C262A6" w:rsidRPr="00C262A6" w:rsidRDefault="00C262A6" w:rsidP="00C262A6">
      <w:pPr>
        <w:pStyle w:val="TOC2"/>
        <w:tabs>
          <w:tab w:val="left" w:pos="1320"/>
        </w:tabs>
        <w:ind w:left="1276" w:hanging="709"/>
        <w:rPr>
          <w:noProof/>
        </w:rPr>
      </w:pPr>
      <w:r>
        <w:rPr>
          <w:noProof/>
        </w:rPr>
        <w:t>1.2</w:t>
      </w:r>
      <w:r w:rsidRPr="00C262A6">
        <w:rPr>
          <w:noProof/>
        </w:rPr>
        <w:tab/>
      </w:r>
      <w:r>
        <w:rPr>
          <w:noProof/>
        </w:rPr>
        <w:t>Australia’s workplace relation system</w:t>
      </w:r>
      <w:r>
        <w:rPr>
          <w:noProof/>
        </w:rPr>
        <w:tab/>
        <w:t>67</w:t>
      </w:r>
    </w:p>
    <w:p w14:paraId="4ACE59E6" w14:textId="77777777" w:rsidR="00C262A6" w:rsidRPr="00C262A6" w:rsidRDefault="00C262A6" w:rsidP="00C262A6">
      <w:pPr>
        <w:pStyle w:val="TOC2"/>
        <w:tabs>
          <w:tab w:val="left" w:pos="1320"/>
        </w:tabs>
        <w:ind w:left="1276" w:hanging="709"/>
        <w:rPr>
          <w:noProof/>
        </w:rPr>
      </w:pPr>
      <w:r>
        <w:rPr>
          <w:noProof/>
        </w:rPr>
        <w:t>1.3</w:t>
      </w:r>
      <w:r w:rsidRPr="00C262A6">
        <w:rPr>
          <w:noProof/>
        </w:rPr>
        <w:tab/>
      </w:r>
      <w:r>
        <w:rPr>
          <w:noProof/>
        </w:rPr>
        <w:t>The past and the future cannot be ignored</w:t>
      </w:r>
      <w:r>
        <w:rPr>
          <w:noProof/>
        </w:rPr>
        <w:tab/>
        <w:t>71</w:t>
      </w:r>
    </w:p>
    <w:p w14:paraId="695BA917" w14:textId="77777777" w:rsidR="00C262A6" w:rsidRPr="00C262A6" w:rsidRDefault="00C262A6" w:rsidP="00C262A6">
      <w:pPr>
        <w:pStyle w:val="TOC2"/>
        <w:tabs>
          <w:tab w:val="left" w:pos="1320"/>
        </w:tabs>
        <w:ind w:left="1276" w:hanging="709"/>
        <w:rPr>
          <w:noProof/>
        </w:rPr>
      </w:pPr>
      <w:r>
        <w:rPr>
          <w:noProof/>
        </w:rPr>
        <w:t>1.4</w:t>
      </w:r>
      <w:r w:rsidRPr="00C262A6">
        <w:rPr>
          <w:noProof/>
        </w:rPr>
        <w:tab/>
      </w:r>
      <w:r>
        <w:rPr>
          <w:noProof/>
        </w:rPr>
        <w:t>The Productivity Commission’s conceptual framework</w:t>
      </w:r>
      <w:r>
        <w:rPr>
          <w:noProof/>
        </w:rPr>
        <w:tab/>
        <w:t>75</w:t>
      </w:r>
    </w:p>
    <w:p w14:paraId="7C72BDB4" w14:textId="77777777" w:rsidR="00C262A6" w:rsidRPr="00C262A6" w:rsidRDefault="00C262A6" w:rsidP="00C262A6">
      <w:pPr>
        <w:pStyle w:val="TOC2"/>
        <w:tabs>
          <w:tab w:val="left" w:pos="1320"/>
        </w:tabs>
        <w:ind w:left="1276" w:hanging="709"/>
        <w:rPr>
          <w:noProof/>
        </w:rPr>
      </w:pPr>
      <w:r>
        <w:rPr>
          <w:noProof/>
        </w:rPr>
        <w:t>1.5</w:t>
      </w:r>
      <w:r w:rsidRPr="00C262A6">
        <w:rPr>
          <w:noProof/>
        </w:rPr>
        <w:tab/>
      </w:r>
      <w:r>
        <w:rPr>
          <w:noProof/>
        </w:rPr>
        <w:t>Considerations for assessing policy proposals</w:t>
      </w:r>
      <w:r>
        <w:rPr>
          <w:noProof/>
        </w:rPr>
        <w:tab/>
        <w:t>80</w:t>
      </w:r>
    </w:p>
    <w:p w14:paraId="58E4A73D" w14:textId="77777777" w:rsidR="00C262A6" w:rsidRPr="00C262A6" w:rsidRDefault="00C262A6" w:rsidP="00C262A6">
      <w:pPr>
        <w:pStyle w:val="TOC2"/>
        <w:tabs>
          <w:tab w:val="left" w:pos="1320"/>
        </w:tabs>
        <w:ind w:left="1276" w:hanging="709"/>
        <w:rPr>
          <w:noProof/>
        </w:rPr>
      </w:pPr>
      <w:r>
        <w:rPr>
          <w:noProof/>
        </w:rPr>
        <w:t>1.6</w:t>
      </w:r>
      <w:r w:rsidRPr="00C262A6">
        <w:rPr>
          <w:noProof/>
        </w:rPr>
        <w:tab/>
      </w:r>
      <w:r>
        <w:rPr>
          <w:noProof/>
        </w:rPr>
        <w:t>Conduct of the inquiry</w:t>
      </w:r>
      <w:r>
        <w:rPr>
          <w:noProof/>
        </w:rPr>
        <w:tab/>
        <w:t>83</w:t>
      </w:r>
    </w:p>
    <w:p w14:paraId="56F0AAF2" w14:textId="77777777" w:rsidR="00C262A6" w:rsidRPr="00C262A6" w:rsidRDefault="00C262A6" w:rsidP="00C262A6">
      <w:pPr>
        <w:pStyle w:val="TOC2"/>
        <w:tabs>
          <w:tab w:val="left" w:pos="1320"/>
        </w:tabs>
        <w:ind w:left="1276" w:hanging="709"/>
        <w:rPr>
          <w:noProof/>
        </w:rPr>
      </w:pPr>
      <w:r>
        <w:rPr>
          <w:noProof/>
        </w:rPr>
        <w:t>1.7</w:t>
      </w:r>
      <w:r w:rsidRPr="00C262A6">
        <w:rPr>
          <w:noProof/>
        </w:rPr>
        <w:tab/>
      </w:r>
      <w:r>
        <w:rPr>
          <w:noProof/>
        </w:rPr>
        <w:t>Guide to the draft report</w:t>
      </w:r>
      <w:r>
        <w:rPr>
          <w:noProof/>
        </w:rPr>
        <w:tab/>
        <w:t>84</w:t>
      </w:r>
    </w:p>
    <w:p w14:paraId="69DAF34F" w14:textId="77777777" w:rsidR="00C262A6" w:rsidRDefault="00C262A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Developments in Australia’s labour market</w:t>
      </w:r>
      <w:r>
        <w:rPr>
          <w:noProof/>
        </w:rPr>
        <w:tab/>
        <w:t>87</w:t>
      </w:r>
    </w:p>
    <w:p w14:paraId="0FB4FF09" w14:textId="77777777" w:rsidR="00C262A6" w:rsidRPr="00C262A6" w:rsidRDefault="00C262A6" w:rsidP="00C262A6">
      <w:pPr>
        <w:pStyle w:val="TOC2"/>
        <w:tabs>
          <w:tab w:val="left" w:pos="1320"/>
        </w:tabs>
        <w:ind w:left="1276" w:hanging="709"/>
        <w:rPr>
          <w:noProof/>
        </w:rPr>
      </w:pPr>
      <w:r>
        <w:rPr>
          <w:noProof/>
        </w:rPr>
        <w:t>2.1</w:t>
      </w:r>
      <w:r w:rsidRPr="00C262A6">
        <w:rPr>
          <w:noProof/>
        </w:rPr>
        <w:tab/>
      </w:r>
      <w:r>
        <w:rPr>
          <w:noProof/>
        </w:rPr>
        <w:t>A snapshot of the Australian labour market</w:t>
      </w:r>
      <w:r>
        <w:rPr>
          <w:noProof/>
        </w:rPr>
        <w:tab/>
        <w:t>89</w:t>
      </w:r>
    </w:p>
    <w:p w14:paraId="2DA8ADE0" w14:textId="77777777" w:rsidR="00C262A6" w:rsidRPr="00C262A6" w:rsidRDefault="00C262A6" w:rsidP="00C262A6">
      <w:pPr>
        <w:pStyle w:val="TOC2"/>
        <w:tabs>
          <w:tab w:val="left" w:pos="1320"/>
        </w:tabs>
        <w:ind w:left="1276" w:hanging="709"/>
        <w:rPr>
          <w:noProof/>
        </w:rPr>
      </w:pPr>
      <w:r>
        <w:rPr>
          <w:noProof/>
        </w:rPr>
        <w:t>2.2</w:t>
      </w:r>
      <w:r w:rsidRPr="00C262A6">
        <w:rPr>
          <w:noProof/>
        </w:rPr>
        <w:tab/>
      </w:r>
      <w:r>
        <w:rPr>
          <w:noProof/>
        </w:rPr>
        <w:t>Who works? Participation and the composition of the labour force</w:t>
      </w:r>
      <w:r>
        <w:rPr>
          <w:noProof/>
        </w:rPr>
        <w:tab/>
        <w:t>91</w:t>
      </w:r>
    </w:p>
    <w:p w14:paraId="3B23274B" w14:textId="77777777" w:rsidR="00C262A6" w:rsidRPr="00C262A6" w:rsidRDefault="00C262A6" w:rsidP="00C262A6">
      <w:pPr>
        <w:pStyle w:val="TOC2"/>
        <w:tabs>
          <w:tab w:val="left" w:pos="1320"/>
        </w:tabs>
        <w:ind w:left="1276" w:hanging="709"/>
        <w:rPr>
          <w:noProof/>
        </w:rPr>
      </w:pPr>
      <w:r>
        <w:rPr>
          <w:noProof/>
        </w:rPr>
        <w:t>2.3</w:t>
      </w:r>
      <w:r w:rsidRPr="00C262A6">
        <w:rPr>
          <w:noProof/>
        </w:rPr>
        <w:tab/>
      </w:r>
      <w:r>
        <w:rPr>
          <w:noProof/>
        </w:rPr>
        <w:t>Not just full</w:t>
      </w:r>
      <w:r>
        <w:rPr>
          <w:noProof/>
        </w:rPr>
        <w:noBreakHyphen/>
        <w:t>time employees — more variety in forms of work</w:t>
      </w:r>
      <w:r>
        <w:rPr>
          <w:noProof/>
        </w:rPr>
        <w:tab/>
        <w:t>99</w:t>
      </w:r>
    </w:p>
    <w:p w14:paraId="4EA73592" w14:textId="77777777" w:rsidR="00C262A6" w:rsidRPr="00C262A6" w:rsidRDefault="00C262A6" w:rsidP="00C262A6">
      <w:pPr>
        <w:pStyle w:val="TOC2"/>
        <w:tabs>
          <w:tab w:val="left" w:pos="1320"/>
        </w:tabs>
        <w:ind w:left="1276" w:hanging="709"/>
        <w:rPr>
          <w:noProof/>
        </w:rPr>
      </w:pPr>
      <w:r>
        <w:rPr>
          <w:noProof/>
        </w:rPr>
        <w:t>2.4</w:t>
      </w:r>
      <w:r w:rsidRPr="00C262A6">
        <w:rPr>
          <w:noProof/>
        </w:rPr>
        <w:tab/>
      </w:r>
      <w:r>
        <w:rPr>
          <w:noProof/>
        </w:rPr>
        <w:t>Job tenure and turnover</w:t>
      </w:r>
      <w:r>
        <w:rPr>
          <w:noProof/>
        </w:rPr>
        <w:tab/>
        <w:t>109</w:t>
      </w:r>
    </w:p>
    <w:p w14:paraId="7FBF0D42" w14:textId="77777777" w:rsidR="00C262A6" w:rsidRPr="00C262A6" w:rsidRDefault="00C262A6" w:rsidP="00C262A6">
      <w:pPr>
        <w:pStyle w:val="TOC2"/>
        <w:tabs>
          <w:tab w:val="left" w:pos="1320"/>
        </w:tabs>
        <w:ind w:left="1276" w:hanging="709"/>
        <w:rPr>
          <w:noProof/>
          <w:spacing w:val="-4"/>
        </w:rPr>
      </w:pPr>
      <w:r>
        <w:rPr>
          <w:noProof/>
        </w:rPr>
        <w:t>2.</w:t>
      </w:r>
      <w:r w:rsidRPr="00C262A6">
        <w:rPr>
          <w:noProof/>
          <w:spacing w:val="-4"/>
        </w:rPr>
        <w:t>5</w:t>
      </w:r>
      <w:r w:rsidRPr="00C262A6">
        <w:rPr>
          <w:noProof/>
          <w:spacing w:val="-4"/>
        </w:rPr>
        <w:tab/>
        <w:t>Can people who want to work get a job? Labour utilisation</w:t>
      </w:r>
      <w:r w:rsidRPr="00C262A6">
        <w:rPr>
          <w:noProof/>
          <w:spacing w:val="-4"/>
        </w:rPr>
        <w:tab/>
        <w:t>114</w:t>
      </w:r>
    </w:p>
    <w:p w14:paraId="5F6C9A68" w14:textId="77777777" w:rsidR="00C262A6" w:rsidRPr="00C262A6" w:rsidRDefault="00C262A6" w:rsidP="00C262A6">
      <w:pPr>
        <w:pStyle w:val="TOC2"/>
        <w:tabs>
          <w:tab w:val="left" w:pos="1320"/>
        </w:tabs>
        <w:ind w:left="1276" w:hanging="709"/>
        <w:rPr>
          <w:noProof/>
        </w:rPr>
      </w:pPr>
      <w:r>
        <w:rPr>
          <w:noProof/>
        </w:rPr>
        <w:t>2.6</w:t>
      </w:r>
      <w:r w:rsidRPr="00C262A6">
        <w:rPr>
          <w:noProof/>
        </w:rPr>
        <w:tab/>
      </w:r>
      <w:r>
        <w:rPr>
          <w:noProof/>
        </w:rPr>
        <w:t>Some measures of flexibility in labour markets</w:t>
      </w:r>
      <w:r>
        <w:rPr>
          <w:noProof/>
        </w:rPr>
        <w:tab/>
        <w:t>119</w:t>
      </w:r>
    </w:p>
    <w:p w14:paraId="646C642A" w14:textId="77777777" w:rsidR="00C262A6" w:rsidRDefault="00C262A6" w:rsidP="00C262A6">
      <w:pPr>
        <w:pStyle w:val="TOC2"/>
        <w:tabs>
          <w:tab w:val="left" w:pos="1320"/>
        </w:tabs>
        <w:ind w:left="1276" w:hanging="709"/>
        <w:rPr>
          <w:noProof/>
        </w:rPr>
      </w:pPr>
      <w:r>
        <w:rPr>
          <w:noProof/>
        </w:rPr>
        <w:t>2.7</w:t>
      </w:r>
      <w:r w:rsidRPr="00C262A6">
        <w:rPr>
          <w:noProof/>
        </w:rPr>
        <w:tab/>
      </w:r>
      <w:r>
        <w:rPr>
          <w:noProof/>
        </w:rPr>
        <w:t>Wages</w:t>
      </w:r>
      <w:r>
        <w:rPr>
          <w:noProof/>
        </w:rPr>
        <w:tab/>
        <w:t>121</w:t>
      </w:r>
    </w:p>
    <w:p w14:paraId="2EE28FCD" w14:textId="44B3835D" w:rsidR="00893DEB" w:rsidRPr="00C262A6" w:rsidRDefault="00893DEB" w:rsidP="00C262A6">
      <w:pPr>
        <w:pStyle w:val="TOC2"/>
        <w:tabs>
          <w:tab w:val="left" w:pos="1320"/>
        </w:tabs>
        <w:ind w:left="1276" w:hanging="709"/>
        <w:rPr>
          <w:noProof/>
        </w:rPr>
      </w:pPr>
      <w:r>
        <w:rPr>
          <w:noProof/>
        </w:rPr>
        <w:t>2.8</w:t>
      </w:r>
      <w:r>
        <w:rPr>
          <w:noProof/>
        </w:rPr>
        <w:tab/>
        <w:t>Workplace relations and the furture of work</w:t>
      </w:r>
      <w:r>
        <w:rPr>
          <w:noProof/>
        </w:rPr>
        <w:tab/>
        <w:t>125</w:t>
      </w:r>
    </w:p>
    <w:p w14:paraId="2D4B9E0A" w14:textId="77777777" w:rsidR="00C262A6" w:rsidRPr="00C262A6" w:rsidRDefault="00C262A6" w:rsidP="00C262A6">
      <w:pPr>
        <w:pStyle w:val="TOC2"/>
        <w:tabs>
          <w:tab w:val="left" w:pos="1320"/>
        </w:tabs>
        <w:ind w:left="1276" w:hanging="709"/>
        <w:rPr>
          <w:noProof/>
        </w:rPr>
      </w:pPr>
      <w:r>
        <w:rPr>
          <w:noProof/>
        </w:rPr>
        <w:t>2.9</w:t>
      </w:r>
      <w:r w:rsidRPr="00C262A6">
        <w:rPr>
          <w:noProof/>
        </w:rPr>
        <w:tab/>
      </w:r>
      <w:r>
        <w:rPr>
          <w:noProof/>
        </w:rPr>
        <w:t>The bottom line</w:t>
      </w:r>
      <w:r>
        <w:rPr>
          <w:noProof/>
        </w:rPr>
        <w:tab/>
        <w:t>128</w:t>
      </w:r>
    </w:p>
    <w:p w14:paraId="7A9B69E4" w14:textId="77777777" w:rsidR="00C262A6" w:rsidRDefault="00C262A6">
      <w:pPr>
        <w:rPr>
          <w:rFonts w:ascii="Arial" w:hAnsi="Arial"/>
          <w:b/>
          <w:noProof/>
          <w:szCs w:val="26"/>
        </w:rPr>
      </w:pPr>
      <w:r>
        <w:rPr>
          <w:noProof/>
        </w:rPr>
        <w:br w:type="page"/>
      </w:r>
    </w:p>
    <w:p w14:paraId="48FAA5FF" w14:textId="3D18C71D" w:rsidR="00C262A6" w:rsidRDefault="00C262A6">
      <w:pPr>
        <w:pStyle w:val="TOC1"/>
        <w:rPr>
          <w:rFonts w:asciiTheme="minorHAnsi" w:eastAsiaTheme="minorEastAsia" w:hAnsiTheme="minorHAnsi" w:cstheme="minorBidi"/>
          <w:b w:val="0"/>
          <w:noProof/>
          <w:sz w:val="22"/>
          <w:szCs w:val="22"/>
          <w:lang w:eastAsia="en-AU"/>
        </w:rPr>
      </w:pPr>
      <w:r>
        <w:rPr>
          <w:noProof/>
        </w:rPr>
        <w:lastRenderedPageBreak/>
        <w:t>3</w:t>
      </w:r>
      <w:r>
        <w:rPr>
          <w:rFonts w:asciiTheme="minorHAnsi" w:eastAsiaTheme="minorEastAsia" w:hAnsiTheme="minorHAnsi" w:cstheme="minorBidi"/>
          <w:b w:val="0"/>
          <w:noProof/>
          <w:sz w:val="22"/>
          <w:szCs w:val="22"/>
          <w:lang w:eastAsia="en-AU"/>
        </w:rPr>
        <w:tab/>
      </w:r>
      <w:r>
        <w:rPr>
          <w:noProof/>
        </w:rPr>
        <w:t>Institutions</w:t>
      </w:r>
      <w:r>
        <w:rPr>
          <w:noProof/>
        </w:rPr>
        <w:tab/>
        <w:t>129</w:t>
      </w:r>
    </w:p>
    <w:p w14:paraId="52BF0299" w14:textId="77777777" w:rsidR="00C262A6" w:rsidRPr="00C262A6" w:rsidRDefault="00C262A6" w:rsidP="00C262A6">
      <w:pPr>
        <w:pStyle w:val="TOC2"/>
        <w:tabs>
          <w:tab w:val="left" w:pos="1320"/>
        </w:tabs>
        <w:ind w:left="1276" w:hanging="709"/>
        <w:rPr>
          <w:noProof/>
        </w:rPr>
      </w:pPr>
      <w:r>
        <w:rPr>
          <w:noProof/>
        </w:rPr>
        <w:t>3.1</w:t>
      </w:r>
      <w:r w:rsidRPr="00C262A6">
        <w:rPr>
          <w:noProof/>
        </w:rPr>
        <w:tab/>
      </w:r>
      <w:r>
        <w:rPr>
          <w:noProof/>
        </w:rPr>
        <w:t>The current system</w:t>
      </w:r>
      <w:r>
        <w:rPr>
          <w:noProof/>
        </w:rPr>
        <w:tab/>
        <w:t>131</w:t>
      </w:r>
    </w:p>
    <w:p w14:paraId="04D3950E" w14:textId="77777777" w:rsidR="00C262A6" w:rsidRPr="00C262A6" w:rsidRDefault="00C262A6" w:rsidP="00C262A6">
      <w:pPr>
        <w:pStyle w:val="TOC2"/>
        <w:tabs>
          <w:tab w:val="left" w:pos="1320"/>
        </w:tabs>
        <w:ind w:left="1276" w:hanging="709"/>
        <w:rPr>
          <w:noProof/>
        </w:rPr>
      </w:pPr>
      <w:r>
        <w:rPr>
          <w:noProof/>
        </w:rPr>
        <w:t>3.2</w:t>
      </w:r>
      <w:r w:rsidRPr="00C262A6">
        <w:rPr>
          <w:noProof/>
        </w:rPr>
        <w:tab/>
      </w:r>
      <w:r>
        <w:rPr>
          <w:noProof/>
        </w:rPr>
        <w:t>How are the institutions performing?</w:t>
      </w:r>
      <w:r>
        <w:rPr>
          <w:noProof/>
        </w:rPr>
        <w:tab/>
        <w:t>140</w:t>
      </w:r>
    </w:p>
    <w:p w14:paraId="4409FC06" w14:textId="77777777" w:rsidR="00C262A6" w:rsidRPr="00C262A6" w:rsidRDefault="00C262A6" w:rsidP="00C262A6">
      <w:pPr>
        <w:pStyle w:val="TOC2"/>
        <w:tabs>
          <w:tab w:val="left" w:pos="1320"/>
        </w:tabs>
        <w:ind w:left="1276" w:hanging="709"/>
        <w:rPr>
          <w:noProof/>
        </w:rPr>
      </w:pPr>
      <w:r>
        <w:rPr>
          <w:noProof/>
        </w:rPr>
        <w:t>3.3</w:t>
      </w:r>
      <w:r w:rsidRPr="00C262A6">
        <w:rPr>
          <w:noProof/>
        </w:rPr>
        <w:tab/>
      </w:r>
      <w:r>
        <w:rPr>
          <w:noProof/>
        </w:rPr>
        <w:t>Reform options</w:t>
      </w:r>
      <w:r>
        <w:rPr>
          <w:noProof/>
        </w:rPr>
        <w:tab/>
        <w:t>147</w:t>
      </w:r>
    </w:p>
    <w:p w14:paraId="4E164606" w14:textId="77777777" w:rsidR="00C262A6" w:rsidRDefault="00C262A6">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National Employment Standards</w:t>
      </w:r>
      <w:r>
        <w:rPr>
          <w:noProof/>
        </w:rPr>
        <w:tab/>
        <w:t>163</w:t>
      </w:r>
    </w:p>
    <w:p w14:paraId="478937D6" w14:textId="77777777" w:rsidR="00C262A6" w:rsidRPr="00C262A6" w:rsidRDefault="00C262A6" w:rsidP="00C262A6">
      <w:pPr>
        <w:pStyle w:val="TOC2"/>
        <w:tabs>
          <w:tab w:val="left" w:pos="1320"/>
        </w:tabs>
        <w:ind w:left="1276" w:hanging="709"/>
        <w:rPr>
          <w:noProof/>
        </w:rPr>
      </w:pPr>
      <w:r>
        <w:rPr>
          <w:noProof/>
        </w:rPr>
        <w:t>4.1</w:t>
      </w:r>
      <w:r w:rsidRPr="00C262A6">
        <w:rPr>
          <w:noProof/>
        </w:rPr>
        <w:tab/>
      </w:r>
      <w:r>
        <w:rPr>
          <w:noProof/>
        </w:rPr>
        <w:t>Some economic aspects of job conditions  and entitlements</w:t>
      </w:r>
      <w:r>
        <w:rPr>
          <w:noProof/>
        </w:rPr>
        <w:tab/>
        <w:t>167</w:t>
      </w:r>
    </w:p>
    <w:p w14:paraId="762FD68B" w14:textId="77777777" w:rsidR="00C262A6" w:rsidRPr="00C262A6" w:rsidRDefault="00C262A6" w:rsidP="00C262A6">
      <w:pPr>
        <w:pStyle w:val="TOC2"/>
        <w:tabs>
          <w:tab w:val="left" w:pos="1320"/>
        </w:tabs>
        <w:ind w:left="1276" w:hanging="709"/>
        <w:rPr>
          <w:noProof/>
        </w:rPr>
      </w:pPr>
      <w:r>
        <w:rPr>
          <w:noProof/>
        </w:rPr>
        <w:t>4.2</w:t>
      </w:r>
      <w:r w:rsidRPr="00C262A6">
        <w:rPr>
          <w:noProof/>
        </w:rPr>
        <w:tab/>
      </w:r>
      <w:r>
        <w:rPr>
          <w:noProof/>
        </w:rPr>
        <w:t>Long service leave</w:t>
      </w:r>
      <w:r>
        <w:rPr>
          <w:noProof/>
        </w:rPr>
        <w:tab/>
        <w:t>172</w:t>
      </w:r>
    </w:p>
    <w:p w14:paraId="24468F7A" w14:textId="77777777" w:rsidR="00C262A6" w:rsidRPr="00C262A6" w:rsidRDefault="00C262A6" w:rsidP="00C262A6">
      <w:pPr>
        <w:pStyle w:val="TOC2"/>
        <w:tabs>
          <w:tab w:val="left" w:pos="1320"/>
        </w:tabs>
        <w:ind w:left="1276" w:hanging="709"/>
        <w:rPr>
          <w:noProof/>
        </w:rPr>
      </w:pPr>
      <w:r>
        <w:rPr>
          <w:noProof/>
        </w:rPr>
        <w:t>4.3</w:t>
      </w:r>
      <w:r w:rsidRPr="00C262A6">
        <w:rPr>
          <w:noProof/>
        </w:rPr>
        <w:tab/>
      </w:r>
      <w:r>
        <w:rPr>
          <w:noProof/>
        </w:rPr>
        <w:t>Public holidays</w:t>
      </w:r>
      <w:r>
        <w:rPr>
          <w:noProof/>
        </w:rPr>
        <w:tab/>
        <w:t>182</w:t>
      </w:r>
    </w:p>
    <w:p w14:paraId="41FB1443" w14:textId="77777777" w:rsidR="00C262A6" w:rsidRPr="00C262A6" w:rsidRDefault="00C262A6" w:rsidP="00C262A6">
      <w:pPr>
        <w:pStyle w:val="TOC2"/>
        <w:tabs>
          <w:tab w:val="left" w:pos="1320"/>
        </w:tabs>
        <w:ind w:left="1276" w:hanging="709"/>
        <w:rPr>
          <w:noProof/>
        </w:rPr>
      </w:pPr>
      <w:r>
        <w:rPr>
          <w:noProof/>
        </w:rPr>
        <w:t>4.4</w:t>
      </w:r>
      <w:r w:rsidRPr="00C262A6">
        <w:rPr>
          <w:noProof/>
        </w:rPr>
        <w:tab/>
      </w:r>
      <w:r>
        <w:rPr>
          <w:noProof/>
        </w:rPr>
        <w:t>Sick and annual leave for casual workers</w:t>
      </w:r>
      <w:r>
        <w:rPr>
          <w:noProof/>
        </w:rPr>
        <w:tab/>
        <w:t>195</w:t>
      </w:r>
    </w:p>
    <w:p w14:paraId="5845191E" w14:textId="77777777" w:rsidR="00C262A6" w:rsidRDefault="00C262A6">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Unfair dismissal</w:t>
      </w:r>
      <w:r>
        <w:rPr>
          <w:noProof/>
        </w:rPr>
        <w:tab/>
        <w:t>199</w:t>
      </w:r>
    </w:p>
    <w:p w14:paraId="6DE17860" w14:textId="77777777" w:rsidR="00C262A6" w:rsidRPr="00C262A6" w:rsidRDefault="00C262A6" w:rsidP="00C262A6">
      <w:pPr>
        <w:pStyle w:val="TOC2"/>
        <w:tabs>
          <w:tab w:val="left" w:pos="1320"/>
        </w:tabs>
        <w:ind w:left="1276" w:hanging="709"/>
        <w:rPr>
          <w:noProof/>
        </w:rPr>
      </w:pPr>
      <w:r>
        <w:rPr>
          <w:noProof/>
        </w:rPr>
        <w:t>5.1</w:t>
      </w:r>
      <w:r w:rsidRPr="00C262A6">
        <w:rPr>
          <w:noProof/>
        </w:rPr>
        <w:tab/>
      </w:r>
      <w:r>
        <w:rPr>
          <w:noProof/>
        </w:rPr>
        <w:t>The institutional setting</w:t>
      </w:r>
      <w:r>
        <w:rPr>
          <w:noProof/>
        </w:rPr>
        <w:tab/>
        <w:t>200</w:t>
      </w:r>
    </w:p>
    <w:p w14:paraId="7DD3EAF7" w14:textId="77777777" w:rsidR="00C262A6" w:rsidRPr="00C262A6" w:rsidRDefault="00C262A6" w:rsidP="00C262A6">
      <w:pPr>
        <w:pStyle w:val="TOC2"/>
        <w:tabs>
          <w:tab w:val="left" w:pos="1320"/>
        </w:tabs>
        <w:ind w:left="1276" w:hanging="709"/>
        <w:rPr>
          <w:noProof/>
        </w:rPr>
      </w:pPr>
      <w:r>
        <w:rPr>
          <w:noProof/>
        </w:rPr>
        <w:t>5.2</w:t>
      </w:r>
      <w:r w:rsidRPr="00C262A6">
        <w:rPr>
          <w:noProof/>
        </w:rPr>
        <w:tab/>
      </w:r>
      <w:r>
        <w:rPr>
          <w:noProof/>
        </w:rPr>
        <w:t>The incidence and costs of unfair dismissal cases in Australia</w:t>
      </w:r>
      <w:r>
        <w:rPr>
          <w:noProof/>
        </w:rPr>
        <w:tab/>
        <w:t>209</w:t>
      </w:r>
    </w:p>
    <w:p w14:paraId="45E9FBBE" w14:textId="77777777" w:rsidR="00C262A6" w:rsidRPr="00C262A6" w:rsidRDefault="00C262A6" w:rsidP="00C262A6">
      <w:pPr>
        <w:pStyle w:val="TOC2"/>
        <w:tabs>
          <w:tab w:val="left" w:pos="1320"/>
        </w:tabs>
        <w:ind w:left="1276" w:hanging="709"/>
        <w:rPr>
          <w:noProof/>
        </w:rPr>
      </w:pPr>
      <w:r>
        <w:rPr>
          <w:noProof/>
        </w:rPr>
        <w:t>5.3</w:t>
      </w:r>
      <w:r w:rsidRPr="00C262A6">
        <w:rPr>
          <w:noProof/>
        </w:rPr>
        <w:tab/>
      </w:r>
      <w:r>
        <w:rPr>
          <w:noProof/>
        </w:rPr>
        <w:t>Impacts on employment and productivity</w:t>
      </w:r>
      <w:r>
        <w:rPr>
          <w:noProof/>
        </w:rPr>
        <w:tab/>
        <w:t>213</w:t>
      </w:r>
    </w:p>
    <w:p w14:paraId="3C6B8529" w14:textId="77777777" w:rsidR="00C262A6" w:rsidRPr="00C262A6" w:rsidRDefault="00C262A6" w:rsidP="00C262A6">
      <w:pPr>
        <w:pStyle w:val="TOC2"/>
        <w:tabs>
          <w:tab w:val="left" w:pos="1320"/>
        </w:tabs>
        <w:ind w:left="1276" w:hanging="709"/>
        <w:rPr>
          <w:noProof/>
        </w:rPr>
      </w:pPr>
      <w:r>
        <w:rPr>
          <w:noProof/>
        </w:rPr>
        <w:t>5.4</w:t>
      </w:r>
      <w:r w:rsidRPr="00C262A6">
        <w:rPr>
          <w:noProof/>
        </w:rPr>
        <w:tab/>
      </w:r>
      <w:r>
        <w:rPr>
          <w:noProof/>
        </w:rPr>
        <w:t>How does Australia compare internationally?</w:t>
      </w:r>
      <w:r>
        <w:rPr>
          <w:noProof/>
        </w:rPr>
        <w:tab/>
        <w:t>217</w:t>
      </w:r>
    </w:p>
    <w:p w14:paraId="03E04745" w14:textId="77777777" w:rsidR="00C262A6" w:rsidRPr="00C262A6" w:rsidRDefault="00C262A6" w:rsidP="00C262A6">
      <w:pPr>
        <w:pStyle w:val="TOC2"/>
        <w:tabs>
          <w:tab w:val="left" w:pos="1320"/>
        </w:tabs>
        <w:ind w:left="1276" w:hanging="709"/>
        <w:rPr>
          <w:noProof/>
        </w:rPr>
      </w:pPr>
      <w:r>
        <w:rPr>
          <w:noProof/>
        </w:rPr>
        <w:t>5.5</w:t>
      </w:r>
      <w:r w:rsidRPr="00C262A6">
        <w:rPr>
          <w:noProof/>
        </w:rPr>
        <w:tab/>
      </w:r>
      <w:r>
        <w:rPr>
          <w:noProof/>
        </w:rPr>
        <w:t>The performance of the current system</w:t>
      </w:r>
      <w:r>
        <w:rPr>
          <w:noProof/>
        </w:rPr>
        <w:tab/>
        <w:t>220</w:t>
      </w:r>
    </w:p>
    <w:p w14:paraId="4E1ADF95" w14:textId="77777777" w:rsidR="00C262A6" w:rsidRPr="00C262A6" w:rsidRDefault="00C262A6" w:rsidP="00C262A6">
      <w:pPr>
        <w:pStyle w:val="TOC2"/>
        <w:tabs>
          <w:tab w:val="left" w:pos="1320"/>
        </w:tabs>
        <w:ind w:left="1276" w:hanging="709"/>
        <w:rPr>
          <w:noProof/>
        </w:rPr>
      </w:pPr>
      <w:r>
        <w:rPr>
          <w:noProof/>
        </w:rPr>
        <w:t>5.6</w:t>
      </w:r>
      <w:r w:rsidRPr="00C262A6">
        <w:rPr>
          <w:noProof/>
        </w:rPr>
        <w:tab/>
      </w:r>
      <w:r>
        <w:rPr>
          <w:noProof/>
        </w:rPr>
        <w:t>Reform options</w:t>
      </w:r>
      <w:r>
        <w:rPr>
          <w:noProof/>
        </w:rPr>
        <w:tab/>
        <w:t>229</w:t>
      </w:r>
    </w:p>
    <w:p w14:paraId="780035D6" w14:textId="77777777" w:rsidR="00C262A6" w:rsidRDefault="00C262A6">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The general protections</w:t>
      </w:r>
      <w:r>
        <w:rPr>
          <w:noProof/>
        </w:rPr>
        <w:tab/>
        <w:t>241</w:t>
      </w:r>
    </w:p>
    <w:p w14:paraId="3B1E435C" w14:textId="77777777" w:rsidR="00C262A6" w:rsidRPr="00C262A6" w:rsidRDefault="00C262A6" w:rsidP="00C262A6">
      <w:pPr>
        <w:pStyle w:val="TOC2"/>
        <w:tabs>
          <w:tab w:val="left" w:pos="1320"/>
        </w:tabs>
        <w:ind w:left="1276" w:hanging="709"/>
        <w:rPr>
          <w:noProof/>
        </w:rPr>
      </w:pPr>
      <w:r>
        <w:rPr>
          <w:noProof/>
        </w:rPr>
        <w:t>6.1</w:t>
      </w:r>
      <w:r w:rsidRPr="00C262A6">
        <w:rPr>
          <w:noProof/>
        </w:rPr>
        <w:tab/>
      </w:r>
      <w:r>
        <w:rPr>
          <w:noProof/>
        </w:rPr>
        <w:t>Key features of the general protections</w:t>
      </w:r>
      <w:r>
        <w:rPr>
          <w:noProof/>
        </w:rPr>
        <w:tab/>
        <w:t>242</w:t>
      </w:r>
    </w:p>
    <w:p w14:paraId="130AFA90" w14:textId="77777777" w:rsidR="00C262A6" w:rsidRPr="00C262A6" w:rsidRDefault="00C262A6" w:rsidP="00C262A6">
      <w:pPr>
        <w:pStyle w:val="TOC2"/>
        <w:tabs>
          <w:tab w:val="left" w:pos="1320"/>
        </w:tabs>
        <w:ind w:left="1276" w:hanging="709"/>
        <w:rPr>
          <w:noProof/>
        </w:rPr>
      </w:pPr>
      <w:r>
        <w:rPr>
          <w:noProof/>
        </w:rPr>
        <w:t>6.2</w:t>
      </w:r>
      <w:r w:rsidRPr="00C262A6">
        <w:rPr>
          <w:noProof/>
        </w:rPr>
        <w:tab/>
      </w:r>
      <w:r>
        <w:rPr>
          <w:noProof/>
        </w:rPr>
        <w:t>Adequacy of current arrangements</w:t>
      </w:r>
      <w:r>
        <w:rPr>
          <w:noProof/>
        </w:rPr>
        <w:tab/>
        <w:t>249</w:t>
      </w:r>
    </w:p>
    <w:p w14:paraId="273B2D7F" w14:textId="77777777" w:rsidR="00C262A6" w:rsidRPr="00C262A6" w:rsidRDefault="00C262A6" w:rsidP="00C262A6">
      <w:pPr>
        <w:pStyle w:val="TOC2"/>
        <w:tabs>
          <w:tab w:val="left" w:pos="1320"/>
        </w:tabs>
        <w:ind w:left="1276" w:hanging="709"/>
        <w:rPr>
          <w:noProof/>
        </w:rPr>
      </w:pPr>
      <w:r>
        <w:rPr>
          <w:noProof/>
        </w:rPr>
        <w:t>6.3</w:t>
      </w:r>
      <w:r w:rsidRPr="00C262A6">
        <w:rPr>
          <w:noProof/>
        </w:rPr>
        <w:tab/>
      </w:r>
      <w:r>
        <w:rPr>
          <w:noProof/>
        </w:rPr>
        <w:t>Further reforms to the general protections</w:t>
      </w:r>
      <w:r>
        <w:rPr>
          <w:noProof/>
        </w:rPr>
        <w:tab/>
        <w:t>259</w:t>
      </w:r>
    </w:p>
    <w:p w14:paraId="244D2A0B" w14:textId="77777777" w:rsidR="00C262A6" w:rsidRDefault="00C262A6">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Anti-bullying</w:t>
      </w:r>
      <w:r>
        <w:rPr>
          <w:noProof/>
        </w:rPr>
        <w:tab/>
        <w:t>267</w:t>
      </w:r>
    </w:p>
    <w:p w14:paraId="3F52B7B8" w14:textId="77777777" w:rsidR="00C262A6" w:rsidRPr="00C262A6" w:rsidRDefault="00C262A6" w:rsidP="00C262A6">
      <w:pPr>
        <w:pStyle w:val="TOC2"/>
        <w:tabs>
          <w:tab w:val="left" w:pos="1320"/>
        </w:tabs>
        <w:ind w:left="1276" w:hanging="709"/>
        <w:rPr>
          <w:noProof/>
        </w:rPr>
      </w:pPr>
      <w:r>
        <w:rPr>
          <w:noProof/>
        </w:rPr>
        <w:t>7.1</w:t>
      </w:r>
      <w:r w:rsidRPr="00C262A6">
        <w:rPr>
          <w:noProof/>
        </w:rPr>
        <w:tab/>
      </w:r>
      <w:r>
        <w:rPr>
          <w:noProof/>
        </w:rPr>
        <w:t>Anti-bullying protections</w:t>
      </w:r>
      <w:r>
        <w:rPr>
          <w:noProof/>
        </w:rPr>
        <w:tab/>
        <w:t>268</w:t>
      </w:r>
    </w:p>
    <w:p w14:paraId="635EF1DF" w14:textId="77777777" w:rsidR="00C262A6" w:rsidRPr="00C262A6" w:rsidRDefault="00C262A6" w:rsidP="00C262A6">
      <w:pPr>
        <w:pStyle w:val="TOC2"/>
        <w:tabs>
          <w:tab w:val="left" w:pos="1320"/>
        </w:tabs>
        <w:ind w:left="1276" w:hanging="709"/>
        <w:rPr>
          <w:noProof/>
        </w:rPr>
      </w:pPr>
      <w:r>
        <w:rPr>
          <w:noProof/>
        </w:rPr>
        <w:t>7.2</w:t>
      </w:r>
      <w:r w:rsidRPr="00C262A6">
        <w:rPr>
          <w:noProof/>
        </w:rPr>
        <w:tab/>
      </w:r>
      <w:r>
        <w:rPr>
          <w:noProof/>
        </w:rPr>
        <w:t>Evidence on prevalence and cost</w:t>
      </w:r>
      <w:r>
        <w:rPr>
          <w:noProof/>
        </w:rPr>
        <w:tab/>
        <w:t>272</w:t>
      </w:r>
    </w:p>
    <w:p w14:paraId="4C71E4A8" w14:textId="77777777" w:rsidR="00C262A6" w:rsidRPr="00C262A6" w:rsidRDefault="00C262A6" w:rsidP="00C262A6">
      <w:pPr>
        <w:pStyle w:val="TOC2"/>
        <w:tabs>
          <w:tab w:val="left" w:pos="1320"/>
        </w:tabs>
        <w:ind w:left="1276" w:hanging="709"/>
        <w:rPr>
          <w:noProof/>
        </w:rPr>
      </w:pPr>
      <w:r>
        <w:rPr>
          <w:noProof/>
        </w:rPr>
        <w:t>7.3</w:t>
      </w:r>
      <w:r w:rsidRPr="00C262A6">
        <w:rPr>
          <w:noProof/>
        </w:rPr>
        <w:tab/>
      </w:r>
      <w:r>
        <w:rPr>
          <w:noProof/>
        </w:rPr>
        <w:t>How well is the current jurisdiction performing?</w:t>
      </w:r>
      <w:r>
        <w:rPr>
          <w:noProof/>
        </w:rPr>
        <w:tab/>
        <w:t>278</w:t>
      </w:r>
    </w:p>
    <w:p w14:paraId="485DE968" w14:textId="77777777" w:rsidR="00C262A6" w:rsidRPr="00C262A6" w:rsidRDefault="00C262A6" w:rsidP="00C262A6">
      <w:pPr>
        <w:pStyle w:val="TOC2"/>
        <w:tabs>
          <w:tab w:val="left" w:pos="1320"/>
        </w:tabs>
        <w:ind w:left="1276" w:hanging="709"/>
        <w:rPr>
          <w:noProof/>
        </w:rPr>
      </w:pPr>
      <w:r>
        <w:rPr>
          <w:noProof/>
        </w:rPr>
        <w:t>7.4</w:t>
      </w:r>
      <w:r w:rsidRPr="00C262A6">
        <w:rPr>
          <w:noProof/>
        </w:rPr>
        <w:tab/>
      </w:r>
      <w:r>
        <w:rPr>
          <w:noProof/>
        </w:rPr>
        <w:t>A further review?</w:t>
      </w:r>
      <w:r>
        <w:rPr>
          <w:noProof/>
        </w:rPr>
        <w:tab/>
        <w:t>283</w:t>
      </w:r>
    </w:p>
    <w:p w14:paraId="38863E71" w14:textId="77777777" w:rsidR="00C262A6" w:rsidRDefault="00C262A6" w:rsidP="00C262A6">
      <w:pPr>
        <w:rPr>
          <w:rFonts w:ascii="Arial" w:hAnsi="Arial"/>
          <w:b/>
          <w:noProof/>
          <w:szCs w:val="26"/>
        </w:rPr>
      </w:pPr>
      <w:r>
        <w:rPr>
          <w:noProof/>
        </w:rPr>
        <w:br w:type="page"/>
      </w:r>
    </w:p>
    <w:p w14:paraId="55D01598" w14:textId="77777777" w:rsidR="00C262A6" w:rsidRDefault="00C262A6">
      <w:pPr>
        <w:pStyle w:val="TOC1"/>
        <w:rPr>
          <w:rFonts w:asciiTheme="minorHAnsi" w:eastAsiaTheme="minorEastAsia" w:hAnsiTheme="minorHAnsi" w:cstheme="minorBidi"/>
          <w:b w:val="0"/>
          <w:noProof/>
          <w:sz w:val="22"/>
          <w:szCs w:val="22"/>
          <w:lang w:eastAsia="en-AU"/>
        </w:rPr>
      </w:pPr>
      <w:r>
        <w:rPr>
          <w:noProof/>
        </w:rPr>
        <w:lastRenderedPageBreak/>
        <w:t>8</w:t>
      </w:r>
      <w:r>
        <w:rPr>
          <w:rFonts w:asciiTheme="minorHAnsi" w:eastAsiaTheme="minorEastAsia" w:hAnsiTheme="minorHAnsi" w:cstheme="minorBidi"/>
          <w:b w:val="0"/>
          <w:noProof/>
          <w:sz w:val="22"/>
          <w:szCs w:val="22"/>
          <w:lang w:eastAsia="en-AU"/>
        </w:rPr>
        <w:tab/>
      </w:r>
      <w:r>
        <w:rPr>
          <w:noProof/>
        </w:rPr>
        <w:t>Minimum wages</w:t>
      </w:r>
      <w:r>
        <w:rPr>
          <w:noProof/>
        </w:rPr>
        <w:tab/>
        <w:t>285</w:t>
      </w:r>
    </w:p>
    <w:p w14:paraId="35C36319" w14:textId="13C79FD8" w:rsidR="00893DEB" w:rsidRDefault="00893DEB" w:rsidP="00C262A6">
      <w:pPr>
        <w:pStyle w:val="TOC2"/>
        <w:tabs>
          <w:tab w:val="left" w:pos="1320"/>
        </w:tabs>
        <w:ind w:left="1276" w:hanging="709"/>
        <w:rPr>
          <w:noProof/>
        </w:rPr>
      </w:pPr>
      <w:r>
        <w:rPr>
          <w:noProof/>
        </w:rPr>
        <w:t>8.1</w:t>
      </w:r>
      <w:r>
        <w:rPr>
          <w:noProof/>
        </w:rPr>
        <w:tab/>
        <w:t>Australia’s minimum wages</w:t>
      </w:r>
      <w:r>
        <w:rPr>
          <w:noProof/>
        </w:rPr>
        <w:tab/>
        <w:t>287</w:t>
      </w:r>
    </w:p>
    <w:p w14:paraId="4F8C5E3D" w14:textId="20E76737" w:rsidR="00893DEB" w:rsidRDefault="00893DEB" w:rsidP="00C262A6">
      <w:pPr>
        <w:pStyle w:val="TOC2"/>
        <w:tabs>
          <w:tab w:val="left" w:pos="1320"/>
        </w:tabs>
        <w:ind w:left="1276" w:hanging="709"/>
        <w:rPr>
          <w:noProof/>
        </w:rPr>
      </w:pPr>
      <w:r>
        <w:rPr>
          <w:noProof/>
        </w:rPr>
        <w:t>8.2</w:t>
      </w:r>
      <w:r>
        <w:rPr>
          <w:noProof/>
        </w:rPr>
        <w:tab/>
        <w:t>What effect does the minimum wage have on employment?</w:t>
      </w:r>
      <w:r>
        <w:rPr>
          <w:noProof/>
        </w:rPr>
        <w:tab/>
        <w:t>291</w:t>
      </w:r>
    </w:p>
    <w:p w14:paraId="315B5AE8" w14:textId="2FACFFDD" w:rsidR="00893DEB" w:rsidRDefault="00893DEB" w:rsidP="00C262A6">
      <w:pPr>
        <w:pStyle w:val="TOC2"/>
        <w:tabs>
          <w:tab w:val="left" w:pos="1320"/>
        </w:tabs>
        <w:ind w:left="1276" w:hanging="709"/>
        <w:rPr>
          <w:noProof/>
        </w:rPr>
      </w:pPr>
      <w:r>
        <w:rPr>
          <w:noProof/>
        </w:rPr>
        <w:t>8.3</w:t>
      </w:r>
      <w:r>
        <w:rPr>
          <w:noProof/>
        </w:rPr>
        <w:tab/>
        <w:t>What effect do minimum wage requirements have on workers’ incomes and living standards?</w:t>
      </w:r>
      <w:r>
        <w:rPr>
          <w:noProof/>
        </w:rPr>
        <w:tab/>
        <w:t>310</w:t>
      </w:r>
    </w:p>
    <w:p w14:paraId="2AD947C1" w14:textId="77777777" w:rsidR="00C262A6" w:rsidRPr="00C262A6" w:rsidRDefault="00C262A6" w:rsidP="00C262A6">
      <w:pPr>
        <w:pStyle w:val="TOC2"/>
        <w:tabs>
          <w:tab w:val="left" w:pos="1320"/>
        </w:tabs>
        <w:ind w:left="1276" w:hanging="709"/>
        <w:rPr>
          <w:noProof/>
        </w:rPr>
      </w:pPr>
      <w:r>
        <w:rPr>
          <w:noProof/>
        </w:rPr>
        <w:t>8.4</w:t>
      </w:r>
      <w:r w:rsidRPr="00C262A6">
        <w:rPr>
          <w:noProof/>
        </w:rPr>
        <w:tab/>
      </w:r>
      <w:r>
        <w:rPr>
          <w:noProof/>
        </w:rPr>
        <w:t>The future of the minimum wage</w:t>
      </w:r>
      <w:r>
        <w:rPr>
          <w:noProof/>
        </w:rPr>
        <w:tab/>
        <w:t>327</w:t>
      </w:r>
    </w:p>
    <w:p w14:paraId="6CA2814A" w14:textId="6C4BCA61" w:rsidR="00C262A6" w:rsidRDefault="00C262A6">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Variations from uniform minimum wages</w:t>
      </w:r>
      <w:r>
        <w:rPr>
          <w:noProof/>
        </w:rPr>
        <w:tab/>
        <w:t>335</w:t>
      </w:r>
    </w:p>
    <w:p w14:paraId="3146ED58" w14:textId="77777777" w:rsidR="00C262A6" w:rsidRPr="00C262A6" w:rsidRDefault="00C262A6" w:rsidP="00C262A6">
      <w:pPr>
        <w:pStyle w:val="TOC2"/>
        <w:tabs>
          <w:tab w:val="left" w:pos="1320"/>
        </w:tabs>
        <w:ind w:left="1276" w:hanging="709"/>
        <w:rPr>
          <w:noProof/>
        </w:rPr>
      </w:pPr>
      <w:r>
        <w:rPr>
          <w:noProof/>
        </w:rPr>
        <w:t>9.1</w:t>
      </w:r>
      <w:r w:rsidRPr="00C262A6">
        <w:rPr>
          <w:noProof/>
        </w:rPr>
        <w:tab/>
      </w:r>
      <w:r>
        <w:rPr>
          <w:noProof/>
        </w:rPr>
        <w:t>Geographical variations in minimum wages</w:t>
      </w:r>
      <w:r>
        <w:rPr>
          <w:noProof/>
        </w:rPr>
        <w:tab/>
        <w:t>336</w:t>
      </w:r>
    </w:p>
    <w:p w14:paraId="090C0D62" w14:textId="77777777" w:rsidR="00C262A6" w:rsidRPr="00C262A6" w:rsidRDefault="00C262A6" w:rsidP="00C262A6">
      <w:pPr>
        <w:pStyle w:val="TOC2"/>
        <w:tabs>
          <w:tab w:val="left" w:pos="1320"/>
        </w:tabs>
        <w:ind w:left="1276" w:hanging="709"/>
        <w:rPr>
          <w:noProof/>
        </w:rPr>
      </w:pPr>
      <w:r>
        <w:rPr>
          <w:noProof/>
        </w:rPr>
        <w:t>9.2</w:t>
      </w:r>
      <w:r w:rsidRPr="00C262A6">
        <w:rPr>
          <w:noProof/>
        </w:rPr>
        <w:tab/>
      </w:r>
      <w:r>
        <w:rPr>
          <w:noProof/>
        </w:rPr>
        <w:t>Junior pay rates</w:t>
      </w:r>
      <w:r>
        <w:rPr>
          <w:noProof/>
        </w:rPr>
        <w:tab/>
        <w:t>351</w:t>
      </w:r>
    </w:p>
    <w:p w14:paraId="2E6A15DC" w14:textId="77777777" w:rsidR="00C262A6" w:rsidRPr="00C262A6" w:rsidRDefault="00C262A6" w:rsidP="00C262A6">
      <w:pPr>
        <w:pStyle w:val="TOC2"/>
        <w:tabs>
          <w:tab w:val="left" w:pos="1320"/>
        </w:tabs>
        <w:ind w:left="1276" w:hanging="709"/>
        <w:rPr>
          <w:noProof/>
        </w:rPr>
      </w:pPr>
      <w:r>
        <w:rPr>
          <w:noProof/>
        </w:rPr>
        <w:t>9.3</w:t>
      </w:r>
      <w:r w:rsidRPr="00C262A6">
        <w:rPr>
          <w:noProof/>
        </w:rPr>
        <w:tab/>
      </w:r>
      <w:r>
        <w:rPr>
          <w:noProof/>
        </w:rPr>
        <w:t>Arrangements for apprentices and trainees</w:t>
      </w:r>
      <w:r>
        <w:rPr>
          <w:noProof/>
        </w:rPr>
        <w:tab/>
        <w:t>359</w:t>
      </w:r>
    </w:p>
    <w:p w14:paraId="36D567AC" w14:textId="3C76279C" w:rsidR="00C262A6" w:rsidRDefault="00C262A6">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Measures to complement minimum wages</w:t>
      </w:r>
      <w:r>
        <w:rPr>
          <w:noProof/>
        </w:rPr>
        <w:tab/>
        <w:t>373</w:t>
      </w:r>
    </w:p>
    <w:p w14:paraId="329FCBD2" w14:textId="4EA35801" w:rsidR="00893DEB" w:rsidRDefault="00893DEB" w:rsidP="00C262A6">
      <w:pPr>
        <w:pStyle w:val="TOC2"/>
        <w:tabs>
          <w:tab w:val="left" w:pos="1320"/>
        </w:tabs>
        <w:ind w:left="1276" w:hanging="709"/>
        <w:rPr>
          <w:noProof/>
        </w:rPr>
      </w:pPr>
      <w:r>
        <w:rPr>
          <w:noProof/>
        </w:rPr>
        <w:t>10.1</w:t>
      </w:r>
      <w:r>
        <w:rPr>
          <w:noProof/>
        </w:rPr>
        <w:tab/>
        <w:t>Earned income tax credits</w:t>
      </w:r>
      <w:r>
        <w:rPr>
          <w:noProof/>
        </w:rPr>
        <w:tab/>
        <w:t>375</w:t>
      </w:r>
    </w:p>
    <w:p w14:paraId="33F707A7" w14:textId="77777777" w:rsidR="00C262A6" w:rsidRPr="00C262A6" w:rsidRDefault="00C262A6" w:rsidP="00C262A6">
      <w:pPr>
        <w:pStyle w:val="TOC2"/>
        <w:tabs>
          <w:tab w:val="left" w:pos="1320"/>
        </w:tabs>
        <w:ind w:left="1276" w:hanging="709"/>
        <w:rPr>
          <w:noProof/>
        </w:rPr>
      </w:pPr>
      <w:r>
        <w:rPr>
          <w:noProof/>
        </w:rPr>
        <w:t>10.2</w:t>
      </w:r>
      <w:r w:rsidRPr="00C262A6">
        <w:rPr>
          <w:noProof/>
        </w:rPr>
        <w:tab/>
      </w:r>
      <w:r>
        <w:rPr>
          <w:noProof/>
        </w:rPr>
        <w:t>Other policies to enhance the wellbeing of low paid workers and jobseekers</w:t>
      </w:r>
      <w:r>
        <w:rPr>
          <w:noProof/>
        </w:rPr>
        <w:tab/>
        <w:t>386</w:t>
      </w:r>
    </w:p>
    <w:p w14:paraId="26ED672A" w14:textId="77777777" w:rsidR="00C262A6" w:rsidRDefault="00C262A6">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Role of awards</w:t>
      </w:r>
      <w:r>
        <w:rPr>
          <w:noProof/>
        </w:rPr>
        <w:tab/>
        <w:t>391</w:t>
      </w:r>
    </w:p>
    <w:p w14:paraId="7C9B7365" w14:textId="77777777" w:rsidR="00C262A6" w:rsidRPr="00C262A6" w:rsidRDefault="00C262A6" w:rsidP="00C262A6">
      <w:pPr>
        <w:pStyle w:val="TOC2"/>
        <w:tabs>
          <w:tab w:val="left" w:pos="1320"/>
        </w:tabs>
        <w:ind w:left="1276" w:hanging="709"/>
        <w:rPr>
          <w:noProof/>
        </w:rPr>
      </w:pPr>
      <w:r>
        <w:rPr>
          <w:noProof/>
        </w:rPr>
        <w:t>11.1</w:t>
      </w:r>
      <w:r w:rsidRPr="00C262A6">
        <w:rPr>
          <w:noProof/>
        </w:rPr>
        <w:tab/>
      </w:r>
      <w:r>
        <w:rPr>
          <w:noProof/>
        </w:rPr>
        <w:t>Introduction to modern awards</w:t>
      </w:r>
      <w:r>
        <w:rPr>
          <w:noProof/>
        </w:rPr>
        <w:tab/>
        <w:t>392</w:t>
      </w:r>
    </w:p>
    <w:p w14:paraId="72A6F248" w14:textId="77777777" w:rsidR="00C262A6" w:rsidRPr="00C262A6" w:rsidRDefault="00C262A6" w:rsidP="00C262A6">
      <w:pPr>
        <w:pStyle w:val="TOC2"/>
        <w:tabs>
          <w:tab w:val="left" w:pos="1320"/>
        </w:tabs>
        <w:ind w:left="1276" w:hanging="709"/>
        <w:rPr>
          <w:noProof/>
        </w:rPr>
      </w:pPr>
      <w:r>
        <w:rPr>
          <w:noProof/>
        </w:rPr>
        <w:t>11.2</w:t>
      </w:r>
      <w:r w:rsidRPr="00C262A6">
        <w:rPr>
          <w:noProof/>
        </w:rPr>
        <w:tab/>
      </w:r>
      <w:r>
        <w:rPr>
          <w:noProof/>
        </w:rPr>
        <w:t>Coverage and application of awards</w:t>
      </w:r>
      <w:r>
        <w:rPr>
          <w:noProof/>
        </w:rPr>
        <w:tab/>
        <w:t>395</w:t>
      </w:r>
    </w:p>
    <w:p w14:paraId="09A9B975" w14:textId="77777777" w:rsidR="00C262A6" w:rsidRPr="00C262A6" w:rsidRDefault="00C262A6" w:rsidP="00C262A6">
      <w:pPr>
        <w:pStyle w:val="TOC2"/>
        <w:tabs>
          <w:tab w:val="left" w:pos="1320"/>
        </w:tabs>
        <w:ind w:left="1276" w:hanging="709"/>
        <w:rPr>
          <w:noProof/>
        </w:rPr>
      </w:pPr>
      <w:r>
        <w:rPr>
          <w:noProof/>
        </w:rPr>
        <w:t>11.3</w:t>
      </w:r>
      <w:r w:rsidRPr="00C262A6">
        <w:rPr>
          <w:noProof/>
        </w:rPr>
        <w:tab/>
      </w:r>
      <w:r>
        <w:rPr>
          <w:noProof/>
        </w:rPr>
        <w:t>History of awards</w:t>
      </w:r>
      <w:r>
        <w:rPr>
          <w:noProof/>
        </w:rPr>
        <w:tab/>
        <w:t>401</w:t>
      </w:r>
    </w:p>
    <w:p w14:paraId="4F3C7660" w14:textId="77777777" w:rsidR="00C262A6" w:rsidRPr="00C262A6" w:rsidRDefault="00C262A6" w:rsidP="00C262A6">
      <w:pPr>
        <w:pStyle w:val="TOC2"/>
        <w:tabs>
          <w:tab w:val="left" w:pos="1320"/>
        </w:tabs>
        <w:ind w:left="1276" w:hanging="709"/>
        <w:rPr>
          <w:noProof/>
        </w:rPr>
      </w:pPr>
      <w:r>
        <w:rPr>
          <w:noProof/>
        </w:rPr>
        <w:t>11.4</w:t>
      </w:r>
      <w:r w:rsidRPr="00C262A6">
        <w:rPr>
          <w:noProof/>
        </w:rPr>
        <w:tab/>
      </w:r>
      <w:r>
        <w:rPr>
          <w:noProof/>
        </w:rPr>
        <w:t>Awards in the modern era — the shift to a safety net</w:t>
      </w:r>
      <w:r>
        <w:rPr>
          <w:noProof/>
        </w:rPr>
        <w:tab/>
        <w:t>413</w:t>
      </w:r>
    </w:p>
    <w:p w14:paraId="5D96158B" w14:textId="77777777" w:rsidR="00C262A6" w:rsidRPr="00C262A6" w:rsidRDefault="00C262A6" w:rsidP="00C262A6">
      <w:pPr>
        <w:pStyle w:val="TOC2"/>
        <w:tabs>
          <w:tab w:val="left" w:pos="1320"/>
        </w:tabs>
        <w:ind w:left="1276" w:hanging="709"/>
        <w:rPr>
          <w:noProof/>
        </w:rPr>
      </w:pPr>
      <w:r>
        <w:rPr>
          <w:noProof/>
        </w:rPr>
        <w:t>11.5</w:t>
      </w:r>
      <w:r w:rsidRPr="00C262A6">
        <w:rPr>
          <w:noProof/>
        </w:rPr>
        <w:tab/>
      </w:r>
      <w:r>
        <w:rPr>
          <w:noProof/>
        </w:rPr>
        <w:t>What role do awards play?</w:t>
      </w:r>
      <w:r>
        <w:rPr>
          <w:noProof/>
        </w:rPr>
        <w:tab/>
        <w:t>416</w:t>
      </w:r>
    </w:p>
    <w:p w14:paraId="61C55913" w14:textId="77777777" w:rsidR="00C262A6" w:rsidRPr="00C262A6" w:rsidRDefault="00C262A6" w:rsidP="00C262A6">
      <w:pPr>
        <w:pStyle w:val="TOC2"/>
        <w:tabs>
          <w:tab w:val="left" w:pos="1320"/>
        </w:tabs>
        <w:ind w:left="1276" w:hanging="709"/>
        <w:rPr>
          <w:noProof/>
        </w:rPr>
      </w:pPr>
      <w:r>
        <w:rPr>
          <w:noProof/>
        </w:rPr>
        <w:t>11.6</w:t>
      </w:r>
      <w:r w:rsidRPr="00C262A6">
        <w:rPr>
          <w:noProof/>
        </w:rPr>
        <w:tab/>
      </w:r>
      <w:r>
        <w:rPr>
          <w:noProof/>
        </w:rPr>
        <w:t>Is there another way?</w:t>
      </w:r>
      <w:r>
        <w:rPr>
          <w:noProof/>
        </w:rPr>
        <w:tab/>
        <w:t>420</w:t>
      </w:r>
    </w:p>
    <w:p w14:paraId="6AF71719" w14:textId="77777777" w:rsidR="00C262A6" w:rsidRDefault="00C262A6">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Repairing awards</w:t>
      </w:r>
      <w:r>
        <w:rPr>
          <w:noProof/>
        </w:rPr>
        <w:tab/>
        <w:t>427</w:t>
      </w:r>
    </w:p>
    <w:p w14:paraId="243E1B2F" w14:textId="77777777" w:rsidR="00C262A6" w:rsidRPr="00C262A6" w:rsidRDefault="00C262A6" w:rsidP="00C262A6">
      <w:pPr>
        <w:pStyle w:val="TOC2"/>
        <w:tabs>
          <w:tab w:val="left" w:pos="1320"/>
        </w:tabs>
        <w:ind w:left="1276" w:hanging="709"/>
        <w:rPr>
          <w:noProof/>
        </w:rPr>
      </w:pPr>
      <w:r>
        <w:rPr>
          <w:noProof/>
        </w:rPr>
        <w:t>12.1</w:t>
      </w:r>
      <w:r w:rsidRPr="00C262A6">
        <w:rPr>
          <w:noProof/>
        </w:rPr>
        <w:tab/>
      </w:r>
      <w:r w:rsidRPr="00C262A6">
        <w:rPr>
          <w:noProof/>
          <w:spacing w:val="-4"/>
        </w:rPr>
        <w:t>Award assessments within the Minimum Standards Division</w:t>
      </w:r>
      <w:r w:rsidRPr="00C262A6">
        <w:rPr>
          <w:noProof/>
          <w:spacing w:val="-4"/>
        </w:rPr>
        <w:tab/>
      </w:r>
      <w:r>
        <w:rPr>
          <w:noProof/>
        </w:rPr>
        <w:t>428</w:t>
      </w:r>
    </w:p>
    <w:p w14:paraId="7DA5B2B6" w14:textId="77777777" w:rsidR="00C262A6" w:rsidRPr="00C262A6" w:rsidRDefault="00C262A6" w:rsidP="00C262A6">
      <w:pPr>
        <w:pStyle w:val="TOC2"/>
        <w:tabs>
          <w:tab w:val="left" w:pos="1320"/>
        </w:tabs>
        <w:ind w:left="1276" w:hanging="709"/>
        <w:rPr>
          <w:noProof/>
        </w:rPr>
      </w:pPr>
      <w:r>
        <w:rPr>
          <w:noProof/>
        </w:rPr>
        <w:t>12.2</w:t>
      </w:r>
      <w:r w:rsidRPr="00C262A6">
        <w:rPr>
          <w:noProof/>
        </w:rPr>
        <w:tab/>
      </w:r>
      <w:r>
        <w:rPr>
          <w:noProof/>
        </w:rPr>
        <w:t>Making awards easier to use</w:t>
      </w:r>
      <w:r>
        <w:rPr>
          <w:noProof/>
        </w:rPr>
        <w:tab/>
        <w:t>436</w:t>
      </w:r>
    </w:p>
    <w:p w14:paraId="58C5EBBF" w14:textId="77777777" w:rsidR="00C262A6" w:rsidRPr="00C262A6" w:rsidRDefault="00C262A6" w:rsidP="00C262A6">
      <w:pPr>
        <w:pStyle w:val="TOC2"/>
        <w:tabs>
          <w:tab w:val="left" w:pos="1320"/>
        </w:tabs>
        <w:ind w:left="1276" w:hanging="709"/>
        <w:rPr>
          <w:noProof/>
        </w:rPr>
      </w:pPr>
      <w:r>
        <w:rPr>
          <w:noProof/>
        </w:rPr>
        <w:t>12.3</w:t>
      </w:r>
      <w:r w:rsidRPr="00C262A6">
        <w:rPr>
          <w:noProof/>
        </w:rPr>
        <w:tab/>
      </w:r>
      <w:r>
        <w:rPr>
          <w:noProof/>
        </w:rPr>
        <w:t>Assessing the complex and critical issues</w:t>
      </w:r>
      <w:r>
        <w:rPr>
          <w:noProof/>
        </w:rPr>
        <w:tab/>
        <w:t>439</w:t>
      </w:r>
    </w:p>
    <w:p w14:paraId="3BF1F35A" w14:textId="77777777" w:rsidR="00C262A6" w:rsidRPr="00C262A6" w:rsidRDefault="00C262A6" w:rsidP="00C262A6">
      <w:pPr>
        <w:pStyle w:val="TOC2"/>
        <w:tabs>
          <w:tab w:val="left" w:pos="1320"/>
        </w:tabs>
        <w:ind w:left="1276" w:hanging="709"/>
        <w:rPr>
          <w:noProof/>
        </w:rPr>
      </w:pPr>
      <w:r>
        <w:rPr>
          <w:noProof/>
        </w:rPr>
        <w:t>12.4</w:t>
      </w:r>
      <w:r w:rsidRPr="00C262A6">
        <w:rPr>
          <w:noProof/>
        </w:rPr>
        <w:tab/>
      </w:r>
      <w:r>
        <w:rPr>
          <w:noProof/>
        </w:rPr>
        <w:t>Assessments of minimum wage rates and classifications in awards</w:t>
      </w:r>
      <w:r>
        <w:rPr>
          <w:noProof/>
        </w:rPr>
        <w:tab/>
        <w:t>441</w:t>
      </w:r>
    </w:p>
    <w:p w14:paraId="4C118BED" w14:textId="77777777" w:rsidR="00C262A6" w:rsidRPr="00C262A6" w:rsidRDefault="00C262A6" w:rsidP="00C262A6">
      <w:pPr>
        <w:pStyle w:val="TOC2"/>
        <w:tabs>
          <w:tab w:val="left" w:pos="1320"/>
        </w:tabs>
        <w:ind w:left="1276" w:hanging="709"/>
        <w:rPr>
          <w:noProof/>
        </w:rPr>
      </w:pPr>
      <w:r>
        <w:rPr>
          <w:noProof/>
        </w:rPr>
        <w:t>12.5</w:t>
      </w:r>
      <w:r w:rsidRPr="00C262A6">
        <w:rPr>
          <w:noProof/>
        </w:rPr>
        <w:tab/>
      </w:r>
      <w:r>
        <w:rPr>
          <w:noProof/>
        </w:rPr>
        <w:t>Assessments of conditions and entitlements in awards</w:t>
      </w:r>
      <w:r>
        <w:rPr>
          <w:noProof/>
        </w:rPr>
        <w:tab/>
        <w:t>451</w:t>
      </w:r>
    </w:p>
    <w:p w14:paraId="045F6C55" w14:textId="77777777" w:rsidR="00893DEB" w:rsidRDefault="00893DEB">
      <w:pPr>
        <w:rPr>
          <w:rFonts w:ascii="Arial" w:hAnsi="Arial"/>
          <w:b/>
          <w:noProof/>
          <w:szCs w:val="26"/>
        </w:rPr>
      </w:pPr>
      <w:r>
        <w:rPr>
          <w:noProof/>
        </w:rPr>
        <w:br w:type="page"/>
      </w:r>
    </w:p>
    <w:p w14:paraId="5831E0D5" w14:textId="7CE1FACC" w:rsidR="00C262A6" w:rsidRDefault="00C262A6">
      <w:pPr>
        <w:pStyle w:val="TOC1"/>
        <w:rPr>
          <w:rFonts w:asciiTheme="minorHAnsi" w:eastAsiaTheme="minorEastAsia" w:hAnsiTheme="minorHAnsi" w:cstheme="minorBidi"/>
          <w:b w:val="0"/>
          <w:noProof/>
          <w:sz w:val="22"/>
          <w:szCs w:val="22"/>
          <w:lang w:eastAsia="en-AU"/>
        </w:rPr>
      </w:pPr>
      <w:r>
        <w:rPr>
          <w:noProof/>
        </w:rPr>
        <w:lastRenderedPageBreak/>
        <w:t>13</w:t>
      </w:r>
      <w:r>
        <w:rPr>
          <w:rFonts w:asciiTheme="minorHAnsi" w:eastAsiaTheme="minorEastAsia" w:hAnsiTheme="minorHAnsi" w:cstheme="minorBidi"/>
          <w:b w:val="0"/>
          <w:noProof/>
          <w:sz w:val="22"/>
          <w:szCs w:val="22"/>
          <w:lang w:eastAsia="en-AU"/>
        </w:rPr>
        <w:tab/>
      </w:r>
      <w:r>
        <w:rPr>
          <w:noProof/>
        </w:rPr>
        <w:t>Penalty rates for long hours and night work</w:t>
      </w:r>
      <w:r>
        <w:rPr>
          <w:noProof/>
        </w:rPr>
        <w:tab/>
        <w:t>457</w:t>
      </w:r>
    </w:p>
    <w:p w14:paraId="0C8B2E23" w14:textId="77777777" w:rsidR="00C262A6" w:rsidRPr="00C262A6" w:rsidRDefault="00C262A6" w:rsidP="00C262A6">
      <w:pPr>
        <w:pStyle w:val="TOC2"/>
        <w:tabs>
          <w:tab w:val="left" w:pos="1320"/>
        </w:tabs>
        <w:ind w:left="1276" w:hanging="709"/>
        <w:rPr>
          <w:noProof/>
        </w:rPr>
      </w:pPr>
      <w:r>
        <w:rPr>
          <w:noProof/>
        </w:rPr>
        <w:t>13.1</w:t>
      </w:r>
      <w:r w:rsidRPr="00C262A6">
        <w:rPr>
          <w:noProof/>
        </w:rPr>
        <w:tab/>
      </w:r>
      <w:r>
        <w:rPr>
          <w:noProof/>
        </w:rPr>
        <w:t>Current regulation of long hours and night work</w:t>
      </w:r>
      <w:r>
        <w:rPr>
          <w:noProof/>
        </w:rPr>
        <w:tab/>
        <w:t>460</w:t>
      </w:r>
    </w:p>
    <w:p w14:paraId="5275B7A0" w14:textId="77777777" w:rsidR="00C262A6" w:rsidRPr="00C262A6" w:rsidRDefault="00C262A6" w:rsidP="00C262A6">
      <w:pPr>
        <w:pStyle w:val="TOC2"/>
        <w:tabs>
          <w:tab w:val="left" w:pos="1320"/>
        </w:tabs>
        <w:ind w:left="1276" w:hanging="709"/>
        <w:rPr>
          <w:noProof/>
        </w:rPr>
      </w:pPr>
      <w:r>
        <w:rPr>
          <w:noProof/>
        </w:rPr>
        <w:t>13.2</w:t>
      </w:r>
      <w:r w:rsidRPr="00C262A6">
        <w:rPr>
          <w:noProof/>
        </w:rPr>
        <w:tab/>
      </w:r>
      <w:r>
        <w:rPr>
          <w:noProof/>
        </w:rPr>
        <w:t>The prevalence of long hours and night work</w:t>
      </w:r>
      <w:r>
        <w:rPr>
          <w:noProof/>
        </w:rPr>
        <w:tab/>
        <w:t>466</w:t>
      </w:r>
    </w:p>
    <w:p w14:paraId="091256D6" w14:textId="77777777" w:rsidR="00C262A6" w:rsidRPr="00C262A6" w:rsidRDefault="00C262A6" w:rsidP="00C262A6">
      <w:pPr>
        <w:pStyle w:val="TOC2"/>
        <w:tabs>
          <w:tab w:val="left" w:pos="1320"/>
        </w:tabs>
        <w:ind w:left="1276" w:hanging="709"/>
        <w:rPr>
          <w:noProof/>
        </w:rPr>
      </w:pPr>
      <w:r>
        <w:rPr>
          <w:noProof/>
        </w:rPr>
        <w:t>13.3</w:t>
      </w:r>
      <w:r w:rsidRPr="00C262A6">
        <w:rPr>
          <w:noProof/>
        </w:rPr>
        <w:tab/>
      </w:r>
      <w:r>
        <w:rPr>
          <w:noProof/>
        </w:rPr>
        <w:t>Assessing long hours and night work regulation</w:t>
      </w:r>
      <w:r>
        <w:rPr>
          <w:noProof/>
        </w:rPr>
        <w:tab/>
        <w:t>473</w:t>
      </w:r>
    </w:p>
    <w:p w14:paraId="1F99FDD3" w14:textId="77777777" w:rsidR="00C262A6" w:rsidRPr="00C262A6" w:rsidRDefault="00C262A6" w:rsidP="00C262A6">
      <w:pPr>
        <w:pStyle w:val="TOC2"/>
        <w:tabs>
          <w:tab w:val="left" w:pos="1320"/>
        </w:tabs>
        <w:ind w:left="1276" w:hanging="709"/>
        <w:rPr>
          <w:noProof/>
        </w:rPr>
      </w:pPr>
      <w:r w:rsidRPr="00C262A6">
        <w:rPr>
          <w:noProof/>
        </w:rPr>
        <w:t>13.4</w:t>
      </w:r>
      <w:r w:rsidRPr="00C262A6">
        <w:rPr>
          <w:noProof/>
        </w:rPr>
        <w:tab/>
        <w:t>A case for reform?</w:t>
      </w:r>
      <w:r>
        <w:rPr>
          <w:noProof/>
        </w:rPr>
        <w:tab/>
        <w:t>481</w:t>
      </w:r>
    </w:p>
    <w:p w14:paraId="71AB5653" w14:textId="111647ED" w:rsidR="00C262A6" w:rsidRDefault="00C262A6">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Regulated weekend penalty rates for selected consumer services</w:t>
      </w:r>
      <w:r>
        <w:rPr>
          <w:noProof/>
        </w:rPr>
        <w:tab/>
        <w:t>483</w:t>
      </w:r>
    </w:p>
    <w:p w14:paraId="551BA3B7" w14:textId="77777777" w:rsidR="00C262A6" w:rsidRPr="00C262A6" w:rsidRDefault="00C262A6" w:rsidP="00C262A6">
      <w:pPr>
        <w:pStyle w:val="TOC2"/>
        <w:tabs>
          <w:tab w:val="left" w:pos="1320"/>
        </w:tabs>
        <w:ind w:left="1276" w:hanging="709"/>
        <w:rPr>
          <w:noProof/>
        </w:rPr>
      </w:pPr>
      <w:r>
        <w:rPr>
          <w:noProof/>
        </w:rPr>
        <w:t>14.1</w:t>
      </w:r>
      <w:r w:rsidRPr="00C262A6">
        <w:rPr>
          <w:noProof/>
        </w:rPr>
        <w:tab/>
      </w:r>
      <w:r>
        <w:rPr>
          <w:noProof/>
        </w:rPr>
        <w:t>Weekend penalty rate arrangements</w:t>
      </w:r>
      <w:r>
        <w:rPr>
          <w:noProof/>
        </w:rPr>
        <w:tab/>
        <w:t>486</w:t>
      </w:r>
    </w:p>
    <w:p w14:paraId="20647D2C" w14:textId="77777777" w:rsidR="00C262A6" w:rsidRPr="00C262A6" w:rsidRDefault="00C262A6" w:rsidP="00C262A6">
      <w:pPr>
        <w:pStyle w:val="TOC2"/>
        <w:tabs>
          <w:tab w:val="left" w:pos="1320"/>
        </w:tabs>
        <w:ind w:left="1276" w:hanging="709"/>
        <w:rPr>
          <w:noProof/>
        </w:rPr>
      </w:pPr>
      <w:r>
        <w:rPr>
          <w:noProof/>
        </w:rPr>
        <w:t>14.2</w:t>
      </w:r>
      <w:r w:rsidRPr="00C262A6">
        <w:rPr>
          <w:noProof/>
        </w:rPr>
        <w:tab/>
      </w:r>
      <w:r>
        <w:rPr>
          <w:noProof/>
        </w:rPr>
        <w:t>The shift to a seven</w:t>
      </w:r>
      <w:r>
        <w:rPr>
          <w:noProof/>
        </w:rPr>
        <w:noBreakHyphen/>
        <w:t>day consumer economy</w:t>
      </w:r>
      <w:r>
        <w:rPr>
          <w:noProof/>
        </w:rPr>
        <w:tab/>
        <w:t>493</w:t>
      </w:r>
    </w:p>
    <w:p w14:paraId="4A22C4B8" w14:textId="77777777" w:rsidR="00C262A6" w:rsidRPr="00C262A6" w:rsidRDefault="00C262A6" w:rsidP="00C262A6">
      <w:pPr>
        <w:pStyle w:val="TOC2"/>
        <w:tabs>
          <w:tab w:val="left" w:pos="1320"/>
        </w:tabs>
        <w:ind w:left="1276" w:hanging="709"/>
        <w:rPr>
          <w:noProof/>
        </w:rPr>
      </w:pPr>
      <w:r>
        <w:rPr>
          <w:noProof/>
        </w:rPr>
        <w:t>14.3</w:t>
      </w:r>
      <w:r w:rsidRPr="00C262A6">
        <w:rPr>
          <w:noProof/>
        </w:rPr>
        <w:tab/>
      </w:r>
      <w:r>
        <w:rPr>
          <w:noProof/>
        </w:rPr>
        <w:t>The effects of working on weekends for employees and their families</w:t>
      </w:r>
      <w:r>
        <w:rPr>
          <w:noProof/>
        </w:rPr>
        <w:tab/>
        <w:t>499</w:t>
      </w:r>
    </w:p>
    <w:p w14:paraId="32E1A87A" w14:textId="77777777" w:rsidR="00C262A6" w:rsidRPr="00C262A6" w:rsidRDefault="00C262A6" w:rsidP="00C262A6">
      <w:pPr>
        <w:pStyle w:val="TOC2"/>
        <w:tabs>
          <w:tab w:val="left" w:pos="1320"/>
        </w:tabs>
        <w:ind w:left="1276" w:hanging="709"/>
        <w:rPr>
          <w:noProof/>
        </w:rPr>
      </w:pPr>
      <w:r>
        <w:rPr>
          <w:noProof/>
        </w:rPr>
        <w:t>14.4</w:t>
      </w:r>
      <w:r w:rsidRPr="00C262A6">
        <w:rPr>
          <w:noProof/>
        </w:rPr>
        <w:tab/>
      </w:r>
      <w:r>
        <w:rPr>
          <w:noProof/>
        </w:rPr>
        <w:t>The implications of the higher value people place on weekends</w:t>
      </w:r>
      <w:r>
        <w:rPr>
          <w:noProof/>
        </w:rPr>
        <w:tab/>
        <w:t>503</w:t>
      </w:r>
    </w:p>
    <w:p w14:paraId="16091DCD" w14:textId="77777777" w:rsidR="00C262A6" w:rsidRPr="00C262A6" w:rsidRDefault="00C262A6" w:rsidP="00C262A6">
      <w:pPr>
        <w:pStyle w:val="TOC2"/>
        <w:tabs>
          <w:tab w:val="left" w:pos="1320"/>
        </w:tabs>
        <w:ind w:left="1276" w:hanging="709"/>
        <w:rPr>
          <w:noProof/>
        </w:rPr>
      </w:pPr>
      <w:r>
        <w:rPr>
          <w:noProof/>
        </w:rPr>
        <w:t>14.5</w:t>
      </w:r>
      <w:r w:rsidRPr="00C262A6">
        <w:rPr>
          <w:noProof/>
        </w:rPr>
        <w:tab/>
      </w:r>
      <w:r>
        <w:rPr>
          <w:noProof/>
        </w:rPr>
        <w:t>What does the evidence suggest about the level of penalty rates?</w:t>
      </w:r>
      <w:r>
        <w:rPr>
          <w:noProof/>
        </w:rPr>
        <w:tab/>
        <w:t>507</w:t>
      </w:r>
    </w:p>
    <w:p w14:paraId="76C8EDE7" w14:textId="77777777" w:rsidR="00C262A6" w:rsidRPr="00C262A6" w:rsidRDefault="00C262A6" w:rsidP="00C262A6">
      <w:pPr>
        <w:pStyle w:val="TOC2"/>
        <w:tabs>
          <w:tab w:val="left" w:pos="1320"/>
        </w:tabs>
        <w:ind w:left="1276" w:hanging="709"/>
        <w:rPr>
          <w:noProof/>
        </w:rPr>
      </w:pPr>
      <w:r>
        <w:rPr>
          <w:noProof/>
        </w:rPr>
        <w:t>14.6</w:t>
      </w:r>
      <w:r w:rsidRPr="00C262A6">
        <w:rPr>
          <w:noProof/>
        </w:rPr>
        <w:tab/>
      </w:r>
      <w:r>
        <w:rPr>
          <w:noProof/>
        </w:rPr>
        <w:t>The impacts of change</w:t>
      </w:r>
      <w:r>
        <w:rPr>
          <w:noProof/>
        </w:rPr>
        <w:tab/>
        <w:t>516</w:t>
      </w:r>
    </w:p>
    <w:p w14:paraId="155BAC1C" w14:textId="77777777" w:rsidR="00C262A6" w:rsidRPr="00C262A6" w:rsidRDefault="00C262A6" w:rsidP="00C262A6">
      <w:pPr>
        <w:pStyle w:val="TOC2"/>
        <w:tabs>
          <w:tab w:val="left" w:pos="1320"/>
        </w:tabs>
        <w:ind w:left="1276" w:hanging="709"/>
        <w:rPr>
          <w:noProof/>
        </w:rPr>
      </w:pPr>
      <w:r>
        <w:rPr>
          <w:noProof/>
        </w:rPr>
        <w:t>14.7</w:t>
      </w:r>
      <w:r w:rsidRPr="00C262A6">
        <w:rPr>
          <w:noProof/>
        </w:rPr>
        <w:tab/>
      </w:r>
      <w:r>
        <w:rPr>
          <w:noProof/>
        </w:rPr>
        <w:t>Change is warranted</w:t>
      </w:r>
      <w:r>
        <w:rPr>
          <w:noProof/>
        </w:rPr>
        <w:tab/>
        <w:t>526</w:t>
      </w:r>
    </w:p>
    <w:p w14:paraId="78E664F1" w14:textId="77777777" w:rsidR="00C262A6" w:rsidRPr="00C262A6" w:rsidRDefault="00C262A6" w:rsidP="00C262A6">
      <w:pPr>
        <w:pStyle w:val="TOC2"/>
        <w:tabs>
          <w:tab w:val="left" w:pos="1320"/>
        </w:tabs>
        <w:ind w:left="1276" w:hanging="709"/>
        <w:rPr>
          <w:noProof/>
        </w:rPr>
      </w:pPr>
      <w:r>
        <w:rPr>
          <w:noProof/>
        </w:rPr>
        <w:t>14.8</w:t>
      </w:r>
      <w:r w:rsidRPr="00C262A6">
        <w:rPr>
          <w:noProof/>
        </w:rPr>
        <w:tab/>
      </w:r>
      <w:r>
        <w:rPr>
          <w:noProof/>
        </w:rPr>
        <w:t>Other industries</w:t>
      </w:r>
      <w:r>
        <w:rPr>
          <w:noProof/>
        </w:rPr>
        <w:tab/>
        <w:t>528</w:t>
      </w:r>
    </w:p>
    <w:p w14:paraId="39BB6949" w14:textId="77777777" w:rsidR="00C262A6" w:rsidRPr="00C262A6" w:rsidRDefault="00C262A6" w:rsidP="00C262A6">
      <w:pPr>
        <w:pStyle w:val="TOC2"/>
        <w:tabs>
          <w:tab w:val="left" w:pos="1320"/>
        </w:tabs>
        <w:ind w:left="1276" w:hanging="709"/>
        <w:rPr>
          <w:noProof/>
        </w:rPr>
      </w:pPr>
      <w:r>
        <w:rPr>
          <w:noProof/>
        </w:rPr>
        <w:t>14.9</w:t>
      </w:r>
      <w:r w:rsidRPr="00C262A6">
        <w:rPr>
          <w:noProof/>
        </w:rPr>
        <w:tab/>
      </w:r>
      <w:r>
        <w:rPr>
          <w:noProof/>
        </w:rPr>
        <w:t>Holiday pay</w:t>
      </w:r>
      <w:r>
        <w:rPr>
          <w:noProof/>
        </w:rPr>
        <w:tab/>
        <w:t>532</w:t>
      </w:r>
    </w:p>
    <w:p w14:paraId="65C2F966" w14:textId="77777777" w:rsidR="00C262A6" w:rsidRDefault="00C262A6">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Enterprise bargaining</w:t>
      </w:r>
      <w:r>
        <w:rPr>
          <w:noProof/>
        </w:rPr>
        <w:tab/>
        <w:t>533</w:t>
      </w:r>
    </w:p>
    <w:p w14:paraId="03E69CC5" w14:textId="77777777" w:rsidR="00C262A6" w:rsidRPr="00C262A6" w:rsidRDefault="00C262A6" w:rsidP="00C262A6">
      <w:pPr>
        <w:pStyle w:val="TOC2"/>
        <w:tabs>
          <w:tab w:val="left" w:pos="1320"/>
        </w:tabs>
        <w:ind w:left="1276" w:hanging="709"/>
        <w:rPr>
          <w:noProof/>
        </w:rPr>
      </w:pPr>
      <w:r>
        <w:rPr>
          <w:noProof/>
        </w:rPr>
        <w:t>15.1</w:t>
      </w:r>
      <w:r w:rsidRPr="00C262A6">
        <w:rPr>
          <w:noProof/>
        </w:rPr>
        <w:tab/>
      </w:r>
      <w:r>
        <w:rPr>
          <w:noProof/>
        </w:rPr>
        <w:t>Collective bargaining in Australia</w:t>
      </w:r>
      <w:r>
        <w:rPr>
          <w:noProof/>
        </w:rPr>
        <w:tab/>
        <w:t>534</w:t>
      </w:r>
    </w:p>
    <w:p w14:paraId="4118D575" w14:textId="77777777" w:rsidR="00C262A6" w:rsidRPr="00C262A6" w:rsidRDefault="00C262A6" w:rsidP="00C262A6">
      <w:pPr>
        <w:pStyle w:val="TOC2"/>
        <w:tabs>
          <w:tab w:val="left" w:pos="1320"/>
        </w:tabs>
        <w:ind w:left="1276" w:hanging="709"/>
        <w:rPr>
          <w:noProof/>
        </w:rPr>
      </w:pPr>
      <w:r>
        <w:rPr>
          <w:noProof/>
        </w:rPr>
        <w:t>15.2</w:t>
      </w:r>
      <w:r w:rsidRPr="00C262A6">
        <w:rPr>
          <w:noProof/>
        </w:rPr>
        <w:tab/>
      </w:r>
      <w:r>
        <w:rPr>
          <w:noProof/>
        </w:rPr>
        <w:t>Current rules around enterprise bargaining</w:t>
      </w:r>
      <w:r>
        <w:rPr>
          <w:noProof/>
        </w:rPr>
        <w:tab/>
        <w:t>537</w:t>
      </w:r>
    </w:p>
    <w:p w14:paraId="70C1C391" w14:textId="77777777" w:rsidR="00C262A6" w:rsidRPr="00C262A6" w:rsidRDefault="00C262A6" w:rsidP="00C262A6">
      <w:pPr>
        <w:pStyle w:val="TOC2"/>
        <w:tabs>
          <w:tab w:val="left" w:pos="1320"/>
        </w:tabs>
        <w:ind w:left="1276" w:hanging="709"/>
        <w:rPr>
          <w:noProof/>
        </w:rPr>
      </w:pPr>
      <w:r>
        <w:rPr>
          <w:noProof/>
        </w:rPr>
        <w:t>15.3</w:t>
      </w:r>
      <w:r w:rsidRPr="00C262A6">
        <w:rPr>
          <w:noProof/>
        </w:rPr>
        <w:tab/>
      </w:r>
      <w:r>
        <w:rPr>
          <w:noProof/>
        </w:rPr>
        <w:t>Patterns in the use of enterprise agreements</w:t>
      </w:r>
      <w:r>
        <w:rPr>
          <w:noProof/>
        </w:rPr>
        <w:tab/>
        <w:t>549</w:t>
      </w:r>
    </w:p>
    <w:p w14:paraId="54787840" w14:textId="77777777" w:rsidR="00C262A6" w:rsidRPr="00C262A6" w:rsidRDefault="00C262A6" w:rsidP="00C262A6">
      <w:pPr>
        <w:pStyle w:val="TOC2"/>
        <w:tabs>
          <w:tab w:val="left" w:pos="1320"/>
        </w:tabs>
        <w:ind w:left="1276" w:hanging="709"/>
        <w:rPr>
          <w:noProof/>
        </w:rPr>
      </w:pPr>
      <w:r>
        <w:rPr>
          <w:noProof/>
        </w:rPr>
        <w:t>15.4</w:t>
      </w:r>
      <w:r w:rsidRPr="00C262A6">
        <w:rPr>
          <w:noProof/>
        </w:rPr>
        <w:tab/>
      </w:r>
      <w:r>
        <w:rPr>
          <w:noProof/>
        </w:rPr>
        <w:t>Adequacy of current arrangements and possible reforms</w:t>
      </w:r>
      <w:r>
        <w:rPr>
          <w:noProof/>
        </w:rPr>
        <w:tab/>
        <w:t>551</w:t>
      </w:r>
    </w:p>
    <w:p w14:paraId="2CAA22B7" w14:textId="77777777" w:rsidR="00C262A6" w:rsidRPr="00C262A6" w:rsidRDefault="00C262A6" w:rsidP="00C262A6">
      <w:pPr>
        <w:pStyle w:val="TOC2"/>
        <w:tabs>
          <w:tab w:val="left" w:pos="1320"/>
        </w:tabs>
        <w:ind w:left="1276" w:hanging="709"/>
        <w:rPr>
          <w:noProof/>
        </w:rPr>
      </w:pPr>
      <w:r>
        <w:rPr>
          <w:noProof/>
        </w:rPr>
        <w:t>15.5</w:t>
      </w:r>
      <w:r w:rsidRPr="00C262A6">
        <w:rPr>
          <w:noProof/>
        </w:rPr>
        <w:tab/>
      </w:r>
      <w:r>
        <w:rPr>
          <w:noProof/>
        </w:rPr>
        <w:t>Is enterprise bargaining suited to changing ways of working?</w:t>
      </w:r>
      <w:r>
        <w:rPr>
          <w:noProof/>
        </w:rPr>
        <w:tab/>
        <w:t>587</w:t>
      </w:r>
    </w:p>
    <w:p w14:paraId="16029CCD" w14:textId="77777777" w:rsidR="00C262A6" w:rsidRDefault="00C262A6">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Individual arrangements</w:t>
      </w:r>
      <w:r>
        <w:rPr>
          <w:noProof/>
        </w:rPr>
        <w:tab/>
        <w:t>591</w:t>
      </w:r>
    </w:p>
    <w:p w14:paraId="7D462189" w14:textId="77777777" w:rsidR="00C262A6" w:rsidRPr="00C262A6" w:rsidRDefault="00C262A6" w:rsidP="00C262A6">
      <w:pPr>
        <w:pStyle w:val="TOC2"/>
        <w:tabs>
          <w:tab w:val="left" w:pos="1320"/>
        </w:tabs>
        <w:ind w:left="1276" w:hanging="709"/>
        <w:rPr>
          <w:noProof/>
        </w:rPr>
      </w:pPr>
      <w:r>
        <w:rPr>
          <w:noProof/>
        </w:rPr>
        <w:t>16.1</w:t>
      </w:r>
      <w:r w:rsidRPr="00C262A6">
        <w:rPr>
          <w:noProof/>
        </w:rPr>
        <w:tab/>
      </w:r>
      <w:r>
        <w:rPr>
          <w:noProof/>
        </w:rPr>
        <w:t>Why employers and employees use individual arrangements</w:t>
      </w:r>
      <w:r>
        <w:rPr>
          <w:noProof/>
        </w:rPr>
        <w:tab/>
        <w:t>592</w:t>
      </w:r>
    </w:p>
    <w:p w14:paraId="06818666" w14:textId="77777777" w:rsidR="00C262A6" w:rsidRPr="00C262A6" w:rsidRDefault="00C262A6" w:rsidP="00C262A6">
      <w:pPr>
        <w:pStyle w:val="TOC2"/>
        <w:tabs>
          <w:tab w:val="left" w:pos="1320"/>
        </w:tabs>
        <w:ind w:left="1276" w:hanging="709"/>
        <w:rPr>
          <w:noProof/>
        </w:rPr>
      </w:pPr>
      <w:r>
        <w:rPr>
          <w:noProof/>
        </w:rPr>
        <w:t>16.2</w:t>
      </w:r>
      <w:r w:rsidRPr="00C262A6">
        <w:rPr>
          <w:noProof/>
        </w:rPr>
        <w:tab/>
      </w:r>
      <w:r>
        <w:rPr>
          <w:noProof/>
        </w:rPr>
        <w:t>Forms of statutory individual arrangements</w:t>
      </w:r>
      <w:r>
        <w:rPr>
          <w:noProof/>
        </w:rPr>
        <w:tab/>
        <w:t>596</w:t>
      </w:r>
    </w:p>
    <w:p w14:paraId="320DB3AC" w14:textId="77777777" w:rsidR="00C262A6" w:rsidRPr="00C262A6" w:rsidRDefault="00C262A6" w:rsidP="00C262A6">
      <w:pPr>
        <w:pStyle w:val="TOC2"/>
        <w:tabs>
          <w:tab w:val="left" w:pos="1320"/>
        </w:tabs>
        <w:ind w:left="1276" w:hanging="709"/>
        <w:rPr>
          <w:noProof/>
        </w:rPr>
      </w:pPr>
      <w:r>
        <w:rPr>
          <w:noProof/>
        </w:rPr>
        <w:t>16.3</w:t>
      </w:r>
      <w:r w:rsidRPr="00C262A6">
        <w:rPr>
          <w:noProof/>
        </w:rPr>
        <w:tab/>
      </w:r>
      <w:r>
        <w:rPr>
          <w:noProof/>
        </w:rPr>
        <w:t>Issues with individual flexibility arrangements</w:t>
      </w:r>
      <w:r>
        <w:rPr>
          <w:noProof/>
        </w:rPr>
        <w:tab/>
        <w:t>600</w:t>
      </w:r>
    </w:p>
    <w:p w14:paraId="52B2A54D" w14:textId="77777777" w:rsidR="00C262A6" w:rsidRPr="00C262A6" w:rsidRDefault="00C262A6" w:rsidP="00C262A6">
      <w:pPr>
        <w:pStyle w:val="TOC2"/>
        <w:tabs>
          <w:tab w:val="left" w:pos="1320"/>
        </w:tabs>
        <w:ind w:left="1276" w:hanging="709"/>
        <w:rPr>
          <w:noProof/>
        </w:rPr>
      </w:pPr>
      <w:r>
        <w:rPr>
          <w:noProof/>
        </w:rPr>
        <w:t>16.4</w:t>
      </w:r>
      <w:r w:rsidRPr="00C262A6">
        <w:rPr>
          <w:noProof/>
        </w:rPr>
        <w:tab/>
      </w:r>
      <w:r>
        <w:rPr>
          <w:noProof/>
        </w:rPr>
        <w:t>Retained safeguards</w:t>
      </w:r>
      <w:r>
        <w:rPr>
          <w:noProof/>
        </w:rPr>
        <w:tab/>
        <w:t>611</w:t>
      </w:r>
    </w:p>
    <w:p w14:paraId="2A7C5051" w14:textId="77777777" w:rsidR="00C262A6" w:rsidRDefault="00C262A6">
      <w:pPr>
        <w:pStyle w:val="TOC1"/>
        <w:rPr>
          <w:rFonts w:asciiTheme="minorHAnsi" w:eastAsiaTheme="minorEastAsia" w:hAnsiTheme="minorHAnsi" w:cstheme="minorBidi"/>
          <w:b w:val="0"/>
          <w:noProof/>
          <w:sz w:val="22"/>
          <w:szCs w:val="22"/>
          <w:lang w:eastAsia="en-AU"/>
        </w:rPr>
      </w:pPr>
      <w:r>
        <w:rPr>
          <w:noProof/>
        </w:rPr>
        <w:lastRenderedPageBreak/>
        <w:t>17</w:t>
      </w:r>
      <w:r>
        <w:rPr>
          <w:rFonts w:asciiTheme="minorHAnsi" w:eastAsiaTheme="minorEastAsia" w:hAnsiTheme="minorHAnsi" w:cstheme="minorBidi"/>
          <w:b w:val="0"/>
          <w:noProof/>
          <w:sz w:val="22"/>
          <w:szCs w:val="22"/>
          <w:lang w:eastAsia="en-AU"/>
        </w:rPr>
        <w:tab/>
      </w:r>
      <w:r>
        <w:rPr>
          <w:noProof/>
        </w:rPr>
        <w:t>The enterprise contract</w:t>
      </w:r>
      <w:r>
        <w:rPr>
          <w:noProof/>
        </w:rPr>
        <w:tab/>
        <w:t>615</w:t>
      </w:r>
    </w:p>
    <w:p w14:paraId="7E2208FE" w14:textId="77777777" w:rsidR="00C262A6" w:rsidRPr="00C262A6" w:rsidRDefault="00C262A6" w:rsidP="00C262A6">
      <w:pPr>
        <w:pStyle w:val="TOC2"/>
        <w:tabs>
          <w:tab w:val="left" w:pos="1320"/>
        </w:tabs>
        <w:ind w:left="1276" w:hanging="709"/>
        <w:rPr>
          <w:noProof/>
        </w:rPr>
      </w:pPr>
      <w:r>
        <w:rPr>
          <w:noProof/>
        </w:rPr>
        <w:t>17.1</w:t>
      </w:r>
      <w:r w:rsidRPr="00C262A6">
        <w:rPr>
          <w:noProof/>
        </w:rPr>
        <w:tab/>
      </w:r>
      <w:r>
        <w:rPr>
          <w:noProof/>
        </w:rPr>
        <w:t>The gap in employment arrangements</w:t>
      </w:r>
      <w:r>
        <w:rPr>
          <w:noProof/>
        </w:rPr>
        <w:tab/>
        <w:t>616</w:t>
      </w:r>
    </w:p>
    <w:p w14:paraId="7ABFE2BE" w14:textId="77777777" w:rsidR="00C262A6" w:rsidRPr="00C262A6" w:rsidRDefault="00C262A6" w:rsidP="00C262A6">
      <w:pPr>
        <w:pStyle w:val="TOC2"/>
        <w:tabs>
          <w:tab w:val="left" w:pos="1320"/>
        </w:tabs>
        <w:ind w:left="1276" w:hanging="709"/>
        <w:rPr>
          <w:noProof/>
        </w:rPr>
      </w:pPr>
      <w:r>
        <w:rPr>
          <w:noProof/>
        </w:rPr>
        <w:t>17.2</w:t>
      </w:r>
      <w:r w:rsidRPr="00C262A6">
        <w:rPr>
          <w:noProof/>
        </w:rPr>
        <w:tab/>
      </w:r>
      <w:r>
        <w:rPr>
          <w:noProof/>
        </w:rPr>
        <w:t>Could common law contracts fill the gap?</w:t>
      </w:r>
      <w:r>
        <w:rPr>
          <w:noProof/>
        </w:rPr>
        <w:tab/>
        <w:t>619</w:t>
      </w:r>
    </w:p>
    <w:p w14:paraId="2E6A9793" w14:textId="31E6586C" w:rsidR="00C262A6" w:rsidRPr="00C262A6" w:rsidRDefault="00C262A6" w:rsidP="00C262A6">
      <w:pPr>
        <w:pStyle w:val="TOC2"/>
        <w:tabs>
          <w:tab w:val="left" w:pos="1320"/>
        </w:tabs>
        <w:ind w:left="1276" w:hanging="709"/>
        <w:rPr>
          <w:noProof/>
        </w:rPr>
      </w:pPr>
      <w:r>
        <w:rPr>
          <w:noProof/>
        </w:rPr>
        <w:t>17.3</w:t>
      </w:r>
      <w:r w:rsidRPr="00C262A6">
        <w:rPr>
          <w:noProof/>
        </w:rPr>
        <w:tab/>
      </w:r>
      <w:r w:rsidRPr="00C262A6">
        <w:rPr>
          <w:noProof/>
          <w:spacing w:val="-4"/>
        </w:rPr>
        <w:t xml:space="preserve">A better option to bridge the gap </w:t>
      </w:r>
      <w:r w:rsidRPr="00C262A6">
        <w:rPr>
          <w:rFonts w:cs="Arial"/>
          <w:noProof/>
          <w:spacing w:val="-4"/>
        </w:rPr>
        <w:t>—</w:t>
      </w:r>
      <w:r w:rsidRPr="00C262A6">
        <w:rPr>
          <w:noProof/>
          <w:spacing w:val="-4"/>
        </w:rPr>
        <w:t xml:space="preserve"> the enterprise contract</w:t>
      </w:r>
      <w:r>
        <w:rPr>
          <w:noProof/>
        </w:rPr>
        <w:tab/>
        <w:t>620</w:t>
      </w:r>
    </w:p>
    <w:p w14:paraId="4A45A251" w14:textId="77777777" w:rsidR="00C262A6" w:rsidRPr="00C262A6" w:rsidRDefault="00C262A6" w:rsidP="00C262A6">
      <w:pPr>
        <w:pStyle w:val="TOC2"/>
        <w:tabs>
          <w:tab w:val="left" w:pos="1320"/>
        </w:tabs>
        <w:ind w:left="1276" w:hanging="709"/>
        <w:rPr>
          <w:noProof/>
        </w:rPr>
      </w:pPr>
      <w:r>
        <w:rPr>
          <w:noProof/>
        </w:rPr>
        <w:t>17.4</w:t>
      </w:r>
      <w:r w:rsidRPr="00C262A6">
        <w:rPr>
          <w:noProof/>
        </w:rPr>
        <w:tab/>
      </w:r>
      <w:r>
        <w:rPr>
          <w:noProof/>
        </w:rPr>
        <w:t>Possible implementation impacts</w:t>
      </w:r>
      <w:r>
        <w:rPr>
          <w:noProof/>
        </w:rPr>
        <w:tab/>
        <w:t>625</w:t>
      </w:r>
    </w:p>
    <w:p w14:paraId="6C70D4F1" w14:textId="77777777" w:rsidR="00C262A6" w:rsidRDefault="00C262A6">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Public sector bargaining</w:t>
      </w:r>
      <w:r>
        <w:rPr>
          <w:noProof/>
        </w:rPr>
        <w:tab/>
        <w:t>629</w:t>
      </w:r>
    </w:p>
    <w:p w14:paraId="3FA60162" w14:textId="77777777" w:rsidR="00C262A6" w:rsidRPr="00C262A6" w:rsidRDefault="00C262A6" w:rsidP="00C262A6">
      <w:pPr>
        <w:pStyle w:val="TOC2"/>
        <w:tabs>
          <w:tab w:val="left" w:pos="1320"/>
        </w:tabs>
        <w:ind w:left="1276" w:hanging="709"/>
        <w:rPr>
          <w:noProof/>
        </w:rPr>
      </w:pPr>
      <w:r>
        <w:rPr>
          <w:noProof/>
        </w:rPr>
        <w:t>18.1</w:t>
      </w:r>
      <w:r w:rsidRPr="00C262A6">
        <w:rPr>
          <w:noProof/>
        </w:rPr>
        <w:tab/>
      </w:r>
      <w:r>
        <w:rPr>
          <w:noProof/>
        </w:rPr>
        <w:t>Some features of public sector bargaining</w:t>
      </w:r>
      <w:r>
        <w:rPr>
          <w:noProof/>
        </w:rPr>
        <w:tab/>
        <w:t>631</w:t>
      </w:r>
    </w:p>
    <w:p w14:paraId="5E8FF2BA" w14:textId="77777777" w:rsidR="00C262A6" w:rsidRPr="00C262A6" w:rsidRDefault="00C262A6" w:rsidP="00C262A6">
      <w:pPr>
        <w:pStyle w:val="TOC2"/>
        <w:tabs>
          <w:tab w:val="left" w:pos="1320"/>
        </w:tabs>
        <w:ind w:left="1276" w:hanging="709"/>
        <w:rPr>
          <w:noProof/>
        </w:rPr>
      </w:pPr>
      <w:r>
        <w:rPr>
          <w:noProof/>
        </w:rPr>
        <w:t>18.2</w:t>
      </w:r>
      <w:r w:rsidRPr="00C262A6">
        <w:rPr>
          <w:noProof/>
        </w:rPr>
        <w:tab/>
      </w:r>
      <w:r>
        <w:rPr>
          <w:noProof/>
        </w:rPr>
        <w:t>Bargaining with the decision maker</w:t>
      </w:r>
      <w:r>
        <w:rPr>
          <w:noProof/>
        </w:rPr>
        <w:tab/>
        <w:t>639</w:t>
      </w:r>
    </w:p>
    <w:p w14:paraId="535FB983" w14:textId="77777777" w:rsidR="00C262A6" w:rsidRPr="00C262A6" w:rsidRDefault="00C262A6" w:rsidP="00C262A6">
      <w:pPr>
        <w:pStyle w:val="TOC2"/>
        <w:tabs>
          <w:tab w:val="left" w:pos="1320"/>
        </w:tabs>
        <w:ind w:left="1276" w:hanging="709"/>
        <w:rPr>
          <w:noProof/>
        </w:rPr>
      </w:pPr>
      <w:r>
        <w:rPr>
          <w:noProof/>
        </w:rPr>
        <w:t>18.3</w:t>
      </w:r>
      <w:r w:rsidRPr="00C262A6">
        <w:rPr>
          <w:noProof/>
        </w:rPr>
        <w:tab/>
      </w:r>
      <w:r>
        <w:rPr>
          <w:noProof/>
        </w:rPr>
        <w:t>Good faith bargaining in the public sector</w:t>
      </w:r>
      <w:r>
        <w:rPr>
          <w:noProof/>
        </w:rPr>
        <w:tab/>
        <w:t>641</w:t>
      </w:r>
    </w:p>
    <w:p w14:paraId="1A5CBEAB" w14:textId="77777777" w:rsidR="00C262A6" w:rsidRPr="00C262A6" w:rsidRDefault="00C262A6" w:rsidP="00C262A6">
      <w:pPr>
        <w:pStyle w:val="TOC2"/>
        <w:tabs>
          <w:tab w:val="left" w:pos="1320"/>
        </w:tabs>
        <w:ind w:left="1276" w:hanging="709"/>
        <w:rPr>
          <w:noProof/>
        </w:rPr>
      </w:pPr>
      <w:r w:rsidRPr="00C262A6">
        <w:rPr>
          <w:noProof/>
        </w:rPr>
        <w:t>18.4</w:t>
      </w:r>
      <w:r w:rsidRPr="00C262A6">
        <w:rPr>
          <w:noProof/>
        </w:rPr>
        <w:tab/>
        <w:t>Productivity in the Public Sector</w:t>
      </w:r>
      <w:r>
        <w:rPr>
          <w:noProof/>
        </w:rPr>
        <w:tab/>
        <w:t>642</w:t>
      </w:r>
    </w:p>
    <w:p w14:paraId="730B650F" w14:textId="77777777" w:rsidR="00C262A6" w:rsidRPr="00C262A6" w:rsidRDefault="00C262A6" w:rsidP="00C262A6">
      <w:pPr>
        <w:pStyle w:val="TOC2"/>
        <w:tabs>
          <w:tab w:val="left" w:pos="1320"/>
        </w:tabs>
        <w:ind w:left="1276" w:hanging="709"/>
        <w:rPr>
          <w:noProof/>
        </w:rPr>
      </w:pPr>
      <w:r w:rsidRPr="00C262A6">
        <w:rPr>
          <w:noProof/>
        </w:rPr>
        <w:t>18.5</w:t>
      </w:r>
      <w:r w:rsidRPr="00C262A6">
        <w:rPr>
          <w:noProof/>
        </w:rPr>
        <w:tab/>
        <w:t>Performance management in the public sector</w:t>
      </w:r>
      <w:r>
        <w:rPr>
          <w:noProof/>
        </w:rPr>
        <w:tab/>
        <w:t>644</w:t>
      </w:r>
    </w:p>
    <w:p w14:paraId="1730E078" w14:textId="77777777" w:rsidR="00C262A6" w:rsidRPr="00C262A6" w:rsidRDefault="00C262A6" w:rsidP="00C262A6">
      <w:pPr>
        <w:pStyle w:val="TOC2"/>
        <w:tabs>
          <w:tab w:val="left" w:pos="1320"/>
        </w:tabs>
        <w:ind w:left="1276" w:hanging="709"/>
        <w:rPr>
          <w:noProof/>
        </w:rPr>
      </w:pPr>
      <w:r>
        <w:rPr>
          <w:noProof/>
        </w:rPr>
        <w:t>18.6</w:t>
      </w:r>
      <w:r w:rsidRPr="00C262A6">
        <w:rPr>
          <w:noProof/>
        </w:rPr>
        <w:tab/>
      </w:r>
      <w:r>
        <w:rPr>
          <w:noProof/>
        </w:rPr>
        <w:t>Other public sector concerns</w:t>
      </w:r>
      <w:r>
        <w:rPr>
          <w:noProof/>
        </w:rPr>
        <w:tab/>
        <w:t>646</w:t>
      </w:r>
    </w:p>
    <w:p w14:paraId="49202459" w14:textId="77777777" w:rsidR="00C262A6" w:rsidRDefault="00C262A6">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Industrial disputes and right of entry</w:t>
      </w:r>
      <w:r>
        <w:rPr>
          <w:noProof/>
        </w:rPr>
        <w:tab/>
        <w:t>649</w:t>
      </w:r>
    </w:p>
    <w:p w14:paraId="711F527B" w14:textId="77777777" w:rsidR="00C262A6" w:rsidRPr="00C262A6" w:rsidRDefault="00C262A6" w:rsidP="00C262A6">
      <w:pPr>
        <w:pStyle w:val="TOC2"/>
        <w:tabs>
          <w:tab w:val="left" w:pos="1320"/>
        </w:tabs>
        <w:ind w:left="1276" w:hanging="709"/>
        <w:rPr>
          <w:noProof/>
        </w:rPr>
      </w:pPr>
      <w:r>
        <w:rPr>
          <w:noProof/>
        </w:rPr>
        <w:t>19.1</w:t>
      </w:r>
      <w:r w:rsidRPr="00C262A6">
        <w:rPr>
          <w:noProof/>
        </w:rPr>
        <w:tab/>
      </w:r>
      <w:r>
        <w:rPr>
          <w:noProof/>
        </w:rPr>
        <w:t>Bargaining disputes can lead to industrial action</w:t>
      </w:r>
      <w:r>
        <w:rPr>
          <w:noProof/>
        </w:rPr>
        <w:tab/>
        <w:t>650</w:t>
      </w:r>
    </w:p>
    <w:p w14:paraId="59AC24F4" w14:textId="77777777" w:rsidR="00C262A6" w:rsidRPr="00C262A6" w:rsidRDefault="00C262A6" w:rsidP="00C262A6">
      <w:pPr>
        <w:pStyle w:val="TOC2"/>
        <w:tabs>
          <w:tab w:val="left" w:pos="1320"/>
        </w:tabs>
        <w:ind w:left="1276" w:hanging="709"/>
        <w:rPr>
          <w:noProof/>
        </w:rPr>
      </w:pPr>
      <w:r>
        <w:rPr>
          <w:noProof/>
        </w:rPr>
        <w:t>19.2</w:t>
      </w:r>
      <w:r w:rsidRPr="00C262A6">
        <w:rPr>
          <w:noProof/>
        </w:rPr>
        <w:tab/>
      </w:r>
      <w:r>
        <w:rPr>
          <w:noProof/>
        </w:rPr>
        <w:t>How well are the current arrangements performing?</w:t>
      </w:r>
      <w:r>
        <w:rPr>
          <w:noProof/>
        </w:rPr>
        <w:tab/>
        <w:t>660</w:t>
      </w:r>
    </w:p>
    <w:p w14:paraId="3C12909D" w14:textId="77777777" w:rsidR="00C262A6" w:rsidRPr="00C262A6" w:rsidRDefault="00C262A6" w:rsidP="00C262A6">
      <w:pPr>
        <w:pStyle w:val="TOC2"/>
        <w:tabs>
          <w:tab w:val="left" w:pos="1320"/>
        </w:tabs>
        <w:ind w:left="1276" w:hanging="709"/>
        <w:rPr>
          <w:noProof/>
        </w:rPr>
      </w:pPr>
      <w:r>
        <w:rPr>
          <w:noProof/>
        </w:rPr>
        <w:t>19.3</w:t>
      </w:r>
      <w:r w:rsidRPr="00C262A6">
        <w:rPr>
          <w:noProof/>
        </w:rPr>
        <w:tab/>
      </w:r>
      <w:r>
        <w:rPr>
          <w:noProof/>
        </w:rPr>
        <w:t>Reform possibilities to improve the framework</w:t>
      </w:r>
      <w:r>
        <w:rPr>
          <w:noProof/>
        </w:rPr>
        <w:tab/>
        <w:t>671</w:t>
      </w:r>
    </w:p>
    <w:p w14:paraId="2F42A70F" w14:textId="77777777" w:rsidR="00C262A6" w:rsidRPr="00C262A6" w:rsidRDefault="00C262A6" w:rsidP="00C262A6">
      <w:pPr>
        <w:pStyle w:val="TOC2"/>
        <w:tabs>
          <w:tab w:val="left" w:pos="1320"/>
        </w:tabs>
        <w:ind w:left="1276" w:hanging="709"/>
        <w:rPr>
          <w:noProof/>
        </w:rPr>
      </w:pPr>
      <w:r>
        <w:rPr>
          <w:noProof/>
        </w:rPr>
        <w:t>19.4</w:t>
      </w:r>
      <w:r w:rsidRPr="00C262A6">
        <w:rPr>
          <w:noProof/>
        </w:rPr>
        <w:tab/>
      </w:r>
      <w:r>
        <w:rPr>
          <w:noProof/>
        </w:rPr>
        <w:t>What are the likely impacts of these reforms?</w:t>
      </w:r>
      <w:r>
        <w:rPr>
          <w:noProof/>
        </w:rPr>
        <w:tab/>
        <w:t>700</w:t>
      </w:r>
    </w:p>
    <w:p w14:paraId="2B0FC3FD" w14:textId="77777777" w:rsidR="00C262A6" w:rsidRPr="00C262A6" w:rsidRDefault="00C262A6" w:rsidP="00C262A6">
      <w:pPr>
        <w:pStyle w:val="TOC2"/>
        <w:tabs>
          <w:tab w:val="left" w:pos="1320"/>
        </w:tabs>
        <w:ind w:left="1276" w:hanging="709"/>
        <w:rPr>
          <w:noProof/>
        </w:rPr>
      </w:pPr>
      <w:r>
        <w:rPr>
          <w:noProof/>
        </w:rPr>
        <w:t>19.5</w:t>
      </w:r>
      <w:r w:rsidRPr="00C262A6">
        <w:rPr>
          <w:noProof/>
        </w:rPr>
        <w:tab/>
      </w:r>
      <w:r>
        <w:rPr>
          <w:noProof/>
        </w:rPr>
        <w:t>Right of entry</w:t>
      </w:r>
      <w:r>
        <w:rPr>
          <w:noProof/>
        </w:rPr>
        <w:tab/>
        <w:t>702</w:t>
      </w:r>
    </w:p>
    <w:p w14:paraId="16DE9D13" w14:textId="77777777" w:rsidR="00C262A6" w:rsidRDefault="00C262A6">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Alternative forms of employment</w:t>
      </w:r>
      <w:r>
        <w:rPr>
          <w:noProof/>
        </w:rPr>
        <w:tab/>
        <w:t>711</w:t>
      </w:r>
    </w:p>
    <w:p w14:paraId="753CA569" w14:textId="77777777" w:rsidR="00C262A6" w:rsidRPr="00C262A6" w:rsidRDefault="00C262A6" w:rsidP="00C262A6">
      <w:pPr>
        <w:pStyle w:val="TOC2"/>
        <w:tabs>
          <w:tab w:val="left" w:pos="1320"/>
        </w:tabs>
        <w:ind w:left="1276" w:hanging="709"/>
        <w:rPr>
          <w:noProof/>
        </w:rPr>
      </w:pPr>
      <w:r>
        <w:rPr>
          <w:noProof/>
        </w:rPr>
        <w:t>20.1</w:t>
      </w:r>
      <w:r w:rsidRPr="00C262A6">
        <w:rPr>
          <w:noProof/>
        </w:rPr>
        <w:tab/>
      </w:r>
      <w:r>
        <w:rPr>
          <w:noProof/>
        </w:rPr>
        <w:t>Some characteristics of alternative forms of employment</w:t>
      </w:r>
      <w:r>
        <w:rPr>
          <w:noProof/>
        </w:rPr>
        <w:tab/>
        <w:t>713</w:t>
      </w:r>
    </w:p>
    <w:p w14:paraId="32A2A03C" w14:textId="77777777" w:rsidR="00C262A6" w:rsidRPr="00C262A6" w:rsidRDefault="00C262A6" w:rsidP="00C262A6">
      <w:pPr>
        <w:pStyle w:val="TOC2"/>
        <w:tabs>
          <w:tab w:val="left" w:pos="1320"/>
        </w:tabs>
        <w:ind w:left="1276" w:hanging="709"/>
        <w:rPr>
          <w:noProof/>
        </w:rPr>
      </w:pPr>
      <w:r>
        <w:rPr>
          <w:noProof/>
        </w:rPr>
        <w:t>20.2</w:t>
      </w:r>
      <w:r w:rsidRPr="00C262A6">
        <w:rPr>
          <w:noProof/>
        </w:rPr>
        <w:tab/>
      </w:r>
      <w:r>
        <w:rPr>
          <w:noProof/>
        </w:rPr>
        <w:t>Sham contracting</w:t>
      </w:r>
      <w:r>
        <w:rPr>
          <w:noProof/>
        </w:rPr>
        <w:tab/>
        <w:t>721</w:t>
      </w:r>
    </w:p>
    <w:p w14:paraId="23E9F7A3" w14:textId="77777777" w:rsidR="00C262A6" w:rsidRPr="00C262A6" w:rsidRDefault="00C262A6" w:rsidP="00C262A6">
      <w:pPr>
        <w:pStyle w:val="TOC2"/>
        <w:tabs>
          <w:tab w:val="left" w:pos="1320"/>
        </w:tabs>
        <w:ind w:left="1276" w:hanging="709"/>
        <w:rPr>
          <w:noProof/>
        </w:rPr>
      </w:pPr>
      <w:r>
        <w:rPr>
          <w:noProof/>
        </w:rPr>
        <w:t>20.3</w:t>
      </w:r>
      <w:r w:rsidRPr="00C262A6">
        <w:rPr>
          <w:noProof/>
        </w:rPr>
        <w:tab/>
      </w:r>
      <w:r>
        <w:rPr>
          <w:noProof/>
        </w:rPr>
        <w:t>Limitations on the use of subcontractors and labour hire employees</w:t>
      </w:r>
      <w:r>
        <w:rPr>
          <w:noProof/>
        </w:rPr>
        <w:tab/>
        <w:t>729</w:t>
      </w:r>
    </w:p>
    <w:p w14:paraId="61CDF9E3" w14:textId="77777777" w:rsidR="00C262A6" w:rsidRPr="00C262A6" w:rsidRDefault="00C262A6" w:rsidP="00C262A6">
      <w:pPr>
        <w:pStyle w:val="TOC2"/>
        <w:tabs>
          <w:tab w:val="left" w:pos="1320"/>
        </w:tabs>
        <w:ind w:left="1276" w:hanging="709"/>
        <w:rPr>
          <w:noProof/>
        </w:rPr>
      </w:pPr>
      <w:r>
        <w:rPr>
          <w:noProof/>
        </w:rPr>
        <w:t>20.4</w:t>
      </w:r>
      <w:r w:rsidRPr="00C262A6">
        <w:rPr>
          <w:noProof/>
        </w:rPr>
        <w:tab/>
      </w:r>
      <w:r>
        <w:rPr>
          <w:noProof/>
        </w:rPr>
        <w:t>Other forms of work</w:t>
      </w:r>
      <w:r>
        <w:rPr>
          <w:noProof/>
        </w:rPr>
        <w:tab/>
        <w:t>733</w:t>
      </w:r>
    </w:p>
    <w:p w14:paraId="35F852DB" w14:textId="77777777" w:rsidR="00C262A6" w:rsidRDefault="00C262A6">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Migrant workers</w:t>
      </w:r>
      <w:r>
        <w:rPr>
          <w:noProof/>
        </w:rPr>
        <w:tab/>
        <w:t>741</w:t>
      </w:r>
    </w:p>
    <w:p w14:paraId="128F69C9" w14:textId="77777777" w:rsidR="00C262A6" w:rsidRDefault="00C262A6">
      <w:pPr>
        <w:pStyle w:val="TOC1"/>
        <w:rPr>
          <w:rFonts w:asciiTheme="minorHAnsi" w:eastAsiaTheme="minorEastAsia" w:hAnsiTheme="minorHAnsi" w:cstheme="minorBidi"/>
          <w:b w:val="0"/>
          <w:noProof/>
          <w:sz w:val="22"/>
          <w:szCs w:val="22"/>
          <w:lang w:eastAsia="en-AU"/>
        </w:rPr>
      </w:pPr>
      <w:r>
        <w:rPr>
          <w:noProof/>
        </w:rPr>
        <w:t>22</w:t>
      </w:r>
      <w:r>
        <w:rPr>
          <w:rFonts w:asciiTheme="minorHAnsi" w:eastAsiaTheme="minorEastAsia" w:hAnsiTheme="minorHAnsi" w:cstheme="minorBidi"/>
          <w:b w:val="0"/>
          <w:noProof/>
          <w:sz w:val="22"/>
          <w:szCs w:val="22"/>
          <w:lang w:eastAsia="en-AU"/>
        </w:rPr>
        <w:tab/>
      </w:r>
      <w:r>
        <w:rPr>
          <w:noProof/>
        </w:rPr>
        <w:t>Transfer of business</w:t>
      </w:r>
      <w:r>
        <w:rPr>
          <w:noProof/>
        </w:rPr>
        <w:tab/>
        <w:t>751</w:t>
      </w:r>
    </w:p>
    <w:p w14:paraId="22DA0FC6" w14:textId="77777777" w:rsidR="00C262A6" w:rsidRPr="00C262A6" w:rsidRDefault="00C262A6" w:rsidP="00C262A6">
      <w:pPr>
        <w:pStyle w:val="TOC2"/>
        <w:tabs>
          <w:tab w:val="left" w:pos="1320"/>
        </w:tabs>
        <w:ind w:left="1276" w:hanging="709"/>
        <w:rPr>
          <w:noProof/>
        </w:rPr>
      </w:pPr>
      <w:r>
        <w:rPr>
          <w:noProof/>
        </w:rPr>
        <w:t>22.1</w:t>
      </w:r>
      <w:r w:rsidRPr="00C262A6">
        <w:rPr>
          <w:noProof/>
        </w:rPr>
        <w:tab/>
      </w:r>
      <w:r>
        <w:rPr>
          <w:noProof/>
        </w:rPr>
        <w:t>The effects on employment</w:t>
      </w:r>
      <w:r>
        <w:rPr>
          <w:noProof/>
        </w:rPr>
        <w:tab/>
        <w:t>754</w:t>
      </w:r>
    </w:p>
    <w:p w14:paraId="229BEAE9" w14:textId="77777777" w:rsidR="00C262A6" w:rsidRPr="00C262A6" w:rsidRDefault="00C262A6" w:rsidP="00C262A6">
      <w:pPr>
        <w:pStyle w:val="TOC2"/>
        <w:tabs>
          <w:tab w:val="left" w:pos="1320"/>
        </w:tabs>
        <w:ind w:left="1276" w:hanging="709"/>
        <w:rPr>
          <w:noProof/>
        </w:rPr>
      </w:pPr>
      <w:r>
        <w:rPr>
          <w:noProof/>
        </w:rPr>
        <w:t>22.2</w:t>
      </w:r>
      <w:r w:rsidRPr="00C262A6">
        <w:rPr>
          <w:noProof/>
        </w:rPr>
        <w:tab/>
      </w:r>
      <w:r>
        <w:rPr>
          <w:noProof/>
        </w:rPr>
        <w:t>Transfers of business between state and national system employers</w:t>
      </w:r>
      <w:r>
        <w:rPr>
          <w:noProof/>
        </w:rPr>
        <w:tab/>
        <w:t>756</w:t>
      </w:r>
    </w:p>
    <w:p w14:paraId="528FA72A" w14:textId="77777777" w:rsidR="00C262A6" w:rsidRPr="00C262A6" w:rsidRDefault="00C262A6" w:rsidP="00C262A6">
      <w:pPr>
        <w:pStyle w:val="TOC2"/>
        <w:tabs>
          <w:tab w:val="left" w:pos="1320"/>
        </w:tabs>
        <w:ind w:left="1276" w:hanging="709"/>
        <w:rPr>
          <w:noProof/>
        </w:rPr>
      </w:pPr>
      <w:r>
        <w:rPr>
          <w:noProof/>
        </w:rPr>
        <w:t>22.3</w:t>
      </w:r>
      <w:r w:rsidRPr="00C262A6">
        <w:rPr>
          <w:noProof/>
        </w:rPr>
        <w:tab/>
      </w:r>
      <w:r>
        <w:rPr>
          <w:noProof/>
        </w:rPr>
        <w:t>The ‘nuisance’ cost when workers change work voluntarily</w:t>
      </w:r>
      <w:r>
        <w:rPr>
          <w:noProof/>
        </w:rPr>
        <w:tab/>
        <w:t>758</w:t>
      </w:r>
    </w:p>
    <w:p w14:paraId="6C0CCAC6" w14:textId="77777777" w:rsidR="00C262A6" w:rsidRDefault="00C262A6">
      <w:pPr>
        <w:pStyle w:val="TOC1"/>
        <w:rPr>
          <w:rFonts w:asciiTheme="minorHAnsi" w:eastAsiaTheme="minorEastAsia" w:hAnsiTheme="minorHAnsi" w:cstheme="minorBidi"/>
          <w:b w:val="0"/>
          <w:noProof/>
          <w:sz w:val="22"/>
          <w:szCs w:val="22"/>
          <w:lang w:eastAsia="en-AU"/>
        </w:rPr>
      </w:pPr>
      <w:r>
        <w:rPr>
          <w:noProof/>
        </w:rPr>
        <w:lastRenderedPageBreak/>
        <w:t>23</w:t>
      </w:r>
      <w:r>
        <w:rPr>
          <w:rFonts w:asciiTheme="minorHAnsi" w:eastAsiaTheme="minorEastAsia" w:hAnsiTheme="minorHAnsi" w:cstheme="minorBidi"/>
          <w:b w:val="0"/>
          <w:noProof/>
          <w:sz w:val="22"/>
          <w:szCs w:val="22"/>
          <w:lang w:eastAsia="en-AU"/>
        </w:rPr>
        <w:tab/>
      </w:r>
      <w:r>
        <w:rPr>
          <w:noProof/>
        </w:rPr>
        <w:t>International obligations</w:t>
      </w:r>
      <w:r>
        <w:rPr>
          <w:noProof/>
        </w:rPr>
        <w:tab/>
        <w:t>761</w:t>
      </w:r>
    </w:p>
    <w:p w14:paraId="41CC09F0" w14:textId="77777777" w:rsidR="00C262A6" w:rsidRPr="00C262A6" w:rsidRDefault="00C262A6" w:rsidP="00C262A6">
      <w:pPr>
        <w:pStyle w:val="TOC2"/>
        <w:tabs>
          <w:tab w:val="left" w:pos="1320"/>
        </w:tabs>
        <w:ind w:left="1276" w:hanging="709"/>
        <w:rPr>
          <w:noProof/>
        </w:rPr>
      </w:pPr>
      <w:r>
        <w:rPr>
          <w:noProof/>
        </w:rPr>
        <w:t>23.1</w:t>
      </w:r>
      <w:r w:rsidRPr="00C262A6">
        <w:rPr>
          <w:noProof/>
        </w:rPr>
        <w:tab/>
      </w:r>
      <w:r>
        <w:rPr>
          <w:noProof/>
        </w:rPr>
        <w:t>International Labour Standards</w:t>
      </w:r>
      <w:r>
        <w:rPr>
          <w:noProof/>
        </w:rPr>
        <w:tab/>
        <w:t>761</w:t>
      </w:r>
    </w:p>
    <w:p w14:paraId="4BA60757" w14:textId="77777777" w:rsidR="00C262A6" w:rsidRPr="00C262A6" w:rsidRDefault="00C262A6" w:rsidP="00C262A6">
      <w:pPr>
        <w:pStyle w:val="TOC2"/>
        <w:tabs>
          <w:tab w:val="left" w:pos="1320"/>
        </w:tabs>
        <w:ind w:left="1276" w:hanging="709"/>
        <w:rPr>
          <w:noProof/>
        </w:rPr>
      </w:pPr>
      <w:r>
        <w:rPr>
          <w:noProof/>
        </w:rPr>
        <w:t>23.2</w:t>
      </w:r>
      <w:r w:rsidRPr="00C262A6">
        <w:rPr>
          <w:noProof/>
        </w:rPr>
        <w:tab/>
      </w:r>
      <w:r>
        <w:rPr>
          <w:noProof/>
        </w:rPr>
        <w:t>Preferential trade agreements</w:t>
      </w:r>
      <w:r>
        <w:rPr>
          <w:noProof/>
        </w:rPr>
        <w:tab/>
        <w:t>766</w:t>
      </w:r>
    </w:p>
    <w:p w14:paraId="3B747590" w14:textId="791E5A0E" w:rsidR="00C262A6" w:rsidRDefault="00C262A6">
      <w:pPr>
        <w:pStyle w:val="TOC1"/>
        <w:rPr>
          <w:rFonts w:asciiTheme="minorHAnsi" w:eastAsiaTheme="minorEastAsia" w:hAnsiTheme="minorHAnsi" w:cstheme="minorBidi"/>
          <w:b w:val="0"/>
          <w:noProof/>
          <w:sz w:val="22"/>
          <w:szCs w:val="22"/>
          <w:lang w:eastAsia="en-AU"/>
        </w:rPr>
      </w:pPr>
      <w:r>
        <w:rPr>
          <w:noProof/>
        </w:rPr>
        <w:t>24</w:t>
      </w:r>
      <w:r>
        <w:rPr>
          <w:rFonts w:asciiTheme="minorHAnsi" w:eastAsiaTheme="minorEastAsia" w:hAnsiTheme="minorHAnsi" w:cstheme="minorBidi"/>
          <w:b w:val="0"/>
          <w:noProof/>
          <w:sz w:val="22"/>
          <w:szCs w:val="22"/>
          <w:lang w:eastAsia="en-AU"/>
        </w:rPr>
        <w:tab/>
      </w:r>
      <w:r>
        <w:rPr>
          <w:noProof/>
        </w:rPr>
        <w:t>Interactions between competition policy and the workplace relations framework</w:t>
      </w:r>
      <w:r>
        <w:rPr>
          <w:noProof/>
        </w:rPr>
        <w:tab/>
        <w:t>769</w:t>
      </w:r>
    </w:p>
    <w:p w14:paraId="7DCEF0CC" w14:textId="77777777" w:rsidR="00C262A6" w:rsidRPr="00C262A6" w:rsidRDefault="00C262A6" w:rsidP="00C262A6">
      <w:pPr>
        <w:pStyle w:val="TOC2"/>
        <w:tabs>
          <w:tab w:val="left" w:pos="1320"/>
        </w:tabs>
        <w:ind w:left="1276" w:hanging="709"/>
        <w:rPr>
          <w:noProof/>
        </w:rPr>
      </w:pPr>
      <w:r>
        <w:rPr>
          <w:noProof/>
        </w:rPr>
        <w:t>24.1</w:t>
      </w:r>
      <w:r w:rsidRPr="00C262A6">
        <w:rPr>
          <w:noProof/>
        </w:rPr>
        <w:tab/>
      </w:r>
      <w:r>
        <w:rPr>
          <w:noProof/>
        </w:rPr>
        <w:t>How does competition policy currently interact with the WR system?</w:t>
      </w:r>
      <w:r>
        <w:rPr>
          <w:noProof/>
        </w:rPr>
        <w:tab/>
        <w:t>770</w:t>
      </w:r>
    </w:p>
    <w:p w14:paraId="06F8BA00" w14:textId="77777777" w:rsidR="00C262A6" w:rsidRPr="00C262A6" w:rsidRDefault="00C262A6" w:rsidP="00C262A6">
      <w:pPr>
        <w:pStyle w:val="TOC2"/>
        <w:tabs>
          <w:tab w:val="left" w:pos="1320"/>
        </w:tabs>
        <w:ind w:left="1276" w:hanging="709"/>
        <w:rPr>
          <w:noProof/>
        </w:rPr>
      </w:pPr>
      <w:r>
        <w:rPr>
          <w:noProof/>
        </w:rPr>
        <w:t>24.2</w:t>
      </w:r>
      <w:r w:rsidRPr="00C262A6">
        <w:rPr>
          <w:noProof/>
        </w:rPr>
        <w:tab/>
      </w:r>
      <w:r>
        <w:rPr>
          <w:noProof/>
        </w:rPr>
        <w:t>Competition policy and the WR system have commonalities and divergences</w:t>
      </w:r>
      <w:r>
        <w:rPr>
          <w:noProof/>
        </w:rPr>
        <w:tab/>
        <w:t>772</w:t>
      </w:r>
    </w:p>
    <w:p w14:paraId="0F043718" w14:textId="77777777" w:rsidR="00C262A6" w:rsidRPr="00C262A6" w:rsidRDefault="00C262A6" w:rsidP="00C262A6">
      <w:pPr>
        <w:pStyle w:val="TOC2"/>
        <w:tabs>
          <w:tab w:val="left" w:pos="1320"/>
        </w:tabs>
        <w:ind w:left="1276" w:hanging="709"/>
        <w:rPr>
          <w:noProof/>
        </w:rPr>
      </w:pPr>
      <w:r>
        <w:rPr>
          <w:noProof/>
        </w:rPr>
        <w:t>24.3</w:t>
      </w:r>
      <w:r w:rsidRPr="00C262A6">
        <w:rPr>
          <w:noProof/>
        </w:rPr>
        <w:tab/>
      </w:r>
      <w:r>
        <w:rPr>
          <w:noProof/>
        </w:rPr>
        <w:t>Competition policy cannot subsume the WR system</w:t>
      </w:r>
      <w:r>
        <w:rPr>
          <w:noProof/>
        </w:rPr>
        <w:tab/>
        <w:t>776</w:t>
      </w:r>
    </w:p>
    <w:p w14:paraId="2FC243D3" w14:textId="77777777" w:rsidR="00C262A6" w:rsidRPr="00C262A6" w:rsidRDefault="00C262A6" w:rsidP="00C262A6">
      <w:pPr>
        <w:pStyle w:val="TOC2"/>
        <w:tabs>
          <w:tab w:val="left" w:pos="1320"/>
        </w:tabs>
        <w:ind w:left="1276" w:hanging="709"/>
        <w:rPr>
          <w:noProof/>
        </w:rPr>
      </w:pPr>
      <w:r>
        <w:rPr>
          <w:noProof/>
        </w:rPr>
        <w:t>24.4</w:t>
      </w:r>
      <w:r w:rsidRPr="00C262A6">
        <w:rPr>
          <w:noProof/>
        </w:rPr>
        <w:tab/>
      </w:r>
      <w:r>
        <w:rPr>
          <w:noProof/>
        </w:rPr>
        <w:t>Are there gaps in the WR system that allow anti</w:t>
      </w:r>
      <w:r>
        <w:rPr>
          <w:noProof/>
        </w:rPr>
        <w:noBreakHyphen/>
        <w:t>competitive conduct</w:t>
      </w:r>
      <w:r>
        <w:rPr>
          <w:noProof/>
        </w:rPr>
        <w:tab/>
        <w:t>778</w:t>
      </w:r>
    </w:p>
    <w:p w14:paraId="4AB0C0A8" w14:textId="77777777" w:rsidR="00C262A6" w:rsidRDefault="00C262A6">
      <w:pPr>
        <w:pStyle w:val="TOC1"/>
        <w:rPr>
          <w:rFonts w:asciiTheme="minorHAnsi" w:eastAsiaTheme="minorEastAsia" w:hAnsiTheme="minorHAnsi" w:cstheme="minorBidi"/>
          <w:b w:val="0"/>
          <w:noProof/>
          <w:sz w:val="22"/>
          <w:szCs w:val="22"/>
          <w:lang w:eastAsia="en-AU"/>
        </w:rPr>
      </w:pPr>
      <w:r>
        <w:rPr>
          <w:noProof/>
        </w:rPr>
        <w:t>25</w:t>
      </w:r>
      <w:r>
        <w:rPr>
          <w:rFonts w:asciiTheme="minorHAnsi" w:eastAsiaTheme="minorEastAsia" w:hAnsiTheme="minorHAnsi" w:cstheme="minorBidi"/>
          <w:b w:val="0"/>
          <w:noProof/>
          <w:sz w:val="22"/>
          <w:szCs w:val="22"/>
          <w:lang w:eastAsia="en-AU"/>
        </w:rPr>
        <w:tab/>
      </w:r>
      <w:r>
        <w:rPr>
          <w:noProof/>
        </w:rPr>
        <w:t>Compliance costs</w:t>
      </w:r>
      <w:r>
        <w:rPr>
          <w:noProof/>
        </w:rPr>
        <w:tab/>
        <w:t>785</w:t>
      </w:r>
    </w:p>
    <w:p w14:paraId="79DBC00C" w14:textId="77777777" w:rsidR="00C262A6" w:rsidRPr="00C262A6" w:rsidRDefault="00C262A6" w:rsidP="00C262A6">
      <w:pPr>
        <w:pStyle w:val="TOC2"/>
        <w:tabs>
          <w:tab w:val="left" w:pos="1320"/>
        </w:tabs>
        <w:ind w:left="1276" w:hanging="709"/>
        <w:rPr>
          <w:noProof/>
        </w:rPr>
      </w:pPr>
      <w:r>
        <w:rPr>
          <w:noProof/>
        </w:rPr>
        <w:t>25.1</w:t>
      </w:r>
      <w:r w:rsidRPr="00C262A6">
        <w:rPr>
          <w:noProof/>
        </w:rPr>
        <w:tab/>
      </w:r>
      <w:r>
        <w:rPr>
          <w:noProof/>
        </w:rPr>
        <w:t>Sources of compliance costs</w:t>
      </w:r>
      <w:r>
        <w:rPr>
          <w:noProof/>
        </w:rPr>
        <w:tab/>
        <w:t>786</w:t>
      </w:r>
    </w:p>
    <w:p w14:paraId="7E639673" w14:textId="77777777" w:rsidR="00C262A6" w:rsidRPr="00C262A6" w:rsidRDefault="00C262A6" w:rsidP="00C262A6">
      <w:pPr>
        <w:pStyle w:val="TOC2"/>
        <w:tabs>
          <w:tab w:val="left" w:pos="1320"/>
        </w:tabs>
        <w:ind w:left="1276" w:hanging="709"/>
        <w:rPr>
          <w:noProof/>
        </w:rPr>
      </w:pPr>
      <w:r>
        <w:rPr>
          <w:noProof/>
        </w:rPr>
        <w:t>25.2</w:t>
      </w:r>
      <w:r w:rsidRPr="00C262A6">
        <w:rPr>
          <w:noProof/>
        </w:rPr>
        <w:tab/>
      </w:r>
      <w:r w:rsidRPr="00C262A6">
        <w:rPr>
          <w:noProof/>
          <w:spacing w:val="-4"/>
        </w:rPr>
        <w:t>Compliance costs were expected to be transitional in nature</w:t>
      </w:r>
      <w:r>
        <w:rPr>
          <w:noProof/>
        </w:rPr>
        <w:tab/>
        <w:t>788</w:t>
      </w:r>
    </w:p>
    <w:p w14:paraId="4D8FB0FD" w14:textId="77777777" w:rsidR="00C262A6" w:rsidRPr="00C262A6" w:rsidRDefault="00C262A6" w:rsidP="00C262A6">
      <w:pPr>
        <w:pStyle w:val="TOC2"/>
        <w:tabs>
          <w:tab w:val="left" w:pos="1320"/>
        </w:tabs>
        <w:ind w:left="1276" w:hanging="709"/>
        <w:rPr>
          <w:noProof/>
        </w:rPr>
      </w:pPr>
      <w:r>
        <w:rPr>
          <w:noProof/>
        </w:rPr>
        <w:t>25.3</w:t>
      </w:r>
      <w:r w:rsidRPr="00C262A6">
        <w:rPr>
          <w:noProof/>
        </w:rPr>
        <w:tab/>
      </w:r>
      <w:r>
        <w:rPr>
          <w:noProof/>
        </w:rPr>
        <w:t>Are compliance costs an ongoing concern?</w:t>
      </w:r>
      <w:r>
        <w:rPr>
          <w:noProof/>
        </w:rPr>
        <w:tab/>
        <w:t>789</w:t>
      </w:r>
    </w:p>
    <w:p w14:paraId="1C85B374" w14:textId="77777777" w:rsidR="00C262A6" w:rsidRDefault="00C262A6" w:rsidP="00C262A6">
      <w:pPr>
        <w:pStyle w:val="TOC2"/>
        <w:tabs>
          <w:tab w:val="left" w:pos="1320"/>
        </w:tabs>
        <w:ind w:left="1276" w:hanging="709"/>
        <w:rPr>
          <w:rFonts w:asciiTheme="minorHAnsi" w:eastAsiaTheme="minorEastAsia" w:hAnsiTheme="minorHAnsi" w:cstheme="minorBidi"/>
          <w:noProof/>
          <w:sz w:val="22"/>
          <w:szCs w:val="22"/>
          <w:lang w:eastAsia="en-AU"/>
        </w:rPr>
      </w:pPr>
      <w:r>
        <w:rPr>
          <w:noProof/>
        </w:rPr>
        <w:t>25.4</w:t>
      </w:r>
      <w:r>
        <w:rPr>
          <w:rFonts w:asciiTheme="minorHAnsi" w:eastAsiaTheme="minorEastAsia" w:hAnsiTheme="minorHAnsi" w:cstheme="minorBidi"/>
          <w:noProof/>
          <w:sz w:val="22"/>
          <w:szCs w:val="22"/>
          <w:lang w:eastAsia="en-AU"/>
        </w:rPr>
        <w:tab/>
      </w:r>
      <w:r>
        <w:rPr>
          <w:noProof/>
        </w:rPr>
        <w:t>Addressing unnecessary compliance costs</w:t>
      </w:r>
      <w:r>
        <w:rPr>
          <w:noProof/>
        </w:rPr>
        <w:tab/>
        <w:t>798</w:t>
      </w:r>
    </w:p>
    <w:p w14:paraId="50421EF0" w14:textId="77777777" w:rsidR="00C262A6" w:rsidRDefault="00C262A6">
      <w:pPr>
        <w:pStyle w:val="TOC1"/>
        <w:rPr>
          <w:rFonts w:asciiTheme="minorHAnsi" w:eastAsiaTheme="minorEastAsia" w:hAnsiTheme="minorHAnsi" w:cstheme="minorBidi"/>
          <w:b w:val="0"/>
          <w:noProof/>
          <w:sz w:val="22"/>
          <w:szCs w:val="22"/>
          <w:lang w:eastAsia="en-AU"/>
        </w:rPr>
      </w:pPr>
      <w:r>
        <w:rPr>
          <w:noProof/>
        </w:rPr>
        <w:t>26</w:t>
      </w:r>
      <w:r>
        <w:rPr>
          <w:rFonts w:asciiTheme="minorHAnsi" w:eastAsiaTheme="minorEastAsia" w:hAnsiTheme="minorHAnsi" w:cstheme="minorBidi"/>
          <w:b w:val="0"/>
          <w:noProof/>
          <w:sz w:val="22"/>
          <w:szCs w:val="22"/>
          <w:lang w:eastAsia="en-AU"/>
        </w:rPr>
        <w:tab/>
      </w:r>
      <w:r>
        <w:rPr>
          <w:noProof/>
        </w:rPr>
        <w:t>Impacts</w:t>
      </w:r>
      <w:r>
        <w:rPr>
          <w:noProof/>
        </w:rPr>
        <w:tab/>
        <w:t>801</w:t>
      </w:r>
    </w:p>
    <w:p w14:paraId="13A9C710" w14:textId="77777777" w:rsidR="00C262A6" w:rsidRPr="00C262A6" w:rsidRDefault="00C262A6" w:rsidP="00C262A6">
      <w:pPr>
        <w:pStyle w:val="TOC2"/>
        <w:tabs>
          <w:tab w:val="left" w:pos="1320"/>
        </w:tabs>
        <w:ind w:left="1276" w:hanging="709"/>
        <w:rPr>
          <w:noProof/>
        </w:rPr>
      </w:pPr>
      <w:r>
        <w:rPr>
          <w:noProof/>
        </w:rPr>
        <w:t>26.1</w:t>
      </w:r>
      <w:r w:rsidRPr="00C262A6">
        <w:rPr>
          <w:noProof/>
        </w:rPr>
        <w:tab/>
      </w:r>
      <w:r>
        <w:rPr>
          <w:noProof/>
        </w:rPr>
        <w:t>Impacts of changes to employment protection</w:t>
      </w:r>
      <w:r>
        <w:rPr>
          <w:noProof/>
        </w:rPr>
        <w:tab/>
        <w:t>802</w:t>
      </w:r>
    </w:p>
    <w:p w14:paraId="73467D89" w14:textId="77777777" w:rsidR="00C262A6" w:rsidRPr="00C262A6" w:rsidRDefault="00C262A6" w:rsidP="00C262A6">
      <w:pPr>
        <w:pStyle w:val="TOC2"/>
        <w:tabs>
          <w:tab w:val="left" w:pos="1320"/>
        </w:tabs>
        <w:ind w:left="1276" w:hanging="709"/>
        <w:rPr>
          <w:noProof/>
        </w:rPr>
      </w:pPr>
      <w:r>
        <w:rPr>
          <w:noProof/>
        </w:rPr>
        <w:t>26.2</w:t>
      </w:r>
      <w:r w:rsidRPr="00C262A6">
        <w:rPr>
          <w:noProof/>
        </w:rPr>
        <w:tab/>
      </w:r>
      <w:r>
        <w:rPr>
          <w:noProof/>
        </w:rPr>
        <w:t>Impacts of changes to minimum wages and conditions</w:t>
      </w:r>
      <w:r>
        <w:rPr>
          <w:noProof/>
        </w:rPr>
        <w:tab/>
        <w:t>808</w:t>
      </w:r>
    </w:p>
    <w:p w14:paraId="724AF0F8" w14:textId="77777777" w:rsidR="00C262A6" w:rsidRPr="00C262A6" w:rsidRDefault="00C262A6" w:rsidP="00C262A6">
      <w:pPr>
        <w:pStyle w:val="TOC2"/>
        <w:tabs>
          <w:tab w:val="left" w:pos="1320"/>
        </w:tabs>
        <w:ind w:left="1276" w:hanging="709"/>
        <w:rPr>
          <w:noProof/>
        </w:rPr>
      </w:pPr>
      <w:r>
        <w:rPr>
          <w:noProof/>
        </w:rPr>
        <w:t>26.3</w:t>
      </w:r>
      <w:r w:rsidRPr="00C262A6">
        <w:rPr>
          <w:noProof/>
        </w:rPr>
        <w:tab/>
      </w:r>
      <w:r>
        <w:rPr>
          <w:noProof/>
        </w:rPr>
        <w:t>Impacts of changes to bargaining regimes</w:t>
      </w:r>
      <w:r>
        <w:rPr>
          <w:noProof/>
        </w:rPr>
        <w:tab/>
        <w:t>811</w:t>
      </w:r>
    </w:p>
    <w:p w14:paraId="400B5234" w14:textId="77777777" w:rsidR="00C262A6" w:rsidRPr="00C262A6" w:rsidRDefault="00C262A6" w:rsidP="00C262A6">
      <w:pPr>
        <w:pStyle w:val="TOC2"/>
        <w:tabs>
          <w:tab w:val="left" w:pos="1320"/>
        </w:tabs>
        <w:ind w:left="1276" w:hanging="709"/>
        <w:rPr>
          <w:noProof/>
        </w:rPr>
      </w:pPr>
      <w:r>
        <w:rPr>
          <w:noProof/>
        </w:rPr>
        <w:t>26.4</w:t>
      </w:r>
      <w:r w:rsidRPr="00C262A6">
        <w:rPr>
          <w:noProof/>
        </w:rPr>
        <w:tab/>
      </w:r>
      <w:r>
        <w:rPr>
          <w:noProof/>
        </w:rPr>
        <w:t>Impacts of making it easier to form agreements</w:t>
      </w:r>
      <w:r>
        <w:rPr>
          <w:noProof/>
        </w:rPr>
        <w:tab/>
        <w:t>818</w:t>
      </w:r>
    </w:p>
    <w:p w14:paraId="0D5D7554" w14:textId="77777777" w:rsidR="00C262A6" w:rsidRPr="00C262A6" w:rsidRDefault="00C262A6" w:rsidP="00C262A6">
      <w:pPr>
        <w:pStyle w:val="TOC2"/>
        <w:tabs>
          <w:tab w:val="left" w:pos="1320"/>
        </w:tabs>
        <w:ind w:left="1276" w:hanging="709"/>
        <w:rPr>
          <w:noProof/>
        </w:rPr>
      </w:pPr>
      <w:r>
        <w:rPr>
          <w:noProof/>
        </w:rPr>
        <w:t>26.5</w:t>
      </w:r>
      <w:r w:rsidRPr="00C262A6">
        <w:rPr>
          <w:noProof/>
        </w:rPr>
        <w:tab/>
      </w:r>
      <w:r>
        <w:rPr>
          <w:noProof/>
        </w:rPr>
        <w:t>Fiscal impacts</w:t>
      </w:r>
      <w:r>
        <w:rPr>
          <w:noProof/>
        </w:rPr>
        <w:tab/>
        <w:t>819</w:t>
      </w:r>
    </w:p>
    <w:p w14:paraId="556AC239" w14:textId="77777777" w:rsidR="00C262A6" w:rsidRPr="00C262A6" w:rsidRDefault="00C262A6" w:rsidP="00C262A6">
      <w:pPr>
        <w:pStyle w:val="TOC2"/>
        <w:tabs>
          <w:tab w:val="left" w:pos="1320"/>
        </w:tabs>
        <w:ind w:left="1276" w:hanging="709"/>
        <w:rPr>
          <w:noProof/>
        </w:rPr>
      </w:pPr>
      <w:r>
        <w:rPr>
          <w:noProof/>
        </w:rPr>
        <w:t>26.6</w:t>
      </w:r>
      <w:r w:rsidRPr="00C262A6">
        <w:rPr>
          <w:noProof/>
        </w:rPr>
        <w:tab/>
      </w:r>
      <w:r>
        <w:rPr>
          <w:noProof/>
        </w:rPr>
        <w:t>Summary</w:t>
      </w:r>
      <w:r>
        <w:rPr>
          <w:noProof/>
        </w:rPr>
        <w:tab/>
        <w:t>820</w:t>
      </w:r>
    </w:p>
    <w:p w14:paraId="7BA9F313" w14:textId="77777777" w:rsidR="00C262A6" w:rsidRDefault="00C262A6" w:rsidP="00893DEB">
      <w:pPr>
        <w:pStyle w:val="TOC1"/>
        <w:spacing w:before="360"/>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825</w:t>
      </w:r>
    </w:p>
    <w:p w14:paraId="41DF0F19" w14:textId="77777777" w:rsidR="00C262A6" w:rsidRDefault="00C262A6">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Unfair dismissal data</w:t>
      </w:r>
      <w:r>
        <w:rPr>
          <w:noProof/>
        </w:rPr>
        <w:tab/>
        <w:t>837</w:t>
      </w:r>
    </w:p>
    <w:p w14:paraId="2552FAD7" w14:textId="77777777" w:rsidR="00C262A6" w:rsidRDefault="00C262A6">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Australian empirical studies  of wage employment effects</w:t>
      </w:r>
      <w:r>
        <w:rPr>
          <w:noProof/>
        </w:rPr>
        <w:tab/>
        <w:t>843</w:t>
      </w:r>
    </w:p>
    <w:p w14:paraId="619A21B6" w14:textId="77777777" w:rsidR="00C262A6" w:rsidRDefault="00C262A6">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Employment arrangements</w:t>
      </w:r>
      <w:r>
        <w:rPr>
          <w:noProof/>
        </w:rPr>
        <w:tab/>
        <w:t>881</w:t>
      </w:r>
    </w:p>
    <w:p w14:paraId="4238CA9E" w14:textId="77777777" w:rsidR="00C262A6" w:rsidRDefault="00C262A6">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Statistical overview of employment arrangements</w:t>
      </w:r>
      <w:r>
        <w:rPr>
          <w:noProof/>
        </w:rPr>
        <w:tab/>
        <w:t>901</w:t>
      </w:r>
    </w:p>
    <w:p w14:paraId="17C1E3EC" w14:textId="77777777" w:rsidR="00C262A6" w:rsidRDefault="00C262A6">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Penalty rates</w:t>
      </w:r>
      <w:r>
        <w:rPr>
          <w:noProof/>
        </w:rPr>
        <w:tab/>
        <w:t>921</w:t>
      </w:r>
    </w:p>
    <w:p w14:paraId="3C747446" w14:textId="413E36DC" w:rsidR="00C262A6" w:rsidRPr="00C262A6" w:rsidRDefault="00C262A6" w:rsidP="00893DEB">
      <w:pPr>
        <w:pStyle w:val="TOC1"/>
      </w:pPr>
      <w:r>
        <w:rPr>
          <w:noProof/>
        </w:rPr>
        <w:t>References</w:t>
      </w:r>
      <w:r>
        <w:rPr>
          <w:noProof/>
        </w:rPr>
        <w:tab/>
        <w:t>939</w:t>
      </w:r>
    </w:p>
    <w:p w14:paraId="083519BD" w14:textId="77777777" w:rsidR="004D3F58" w:rsidRDefault="004D3F58">
      <w:pPr>
        <w:pStyle w:val="BodyText"/>
        <w:sectPr w:rsidR="004D3F58" w:rsidSect="007448F7">
          <w:headerReference w:type="even" r:id="rId32"/>
          <w:headerReference w:type="default" r:id="rId33"/>
          <w:footerReference w:type="even" r:id="rId34"/>
          <w:footerReference w:type="default" r:id="rId35"/>
          <w:headerReference w:type="first" r:id="rId36"/>
          <w:type w:val="oddPage"/>
          <w:pgSz w:w="11907" w:h="16840" w:code="9"/>
          <w:pgMar w:top="1985" w:right="1304" w:bottom="1247" w:left="1814" w:header="1701" w:footer="397" w:gutter="0"/>
          <w:pgNumType w:fmt="lowerRoman"/>
          <w:cols w:space="720"/>
        </w:sectPr>
      </w:pPr>
    </w:p>
    <w:p w14:paraId="78291DD5" w14:textId="77777777" w:rsidR="00735FEA" w:rsidRDefault="00735FEA" w:rsidP="00F7477E">
      <w:pPr>
        <w:pStyle w:val="Heading1"/>
      </w:pPr>
      <w:bookmarkStart w:id="9" w:name="Abbreviations"/>
      <w:bookmarkStart w:id="10" w:name="EndContents"/>
      <w:bookmarkStart w:id="11" w:name="RDnote"/>
      <w:bookmarkStart w:id="12" w:name="_Toc425602213"/>
      <w:bookmarkStart w:id="13" w:name="_Toc425847595"/>
      <w:bookmarkEnd w:id="9"/>
      <w:bookmarkEnd w:id="10"/>
      <w:bookmarkEnd w:id="11"/>
      <w:r>
        <w:lastRenderedPageBreak/>
        <w:t>Abbreviations and explanations</w:t>
      </w:r>
      <w:bookmarkEnd w:id="12"/>
      <w:bookmarkEnd w:id="13"/>
    </w:p>
    <w:p w14:paraId="5C6A5ABB" w14:textId="77777777" w:rsidR="00735FEA" w:rsidRDefault="00735FEA" w:rsidP="00F7477E">
      <w:pPr>
        <w:pStyle w:val="Heading2NotTOC"/>
      </w:pPr>
      <w:r>
        <w:t>Abbrevia</w:t>
      </w:r>
      <w:r w:rsidRPr="00F85393">
        <w:t>t</w:t>
      </w:r>
      <w:r>
        <w:t>ions</w:t>
      </w:r>
    </w:p>
    <w:p w14:paraId="2F3BEB20" w14:textId="77777777" w:rsidR="00A66188" w:rsidRDefault="00A66188" w:rsidP="00A66188">
      <w:pPr>
        <w:pStyle w:val="BodyText"/>
      </w:pPr>
      <w:proofErr w:type="spellStart"/>
      <w:r w:rsidRPr="00A66188">
        <w:t>ABCC</w:t>
      </w:r>
      <w:proofErr w:type="spellEnd"/>
      <w:r w:rsidRPr="00A66188">
        <w:tab/>
        <w:t>Australian Building and Construction Commission</w:t>
      </w:r>
    </w:p>
    <w:p w14:paraId="6D7D5BAC" w14:textId="3611A098" w:rsidR="00A66188" w:rsidRPr="00A66188" w:rsidRDefault="00A66188" w:rsidP="00A66188">
      <w:pPr>
        <w:pStyle w:val="BodyText"/>
      </w:pPr>
      <w:r w:rsidRPr="00A66188">
        <w:t>ABS</w:t>
      </w:r>
      <w:r w:rsidRPr="00A66188">
        <w:tab/>
      </w:r>
      <w:r>
        <w:tab/>
      </w:r>
      <w:r w:rsidRPr="00A66188">
        <w:t>Australian Bureau of Statistics</w:t>
      </w:r>
    </w:p>
    <w:p w14:paraId="7D32C56A" w14:textId="77777777" w:rsidR="00A66188" w:rsidRPr="00A66188" w:rsidRDefault="00A66188" w:rsidP="00A66188">
      <w:pPr>
        <w:pStyle w:val="BodyText"/>
      </w:pPr>
      <w:r w:rsidRPr="00A66188">
        <w:t>ACAS</w:t>
      </w:r>
      <w:r w:rsidRPr="00A66188">
        <w:tab/>
        <w:t>Advisory, Conciliation and Arbitration Service</w:t>
      </w:r>
    </w:p>
    <w:p w14:paraId="1FCC72D0" w14:textId="77777777" w:rsidR="00A66188" w:rsidRPr="00A66188" w:rsidRDefault="00A66188" w:rsidP="00A66188">
      <w:pPr>
        <w:pStyle w:val="BodyText"/>
      </w:pPr>
      <w:proofErr w:type="spellStart"/>
      <w:r w:rsidRPr="00A66188">
        <w:t>ACCC</w:t>
      </w:r>
      <w:proofErr w:type="spellEnd"/>
      <w:r w:rsidRPr="00A66188">
        <w:tab/>
        <w:t>Australian Competition and Consumer Commission</w:t>
      </w:r>
    </w:p>
    <w:p w14:paraId="015D606C" w14:textId="77777777" w:rsidR="00A66188" w:rsidRPr="00A66188" w:rsidRDefault="00A66188" w:rsidP="00A66188">
      <w:pPr>
        <w:pStyle w:val="BodyText"/>
      </w:pPr>
      <w:proofErr w:type="spellStart"/>
      <w:r w:rsidRPr="00A66188">
        <w:t>ACCI</w:t>
      </w:r>
      <w:proofErr w:type="spellEnd"/>
      <w:r w:rsidRPr="00A66188">
        <w:tab/>
        <w:t>Australian Chamber of Commerce and Industry</w:t>
      </w:r>
    </w:p>
    <w:p w14:paraId="7648ADF4" w14:textId="77777777" w:rsidR="00A66188" w:rsidRPr="00A66188" w:rsidRDefault="00A66188" w:rsidP="00A66188">
      <w:pPr>
        <w:pStyle w:val="BodyText"/>
      </w:pPr>
      <w:proofErr w:type="spellStart"/>
      <w:r w:rsidRPr="00A66188">
        <w:t>ACOSS</w:t>
      </w:r>
      <w:proofErr w:type="spellEnd"/>
      <w:r w:rsidRPr="00A66188">
        <w:tab/>
        <w:t>Australian Council of Social Service</w:t>
      </w:r>
    </w:p>
    <w:p w14:paraId="5D46559D" w14:textId="77777777" w:rsidR="00A66188" w:rsidRPr="00A66188" w:rsidRDefault="00A66188" w:rsidP="00A66188">
      <w:pPr>
        <w:pStyle w:val="BodyText"/>
      </w:pPr>
      <w:proofErr w:type="spellStart"/>
      <w:r w:rsidRPr="00A66188">
        <w:t>ACREW</w:t>
      </w:r>
      <w:proofErr w:type="spellEnd"/>
      <w:r w:rsidRPr="00A66188">
        <w:tab/>
        <w:t>Australian Centre for Research in Employment and Work</w:t>
      </w:r>
    </w:p>
    <w:p w14:paraId="6E4F43AC" w14:textId="77777777" w:rsidR="00A66188" w:rsidRPr="00A66188" w:rsidRDefault="00A66188" w:rsidP="00A66188">
      <w:pPr>
        <w:pStyle w:val="BodyText"/>
      </w:pPr>
      <w:r w:rsidRPr="00A66188">
        <w:t>ACTU</w:t>
      </w:r>
      <w:r w:rsidRPr="00A66188">
        <w:tab/>
        <w:t>Australian Council of Trade Unions</w:t>
      </w:r>
    </w:p>
    <w:p w14:paraId="71E3FCF1" w14:textId="5D4AB61E" w:rsidR="00A66188" w:rsidRPr="00A66188" w:rsidRDefault="00A66188" w:rsidP="00A66188">
      <w:pPr>
        <w:pStyle w:val="BodyText"/>
      </w:pPr>
      <w:r w:rsidRPr="00A66188">
        <w:t>AHA</w:t>
      </w:r>
      <w:r w:rsidRPr="00A66188">
        <w:tab/>
      </w:r>
      <w:r>
        <w:tab/>
      </w:r>
      <w:r w:rsidRPr="00A66188">
        <w:t>Australian Hotels Association</w:t>
      </w:r>
    </w:p>
    <w:p w14:paraId="526B9346" w14:textId="77777777" w:rsidR="00A66188" w:rsidRPr="00A66188" w:rsidRDefault="00A66188" w:rsidP="00A66188">
      <w:pPr>
        <w:pStyle w:val="BodyText"/>
      </w:pPr>
      <w:proofErr w:type="spellStart"/>
      <w:r w:rsidRPr="00A66188">
        <w:t>AHRI</w:t>
      </w:r>
      <w:proofErr w:type="spellEnd"/>
      <w:r w:rsidRPr="00A66188">
        <w:tab/>
        <w:t>Australian Human Resources Institute</w:t>
      </w:r>
    </w:p>
    <w:p w14:paraId="03FDC9A9" w14:textId="77777777" w:rsidR="00A66188" w:rsidRPr="00A66188" w:rsidRDefault="00A66188" w:rsidP="00A66188">
      <w:pPr>
        <w:pStyle w:val="BodyText"/>
      </w:pPr>
      <w:proofErr w:type="spellStart"/>
      <w:r w:rsidRPr="00A66188">
        <w:t>AIRC</w:t>
      </w:r>
      <w:proofErr w:type="spellEnd"/>
      <w:r w:rsidRPr="00A66188">
        <w:tab/>
        <w:t>Australian Industrial Relations Commission</w:t>
      </w:r>
    </w:p>
    <w:p w14:paraId="3A2E1B15" w14:textId="77777777" w:rsidR="00A66188" w:rsidRPr="00A66188" w:rsidRDefault="00A66188" w:rsidP="00A66188">
      <w:pPr>
        <w:pStyle w:val="BodyText"/>
      </w:pPr>
      <w:proofErr w:type="spellStart"/>
      <w:r w:rsidRPr="00A66188">
        <w:t>ALAEA</w:t>
      </w:r>
      <w:proofErr w:type="spellEnd"/>
      <w:r w:rsidRPr="00A66188">
        <w:tab/>
        <w:t>Australian Licenced Aircraft Engineers Association</w:t>
      </w:r>
    </w:p>
    <w:p w14:paraId="15D1C16F" w14:textId="77777777" w:rsidR="00A66188" w:rsidRPr="00A66188" w:rsidRDefault="00A66188" w:rsidP="00A66188">
      <w:pPr>
        <w:pStyle w:val="BodyText"/>
      </w:pPr>
      <w:proofErr w:type="spellStart"/>
      <w:r w:rsidRPr="00A66188">
        <w:t>AMMA</w:t>
      </w:r>
      <w:proofErr w:type="spellEnd"/>
      <w:r w:rsidRPr="00A66188">
        <w:tab/>
        <w:t>Australian Metal and Mines Association</w:t>
      </w:r>
    </w:p>
    <w:p w14:paraId="2AF679C5" w14:textId="77777777" w:rsidR="00A66188" w:rsidRPr="00A66188" w:rsidRDefault="00A66188" w:rsidP="00A66188">
      <w:pPr>
        <w:pStyle w:val="BodyText"/>
      </w:pPr>
      <w:proofErr w:type="spellStart"/>
      <w:r w:rsidRPr="00A66188">
        <w:t>AMWU</w:t>
      </w:r>
      <w:proofErr w:type="spellEnd"/>
      <w:r w:rsidRPr="00A66188">
        <w:tab/>
        <w:t>Australian Manufacturing Workers’ Union</w:t>
      </w:r>
    </w:p>
    <w:p w14:paraId="4CAA481E" w14:textId="77777777" w:rsidR="00A66188" w:rsidRPr="00A66188" w:rsidRDefault="00A66188" w:rsidP="00A66188">
      <w:pPr>
        <w:pStyle w:val="BodyText"/>
      </w:pPr>
      <w:proofErr w:type="spellStart"/>
      <w:r w:rsidRPr="00A66188">
        <w:t>ANAO</w:t>
      </w:r>
      <w:proofErr w:type="spellEnd"/>
      <w:r w:rsidRPr="00A66188">
        <w:tab/>
        <w:t>Australian National Audit Office</w:t>
      </w:r>
    </w:p>
    <w:p w14:paraId="3B9D80AA" w14:textId="77777777" w:rsidR="00A66188" w:rsidRPr="00A66188" w:rsidRDefault="00A66188" w:rsidP="00A66188">
      <w:pPr>
        <w:pStyle w:val="BodyText"/>
      </w:pPr>
      <w:proofErr w:type="spellStart"/>
      <w:r w:rsidRPr="00A66188">
        <w:t>ANZSIC</w:t>
      </w:r>
      <w:proofErr w:type="spellEnd"/>
      <w:r w:rsidRPr="00A66188">
        <w:tab/>
        <w:t>Australian and New Zealand Standard Industrial Classification</w:t>
      </w:r>
    </w:p>
    <w:p w14:paraId="245DC477" w14:textId="77777777" w:rsidR="00A66188" w:rsidRPr="00A66188" w:rsidRDefault="00A66188" w:rsidP="00A66188">
      <w:pPr>
        <w:pStyle w:val="BodyText"/>
      </w:pPr>
      <w:proofErr w:type="spellStart"/>
      <w:r w:rsidRPr="00A66188">
        <w:t>APPEA</w:t>
      </w:r>
      <w:proofErr w:type="spellEnd"/>
      <w:r w:rsidRPr="00A66188">
        <w:tab/>
        <w:t>Australian Petroleum Production &amp; Exploration Association</w:t>
      </w:r>
    </w:p>
    <w:p w14:paraId="3C46C061" w14:textId="16398101" w:rsidR="00A66188" w:rsidRPr="00A66188" w:rsidRDefault="00A66188" w:rsidP="00A66188">
      <w:pPr>
        <w:pStyle w:val="BodyText"/>
      </w:pPr>
      <w:r w:rsidRPr="00A66188">
        <w:t>APS</w:t>
      </w:r>
      <w:r w:rsidRPr="00A66188">
        <w:tab/>
      </w:r>
      <w:r>
        <w:tab/>
      </w:r>
      <w:r w:rsidRPr="00A66188">
        <w:t>Australian Public Service</w:t>
      </w:r>
    </w:p>
    <w:p w14:paraId="014F1718" w14:textId="77777777" w:rsidR="00A66188" w:rsidRPr="00A66188" w:rsidRDefault="00A66188" w:rsidP="00A66188">
      <w:pPr>
        <w:pStyle w:val="BodyText"/>
      </w:pPr>
      <w:proofErr w:type="spellStart"/>
      <w:r w:rsidRPr="00A66188">
        <w:t>APSC</w:t>
      </w:r>
      <w:proofErr w:type="spellEnd"/>
      <w:r w:rsidRPr="00A66188">
        <w:tab/>
        <w:t>Australian Public Service Commission</w:t>
      </w:r>
    </w:p>
    <w:p w14:paraId="52359CA1" w14:textId="77777777" w:rsidR="00A66188" w:rsidRPr="00A66188" w:rsidRDefault="00A66188" w:rsidP="00A66188">
      <w:pPr>
        <w:pStyle w:val="BodyText"/>
      </w:pPr>
      <w:r w:rsidRPr="00A66188">
        <w:t>AWA</w:t>
      </w:r>
      <w:r w:rsidRPr="00A66188">
        <w:tab/>
        <w:t>Australian Workplace Agreement</w:t>
      </w:r>
    </w:p>
    <w:p w14:paraId="6DC6AD12" w14:textId="77777777" w:rsidR="00A66188" w:rsidRPr="00A66188" w:rsidRDefault="00A66188" w:rsidP="00A66188">
      <w:pPr>
        <w:pStyle w:val="BodyText"/>
      </w:pPr>
      <w:proofErr w:type="spellStart"/>
      <w:r w:rsidRPr="00A66188">
        <w:lastRenderedPageBreak/>
        <w:t>AWALI</w:t>
      </w:r>
      <w:proofErr w:type="spellEnd"/>
      <w:r w:rsidRPr="00A66188">
        <w:tab/>
        <w:t>Australian Work and Life Index</w:t>
      </w:r>
    </w:p>
    <w:p w14:paraId="79EA7602" w14:textId="77777777" w:rsidR="00A66188" w:rsidRPr="00A66188" w:rsidRDefault="00A66188" w:rsidP="00A66188">
      <w:pPr>
        <w:pStyle w:val="BodyText"/>
      </w:pPr>
      <w:proofErr w:type="spellStart"/>
      <w:r w:rsidRPr="00A66188">
        <w:t>AWRS</w:t>
      </w:r>
      <w:proofErr w:type="spellEnd"/>
      <w:r w:rsidRPr="00A66188">
        <w:tab/>
        <w:t>Australian Workplace Relations Study</w:t>
      </w:r>
    </w:p>
    <w:p w14:paraId="32BE2F47" w14:textId="77777777" w:rsidR="00A66188" w:rsidRPr="00A66188" w:rsidRDefault="00A66188" w:rsidP="00A66188">
      <w:pPr>
        <w:pStyle w:val="BodyText"/>
      </w:pPr>
      <w:proofErr w:type="spellStart"/>
      <w:r w:rsidRPr="00A66188">
        <w:t>AWU</w:t>
      </w:r>
      <w:proofErr w:type="spellEnd"/>
      <w:r w:rsidRPr="00A66188">
        <w:tab/>
        <w:t>Australian Workers Union</w:t>
      </w:r>
    </w:p>
    <w:p w14:paraId="452876B5" w14:textId="13F187AA" w:rsidR="00A66188" w:rsidRPr="00A66188" w:rsidRDefault="00A66188" w:rsidP="00A66188">
      <w:pPr>
        <w:pStyle w:val="BodyText"/>
      </w:pPr>
      <w:r w:rsidRPr="00A66188">
        <w:t>BCA</w:t>
      </w:r>
      <w:r w:rsidRPr="00A66188">
        <w:tab/>
      </w:r>
      <w:r>
        <w:tab/>
      </w:r>
      <w:r w:rsidRPr="00A66188">
        <w:t>Business Council of Australia</w:t>
      </w:r>
    </w:p>
    <w:p w14:paraId="3C5ED545" w14:textId="77777777" w:rsidR="00A66188" w:rsidRPr="00A66188" w:rsidRDefault="00A66188" w:rsidP="00A66188">
      <w:pPr>
        <w:pStyle w:val="BodyText"/>
      </w:pPr>
      <w:r w:rsidRPr="00A66188">
        <w:t>BOOT</w:t>
      </w:r>
      <w:r w:rsidRPr="00A66188">
        <w:tab/>
        <w:t>Better Off Overall Test</w:t>
      </w:r>
    </w:p>
    <w:p w14:paraId="1D2897E7" w14:textId="77777777" w:rsidR="00A66188" w:rsidRPr="00A66188" w:rsidRDefault="00A66188" w:rsidP="00A66188">
      <w:pPr>
        <w:pStyle w:val="BodyText"/>
      </w:pPr>
      <w:r w:rsidRPr="00A66188">
        <w:t>BRICS</w:t>
      </w:r>
      <w:r w:rsidRPr="00A66188">
        <w:tab/>
        <w:t>Brazil, Russia, India, China and South Africa</w:t>
      </w:r>
    </w:p>
    <w:p w14:paraId="3958389C" w14:textId="3716D09D" w:rsidR="00A66188" w:rsidRPr="00A66188" w:rsidRDefault="00A66188" w:rsidP="00A66188">
      <w:pPr>
        <w:pStyle w:val="BodyText"/>
      </w:pPr>
      <w:r w:rsidRPr="00A66188">
        <w:t>BRIT</w:t>
      </w:r>
      <w:r w:rsidRPr="00A66188">
        <w:tab/>
      </w:r>
      <w:r>
        <w:tab/>
      </w:r>
      <w:r w:rsidRPr="00A66188">
        <w:t>Bendigo Regional Institute of Technical and Further Education</w:t>
      </w:r>
    </w:p>
    <w:p w14:paraId="08807B49" w14:textId="5E378B8D" w:rsidR="00A66188" w:rsidRPr="00A66188" w:rsidRDefault="00A66188" w:rsidP="00A66188">
      <w:pPr>
        <w:pStyle w:val="BodyText"/>
      </w:pPr>
      <w:proofErr w:type="spellStart"/>
      <w:r w:rsidRPr="00A66188">
        <w:t>CEPU</w:t>
      </w:r>
      <w:proofErr w:type="spellEnd"/>
      <w:r w:rsidRPr="00A66188">
        <w:tab/>
        <w:t xml:space="preserve">Communications, Electrical, Electric ,Electronic, Energy, Information, Postal, </w:t>
      </w:r>
      <w:r>
        <w:tab/>
      </w:r>
      <w:r>
        <w:tab/>
      </w:r>
      <w:r w:rsidRPr="00A66188">
        <w:t>Plumbing and Allied Services Union of Australia</w:t>
      </w:r>
    </w:p>
    <w:p w14:paraId="4406655A" w14:textId="77777777" w:rsidR="00A66188" w:rsidRPr="00A66188" w:rsidRDefault="00A66188" w:rsidP="00A66188">
      <w:pPr>
        <w:pStyle w:val="BodyText"/>
      </w:pPr>
      <w:proofErr w:type="spellStart"/>
      <w:r w:rsidRPr="00A66188">
        <w:t>CFMEU</w:t>
      </w:r>
      <w:proofErr w:type="spellEnd"/>
      <w:r w:rsidRPr="00A66188">
        <w:tab/>
        <w:t>Construction, Forestry, Mining and Energy Union</w:t>
      </w:r>
    </w:p>
    <w:p w14:paraId="446B12A0" w14:textId="014DFB4B" w:rsidR="00A66188" w:rsidRPr="00A66188" w:rsidRDefault="00A66188" w:rsidP="00A66188">
      <w:pPr>
        <w:pStyle w:val="BodyText"/>
      </w:pPr>
      <w:proofErr w:type="spellStart"/>
      <w:r w:rsidRPr="00A66188">
        <w:t>CGE</w:t>
      </w:r>
      <w:proofErr w:type="spellEnd"/>
      <w:r w:rsidRPr="00A66188">
        <w:tab/>
      </w:r>
      <w:r>
        <w:tab/>
      </w:r>
      <w:r w:rsidRPr="00A66188">
        <w:t>Computable General Equilibrium</w:t>
      </w:r>
    </w:p>
    <w:p w14:paraId="5AB6514D" w14:textId="28307FF8" w:rsidR="00A66188" w:rsidRPr="00A66188" w:rsidRDefault="00A66188" w:rsidP="00A66188">
      <w:pPr>
        <w:pStyle w:val="BodyText"/>
      </w:pPr>
      <w:r w:rsidRPr="00A66188">
        <w:t>CMS</w:t>
      </w:r>
      <w:r w:rsidRPr="00A66188">
        <w:tab/>
      </w:r>
      <w:r w:rsidR="00DD3305">
        <w:tab/>
      </w:r>
      <w:r w:rsidRPr="00A66188">
        <w:t>Case Management System</w:t>
      </w:r>
    </w:p>
    <w:p w14:paraId="1F59D443" w14:textId="77777777" w:rsidR="00A66188" w:rsidRPr="00A66188" w:rsidRDefault="00A66188" w:rsidP="00A66188">
      <w:pPr>
        <w:pStyle w:val="BodyText"/>
      </w:pPr>
      <w:r w:rsidRPr="00A66188">
        <w:t>COAG</w:t>
      </w:r>
      <w:r w:rsidRPr="00A66188">
        <w:tab/>
        <w:t>Council of Australian Governments</w:t>
      </w:r>
    </w:p>
    <w:p w14:paraId="5430C749" w14:textId="77777777" w:rsidR="00A66188" w:rsidRPr="00A66188" w:rsidRDefault="00A66188" w:rsidP="00A66188">
      <w:pPr>
        <w:pStyle w:val="BodyText"/>
      </w:pPr>
      <w:r w:rsidRPr="00A66188">
        <w:t>COAT</w:t>
      </w:r>
      <w:r w:rsidRPr="00A66188">
        <w:tab/>
        <w:t>Council of Australasian Tribunals</w:t>
      </w:r>
    </w:p>
    <w:p w14:paraId="6E5A1728" w14:textId="77777777" w:rsidR="00A66188" w:rsidRPr="00A66188" w:rsidRDefault="00A66188" w:rsidP="00A66188">
      <w:pPr>
        <w:pStyle w:val="BodyText"/>
      </w:pPr>
      <w:proofErr w:type="spellStart"/>
      <w:r w:rsidRPr="00A66188">
        <w:t>COSBOA</w:t>
      </w:r>
      <w:proofErr w:type="spellEnd"/>
      <w:r w:rsidRPr="00A66188">
        <w:tab/>
        <w:t>Council of Small Business Australia</w:t>
      </w:r>
    </w:p>
    <w:p w14:paraId="113738FE" w14:textId="33EE420D" w:rsidR="00A66188" w:rsidRPr="00A66188" w:rsidRDefault="00A66188" w:rsidP="00A66188">
      <w:pPr>
        <w:pStyle w:val="BodyText"/>
      </w:pPr>
      <w:r w:rsidRPr="00A66188">
        <w:t>CPI</w:t>
      </w:r>
      <w:r w:rsidRPr="00A66188">
        <w:tab/>
      </w:r>
      <w:r>
        <w:tab/>
      </w:r>
      <w:r w:rsidRPr="00A66188">
        <w:t>Consumer Price Index</w:t>
      </w:r>
    </w:p>
    <w:p w14:paraId="0E922BA3" w14:textId="77777777" w:rsidR="00A66188" w:rsidRPr="00A66188" w:rsidRDefault="00A66188" w:rsidP="00A66188">
      <w:pPr>
        <w:pStyle w:val="BodyText"/>
      </w:pPr>
      <w:proofErr w:type="spellStart"/>
      <w:r w:rsidRPr="00A66188">
        <w:t>CPSU</w:t>
      </w:r>
      <w:proofErr w:type="spellEnd"/>
      <w:r w:rsidRPr="00A66188">
        <w:tab/>
        <w:t>Community and Public Sector Union</w:t>
      </w:r>
    </w:p>
    <w:p w14:paraId="18A0CB02" w14:textId="77777777" w:rsidR="00A66188" w:rsidRPr="00A66188" w:rsidRDefault="00A66188" w:rsidP="00A66188">
      <w:pPr>
        <w:pStyle w:val="BodyText"/>
      </w:pPr>
      <w:proofErr w:type="spellStart"/>
      <w:r w:rsidRPr="00A66188">
        <w:t>CURF</w:t>
      </w:r>
      <w:proofErr w:type="spellEnd"/>
      <w:r w:rsidRPr="00A66188">
        <w:tab/>
      </w:r>
      <w:proofErr w:type="spellStart"/>
      <w:r w:rsidRPr="00A66188">
        <w:t>Confidentialised</w:t>
      </w:r>
      <w:proofErr w:type="spellEnd"/>
      <w:r w:rsidRPr="00A66188">
        <w:t xml:space="preserve"> Unit Record File</w:t>
      </w:r>
    </w:p>
    <w:p w14:paraId="6B98C771" w14:textId="77777777" w:rsidR="00A66188" w:rsidRPr="00A66188" w:rsidRDefault="00A66188" w:rsidP="00A66188">
      <w:pPr>
        <w:pStyle w:val="BodyText"/>
      </w:pPr>
      <w:proofErr w:type="spellStart"/>
      <w:r w:rsidRPr="00A66188">
        <w:t>DEEWR</w:t>
      </w:r>
      <w:proofErr w:type="spellEnd"/>
      <w:r w:rsidRPr="00A66188">
        <w:tab/>
        <w:t>Department of Education, Employment and Workplace Relations</w:t>
      </w:r>
    </w:p>
    <w:p w14:paraId="5F283156" w14:textId="75875EAE" w:rsidR="00A66188" w:rsidRPr="00A66188" w:rsidRDefault="00A66188" w:rsidP="00A66188">
      <w:pPr>
        <w:pStyle w:val="BodyText"/>
      </w:pPr>
      <w:proofErr w:type="spellStart"/>
      <w:r w:rsidRPr="00A66188">
        <w:t>DET</w:t>
      </w:r>
      <w:proofErr w:type="spellEnd"/>
      <w:r w:rsidRPr="00A66188">
        <w:tab/>
      </w:r>
      <w:r>
        <w:tab/>
      </w:r>
      <w:r w:rsidRPr="00A66188">
        <w:t xml:space="preserve">Department of </w:t>
      </w:r>
      <w:r w:rsidR="00856795">
        <w:t>Education</w:t>
      </w:r>
      <w:r w:rsidRPr="00A66188">
        <w:t xml:space="preserve"> and Training</w:t>
      </w:r>
    </w:p>
    <w:p w14:paraId="23F990AD" w14:textId="77777777" w:rsidR="00A66188" w:rsidRPr="00A66188" w:rsidRDefault="00A66188" w:rsidP="00A66188">
      <w:pPr>
        <w:pStyle w:val="BodyText"/>
      </w:pPr>
      <w:proofErr w:type="spellStart"/>
      <w:r w:rsidRPr="00A66188">
        <w:t>DFAT</w:t>
      </w:r>
      <w:proofErr w:type="spellEnd"/>
      <w:r w:rsidRPr="00A66188">
        <w:tab/>
        <w:t>Department of Foreign Affairs and Trade</w:t>
      </w:r>
    </w:p>
    <w:p w14:paraId="38300DEC" w14:textId="0A2F2FAA" w:rsidR="00A66188" w:rsidRPr="00A66188" w:rsidRDefault="00A66188" w:rsidP="00A66188">
      <w:pPr>
        <w:pStyle w:val="BodyText"/>
      </w:pPr>
      <w:proofErr w:type="spellStart"/>
      <w:r w:rsidRPr="00A66188">
        <w:t>DIBP</w:t>
      </w:r>
      <w:proofErr w:type="spellEnd"/>
      <w:r w:rsidRPr="00A66188">
        <w:tab/>
      </w:r>
      <w:r>
        <w:tab/>
      </w:r>
      <w:r w:rsidRPr="00A66188">
        <w:t>Department of Immigration and Border Protection</w:t>
      </w:r>
    </w:p>
    <w:p w14:paraId="2692DEBE" w14:textId="4F443F55" w:rsidR="00A66188" w:rsidRPr="00A66188" w:rsidRDefault="00A66188" w:rsidP="00A66188">
      <w:pPr>
        <w:pStyle w:val="BodyText"/>
      </w:pPr>
      <w:proofErr w:type="spellStart"/>
      <w:r w:rsidRPr="00A66188">
        <w:t>EA</w:t>
      </w:r>
      <w:proofErr w:type="spellEnd"/>
      <w:r w:rsidRPr="00A66188">
        <w:tab/>
      </w:r>
      <w:r>
        <w:tab/>
      </w:r>
      <w:r w:rsidRPr="00A66188">
        <w:t>Enterprise Agreement</w:t>
      </w:r>
    </w:p>
    <w:p w14:paraId="6B77E7DA" w14:textId="083E9106" w:rsidR="00A66188" w:rsidRPr="00A66188" w:rsidRDefault="00A66188" w:rsidP="00A66188">
      <w:pPr>
        <w:pStyle w:val="BodyText"/>
      </w:pPr>
      <w:proofErr w:type="spellStart"/>
      <w:r w:rsidRPr="00A66188">
        <w:t>EBA</w:t>
      </w:r>
      <w:proofErr w:type="spellEnd"/>
      <w:r w:rsidRPr="00A66188">
        <w:tab/>
      </w:r>
      <w:r>
        <w:tab/>
      </w:r>
      <w:r w:rsidRPr="00A66188">
        <w:t>Enterprise Bargaining Agreement</w:t>
      </w:r>
    </w:p>
    <w:p w14:paraId="72068550" w14:textId="634E514B" w:rsidR="00A66188" w:rsidRPr="00A66188" w:rsidRDefault="00A66188" w:rsidP="00A66188">
      <w:pPr>
        <w:pStyle w:val="BodyText"/>
      </w:pPr>
      <w:proofErr w:type="spellStart"/>
      <w:r w:rsidRPr="00A66188">
        <w:t>EITC</w:t>
      </w:r>
      <w:proofErr w:type="spellEnd"/>
      <w:r w:rsidRPr="00A66188">
        <w:tab/>
      </w:r>
      <w:r>
        <w:tab/>
      </w:r>
      <w:r w:rsidRPr="00A66188">
        <w:t>Earned Income Tax Credit</w:t>
      </w:r>
    </w:p>
    <w:p w14:paraId="7F353649" w14:textId="4E919A57" w:rsidR="00A66188" w:rsidRPr="00A66188" w:rsidRDefault="00A66188" w:rsidP="00A66188">
      <w:pPr>
        <w:pStyle w:val="BodyText"/>
      </w:pPr>
      <w:proofErr w:type="spellStart"/>
      <w:r w:rsidRPr="00A66188">
        <w:t>EPL</w:t>
      </w:r>
      <w:proofErr w:type="spellEnd"/>
      <w:r w:rsidRPr="00A66188">
        <w:tab/>
      </w:r>
      <w:r>
        <w:tab/>
      </w:r>
      <w:r w:rsidRPr="00A66188">
        <w:t>Employment Protection Legislation</w:t>
      </w:r>
    </w:p>
    <w:p w14:paraId="377081D6" w14:textId="42DACB41" w:rsidR="00A66188" w:rsidRPr="00A66188" w:rsidRDefault="00A66188" w:rsidP="00A66188">
      <w:pPr>
        <w:pStyle w:val="BodyText"/>
      </w:pPr>
      <w:proofErr w:type="spellStart"/>
      <w:r w:rsidRPr="00A66188">
        <w:lastRenderedPageBreak/>
        <w:t>FWA</w:t>
      </w:r>
      <w:proofErr w:type="spellEnd"/>
      <w:r w:rsidRPr="00A66188">
        <w:tab/>
      </w:r>
      <w:r>
        <w:tab/>
      </w:r>
      <w:r w:rsidRPr="00A66188">
        <w:t>Fair Work Australia</w:t>
      </w:r>
    </w:p>
    <w:p w14:paraId="7231B732" w14:textId="77777777" w:rsidR="00A66188" w:rsidRPr="00A66188" w:rsidRDefault="00A66188" w:rsidP="00A66188">
      <w:pPr>
        <w:pStyle w:val="BodyText"/>
      </w:pPr>
      <w:proofErr w:type="spellStart"/>
      <w:r w:rsidRPr="00A66188">
        <w:t>FWAFB</w:t>
      </w:r>
      <w:proofErr w:type="spellEnd"/>
      <w:r w:rsidRPr="00A66188">
        <w:tab/>
        <w:t>Fair Work Australia Full Bench</w:t>
      </w:r>
    </w:p>
    <w:p w14:paraId="784DEBCD" w14:textId="77777777" w:rsidR="00A66188" w:rsidRPr="00A66188" w:rsidRDefault="00A66188" w:rsidP="00A66188">
      <w:pPr>
        <w:pStyle w:val="BodyText"/>
      </w:pPr>
      <w:proofErr w:type="spellStart"/>
      <w:r w:rsidRPr="00A66188">
        <w:t>FWBC</w:t>
      </w:r>
      <w:proofErr w:type="spellEnd"/>
      <w:r w:rsidRPr="00A66188">
        <w:tab/>
        <w:t>Fair Work Building and Construction</w:t>
      </w:r>
    </w:p>
    <w:p w14:paraId="605C1460" w14:textId="5EB459AC" w:rsidR="00A66188" w:rsidRPr="00A66188" w:rsidRDefault="00A66188" w:rsidP="00A66188">
      <w:pPr>
        <w:pStyle w:val="BodyText"/>
      </w:pPr>
      <w:proofErr w:type="spellStart"/>
      <w:r w:rsidRPr="00A66188">
        <w:t>FWC</w:t>
      </w:r>
      <w:proofErr w:type="spellEnd"/>
      <w:r w:rsidRPr="00A66188">
        <w:tab/>
      </w:r>
      <w:r>
        <w:tab/>
      </w:r>
      <w:r w:rsidRPr="00A66188">
        <w:t>Fair Work Commission</w:t>
      </w:r>
    </w:p>
    <w:p w14:paraId="47869F49" w14:textId="77777777" w:rsidR="00A66188" w:rsidRPr="00A66188" w:rsidRDefault="00A66188" w:rsidP="00A66188">
      <w:pPr>
        <w:pStyle w:val="BodyText"/>
      </w:pPr>
      <w:proofErr w:type="spellStart"/>
      <w:r w:rsidRPr="00A66188">
        <w:t>FWCFB</w:t>
      </w:r>
      <w:proofErr w:type="spellEnd"/>
      <w:r w:rsidRPr="00A66188">
        <w:tab/>
        <w:t>Fair Work Commission Full Bench</w:t>
      </w:r>
    </w:p>
    <w:p w14:paraId="12998964" w14:textId="47E10C40" w:rsidR="00A66188" w:rsidRPr="00A66188" w:rsidRDefault="00A66188" w:rsidP="00A66188">
      <w:pPr>
        <w:pStyle w:val="BodyText"/>
      </w:pPr>
      <w:proofErr w:type="spellStart"/>
      <w:r w:rsidRPr="00A66188">
        <w:t>FWO</w:t>
      </w:r>
      <w:proofErr w:type="spellEnd"/>
      <w:r w:rsidRPr="00A66188">
        <w:tab/>
      </w:r>
      <w:r>
        <w:tab/>
      </w:r>
      <w:r w:rsidRPr="00A66188">
        <w:t>Fair Work Ombudsman</w:t>
      </w:r>
    </w:p>
    <w:p w14:paraId="27387AF3" w14:textId="1F9FDB41" w:rsidR="00A66188" w:rsidRPr="00A66188" w:rsidRDefault="00A66188" w:rsidP="00A66188">
      <w:pPr>
        <w:pStyle w:val="BodyText"/>
      </w:pPr>
      <w:r w:rsidRPr="00A66188">
        <w:t>GDP</w:t>
      </w:r>
      <w:r w:rsidRPr="00A66188">
        <w:tab/>
      </w:r>
      <w:r>
        <w:tab/>
      </w:r>
      <w:r w:rsidRPr="00A66188">
        <w:t>Gross Domestic Product</w:t>
      </w:r>
    </w:p>
    <w:p w14:paraId="3CD189E7" w14:textId="77777777" w:rsidR="00A66188" w:rsidRPr="00A66188" w:rsidRDefault="00A66188" w:rsidP="00A66188">
      <w:pPr>
        <w:pStyle w:val="BodyText"/>
      </w:pPr>
      <w:r w:rsidRPr="00A66188">
        <w:t>HILDA</w:t>
      </w:r>
      <w:r w:rsidRPr="00A66188">
        <w:tab/>
        <w:t>Household, Income and Labour Dynamics in Australia</w:t>
      </w:r>
    </w:p>
    <w:p w14:paraId="4DA443A6" w14:textId="52AB0495" w:rsidR="00A66188" w:rsidRPr="00A66188" w:rsidRDefault="00A66188" w:rsidP="00A66188">
      <w:pPr>
        <w:pStyle w:val="BodyText"/>
      </w:pPr>
      <w:r w:rsidRPr="00A66188">
        <w:t>HR</w:t>
      </w:r>
      <w:r w:rsidRPr="00A66188">
        <w:tab/>
      </w:r>
      <w:r>
        <w:tab/>
      </w:r>
      <w:r w:rsidRPr="00A66188">
        <w:t>Human Resources</w:t>
      </w:r>
    </w:p>
    <w:p w14:paraId="31C42440" w14:textId="05DBBC46" w:rsidR="00A66188" w:rsidRPr="00A66188" w:rsidRDefault="00A66188" w:rsidP="00A66188">
      <w:pPr>
        <w:pStyle w:val="BodyText"/>
      </w:pPr>
      <w:r w:rsidRPr="00A66188">
        <w:t>HSU</w:t>
      </w:r>
      <w:r w:rsidRPr="00A66188">
        <w:tab/>
      </w:r>
      <w:r>
        <w:tab/>
      </w:r>
      <w:r w:rsidRPr="00A66188">
        <w:t>Health Services Union</w:t>
      </w:r>
    </w:p>
    <w:p w14:paraId="4CAF8922" w14:textId="59D26B5F" w:rsidR="00A66188" w:rsidRPr="00A66188" w:rsidRDefault="00A66188" w:rsidP="00A66188">
      <w:pPr>
        <w:pStyle w:val="BodyText"/>
      </w:pPr>
      <w:proofErr w:type="spellStart"/>
      <w:r w:rsidRPr="00A66188">
        <w:t>IFA</w:t>
      </w:r>
      <w:proofErr w:type="spellEnd"/>
      <w:r w:rsidRPr="00A66188">
        <w:tab/>
      </w:r>
      <w:r>
        <w:tab/>
      </w:r>
      <w:r w:rsidRPr="00A66188">
        <w:t>Individual Flexibility Arrangement</w:t>
      </w:r>
    </w:p>
    <w:p w14:paraId="052CCE0C" w14:textId="786E0036" w:rsidR="00A66188" w:rsidRPr="00A66188" w:rsidRDefault="00A66188" w:rsidP="00A66188">
      <w:pPr>
        <w:pStyle w:val="BodyText"/>
      </w:pPr>
      <w:proofErr w:type="spellStart"/>
      <w:r w:rsidRPr="00A66188">
        <w:t>ILO</w:t>
      </w:r>
      <w:proofErr w:type="spellEnd"/>
      <w:r w:rsidRPr="00A66188">
        <w:tab/>
      </w:r>
      <w:r>
        <w:tab/>
      </w:r>
      <w:r w:rsidRPr="00A66188">
        <w:t>International Labour Organization</w:t>
      </w:r>
    </w:p>
    <w:p w14:paraId="22E95D08" w14:textId="2F0B1C9E" w:rsidR="00A66188" w:rsidRPr="00A66188" w:rsidRDefault="00A66188" w:rsidP="00A66188">
      <w:pPr>
        <w:pStyle w:val="BodyText"/>
      </w:pPr>
      <w:proofErr w:type="spellStart"/>
      <w:r w:rsidRPr="00A66188">
        <w:t>IR</w:t>
      </w:r>
      <w:proofErr w:type="spellEnd"/>
      <w:r w:rsidRPr="00A66188">
        <w:tab/>
      </w:r>
      <w:r>
        <w:tab/>
      </w:r>
      <w:r w:rsidRPr="00A66188">
        <w:t>Industrial Relations</w:t>
      </w:r>
    </w:p>
    <w:p w14:paraId="6DA2B7FF" w14:textId="58559CC2" w:rsidR="00A66188" w:rsidRPr="00A66188" w:rsidRDefault="00A66188" w:rsidP="00A66188">
      <w:pPr>
        <w:pStyle w:val="BodyText"/>
      </w:pPr>
      <w:r w:rsidRPr="00A66188">
        <w:t>IRC</w:t>
      </w:r>
      <w:r w:rsidRPr="00A66188">
        <w:tab/>
      </w:r>
      <w:r>
        <w:tab/>
      </w:r>
      <w:r w:rsidRPr="00A66188">
        <w:t>Industrial Relations Commission</w:t>
      </w:r>
    </w:p>
    <w:p w14:paraId="1679A567" w14:textId="676BA3A1" w:rsidR="00A66188" w:rsidRPr="00A66188" w:rsidRDefault="00A66188" w:rsidP="00A66188">
      <w:pPr>
        <w:pStyle w:val="BodyText"/>
      </w:pPr>
      <w:proofErr w:type="spellStart"/>
      <w:r w:rsidRPr="00A66188">
        <w:t>LITO</w:t>
      </w:r>
      <w:proofErr w:type="spellEnd"/>
      <w:r w:rsidRPr="00A66188">
        <w:tab/>
      </w:r>
      <w:r>
        <w:tab/>
      </w:r>
      <w:r w:rsidRPr="00A66188">
        <w:t>Low Income Tax Offset</w:t>
      </w:r>
    </w:p>
    <w:p w14:paraId="53CB2C52" w14:textId="27713992" w:rsidR="00A66188" w:rsidRPr="00A66188" w:rsidRDefault="00A66188" w:rsidP="00A66188">
      <w:pPr>
        <w:pStyle w:val="BodyText"/>
      </w:pPr>
      <w:proofErr w:type="spellStart"/>
      <w:r w:rsidRPr="00A66188">
        <w:t>MBA</w:t>
      </w:r>
      <w:proofErr w:type="spellEnd"/>
      <w:r w:rsidRPr="00A66188">
        <w:tab/>
      </w:r>
      <w:r>
        <w:tab/>
      </w:r>
      <w:r w:rsidRPr="00A66188">
        <w:t>Master Builders Australia</w:t>
      </w:r>
    </w:p>
    <w:p w14:paraId="34701FB4" w14:textId="3DBA66F6" w:rsidR="00A66188" w:rsidRPr="00A66188" w:rsidRDefault="00A66188" w:rsidP="00A66188">
      <w:pPr>
        <w:pStyle w:val="BodyText"/>
      </w:pPr>
      <w:proofErr w:type="spellStart"/>
      <w:r w:rsidRPr="00A66188">
        <w:t>MUA</w:t>
      </w:r>
      <w:proofErr w:type="spellEnd"/>
      <w:r w:rsidRPr="00A66188">
        <w:tab/>
      </w:r>
      <w:r>
        <w:tab/>
      </w:r>
      <w:r w:rsidRPr="00A66188">
        <w:t>Maritime Union of Australia</w:t>
      </w:r>
    </w:p>
    <w:p w14:paraId="4C7D1508" w14:textId="77777777" w:rsidR="00A66188" w:rsidRPr="00A66188" w:rsidRDefault="00A66188" w:rsidP="00A66188">
      <w:pPr>
        <w:pStyle w:val="BodyText"/>
      </w:pPr>
      <w:proofErr w:type="spellStart"/>
      <w:r w:rsidRPr="00A66188">
        <w:t>NAIRU</w:t>
      </w:r>
      <w:proofErr w:type="spellEnd"/>
      <w:r w:rsidRPr="00A66188">
        <w:tab/>
        <w:t>Non-Accelerating Inflation Rate of Unemployment</w:t>
      </w:r>
    </w:p>
    <w:p w14:paraId="759CA92C" w14:textId="77777777" w:rsidR="00A66188" w:rsidRPr="00A66188" w:rsidRDefault="00A66188" w:rsidP="00A66188">
      <w:pPr>
        <w:pStyle w:val="BodyText"/>
      </w:pPr>
      <w:proofErr w:type="spellStart"/>
      <w:r w:rsidRPr="00A66188">
        <w:t>NATSEM</w:t>
      </w:r>
      <w:proofErr w:type="spellEnd"/>
      <w:r w:rsidRPr="00A66188">
        <w:tab/>
        <w:t>National Centre for Social and Economic Modelling</w:t>
      </w:r>
    </w:p>
    <w:p w14:paraId="1612F1F3" w14:textId="77777777" w:rsidR="00A66188" w:rsidRPr="00A66188" w:rsidRDefault="00A66188" w:rsidP="00A66188">
      <w:pPr>
        <w:pStyle w:val="BodyText"/>
      </w:pPr>
      <w:proofErr w:type="spellStart"/>
      <w:r w:rsidRPr="00A66188">
        <w:t>NBER</w:t>
      </w:r>
      <w:proofErr w:type="spellEnd"/>
      <w:r w:rsidRPr="00A66188">
        <w:tab/>
        <w:t>National Bureau of Economic Research</w:t>
      </w:r>
    </w:p>
    <w:p w14:paraId="6FD8BF95" w14:textId="330CCBCD" w:rsidR="00A66188" w:rsidRPr="00A66188" w:rsidRDefault="00A66188" w:rsidP="00A66188">
      <w:pPr>
        <w:pStyle w:val="BodyText"/>
      </w:pPr>
      <w:proofErr w:type="spellStart"/>
      <w:r w:rsidRPr="00A66188">
        <w:t>NCC</w:t>
      </w:r>
      <w:proofErr w:type="spellEnd"/>
      <w:r w:rsidRPr="00A66188">
        <w:tab/>
      </w:r>
      <w:r>
        <w:tab/>
      </w:r>
      <w:r w:rsidRPr="00A66188">
        <w:t>National Competition Council</w:t>
      </w:r>
    </w:p>
    <w:p w14:paraId="693A9BD5" w14:textId="77777777" w:rsidR="00A66188" w:rsidRPr="00A66188" w:rsidRDefault="00A66188" w:rsidP="00A66188">
      <w:pPr>
        <w:pStyle w:val="BodyText"/>
      </w:pPr>
      <w:proofErr w:type="spellStart"/>
      <w:r w:rsidRPr="00A66188">
        <w:t>NCOSS</w:t>
      </w:r>
      <w:proofErr w:type="spellEnd"/>
      <w:r w:rsidRPr="00A66188">
        <w:tab/>
        <w:t>Council of Social Service of New South Wales</w:t>
      </w:r>
    </w:p>
    <w:p w14:paraId="08791904" w14:textId="0CF3488C" w:rsidR="00A66188" w:rsidRPr="00A66188" w:rsidRDefault="00A66188" w:rsidP="00A66188">
      <w:pPr>
        <w:pStyle w:val="BodyText"/>
      </w:pPr>
      <w:proofErr w:type="spellStart"/>
      <w:r w:rsidRPr="00A66188">
        <w:t>NES</w:t>
      </w:r>
      <w:proofErr w:type="spellEnd"/>
      <w:r w:rsidRPr="00A66188">
        <w:tab/>
      </w:r>
      <w:r>
        <w:tab/>
      </w:r>
      <w:r w:rsidRPr="00A66188">
        <w:t>National Employment Standards</w:t>
      </w:r>
    </w:p>
    <w:p w14:paraId="28C171BE" w14:textId="77777777" w:rsidR="00A66188" w:rsidRPr="00A66188" w:rsidRDefault="00A66188" w:rsidP="00A66188">
      <w:pPr>
        <w:pStyle w:val="BodyText"/>
      </w:pPr>
      <w:proofErr w:type="spellStart"/>
      <w:r w:rsidRPr="00A66188">
        <w:t>NTEU</w:t>
      </w:r>
      <w:proofErr w:type="spellEnd"/>
      <w:r w:rsidRPr="00A66188">
        <w:tab/>
        <w:t>National Tertiary Education Union</w:t>
      </w:r>
    </w:p>
    <w:p w14:paraId="20353DD9" w14:textId="77777777" w:rsidR="00A66188" w:rsidRPr="00A66188" w:rsidRDefault="00A66188" w:rsidP="00A66188">
      <w:pPr>
        <w:pStyle w:val="BodyText"/>
      </w:pPr>
      <w:r w:rsidRPr="00A66188">
        <w:t>OECD</w:t>
      </w:r>
      <w:r w:rsidRPr="00A66188">
        <w:tab/>
        <w:t>Organisation for Economic Cooperation and Development</w:t>
      </w:r>
    </w:p>
    <w:p w14:paraId="35926DAC" w14:textId="6C32EADD" w:rsidR="00A66188" w:rsidRPr="00A66188" w:rsidRDefault="00A66188" w:rsidP="00A66188">
      <w:pPr>
        <w:pStyle w:val="BodyText"/>
      </w:pPr>
      <w:proofErr w:type="spellStart"/>
      <w:r w:rsidRPr="00A66188">
        <w:lastRenderedPageBreak/>
        <w:t>OLS</w:t>
      </w:r>
      <w:proofErr w:type="spellEnd"/>
      <w:r w:rsidRPr="00A66188">
        <w:tab/>
      </w:r>
      <w:r>
        <w:tab/>
      </w:r>
      <w:r w:rsidRPr="00A66188">
        <w:t>Ordinary Least Squares</w:t>
      </w:r>
    </w:p>
    <w:p w14:paraId="4D863008" w14:textId="77777777" w:rsidR="00A66188" w:rsidRPr="00A66188" w:rsidRDefault="00A66188" w:rsidP="00A66188">
      <w:pPr>
        <w:pStyle w:val="BodyText"/>
      </w:pPr>
      <w:proofErr w:type="spellStart"/>
      <w:r w:rsidRPr="00A66188">
        <w:t>PAYG</w:t>
      </w:r>
      <w:proofErr w:type="spellEnd"/>
      <w:r w:rsidRPr="00A66188">
        <w:tab/>
        <w:t>Pay As You Go</w:t>
      </w:r>
    </w:p>
    <w:p w14:paraId="2FED86DD" w14:textId="78690F7A" w:rsidR="00A66188" w:rsidRPr="00A66188" w:rsidRDefault="00A66188" w:rsidP="00A66188">
      <w:pPr>
        <w:pStyle w:val="BodyText"/>
      </w:pPr>
      <w:r w:rsidRPr="00A66188">
        <w:t>PC</w:t>
      </w:r>
      <w:r w:rsidRPr="00A66188">
        <w:tab/>
      </w:r>
      <w:r>
        <w:tab/>
      </w:r>
      <w:r w:rsidRPr="00A66188">
        <w:t>Productivity Commission</w:t>
      </w:r>
    </w:p>
    <w:p w14:paraId="465B8B99" w14:textId="7183AA70" w:rsidR="00A66188" w:rsidRPr="00A66188" w:rsidRDefault="00A66188" w:rsidP="00A66188">
      <w:pPr>
        <w:pStyle w:val="BodyText"/>
      </w:pPr>
      <w:proofErr w:type="spellStart"/>
      <w:r w:rsidRPr="00A66188">
        <w:t>PIR</w:t>
      </w:r>
      <w:proofErr w:type="spellEnd"/>
      <w:r w:rsidRPr="00A66188">
        <w:tab/>
      </w:r>
      <w:r>
        <w:tab/>
      </w:r>
      <w:r w:rsidRPr="00A66188">
        <w:t>Post-Implementation Review</w:t>
      </w:r>
    </w:p>
    <w:p w14:paraId="41075914" w14:textId="632E72E9" w:rsidR="00A66188" w:rsidRPr="00A66188" w:rsidRDefault="00A66188" w:rsidP="00A66188">
      <w:pPr>
        <w:pStyle w:val="BodyText"/>
      </w:pPr>
      <w:r w:rsidRPr="00A66188">
        <w:t>PISA</w:t>
      </w:r>
      <w:r w:rsidRPr="00A66188">
        <w:tab/>
      </w:r>
      <w:r>
        <w:tab/>
      </w:r>
      <w:proofErr w:type="spellStart"/>
      <w:r w:rsidRPr="00A66188">
        <w:t>Programme</w:t>
      </w:r>
      <w:proofErr w:type="spellEnd"/>
      <w:r w:rsidRPr="00A66188">
        <w:t xml:space="preserve"> for International Student Assessment</w:t>
      </w:r>
    </w:p>
    <w:p w14:paraId="51F12EB4" w14:textId="07FB47F7" w:rsidR="00A66188" w:rsidRPr="00A66188" w:rsidRDefault="00A66188" w:rsidP="00A66188">
      <w:pPr>
        <w:pStyle w:val="BodyText"/>
      </w:pPr>
      <w:r w:rsidRPr="00A66188">
        <w:t>PPP</w:t>
      </w:r>
      <w:r w:rsidRPr="00A66188">
        <w:tab/>
      </w:r>
      <w:r>
        <w:tab/>
      </w:r>
      <w:r w:rsidRPr="00A66188">
        <w:t>Purchasing Power Parity</w:t>
      </w:r>
    </w:p>
    <w:p w14:paraId="2C999273" w14:textId="4E0470BF" w:rsidR="00A66188" w:rsidRPr="00A66188" w:rsidRDefault="00A66188" w:rsidP="00A66188">
      <w:pPr>
        <w:pStyle w:val="BodyText"/>
      </w:pPr>
      <w:proofErr w:type="spellStart"/>
      <w:r w:rsidRPr="00A66188">
        <w:t>QUT</w:t>
      </w:r>
      <w:proofErr w:type="spellEnd"/>
      <w:r w:rsidRPr="00A66188">
        <w:tab/>
      </w:r>
      <w:r>
        <w:tab/>
      </w:r>
      <w:r w:rsidRPr="00A66188">
        <w:t>Queensland University of Technology</w:t>
      </w:r>
    </w:p>
    <w:p w14:paraId="1A93FE33" w14:textId="1B663B10" w:rsidR="00A66188" w:rsidRPr="00A66188" w:rsidRDefault="00A66188" w:rsidP="00A66188">
      <w:pPr>
        <w:pStyle w:val="BodyText"/>
      </w:pPr>
      <w:r w:rsidRPr="00A66188">
        <w:t>RBA</w:t>
      </w:r>
      <w:r w:rsidRPr="00A66188">
        <w:tab/>
      </w:r>
      <w:r>
        <w:tab/>
      </w:r>
      <w:r w:rsidRPr="00A66188">
        <w:t>Reserve Bank of Australia</w:t>
      </w:r>
    </w:p>
    <w:p w14:paraId="3A8BBBC0" w14:textId="77777777" w:rsidR="00A66188" w:rsidRPr="00A66188" w:rsidRDefault="00A66188" w:rsidP="00A66188">
      <w:pPr>
        <w:pStyle w:val="BodyText"/>
      </w:pPr>
      <w:proofErr w:type="spellStart"/>
      <w:r w:rsidRPr="00A66188">
        <w:t>SACES</w:t>
      </w:r>
      <w:proofErr w:type="spellEnd"/>
      <w:r w:rsidRPr="00A66188">
        <w:tab/>
        <w:t>South Australian Centre for Economic Studies</w:t>
      </w:r>
    </w:p>
    <w:p w14:paraId="1DAE8AB2" w14:textId="3BF488F7" w:rsidR="00A66188" w:rsidRPr="00A66188" w:rsidRDefault="00A66188" w:rsidP="00A66188">
      <w:pPr>
        <w:pStyle w:val="BodyText"/>
      </w:pPr>
      <w:proofErr w:type="spellStart"/>
      <w:r w:rsidRPr="00A66188">
        <w:t>TCF</w:t>
      </w:r>
      <w:proofErr w:type="spellEnd"/>
      <w:r w:rsidRPr="00A66188">
        <w:tab/>
      </w:r>
      <w:r>
        <w:tab/>
      </w:r>
      <w:r w:rsidRPr="00A66188">
        <w:t>Textile, Clothing and Footwear</w:t>
      </w:r>
    </w:p>
    <w:p w14:paraId="4C0B8F40" w14:textId="77777777" w:rsidR="00A66188" w:rsidRPr="00A66188" w:rsidRDefault="00A66188" w:rsidP="00A66188">
      <w:pPr>
        <w:pStyle w:val="BodyText"/>
      </w:pPr>
      <w:proofErr w:type="spellStart"/>
      <w:r w:rsidRPr="00A66188">
        <w:t>TCFUA</w:t>
      </w:r>
      <w:proofErr w:type="spellEnd"/>
      <w:r w:rsidRPr="00A66188">
        <w:tab/>
        <w:t>Textile, Clothing and Footwear Union of Australia</w:t>
      </w:r>
    </w:p>
    <w:p w14:paraId="72837A1D" w14:textId="77777777" w:rsidR="00A66188" w:rsidRPr="00A66188" w:rsidRDefault="00A66188" w:rsidP="00A66188">
      <w:pPr>
        <w:pStyle w:val="BodyText"/>
      </w:pPr>
      <w:proofErr w:type="spellStart"/>
      <w:r w:rsidRPr="00A66188">
        <w:t>TRYM</w:t>
      </w:r>
      <w:proofErr w:type="spellEnd"/>
      <w:r w:rsidRPr="00A66188">
        <w:tab/>
        <w:t>Treasury Macroeconomic</w:t>
      </w:r>
    </w:p>
    <w:p w14:paraId="38F0B202" w14:textId="2F372F64" w:rsidR="00A66188" w:rsidRPr="00A66188" w:rsidRDefault="00A66188" w:rsidP="00A66188">
      <w:pPr>
        <w:pStyle w:val="BodyText"/>
      </w:pPr>
      <w:proofErr w:type="spellStart"/>
      <w:r w:rsidRPr="00A66188">
        <w:t>TWU</w:t>
      </w:r>
      <w:proofErr w:type="spellEnd"/>
      <w:r w:rsidRPr="00A66188">
        <w:tab/>
      </w:r>
      <w:r>
        <w:tab/>
      </w:r>
      <w:r w:rsidRPr="00A66188">
        <w:t>Transport Workers Union</w:t>
      </w:r>
    </w:p>
    <w:p w14:paraId="04E9B9CB" w14:textId="77777777" w:rsidR="00A66188" w:rsidRPr="00A66188" w:rsidRDefault="00A66188" w:rsidP="00A66188">
      <w:pPr>
        <w:pStyle w:val="BodyText"/>
      </w:pPr>
      <w:proofErr w:type="spellStart"/>
      <w:r w:rsidRPr="00A66188">
        <w:t>UNSW</w:t>
      </w:r>
      <w:proofErr w:type="spellEnd"/>
      <w:r w:rsidRPr="00A66188">
        <w:tab/>
        <w:t>University of New South Wales</w:t>
      </w:r>
    </w:p>
    <w:p w14:paraId="158943AA" w14:textId="77777777" w:rsidR="00A66188" w:rsidRPr="00A66188" w:rsidRDefault="00A66188" w:rsidP="00A66188">
      <w:pPr>
        <w:pStyle w:val="BodyText"/>
      </w:pPr>
      <w:proofErr w:type="spellStart"/>
      <w:r w:rsidRPr="00A66188">
        <w:t>VECCI</w:t>
      </w:r>
      <w:proofErr w:type="spellEnd"/>
      <w:r w:rsidRPr="00A66188">
        <w:tab/>
        <w:t>Victorian Employers’ Chamber of Commerce and Industry</w:t>
      </w:r>
    </w:p>
    <w:p w14:paraId="4DF59CF6" w14:textId="77777777" w:rsidR="00A66188" w:rsidRPr="00A66188" w:rsidRDefault="00A66188" w:rsidP="00A66188">
      <w:pPr>
        <w:pStyle w:val="BodyText"/>
      </w:pPr>
      <w:proofErr w:type="spellStart"/>
      <w:r w:rsidRPr="00A66188">
        <w:t>WAIRC</w:t>
      </w:r>
      <w:proofErr w:type="spellEnd"/>
      <w:r w:rsidRPr="00A66188">
        <w:tab/>
        <w:t>Western Australian Industrial Relations Commission</w:t>
      </w:r>
    </w:p>
    <w:p w14:paraId="629358CA" w14:textId="7321E9FD" w:rsidR="00A66188" w:rsidRPr="00A66188" w:rsidRDefault="00A66188" w:rsidP="00A66188">
      <w:pPr>
        <w:pStyle w:val="BodyText"/>
      </w:pPr>
      <w:proofErr w:type="spellStart"/>
      <w:r w:rsidRPr="00A66188">
        <w:t>WHS</w:t>
      </w:r>
      <w:proofErr w:type="spellEnd"/>
      <w:r w:rsidRPr="00A66188">
        <w:tab/>
      </w:r>
      <w:r>
        <w:tab/>
      </w:r>
      <w:r w:rsidRPr="00A66188">
        <w:t>Workplace Health and Safety</w:t>
      </w:r>
    </w:p>
    <w:p w14:paraId="49C22BE7" w14:textId="771A86DE" w:rsidR="00A66188" w:rsidRPr="00A66188" w:rsidRDefault="00A66188" w:rsidP="00A66188">
      <w:pPr>
        <w:pStyle w:val="BodyText"/>
      </w:pPr>
      <w:proofErr w:type="spellStart"/>
      <w:r w:rsidRPr="00A66188">
        <w:t>WR</w:t>
      </w:r>
      <w:proofErr w:type="spellEnd"/>
      <w:r w:rsidRPr="00A66188">
        <w:tab/>
      </w:r>
      <w:r>
        <w:tab/>
      </w:r>
      <w:r w:rsidRPr="00A66188">
        <w:t>Workplace Relations</w:t>
      </w:r>
    </w:p>
    <w:p w14:paraId="25299921" w14:textId="4FB4EB82" w:rsidR="00A66188" w:rsidRPr="00A66188" w:rsidRDefault="00A66188" w:rsidP="00A66188">
      <w:pPr>
        <w:pStyle w:val="BodyText"/>
      </w:pPr>
      <w:r w:rsidRPr="00A66188">
        <w:t>WTO</w:t>
      </w:r>
      <w:r w:rsidRPr="00A66188">
        <w:tab/>
      </w:r>
      <w:r>
        <w:tab/>
      </w:r>
      <w:r w:rsidRPr="00A66188">
        <w:t>World Trade Organization</w:t>
      </w:r>
    </w:p>
    <w:p w14:paraId="4E83310A" w14:textId="2F5990BF"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14:paraId="4805AE28" w14:textId="77777777" w:rsidTr="000A5E12">
        <w:tc>
          <w:tcPr>
            <w:tcW w:w="2410" w:type="dxa"/>
          </w:tcPr>
          <w:p w14:paraId="19FD243A" w14:textId="77777777" w:rsidR="00735FEA" w:rsidRDefault="00735FEA">
            <w:pPr>
              <w:pStyle w:val="BodyText"/>
              <w:spacing w:before="120"/>
              <w:ind w:right="6"/>
            </w:pPr>
            <w:r>
              <w:t>Billion</w:t>
            </w:r>
          </w:p>
        </w:tc>
        <w:tc>
          <w:tcPr>
            <w:tcW w:w="6379" w:type="dxa"/>
          </w:tcPr>
          <w:p w14:paraId="1F638583" w14:textId="77777777" w:rsidR="00735FEA" w:rsidRDefault="00735FEA">
            <w:pPr>
              <w:pStyle w:val="BodyText"/>
              <w:spacing w:before="120"/>
              <w:ind w:left="227" w:right="6"/>
            </w:pPr>
            <w:r>
              <w:t>The convention used for a billion is a thousand million (10</w:t>
            </w:r>
            <w:r>
              <w:rPr>
                <w:position w:val="6"/>
                <w:sz w:val="22"/>
              </w:rPr>
              <w:t>9</w:t>
            </w:r>
            <w:r>
              <w:t>).</w:t>
            </w:r>
          </w:p>
        </w:tc>
      </w:tr>
    </w:tbl>
    <w:p w14:paraId="2441EC09" w14:textId="47B32A43" w:rsidR="00C262A6" w:rsidRPr="00797BB9" w:rsidRDefault="00C262A6" w:rsidP="00797BB9">
      <w:pPr>
        <w:pStyle w:val="BodyText"/>
        <w:rPr>
          <w:rStyle w:val="CommentReference"/>
          <w:b w:val="0"/>
          <w:vanish w:val="0"/>
          <w:color w:val="auto"/>
          <w:sz w:val="24"/>
        </w:rPr>
      </w:pPr>
      <w:bookmarkStart w:id="14" w:name="Glossary"/>
      <w:bookmarkEnd w:id="14"/>
    </w:p>
    <w:sectPr w:rsidR="00C262A6" w:rsidRPr="00797BB9" w:rsidSect="00585B3F">
      <w:headerReference w:type="even" r:id="rId37"/>
      <w:headerReference w:type="default" r:id="rId38"/>
      <w:footerReference w:type="even" r:id="rId39"/>
      <w:footerReference w:type="default" r:id="rId40"/>
      <w:headerReference w:type="first" r:id="rId4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7C7A9" w14:textId="77777777" w:rsidR="00524704" w:rsidRDefault="00524704">
      <w:r>
        <w:separator/>
      </w:r>
    </w:p>
    <w:p w14:paraId="7BB38BB6" w14:textId="77777777" w:rsidR="00524704" w:rsidRDefault="00524704"/>
    <w:p w14:paraId="3203C5D8" w14:textId="77777777" w:rsidR="00524704" w:rsidRDefault="00524704"/>
  </w:endnote>
  <w:endnote w:type="continuationSeparator" w:id="0">
    <w:p w14:paraId="3992E97E" w14:textId="77777777" w:rsidR="00524704" w:rsidRDefault="00524704">
      <w:r>
        <w:continuationSeparator/>
      </w:r>
    </w:p>
    <w:p w14:paraId="5414579F" w14:textId="77777777" w:rsidR="00524704" w:rsidRDefault="00524704"/>
    <w:p w14:paraId="2B72483A" w14:textId="77777777" w:rsidR="00524704" w:rsidRDefault="00524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8F77B" w14:textId="77777777" w:rsidR="006F0B17" w:rsidRDefault="006F0B1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561E0C1F" w14:textId="77777777" w:rsidTr="00524704">
      <w:trPr>
        <w:trHeight w:hRule="exact" w:val="567"/>
      </w:trPr>
      <w:tc>
        <w:tcPr>
          <w:tcW w:w="510" w:type="dxa"/>
        </w:tcPr>
        <w:p w14:paraId="042E817A" w14:textId="77777777" w:rsidR="00524704" w:rsidRPr="007448F7" w:rsidRDefault="00524704" w:rsidP="00524704">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F0B17">
            <w:rPr>
              <w:rStyle w:val="PageNumber"/>
              <w:caps w:val="0"/>
              <w:noProof/>
            </w:rPr>
            <w:t>xiv</w:t>
          </w:r>
          <w:r w:rsidRPr="007448F7">
            <w:rPr>
              <w:rStyle w:val="PageNumber"/>
              <w:caps w:val="0"/>
            </w:rPr>
            <w:fldChar w:fldCharType="end"/>
          </w:r>
        </w:p>
      </w:tc>
      <w:tc>
        <w:tcPr>
          <w:tcW w:w="7767" w:type="dxa"/>
        </w:tcPr>
        <w:p w14:paraId="41FEF1E7" w14:textId="77777777" w:rsidR="00524704" w:rsidRDefault="00C302A3" w:rsidP="00271B0C">
          <w:pPr>
            <w:pStyle w:val="Footer"/>
            <w:rPr>
              <w:rFonts w:cs="Arial"/>
            </w:rPr>
          </w:pPr>
          <w:r>
            <w:rPr>
              <w:rFonts w:cs="Arial"/>
            </w:rPr>
            <w:t>workplace relations framework</w:t>
          </w:r>
        </w:p>
        <w:p w14:paraId="0729D295" w14:textId="5F4716DB" w:rsidR="00C302A3" w:rsidRPr="0013739A" w:rsidRDefault="00C302A3" w:rsidP="00C302A3">
          <w:pPr>
            <w:pStyle w:val="FooterDraftReport"/>
          </w:pPr>
          <w:r>
            <w:t>draft report</w:t>
          </w:r>
        </w:p>
      </w:tc>
      <w:tc>
        <w:tcPr>
          <w:tcW w:w="510" w:type="dxa"/>
        </w:tcPr>
        <w:p w14:paraId="6A804683" w14:textId="77777777" w:rsidR="00524704" w:rsidRDefault="00524704" w:rsidP="00524704">
          <w:pPr>
            <w:pStyle w:val="Footer"/>
          </w:pPr>
        </w:p>
      </w:tc>
    </w:tr>
  </w:tbl>
  <w:p w14:paraId="59C3D6C1" w14:textId="6C930581" w:rsidR="00524704" w:rsidRDefault="00524704" w:rsidP="00524704">
    <w:pPr>
      <w:pStyle w:val="FooterEnd"/>
    </w:pPr>
  </w:p>
  <w:p w14:paraId="49128D9E" w14:textId="77777777" w:rsidR="00524704" w:rsidRDefault="00524704">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3BC704D4" w14:textId="77777777" w:rsidTr="00524704">
      <w:trPr>
        <w:trHeight w:hRule="exact" w:val="567"/>
      </w:trPr>
      <w:tc>
        <w:tcPr>
          <w:tcW w:w="510" w:type="dxa"/>
        </w:tcPr>
        <w:p w14:paraId="2950A759" w14:textId="77777777" w:rsidR="00524704" w:rsidRDefault="00524704">
          <w:pPr>
            <w:pStyle w:val="Footer"/>
            <w:ind w:right="360" w:firstLine="360"/>
          </w:pPr>
        </w:p>
      </w:tc>
      <w:tc>
        <w:tcPr>
          <w:tcW w:w="7767" w:type="dxa"/>
        </w:tcPr>
        <w:p w14:paraId="1AFE38AC" w14:textId="77777777" w:rsidR="00524704" w:rsidRDefault="00524704" w:rsidP="00340511">
          <w:pPr>
            <w:pStyle w:val="Footer"/>
            <w:jc w:val="right"/>
            <w:rPr>
              <w:noProof/>
            </w:rPr>
          </w:pPr>
          <w:r w:rsidRPr="00340511">
            <w:rPr>
              <w:noProof/>
            </w:rPr>
            <w:fldChar w:fldCharType="begin"/>
          </w:r>
          <w:r w:rsidRPr="00340511">
            <w:rPr>
              <w:noProof/>
            </w:rPr>
            <w:instrText xml:space="preserve"> STYLEREF "Heading 1" \* MERGEFORMAT </w:instrText>
          </w:r>
          <w:r w:rsidRPr="00340511">
            <w:rPr>
              <w:noProof/>
            </w:rPr>
            <w:fldChar w:fldCharType="separate"/>
          </w:r>
          <w:r w:rsidR="006F0B17" w:rsidRPr="006F0B17">
            <w:rPr>
              <w:bCs/>
              <w:noProof/>
              <w:lang w:val="en-US"/>
            </w:rPr>
            <w:t>Abbreviations and explanations</w:t>
          </w:r>
          <w:r w:rsidRPr="00340511">
            <w:rPr>
              <w:noProof/>
            </w:rPr>
            <w:fldChar w:fldCharType="end"/>
          </w:r>
        </w:p>
        <w:p w14:paraId="1630D987" w14:textId="25D0DAF4" w:rsidR="00A059B4" w:rsidRPr="00340511" w:rsidRDefault="00A059B4" w:rsidP="00A059B4">
          <w:pPr>
            <w:pStyle w:val="FooterDraftReport"/>
            <w:jc w:val="right"/>
          </w:pPr>
          <w:r>
            <w:rPr>
              <w:noProof/>
            </w:rPr>
            <w:t>draft report</w:t>
          </w:r>
        </w:p>
      </w:tc>
      <w:tc>
        <w:tcPr>
          <w:tcW w:w="510" w:type="dxa"/>
        </w:tcPr>
        <w:p w14:paraId="6B15BB80" w14:textId="77777777" w:rsidR="00524704" w:rsidRPr="00A24443" w:rsidRDefault="0052470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F0B17">
            <w:rPr>
              <w:rStyle w:val="PageNumber"/>
              <w:caps w:val="0"/>
              <w:noProof/>
            </w:rPr>
            <w:t>xiii</w:t>
          </w:r>
          <w:r w:rsidRPr="00A24443">
            <w:rPr>
              <w:rStyle w:val="PageNumber"/>
              <w:caps w:val="0"/>
            </w:rPr>
            <w:fldChar w:fldCharType="end"/>
          </w:r>
        </w:p>
      </w:tc>
    </w:tr>
  </w:tbl>
  <w:p w14:paraId="5D10FF12" w14:textId="77777777" w:rsidR="00524704" w:rsidRDefault="00524704">
    <w:pPr>
      <w:pStyle w:val="FooterEnd"/>
    </w:pPr>
  </w:p>
  <w:p w14:paraId="70164F5F" w14:textId="77777777" w:rsidR="00524704" w:rsidRDefault="00524704"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95D6" w14:textId="77777777" w:rsidR="006F0B17" w:rsidRDefault="006F0B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F2753" w14:textId="77777777" w:rsidR="006F0B17" w:rsidRDefault="006F0B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1BB78A6F" w14:textId="77777777" w:rsidTr="00524704">
      <w:trPr>
        <w:trHeight w:hRule="exact" w:val="567"/>
      </w:trPr>
      <w:tc>
        <w:tcPr>
          <w:tcW w:w="510" w:type="dxa"/>
        </w:tcPr>
        <w:p w14:paraId="2793385C" w14:textId="77777777" w:rsidR="00524704" w:rsidRDefault="00524704" w:rsidP="00524704">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17BE3">
            <w:rPr>
              <w:rStyle w:val="PageNumber"/>
              <w:noProof/>
            </w:rPr>
            <w:t>iv</w:t>
          </w:r>
          <w:r>
            <w:rPr>
              <w:rStyle w:val="PageNumber"/>
            </w:rPr>
            <w:fldChar w:fldCharType="end"/>
          </w:r>
        </w:p>
      </w:tc>
      <w:tc>
        <w:tcPr>
          <w:tcW w:w="7767" w:type="dxa"/>
        </w:tcPr>
        <w:p w14:paraId="55E5D858" w14:textId="77777777" w:rsidR="00524704" w:rsidRPr="0013739A" w:rsidRDefault="00524704" w:rsidP="0052470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75F44">
            <w:rPr>
              <w:rFonts w:cs="Arial"/>
            </w:rPr>
            <w:t>Draft report prelims</w:t>
          </w:r>
          <w:r w:rsidRPr="00BA5B14">
            <w:rPr>
              <w:rFonts w:cs="Arial"/>
            </w:rPr>
            <w:fldChar w:fldCharType="end"/>
          </w:r>
        </w:p>
      </w:tc>
      <w:tc>
        <w:tcPr>
          <w:tcW w:w="510" w:type="dxa"/>
        </w:tcPr>
        <w:p w14:paraId="6DA98746" w14:textId="77777777" w:rsidR="00524704" w:rsidRDefault="00524704" w:rsidP="00524704">
          <w:pPr>
            <w:pStyle w:val="Footer"/>
          </w:pPr>
        </w:p>
      </w:tc>
    </w:tr>
  </w:tbl>
  <w:p w14:paraId="6B467D7E" w14:textId="77777777" w:rsidR="00524704" w:rsidRDefault="00524704" w:rsidP="00524704">
    <w:pPr>
      <w:pStyle w:val="FooterEnd"/>
    </w:pPr>
  </w:p>
  <w:p w14:paraId="0A493B52" w14:textId="77777777" w:rsidR="00524704" w:rsidRDefault="0052470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0AB55702" w14:textId="77777777" w:rsidTr="00524704">
      <w:trPr>
        <w:trHeight w:hRule="exact" w:val="567"/>
      </w:trPr>
      <w:tc>
        <w:tcPr>
          <w:tcW w:w="510" w:type="dxa"/>
        </w:tcPr>
        <w:p w14:paraId="50C48A03" w14:textId="77777777" w:rsidR="00524704" w:rsidRDefault="00524704">
          <w:pPr>
            <w:pStyle w:val="Footer"/>
            <w:ind w:right="360" w:firstLine="360"/>
          </w:pPr>
        </w:p>
      </w:tc>
      <w:tc>
        <w:tcPr>
          <w:tcW w:w="7767" w:type="dxa"/>
        </w:tcPr>
        <w:p w14:paraId="1F5287AC" w14:textId="77777777" w:rsidR="00524704" w:rsidRDefault="00524704" w:rsidP="00524704">
          <w:pPr>
            <w:pStyle w:val="Footer"/>
            <w:jc w:val="right"/>
            <w:rPr>
              <w:rFonts w:cs="Arial"/>
            </w:rPr>
          </w:pPr>
          <w:r w:rsidRPr="00C24C8B">
            <w:rPr>
              <w:noProof/>
            </w:rPr>
            <w:fldChar w:fldCharType="begin"/>
          </w:r>
          <w:r w:rsidRPr="00C24C8B">
            <w:rPr>
              <w:noProof/>
            </w:rPr>
            <w:instrText xml:space="preserve"> STYLEREF "Heading 1" \* MERGEFORMAT </w:instrText>
          </w:r>
          <w:r w:rsidRPr="00C24C8B">
            <w:rPr>
              <w:noProof/>
            </w:rPr>
            <w:fldChar w:fldCharType="separate"/>
          </w:r>
          <w:r w:rsidR="006F0B17" w:rsidRPr="006F0B17">
            <w:rPr>
              <w:bCs/>
              <w:noProof/>
              <w:lang w:val="en-US"/>
            </w:rPr>
            <w:t>Opportunity for further</w:t>
          </w:r>
          <w:r w:rsidR="006F0B17">
            <w:rPr>
              <w:noProof/>
            </w:rPr>
            <w:t xml:space="preserve"> comment</w:t>
          </w:r>
          <w:r w:rsidRPr="00C24C8B">
            <w:rPr>
              <w:noProof/>
            </w:rPr>
            <w:fldChar w:fldCharType="end"/>
          </w:r>
          <w:r w:rsidRPr="00C24C8B">
            <w:rPr>
              <w:rFonts w:cs="Arial"/>
            </w:rPr>
            <w:t xml:space="preserve"> </w:t>
          </w:r>
        </w:p>
        <w:p w14:paraId="1EEF881B" w14:textId="3C2B98D1" w:rsidR="00A059B4" w:rsidRPr="00C24C8B" w:rsidRDefault="00A059B4" w:rsidP="00A059B4">
          <w:pPr>
            <w:pStyle w:val="FooterDraftReport"/>
            <w:jc w:val="right"/>
          </w:pPr>
          <w:r>
            <w:rPr>
              <w:noProof/>
            </w:rPr>
            <w:t>draft report</w:t>
          </w:r>
        </w:p>
      </w:tc>
      <w:tc>
        <w:tcPr>
          <w:tcW w:w="510" w:type="dxa"/>
        </w:tcPr>
        <w:p w14:paraId="664546AD" w14:textId="77777777" w:rsidR="00524704" w:rsidRPr="00C24C8B" w:rsidRDefault="00524704">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6F0B17">
            <w:rPr>
              <w:rStyle w:val="PageNumber"/>
              <w:caps w:val="0"/>
              <w:noProof/>
            </w:rPr>
            <w:t>iii</w:t>
          </w:r>
          <w:r w:rsidRPr="00C24C8B">
            <w:rPr>
              <w:rStyle w:val="PageNumber"/>
              <w:caps w:val="0"/>
            </w:rPr>
            <w:fldChar w:fldCharType="end"/>
          </w:r>
        </w:p>
      </w:tc>
    </w:tr>
  </w:tbl>
  <w:p w14:paraId="69D79A60" w14:textId="77777777" w:rsidR="00524704" w:rsidRDefault="00524704">
    <w:pPr>
      <w:pStyle w:val="FooterEnd"/>
    </w:pPr>
  </w:p>
  <w:p w14:paraId="0F4A4CFD" w14:textId="77777777" w:rsidR="00524704" w:rsidRDefault="0052470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156C4B37" w14:textId="77777777" w:rsidTr="00524704">
      <w:trPr>
        <w:trHeight w:hRule="exact" w:val="567"/>
      </w:trPr>
      <w:tc>
        <w:tcPr>
          <w:tcW w:w="510" w:type="dxa"/>
        </w:tcPr>
        <w:p w14:paraId="757E9CBB" w14:textId="77777777" w:rsidR="00524704" w:rsidRPr="00752FFF" w:rsidRDefault="00524704" w:rsidP="00524704">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6F0B17">
            <w:rPr>
              <w:rStyle w:val="PageNumber"/>
              <w:caps w:val="0"/>
              <w:noProof/>
            </w:rPr>
            <w:t>iv</w:t>
          </w:r>
          <w:r w:rsidRPr="00752FFF">
            <w:rPr>
              <w:rStyle w:val="PageNumber"/>
              <w:caps w:val="0"/>
            </w:rPr>
            <w:fldChar w:fldCharType="end"/>
          </w:r>
        </w:p>
      </w:tc>
      <w:tc>
        <w:tcPr>
          <w:tcW w:w="7767" w:type="dxa"/>
        </w:tcPr>
        <w:p w14:paraId="7BF3FE33" w14:textId="77777777" w:rsidR="00524704" w:rsidRDefault="00C302A3" w:rsidP="00524704">
          <w:pPr>
            <w:pStyle w:val="Footer"/>
            <w:rPr>
              <w:rFonts w:cs="Arial"/>
            </w:rPr>
          </w:pPr>
          <w:r>
            <w:rPr>
              <w:rFonts w:cs="Arial"/>
            </w:rPr>
            <w:t>workplace relations framework</w:t>
          </w:r>
        </w:p>
        <w:p w14:paraId="154F955E" w14:textId="7A048F13" w:rsidR="00C302A3" w:rsidRPr="0013739A" w:rsidRDefault="00C302A3" w:rsidP="00C302A3">
          <w:pPr>
            <w:pStyle w:val="FooterDraftReport"/>
          </w:pPr>
          <w:r>
            <w:t>draft report</w:t>
          </w:r>
        </w:p>
      </w:tc>
      <w:tc>
        <w:tcPr>
          <w:tcW w:w="510" w:type="dxa"/>
        </w:tcPr>
        <w:p w14:paraId="2921EC20" w14:textId="77777777" w:rsidR="00524704" w:rsidRDefault="00524704" w:rsidP="00524704">
          <w:pPr>
            <w:pStyle w:val="Footer"/>
          </w:pPr>
        </w:p>
      </w:tc>
    </w:tr>
  </w:tbl>
  <w:p w14:paraId="768E2A4F" w14:textId="5A6BF0DF" w:rsidR="00524704" w:rsidRDefault="00524704" w:rsidP="00524704">
    <w:pPr>
      <w:pStyle w:val="FooterEnd"/>
    </w:pPr>
  </w:p>
  <w:p w14:paraId="46FA14C8" w14:textId="77777777" w:rsidR="00524704" w:rsidRDefault="0052470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46AABF4E" w14:textId="77777777" w:rsidTr="00524704">
      <w:trPr>
        <w:trHeight w:hRule="exact" w:val="567"/>
      </w:trPr>
      <w:tc>
        <w:tcPr>
          <w:tcW w:w="510" w:type="dxa"/>
        </w:tcPr>
        <w:p w14:paraId="1ACCE543" w14:textId="77777777" w:rsidR="00524704" w:rsidRDefault="00524704">
          <w:pPr>
            <w:pStyle w:val="Footer"/>
            <w:ind w:right="360" w:firstLine="360"/>
          </w:pPr>
        </w:p>
      </w:tc>
      <w:tc>
        <w:tcPr>
          <w:tcW w:w="7767" w:type="dxa"/>
        </w:tcPr>
        <w:p w14:paraId="28B0C3EE" w14:textId="77777777" w:rsidR="00524704" w:rsidRDefault="00524704" w:rsidP="00524704">
          <w:pPr>
            <w:pStyle w:val="Footer"/>
            <w:jc w:val="right"/>
            <w:rPr>
              <w:noProof/>
            </w:rPr>
          </w:pPr>
          <w:r w:rsidRPr="00752FFF">
            <w:rPr>
              <w:noProof/>
            </w:rPr>
            <w:fldChar w:fldCharType="begin"/>
          </w:r>
          <w:r w:rsidRPr="00752FFF">
            <w:rPr>
              <w:noProof/>
            </w:rPr>
            <w:instrText xml:space="preserve"> STYLEREF "Heading 1" \* MERGEFORMAT </w:instrText>
          </w:r>
          <w:r w:rsidRPr="00752FFF">
            <w:rPr>
              <w:noProof/>
            </w:rPr>
            <w:fldChar w:fldCharType="separate"/>
          </w:r>
          <w:r w:rsidR="006F0B17" w:rsidRPr="006F0B17">
            <w:rPr>
              <w:bCs/>
              <w:noProof/>
              <w:lang w:val="en-US"/>
            </w:rPr>
            <w:t>Terms of reference</w:t>
          </w:r>
          <w:r w:rsidRPr="00752FFF">
            <w:rPr>
              <w:noProof/>
            </w:rPr>
            <w:fldChar w:fldCharType="end"/>
          </w:r>
        </w:p>
        <w:p w14:paraId="4183F4F6" w14:textId="20595D07" w:rsidR="00A059B4" w:rsidRPr="00752FFF" w:rsidRDefault="00A059B4" w:rsidP="00A059B4">
          <w:pPr>
            <w:pStyle w:val="FooterDraftReport"/>
            <w:jc w:val="right"/>
          </w:pPr>
          <w:r>
            <w:rPr>
              <w:noProof/>
            </w:rPr>
            <w:t>draft report</w:t>
          </w:r>
        </w:p>
      </w:tc>
      <w:tc>
        <w:tcPr>
          <w:tcW w:w="510" w:type="dxa"/>
        </w:tcPr>
        <w:p w14:paraId="7E5965FE" w14:textId="77777777" w:rsidR="00524704" w:rsidRPr="00A24443" w:rsidRDefault="0052470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F0B17">
            <w:rPr>
              <w:rStyle w:val="PageNumber"/>
              <w:caps w:val="0"/>
              <w:noProof/>
            </w:rPr>
            <w:t>v</w:t>
          </w:r>
          <w:r w:rsidRPr="00A24443">
            <w:rPr>
              <w:rStyle w:val="PageNumber"/>
              <w:caps w:val="0"/>
            </w:rPr>
            <w:fldChar w:fldCharType="end"/>
          </w:r>
        </w:p>
      </w:tc>
    </w:tr>
  </w:tbl>
  <w:p w14:paraId="1F79DABF" w14:textId="77777777" w:rsidR="00524704" w:rsidRDefault="00524704">
    <w:pPr>
      <w:pStyle w:val="FooterEnd"/>
    </w:pPr>
  </w:p>
  <w:p w14:paraId="20C988D6" w14:textId="77777777" w:rsidR="00524704" w:rsidRPr="00D01645" w:rsidRDefault="00524704" w:rsidP="0052470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15E5DCB6" w14:textId="77777777" w:rsidTr="00524704">
      <w:trPr>
        <w:trHeight w:hRule="exact" w:val="567"/>
      </w:trPr>
      <w:tc>
        <w:tcPr>
          <w:tcW w:w="510" w:type="dxa"/>
        </w:tcPr>
        <w:p w14:paraId="5CB45BB4" w14:textId="77777777" w:rsidR="00524704" w:rsidRPr="00A24443" w:rsidRDefault="00524704" w:rsidP="00524704">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F0B17">
            <w:rPr>
              <w:rStyle w:val="PageNumber"/>
              <w:caps w:val="0"/>
              <w:noProof/>
            </w:rPr>
            <w:t>viii</w:t>
          </w:r>
          <w:r w:rsidRPr="00A24443">
            <w:rPr>
              <w:rStyle w:val="PageNumber"/>
              <w:caps w:val="0"/>
            </w:rPr>
            <w:fldChar w:fldCharType="end"/>
          </w:r>
        </w:p>
      </w:tc>
      <w:tc>
        <w:tcPr>
          <w:tcW w:w="7767" w:type="dxa"/>
        </w:tcPr>
        <w:p w14:paraId="1121DDD3" w14:textId="423C5EC4" w:rsidR="00524704" w:rsidRDefault="00C302A3" w:rsidP="00524704">
          <w:pPr>
            <w:pStyle w:val="Footer"/>
            <w:rPr>
              <w:rFonts w:cs="Arial"/>
            </w:rPr>
          </w:pPr>
          <w:r>
            <w:rPr>
              <w:rFonts w:cs="Arial"/>
            </w:rPr>
            <w:t>workplace relations framework</w:t>
          </w:r>
        </w:p>
        <w:p w14:paraId="0E2EF7D0" w14:textId="5B47B414" w:rsidR="00C302A3" w:rsidRPr="0013739A" w:rsidRDefault="00C302A3" w:rsidP="00C302A3">
          <w:pPr>
            <w:pStyle w:val="FooterDraftReport"/>
          </w:pPr>
          <w:r>
            <w:t>draft report</w:t>
          </w:r>
        </w:p>
      </w:tc>
      <w:tc>
        <w:tcPr>
          <w:tcW w:w="510" w:type="dxa"/>
        </w:tcPr>
        <w:p w14:paraId="3AE59DDC" w14:textId="77777777" w:rsidR="00524704" w:rsidRDefault="00524704" w:rsidP="00524704">
          <w:pPr>
            <w:pStyle w:val="Footer"/>
          </w:pPr>
        </w:p>
      </w:tc>
    </w:tr>
  </w:tbl>
  <w:p w14:paraId="2E50F927" w14:textId="77777777" w:rsidR="00524704" w:rsidRDefault="00524704" w:rsidP="00524704">
    <w:pPr>
      <w:pStyle w:val="FooterEnd"/>
    </w:pPr>
  </w:p>
  <w:p w14:paraId="73730822" w14:textId="77777777" w:rsidR="00524704" w:rsidRDefault="00524704">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5064DC7A" w14:textId="77777777" w:rsidTr="00524704">
      <w:trPr>
        <w:trHeight w:hRule="exact" w:val="567"/>
      </w:trPr>
      <w:tc>
        <w:tcPr>
          <w:tcW w:w="510" w:type="dxa"/>
        </w:tcPr>
        <w:p w14:paraId="2A363C7E" w14:textId="77777777" w:rsidR="00524704" w:rsidRDefault="00524704">
          <w:pPr>
            <w:pStyle w:val="Footer"/>
            <w:ind w:right="360" w:firstLine="360"/>
          </w:pPr>
        </w:p>
      </w:tc>
      <w:tc>
        <w:tcPr>
          <w:tcW w:w="7767" w:type="dxa"/>
        </w:tcPr>
        <w:p w14:paraId="58D11DBC" w14:textId="77777777" w:rsidR="00524704" w:rsidRDefault="00524704"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F0B17">
            <w:rPr>
              <w:noProof/>
            </w:rPr>
            <w:t>Contents</w:t>
          </w:r>
          <w:r w:rsidRPr="008F7DB7">
            <w:rPr>
              <w:noProof/>
            </w:rPr>
            <w:fldChar w:fldCharType="end"/>
          </w:r>
          <w:r>
            <w:rPr>
              <w:rFonts w:cs="Arial"/>
            </w:rPr>
            <w:t xml:space="preserve"> </w:t>
          </w:r>
        </w:p>
        <w:p w14:paraId="7DBB7B19" w14:textId="696EA6D0" w:rsidR="00A059B4" w:rsidRPr="00BA5B14" w:rsidRDefault="00A059B4" w:rsidP="00A059B4">
          <w:pPr>
            <w:pStyle w:val="FooterDraftReport"/>
            <w:jc w:val="right"/>
          </w:pPr>
          <w:r>
            <w:rPr>
              <w:noProof/>
            </w:rPr>
            <w:t>draft report</w:t>
          </w:r>
        </w:p>
      </w:tc>
      <w:tc>
        <w:tcPr>
          <w:tcW w:w="510" w:type="dxa"/>
        </w:tcPr>
        <w:p w14:paraId="1C6E594F" w14:textId="77777777" w:rsidR="00524704" w:rsidRPr="007448F7" w:rsidRDefault="0052470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F0B17">
            <w:rPr>
              <w:rStyle w:val="PageNumber"/>
              <w:caps w:val="0"/>
              <w:noProof/>
            </w:rPr>
            <w:t>vii</w:t>
          </w:r>
          <w:r w:rsidRPr="007448F7">
            <w:rPr>
              <w:rStyle w:val="PageNumber"/>
              <w:caps w:val="0"/>
            </w:rPr>
            <w:fldChar w:fldCharType="end"/>
          </w:r>
        </w:p>
      </w:tc>
    </w:tr>
  </w:tbl>
  <w:p w14:paraId="486B17AD" w14:textId="77777777" w:rsidR="00524704" w:rsidRDefault="00524704">
    <w:pPr>
      <w:pStyle w:val="FooterEnd"/>
    </w:pPr>
  </w:p>
  <w:p w14:paraId="4F781C24" w14:textId="77777777" w:rsidR="00524704" w:rsidRDefault="0052470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C956D" w14:textId="77777777" w:rsidR="00524704" w:rsidRDefault="00524704">
      <w:r>
        <w:separator/>
      </w:r>
    </w:p>
    <w:p w14:paraId="6C3D68A3" w14:textId="77777777" w:rsidR="00524704" w:rsidRDefault="00524704"/>
    <w:p w14:paraId="0AE42097" w14:textId="77777777" w:rsidR="00524704" w:rsidRDefault="00524704"/>
  </w:footnote>
  <w:footnote w:type="continuationSeparator" w:id="0">
    <w:p w14:paraId="0FD35F28" w14:textId="77777777" w:rsidR="00524704" w:rsidRDefault="00524704">
      <w:r>
        <w:continuationSeparator/>
      </w:r>
    </w:p>
    <w:p w14:paraId="3AF63036" w14:textId="77777777" w:rsidR="00524704" w:rsidRDefault="00524704"/>
    <w:p w14:paraId="11A467AE" w14:textId="77777777" w:rsidR="00524704" w:rsidRDefault="005247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95E4F" w14:textId="04DDAF50" w:rsidR="006F0B17" w:rsidRDefault="006F0B17" w:rsidP="006F0B17">
    <w:pPr>
      <w:pStyle w:val="Header"/>
    </w:pPr>
    <w:r>
      <w:rPr>
        <w:color w:val="FF0000"/>
        <w:sz w:val="14"/>
        <w:szCs w:val="14"/>
      </w:rPr>
      <w:t>draft report: For final outcomes of this project refer to the inquiry report.</w:t>
    </w:r>
    <w:r>
      <w:t>.</w:t>
    </w:r>
    <w:r>
      <w:rPr>
        <w:noProof/>
      </w:rPr>
      <w:pict w14:anchorId="1386CD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68" o:spid="_x0000_s36866"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24704" w14:paraId="1ABB48AF" w14:textId="77777777">
      <w:tc>
        <w:tcPr>
          <w:tcW w:w="2155" w:type="dxa"/>
          <w:tcBorders>
            <w:top w:val="single" w:sz="24" w:space="0" w:color="auto"/>
          </w:tcBorders>
        </w:tcPr>
        <w:p w14:paraId="219BF39A" w14:textId="62C93F64" w:rsidR="00524704" w:rsidRDefault="006F0B17">
          <w:pPr>
            <w:pStyle w:val="Header"/>
          </w:pPr>
          <w:r>
            <w:rPr>
              <w:noProof/>
            </w:rPr>
            <w:pict w14:anchorId="7EE99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7" o:spid="_x0000_s36875"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76DD16A9" w14:textId="114EBF88" w:rsidR="00524704" w:rsidRDefault="006F0B17">
          <w:pPr>
            <w:pStyle w:val="Header"/>
          </w:pPr>
          <w:r>
            <w:rPr>
              <w:color w:val="FF0000"/>
              <w:sz w:val="14"/>
              <w:szCs w:val="14"/>
            </w:rPr>
            <w:t>draft report: For final outcomes of this project refer to the inquiry report.</w:t>
          </w:r>
        </w:p>
      </w:tc>
    </w:tr>
  </w:tbl>
  <w:p w14:paraId="1DE01BA5" w14:textId="77777777" w:rsidR="00524704" w:rsidRDefault="00524704">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5427C1C8" w14:textId="77777777" w:rsidTr="005C68FE">
      <w:tc>
        <w:tcPr>
          <w:tcW w:w="6634" w:type="dxa"/>
          <w:tcBorders>
            <w:top w:val="single" w:sz="6" w:space="0" w:color="auto"/>
          </w:tcBorders>
        </w:tcPr>
        <w:p w14:paraId="18371376" w14:textId="59E3C022" w:rsidR="00524704" w:rsidRDefault="006F0B17" w:rsidP="005C68FE">
          <w:pPr>
            <w:pStyle w:val="HeaderOdd"/>
          </w:pPr>
          <w:r>
            <w:rPr>
              <w:color w:val="FF0000"/>
              <w:sz w:val="14"/>
              <w:szCs w:val="14"/>
            </w:rPr>
            <w:t>draft report: For final outcomes of this project refer to the inquiry report.</w:t>
          </w:r>
          <w:r>
            <w:rPr>
              <w:noProof/>
            </w:rPr>
            <w:pict w14:anchorId="55B344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8" o:spid="_x0000_s36876"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3F25EB3" w14:textId="77777777" w:rsidR="00524704" w:rsidRDefault="00524704" w:rsidP="005C68FE">
          <w:pPr>
            <w:pStyle w:val="HeaderOdd"/>
          </w:pPr>
        </w:p>
      </w:tc>
    </w:tr>
  </w:tbl>
  <w:p w14:paraId="1441FDCF" w14:textId="77777777" w:rsidR="00524704" w:rsidRPr="005C68FE" w:rsidRDefault="00524704"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76F47" w14:textId="49FF38DB" w:rsidR="006F0B17" w:rsidRDefault="006F0B17">
    <w:pPr>
      <w:pStyle w:val="Header"/>
    </w:pPr>
    <w:r>
      <w:rPr>
        <w:noProof/>
      </w:rPr>
      <w:pict w14:anchorId="20FDF7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6" o:spid="_x0000_s36874"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24704" w14:paraId="7A775E14" w14:textId="77777777" w:rsidTr="005C68FE">
      <w:tc>
        <w:tcPr>
          <w:tcW w:w="2155" w:type="dxa"/>
          <w:tcBorders>
            <w:top w:val="single" w:sz="24" w:space="0" w:color="auto"/>
          </w:tcBorders>
        </w:tcPr>
        <w:p w14:paraId="1DFB5428" w14:textId="4A1295C2" w:rsidR="00524704" w:rsidRDefault="006F0B17" w:rsidP="005C68FE">
          <w:pPr>
            <w:pStyle w:val="HeaderEven"/>
          </w:pPr>
          <w:r>
            <w:rPr>
              <w:noProof/>
            </w:rPr>
            <w:pict w14:anchorId="0948D4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80" o:spid="_x0000_s36878"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DD83508" w14:textId="1AB142E3" w:rsidR="00524704" w:rsidRDefault="006F0B17" w:rsidP="005C68FE">
          <w:pPr>
            <w:pStyle w:val="HeaderEven"/>
          </w:pPr>
          <w:r>
            <w:rPr>
              <w:color w:val="FF0000"/>
              <w:sz w:val="14"/>
              <w:szCs w:val="14"/>
            </w:rPr>
            <w:t>draft report: For final outcomes of this project refer to the inquiry report.</w:t>
          </w:r>
          <w:bookmarkStart w:id="15" w:name="_GoBack"/>
          <w:bookmarkEnd w:id="15"/>
        </w:p>
      </w:tc>
    </w:tr>
  </w:tbl>
  <w:p w14:paraId="50610DDD" w14:textId="77777777" w:rsidR="00524704" w:rsidRDefault="00524704"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58CE2C6F" w14:textId="77777777">
      <w:tc>
        <w:tcPr>
          <w:tcW w:w="6634" w:type="dxa"/>
          <w:tcBorders>
            <w:top w:val="single" w:sz="6" w:space="0" w:color="auto"/>
          </w:tcBorders>
        </w:tcPr>
        <w:p w14:paraId="46A84489" w14:textId="15167C75" w:rsidR="00524704" w:rsidRDefault="006F0B17">
          <w:pPr>
            <w:pStyle w:val="HeaderOdd"/>
          </w:pPr>
          <w:r>
            <w:rPr>
              <w:color w:val="FF0000"/>
              <w:sz w:val="14"/>
              <w:szCs w:val="14"/>
            </w:rPr>
            <w:t>draft report: For final outcomes of this project refer to the inquiry report.</w:t>
          </w:r>
          <w:r>
            <w:rPr>
              <w:noProof/>
            </w:rPr>
            <w:pict w14:anchorId="2BA8FB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81" o:spid="_x0000_s36879"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05A0713" w14:textId="77777777" w:rsidR="00524704" w:rsidRDefault="00524704">
          <w:pPr>
            <w:pStyle w:val="HeaderOdd"/>
          </w:pPr>
        </w:p>
      </w:tc>
    </w:tr>
  </w:tbl>
  <w:p w14:paraId="788B7191" w14:textId="77777777" w:rsidR="00524704" w:rsidRDefault="00524704"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F09D0" w14:textId="07498641" w:rsidR="006F0B17" w:rsidRDefault="006F0B17">
    <w:pPr>
      <w:pStyle w:val="Header"/>
    </w:pPr>
    <w:r>
      <w:rPr>
        <w:noProof/>
      </w:rPr>
      <w:pict w14:anchorId="0B5CEF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9" o:spid="_x0000_s36877"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E8242" w14:textId="0EE8369A" w:rsidR="006F0B17" w:rsidRDefault="006F0B17">
    <w:pPr>
      <w:pStyle w:val="Header"/>
    </w:pPr>
    <w:r>
      <w:rPr>
        <w:noProof/>
      </w:rPr>
      <w:pict w14:anchorId="42C15B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69" o:spid="_x0000_s36867"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03D59" w14:textId="50F625A8" w:rsidR="006F0B17" w:rsidRDefault="006F0B17">
    <w:pPr>
      <w:pStyle w:val="Header"/>
    </w:pPr>
    <w:r>
      <w:rPr>
        <w:noProof/>
      </w:rPr>
      <w:pict w14:anchorId="128344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67" o:spid="_x0000_s36865"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24704" w14:paraId="42F35594" w14:textId="77777777">
      <w:tc>
        <w:tcPr>
          <w:tcW w:w="2155" w:type="dxa"/>
          <w:tcBorders>
            <w:top w:val="single" w:sz="24" w:space="0" w:color="auto"/>
          </w:tcBorders>
        </w:tcPr>
        <w:p w14:paraId="57AF2E55" w14:textId="3A708751" w:rsidR="00524704" w:rsidRDefault="006F0B17">
          <w:pPr>
            <w:pStyle w:val="Header"/>
          </w:pPr>
          <w:r>
            <w:rPr>
              <w:noProof/>
            </w:rPr>
            <w:pict w14:anchorId="55E12C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1" o:spid="_x0000_s36869"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76916597" w14:textId="77777777" w:rsidR="00524704" w:rsidRDefault="00524704">
          <w:pPr>
            <w:pStyle w:val="Header"/>
          </w:pPr>
        </w:p>
      </w:tc>
    </w:tr>
  </w:tbl>
  <w:p w14:paraId="0C26F50C" w14:textId="77777777" w:rsidR="00524704" w:rsidRDefault="00524704">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68DA397E" w14:textId="77777777" w:rsidTr="005C68FE">
      <w:tc>
        <w:tcPr>
          <w:tcW w:w="6634" w:type="dxa"/>
          <w:tcBorders>
            <w:top w:val="single" w:sz="6" w:space="0" w:color="auto"/>
          </w:tcBorders>
        </w:tcPr>
        <w:p w14:paraId="2E69476D" w14:textId="479B4496" w:rsidR="00524704" w:rsidRDefault="006F0B17" w:rsidP="005C68FE">
          <w:pPr>
            <w:pStyle w:val="HeaderOdd"/>
          </w:pPr>
          <w:r>
            <w:rPr>
              <w:color w:val="FF0000"/>
              <w:sz w:val="14"/>
              <w:szCs w:val="14"/>
            </w:rPr>
            <w:t>draft report: For final outcomes of this project refer to the inquiry report.</w:t>
          </w:r>
          <w:r>
            <w:rPr>
              <w:noProof/>
            </w:rPr>
            <w:pict w14:anchorId="0460E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2" o:spid="_x0000_s36870"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7E5E04A" w14:textId="77777777" w:rsidR="00524704" w:rsidRDefault="00524704" w:rsidP="005C68FE">
          <w:pPr>
            <w:pStyle w:val="HeaderOdd"/>
          </w:pPr>
        </w:p>
      </w:tc>
    </w:tr>
  </w:tbl>
  <w:p w14:paraId="16DC82F9" w14:textId="77777777" w:rsidR="00524704" w:rsidRPr="005C68FE" w:rsidRDefault="00524704"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C8325" w14:textId="3FE19820" w:rsidR="006F0B17" w:rsidRDefault="006F0B17">
    <w:pPr>
      <w:pStyle w:val="Header"/>
    </w:pPr>
    <w:r>
      <w:rPr>
        <w:noProof/>
      </w:rPr>
      <w:pict w14:anchorId="3AB4A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0" o:spid="_x0000_s36868"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24704" w14:paraId="44E3F42D" w14:textId="77777777">
      <w:tc>
        <w:tcPr>
          <w:tcW w:w="2155" w:type="dxa"/>
          <w:tcBorders>
            <w:top w:val="single" w:sz="24" w:space="0" w:color="auto"/>
          </w:tcBorders>
        </w:tcPr>
        <w:p w14:paraId="10387163" w14:textId="64869C67" w:rsidR="00524704" w:rsidRDefault="006F0B17">
          <w:pPr>
            <w:pStyle w:val="Header"/>
          </w:pPr>
          <w:r>
            <w:rPr>
              <w:noProof/>
            </w:rPr>
            <w:pict w14:anchorId="6AB609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4" o:spid="_x0000_s36872"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062AF17" w14:textId="2AA314FF" w:rsidR="00524704" w:rsidRDefault="006F0B17">
          <w:pPr>
            <w:pStyle w:val="Header"/>
          </w:pPr>
          <w:r>
            <w:rPr>
              <w:color w:val="FF0000"/>
              <w:sz w:val="14"/>
              <w:szCs w:val="14"/>
            </w:rPr>
            <w:t>draft report: For final outcomes of this project refer to the inquiry report.</w:t>
          </w:r>
        </w:p>
      </w:tc>
    </w:tr>
  </w:tbl>
  <w:p w14:paraId="781B2E9F" w14:textId="77777777" w:rsidR="00524704" w:rsidRDefault="00524704">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0055E5FE" w14:textId="77777777">
      <w:tc>
        <w:tcPr>
          <w:tcW w:w="6634" w:type="dxa"/>
          <w:tcBorders>
            <w:top w:val="single" w:sz="6" w:space="0" w:color="auto"/>
          </w:tcBorders>
        </w:tcPr>
        <w:p w14:paraId="1EAD606E" w14:textId="4D6940B2" w:rsidR="00524704" w:rsidRDefault="006F0B17" w:rsidP="00524704">
          <w:pPr>
            <w:pStyle w:val="HeaderOdd"/>
          </w:pPr>
          <w:r>
            <w:rPr>
              <w:color w:val="FF0000"/>
              <w:sz w:val="14"/>
              <w:szCs w:val="14"/>
            </w:rPr>
            <w:t>draft report: For final outcomes of this project refer to the inquiry report.</w:t>
          </w:r>
          <w:r>
            <w:rPr>
              <w:noProof/>
            </w:rPr>
            <w:pict w14:anchorId="20D1B8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5" o:spid="_x0000_s36873"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7C5913B4" w14:textId="77777777" w:rsidR="00524704" w:rsidRDefault="00524704" w:rsidP="00524704">
          <w:pPr>
            <w:pStyle w:val="HeaderOdd"/>
          </w:pPr>
        </w:p>
      </w:tc>
    </w:tr>
  </w:tbl>
  <w:p w14:paraId="7A64EFA7" w14:textId="77777777" w:rsidR="00524704" w:rsidRDefault="00524704" w:rsidP="00524704">
    <w:pPr>
      <w:pStyle w:val="HeaderEnd"/>
    </w:pPr>
  </w:p>
  <w:p w14:paraId="0D4AC439" w14:textId="77777777" w:rsidR="00524704" w:rsidRPr="00D01645" w:rsidRDefault="00524704" w:rsidP="00524704">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FFA56" w14:textId="3534B282" w:rsidR="006F0B17" w:rsidRDefault="006F0B17">
    <w:pPr>
      <w:pStyle w:val="Header"/>
    </w:pPr>
    <w:r>
      <w:rPr>
        <w:noProof/>
      </w:rPr>
      <w:pict w14:anchorId="1F19A0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81973" o:spid="_x0000_s36871"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80"/>
    <o:shapelayout v:ext="edit">
      <o:idmap v:ext="edit" data="3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1D2"/>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86A88"/>
    <w:rsid w:val="00190919"/>
    <w:rsid w:val="00196FB3"/>
    <w:rsid w:val="001A5071"/>
    <w:rsid w:val="001B4E73"/>
    <w:rsid w:val="001B7F1E"/>
    <w:rsid w:val="001D4B1F"/>
    <w:rsid w:val="001D6629"/>
    <w:rsid w:val="001E3390"/>
    <w:rsid w:val="001F0511"/>
    <w:rsid w:val="001F2270"/>
    <w:rsid w:val="001F7C52"/>
    <w:rsid w:val="00203B40"/>
    <w:rsid w:val="00205A82"/>
    <w:rsid w:val="00211BEE"/>
    <w:rsid w:val="002179C6"/>
    <w:rsid w:val="00261607"/>
    <w:rsid w:val="00263DD1"/>
    <w:rsid w:val="00264D3B"/>
    <w:rsid w:val="00265685"/>
    <w:rsid w:val="00271B0C"/>
    <w:rsid w:val="00281D5F"/>
    <w:rsid w:val="002922D5"/>
    <w:rsid w:val="002923AD"/>
    <w:rsid w:val="0029472E"/>
    <w:rsid w:val="00296592"/>
    <w:rsid w:val="002A0A4B"/>
    <w:rsid w:val="002A499E"/>
    <w:rsid w:val="002B636E"/>
    <w:rsid w:val="002B64D6"/>
    <w:rsid w:val="002C12B3"/>
    <w:rsid w:val="002C12F5"/>
    <w:rsid w:val="002C6E62"/>
    <w:rsid w:val="002D6FCE"/>
    <w:rsid w:val="002F1E63"/>
    <w:rsid w:val="00320479"/>
    <w:rsid w:val="0032390F"/>
    <w:rsid w:val="00340511"/>
    <w:rsid w:val="0038647D"/>
    <w:rsid w:val="00393A49"/>
    <w:rsid w:val="003B41E0"/>
    <w:rsid w:val="003C3D73"/>
    <w:rsid w:val="003D624D"/>
    <w:rsid w:val="003E7802"/>
    <w:rsid w:val="0042007A"/>
    <w:rsid w:val="00433C81"/>
    <w:rsid w:val="00446D6B"/>
    <w:rsid w:val="00457B3F"/>
    <w:rsid w:val="00461EA9"/>
    <w:rsid w:val="00463022"/>
    <w:rsid w:val="00481CF0"/>
    <w:rsid w:val="004B492A"/>
    <w:rsid w:val="004C0B0C"/>
    <w:rsid w:val="004D3F58"/>
    <w:rsid w:val="004E52E2"/>
    <w:rsid w:val="004E6BB4"/>
    <w:rsid w:val="004E7D3C"/>
    <w:rsid w:val="00515D43"/>
    <w:rsid w:val="00524704"/>
    <w:rsid w:val="0052544D"/>
    <w:rsid w:val="00526B19"/>
    <w:rsid w:val="005343CC"/>
    <w:rsid w:val="00536020"/>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041F"/>
    <w:rsid w:val="0067557D"/>
    <w:rsid w:val="006802D4"/>
    <w:rsid w:val="00683849"/>
    <w:rsid w:val="00691AB5"/>
    <w:rsid w:val="006E1E6B"/>
    <w:rsid w:val="006F0B17"/>
    <w:rsid w:val="006F0EAC"/>
    <w:rsid w:val="006F6A85"/>
    <w:rsid w:val="0070328D"/>
    <w:rsid w:val="0071198C"/>
    <w:rsid w:val="00731F96"/>
    <w:rsid w:val="00734127"/>
    <w:rsid w:val="00735FEA"/>
    <w:rsid w:val="00743460"/>
    <w:rsid w:val="00743A27"/>
    <w:rsid w:val="007448F7"/>
    <w:rsid w:val="00753DC6"/>
    <w:rsid w:val="0075578C"/>
    <w:rsid w:val="00757958"/>
    <w:rsid w:val="00766DFB"/>
    <w:rsid w:val="007734B5"/>
    <w:rsid w:val="007809B8"/>
    <w:rsid w:val="007813A6"/>
    <w:rsid w:val="00796AA8"/>
    <w:rsid w:val="00797BB9"/>
    <w:rsid w:val="00805FD7"/>
    <w:rsid w:val="00806E54"/>
    <w:rsid w:val="008206EE"/>
    <w:rsid w:val="008214B1"/>
    <w:rsid w:val="008273A9"/>
    <w:rsid w:val="00836ED7"/>
    <w:rsid w:val="0084355E"/>
    <w:rsid w:val="008453AC"/>
    <w:rsid w:val="00847D76"/>
    <w:rsid w:val="00856795"/>
    <w:rsid w:val="00860D09"/>
    <w:rsid w:val="00862044"/>
    <w:rsid w:val="00880BF7"/>
    <w:rsid w:val="0089269F"/>
    <w:rsid w:val="00893DEB"/>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4E43"/>
    <w:rsid w:val="0098401D"/>
    <w:rsid w:val="009A789F"/>
    <w:rsid w:val="009B12EF"/>
    <w:rsid w:val="009B48F7"/>
    <w:rsid w:val="009B6185"/>
    <w:rsid w:val="009C6C6D"/>
    <w:rsid w:val="009E1E78"/>
    <w:rsid w:val="009E2697"/>
    <w:rsid w:val="00A059B4"/>
    <w:rsid w:val="00A1597D"/>
    <w:rsid w:val="00A46989"/>
    <w:rsid w:val="00A469AA"/>
    <w:rsid w:val="00A66188"/>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84EA5"/>
    <w:rsid w:val="00B90958"/>
    <w:rsid w:val="00B95339"/>
    <w:rsid w:val="00BA0B81"/>
    <w:rsid w:val="00BB334E"/>
    <w:rsid w:val="00BB5DCF"/>
    <w:rsid w:val="00BC2476"/>
    <w:rsid w:val="00BD1E34"/>
    <w:rsid w:val="00BF59EA"/>
    <w:rsid w:val="00BF694C"/>
    <w:rsid w:val="00BF79CD"/>
    <w:rsid w:val="00C016B9"/>
    <w:rsid w:val="00C058AB"/>
    <w:rsid w:val="00C0721B"/>
    <w:rsid w:val="00C17BE3"/>
    <w:rsid w:val="00C262A6"/>
    <w:rsid w:val="00C266A6"/>
    <w:rsid w:val="00C302A3"/>
    <w:rsid w:val="00C34C8C"/>
    <w:rsid w:val="00C50792"/>
    <w:rsid w:val="00C51371"/>
    <w:rsid w:val="00C55A45"/>
    <w:rsid w:val="00C75F44"/>
    <w:rsid w:val="00C84879"/>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45CC3"/>
    <w:rsid w:val="00D500A9"/>
    <w:rsid w:val="00D61180"/>
    <w:rsid w:val="00D618AA"/>
    <w:rsid w:val="00D64121"/>
    <w:rsid w:val="00D648DF"/>
    <w:rsid w:val="00D67119"/>
    <w:rsid w:val="00D732FE"/>
    <w:rsid w:val="00D74E25"/>
    <w:rsid w:val="00D772E9"/>
    <w:rsid w:val="00D82E10"/>
    <w:rsid w:val="00D969AE"/>
    <w:rsid w:val="00DA31AB"/>
    <w:rsid w:val="00DA3281"/>
    <w:rsid w:val="00DA3802"/>
    <w:rsid w:val="00DA6D3E"/>
    <w:rsid w:val="00DC02E8"/>
    <w:rsid w:val="00DC75C7"/>
    <w:rsid w:val="00DC78D3"/>
    <w:rsid w:val="00DD1077"/>
    <w:rsid w:val="00DD3305"/>
    <w:rsid w:val="00DF00FE"/>
    <w:rsid w:val="00DF4592"/>
    <w:rsid w:val="00E15FDC"/>
    <w:rsid w:val="00E2651B"/>
    <w:rsid w:val="00E30DDB"/>
    <w:rsid w:val="00E631D2"/>
    <w:rsid w:val="00E6632E"/>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4728"/>
    <w:rsid w:val="00FD741A"/>
    <w:rsid w:val="00FE36A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80"/>
    <o:shapelayout v:ext="edit">
      <o:idmap v:ext="edit" data="1"/>
    </o:shapelayout>
  </w:shapeDefaults>
  <w:decimalSymbol w:val="."/>
  <w:listSeparator w:val=","/>
  <w14:docId w14:val="40AE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31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631D2"/>
    <w:rPr>
      <w:kern w:val="28"/>
      <w:sz w:val="52"/>
      <w:lang w:eastAsia="en-US"/>
    </w:rPr>
  </w:style>
  <w:style w:type="character" w:customStyle="1" w:styleId="Heading3Char">
    <w:name w:val="Heading 3 Char"/>
    <w:basedOn w:val="DefaultParagraphFont"/>
    <w:link w:val="Heading3"/>
    <w:rsid w:val="00E631D2"/>
    <w:rPr>
      <w:rFonts w:ascii="Arial" w:hAnsi="Arial"/>
      <w:b/>
      <w:sz w:val="26"/>
    </w:rPr>
  </w:style>
  <w:style w:type="paragraph" w:customStyle="1" w:styleId="Default">
    <w:name w:val="Default"/>
    <w:rsid w:val="006F0B1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31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631D2"/>
    <w:rPr>
      <w:kern w:val="28"/>
      <w:sz w:val="52"/>
      <w:lang w:eastAsia="en-US"/>
    </w:rPr>
  </w:style>
  <w:style w:type="character" w:customStyle="1" w:styleId="Heading3Char">
    <w:name w:val="Heading 3 Char"/>
    <w:basedOn w:val="DefaultParagraphFont"/>
    <w:link w:val="Heading3"/>
    <w:rsid w:val="00E631D2"/>
    <w:rPr>
      <w:rFonts w:ascii="Arial" w:hAnsi="Arial"/>
      <w:b/>
      <w:sz w:val="26"/>
    </w:rPr>
  </w:style>
  <w:style w:type="paragraph" w:customStyle="1" w:styleId="Default">
    <w:name w:val="Default"/>
    <w:rsid w:val="006F0B1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6.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header" Target="header9.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5599DF3EBED8C54C8F6EB5E54493FD5B" ma:contentTypeVersion="3" ma:contentTypeDescription="" ma:contentTypeScope="" ma:versionID="19eed6943117bdc843e407a98d360abd">
  <xsd:schema xmlns:xsd="http://www.w3.org/2001/XMLSchema" xmlns:xs="http://www.w3.org/2001/XMLSchema" xmlns:p="http://schemas.microsoft.com/office/2006/metadata/properties" xmlns:ns2="349ee959-5d94-4c4c-9e29-4eeaea5d6e54" targetNamespace="http://schemas.microsoft.com/office/2006/metadata/properties" ma:root="true" ma:fieldsID="67b0874001291bdf089641af788983fd" ns2:_="">
    <xsd:import namespace="349ee959-5d94-4c4c-9e29-4eeaea5d6e54"/>
    <xsd:element name="properties">
      <xsd:complexType>
        <xsd:sequence>
          <xsd:element name="documentManagement">
            <xsd:complexType>
              <xsd:all>
                <xsd:element ref="ns2:Ch_x0020_No"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 nillable="true" ma:displayName="Ch No" ma:indexed="true" ma:internalName="Ch_x0020_No">
      <xsd:simpleType>
        <xsd:restriction base="dms:Text">
          <xsd:maxLength value="255"/>
        </xsd:restriction>
      </xsd:simpleType>
    </xsd:element>
    <xsd:element name="Status" ma:index="3"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3rd Circ to Ralph"/>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h_x0020_No xmlns="349ee959-5d94-4c4c-9e29-4eeaea5d6e54" xsi:nil="true"/>
    <Status xmlns="349ee959-5d94-4c4c-9e29-4eeaea5d6e54"/>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0377010-BED5-489D-996B-913F952FF15D}">
  <ds:schemaRefs>
    <ds:schemaRef ds:uri="http://schemas.microsoft.com/office/2006/metadata/customXsn"/>
  </ds:schemaRefs>
</ds:datastoreItem>
</file>

<file path=customXml/itemProps2.xml><?xml version="1.0" encoding="utf-8"?>
<ds:datastoreItem xmlns:ds="http://schemas.openxmlformats.org/officeDocument/2006/customXml" ds:itemID="{B90F6600-6AD5-46F9-AA80-7D55D6752F05}">
  <ds:schemaRefs>
    <ds:schemaRef ds:uri="http://schemas.microsoft.com/sharepoint/events"/>
  </ds:schemaRefs>
</ds:datastoreItem>
</file>

<file path=customXml/itemProps3.xml><?xml version="1.0" encoding="utf-8"?>
<ds:datastoreItem xmlns:ds="http://schemas.openxmlformats.org/officeDocument/2006/customXml" ds:itemID="{31DD6564-EC41-41B4-9ABF-169CBCAFF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184F90-46F3-4E5C-AF4B-704CA60C9151}">
  <ds:schemaRefs>
    <ds:schemaRef ds:uri="http://purl.org/dc/dcmitype/"/>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349ee959-5d94-4c4c-9e29-4eeaea5d6e54"/>
  </ds:schemaRefs>
</ds:datastoreItem>
</file>

<file path=customXml/itemProps5.xml><?xml version="1.0" encoding="utf-8"?>
<ds:datastoreItem xmlns:ds="http://schemas.openxmlformats.org/officeDocument/2006/customXml" ds:itemID="{2B487104-FEA4-48E5-AFAD-D3C8E9DCE865}">
  <ds:schemaRefs>
    <ds:schemaRef ds:uri="http://schemas.microsoft.com/sharepoint/v3/contenttype/forms"/>
  </ds:schemaRefs>
</ds:datastoreItem>
</file>

<file path=customXml/itemProps6.xml><?xml version="1.0" encoding="utf-8"?>
<ds:datastoreItem xmlns:ds="http://schemas.openxmlformats.org/officeDocument/2006/customXml" ds:itemID="{854A1259-DDE2-4D3A-85A8-9008049F9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16</Pages>
  <Words>2849</Words>
  <Characters>16208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Draft report prelims</vt:lpstr>
    </vt:vector>
  </TitlesOfParts>
  <Company>Productivity Commission</Company>
  <LinksUpToDate>false</LinksUpToDate>
  <CharactersWithSpaces>19019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prelims</dc:title>
  <dc:creator>Productivity Commission</dc:creator>
  <cp:lastModifiedBy>Productivity Commission</cp:lastModifiedBy>
  <cp:revision>2</cp:revision>
  <cp:lastPrinted>2015-07-28T05:01:00Z</cp:lastPrinted>
  <dcterms:created xsi:type="dcterms:W3CDTF">2016-06-29T05:31:00Z</dcterms:created>
  <dcterms:modified xsi:type="dcterms:W3CDTF">2016-06-29T05:31:00Z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0x01010066EDC8E18BFE9C418F00295EA55D44EA00BA3B488308C3EB48A95A5109EDB00306005599DF3EBED8C54C8F6EB5E54493FD5B</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{349ee959-5d94-4c4c-9e29-4eeaea5d6e54}</vt:lpwstr>
  </property>
  <property fmtid="{D5CDD505-2E9C-101B-9397-08002B2CF9AE}" pid="6" name="RecordPoint_ActiveItemUniqueId">
    <vt:lpwstr>{f90211cc-e84e-40b9-8130-dd8362eccccb}</vt:lpwstr>
  </property>
  <property fmtid="{D5CDD505-2E9C-101B-9397-08002B2CF9AE}" pid="7" name="RecordPoint_ActiveItemWebId">
    <vt:lpwstr>{43b630a8-99bd-4310-9618-510ff9397590}</vt:lpwstr>
  </property>
</Properties>
</file>