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D54B6" w14:textId="3AAEE911" w:rsidR="00415F39" w:rsidRPr="00B20A40" w:rsidRDefault="00B20A40" w:rsidP="00B20A40">
      <w:pPr>
        <w:pStyle w:val="Heading1nochapterno"/>
        <w:rPr>
          <w:sz w:val="16"/>
          <w:szCs w:val="16"/>
        </w:rPr>
      </w:pPr>
      <w:bookmarkStart w:id="0" w:name="_Toc409524617"/>
      <w:bookmarkStart w:id="1" w:name="_Toc408581778"/>
      <w:bookmarkStart w:id="2" w:name="ChapterNumber"/>
      <w:r w:rsidRPr="00B20A40">
        <w:rPr>
          <w:color w:val="FFFFFF" w:themeColor="background1"/>
          <w:sz w:val="16"/>
          <w:szCs w:val="16"/>
        </w:rPr>
        <w:t xml:space="preserve">Workplace Relations Framework: </w:t>
      </w:r>
      <w:r w:rsidR="001935A1" w:rsidRPr="00B20A40">
        <w:rPr>
          <w:color w:val="FFFFFF" w:themeColor="background1"/>
          <w:sz w:val="16"/>
          <w:szCs w:val="16"/>
        </w:rPr>
        <w:t xml:space="preserve">The </w:t>
      </w:r>
      <w:r w:rsidRPr="00B20A40">
        <w:rPr>
          <w:color w:val="FFFFFF" w:themeColor="background1"/>
          <w:sz w:val="16"/>
          <w:szCs w:val="16"/>
        </w:rPr>
        <w:t>I</w:t>
      </w:r>
      <w:r w:rsidR="001935A1" w:rsidRPr="00B20A40">
        <w:rPr>
          <w:color w:val="FFFFFF" w:themeColor="background1"/>
          <w:sz w:val="16"/>
          <w:szCs w:val="16"/>
        </w:rPr>
        <w:t xml:space="preserve">nquiry in </w:t>
      </w:r>
      <w:r w:rsidRPr="00B20A40">
        <w:rPr>
          <w:color w:val="FFFFFF" w:themeColor="background1"/>
          <w:sz w:val="16"/>
          <w:szCs w:val="16"/>
        </w:rPr>
        <w:t>C</w:t>
      </w:r>
      <w:r w:rsidR="001935A1" w:rsidRPr="00B20A40">
        <w:rPr>
          <w:color w:val="FFFFFF" w:themeColor="background1"/>
          <w:sz w:val="16"/>
          <w:szCs w:val="16"/>
        </w:rPr>
        <w:t>ontext</w:t>
      </w:r>
      <w:bookmarkEnd w:id="0"/>
      <w:r w:rsidRPr="00B20A40">
        <w:rPr>
          <w:color w:val="FFFFFF" w:themeColor="background1"/>
          <w:sz w:val="16"/>
          <w:szCs w:val="16"/>
        </w:rPr>
        <w:t xml:space="preserve">, Productivity Commission </w:t>
      </w:r>
      <w:bookmarkStart w:id="3" w:name="_Toc409524618"/>
      <w:r w:rsidR="001935A1" w:rsidRPr="00B20A40">
        <w:rPr>
          <w:color w:val="FFFFFF" w:themeColor="background1"/>
          <w:sz w:val="16"/>
          <w:szCs w:val="16"/>
        </w:rPr>
        <w:t xml:space="preserve">Issues Paper </w:t>
      </w:r>
      <w:bookmarkEnd w:id="1"/>
      <w:r w:rsidR="001935A1" w:rsidRPr="00B20A40">
        <w:rPr>
          <w:color w:val="FFFFFF" w:themeColor="background1"/>
          <w:sz w:val="16"/>
          <w:szCs w:val="16"/>
        </w:rPr>
        <w:t>No. 1</w:t>
      </w:r>
      <w:bookmarkEnd w:id="3"/>
      <w:r w:rsidRPr="00B20A40">
        <w:rPr>
          <w:color w:val="FFFFFF" w:themeColor="background1"/>
          <w:sz w:val="16"/>
          <w:szCs w:val="16"/>
        </w:rPr>
        <w:t>, January 2015</w:t>
      </w:r>
      <w:r>
        <w:rPr>
          <w:noProof/>
          <w:sz w:val="16"/>
          <w:szCs w:val="16"/>
        </w:rPr>
        <w:drawing>
          <wp:anchor distT="0" distB="0" distL="114300" distR="114300" simplePos="0" relativeHeight="251658240" behindDoc="0" locked="0" layoutInCell="1" allowOverlap="1" wp14:anchorId="6760FB30" wp14:editId="07C67F0B">
            <wp:simplePos x="1151890" y="-8751570"/>
            <wp:positionH relativeFrom="page">
              <wp:align>center</wp:align>
            </wp:positionH>
            <wp:positionV relativeFrom="page">
              <wp:align>center</wp:align>
            </wp:positionV>
            <wp:extent cx="7560000" cy="10692000"/>
            <wp:effectExtent l="0" t="0" r="3175" b="0"/>
            <wp:wrapNone/>
            <wp:docPr id="4" name="Picture 4" descr="Cover image: Workplace Relations Framework: The Inquiry in Context, Productivity Commission Issues Paper No. 1, January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workplace-relations-1.png"/>
                    <pic:cNvPicPr/>
                  </pic:nvPicPr>
                  <pic:blipFill>
                    <a:blip r:embed="rId13">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2F3C2C3C" w14:textId="77777777" w:rsidR="00415F39" w:rsidRDefault="00415F39" w:rsidP="00415F39">
      <w:pPr>
        <w:pStyle w:val="Heading1"/>
        <w:spacing w:before="0"/>
      </w:pPr>
      <w:r>
        <w:br w:type="page"/>
      </w:r>
    </w:p>
    <w:p w14:paraId="3279C6C0"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6708E9A8" w14:textId="77777777" w:rsidTr="00F12738">
        <w:tc>
          <w:tcPr>
            <w:tcW w:w="8771" w:type="dxa"/>
            <w:tcBorders>
              <w:top w:val="single" w:sz="6" w:space="0" w:color="78A22F"/>
              <w:left w:val="nil"/>
              <w:bottom w:val="nil"/>
              <w:right w:val="nil"/>
            </w:tcBorders>
            <w:shd w:val="clear" w:color="auto" w:fill="F2F2F2" w:themeFill="background1" w:themeFillShade="F2"/>
          </w:tcPr>
          <w:p w14:paraId="04CA7C22" w14:textId="5632AD4D" w:rsidR="00415F39" w:rsidRPr="008A3857" w:rsidRDefault="00415F39" w:rsidP="00415F39">
            <w:pPr>
              <w:pStyle w:val="BoxTitle"/>
              <w:rPr>
                <w:sz w:val="22"/>
                <w:szCs w:val="22"/>
              </w:rPr>
            </w:pPr>
            <w:r w:rsidRPr="008A3857">
              <w:rPr>
                <w:sz w:val="22"/>
                <w:szCs w:val="22"/>
              </w:rPr>
              <w:t xml:space="preserve">The </w:t>
            </w:r>
            <w:r>
              <w:rPr>
                <w:sz w:val="22"/>
                <w:szCs w:val="22"/>
              </w:rPr>
              <w:t>Issues Paper</w:t>
            </w:r>
            <w:r w:rsidR="003A20DC">
              <w:rPr>
                <w:sz w:val="22"/>
                <w:szCs w:val="22"/>
              </w:rPr>
              <w:t>s</w:t>
            </w:r>
          </w:p>
        </w:tc>
      </w:tr>
      <w:tr w:rsidR="00415F39" w14:paraId="37B1DDDC" w14:textId="77777777" w:rsidTr="00F12738">
        <w:trPr>
          <w:cantSplit/>
        </w:trPr>
        <w:tc>
          <w:tcPr>
            <w:tcW w:w="8771" w:type="dxa"/>
            <w:tcBorders>
              <w:top w:val="nil"/>
              <w:left w:val="nil"/>
              <w:bottom w:val="nil"/>
              <w:right w:val="nil"/>
            </w:tcBorders>
            <w:shd w:val="clear" w:color="auto" w:fill="F2F2F2" w:themeFill="background1" w:themeFillShade="F2"/>
          </w:tcPr>
          <w:p w14:paraId="5BF8D2E8" w14:textId="40B9305D" w:rsidR="00415F39" w:rsidRDefault="003A20DC" w:rsidP="00415F39">
            <w:pPr>
              <w:pStyle w:val="Box"/>
            </w:pPr>
            <w:r>
              <w:t>This is the first of five issues papers released by the</w:t>
            </w:r>
            <w:r w:rsidR="00415F39">
              <w:t xml:space="preserve"> Commission to assist individuals and organisations to prepare su</w:t>
            </w:r>
            <w:r w:rsidR="003B2214">
              <w:t>bmissions to the inquiry</w:t>
            </w:r>
            <w:r w:rsidR="00415F39">
              <w:t xml:space="preserve">. </w:t>
            </w:r>
            <w:r>
              <w:t>This paper</w:t>
            </w:r>
            <w:r w:rsidR="00415F39">
              <w:t xml:space="preserve"> outline</w:t>
            </w:r>
            <w:r>
              <w:t>s:</w:t>
            </w:r>
          </w:p>
          <w:p w14:paraId="73BFF84D" w14:textId="77777777" w:rsidR="00415F39" w:rsidRDefault="003B2214" w:rsidP="00415F39">
            <w:pPr>
              <w:pStyle w:val="BoxListBullet"/>
            </w:pPr>
            <w:r>
              <w:t xml:space="preserve">the scope of the </w:t>
            </w:r>
            <w:r w:rsidR="00415F39">
              <w:t>inquiry</w:t>
            </w:r>
          </w:p>
          <w:p w14:paraId="73586EEC" w14:textId="77777777" w:rsidR="003A20DC" w:rsidRDefault="003A20DC" w:rsidP="00415F39">
            <w:pPr>
              <w:pStyle w:val="BoxListBullet"/>
            </w:pPr>
            <w:r>
              <w:t xml:space="preserve">some of the broad questions about the objectives and operation of </w:t>
            </w:r>
            <w:r w:rsidR="00415F39">
              <w:t xml:space="preserve">the </w:t>
            </w:r>
            <w:r>
              <w:t>workplace relations system</w:t>
            </w:r>
          </w:p>
          <w:p w14:paraId="2216A373" w14:textId="77777777" w:rsidR="003A20DC" w:rsidRDefault="003A20DC" w:rsidP="003A20DC">
            <w:pPr>
              <w:pStyle w:val="BoxListBullet"/>
            </w:pPr>
            <w:r>
              <w:t>the Commission’s approach to evidence</w:t>
            </w:r>
          </w:p>
          <w:p w14:paraId="26A5A300" w14:textId="7CD6C439" w:rsidR="00415F39" w:rsidRDefault="00415F39" w:rsidP="00415F39">
            <w:pPr>
              <w:pStyle w:val="BoxListBullet"/>
            </w:pPr>
            <w:proofErr w:type="gramStart"/>
            <w:r>
              <w:t>the</w:t>
            </w:r>
            <w:proofErr w:type="gramEnd"/>
            <w:r>
              <w:t xml:space="preserve"> Commission’s procedures</w:t>
            </w:r>
            <w:r w:rsidR="003A20DC">
              <w:t>, and how to make a submission.</w:t>
            </w:r>
          </w:p>
          <w:p w14:paraId="697B00B5" w14:textId="30F33220" w:rsidR="00415F39" w:rsidRDefault="003A20DC" w:rsidP="00415F39">
            <w:pPr>
              <w:pStyle w:val="Box"/>
            </w:pPr>
            <w:r>
              <w:t xml:space="preserve">The remaining papers raise issues about other specific matters. </w:t>
            </w:r>
            <w:r w:rsidR="00415F39">
              <w:t xml:space="preserve">Participants should not feel that they are restricted to comment only on matters raised in the issues </w:t>
            </w:r>
            <w:r>
              <w:t>papers</w:t>
            </w:r>
            <w:r w:rsidR="00415F39">
              <w:t>. The Commission wishes to receive information and comment on issues which participants consider relevant to the inquiry’s terms of reference.</w:t>
            </w:r>
          </w:p>
          <w:p w14:paraId="2ED7117F" w14:textId="77777777" w:rsidR="00415F39" w:rsidRDefault="00415F39" w:rsidP="009F3E26">
            <w:pPr>
              <w:pStyle w:val="BoxHeading1"/>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4950"/>
            </w:tblGrid>
            <w:tr w:rsidR="009F3E26" w14:paraId="27BECC41" w14:textId="77777777" w:rsidTr="00EC0A05">
              <w:tc>
                <w:tcPr>
                  <w:tcW w:w="3522" w:type="dxa"/>
                  <w:tcMar>
                    <w:left w:w="0" w:type="dxa"/>
                  </w:tcMar>
                </w:tcPr>
                <w:p w14:paraId="0BC704A4" w14:textId="77777777" w:rsidR="009F3E26" w:rsidRDefault="009F3E26" w:rsidP="00415F39">
                  <w:pPr>
                    <w:pStyle w:val="Box"/>
                  </w:pPr>
                  <w:r>
                    <w:t>Receipt of terms of reference</w:t>
                  </w:r>
                </w:p>
              </w:tc>
              <w:tc>
                <w:tcPr>
                  <w:tcW w:w="4950" w:type="dxa"/>
                </w:tcPr>
                <w:p w14:paraId="6D09B056" w14:textId="441B9277" w:rsidR="009F3E26" w:rsidRDefault="004C5CB0" w:rsidP="00415F39">
                  <w:pPr>
                    <w:pStyle w:val="Box"/>
                  </w:pPr>
                  <w:r>
                    <w:t>19</w:t>
                  </w:r>
                  <w:r w:rsidR="00D10E92">
                    <w:t> </w:t>
                  </w:r>
                  <w:r>
                    <w:t>December 2014</w:t>
                  </w:r>
                </w:p>
              </w:tc>
            </w:tr>
            <w:tr w:rsidR="009F3E26" w14:paraId="02B6C341" w14:textId="77777777" w:rsidTr="00EC0A05">
              <w:tc>
                <w:tcPr>
                  <w:tcW w:w="3522" w:type="dxa"/>
                  <w:tcMar>
                    <w:left w:w="0" w:type="dxa"/>
                  </w:tcMar>
                </w:tcPr>
                <w:p w14:paraId="5DAE9A93" w14:textId="77777777" w:rsidR="009F3E26" w:rsidRDefault="009F3E26" w:rsidP="00DB2AE0">
                  <w:pPr>
                    <w:pStyle w:val="Box"/>
                    <w:spacing w:before="60"/>
                  </w:pPr>
                  <w:r>
                    <w:t>Due date for submissions</w:t>
                  </w:r>
                </w:p>
              </w:tc>
              <w:tc>
                <w:tcPr>
                  <w:tcW w:w="4950" w:type="dxa"/>
                </w:tcPr>
                <w:p w14:paraId="0E6CE5C1" w14:textId="2DD09C4F" w:rsidR="009F3E26" w:rsidRDefault="004C5CB0" w:rsidP="00DB2AE0">
                  <w:pPr>
                    <w:pStyle w:val="Box"/>
                    <w:spacing w:before="60"/>
                  </w:pPr>
                  <w:r>
                    <w:t>13</w:t>
                  </w:r>
                  <w:r w:rsidR="00D10E92">
                    <w:t> </w:t>
                  </w:r>
                  <w:r>
                    <w:t>March 2015</w:t>
                  </w:r>
                </w:p>
              </w:tc>
            </w:tr>
            <w:tr w:rsidR="009F3E26" w14:paraId="0BB1A9C0" w14:textId="77777777" w:rsidTr="00EC0A05">
              <w:tc>
                <w:tcPr>
                  <w:tcW w:w="3522" w:type="dxa"/>
                  <w:tcMar>
                    <w:left w:w="0" w:type="dxa"/>
                  </w:tcMar>
                </w:tcPr>
                <w:p w14:paraId="537E1397" w14:textId="77777777" w:rsidR="009F3E26" w:rsidRDefault="009F3E26" w:rsidP="00DB2AE0">
                  <w:pPr>
                    <w:pStyle w:val="Box"/>
                    <w:spacing w:before="60"/>
                  </w:pPr>
                  <w:r>
                    <w:t>Release of draft report</w:t>
                  </w:r>
                </w:p>
              </w:tc>
              <w:tc>
                <w:tcPr>
                  <w:tcW w:w="4950" w:type="dxa"/>
                </w:tcPr>
                <w:p w14:paraId="26C26BE3" w14:textId="40CB29DA" w:rsidR="009F3E26" w:rsidRDefault="004C5CB0" w:rsidP="00176EDF">
                  <w:pPr>
                    <w:pStyle w:val="Box"/>
                    <w:spacing w:before="60"/>
                  </w:pPr>
                  <w:r>
                    <w:t>June</w:t>
                  </w:r>
                  <w:r w:rsidR="00176EDF">
                    <w:t>/</w:t>
                  </w:r>
                  <w:r>
                    <w:t>July 2015</w:t>
                  </w:r>
                </w:p>
              </w:tc>
            </w:tr>
            <w:tr w:rsidR="009F3E26" w14:paraId="3F071934" w14:textId="77777777" w:rsidTr="00EC0A05">
              <w:tc>
                <w:tcPr>
                  <w:tcW w:w="3522" w:type="dxa"/>
                  <w:tcMar>
                    <w:left w:w="0" w:type="dxa"/>
                  </w:tcMar>
                </w:tcPr>
                <w:p w14:paraId="39C9ECC3" w14:textId="77777777" w:rsidR="009F3E26" w:rsidRDefault="009F3E26" w:rsidP="00DB2AE0">
                  <w:pPr>
                    <w:pStyle w:val="Box"/>
                    <w:spacing w:before="60"/>
                  </w:pPr>
                  <w:r>
                    <w:t>Draft report public hearings</w:t>
                  </w:r>
                </w:p>
              </w:tc>
              <w:tc>
                <w:tcPr>
                  <w:tcW w:w="4950" w:type="dxa"/>
                </w:tcPr>
                <w:p w14:paraId="128CCFA8" w14:textId="5CFAD588" w:rsidR="009F3E26" w:rsidRDefault="004C5CB0" w:rsidP="00DB2AE0">
                  <w:pPr>
                    <w:pStyle w:val="Box"/>
                    <w:spacing w:before="60"/>
                  </w:pPr>
                  <w:r>
                    <w:t>August</w:t>
                  </w:r>
                  <w:r w:rsidR="00FA549E">
                    <w:t>/September</w:t>
                  </w:r>
                  <w:r>
                    <w:t xml:space="preserve"> 2015</w:t>
                  </w:r>
                </w:p>
              </w:tc>
            </w:tr>
            <w:tr w:rsidR="009F3E26" w14:paraId="3F5BFC8D" w14:textId="77777777" w:rsidTr="00EC0A05">
              <w:tc>
                <w:tcPr>
                  <w:tcW w:w="3522" w:type="dxa"/>
                  <w:tcMar>
                    <w:left w:w="0" w:type="dxa"/>
                  </w:tcMar>
                </w:tcPr>
                <w:p w14:paraId="0E5EAA13" w14:textId="77777777" w:rsidR="009F3E26" w:rsidRDefault="009F3E26" w:rsidP="00DB2AE0">
                  <w:pPr>
                    <w:pStyle w:val="Box"/>
                    <w:spacing w:before="60"/>
                  </w:pPr>
                  <w:r>
                    <w:t>Final report to Government</w:t>
                  </w:r>
                </w:p>
              </w:tc>
              <w:tc>
                <w:tcPr>
                  <w:tcW w:w="4950" w:type="dxa"/>
                </w:tcPr>
                <w:p w14:paraId="60AF47A2" w14:textId="691F6268" w:rsidR="009F3E26" w:rsidRDefault="004C5CB0" w:rsidP="00DB2AE0">
                  <w:pPr>
                    <w:pStyle w:val="Box"/>
                    <w:spacing w:before="60"/>
                  </w:pPr>
                  <w:r>
                    <w:t>30</w:t>
                  </w:r>
                  <w:r w:rsidR="00D10E92">
                    <w:t> </w:t>
                  </w:r>
                  <w:r>
                    <w:t>November 2015</w:t>
                  </w:r>
                </w:p>
              </w:tc>
            </w:tr>
          </w:tbl>
          <w:p w14:paraId="46F479E0" w14:textId="77777777" w:rsidR="00415F39" w:rsidRDefault="00415F39" w:rsidP="009F3E26">
            <w:pPr>
              <w:pStyle w:val="BoxHeading1"/>
            </w:pPr>
            <w:r>
              <w:t>S</w:t>
            </w:r>
            <w:r w:rsidR="009F3E26">
              <w:t>ubmissions can be made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4950"/>
            </w:tblGrid>
            <w:tr w:rsidR="009F3E26" w14:paraId="10313B3B" w14:textId="77777777" w:rsidTr="00EC0A05">
              <w:tc>
                <w:tcPr>
                  <w:tcW w:w="3522" w:type="dxa"/>
                  <w:tcMar>
                    <w:left w:w="0" w:type="dxa"/>
                  </w:tcMar>
                </w:tcPr>
                <w:p w14:paraId="2BF4593F" w14:textId="77777777" w:rsidR="009F3E26" w:rsidRDefault="009F3E26" w:rsidP="00415F39">
                  <w:pPr>
                    <w:pStyle w:val="Box"/>
                  </w:pPr>
                  <w:r>
                    <w:t>By email:</w:t>
                  </w:r>
                </w:p>
              </w:tc>
              <w:tc>
                <w:tcPr>
                  <w:tcW w:w="4950" w:type="dxa"/>
                </w:tcPr>
                <w:p w14:paraId="58109BAE" w14:textId="77777777" w:rsidR="009F3E26" w:rsidRDefault="003B2214" w:rsidP="005C5E19">
                  <w:pPr>
                    <w:pStyle w:val="Box"/>
                  </w:pPr>
                  <w:r>
                    <w:t>workplace.relations</w:t>
                  </w:r>
                  <w:r w:rsidR="009F3E26">
                    <w:t>@pc.gov.au</w:t>
                  </w:r>
                </w:p>
              </w:tc>
            </w:tr>
            <w:tr w:rsidR="009F3E26" w14:paraId="147D1DA0" w14:textId="77777777" w:rsidTr="00EC0A05">
              <w:tc>
                <w:tcPr>
                  <w:tcW w:w="3522" w:type="dxa"/>
                  <w:tcMar>
                    <w:left w:w="0" w:type="dxa"/>
                  </w:tcMar>
                </w:tcPr>
                <w:p w14:paraId="4BB9F1D1" w14:textId="77777777" w:rsidR="009F3E26" w:rsidRDefault="009F3E26" w:rsidP="00DB2AE0">
                  <w:pPr>
                    <w:pStyle w:val="Box"/>
                    <w:spacing w:before="60"/>
                    <w:jc w:val="left"/>
                  </w:pPr>
                  <w:r>
                    <w:t>By post:</w:t>
                  </w:r>
                </w:p>
              </w:tc>
              <w:tc>
                <w:tcPr>
                  <w:tcW w:w="4950" w:type="dxa"/>
                </w:tcPr>
                <w:p w14:paraId="377EBF49" w14:textId="77777777" w:rsidR="009F3E26" w:rsidRDefault="003B2214" w:rsidP="003B2214">
                  <w:pPr>
                    <w:pStyle w:val="Box"/>
                    <w:spacing w:before="60"/>
                    <w:jc w:val="left"/>
                  </w:pPr>
                  <w:r>
                    <w:t>Workplace Relations Inquiry</w:t>
                  </w:r>
                  <w:r w:rsidR="009F3E26">
                    <w:br/>
                    <w:t>Pro</w:t>
                  </w:r>
                  <w:r>
                    <w:t>ductivity Commission</w:t>
                  </w:r>
                  <w:r>
                    <w:br/>
                    <w:t>GPO Box 1428</w:t>
                  </w:r>
                  <w:r>
                    <w:br/>
                    <w:t>CANBERRA CITY 2601</w:t>
                  </w:r>
                </w:p>
              </w:tc>
            </w:tr>
          </w:tbl>
          <w:p w14:paraId="1EE64F41" w14:textId="77777777" w:rsidR="00415F39" w:rsidRDefault="00415F39" w:rsidP="009F3E26">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2268"/>
              <w:gridCol w:w="2682"/>
            </w:tblGrid>
            <w:tr w:rsidR="009F3E26" w14:paraId="0F33A0D4" w14:textId="77777777" w:rsidTr="00EC0A05">
              <w:tc>
                <w:tcPr>
                  <w:tcW w:w="3522" w:type="dxa"/>
                  <w:tcMar>
                    <w:left w:w="0" w:type="dxa"/>
                  </w:tcMar>
                </w:tcPr>
                <w:p w14:paraId="047B3913" w14:textId="77777777" w:rsidR="009F3E26" w:rsidRDefault="009F3E26" w:rsidP="00415F39">
                  <w:pPr>
                    <w:pStyle w:val="Box"/>
                  </w:pPr>
                  <w:r>
                    <w:t>Administrative matters:</w:t>
                  </w:r>
                </w:p>
              </w:tc>
              <w:tc>
                <w:tcPr>
                  <w:tcW w:w="2268" w:type="dxa"/>
                </w:tcPr>
                <w:p w14:paraId="064933D2" w14:textId="77777777" w:rsidR="009F3E26" w:rsidRDefault="003B2214" w:rsidP="00415F39">
                  <w:pPr>
                    <w:pStyle w:val="Box"/>
                  </w:pPr>
                  <w:r>
                    <w:t>Melissa Edwards</w:t>
                  </w:r>
                </w:p>
              </w:tc>
              <w:tc>
                <w:tcPr>
                  <w:tcW w:w="2682" w:type="dxa"/>
                </w:tcPr>
                <w:p w14:paraId="4155AF51" w14:textId="77777777" w:rsidR="009F3E26" w:rsidRDefault="009F3E26" w:rsidP="003B2214">
                  <w:pPr>
                    <w:pStyle w:val="Box"/>
                  </w:pPr>
                  <w:r>
                    <w:t xml:space="preserve">Ph: </w:t>
                  </w:r>
                  <w:r w:rsidR="003B2214">
                    <w:t>02 6240 3206</w:t>
                  </w:r>
                </w:p>
              </w:tc>
            </w:tr>
            <w:tr w:rsidR="009F3E26" w14:paraId="0BD25EC4" w14:textId="77777777" w:rsidTr="00EC0A05">
              <w:tc>
                <w:tcPr>
                  <w:tcW w:w="3522" w:type="dxa"/>
                  <w:tcMar>
                    <w:left w:w="0" w:type="dxa"/>
                  </w:tcMar>
                </w:tcPr>
                <w:p w14:paraId="4AAD95CB" w14:textId="77777777" w:rsidR="009F3E26" w:rsidRDefault="009F3E26" w:rsidP="00DB2AE0">
                  <w:pPr>
                    <w:pStyle w:val="Box"/>
                    <w:spacing w:before="60"/>
                  </w:pPr>
                  <w:r>
                    <w:t>Other matters:</w:t>
                  </w:r>
                </w:p>
              </w:tc>
              <w:tc>
                <w:tcPr>
                  <w:tcW w:w="2268" w:type="dxa"/>
                </w:tcPr>
                <w:p w14:paraId="0058701B" w14:textId="4B97C925" w:rsidR="009F3E26" w:rsidRDefault="004C5CB0" w:rsidP="00DB2AE0">
                  <w:pPr>
                    <w:pStyle w:val="Box"/>
                    <w:spacing w:before="60"/>
                  </w:pPr>
                  <w:r>
                    <w:t>Chris Perks</w:t>
                  </w:r>
                </w:p>
              </w:tc>
              <w:tc>
                <w:tcPr>
                  <w:tcW w:w="2682" w:type="dxa"/>
                </w:tcPr>
                <w:p w14:paraId="5BD169BD" w14:textId="4FC91C32" w:rsidR="009F3E26" w:rsidRDefault="004C5CB0" w:rsidP="00DB2AE0">
                  <w:pPr>
                    <w:pStyle w:val="Box"/>
                    <w:spacing w:before="60"/>
                  </w:pPr>
                  <w:r>
                    <w:t>Ph: 02 6240 3325</w:t>
                  </w:r>
                </w:p>
              </w:tc>
            </w:tr>
            <w:tr w:rsidR="009F3E26" w14:paraId="64446784" w14:textId="77777777" w:rsidTr="00EC0A05">
              <w:tc>
                <w:tcPr>
                  <w:tcW w:w="3522" w:type="dxa"/>
                  <w:tcMar>
                    <w:left w:w="0" w:type="dxa"/>
                  </w:tcMar>
                </w:tcPr>
                <w:p w14:paraId="208A44AB" w14:textId="77777777" w:rsidR="009F3E26" w:rsidRDefault="009F3E26" w:rsidP="00DB2AE0">
                  <w:pPr>
                    <w:pStyle w:val="Box"/>
                    <w:spacing w:before="60"/>
                  </w:pPr>
                  <w:r>
                    <w:t>Freecall number for regional areas:</w:t>
                  </w:r>
                </w:p>
              </w:tc>
              <w:tc>
                <w:tcPr>
                  <w:tcW w:w="2268" w:type="dxa"/>
                </w:tcPr>
                <w:p w14:paraId="73792830" w14:textId="77777777" w:rsidR="009F3E26" w:rsidRDefault="009F3E26" w:rsidP="00DB2AE0">
                  <w:pPr>
                    <w:pStyle w:val="Box"/>
                    <w:spacing w:before="60"/>
                  </w:pPr>
                  <w:r>
                    <w:t>1800 020 083</w:t>
                  </w:r>
                </w:p>
              </w:tc>
              <w:tc>
                <w:tcPr>
                  <w:tcW w:w="2682" w:type="dxa"/>
                </w:tcPr>
                <w:p w14:paraId="0A07B200" w14:textId="77777777" w:rsidR="009F3E26" w:rsidRDefault="009F3E26" w:rsidP="00DB2AE0">
                  <w:pPr>
                    <w:pStyle w:val="Box"/>
                    <w:spacing w:before="60"/>
                  </w:pPr>
                </w:p>
              </w:tc>
            </w:tr>
            <w:tr w:rsidR="009F3E26" w14:paraId="523170BE" w14:textId="77777777" w:rsidTr="00EC0A05">
              <w:tc>
                <w:tcPr>
                  <w:tcW w:w="3522" w:type="dxa"/>
                  <w:tcMar>
                    <w:left w:w="0" w:type="dxa"/>
                  </w:tcMar>
                </w:tcPr>
                <w:p w14:paraId="2F4411AA" w14:textId="3852C1A3" w:rsidR="009F3E26" w:rsidRDefault="009F3E26" w:rsidP="00DB2AE0">
                  <w:pPr>
                    <w:pStyle w:val="Box"/>
                    <w:spacing w:before="60"/>
                  </w:pPr>
                  <w:r>
                    <w:t>Website</w:t>
                  </w:r>
                  <w:r w:rsidR="00024E7D">
                    <w:t>:</w:t>
                  </w:r>
                </w:p>
              </w:tc>
              <w:tc>
                <w:tcPr>
                  <w:tcW w:w="2268" w:type="dxa"/>
                </w:tcPr>
                <w:p w14:paraId="61667103" w14:textId="77777777" w:rsidR="009F3E26" w:rsidRPr="009F3E26" w:rsidRDefault="009F3E26" w:rsidP="00DB2AE0">
                  <w:pPr>
                    <w:pStyle w:val="Box"/>
                    <w:spacing w:before="60"/>
                    <w:rPr>
                      <w:b/>
                    </w:rPr>
                  </w:pPr>
                  <w:r w:rsidRPr="009F3E26">
                    <w:rPr>
                      <w:b/>
                    </w:rPr>
                    <w:t>www.pc.gov.au</w:t>
                  </w:r>
                </w:p>
              </w:tc>
              <w:tc>
                <w:tcPr>
                  <w:tcW w:w="2682" w:type="dxa"/>
                </w:tcPr>
                <w:p w14:paraId="320A5A28" w14:textId="77777777" w:rsidR="009F3E26" w:rsidRDefault="009F3E26" w:rsidP="00DB2AE0">
                  <w:pPr>
                    <w:pStyle w:val="Box"/>
                    <w:spacing w:before="60"/>
                  </w:pPr>
                </w:p>
              </w:tc>
            </w:tr>
          </w:tbl>
          <w:p w14:paraId="4DBF1C6A" w14:textId="77777777" w:rsidR="00415F39" w:rsidRDefault="00415F39" w:rsidP="009F3E26">
            <w:pPr>
              <w:pStyle w:val="Box"/>
            </w:pPr>
          </w:p>
        </w:tc>
      </w:tr>
      <w:tr w:rsidR="00415F39" w14:paraId="31F2C710" w14:textId="77777777" w:rsidTr="00F12738">
        <w:trPr>
          <w:cantSplit/>
        </w:trPr>
        <w:tc>
          <w:tcPr>
            <w:tcW w:w="8771" w:type="dxa"/>
            <w:tcBorders>
              <w:top w:val="nil"/>
              <w:left w:val="nil"/>
              <w:bottom w:val="single" w:sz="6" w:space="0" w:color="78A22F"/>
              <w:right w:val="nil"/>
            </w:tcBorders>
            <w:shd w:val="clear" w:color="auto" w:fill="F2F2F2" w:themeFill="background1" w:themeFillShade="F2"/>
          </w:tcPr>
          <w:p w14:paraId="3D99021C" w14:textId="77777777" w:rsidR="00415F39" w:rsidRDefault="00415F39" w:rsidP="00F12738">
            <w:pPr>
              <w:pStyle w:val="Box"/>
              <w:spacing w:before="0" w:line="120" w:lineRule="exact"/>
            </w:pPr>
          </w:p>
        </w:tc>
      </w:tr>
    </w:tbl>
    <w:p w14:paraId="49CB70F3" w14:textId="77777777" w:rsidR="00415F39" w:rsidRDefault="00415F39" w:rsidP="00CB29C8">
      <w:pPr>
        <w:pStyle w:val="BoxSpaceAbove"/>
        <w:spacing w:before="12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0142D480" w14:textId="77777777" w:rsidTr="00F12738">
        <w:tc>
          <w:tcPr>
            <w:tcW w:w="8771" w:type="dxa"/>
            <w:tcBorders>
              <w:top w:val="single" w:sz="6" w:space="0" w:color="78A22F"/>
              <w:left w:val="nil"/>
              <w:bottom w:val="nil"/>
              <w:right w:val="nil"/>
            </w:tcBorders>
            <w:shd w:val="clear" w:color="auto" w:fill="F2F2F2" w:themeFill="background1" w:themeFillShade="F2"/>
          </w:tcPr>
          <w:p w14:paraId="1CB906B3" w14:textId="77777777" w:rsidR="00415F39" w:rsidRPr="008A3857" w:rsidRDefault="00415F39" w:rsidP="00F12738">
            <w:pPr>
              <w:pStyle w:val="BoxTitle"/>
              <w:rPr>
                <w:sz w:val="22"/>
                <w:szCs w:val="22"/>
              </w:rPr>
            </w:pPr>
            <w:r w:rsidRPr="008A3857">
              <w:rPr>
                <w:sz w:val="22"/>
                <w:szCs w:val="22"/>
              </w:rPr>
              <w:t>The Productivity Commission</w:t>
            </w:r>
          </w:p>
        </w:tc>
      </w:tr>
      <w:tr w:rsidR="00415F39" w14:paraId="770B79A8" w14:textId="77777777" w:rsidTr="00F12738">
        <w:trPr>
          <w:cantSplit/>
        </w:trPr>
        <w:tc>
          <w:tcPr>
            <w:tcW w:w="8771" w:type="dxa"/>
            <w:tcBorders>
              <w:top w:val="nil"/>
              <w:left w:val="nil"/>
              <w:bottom w:val="nil"/>
              <w:right w:val="nil"/>
            </w:tcBorders>
            <w:shd w:val="clear" w:color="auto" w:fill="F2F2F2" w:themeFill="background1" w:themeFillShade="F2"/>
          </w:tcPr>
          <w:p w14:paraId="7BDEF34F" w14:textId="77777777" w:rsidR="00415F39" w:rsidRDefault="00415F39" w:rsidP="00F12738">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3292279" w14:textId="77777777" w:rsidR="00415F39" w:rsidRDefault="00415F39" w:rsidP="00F12738">
            <w:pPr>
              <w:pStyle w:val="Box"/>
            </w:pPr>
            <w:r w:rsidRPr="00BB5DCF">
              <w:t>The Commission’s independence is underpinned by an Act of Parliament. Its processes and outputs are open to public scrutiny and are driven by concern for the wellbeing of the community as a whole.</w:t>
            </w:r>
          </w:p>
          <w:p w14:paraId="4C1C5C3D" w14:textId="77777777" w:rsidR="00415F39" w:rsidRDefault="00415F39" w:rsidP="00F12738">
            <w:pPr>
              <w:pStyle w:val="Box"/>
            </w:pPr>
            <w:r w:rsidRPr="00BB5DCF">
              <w:rPr>
                <w:szCs w:val="24"/>
              </w:rPr>
              <w:t>Further information on the Productivity Commission can be obtained from the Commission’s website (www.pc.gov.au)</w:t>
            </w:r>
            <w:r>
              <w:rPr>
                <w:szCs w:val="24"/>
              </w:rPr>
              <w:t>.</w:t>
            </w:r>
          </w:p>
        </w:tc>
      </w:tr>
      <w:tr w:rsidR="00415F39" w14:paraId="58893A19" w14:textId="77777777" w:rsidTr="00F12738">
        <w:trPr>
          <w:cantSplit/>
        </w:trPr>
        <w:tc>
          <w:tcPr>
            <w:tcW w:w="8771" w:type="dxa"/>
            <w:tcBorders>
              <w:top w:val="nil"/>
              <w:left w:val="nil"/>
              <w:bottom w:val="single" w:sz="6" w:space="0" w:color="78A22F"/>
              <w:right w:val="nil"/>
            </w:tcBorders>
            <w:shd w:val="clear" w:color="auto" w:fill="F2F2F2" w:themeFill="background1" w:themeFillShade="F2"/>
          </w:tcPr>
          <w:p w14:paraId="0E4718A5" w14:textId="77777777" w:rsidR="00415F39" w:rsidRDefault="00415F39" w:rsidP="00F12738">
            <w:pPr>
              <w:pStyle w:val="Box"/>
              <w:spacing w:before="0" w:line="120" w:lineRule="exact"/>
            </w:pPr>
          </w:p>
        </w:tc>
      </w:tr>
    </w:tbl>
    <w:p w14:paraId="7FE216B4" w14:textId="77777777" w:rsidR="00EC0A05" w:rsidRPr="00415F39" w:rsidRDefault="00EC0A05" w:rsidP="00EC0A05">
      <w:pPr>
        <w:pStyle w:val="BodyText"/>
        <w:sectPr w:rsidR="00EC0A05" w:rsidRPr="00415F39" w:rsidSect="00FA2DFD">
          <w:headerReference w:type="even" r:id="rId14"/>
          <w:headerReference w:type="default" r:id="rId15"/>
          <w:footerReference w:type="even" r:id="rId16"/>
          <w:footerReference w:type="default" r:id="rId17"/>
          <w:headerReference w:type="first" r:id="rId18"/>
          <w:footerReference w:type="first" r:id="rId19"/>
          <w:pgSz w:w="11907" w:h="16840" w:code="9"/>
          <w:pgMar w:top="1984" w:right="1304" w:bottom="1247" w:left="1814" w:header="1701" w:footer="397" w:gutter="0"/>
          <w:pgNumType w:fmt="lowerRoman" w:chapSep="period"/>
          <w:cols w:space="720"/>
          <w:docGrid w:linePitch="326"/>
        </w:sectPr>
      </w:pPr>
    </w:p>
    <w:p w14:paraId="1F8E06A8" w14:textId="77777777" w:rsidR="00EC0A05" w:rsidRDefault="00EC0A05" w:rsidP="00EC0A05">
      <w:pPr>
        <w:pStyle w:val="Heading2nosectionno"/>
      </w:pPr>
      <w:bookmarkStart w:id="4" w:name="_Toc408581779"/>
      <w:bookmarkStart w:id="5" w:name="_Toc409524619"/>
      <w:r>
        <w:lastRenderedPageBreak/>
        <w:t>Terms of reference</w:t>
      </w:r>
      <w:bookmarkEnd w:id="4"/>
      <w:bookmarkEnd w:id="5"/>
    </w:p>
    <w:p w14:paraId="26A219E6" w14:textId="4FC8C38D" w:rsidR="00EC0A05" w:rsidRDefault="004C5CB0" w:rsidP="00EC0A05">
      <w:pPr>
        <w:pStyle w:val="BodyText"/>
        <w:jc w:val="center"/>
      </w:pPr>
      <w:r>
        <w:t>WORKPLACE RELATIONS FRAMEWORK</w:t>
      </w:r>
    </w:p>
    <w:p w14:paraId="33C84F3E" w14:textId="77777777" w:rsidR="00EC0A05" w:rsidRDefault="00EC0A05" w:rsidP="00EC0A05">
      <w:pPr>
        <w:pStyle w:val="BodyText"/>
        <w:jc w:val="center"/>
      </w:pPr>
      <w:r>
        <w:rPr>
          <w:b/>
          <w:bCs/>
          <w:i/>
          <w:iCs/>
          <w:szCs w:val="24"/>
        </w:rPr>
        <w:t>Productivity Commission Act 1998</w:t>
      </w:r>
    </w:p>
    <w:p w14:paraId="7ED0FBBD" w14:textId="77777777" w:rsidR="004C5CB0" w:rsidRDefault="004C5CB0" w:rsidP="004C5CB0">
      <w:pPr>
        <w:pStyle w:val="BodyText"/>
        <w:rPr>
          <w:lang w:eastAsia="en-US"/>
        </w:rPr>
      </w:pPr>
      <w:bookmarkStart w:id="6" w:name="begin"/>
      <w:bookmarkEnd w:id="2"/>
      <w:bookmarkEnd w:id="6"/>
      <w:r>
        <w:rPr>
          <w:lang w:eastAsia="en-US"/>
        </w:rPr>
        <w:t xml:space="preserve">I, Joseph Benedict Hockey, Treasurer, pursuant to Parts 2 and 3 of the </w:t>
      </w:r>
      <w:r w:rsidRPr="004C5CB0">
        <w:rPr>
          <w:i/>
          <w:lang w:eastAsia="en-US"/>
        </w:rPr>
        <w:t>Productivity Commission Act 1998</w:t>
      </w:r>
      <w:r>
        <w:rPr>
          <w:lang w:eastAsia="en-US"/>
        </w:rPr>
        <w:t>, hereby request that the Productivity Commission undertake an inquiry into the workplace relations framework.</w:t>
      </w:r>
    </w:p>
    <w:p w14:paraId="32567221" w14:textId="77777777" w:rsidR="004C5CB0" w:rsidRPr="004C5CB0" w:rsidRDefault="004C5CB0" w:rsidP="004C5CB0">
      <w:pPr>
        <w:pStyle w:val="BodyText"/>
        <w:rPr>
          <w:b/>
          <w:lang w:eastAsia="en-US"/>
        </w:rPr>
      </w:pPr>
      <w:r w:rsidRPr="004C5CB0">
        <w:rPr>
          <w:b/>
          <w:lang w:eastAsia="en-US"/>
        </w:rPr>
        <w:t>Background</w:t>
      </w:r>
    </w:p>
    <w:p w14:paraId="39652831" w14:textId="77777777" w:rsidR="004C5CB0" w:rsidRDefault="004C5CB0" w:rsidP="004C5CB0">
      <w:pPr>
        <w:pStyle w:val="BodyText"/>
        <w:rPr>
          <w:lang w:eastAsia="en-US"/>
        </w:rPr>
      </w:pPr>
      <w:r>
        <w:rPr>
          <w:lang w:eastAsia="en-US"/>
        </w:rPr>
        <w:t>The Australian Government believes that it is fundamentally important to make sure that the Fair Work laws work for everyone.</w:t>
      </w:r>
    </w:p>
    <w:p w14:paraId="78C3AF39" w14:textId="77777777" w:rsidR="004C5CB0" w:rsidRDefault="004C5CB0" w:rsidP="004C5CB0">
      <w:pPr>
        <w:pStyle w:val="BodyText"/>
        <w:rPr>
          <w:lang w:eastAsia="en-US"/>
        </w:rPr>
      </w:pPr>
      <w:r>
        <w:rPr>
          <w:lang w:eastAsia="en-US"/>
        </w:rPr>
        <w:t>Workplaces are important to our economy and society. Higher living standards, better pay and more jobs all depend on having fair, productive, and effective workplaces. The prosperity of tomorrow is driven by what happens in our workplaces today and this is why it is in our national interest to make sure that the Fair Work laws are balanced and effective.</w:t>
      </w:r>
    </w:p>
    <w:p w14:paraId="06260C3B" w14:textId="77777777" w:rsidR="004C5CB0" w:rsidRDefault="004C5CB0" w:rsidP="004C5CB0">
      <w:pPr>
        <w:pStyle w:val="BodyText"/>
        <w:rPr>
          <w:lang w:eastAsia="en-US"/>
        </w:rPr>
      </w:pPr>
      <w:r>
        <w:rPr>
          <w:lang w:eastAsia="en-US"/>
        </w:rPr>
        <w:t>The Australian Government’s objectives in commissioning this Inquiry are to examine the current operation of the Fair Work Laws and identify future options to improve the laws bearing in mind the need to ensure workers are protected and the need for business to be able to grow, prosper and employ.</w:t>
      </w:r>
    </w:p>
    <w:p w14:paraId="7CAFE3E9" w14:textId="77777777" w:rsidR="004C5CB0" w:rsidRPr="004C5CB0" w:rsidRDefault="004C5CB0" w:rsidP="004C5CB0">
      <w:pPr>
        <w:pStyle w:val="BodyText"/>
        <w:rPr>
          <w:b/>
          <w:lang w:eastAsia="en-US"/>
        </w:rPr>
      </w:pPr>
      <w:r w:rsidRPr="004C5CB0">
        <w:rPr>
          <w:b/>
          <w:lang w:eastAsia="en-US"/>
        </w:rPr>
        <w:t>Scope of the Inquiry</w:t>
      </w:r>
    </w:p>
    <w:p w14:paraId="02C74F7E" w14:textId="77777777" w:rsidR="004C5CB0" w:rsidRDefault="004C5CB0" w:rsidP="004C5CB0">
      <w:pPr>
        <w:pStyle w:val="BodyText"/>
        <w:rPr>
          <w:lang w:eastAsia="en-US"/>
        </w:rPr>
      </w:pPr>
      <w:r>
        <w:rPr>
          <w:lang w:eastAsia="en-US"/>
        </w:rPr>
        <w:t xml:space="preserve">The Productivity Commission will assess the performance of the workplace relations framework, including the </w:t>
      </w:r>
      <w:r w:rsidRPr="004C5CB0">
        <w:rPr>
          <w:i/>
          <w:lang w:eastAsia="en-US"/>
        </w:rPr>
        <w:t>Fair Work Act 2009</w:t>
      </w:r>
      <w:r>
        <w:rPr>
          <w:lang w:eastAsia="en-US"/>
        </w:rPr>
        <w:t>, focussing on key social and economic indicators important to the wellbeing, productivity and competitiveness of Australia and its people. A key consideration will be the capacity for the workplace relations framework to adapt over the longer term to issues arising due to structural adjustments and changes in the global economy.</w:t>
      </w:r>
    </w:p>
    <w:p w14:paraId="33415331" w14:textId="77777777" w:rsidR="004C5CB0" w:rsidRDefault="004C5CB0" w:rsidP="004C5CB0">
      <w:pPr>
        <w:pStyle w:val="BodyText"/>
        <w:rPr>
          <w:lang w:eastAsia="en-US"/>
        </w:rPr>
      </w:pPr>
      <w:r>
        <w:rPr>
          <w:lang w:eastAsia="en-US"/>
        </w:rPr>
        <w:t>In particular, the review will assess the impact of the workplace relations framework on matters including:</w:t>
      </w:r>
    </w:p>
    <w:p w14:paraId="6C213E0A" w14:textId="538FC798" w:rsidR="004C5CB0" w:rsidRDefault="004C5CB0" w:rsidP="004C5CB0">
      <w:pPr>
        <w:pStyle w:val="ListBullet"/>
        <w:rPr>
          <w:lang w:eastAsia="en-US"/>
        </w:rPr>
      </w:pPr>
      <w:r>
        <w:rPr>
          <w:lang w:eastAsia="en-US"/>
        </w:rPr>
        <w:t>unemployment, underemployment and job creation</w:t>
      </w:r>
    </w:p>
    <w:p w14:paraId="5256022A" w14:textId="7AFCD565" w:rsidR="004C5CB0" w:rsidRDefault="004C5CB0" w:rsidP="004C5CB0">
      <w:pPr>
        <w:pStyle w:val="ListBullet"/>
        <w:rPr>
          <w:lang w:eastAsia="en-US"/>
        </w:rPr>
      </w:pPr>
      <w:r>
        <w:rPr>
          <w:lang w:eastAsia="en-US"/>
        </w:rPr>
        <w:t>fair and equitable pay and conditions for employees, including the maintenance of a relevant safety net</w:t>
      </w:r>
    </w:p>
    <w:p w14:paraId="489DDAC0" w14:textId="456E82FE" w:rsidR="004C5CB0" w:rsidRDefault="004C5CB0" w:rsidP="004C5CB0">
      <w:pPr>
        <w:pStyle w:val="ListBullet"/>
        <w:rPr>
          <w:lang w:eastAsia="en-US"/>
        </w:rPr>
      </w:pPr>
      <w:r>
        <w:rPr>
          <w:lang w:eastAsia="en-US"/>
        </w:rPr>
        <w:t>small businesses</w:t>
      </w:r>
    </w:p>
    <w:p w14:paraId="6ADDDB41" w14:textId="214132C6" w:rsidR="004C5CB0" w:rsidRDefault="004C5CB0" w:rsidP="004C5CB0">
      <w:pPr>
        <w:pStyle w:val="ListBullet"/>
        <w:rPr>
          <w:lang w:eastAsia="en-US"/>
        </w:rPr>
      </w:pPr>
      <w:r>
        <w:rPr>
          <w:lang w:eastAsia="en-US"/>
        </w:rPr>
        <w:t>productivity, competitiveness and business investment</w:t>
      </w:r>
    </w:p>
    <w:p w14:paraId="5C312ED8" w14:textId="5019C7ED" w:rsidR="004C5CB0" w:rsidRDefault="004C5CB0" w:rsidP="004C5CB0">
      <w:pPr>
        <w:pStyle w:val="ListBullet"/>
        <w:rPr>
          <w:lang w:eastAsia="en-US"/>
        </w:rPr>
      </w:pPr>
      <w:r>
        <w:rPr>
          <w:lang w:eastAsia="en-US"/>
        </w:rPr>
        <w:lastRenderedPageBreak/>
        <w:t xml:space="preserve">the ability of business and the labour market to respond appropriately to changing economic conditions </w:t>
      </w:r>
    </w:p>
    <w:p w14:paraId="65DEF367" w14:textId="100921BB" w:rsidR="004C5CB0" w:rsidRDefault="004C5CB0" w:rsidP="004C5CB0">
      <w:pPr>
        <w:pStyle w:val="ListBullet"/>
        <w:rPr>
          <w:lang w:eastAsia="en-US"/>
        </w:rPr>
      </w:pPr>
      <w:r>
        <w:rPr>
          <w:lang w:eastAsia="en-US"/>
        </w:rPr>
        <w:t>patterns of engagement in the labour market</w:t>
      </w:r>
    </w:p>
    <w:p w14:paraId="352C9594" w14:textId="7A4FB002" w:rsidR="004C5CB0" w:rsidRDefault="004C5CB0" w:rsidP="004C5CB0">
      <w:pPr>
        <w:pStyle w:val="ListBullet"/>
        <w:rPr>
          <w:lang w:eastAsia="en-US"/>
        </w:rPr>
      </w:pPr>
      <w:r>
        <w:rPr>
          <w:lang w:eastAsia="en-US"/>
        </w:rPr>
        <w:t>the ability for employers to flexibly manage and engage with their employees</w:t>
      </w:r>
    </w:p>
    <w:p w14:paraId="0A731C78" w14:textId="15302F40" w:rsidR="004C5CB0" w:rsidRDefault="004C5CB0" w:rsidP="004C5CB0">
      <w:pPr>
        <w:pStyle w:val="ListBullet"/>
        <w:rPr>
          <w:lang w:eastAsia="en-US"/>
        </w:rPr>
      </w:pPr>
      <w:r>
        <w:rPr>
          <w:lang w:eastAsia="en-US"/>
        </w:rPr>
        <w:t>barriers to bargaining</w:t>
      </w:r>
    </w:p>
    <w:p w14:paraId="7D17E8EE" w14:textId="072D211A" w:rsidR="004C5CB0" w:rsidRDefault="004C5CB0" w:rsidP="004C5CB0">
      <w:pPr>
        <w:pStyle w:val="ListBullet"/>
        <w:rPr>
          <w:lang w:eastAsia="en-US"/>
        </w:rPr>
      </w:pPr>
      <w:r>
        <w:rPr>
          <w:lang w:eastAsia="en-US"/>
        </w:rPr>
        <w:t>red tape and the compliance burden for employers</w:t>
      </w:r>
    </w:p>
    <w:p w14:paraId="194FDB4A" w14:textId="77C1A55B" w:rsidR="004C5CB0" w:rsidRDefault="004C5CB0" w:rsidP="004C5CB0">
      <w:pPr>
        <w:pStyle w:val="ListBullet"/>
        <w:rPr>
          <w:lang w:eastAsia="en-US"/>
        </w:rPr>
      </w:pPr>
      <w:r>
        <w:rPr>
          <w:lang w:eastAsia="en-US"/>
        </w:rPr>
        <w:t>industrial conflict and days lost due to industrial action</w:t>
      </w:r>
    </w:p>
    <w:p w14:paraId="279C5DDB" w14:textId="7D50C86F" w:rsidR="004C5CB0" w:rsidRDefault="004C5CB0" w:rsidP="004C5CB0">
      <w:pPr>
        <w:pStyle w:val="ListBullet"/>
        <w:rPr>
          <w:lang w:eastAsia="en-US"/>
        </w:rPr>
      </w:pPr>
      <w:proofErr w:type="gramStart"/>
      <w:r>
        <w:rPr>
          <w:lang w:eastAsia="en-US"/>
        </w:rPr>
        <w:t>appropriate</w:t>
      </w:r>
      <w:proofErr w:type="gramEnd"/>
      <w:r>
        <w:rPr>
          <w:lang w:eastAsia="en-US"/>
        </w:rPr>
        <w:t xml:space="preserve"> scope for independent contracting.</w:t>
      </w:r>
    </w:p>
    <w:p w14:paraId="34C96856" w14:textId="0EB43565" w:rsidR="004C5CB0" w:rsidRDefault="004C5CB0" w:rsidP="004C5CB0">
      <w:pPr>
        <w:pStyle w:val="BodyText"/>
        <w:rPr>
          <w:lang w:eastAsia="en-US"/>
        </w:rPr>
      </w:pPr>
      <w:r>
        <w:rPr>
          <w:lang w:eastAsia="en-US"/>
        </w:rPr>
        <w:t>In addition to assessing the overall impact of the workplace relations framework on these matters, the review should consider the Act’s performance against its stated aims and objects, and the impact on jobs, incomes and the economy. The review should examine the impact of the framework according to business size, region, and industry sector. It should also examine the experience of countries in the Organisation for Economic Co</w:t>
      </w:r>
      <w:r w:rsidR="00D10E92">
        <w:rPr>
          <w:lang w:eastAsia="en-US"/>
        </w:rPr>
        <w:noBreakHyphen/>
      </w:r>
      <w:r>
        <w:rPr>
          <w:lang w:eastAsia="en-US"/>
        </w:rPr>
        <w:t>operation and Development.</w:t>
      </w:r>
    </w:p>
    <w:p w14:paraId="2DB4738D" w14:textId="735B2378" w:rsidR="004C5CB0" w:rsidRDefault="004C5CB0" w:rsidP="004C5CB0">
      <w:pPr>
        <w:pStyle w:val="BodyText"/>
        <w:rPr>
          <w:lang w:eastAsia="en-US"/>
        </w:rPr>
      </w:pPr>
      <w:r>
        <w:rPr>
          <w:lang w:eastAsia="en-US"/>
        </w:rPr>
        <w:t xml:space="preserve">The workplace relations framework encompasses the </w:t>
      </w:r>
      <w:r w:rsidRPr="004C5CB0">
        <w:rPr>
          <w:i/>
          <w:lang w:eastAsia="en-US"/>
        </w:rPr>
        <w:t>Fair Work Act 2009</w:t>
      </w:r>
      <w:r>
        <w:rPr>
          <w:lang w:eastAsia="en-US"/>
        </w:rPr>
        <w:t xml:space="preserve">, including the institutions and instruments that operate under the Act; and the </w:t>
      </w:r>
      <w:r w:rsidRPr="004C5CB0">
        <w:rPr>
          <w:i/>
          <w:lang w:eastAsia="en-US"/>
        </w:rPr>
        <w:t>Independent Contractors Act 2006</w:t>
      </w:r>
      <w:r>
        <w:rPr>
          <w:lang w:eastAsia="en-US"/>
        </w:rPr>
        <w:t>.</w:t>
      </w:r>
    </w:p>
    <w:p w14:paraId="7EC1A68F" w14:textId="77777777" w:rsidR="004C5CB0" w:rsidRDefault="004C5CB0" w:rsidP="004C5CB0">
      <w:pPr>
        <w:pStyle w:val="BodyText"/>
        <w:rPr>
          <w:lang w:eastAsia="en-US"/>
        </w:rPr>
      </w:pPr>
      <w:r>
        <w:rPr>
          <w:lang w:eastAsia="en-US"/>
        </w:rPr>
        <w:t>The review will make recommendations about how the laws can be improved to maximise outcomes for Australian employers, employees and the economy, bearing in mind the need to ensure workers are protected, the need for business to be able to grow, prosper and employ, and the need to reduce unnecessary and excessive regulation.</w:t>
      </w:r>
    </w:p>
    <w:p w14:paraId="661FC0F2" w14:textId="77777777" w:rsidR="004C5CB0" w:rsidRDefault="004C5CB0" w:rsidP="004C5CB0">
      <w:pPr>
        <w:pStyle w:val="BodyText"/>
        <w:rPr>
          <w:lang w:eastAsia="en-US"/>
        </w:rPr>
      </w:pPr>
      <w:r>
        <w:rPr>
          <w:lang w:eastAsia="en-US"/>
        </w:rPr>
        <w:t>The Productivity Commission will identify and quantify, as far as possible, the full costs and benefits of its recommendations.</w:t>
      </w:r>
    </w:p>
    <w:p w14:paraId="6B39EDA3" w14:textId="77777777" w:rsidR="004C5CB0" w:rsidRDefault="004C5CB0" w:rsidP="004C5CB0">
      <w:pPr>
        <w:pStyle w:val="BodyText"/>
        <w:rPr>
          <w:lang w:eastAsia="en-US"/>
        </w:rPr>
      </w:pPr>
      <w:r>
        <w:rPr>
          <w:lang w:eastAsia="en-US"/>
        </w:rPr>
        <w:t xml:space="preserve">An overarching principle for any recommendations should be the need to ensure a framework to serve the country in the long term, given the level of legislative change in this area in recent years. </w:t>
      </w:r>
    </w:p>
    <w:p w14:paraId="285E6B5F" w14:textId="2D363D62" w:rsidR="004C5CB0" w:rsidRDefault="004C5CB0" w:rsidP="004C5CB0">
      <w:pPr>
        <w:pStyle w:val="BodyText"/>
        <w:rPr>
          <w:lang w:eastAsia="en-US"/>
        </w:rPr>
      </w:pPr>
      <w:r>
        <w:rPr>
          <w:lang w:eastAsia="en-US"/>
        </w:rPr>
        <w:t>In conducting the review</w:t>
      </w:r>
      <w:r w:rsidR="00BA163B">
        <w:rPr>
          <w:lang w:eastAsia="en-US"/>
        </w:rPr>
        <w:t>,</w:t>
      </w:r>
      <w:r>
        <w:rPr>
          <w:lang w:eastAsia="en-US"/>
        </w:rPr>
        <w:t xml:space="preserve"> the Productivity Commission will draw on the full spectrum of evidence sources including, but not limited to:</w:t>
      </w:r>
    </w:p>
    <w:p w14:paraId="4949D73B" w14:textId="07CC0595" w:rsidR="004C5CB0" w:rsidRDefault="004C5CB0" w:rsidP="004C5CB0">
      <w:pPr>
        <w:pStyle w:val="ListBullet"/>
        <w:rPr>
          <w:lang w:eastAsia="en-US"/>
        </w:rPr>
      </w:pPr>
      <w:r>
        <w:rPr>
          <w:lang w:eastAsia="en-US"/>
        </w:rPr>
        <w:t>Australian Bureau of Statistics data and publications</w:t>
      </w:r>
    </w:p>
    <w:p w14:paraId="30D2C35B" w14:textId="257A9074" w:rsidR="004C5CB0" w:rsidRDefault="004C5CB0" w:rsidP="004C5CB0">
      <w:pPr>
        <w:pStyle w:val="ListBullet"/>
        <w:rPr>
          <w:lang w:eastAsia="en-US"/>
        </w:rPr>
      </w:pPr>
      <w:r>
        <w:rPr>
          <w:lang w:eastAsia="en-US"/>
        </w:rPr>
        <w:t xml:space="preserve">data sources maintained by other relevant Government bodies, including but not limited to the Department of Employment, Fair Work Commission and Fair Work Ombudsman </w:t>
      </w:r>
    </w:p>
    <w:p w14:paraId="209D5A7E" w14:textId="4A24DD3F" w:rsidR="004C5CB0" w:rsidRDefault="004C5CB0" w:rsidP="004C5CB0">
      <w:pPr>
        <w:pStyle w:val="ListBullet"/>
        <w:rPr>
          <w:lang w:eastAsia="en-US"/>
        </w:rPr>
      </w:pPr>
      <w:r>
        <w:rPr>
          <w:lang w:eastAsia="en-US"/>
        </w:rPr>
        <w:t>employers or their representatives</w:t>
      </w:r>
    </w:p>
    <w:p w14:paraId="4FA564D8" w14:textId="1107C760" w:rsidR="004C5CB0" w:rsidRDefault="004C5CB0" w:rsidP="004C5CB0">
      <w:pPr>
        <w:pStyle w:val="ListBullet"/>
        <w:rPr>
          <w:lang w:eastAsia="en-US"/>
        </w:rPr>
      </w:pPr>
      <w:r>
        <w:rPr>
          <w:lang w:eastAsia="en-US"/>
        </w:rPr>
        <w:t xml:space="preserve">employees or their representatives </w:t>
      </w:r>
    </w:p>
    <w:p w14:paraId="171AA0D7" w14:textId="126EDD84" w:rsidR="004C5CB0" w:rsidRDefault="004C5CB0" w:rsidP="004C5CB0">
      <w:pPr>
        <w:pStyle w:val="ListBullet"/>
        <w:rPr>
          <w:lang w:eastAsia="en-US"/>
        </w:rPr>
      </w:pPr>
      <w:r>
        <w:rPr>
          <w:lang w:eastAsia="en-US"/>
        </w:rPr>
        <w:t>academia</w:t>
      </w:r>
    </w:p>
    <w:p w14:paraId="739920EF" w14:textId="7E29B894" w:rsidR="004C5CB0" w:rsidRDefault="004C5CB0" w:rsidP="004C5CB0">
      <w:pPr>
        <w:pStyle w:val="ListBullet"/>
        <w:rPr>
          <w:lang w:eastAsia="en-US"/>
        </w:rPr>
      </w:pPr>
      <w:proofErr w:type="gramStart"/>
      <w:r>
        <w:rPr>
          <w:lang w:eastAsia="en-US"/>
        </w:rPr>
        <w:t>special</w:t>
      </w:r>
      <w:proofErr w:type="gramEnd"/>
      <w:r>
        <w:rPr>
          <w:lang w:eastAsia="en-US"/>
        </w:rPr>
        <w:t xml:space="preserve"> interest groups.</w:t>
      </w:r>
    </w:p>
    <w:p w14:paraId="54915FF1" w14:textId="77777777" w:rsidR="004C5CB0" w:rsidRDefault="004C5CB0" w:rsidP="004C5CB0">
      <w:pPr>
        <w:pStyle w:val="BodyText"/>
        <w:rPr>
          <w:lang w:eastAsia="en-US"/>
        </w:rPr>
      </w:pPr>
      <w:r>
        <w:rPr>
          <w:lang w:eastAsia="en-US"/>
        </w:rPr>
        <w:lastRenderedPageBreak/>
        <w:t xml:space="preserve">The review should also identify gaps in the evidence base where further collection may assist in the analysis of the overall performance and impact of the system. </w:t>
      </w:r>
    </w:p>
    <w:p w14:paraId="681A88C6" w14:textId="77777777" w:rsidR="004C5CB0" w:rsidRPr="004C5CB0" w:rsidRDefault="004C5CB0" w:rsidP="004C5CB0">
      <w:pPr>
        <w:pStyle w:val="BodyText"/>
        <w:rPr>
          <w:b/>
          <w:lang w:eastAsia="en-US"/>
        </w:rPr>
      </w:pPr>
      <w:r w:rsidRPr="004C5CB0">
        <w:rPr>
          <w:b/>
          <w:lang w:eastAsia="en-US"/>
        </w:rPr>
        <w:t>Process</w:t>
      </w:r>
    </w:p>
    <w:p w14:paraId="5CFE072B" w14:textId="77777777" w:rsidR="004C5CB0" w:rsidRDefault="004C5CB0" w:rsidP="004C5CB0">
      <w:pPr>
        <w:pStyle w:val="BodyText"/>
        <w:rPr>
          <w:lang w:eastAsia="en-US"/>
        </w:rPr>
      </w:pPr>
      <w:r>
        <w:rPr>
          <w:lang w:eastAsia="en-US"/>
        </w:rPr>
        <w:t xml:space="preserve">The Commission is to undertake an appropriate public consultation process including holding hearings, inviting public submissions and releasing a draft report to the public. </w:t>
      </w:r>
    </w:p>
    <w:p w14:paraId="17F7E67D" w14:textId="77777777" w:rsidR="004C5CB0" w:rsidRDefault="004C5CB0" w:rsidP="004C5CB0">
      <w:pPr>
        <w:pStyle w:val="BodyText"/>
        <w:rPr>
          <w:lang w:eastAsia="en-US"/>
        </w:rPr>
      </w:pPr>
      <w:r>
        <w:rPr>
          <w:lang w:eastAsia="en-US"/>
        </w:rPr>
        <w:t>The final report should be provided to the Government in November 2015.</w:t>
      </w:r>
    </w:p>
    <w:p w14:paraId="2C667680" w14:textId="77777777" w:rsidR="004C5CB0" w:rsidRDefault="004C5CB0" w:rsidP="004C5CB0">
      <w:pPr>
        <w:pStyle w:val="BodyText"/>
        <w:rPr>
          <w:lang w:eastAsia="en-US"/>
        </w:rPr>
      </w:pPr>
    </w:p>
    <w:p w14:paraId="2502365C" w14:textId="77777777" w:rsidR="004C5CB0" w:rsidRDefault="004C5CB0" w:rsidP="004C5CB0">
      <w:pPr>
        <w:pStyle w:val="BodyText"/>
        <w:rPr>
          <w:lang w:eastAsia="en-US"/>
        </w:rPr>
      </w:pPr>
    </w:p>
    <w:p w14:paraId="71DCD2C8" w14:textId="77777777" w:rsidR="004C5CB0" w:rsidRDefault="004C5CB0" w:rsidP="004C5CB0">
      <w:pPr>
        <w:pStyle w:val="BodyText"/>
        <w:spacing w:before="120"/>
        <w:rPr>
          <w:lang w:eastAsia="en-US"/>
        </w:rPr>
      </w:pPr>
      <w:r>
        <w:rPr>
          <w:lang w:eastAsia="en-US"/>
        </w:rPr>
        <w:t>J. B. HOCKEY</w:t>
      </w:r>
    </w:p>
    <w:p w14:paraId="534C2A6B" w14:textId="5931312B" w:rsidR="00DB26D2" w:rsidRDefault="004C5CB0" w:rsidP="004C5CB0">
      <w:pPr>
        <w:pStyle w:val="BodyText"/>
        <w:spacing w:before="120"/>
        <w:rPr>
          <w:lang w:eastAsia="en-US"/>
        </w:rPr>
      </w:pPr>
      <w:r>
        <w:rPr>
          <w:lang w:eastAsia="en-US"/>
        </w:rPr>
        <w:t>Treasurer</w:t>
      </w:r>
    </w:p>
    <w:p w14:paraId="4104334F" w14:textId="3A00A331" w:rsidR="004C5CB0" w:rsidRDefault="004C5CB0" w:rsidP="004C5CB0">
      <w:pPr>
        <w:pStyle w:val="BodyText"/>
        <w:spacing w:before="120"/>
      </w:pPr>
      <w:r>
        <w:rPr>
          <w:lang w:eastAsia="en-US"/>
        </w:rPr>
        <w:t>[Received 19</w:t>
      </w:r>
      <w:r w:rsidR="00D10E92">
        <w:rPr>
          <w:lang w:eastAsia="en-US"/>
        </w:rPr>
        <w:t> </w:t>
      </w:r>
      <w:r>
        <w:rPr>
          <w:lang w:eastAsia="en-US"/>
        </w:rPr>
        <w:t>December 2014]</w:t>
      </w:r>
    </w:p>
    <w:p w14:paraId="2C042875" w14:textId="77777777" w:rsidR="00415F39" w:rsidRDefault="00415F39" w:rsidP="00120072">
      <w:pPr>
        <w:pStyle w:val="BodyText"/>
      </w:pPr>
    </w:p>
    <w:p w14:paraId="3690E553" w14:textId="77777777" w:rsidR="00415F39" w:rsidRDefault="00415F39" w:rsidP="00120072">
      <w:pPr>
        <w:pStyle w:val="BodyText"/>
        <w:sectPr w:rsidR="00415F39" w:rsidSect="00FA2DFD">
          <w:headerReference w:type="even" r:id="rId20"/>
          <w:headerReference w:type="default" r:id="rId21"/>
          <w:footerReference w:type="even" r:id="rId22"/>
          <w:footerReference w:type="default" r:id="rId23"/>
          <w:pgSz w:w="11907" w:h="16840" w:code="9"/>
          <w:pgMar w:top="1984" w:right="1304" w:bottom="1247" w:left="1814" w:header="1701" w:footer="397" w:gutter="0"/>
          <w:pgNumType w:fmt="lowerRoman" w:start="3" w:chapSep="period"/>
          <w:cols w:space="720"/>
          <w:docGrid w:linePitch="326"/>
        </w:sectPr>
      </w:pPr>
    </w:p>
    <w:p w14:paraId="6FBA6C4E" w14:textId="77777777" w:rsidR="00D7005E" w:rsidRDefault="00D7005E" w:rsidP="00D7005E">
      <w:pPr>
        <w:pStyle w:val="Heading2nosectionno"/>
      </w:pPr>
      <w:bookmarkStart w:id="8" w:name="_Toc408581780"/>
      <w:bookmarkStart w:id="9" w:name="_Toc409524620"/>
      <w:r>
        <w:lastRenderedPageBreak/>
        <w:t>Contents</w:t>
      </w:r>
      <w:bookmarkEnd w:id="8"/>
      <w:bookmarkEnd w:id="9"/>
    </w:p>
    <w:p w14:paraId="27804F2A" w14:textId="64771EAC" w:rsidR="004C5CB0" w:rsidRDefault="004C5CB0">
      <w:pPr>
        <w:pStyle w:val="TOC2"/>
        <w:rPr>
          <w:rFonts w:asciiTheme="minorHAnsi" w:eastAsiaTheme="minorEastAsia" w:hAnsiTheme="minorHAnsi" w:cstheme="minorBidi"/>
          <w:noProof/>
          <w:sz w:val="22"/>
          <w:szCs w:val="22"/>
        </w:rPr>
      </w:pPr>
    </w:p>
    <w:p w14:paraId="7735F380" w14:textId="77777777" w:rsidR="00FF56ED" w:rsidRDefault="00FF56ED">
      <w:pPr>
        <w:pStyle w:val="TOC2"/>
        <w:rPr>
          <w:rFonts w:asciiTheme="minorHAnsi" w:eastAsiaTheme="minorEastAsia" w:hAnsiTheme="minorHAnsi" w:cstheme="minorBidi"/>
          <w:noProof/>
          <w:sz w:val="22"/>
          <w:szCs w:val="22"/>
        </w:rPr>
      </w:pPr>
    </w:p>
    <w:p w14:paraId="0D81C46A" w14:textId="7CD598D2" w:rsidR="00B13C3D" w:rsidRDefault="00B13C3D" w:rsidP="00A0594B">
      <w:pPr>
        <w:pStyle w:val="TOC2"/>
        <w:ind w:left="624"/>
        <w:rPr>
          <w:rFonts w:asciiTheme="minorHAnsi" w:eastAsiaTheme="minorEastAsia" w:hAnsiTheme="minorHAnsi" w:cstheme="minorBidi"/>
          <w:noProof/>
          <w:sz w:val="22"/>
          <w:szCs w:val="22"/>
          <w:lang w:eastAsia="en-AU"/>
        </w:rPr>
      </w:pPr>
      <w:r w:rsidRPr="00A0594B">
        <w:rPr>
          <w:noProof/>
        </w:rPr>
        <w:t>Terms of reference</w:t>
      </w:r>
      <w:r>
        <w:rPr>
          <w:noProof/>
          <w:webHidden/>
        </w:rPr>
        <w:tab/>
        <w:t>iii</w:t>
      </w:r>
    </w:p>
    <w:p w14:paraId="55BCEC11" w14:textId="1FC0A9EC" w:rsidR="00B13C3D" w:rsidRDefault="00B13C3D" w:rsidP="00A0594B">
      <w:pPr>
        <w:pStyle w:val="TOC2"/>
        <w:tabs>
          <w:tab w:val="left" w:pos="1134"/>
        </w:tabs>
        <w:ind w:left="624"/>
        <w:rPr>
          <w:rFonts w:asciiTheme="minorHAnsi" w:eastAsiaTheme="minorEastAsia" w:hAnsiTheme="minorHAnsi" w:cstheme="minorBidi"/>
          <w:noProof/>
          <w:sz w:val="22"/>
          <w:szCs w:val="22"/>
          <w:lang w:eastAsia="en-AU"/>
        </w:rPr>
      </w:pPr>
      <w:r w:rsidRPr="00A0594B">
        <w:rPr>
          <w:noProof/>
        </w:rPr>
        <w:t>1.1</w:t>
      </w:r>
      <w:r>
        <w:rPr>
          <w:rFonts w:asciiTheme="minorHAnsi" w:eastAsiaTheme="minorEastAsia" w:hAnsiTheme="minorHAnsi" w:cstheme="minorBidi"/>
          <w:noProof/>
          <w:sz w:val="22"/>
          <w:szCs w:val="22"/>
          <w:lang w:eastAsia="en-AU"/>
        </w:rPr>
        <w:tab/>
      </w:r>
      <w:r w:rsidRPr="00A0594B">
        <w:rPr>
          <w:noProof/>
        </w:rPr>
        <w:t>Scope and aim of the inquiry</w:t>
      </w:r>
      <w:r>
        <w:rPr>
          <w:noProof/>
          <w:webHidden/>
        </w:rPr>
        <w:tab/>
        <w:t>1</w:t>
      </w:r>
    </w:p>
    <w:p w14:paraId="4BB91AD2" w14:textId="10875687" w:rsidR="00B13C3D" w:rsidRDefault="00B13C3D" w:rsidP="00A0594B">
      <w:pPr>
        <w:pStyle w:val="TOC2"/>
        <w:tabs>
          <w:tab w:val="left" w:pos="1134"/>
        </w:tabs>
        <w:ind w:left="624"/>
        <w:rPr>
          <w:rFonts w:asciiTheme="minorHAnsi" w:eastAsiaTheme="minorEastAsia" w:hAnsiTheme="minorHAnsi" w:cstheme="minorBidi"/>
          <w:noProof/>
          <w:sz w:val="22"/>
          <w:szCs w:val="22"/>
          <w:lang w:eastAsia="en-AU"/>
        </w:rPr>
      </w:pPr>
      <w:r w:rsidRPr="00A0594B">
        <w:rPr>
          <w:noProof/>
        </w:rPr>
        <w:t>1.2</w:t>
      </w:r>
      <w:r>
        <w:rPr>
          <w:rFonts w:asciiTheme="minorHAnsi" w:eastAsiaTheme="minorEastAsia" w:hAnsiTheme="minorHAnsi" w:cstheme="minorBidi"/>
          <w:noProof/>
          <w:sz w:val="22"/>
          <w:szCs w:val="22"/>
          <w:lang w:eastAsia="en-AU"/>
        </w:rPr>
        <w:tab/>
      </w:r>
      <w:r w:rsidRPr="00A0594B">
        <w:rPr>
          <w:noProof/>
        </w:rPr>
        <w:t>The stated objectives of Australia’s workplace relations system</w:t>
      </w:r>
      <w:r>
        <w:rPr>
          <w:noProof/>
          <w:webHidden/>
        </w:rPr>
        <w:tab/>
        <w:t>7</w:t>
      </w:r>
    </w:p>
    <w:p w14:paraId="1746D18B" w14:textId="09503748" w:rsidR="00B13C3D" w:rsidRDefault="00B13C3D" w:rsidP="00A0594B">
      <w:pPr>
        <w:pStyle w:val="TOC2"/>
        <w:tabs>
          <w:tab w:val="left" w:pos="1134"/>
        </w:tabs>
        <w:ind w:left="624"/>
        <w:rPr>
          <w:rFonts w:asciiTheme="minorHAnsi" w:eastAsiaTheme="minorEastAsia" w:hAnsiTheme="minorHAnsi" w:cstheme="minorBidi"/>
          <w:noProof/>
          <w:sz w:val="22"/>
          <w:szCs w:val="22"/>
          <w:lang w:eastAsia="en-AU"/>
        </w:rPr>
      </w:pPr>
      <w:r w:rsidRPr="00A0594B">
        <w:rPr>
          <w:noProof/>
        </w:rPr>
        <w:t>1.3</w:t>
      </w:r>
      <w:r>
        <w:rPr>
          <w:rFonts w:asciiTheme="minorHAnsi" w:eastAsiaTheme="minorEastAsia" w:hAnsiTheme="minorHAnsi" w:cstheme="minorBidi"/>
          <w:noProof/>
          <w:sz w:val="22"/>
          <w:szCs w:val="22"/>
          <w:lang w:eastAsia="en-AU"/>
        </w:rPr>
        <w:tab/>
      </w:r>
      <w:r w:rsidRPr="00A0594B">
        <w:rPr>
          <w:noProof/>
        </w:rPr>
        <w:t>The historical context: how the WR system evolved seems important</w:t>
      </w:r>
      <w:r>
        <w:rPr>
          <w:noProof/>
          <w:webHidden/>
        </w:rPr>
        <w:tab/>
        <w:t>8</w:t>
      </w:r>
    </w:p>
    <w:p w14:paraId="12E18084" w14:textId="1F978374" w:rsidR="00B13C3D" w:rsidRDefault="00B13C3D" w:rsidP="00A0594B">
      <w:pPr>
        <w:pStyle w:val="TOC2"/>
        <w:tabs>
          <w:tab w:val="left" w:pos="1134"/>
        </w:tabs>
        <w:ind w:left="624"/>
        <w:rPr>
          <w:rFonts w:asciiTheme="minorHAnsi" w:eastAsiaTheme="minorEastAsia" w:hAnsiTheme="minorHAnsi" w:cstheme="minorBidi"/>
          <w:noProof/>
          <w:sz w:val="22"/>
          <w:szCs w:val="22"/>
          <w:lang w:eastAsia="en-AU"/>
        </w:rPr>
      </w:pPr>
      <w:r w:rsidRPr="00A0594B">
        <w:rPr>
          <w:noProof/>
        </w:rPr>
        <w:t>1.4</w:t>
      </w:r>
      <w:r>
        <w:rPr>
          <w:rFonts w:asciiTheme="minorHAnsi" w:eastAsiaTheme="minorEastAsia" w:hAnsiTheme="minorHAnsi" w:cstheme="minorBidi"/>
          <w:noProof/>
          <w:sz w:val="22"/>
          <w:szCs w:val="22"/>
          <w:lang w:eastAsia="en-AU"/>
        </w:rPr>
        <w:tab/>
      </w:r>
      <w:r w:rsidRPr="00A0594B">
        <w:rPr>
          <w:noProof/>
        </w:rPr>
        <w:t>What might need to change?</w:t>
      </w:r>
      <w:r>
        <w:rPr>
          <w:noProof/>
          <w:webHidden/>
        </w:rPr>
        <w:tab/>
        <w:t>10</w:t>
      </w:r>
    </w:p>
    <w:p w14:paraId="700BF236" w14:textId="6FF7562A" w:rsidR="00B13C3D" w:rsidRDefault="00B13C3D" w:rsidP="00A0594B">
      <w:pPr>
        <w:pStyle w:val="TOC2"/>
        <w:tabs>
          <w:tab w:val="left" w:pos="1134"/>
        </w:tabs>
        <w:ind w:left="624"/>
        <w:rPr>
          <w:rFonts w:asciiTheme="minorHAnsi" w:eastAsiaTheme="minorEastAsia" w:hAnsiTheme="minorHAnsi" w:cstheme="minorBidi"/>
          <w:noProof/>
          <w:sz w:val="22"/>
          <w:szCs w:val="22"/>
          <w:lang w:eastAsia="en-AU"/>
        </w:rPr>
      </w:pPr>
      <w:r w:rsidRPr="00A0594B">
        <w:rPr>
          <w:noProof/>
        </w:rPr>
        <w:t>1.5</w:t>
      </w:r>
      <w:r>
        <w:rPr>
          <w:rFonts w:asciiTheme="minorHAnsi" w:eastAsiaTheme="minorEastAsia" w:hAnsiTheme="minorHAnsi" w:cstheme="minorBidi"/>
          <w:noProof/>
          <w:sz w:val="22"/>
          <w:szCs w:val="22"/>
          <w:lang w:eastAsia="en-AU"/>
        </w:rPr>
        <w:tab/>
      </w:r>
      <w:r w:rsidRPr="00A0594B">
        <w:rPr>
          <w:noProof/>
        </w:rPr>
        <w:t>The Commission’s approach</w:t>
      </w:r>
      <w:r>
        <w:rPr>
          <w:noProof/>
          <w:webHidden/>
        </w:rPr>
        <w:tab/>
        <w:t>15</w:t>
      </w:r>
    </w:p>
    <w:p w14:paraId="1557EC8B" w14:textId="33188590" w:rsidR="00B13C3D" w:rsidRDefault="00B13C3D" w:rsidP="00A0594B">
      <w:pPr>
        <w:pStyle w:val="TOC2"/>
        <w:ind w:left="624"/>
        <w:rPr>
          <w:rFonts w:asciiTheme="minorHAnsi" w:eastAsiaTheme="minorEastAsia" w:hAnsiTheme="minorHAnsi" w:cstheme="minorBidi"/>
          <w:noProof/>
          <w:sz w:val="22"/>
          <w:szCs w:val="22"/>
          <w:lang w:eastAsia="en-AU"/>
        </w:rPr>
      </w:pPr>
      <w:r w:rsidRPr="00A0594B">
        <w:rPr>
          <w:noProof/>
        </w:rPr>
        <w:t>References</w:t>
      </w:r>
      <w:r>
        <w:rPr>
          <w:noProof/>
          <w:webHidden/>
        </w:rPr>
        <w:tab/>
        <w:t>20</w:t>
      </w:r>
    </w:p>
    <w:p w14:paraId="691A4BC3" w14:textId="16284965" w:rsidR="00B13C3D" w:rsidRDefault="00B13C3D">
      <w:pPr>
        <w:pStyle w:val="TOC1"/>
        <w:tabs>
          <w:tab w:val="left" w:pos="1997"/>
        </w:tabs>
        <w:rPr>
          <w:rFonts w:asciiTheme="minorHAnsi" w:eastAsiaTheme="minorEastAsia" w:hAnsiTheme="minorHAnsi" w:cstheme="minorBidi"/>
          <w:b w:val="0"/>
          <w:noProof/>
          <w:sz w:val="22"/>
          <w:szCs w:val="22"/>
          <w:lang w:eastAsia="en-AU"/>
        </w:rPr>
      </w:pPr>
      <w:r w:rsidRPr="00A0594B">
        <w:rPr>
          <w:noProof/>
        </w:rPr>
        <w:t>Attachment A:</w:t>
      </w:r>
      <w:r>
        <w:rPr>
          <w:rFonts w:asciiTheme="minorHAnsi" w:eastAsiaTheme="minorEastAsia" w:hAnsiTheme="minorHAnsi" w:cstheme="minorBidi"/>
          <w:b w:val="0"/>
          <w:noProof/>
          <w:sz w:val="22"/>
          <w:szCs w:val="22"/>
          <w:lang w:eastAsia="en-AU"/>
        </w:rPr>
        <w:tab/>
      </w:r>
      <w:r w:rsidRPr="00A0594B">
        <w:rPr>
          <w:noProof/>
        </w:rPr>
        <w:t>Inquiry participation</w:t>
      </w:r>
      <w:r>
        <w:rPr>
          <w:noProof/>
          <w:webHidden/>
        </w:rPr>
        <w:tab/>
        <w:t>24</w:t>
      </w:r>
    </w:p>
    <w:p w14:paraId="5CBD2604" w14:textId="0A322BC7" w:rsidR="00C0272B" w:rsidRDefault="00C0272B">
      <w:pPr>
        <w:pStyle w:val="TOC2"/>
        <w:rPr>
          <w:rFonts w:asciiTheme="minorHAnsi" w:eastAsiaTheme="minorEastAsia" w:hAnsiTheme="minorHAnsi" w:cstheme="minorBidi"/>
          <w:noProof/>
          <w:sz w:val="22"/>
          <w:szCs w:val="22"/>
        </w:rPr>
      </w:pPr>
    </w:p>
    <w:p w14:paraId="75D4AAD1" w14:textId="6FC2EAEC" w:rsidR="00D7005E" w:rsidRDefault="00D7005E" w:rsidP="00C0272B">
      <w:pPr>
        <w:pStyle w:val="TOC2"/>
      </w:pPr>
    </w:p>
    <w:p w14:paraId="7AAA05BD" w14:textId="77777777" w:rsidR="00D7005E" w:rsidRDefault="00D7005E" w:rsidP="00D7005E">
      <w:pPr>
        <w:pStyle w:val="BodyText"/>
        <w:sectPr w:rsidR="00D7005E" w:rsidSect="00FA2DFD">
          <w:headerReference w:type="even" r:id="rId24"/>
          <w:headerReference w:type="default" r:id="rId25"/>
          <w:footerReference w:type="even" r:id="rId26"/>
          <w:footerReference w:type="default" r:id="rId27"/>
          <w:pgSz w:w="11907" w:h="16840" w:code="9"/>
          <w:pgMar w:top="1984" w:right="1304" w:bottom="1247" w:left="1814" w:header="1701" w:footer="397" w:gutter="0"/>
          <w:pgNumType w:fmt="lowerRoman" w:chapSep="period"/>
          <w:cols w:space="720"/>
          <w:docGrid w:linePitch="326"/>
        </w:sectPr>
      </w:pPr>
    </w:p>
    <w:p w14:paraId="78B69784" w14:textId="7C535DE3" w:rsidR="00E7021C" w:rsidRDefault="005D5059" w:rsidP="005D5059">
      <w:pPr>
        <w:pStyle w:val="BodyText"/>
      </w:pPr>
      <w:r w:rsidRPr="00BC6796">
        <w:lastRenderedPageBreak/>
        <w:t>The issues associated with assess</w:t>
      </w:r>
      <w:r w:rsidR="00083418">
        <w:t>ing</w:t>
      </w:r>
      <w:r w:rsidRPr="00BC6796">
        <w:t xml:space="preserve"> Australia’s workplace relations </w:t>
      </w:r>
      <w:r w:rsidR="005B274C" w:rsidRPr="00BC6796">
        <w:t xml:space="preserve">(WR) </w:t>
      </w:r>
      <w:r w:rsidRPr="00BC6796">
        <w:t xml:space="preserve">arrangements are deep and wide. </w:t>
      </w:r>
      <w:r w:rsidR="00DC54D1">
        <w:t xml:space="preserve">Successive </w:t>
      </w:r>
      <w:r w:rsidR="00E7021C">
        <w:t>Australian governments have recognised that choices about the design of a WR system reflect not just its pre</w:t>
      </w:r>
      <w:r w:rsidR="00D10E92">
        <w:noBreakHyphen/>
      </w:r>
      <w:r w:rsidR="00E7021C">
        <w:t xml:space="preserve">eminence in economic policy, but also its equity and ethical objectives. </w:t>
      </w:r>
      <w:r w:rsidR="00247BDB">
        <w:t xml:space="preserve">The current structure </w:t>
      </w:r>
      <w:r w:rsidR="008F186A">
        <w:t xml:space="preserve">is also a product of history and </w:t>
      </w:r>
      <w:r w:rsidR="00247BDB">
        <w:t>c</w:t>
      </w:r>
      <w:r w:rsidR="00B63782">
        <w:t>hanging social preferences</w:t>
      </w:r>
      <w:r w:rsidR="008F186A">
        <w:t xml:space="preserve">. </w:t>
      </w:r>
      <w:r w:rsidR="000619E5">
        <w:t>The</w:t>
      </w:r>
      <w:r w:rsidR="00E7021C">
        <w:t xml:space="preserve"> </w:t>
      </w:r>
      <w:r w:rsidR="00DC54D1">
        <w:t>Commission</w:t>
      </w:r>
      <w:r w:rsidR="00E7021C">
        <w:t xml:space="preserve"> recognise</w:t>
      </w:r>
      <w:r w:rsidR="00DC54D1">
        <w:t>s that</w:t>
      </w:r>
      <w:r w:rsidR="00E7021C">
        <w:t xml:space="preserve"> all of these dimensions</w:t>
      </w:r>
      <w:r w:rsidR="00DC54D1">
        <w:t xml:space="preserve"> are relevant to the assessment of the system</w:t>
      </w:r>
      <w:r w:rsidR="00E7021C">
        <w:t>.</w:t>
      </w:r>
    </w:p>
    <w:p w14:paraId="0A3F7CA3" w14:textId="7EEEF56A" w:rsidR="005D5059" w:rsidRPr="00BC6796" w:rsidRDefault="00B67FE4" w:rsidP="00DC54D1">
      <w:pPr>
        <w:pStyle w:val="BodyText"/>
      </w:pPr>
      <w:r>
        <w:t xml:space="preserve">The </w:t>
      </w:r>
      <w:r w:rsidR="005D5059" w:rsidRPr="00BC6796">
        <w:t xml:space="preserve">Commission has decided to </w:t>
      </w:r>
      <w:r>
        <w:t>vary from its usual practice of releasing a single issues paper</w:t>
      </w:r>
      <w:r w:rsidR="00DC54D1">
        <w:t>.</w:t>
      </w:r>
      <w:r>
        <w:t xml:space="preserve"> Instead</w:t>
      </w:r>
      <w:r w:rsidR="00C759D1">
        <w:t>,</w:t>
      </w:r>
      <w:r>
        <w:t xml:space="preserve"> </w:t>
      </w:r>
      <w:r w:rsidR="00DC54D1">
        <w:t>it</w:t>
      </w:r>
      <w:r>
        <w:t xml:space="preserve"> </w:t>
      </w:r>
      <w:r w:rsidR="00DC54D1">
        <w:t>has</w:t>
      </w:r>
      <w:r>
        <w:t xml:space="preserve"> issued </w:t>
      </w:r>
      <w:r w:rsidR="00B54463">
        <w:t>five</w:t>
      </w:r>
      <w:r w:rsidR="005D5059" w:rsidRPr="00BC6796">
        <w:t xml:space="preserve"> </w:t>
      </w:r>
      <w:r w:rsidR="00C759D1">
        <w:t xml:space="preserve">extensive </w:t>
      </w:r>
      <w:r w:rsidR="005D5059" w:rsidRPr="00BC6796">
        <w:t>document</w:t>
      </w:r>
      <w:r w:rsidR="00BF2C3A">
        <w:t>s</w:t>
      </w:r>
      <w:r w:rsidR="005D5059" w:rsidRPr="00BC6796">
        <w:t xml:space="preserve"> </w:t>
      </w:r>
      <w:r>
        <w:t>that</w:t>
      </w:r>
      <w:r w:rsidR="005D5059" w:rsidRPr="00BC6796">
        <w:t xml:space="preserve"> </w:t>
      </w:r>
      <w:r w:rsidR="00C759D1">
        <w:t>reflect</w:t>
      </w:r>
      <w:r>
        <w:t xml:space="preserve"> </w:t>
      </w:r>
      <w:r w:rsidR="00DC54D1">
        <w:t>its</w:t>
      </w:r>
      <w:r>
        <w:t xml:space="preserve"> initial views about the priority </w:t>
      </w:r>
      <w:r w:rsidR="00C759D1">
        <w:t xml:space="preserve">questions, informed by initial consultations. </w:t>
      </w:r>
      <w:r>
        <w:t xml:space="preserve">This approach will also make it easier for participants to focus particular effort on just one or two elements of the inquiry, if that reflects their priorities. </w:t>
      </w:r>
      <w:r w:rsidR="00DC54D1">
        <w:t>The papers cover</w:t>
      </w:r>
      <w:r w:rsidR="005D5059" w:rsidRPr="00BC6796">
        <w:t>:</w:t>
      </w:r>
    </w:p>
    <w:p w14:paraId="786FA760" w14:textId="031E2CAB" w:rsidR="005D5059" w:rsidRPr="00C43C71" w:rsidRDefault="005D5059" w:rsidP="005D5059">
      <w:pPr>
        <w:pStyle w:val="ListBullet"/>
      </w:pPr>
      <w:r w:rsidRPr="00C43C71">
        <w:t>a broad overview of the system, its objectives, its possible faults, the way in which evidence</w:t>
      </w:r>
      <w:r w:rsidR="00D10E92">
        <w:noBreakHyphen/>
      </w:r>
      <w:r w:rsidRPr="00C43C71">
        <w:t>based conclusions about reforms could be made</w:t>
      </w:r>
      <w:r w:rsidR="007642E4">
        <w:t>, and the Commission’s broad analytical framework</w:t>
      </w:r>
      <w:r w:rsidRPr="00C43C71">
        <w:t xml:space="preserve"> (this document)</w:t>
      </w:r>
    </w:p>
    <w:p w14:paraId="6F36CC06" w14:textId="787E572D" w:rsidR="005D5059" w:rsidRPr="000D6457" w:rsidRDefault="0014466D" w:rsidP="007342EC">
      <w:pPr>
        <w:pStyle w:val="ListBullet"/>
      </w:pPr>
      <w:r w:rsidRPr="00E56D2F">
        <w:t xml:space="preserve">the issues associated with the three main safety nets for pay and conditions: minimum wages, the award system </w:t>
      </w:r>
      <w:r w:rsidR="001F17B0" w:rsidRPr="00A253DB">
        <w:t xml:space="preserve">(which includes penalty rates) </w:t>
      </w:r>
      <w:r w:rsidRPr="00A253DB">
        <w:t>and the National Employment Standards</w:t>
      </w:r>
    </w:p>
    <w:p w14:paraId="74A7BA49" w14:textId="26D4D13A" w:rsidR="00F65300" w:rsidRPr="000D6457" w:rsidRDefault="00F65300" w:rsidP="00F65300">
      <w:pPr>
        <w:pStyle w:val="ListBullet"/>
      </w:pPr>
      <w:r w:rsidRPr="000D6457">
        <w:t>the bargaining framework, including process</w:t>
      </w:r>
      <w:r w:rsidR="001F17B0" w:rsidRPr="000D6457">
        <w:t>es</w:t>
      </w:r>
      <w:r w:rsidRPr="000D6457">
        <w:t xml:space="preserve"> associated with industrial disputes</w:t>
      </w:r>
    </w:p>
    <w:p w14:paraId="3D6B5255" w14:textId="67624206" w:rsidR="001F17B0" w:rsidRPr="000D6457" w:rsidRDefault="001A5AB7" w:rsidP="00F65300">
      <w:pPr>
        <w:pStyle w:val="ListBullet"/>
      </w:pPr>
      <w:r>
        <w:t>employee protections,</w:t>
      </w:r>
      <w:r w:rsidR="001F17B0" w:rsidRPr="000D6457">
        <w:t xml:space="preserve"> such as those associated with unfair dismissal</w:t>
      </w:r>
    </w:p>
    <w:p w14:paraId="61A27BFA" w14:textId="4CB8FD5E" w:rsidR="00F65300" w:rsidRPr="001A01FB" w:rsidRDefault="00F65300" w:rsidP="00F65300">
      <w:pPr>
        <w:pStyle w:val="ListBullet"/>
      </w:pPr>
      <w:r w:rsidRPr="00620E6A">
        <w:t xml:space="preserve">a range of other important matters, such as the effectiveness of the WR system’s institutions, the compliance costs it imposes on parties, </w:t>
      </w:r>
      <w:r w:rsidR="001F17B0" w:rsidRPr="00620E6A">
        <w:t>special WR arrangements for public sector employees, the role of competition law and alternative forms of employment.</w:t>
      </w:r>
    </w:p>
    <w:p w14:paraId="594D0284" w14:textId="3F53D048" w:rsidR="0014466D" w:rsidRPr="005D5059" w:rsidRDefault="00CF0648" w:rsidP="005D5059">
      <w:pPr>
        <w:pStyle w:val="BodyText"/>
      </w:pPr>
      <w:r w:rsidRPr="001A01FB">
        <w:t>Attachment A indicates how people can contribute to the inquiry through submissions and participation in hearings.</w:t>
      </w:r>
    </w:p>
    <w:p w14:paraId="67AB2090" w14:textId="3CBD88A9" w:rsidR="00F056FC" w:rsidRDefault="0012014C" w:rsidP="003B2214">
      <w:pPr>
        <w:pStyle w:val="Heading2"/>
      </w:pPr>
      <w:bookmarkStart w:id="10" w:name="_Toc409524621"/>
      <w:r>
        <w:t>1.</w:t>
      </w:r>
      <w:bookmarkStart w:id="11" w:name="_Toc408581783"/>
      <w:r w:rsidR="007642E4">
        <w:rPr>
          <w:noProof/>
        </w:rPr>
        <w:t>1</w:t>
      </w:r>
      <w:r w:rsidR="005679CF">
        <w:tab/>
      </w:r>
      <w:r w:rsidR="003B2214">
        <w:t xml:space="preserve">Scope </w:t>
      </w:r>
      <w:r w:rsidR="00603C37" w:rsidDel="00B54463">
        <w:t xml:space="preserve">and aim </w:t>
      </w:r>
      <w:r w:rsidR="003B2214">
        <w:t>of the inquiry</w:t>
      </w:r>
      <w:bookmarkEnd w:id="11"/>
      <w:bookmarkEnd w:id="10"/>
    </w:p>
    <w:p w14:paraId="2B0D2CB9" w14:textId="6801A3D2" w:rsidR="00D57B37" w:rsidRDefault="00026479" w:rsidP="003B2214">
      <w:pPr>
        <w:pStyle w:val="BodyText"/>
      </w:pPr>
      <w:r>
        <w:t xml:space="preserve">Every </w:t>
      </w:r>
      <w:r w:rsidR="00146E23">
        <w:t>week</w:t>
      </w:r>
      <w:r>
        <w:t xml:space="preserve">, </w:t>
      </w:r>
      <w:r w:rsidR="00146E23">
        <w:t>around 11.6 million</w:t>
      </w:r>
      <w:r>
        <w:t xml:space="preserve"> Australians go to work in </w:t>
      </w:r>
      <w:r w:rsidR="00095CB9">
        <w:t xml:space="preserve">about 2.1 million </w:t>
      </w:r>
      <w:r w:rsidR="00367D3F">
        <w:t>workplaces</w:t>
      </w:r>
      <w:r>
        <w:t>.</w:t>
      </w:r>
      <w:r w:rsidR="00651FDD">
        <w:rPr>
          <w:rStyle w:val="FootnoteReference"/>
        </w:rPr>
        <w:footnoteReference w:id="2"/>
      </w:r>
      <w:r>
        <w:t xml:space="preserve"> </w:t>
      </w:r>
      <w:r w:rsidR="003B2214">
        <w:t>The WR framework comprises a complex array of labour laws, regulations and institutions</w:t>
      </w:r>
      <w:r w:rsidR="00C759D1">
        <w:t>.</w:t>
      </w:r>
      <w:r w:rsidR="00095CB9">
        <w:t xml:space="preserve"> </w:t>
      </w:r>
      <w:proofErr w:type="gramStart"/>
      <w:r w:rsidR="00C759D1">
        <w:t>A</w:t>
      </w:r>
      <w:r w:rsidR="00FC27AF">
        <w:t xml:space="preserve">long with market forces, </w:t>
      </w:r>
      <w:r w:rsidR="003B2214">
        <w:t xml:space="preserve">accepted practices, cultural norms and the common law, </w:t>
      </w:r>
      <w:r w:rsidR="00C759D1">
        <w:t xml:space="preserve">these </w:t>
      </w:r>
      <w:r w:rsidR="003B2214">
        <w:t xml:space="preserve">shape </w:t>
      </w:r>
      <w:r w:rsidR="00A263C4">
        <w:t xml:space="preserve">people’s behaviour, the nature of their </w:t>
      </w:r>
      <w:r w:rsidR="00C759D1">
        <w:t>workplaces</w:t>
      </w:r>
      <w:r w:rsidR="00A263C4">
        <w:t xml:space="preserve"> and</w:t>
      </w:r>
      <w:r w:rsidR="00C759D1">
        <w:t xml:space="preserve"> </w:t>
      </w:r>
      <w:r w:rsidR="00A263C4">
        <w:t>their</w:t>
      </w:r>
      <w:r w:rsidR="00C759D1">
        <w:t xml:space="preserve"> working lives</w:t>
      </w:r>
      <w:r w:rsidR="003B2214">
        <w:t>.</w:t>
      </w:r>
      <w:proofErr w:type="gramEnd"/>
      <w:r w:rsidR="003B2214">
        <w:t xml:space="preserve"> </w:t>
      </w:r>
    </w:p>
    <w:p w14:paraId="33798B13" w14:textId="3BD79E26" w:rsidR="00D57B37" w:rsidRDefault="00A263C4" w:rsidP="003B2214">
      <w:pPr>
        <w:pStyle w:val="BodyText"/>
      </w:pPr>
      <w:r>
        <w:t xml:space="preserve">This framework in turn </w:t>
      </w:r>
      <w:r w:rsidR="00F42EDE">
        <w:t>influences</w:t>
      </w:r>
      <w:r w:rsidR="003B2214">
        <w:t xml:space="preserve"> the productivity, </w:t>
      </w:r>
      <w:r w:rsidR="00D344D1">
        <w:t xml:space="preserve">operating characteristics </w:t>
      </w:r>
      <w:r w:rsidR="003B2214">
        <w:t>and internal cultures of workplaces</w:t>
      </w:r>
      <w:r w:rsidR="00F42EDE">
        <w:t>. It affects workers’</w:t>
      </w:r>
      <w:r w:rsidR="003B2214">
        <w:t xml:space="preserve"> terms of employment and </w:t>
      </w:r>
      <w:r w:rsidR="00F42EDE">
        <w:t xml:space="preserve">businesses’ </w:t>
      </w:r>
      <w:r w:rsidR="00F42EDE">
        <w:lastRenderedPageBreak/>
        <w:t xml:space="preserve">profitability. It shapes </w:t>
      </w:r>
      <w:r w:rsidR="003B2214">
        <w:t>the powers and distribution of returns to various parties</w:t>
      </w:r>
      <w:r w:rsidR="00966BDD">
        <w:t xml:space="preserve"> in the system</w:t>
      </w:r>
      <w:r w:rsidR="003B2214">
        <w:t xml:space="preserve">. It </w:t>
      </w:r>
      <w:r w:rsidR="00F42EDE">
        <w:t>can provoke</w:t>
      </w:r>
      <w:r w:rsidR="003B2214">
        <w:t xml:space="preserve"> or </w:t>
      </w:r>
      <w:r w:rsidR="00966BDD">
        <w:t>mitigate</w:t>
      </w:r>
      <w:r w:rsidR="003B2214">
        <w:t xml:space="preserve"> industrial conflicts. </w:t>
      </w:r>
    </w:p>
    <w:p w14:paraId="6E48C8E4" w14:textId="77777777" w:rsidR="00FC27AF" w:rsidRDefault="00FC27AF" w:rsidP="00FC27AF">
      <w:pPr>
        <w:pStyle w:val="BodyText"/>
      </w:pPr>
      <w:r>
        <w:t xml:space="preserve">WR may significantly influence innovation, skill formation, the adaptability of businesses, and growth in different industries. It can affect personal and household income distribution, trust and cooperation between people, and the degree to which they regard a society as fair. </w:t>
      </w:r>
    </w:p>
    <w:p w14:paraId="02C7D50B" w14:textId="2DEDB289" w:rsidR="00FC27AF" w:rsidRDefault="00F42EDE" w:rsidP="003B2214">
      <w:pPr>
        <w:pStyle w:val="BodyText"/>
      </w:pPr>
      <w:r>
        <w:t xml:space="preserve">The </w:t>
      </w:r>
      <w:r w:rsidR="003B2214">
        <w:t xml:space="preserve">WR </w:t>
      </w:r>
      <w:r>
        <w:t xml:space="preserve">framework </w:t>
      </w:r>
      <w:r w:rsidR="003B2214">
        <w:t>affects</w:t>
      </w:r>
      <w:r>
        <w:t xml:space="preserve"> </w:t>
      </w:r>
      <w:r w:rsidR="005B274C">
        <w:t xml:space="preserve">unemployed workers as well as the </w:t>
      </w:r>
      <w:r>
        <w:t>employed. It can determine</w:t>
      </w:r>
      <w:r w:rsidR="003B2214">
        <w:t xml:space="preserve"> who gets employed, the total hours they work, when and where they can work, and how their employment is terminated. </w:t>
      </w:r>
      <w:r w:rsidR="00966BDD">
        <w:t>I</w:t>
      </w:r>
      <w:r>
        <w:t>t can</w:t>
      </w:r>
      <w:r w:rsidR="003B2214">
        <w:t xml:space="preserve"> </w:t>
      </w:r>
      <w:r w:rsidR="00966BDD">
        <w:t>also</w:t>
      </w:r>
      <w:r w:rsidR="003B2214">
        <w:t xml:space="preserve"> influence the prospects of people who are unemploy</w:t>
      </w:r>
      <w:r w:rsidR="000C6CEC">
        <w:t>ed or outside the labour force</w:t>
      </w:r>
      <w:r w:rsidR="00925044">
        <w:t>,</w:t>
      </w:r>
      <w:r w:rsidR="000C6CEC">
        <w:t xml:space="preserve"> as it may create barriers to their employment. </w:t>
      </w:r>
      <w:r w:rsidR="003B2214">
        <w:t xml:space="preserve">Its effects </w:t>
      </w:r>
      <w:r>
        <w:t xml:space="preserve">can </w:t>
      </w:r>
      <w:r w:rsidR="003B2214">
        <w:t xml:space="preserve">vary across regions, by the size and industry of firms, and by the age, skills and preferences of people. </w:t>
      </w:r>
      <w:r w:rsidR="0093515E">
        <w:t>It can affect the way in which wages and prices move in an economy, and thereby influence overall macroeconomic performance and policy</w:t>
      </w:r>
      <w:r w:rsidR="00F56B8B">
        <w:t xml:space="preserve"> (section 4)</w:t>
      </w:r>
      <w:r w:rsidR="0093515E">
        <w:t>.</w:t>
      </w:r>
      <w:r w:rsidR="00FC27AF">
        <w:t xml:space="preserve"> </w:t>
      </w:r>
    </w:p>
    <w:p w14:paraId="1765CC17" w14:textId="5BF017A1" w:rsidR="00122C2B" w:rsidRDefault="00D344D1" w:rsidP="003B2214">
      <w:pPr>
        <w:pStyle w:val="BodyText"/>
      </w:pPr>
      <w:r>
        <w:t>WR policy, institutions and regulation</w:t>
      </w:r>
      <w:r w:rsidR="003B2214">
        <w:t xml:space="preserve"> </w:t>
      </w:r>
      <w:r w:rsidR="00122C2B">
        <w:t xml:space="preserve">are </w:t>
      </w:r>
      <w:r w:rsidR="000F5513">
        <w:t>now highly elaborate and broad ranging</w:t>
      </w:r>
      <w:r w:rsidR="0002656A">
        <w:t xml:space="preserve"> (figure 1</w:t>
      </w:r>
      <w:r w:rsidR="004B1A90">
        <w:t>.</w:t>
      </w:r>
      <w:r w:rsidR="0002656A">
        <w:t>1)</w:t>
      </w:r>
      <w:r w:rsidR="000F5513">
        <w:t>. They have</w:t>
      </w:r>
      <w:r w:rsidR="00122C2B">
        <w:t xml:space="preserve"> grown from a limited Commonwealth role in dispute settlement </w:t>
      </w:r>
      <w:r w:rsidR="004F62AD">
        <w:t>one hundred</w:t>
      </w:r>
      <w:r w:rsidR="00122C2B">
        <w:t xml:space="preserve"> years ago to a position today where the Commonwealth regulates the bulk of industrial awards, resets minimum wages</w:t>
      </w:r>
      <w:r w:rsidR="000F5513">
        <w:t>,</w:t>
      </w:r>
      <w:r w:rsidR="00122C2B">
        <w:t xml:space="preserve"> </w:t>
      </w:r>
      <w:r w:rsidR="000F5513">
        <w:t xml:space="preserve">and has created three specialist bodies </w:t>
      </w:r>
      <w:r w:rsidR="007D7DFB">
        <w:t xml:space="preserve">that collectively </w:t>
      </w:r>
      <w:r w:rsidR="000F5513">
        <w:t xml:space="preserve">mediate disputes, </w:t>
      </w:r>
      <w:r w:rsidR="004C7515">
        <w:t xml:space="preserve">provide information, </w:t>
      </w:r>
      <w:r w:rsidR="000F5513">
        <w:t xml:space="preserve">register agreements, </w:t>
      </w:r>
      <w:r w:rsidR="007D7DFB">
        <w:t>check</w:t>
      </w:r>
      <w:r w:rsidR="000F5513">
        <w:t xml:space="preserve"> compliance</w:t>
      </w:r>
      <w:r w:rsidR="004C7515">
        <w:t xml:space="preserve"> </w:t>
      </w:r>
      <w:r w:rsidR="007D7DFB">
        <w:t>with the law and adjudicate on</w:t>
      </w:r>
      <w:r w:rsidR="004C7515">
        <w:t xml:space="preserve"> some key matters</w:t>
      </w:r>
      <w:r w:rsidR="007D7DFB">
        <w:t xml:space="preserve"> of WR law.</w:t>
      </w:r>
      <w:r w:rsidR="00122C2B">
        <w:t xml:space="preserve"> </w:t>
      </w:r>
      <w:r w:rsidR="00D179EA">
        <w:t>Other jurisdictions still retain a role.</w:t>
      </w:r>
    </w:p>
    <w:p w14:paraId="76128F87" w14:textId="10942F93" w:rsidR="002131BF" w:rsidRDefault="002131BF" w:rsidP="002131BF">
      <w:pPr>
        <w:pStyle w:val="BodyText"/>
      </w:pPr>
      <w:r>
        <w:t>The Australian Government has asked the Commission to undertake a wide</w:t>
      </w:r>
      <w:r w:rsidR="00D10E92">
        <w:noBreakHyphen/>
      </w:r>
      <w:r>
        <w:t xml:space="preserve">ranging inquiry into Australia’s WR framework that covers these institutions and impacts. While the </w:t>
      </w:r>
      <w:r w:rsidR="00D10E92">
        <w:t>t</w:t>
      </w:r>
      <w:r>
        <w:t xml:space="preserve">erms of </w:t>
      </w:r>
      <w:r w:rsidR="00D10E92">
        <w:t>r</w:t>
      </w:r>
      <w:r>
        <w:t xml:space="preserve">eference for the inquiry cover an assessment of the performance of the </w:t>
      </w:r>
      <w:r w:rsidRPr="003B2214">
        <w:rPr>
          <w:i/>
        </w:rPr>
        <w:t>Fair Work Act 2009</w:t>
      </w:r>
      <w:r>
        <w:t xml:space="preserve"> (</w:t>
      </w:r>
      <w:proofErr w:type="spellStart"/>
      <w:r>
        <w:t>Cth</w:t>
      </w:r>
      <w:proofErr w:type="spellEnd"/>
      <w:r>
        <w:t xml:space="preserve">) (FWA), the Government has requested the Commission to go beyond evaluating the current system to consider the type of system that might best suit the Australian </w:t>
      </w:r>
      <w:r w:rsidR="004F62AD">
        <w:t>community over the longer term.</w:t>
      </w:r>
    </w:p>
    <w:p w14:paraId="35E796E2" w14:textId="2C636446" w:rsidR="004F62AD" w:rsidRDefault="004F62AD" w:rsidP="002131BF">
      <w:pPr>
        <w:pStyle w:val="BodyText"/>
      </w:pPr>
      <w:r>
        <w:t xml:space="preserve">Several key commentators have been sceptical about the need for major changes, placing some emphasis on the value of stability </w:t>
      </w:r>
      <w:r w:rsidRPr="003B2214">
        <w:rPr>
          <w:szCs w:val="24"/>
        </w:rPr>
        <w:t>(Borland 2012; Giudice 2014)</w:t>
      </w:r>
      <w:r>
        <w:t xml:space="preserve">. Previous formal reviews dating from the Hancock Committee </w:t>
      </w:r>
      <w:r w:rsidRPr="00AA6994">
        <w:t>(1985)</w:t>
      </w:r>
      <w:r>
        <w:t xml:space="preserve"> through to the most recent review of the Fair Work Act </w:t>
      </w:r>
      <w:r w:rsidRPr="00BF276F">
        <w:rPr>
          <w:szCs w:val="24"/>
        </w:rPr>
        <w:t>(Australian Government 2012b)</w:t>
      </w:r>
      <w:r>
        <w:t xml:space="preserve"> have tended to favour adaptation rather than holistic change.</w:t>
      </w:r>
    </w:p>
    <w:p w14:paraId="38249B58" w14:textId="5D167E4E" w:rsidR="00071AC4" w:rsidRDefault="00071AC4" w:rsidP="00071AC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71AC4" w14:paraId="0FF8DC53" w14:textId="77777777" w:rsidTr="00EF74A2">
        <w:tc>
          <w:tcPr>
            <w:tcW w:w="8771" w:type="dxa"/>
            <w:tcBorders>
              <w:top w:val="single" w:sz="6" w:space="0" w:color="78A22F"/>
              <w:left w:val="nil"/>
              <w:bottom w:val="nil"/>
              <w:right w:val="nil"/>
            </w:tcBorders>
            <w:shd w:val="clear" w:color="auto" w:fill="auto"/>
          </w:tcPr>
          <w:p w14:paraId="6F685103" w14:textId="30D18516" w:rsidR="00071AC4" w:rsidRPr="00176D3F" w:rsidRDefault="00071AC4" w:rsidP="003F7CB5">
            <w:pPr>
              <w:pStyle w:val="FigureTitle"/>
            </w:pPr>
            <w:r w:rsidRPr="00784A05">
              <w:rPr>
                <w:b w:val="0"/>
              </w:rPr>
              <w:t xml:space="preserve">Figure </w:t>
            </w:r>
            <w:r w:rsidR="0012014C">
              <w:rPr>
                <w:b w:val="0"/>
              </w:rPr>
              <w:t>1.</w:t>
            </w:r>
            <w:r w:rsidR="00291C57">
              <w:rPr>
                <w:b w:val="0"/>
                <w:noProof/>
              </w:rPr>
              <w:t>1</w:t>
            </w:r>
            <w:r>
              <w:tab/>
              <w:t xml:space="preserve">The main elements of </w:t>
            </w:r>
            <w:r w:rsidR="009E09C2">
              <w:t>the current</w:t>
            </w:r>
            <w:r>
              <w:t xml:space="preserve"> workplace relations </w:t>
            </w:r>
            <w:r w:rsidR="003F7CB5">
              <w:t>arrangements</w:t>
            </w:r>
          </w:p>
        </w:tc>
      </w:tr>
      <w:tr w:rsidR="00071AC4" w14:paraId="24550260" w14:textId="77777777" w:rsidTr="00EF74A2">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071AC4" w14:paraId="18351A8F" w14:textId="77777777" w:rsidTr="00EF74A2">
              <w:tc>
                <w:tcPr>
                  <w:tcW w:w="5000" w:type="pct"/>
                  <w:tcBorders>
                    <w:top w:val="nil"/>
                    <w:bottom w:val="nil"/>
                  </w:tcBorders>
                </w:tcPr>
                <w:p w14:paraId="592915C5" w14:textId="2877DD1C" w:rsidR="00071AC4" w:rsidRDefault="009A2BF9" w:rsidP="00EF74A2">
                  <w:pPr>
                    <w:pStyle w:val="Figure"/>
                    <w:spacing w:before="60" w:after="60"/>
                  </w:pPr>
                  <w:r>
                    <w:rPr>
                      <w:noProof/>
                    </w:rPr>
                    <w:drawing>
                      <wp:inline distT="0" distB="0" distL="0" distR="0" wp14:anchorId="196A4940" wp14:editId="54F94299">
                        <wp:extent cx="4869180" cy="6106668"/>
                        <wp:effectExtent l="0" t="0" r="7620" b="8890"/>
                        <wp:docPr id="3" name="Picture 3" descr="Figure 1.1 The main elements of the current workplace relations arrangements. This figure shows that institutions and legal framework, bargaining, workers' conditions and worker protection. External laws and regulations, such as superannuation, exist outside this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of WR system.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69180" cy="6106668"/>
                                </a:xfrm>
                                <a:prstGeom prst="rect">
                                  <a:avLst/>
                                </a:prstGeom>
                              </pic:spPr>
                            </pic:pic>
                          </a:graphicData>
                        </a:graphic>
                      </wp:inline>
                    </w:drawing>
                  </w:r>
                </w:p>
              </w:tc>
            </w:tr>
          </w:tbl>
          <w:p w14:paraId="48489A51" w14:textId="77777777" w:rsidR="00071AC4" w:rsidRDefault="00071AC4" w:rsidP="00EF74A2">
            <w:pPr>
              <w:pStyle w:val="Figure"/>
            </w:pPr>
          </w:p>
        </w:tc>
      </w:tr>
      <w:tr w:rsidR="00071AC4" w14:paraId="41091762" w14:textId="77777777" w:rsidTr="00EF74A2">
        <w:tc>
          <w:tcPr>
            <w:tcW w:w="8771" w:type="dxa"/>
            <w:tcBorders>
              <w:top w:val="nil"/>
              <w:left w:val="nil"/>
              <w:bottom w:val="single" w:sz="6" w:space="0" w:color="78A22F"/>
              <w:right w:val="nil"/>
            </w:tcBorders>
            <w:shd w:val="clear" w:color="auto" w:fill="auto"/>
          </w:tcPr>
          <w:p w14:paraId="6C48D465" w14:textId="77777777" w:rsidR="00071AC4" w:rsidRDefault="00071AC4" w:rsidP="00EF74A2">
            <w:pPr>
              <w:pStyle w:val="Figurespace"/>
            </w:pPr>
          </w:p>
        </w:tc>
      </w:tr>
      <w:tr w:rsidR="00071AC4" w:rsidRPr="000863A5" w14:paraId="7AA6884E" w14:textId="77777777" w:rsidTr="00EF74A2">
        <w:tc>
          <w:tcPr>
            <w:tcW w:w="8771" w:type="dxa"/>
            <w:tcBorders>
              <w:top w:val="single" w:sz="6" w:space="0" w:color="78A22F"/>
              <w:left w:val="nil"/>
              <w:bottom w:val="nil"/>
              <w:right w:val="nil"/>
            </w:tcBorders>
          </w:tcPr>
          <w:p w14:paraId="14D2EBA3" w14:textId="0D938A98" w:rsidR="00071AC4" w:rsidRPr="00626D32" w:rsidRDefault="00071AC4" w:rsidP="00EF74A2">
            <w:pPr>
              <w:pStyle w:val="BoxSpaceBelow"/>
            </w:pPr>
          </w:p>
        </w:tc>
      </w:tr>
    </w:tbl>
    <w:p w14:paraId="49E88A63" w14:textId="32345BD6" w:rsidR="00265CC7" w:rsidRPr="003B2214" w:rsidRDefault="00B9300D" w:rsidP="00265CC7">
      <w:pPr>
        <w:pStyle w:val="BodyText"/>
      </w:pPr>
      <w:r>
        <w:t xml:space="preserve">Nevertheless, </w:t>
      </w:r>
      <w:r w:rsidR="00316228">
        <w:t>t</w:t>
      </w:r>
      <w:r w:rsidR="00265CC7">
        <w:t xml:space="preserve">here has been advocacy for and, at times, implementation of significant shifts in </w:t>
      </w:r>
      <w:r w:rsidR="00265CC7" w:rsidRPr="003B2214">
        <w:t>the WR landscape</w:t>
      </w:r>
      <w:r w:rsidR="00265CC7">
        <w:t xml:space="preserve"> in the last few decades</w:t>
      </w:r>
      <w:r w:rsidR="00265CC7" w:rsidRPr="003B2214">
        <w:t xml:space="preserve">. For example, </w:t>
      </w:r>
      <w:r w:rsidR="00265CC7">
        <w:t xml:space="preserve">after almost one hundred years of centralised conciliation and arbitration, </w:t>
      </w:r>
      <w:r w:rsidR="00265CC7" w:rsidRPr="003B2214">
        <w:t>enterprise</w:t>
      </w:r>
      <w:r w:rsidR="00D10E92">
        <w:noBreakHyphen/>
      </w:r>
      <w:r w:rsidR="00265CC7">
        <w:t>level</w:t>
      </w:r>
      <w:r w:rsidR="00265CC7" w:rsidRPr="003B2214">
        <w:t xml:space="preserve"> bargaining was </w:t>
      </w:r>
      <w:r w:rsidR="00265CC7">
        <w:t xml:space="preserve">introduced as </w:t>
      </w:r>
      <w:r w:rsidR="00265CC7" w:rsidRPr="003B2214">
        <w:t xml:space="preserve">the centrepiece of the </w:t>
      </w:r>
      <w:r w:rsidR="00265CC7" w:rsidRPr="003B2214">
        <w:rPr>
          <w:i/>
        </w:rPr>
        <w:t>Industrial Relations Reform Act 1993</w:t>
      </w:r>
      <w:r w:rsidR="00265CC7">
        <w:rPr>
          <w:i/>
        </w:rPr>
        <w:t xml:space="preserve"> </w:t>
      </w:r>
      <w:r w:rsidR="00265CC7">
        <w:t>(Cth)</w:t>
      </w:r>
      <w:r w:rsidR="00265CC7" w:rsidRPr="003B2214">
        <w:t xml:space="preserve">, and individual </w:t>
      </w:r>
      <w:r w:rsidR="00265CC7">
        <w:t xml:space="preserve">statutory </w:t>
      </w:r>
      <w:r w:rsidR="00265CC7" w:rsidRPr="003B2214">
        <w:t xml:space="preserve">arrangements </w:t>
      </w:r>
      <w:r w:rsidR="00265CC7">
        <w:t xml:space="preserve">were </w:t>
      </w:r>
      <w:r w:rsidR="00265CC7" w:rsidRPr="003B2214">
        <w:t xml:space="preserve">a key element of the </w:t>
      </w:r>
      <w:r w:rsidR="00265CC7" w:rsidRPr="003B2214">
        <w:rPr>
          <w:i/>
        </w:rPr>
        <w:t>Workplace Relations Act 1996</w:t>
      </w:r>
      <w:r w:rsidR="00265CC7" w:rsidRPr="003B2214">
        <w:t xml:space="preserve"> (</w:t>
      </w:r>
      <w:r w:rsidR="00265CC7">
        <w:t>Cth</w:t>
      </w:r>
      <w:r w:rsidR="00265CC7" w:rsidRPr="003B2214">
        <w:t xml:space="preserve">). </w:t>
      </w:r>
      <w:r w:rsidR="00F256FB" w:rsidRPr="00656F71">
        <w:t>Legislated minimum standards and tests that aim to ensure</w:t>
      </w:r>
      <w:r w:rsidR="00896583">
        <w:t xml:space="preserve"> a</w:t>
      </w:r>
      <w:r w:rsidR="00F256FB" w:rsidRPr="00656F71">
        <w:t xml:space="preserve"> net benefit for employees involved in enterprise bargaining </w:t>
      </w:r>
      <w:r w:rsidR="00F256FB">
        <w:t>ha</w:t>
      </w:r>
      <w:r w:rsidR="00896583">
        <w:t>ve</w:t>
      </w:r>
      <w:r w:rsidR="00F256FB">
        <w:t xml:space="preserve"> taken</w:t>
      </w:r>
      <w:r w:rsidR="00F256FB" w:rsidRPr="00656F71">
        <w:t xml:space="preserve"> greater precedence over judicial/tribunal </w:t>
      </w:r>
      <w:r w:rsidR="00F256FB" w:rsidRPr="00656F71">
        <w:lastRenderedPageBreak/>
        <w:t>discretion by industrial tribunals.</w:t>
      </w:r>
      <w:r w:rsidR="00F256FB">
        <w:t xml:space="preserve"> </w:t>
      </w:r>
      <w:r w:rsidR="00265CC7">
        <w:t xml:space="preserve">The </w:t>
      </w:r>
      <w:r w:rsidR="00D7042F">
        <w:t>administrative</w:t>
      </w:r>
      <w:r w:rsidR="00265CC7">
        <w:t xml:space="preserve"> discretion </w:t>
      </w:r>
      <w:r w:rsidR="00896583">
        <w:t xml:space="preserve">exercised </w:t>
      </w:r>
      <w:r w:rsidR="00265CC7">
        <w:t xml:space="preserve">by the predecessor bodies to today’s Fair Work Commission (FWC) through compulsory conciliation and arbitration of bargaining disputes has disappeared. </w:t>
      </w:r>
      <w:r w:rsidR="00265CC7" w:rsidRPr="003B2214">
        <w:t>The creation of the Australian Building and Construction Commission (and its successor, Fair Work Building and Construction) — the first industry specific WR agency — also reflected a major departure from historical practices.</w:t>
      </w:r>
      <w:r w:rsidR="00265CC7">
        <w:t xml:space="preserve"> </w:t>
      </w:r>
    </w:p>
    <w:p w14:paraId="61C80C19" w14:textId="0A189E84" w:rsidR="00415F39" w:rsidRDefault="003B2214" w:rsidP="00265CC7">
      <w:pPr>
        <w:pStyle w:val="BodyText"/>
      </w:pPr>
      <w:r w:rsidRPr="003B2214">
        <w:t>Long</w:t>
      </w:r>
      <w:r w:rsidR="00D10E92">
        <w:noBreakHyphen/>
      </w:r>
      <w:r w:rsidRPr="003B2214">
        <w:t xml:space="preserve">run shifts in labour markets, institutions, the nature of the economy and social security systems may provide an impetus for </w:t>
      </w:r>
      <w:r w:rsidR="00EF630D">
        <w:t xml:space="preserve">further </w:t>
      </w:r>
      <w:r w:rsidRPr="003B2214">
        <w:t>change. For example:</w:t>
      </w:r>
    </w:p>
    <w:p w14:paraId="52850D59" w14:textId="226B7BEB" w:rsidR="003B2214" w:rsidRDefault="003B2214" w:rsidP="003B2214">
      <w:pPr>
        <w:pStyle w:val="ListBullet"/>
      </w:pPr>
      <w:r>
        <w:t xml:space="preserve">cooperative relations between employees and employers may be </w:t>
      </w:r>
      <w:r w:rsidR="00A263C4">
        <w:t xml:space="preserve">more </w:t>
      </w:r>
      <w:r>
        <w:t>important for innovation, technological diffusion and investments in skills</w:t>
      </w:r>
      <w:r w:rsidR="00721E30">
        <w:t xml:space="preserve"> —</w:t>
      </w:r>
      <w:r>
        <w:t xml:space="preserve"> developments </w:t>
      </w:r>
      <w:r w:rsidR="001727D2">
        <w:t xml:space="preserve">that are </w:t>
      </w:r>
      <w:r>
        <w:t>critical for future productivity, economic growth and adaptability</w:t>
      </w:r>
    </w:p>
    <w:p w14:paraId="555DE93F" w14:textId="5030195B" w:rsidR="003B2214" w:rsidRDefault="003B2214" w:rsidP="003B2214">
      <w:pPr>
        <w:pStyle w:val="ListBullet"/>
      </w:pPr>
      <w:proofErr w:type="gramStart"/>
      <w:r>
        <w:t>the</w:t>
      </w:r>
      <w:proofErr w:type="gramEnd"/>
      <w:r>
        <w:t xml:space="preserve"> sensitivity of employment</w:t>
      </w:r>
      <w:r w:rsidR="00D44546">
        <w:t xml:space="preserve"> demand</w:t>
      </w:r>
      <w:r>
        <w:t xml:space="preserve"> to regulations that raise the costs of </w:t>
      </w:r>
      <w:r w:rsidR="00B34983">
        <w:t xml:space="preserve">less skilled </w:t>
      </w:r>
      <w:r>
        <w:t xml:space="preserve">labour may increase </w:t>
      </w:r>
      <w:r w:rsidR="00A263C4">
        <w:t xml:space="preserve">with technological change and </w:t>
      </w:r>
      <w:r w:rsidR="00D44546">
        <w:t>the increasingly tradable</w:t>
      </w:r>
      <w:r>
        <w:t xml:space="preserve"> outputs of the service </w:t>
      </w:r>
      <w:r w:rsidR="00D449D9">
        <w:t>sector</w:t>
      </w:r>
      <w:r w:rsidR="00A263C4">
        <w:t xml:space="preserve">. International outsourcing of call centres; </w:t>
      </w:r>
      <w:r>
        <w:t xml:space="preserve">the </w:t>
      </w:r>
      <w:r w:rsidR="00A263C4">
        <w:t>online provision</w:t>
      </w:r>
      <w:r w:rsidR="002944BA">
        <w:t xml:space="preserve"> of music, </w:t>
      </w:r>
      <w:r>
        <w:t>books</w:t>
      </w:r>
      <w:r w:rsidR="002944BA">
        <w:t>, financial services</w:t>
      </w:r>
      <w:r w:rsidR="00A263C4">
        <w:t xml:space="preserve">, and airline and accommodation booking systems; </w:t>
      </w:r>
      <w:r w:rsidR="002944BA">
        <w:t xml:space="preserve">and </w:t>
      </w:r>
      <w:r w:rsidR="00A263C4">
        <w:t xml:space="preserve">new models of domestic service </w:t>
      </w:r>
      <w:r w:rsidR="002944BA">
        <w:t>delivery</w:t>
      </w:r>
      <w:r w:rsidR="00A263C4">
        <w:t xml:space="preserve"> (as in taxi services</w:t>
      </w:r>
      <w:r>
        <w:t>)</w:t>
      </w:r>
      <w:r w:rsidR="002944BA">
        <w:t xml:space="preserve"> are illustrations</w:t>
      </w:r>
      <w:r w:rsidR="002131BF">
        <w:t xml:space="preserve"> of developments that are already in train</w:t>
      </w:r>
      <w:r w:rsidR="002944BA">
        <w:t>. These will inevitably change workplaces and the competitive pressures they face</w:t>
      </w:r>
    </w:p>
    <w:p w14:paraId="0D2C2C58" w14:textId="31019988" w:rsidR="00C25101" w:rsidRDefault="00C25101" w:rsidP="00C25101">
      <w:pPr>
        <w:pStyle w:val="ListBullet"/>
      </w:pPr>
      <w:r>
        <w:t>traditional notions of the ‘workplace’ may change</w:t>
      </w:r>
      <w:r w:rsidR="003B08CD">
        <w:t xml:space="preserve"> for some types of occupation</w:t>
      </w:r>
      <w:r>
        <w:t xml:space="preserve"> as a result of technological advances</w:t>
      </w:r>
      <w:r w:rsidR="003B08CD">
        <w:t xml:space="preserve"> that allow people to work remotely</w:t>
      </w:r>
    </w:p>
    <w:p w14:paraId="0EC9EE88" w14:textId="2A25C01D" w:rsidR="00740864" w:rsidRDefault="00740864" w:rsidP="003B2214">
      <w:pPr>
        <w:pStyle w:val="ListBullet"/>
      </w:pPr>
      <w:proofErr w:type="gramStart"/>
      <w:r>
        <w:t>the</w:t>
      </w:r>
      <w:proofErr w:type="gramEnd"/>
      <w:r>
        <w:t xml:space="preserve"> occupational mix of jobs will continue to change, with less demand for </w:t>
      </w:r>
      <w:proofErr w:type="spellStart"/>
      <w:r>
        <w:t>semi</w:t>
      </w:r>
      <w:r w:rsidR="00D10E92">
        <w:noBreakHyphen/>
      </w:r>
      <w:r w:rsidR="00D44546">
        <w:t>skilled</w:t>
      </w:r>
      <w:proofErr w:type="spellEnd"/>
      <w:r w:rsidR="00D44546">
        <w:t xml:space="preserve"> and lower</w:t>
      </w:r>
      <w:r w:rsidR="00D44546">
        <w:noBreakHyphen/>
      </w:r>
      <w:r>
        <w:t xml:space="preserve">skilled </w:t>
      </w:r>
      <w:r w:rsidR="009E09C2">
        <w:t xml:space="preserve">manual </w:t>
      </w:r>
      <w:r>
        <w:t>workers</w:t>
      </w:r>
      <w:r w:rsidR="00896583">
        <w:t>,</w:t>
      </w:r>
      <w:r>
        <w:t xml:space="preserve"> and </w:t>
      </w:r>
      <w:r w:rsidR="00721E30">
        <w:t>greater demand</w:t>
      </w:r>
      <w:r>
        <w:t xml:space="preserve"> for people </w:t>
      </w:r>
      <w:r w:rsidR="002944BA">
        <w:t xml:space="preserve">working in social services and those </w:t>
      </w:r>
      <w:r>
        <w:t xml:space="preserve">with </w:t>
      </w:r>
      <w:r w:rsidR="00721E30">
        <w:t>higher</w:t>
      </w:r>
      <w:r>
        <w:t xml:space="preserve"> </w:t>
      </w:r>
      <w:r w:rsidR="00165933">
        <w:t>qualifications</w:t>
      </w:r>
      <w:r w:rsidR="00465FED">
        <w:t xml:space="preserve"> (figure </w:t>
      </w:r>
      <w:r w:rsidR="004B1A90">
        <w:t>1.</w:t>
      </w:r>
      <w:r w:rsidR="00762CF2">
        <w:t>2</w:t>
      </w:r>
      <w:r w:rsidR="00465FED">
        <w:t>)</w:t>
      </w:r>
      <w:r>
        <w:t>. The Department of Employment has forecast that over the five years to the end of 2018, one in three new jobs will be for professionals</w:t>
      </w:r>
      <w:r w:rsidR="00165933">
        <w:t xml:space="preserve"> </w:t>
      </w:r>
      <w:r w:rsidR="00165933" w:rsidRPr="00165933">
        <w:rPr>
          <w:szCs w:val="24"/>
        </w:rPr>
        <w:t>(Department of Employment 2014, p. 24)</w:t>
      </w:r>
      <w:r w:rsidR="006B7868">
        <w:t xml:space="preserve">. </w:t>
      </w:r>
      <w:r w:rsidR="008C5CE9">
        <w:t xml:space="preserve">In the United States and Europe, employment growth has been greatest for the lowest and highest skill workers. While there is little evidence of such a trend over the past two decades, this may change in the future </w:t>
      </w:r>
      <w:r w:rsidR="008C5CE9" w:rsidRPr="008C5CE9">
        <w:rPr>
          <w:szCs w:val="24"/>
        </w:rPr>
        <w:t>(Wilkins and Wooden 2014, pp. 423–424)</w:t>
      </w:r>
      <w:r w:rsidR="008C5CE9">
        <w:t>. Regardless, t</w:t>
      </w:r>
      <w:r w:rsidR="00E41A74">
        <w:t>he WR environments of higher skilled workers and those providing social services often differ fr</w:t>
      </w:r>
      <w:r w:rsidR="00896583">
        <w:t>om those for other occupations</w:t>
      </w:r>
    </w:p>
    <w:p w14:paraId="1BA18907" w14:textId="33C43814" w:rsidR="00465FED" w:rsidRDefault="00465FED" w:rsidP="003B2214">
      <w:pPr>
        <w:pStyle w:val="ListBullet"/>
      </w:pPr>
      <w:r>
        <w:t xml:space="preserve">demographic change will dramatically shift the age structure of the population, with </w:t>
      </w:r>
      <w:r w:rsidR="00762CF2">
        <w:t>particular</w:t>
      </w:r>
      <w:r>
        <w:t xml:space="preserve"> </w:t>
      </w:r>
      <w:r w:rsidR="00354D23">
        <w:t>implications</w:t>
      </w:r>
      <w:r>
        <w:t xml:space="preserve"> for older workers (figure </w:t>
      </w:r>
      <w:r w:rsidR="004B1A90">
        <w:t>1.</w:t>
      </w:r>
      <w:r w:rsidR="00762CF2">
        <w:t>3</w:t>
      </w:r>
      <w:r>
        <w:t>)</w:t>
      </w:r>
    </w:p>
    <w:p w14:paraId="3E937D97" w14:textId="2E2C09E7" w:rsidR="009D7270" w:rsidRDefault="009D7270" w:rsidP="003B2214">
      <w:pPr>
        <w:pStyle w:val="ListBullet"/>
      </w:pPr>
      <w:r>
        <w:t>youth unemployment rates are rising again after a protracted reduction from 1992 (figure </w:t>
      </w:r>
      <w:r w:rsidR="004B1A90">
        <w:t>1.</w:t>
      </w:r>
      <w:r w:rsidR="00762CF2">
        <w:t>3</w:t>
      </w:r>
      <w:r>
        <w:t>)</w:t>
      </w:r>
    </w:p>
    <w:p w14:paraId="73D0864F" w14:textId="401A5DD2" w:rsidR="003B2214" w:rsidRDefault="003B2214" w:rsidP="003B2214">
      <w:pPr>
        <w:pStyle w:val="ListBullet"/>
      </w:pPr>
      <w:proofErr w:type="gramStart"/>
      <w:r>
        <w:t>unions</w:t>
      </w:r>
      <w:proofErr w:type="gramEnd"/>
      <w:r>
        <w:t xml:space="preserve"> have lost their pre</w:t>
      </w:r>
      <w:r w:rsidR="00D10E92">
        <w:noBreakHyphen/>
      </w:r>
      <w:r>
        <w:t xml:space="preserve">eminent role as </w:t>
      </w:r>
      <w:r w:rsidR="0073603B">
        <w:t>employees</w:t>
      </w:r>
      <w:r w:rsidR="00721E30">
        <w:t>’</w:t>
      </w:r>
      <w:r w:rsidR="0073603B">
        <w:t xml:space="preserve"> </w:t>
      </w:r>
      <w:r>
        <w:t xml:space="preserve">representatives, </w:t>
      </w:r>
      <w:r w:rsidR="00D7042F">
        <w:t xml:space="preserve">especially in </w:t>
      </w:r>
      <w:r w:rsidR="00C57196">
        <w:t xml:space="preserve">key parts of the </w:t>
      </w:r>
      <w:r w:rsidR="00D7042F">
        <w:t>private sector,</w:t>
      </w:r>
      <w:r w:rsidR="00C57196" w:rsidRPr="0028155A">
        <w:rPr>
          <w:rStyle w:val="FootnoteReference"/>
        </w:rPr>
        <w:footnoteReference w:id="3"/>
      </w:r>
      <w:r w:rsidR="00D7042F">
        <w:t xml:space="preserve"> </w:t>
      </w:r>
      <w:r>
        <w:t xml:space="preserve">raising questions about the </w:t>
      </w:r>
      <w:r w:rsidR="001727D2">
        <w:t xml:space="preserve">best </w:t>
      </w:r>
      <w:r w:rsidR="0073603B">
        <w:t>ways</w:t>
      </w:r>
      <w:r w:rsidR="001727D2">
        <w:t xml:space="preserve"> to</w:t>
      </w:r>
      <w:r>
        <w:t xml:space="preserve"> represent employee</w:t>
      </w:r>
      <w:r w:rsidR="00721E30">
        <w:t xml:space="preserve"> interest</w:t>
      </w:r>
      <w:r w:rsidR="009207A0">
        <w:t>s</w:t>
      </w:r>
      <w:r>
        <w:t>, especially where a power imbalance is present.</w:t>
      </w:r>
      <w:r w:rsidR="005D4A09">
        <w:t xml:space="preserve"> In fact, the </w:t>
      </w:r>
      <w:r w:rsidR="00303634">
        <w:t>sustained</w:t>
      </w:r>
      <w:r w:rsidR="005D4A09">
        <w:t xml:space="preserve"> fall in </w:t>
      </w:r>
      <w:r w:rsidR="005D4A09">
        <w:lastRenderedPageBreak/>
        <w:t xml:space="preserve">unionisation rates in Australia (and New Zealand) is exceptional among OECD economies (falling </w:t>
      </w:r>
      <w:r w:rsidR="00354D23">
        <w:t xml:space="preserve">in the Australian case </w:t>
      </w:r>
      <w:r w:rsidR="005D4A09">
        <w:t>from around 50</w:t>
      </w:r>
      <w:r w:rsidR="00721E30">
        <w:t xml:space="preserve"> per cent </w:t>
      </w:r>
      <w:r w:rsidR="00354D23">
        <w:t xml:space="preserve">in 1960 </w:t>
      </w:r>
      <w:r w:rsidR="005D4A09">
        <w:t xml:space="preserve">to below 20 per cent </w:t>
      </w:r>
      <w:r w:rsidR="00354D23">
        <w:t>in</w:t>
      </w:r>
      <w:r w:rsidR="005D4A09">
        <w:t xml:space="preserve"> 2011).</w:t>
      </w:r>
      <w:r w:rsidR="005D4A09" w:rsidRPr="0028155A">
        <w:rPr>
          <w:rStyle w:val="FootnoteReference"/>
        </w:rPr>
        <w:footnoteReference w:id="4"/>
      </w:r>
      <w:r w:rsidR="005D4A09">
        <w:t xml:space="preserve"> </w:t>
      </w:r>
    </w:p>
    <w:p w14:paraId="57D38810" w14:textId="4A382EDA" w:rsidR="002131BF" w:rsidRDefault="002131BF" w:rsidP="002131BF">
      <w:pPr>
        <w:pStyle w:val="BodyText"/>
      </w:pPr>
      <w:r>
        <w:t>T</w:t>
      </w:r>
      <w:r w:rsidRPr="003B2214">
        <w:t>he Commission</w:t>
      </w:r>
      <w:r>
        <w:t>’s task is to assess the performance of the WR framework and the need for any changes to it</w:t>
      </w:r>
      <w:r w:rsidR="00896583">
        <w:t>,</w:t>
      </w:r>
      <w:r>
        <w:t xml:space="preserve"> taking into account Australian’s future needs and the merits of possible changes. </w:t>
      </w:r>
      <w:r w:rsidRPr="00BC6796">
        <w:rPr>
          <w:i/>
        </w:rPr>
        <w:t>There may well be significant trends</w:t>
      </w:r>
      <w:r>
        <w:rPr>
          <w:i/>
        </w:rPr>
        <w:t>, other</w:t>
      </w:r>
      <w:r w:rsidRPr="00BC6796">
        <w:rPr>
          <w:i/>
        </w:rPr>
        <w:t xml:space="preserve"> </w:t>
      </w:r>
      <w:r>
        <w:rPr>
          <w:i/>
        </w:rPr>
        <w:t>than those outlined above, that affect the desirable evolution of the WR system</w:t>
      </w:r>
      <w:r w:rsidRPr="00BC6796">
        <w:rPr>
          <w:i/>
        </w:rPr>
        <w:t>. The Commission welcomes views on these.</w:t>
      </w:r>
    </w:p>
    <w:p w14:paraId="4399A4AB" w14:textId="538E688B" w:rsidR="002131BF" w:rsidRDefault="002131BF" w:rsidP="002131B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131BF" w14:paraId="4E3DC3F5" w14:textId="77777777" w:rsidTr="00247BDB">
        <w:tc>
          <w:tcPr>
            <w:tcW w:w="8771" w:type="dxa"/>
            <w:tcBorders>
              <w:top w:val="single" w:sz="6" w:space="0" w:color="78A22F"/>
              <w:left w:val="nil"/>
              <w:bottom w:val="nil"/>
              <w:right w:val="nil"/>
            </w:tcBorders>
            <w:shd w:val="clear" w:color="auto" w:fill="auto"/>
          </w:tcPr>
          <w:p w14:paraId="0AB7F4FA" w14:textId="671A7668" w:rsidR="002131BF" w:rsidRPr="00176D3F" w:rsidRDefault="002131BF" w:rsidP="00EF630D">
            <w:pPr>
              <w:pStyle w:val="FigureTitle"/>
            </w:pPr>
            <w:r w:rsidRPr="00784A05">
              <w:rPr>
                <w:b w:val="0"/>
              </w:rPr>
              <w:t xml:space="preserve">Figure </w:t>
            </w:r>
            <w:r w:rsidR="0012014C">
              <w:rPr>
                <w:b w:val="0"/>
              </w:rPr>
              <w:t>1.</w:t>
            </w:r>
            <w:r>
              <w:rPr>
                <w:b w:val="0"/>
                <w:noProof/>
              </w:rPr>
              <w:t>2</w:t>
            </w:r>
            <w:r>
              <w:tab/>
              <w:t xml:space="preserve">The skill mix is </w:t>
            </w:r>
            <w:r w:rsidR="00EF630D">
              <w:t>shifting</w:t>
            </w:r>
            <w:r>
              <w:t>, 2013 to 2018</w:t>
            </w:r>
          </w:p>
        </w:tc>
      </w:tr>
      <w:tr w:rsidR="002131BF" w14:paraId="5B9635D2" w14:textId="77777777" w:rsidTr="00247BD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2131BF" w14:paraId="5A688DA2" w14:textId="77777777" w:rsidTr="00247BDB">
              <w:trPr>
                <w:jc w:val="center"/>
              </w:trPr>
              <w:tc>
                <w:tcPr>
                  <w:tcW w:w="8504" w:type="dxa"/>
                  <w:tcBorders>
                    <w:top w:val="nil"/>
                    <w:bottom w:val="nil"/>
                  </w:tcBorders>
                </w:tcPr>
                <w:p w14:paraId="32935D21" w14:textId="77777777" w:rsidR="002131BF" w:rsidRDefault="002131BF" w:rsidP="00247BDB">
                  <w:pPr>
                    <w:pStyle w:val="Figure"/>
                    <w:spacing w:before="60" w:after="60"/>
                  </w:pPr>
                  <w:r w:rsidRPr="00465FED">
                    <w:rPr>
                      <w:noProof/>
                    </w:rPr>
                    <w:drawing>
                      <wp:inline distT="0" distB="0" distL="0" distR="0" wp14:anchorId="2F9D42E9" wp14:editId="19FEB620">
                        <wp:extent cx="5400000" cy="2995166"/>
                        <wp:effectExtent l="0" t="0" r="0" b="0"/>
                        <wp:docPr id="2" name="Chart 2" descr="Figure 1.2 The skill mix is shifting, 2013 to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780E671A" w14:textId="77777777" w:rsidR="002131BF" w:rsidRDefault="002131BF" w:rsidP="00247BDB">
            <w:pPr>
              <w:pStyle w:val="Figure"/>
            </w:pPr>
          </w:p>
        </w:tc>
      </w:tr>
      <w:tr w:rsidR="002131BF" w:rsidRPr="00176D3F" w14:paraId="6BC93838" w14:textId="77777777" w:rsidTr="00247BDB">
        <w:tc>
          <w:tcPr>
            <w:tcW w:w="8771" w:type="dxa"/>
            <w:tcBorders>
              <w:top w:val="nil"/>
              <w:left w:val="nil"/>
              <w:bottom w:val="nil"/>
              <w:right w:val="nil"/>
            </w:tcBorders>
            <w:shd w:val="clear" w:color="auto" w:fill="auto"/>
          </w:tcPr>
          <w:p w14:paraId="2C9BB05A" w14:textId="25B9803C" w:rsidR="002131BF" w:rsidRPr="00176D3F" w:rsidRDefault="002131BF" w:rsidP="00247BDB">
            <w:pPr>
              <w:pStyle w:val="Source"/>
            </w:pPr>
            <w:r w:rsidRPr="00784A05">
              <w:rPr>
                <w:i/>
              </w:rPr>
              <w:t>Data source</w:t>
            </w:r>
            <w:r w:rsidRPr="00176D3F">
              <w:t xml:space="preserve">: </w:t>
            </w:r>
            <w:r w:rsidRPr="00465FED">
              <w:t>Department of Employment</w:t>
            </w:r>
            <w:r>
              <w:t xml:space="preserve"> </w:t>
            </w:r>
            <w:r w:rsidRPr="00465FED">
              <w:rPr>
                <w:rFonts w:cs="Arial"/>
              </w:rPr>
              <w:t>(2014)</w:t>
            </w:r>
            <w:r>
              <w:t>.</w:t>
            </w:r>
          </w:p>
        </w:tc>
      </w:tr>
      <w:tr w:rsidR="002131BF" w14:paraId="169E1267" w14:textId="77777777" w:rsidTr="00247BDB">
        <w:tc>
          <w:tcPr>
            <w:tcW w:w="8771" w:type="dxa"/>
            <w:tcBorders>
              <w:top w:val="nil"/>
              <w:left w:val="nil"/>
              <w:bottom w:val="single" w:sz="6" w:space="0" w:color="78A22F"/>
              <w:right w:val="nil"/>
            </w:tcBorders>
            <w:shd w:val="clear" w:color="auto" w:fill="auto"/>
          </w:tcPr>
          <w:p w14:paraId="217EC025" w14:textId="77777777" w:rsidR="002131BF" w:rsidRDefault="002131BF" w:rsidP="00247BDB">
            <w:pPr>
              <w:pStyle w:val="Figurespace"/>
            </w:pPr>
          </w:p>
        </w:tc>
      </w:tr>
      <w:tr w:rsidR="002131BF" w:rsidRPr="000863A5" w14:paraId="04EDBDF6" w14:textId="77777777" w:rsidTr="00247BDB">
        <w:tc>
          <w:tcPr>
            <w:tcW w:w="8771" w:type="dxa"/>
            <w:tcBorders>
              <w:top w:val="single" w:sz="6" w:space="0" w:color="78A22F"/>
              <w:left w:val="nil"/>
              <w:bottom w:val="nil"/>
              <w:right w:val="nil"/>
            </w:tcBorders>
          </w:tcPr>
          <w:p w14:paraId="4934AD6B" w14:textId="0B67D053" w:rsidR="002131BF" w:rsidRPr="00626D32" w:rsidRDefault="002131BF" w:rsidP="00247BDB">
            <w:pPr>
              <w:pStyle w:val="BoxSpaceBelow"/>
            </w:pPr>
          </w:p>
        </w:tc>
      </w:tr>
    </w:tbl>
    <w:p w14:paraId="6DA0D804" w14:textId="5104A1D8" w:rsidR="008F6739" w:rsidRDefault="008F6739" w:rsidP="008F67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F6739" w14:paraId="1906A7DC" w14:textId="77777777" w:rsidTr="008F6739">
        <w:tc>
          <w:tcPr>
            <w:tcW w:w="8771" w:type="dxa"/>
            <w:tcBorders>
              <w:top w:val="single" w:sz="6" w:space="0" w:color="78A22F"/>
              <w:left w:val="nil"/>
              <w:bottom w:val="nil"/>
              <w:right w:val="nil"/>
            </w:tcBorders>
            <w:shd w:val="clear" w:color="auto" w:fill="auto"/>
          </w:tcPr>
          <w:p w14:paraId="6A389DB2" w14:textId="38CBAF39" w:rsidR="008F6739" w:rsidRPr="00176D3F" w:rsidRDefault="008F6739" w:rsidP="00D13B65">
            <w:pPr>
              <w:pStyle w:val="FigureTitle"/>
            </w:pPr>
            <w:r w:rsidRPr="00784A05">
              <w:rPr>
                <w:b w:val="0"/>
              </w:rPr>
              <w:t xml:space="preserve">Figure </w:t>
            </w:r>
            <w:r w:rsidR="004B1A90">
              <w:rPr>
                <w:b w:val="0"/>
              </w:rPr>
              <w:t>1.</w:t>
            </w:r>
            <w:r w:rsidR="00291C57">
              <w:rPr>
                <w:b w:val="0"/>
                <w:noProof/>
              </w:rPr>
              <w:t>3</w:t>
            </w:r>
            <w:r>
              <w:tab/>
            </w:r>
            <w:r w:rsidR="00D13B65">
              <w:t>Labour markets are changing</w:t>
            </w:r>
          </w:p>
        </w:tc>
      </w:tr>
      <w:tr w:rsidR="008F6739" w14:paraId="653DC8F0" w14:textId="77777777" w:rsidTr="008F6739">
        <w:tc>
          <w:tcPr>
            <w:tcW w:w="8771" w:type="dxa"/>
            <w:tcBorders>
              <w:top w:val="nil"/>
              <w:left w:val="nil"/>
              <w:bottom w:val="nil"/>
              <w:right w:val="nil"/>
            </w:tcBorders>
            <w:shd w:val="clear" w:color="auto" w:fill="auto"/>
            <w:tcMar>
              <w:top w:w="28" w:type="dxa"/>
              <w:bottom w:w="28" w:type="dxa"/>
            </w:tcMar>
          </w:tcPr>
          <w:tbl>
            <w:tblPr>
              <w:tblW w:w="8504" w:type="dxa"/>
              <w:jc w:val="center"/>
              <w:tblLayout w:type="fixed"/>
              <w:tblCellMar>
                <w:top w:w="28" w:type="dxa"/>
                <w:left w:w="0" w:type="dxa"/>
                <w:right w:w="0" w:type="dxa"/>
              </w:tblCellMar>
              <w:tblLook w:val="0000" w:firstRow="0" w:lastRow="0" w:firstColumn="0" w:lastColumn="0" w:noHBand="0" w:noVBand="0"/>
            </w:tblPr>
            <w:tblGrid>
              <w:gridCol w:w="4252"/>
              <w:gridCol w:w="4252"/>
            </w:tblGrid>
            <w:tr w:rsidR="008F6739" w14:paraId="4FDA91C4" w14:textId="77777777" w:rsidTr="003A1D78">
              <w:trPr>
                <w:jc w:val="center"/>
              </w:trPr>
              <w:tc>
                <w:tcPr>
                  <w:tcW w:w="2500" w:type="pct"/>
                </w:tcPr>
                <w:p w14:paraId="77816058" w14:textId="4F5F17B9" w:rsidR="008F6739" w:rsidRPr="00D13B65" w:rsidRDefault="008F6739" w:rsidP="00D13B65">
                  <w:pPr>
                    <w:pStyle w:val="Figure"/>
                    <w:spacing w:before="60" w:after="60"/>
                    <w:rPr>
                      <w:rFonts w:asciiTheme="minorHAnsi" w:hAnsiTheme="minorHAnsi" w:cstheme="minorHAnsi"/>
                      <w:sz w:val="20"/>
                    </w:rPr>
                  </w:pPr>
                  <w:r w:rsidRPr="00D13B65">
                    <w:rPr>
                      <w:rFonts w:asciiTheme="minorHAnsi" w:hAnsiTheme="minorHAnsi" w:cstheme="minorHAnsi"/>
                      <w:sz w:val="20"/>
                    </w:rPr>
                    <w:t>Youth unemployment is rising again</w:t>
                  </w:r>
                  <w:r w:rsidR="00D13B65" w:rsidRPr="00D13B65">
                    <w:rPr>
                      <w:rFonts w:asciiTheme="minorHAnsi" w:hAnsiTheme="minorHAnsi" w:cstheme="minorHAnsi"/>
                      <w:sz w:val="20"/>
                    </w:rPr>
                    <w:t xml:space="preserve"> </w:t>
                  </w:r>
                  <w:r w:rsidR="00D44546">
                    <w:rPr>
                      <w:rFonts w:asciiTheme="minorHAnsi" w:hAnsiTheme="minorHAnsi" w:cstheme="minorHAnsi"/>
                      <w:sz w:val="20"/>
                    </w:rPr>
                    <w:br/>
                  </w:r>
                  <w:r w:rsidR="00D13B65" w:rsidRPr="00D13B65">
                    <w:rPr>
                      <w:rFonts w:asciiTheme="minorHAnsi" w:hAnsiTheme="minorHAnsi" w:cstheme="minorHAnsi"/>
                      <w:sz w:val="20"/>
                    </w:rPr>
                    <w:t>February 1978 to August 2014</w:t>
                  </w:r>
                </w:p>
              </w:tc>
              <w:tc>
                <w:tcPr>
                  <w:tcW w:w="2500" w:type="pct"/>
                </w:tcPr>
                <w:p w14:paraId="72DD57A3" w14:textId="77777777" w:rsidR="008F6739" w:rsidRPr="00D13B65" w:rsidRDefault="008F6739" w:rsidP="008F6739">
                  <w:pPr>
                    <w:pStyle w:val="Figure"/>
                    <w:spacing w:before="60" w:after="60"/>
                    <w:rPr>
                      <w:rFonts w:asciiTheme="minorHAnsi" w:hAnsiTheme="minorHAnsi" w:cstheme="minorHAnsi"/>
                      <w:sz w:val="20"/>
                    </w:rPr>
                  </w:pPr>
                  <w:r w:rsidRPr="00D13B65">
                    <w:rPr>
                      <w:rFonts w:asciiTheme="minorHAnsi" w:hAnsiTheme="minorHAnsi" w:cstheme="minorHAnsi"/>
                      <w:sz w:val="20"/>
                    </w:rPr>
                    <w:t>The workforce age structure is shifting</w:t>
                  </w:r>
                </w:p>
                <w:p w14:paraId="395A14BE" w14:textId="3077F337" w:rsidR="00D13B65" w:rsidRPr="00D13B65" w:rsidRDefault="00D13B65" w:rsidP="008F6739">
                  <w:pPr>
                    <w:pStyle w:val="Figure"/>
                    <w:spacing w:before="60" w:after="60"/>
                    <w:rPr>
                      <w:rFonts w:asciiTheme="minorHAnsi" w:hAnsiTheme="minorHAnsi" w:cstheme="minorHAnsi"/>
                    </w:rPr>
                  </w:pPr>
                  <w:r w:rsidRPr="00D13B65">
                    <w:rPr>
                      <w:rFonts w:asciiTheme="minorHAnsi" w:hAnsiTheme="minorHAnsi" w:cstheme="minorHAnsi"/>
                      <w:sz w:val="20"/>
                    </w:rPr>
                    <w:t>1979</w:t>
                  </w:r>
                  <w:r w:rsidRPr="00D13B65">
                    <w:rPr>
                      <w:rFonts w:asciiTheme="minorHAnsi" w:hAnsiTheme="minorHAnsi" w:cstheme="minorHAnsi"/>
                      <w:sz w:val="20"/>
                    </w:rPr>
                    <w:noBreakHyphen/>
                    <w:t>2060</w:t>
                  </w:r>
                </w:p>
              </w:tc>
            </w:tr>
            <w:tr w:rsidR="008F6739" w14:paraId="6990E49F" w14:textId="10A47EC9" w:rsidTr="003A1D78">
              <w:tblPrEx>
                <w:tblCellMar>
                  <w:left w:w="108" w:type="dxa"/>
                  <w:right w:w="108" w:type="dxa"/>
                </w:tblCellMar>
              </w:tblPrEx>
              <w:trPr>
                <w:jc w:val="center"/>
              </w:trPr>
              <w:tc>
                <w:tcPr>
                  <w:tcW w:w="2500" w:type="pct"/>
                </w:tcPr>
                <w:p w14:paraId="2F624F81" w14:textId="22A3F005" w:rsidR="008F6739" w:rsidRDefault="008F6739" w:rsidP="008F6739">
                  <w:pPr>
                    <w:pStyle w:val="Figure"/>
                    <w:spacing w:before="60" w:after="60"/>
                  </w:pPr>
                  <w:r w:rsidRPr="008F6739">
                    <w:rPr>
                      <w:noProof/>
                    </w:rPr>
                    <w:drawing>
                      <wp:inline distT="0" distB="0" distL="0" distR="0" wp14:anchorId="063BA7DE" wp14:editId="4E0EDD3B">
                        <wp:extent cx="2772000" cy="2448000"/>
                        <wp:effectExtent l="0" t="0" r="0" b="0"/>
                        <wp:docPr id="5" name="Chart 5" descr="Figure 1.3 Labour markets are changing - left hand side. Youth unemployment is rising ag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2500" w:type="pct"/>
                </w:tcPr>
                <w:p w14:paraId="11A0A529" w14:textId="25D7615B" w:rsidR="008F6739" w:rsidRDefault="00D13B65" w:rsidP="008F6739">
                  <w:pPr>
                    <w:pStyle w:val="Figure"/>
                    <w:spacing w:before="60" w:after="60"/>
                  </w:pPr>
                  <w:r w:rsidRPr="00D13B65">
                    <w:rPr>
                      <w:noProof/>
                    </w:rPr>
                    <w:drawing>
                      <wp:inline distT="0" distB="0" distL="0" distR="0" wp14:anchorId="52BE9448" wp14:editId="009B9CA0">
                        <wp:extent cx="2772000" cy="2448000"/>
                        <wp:effectExtent l="0" t="0" r="0" b="0"/>
                        <wp:docPr id="6" name="Chart 6" descr="Figure 1.3 - right hand side. The workforce age structure is shift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769FA304" w14:textId="77777777" w:rsidR="008F6739" w:rsidRDefault="008F6739" w:rsidP="008F6739">
            <w:pPr>
              <w:pStyle w:val="Figure"/>
            </w:pPr>
          </w:p>
        </w:tc>
      </w:tr>
      <w:tr w:rsidR="008F6739" w:rsidRPr="00176D3F" w14:paraId="250898D9" w14:textId="77777777" w:rsidTr="008F6739">
        <w:tc>
          <w:tcPr>
            <w:tcW w:w="8771" w:type="dxa"/>
            <w:tcBorders>
              <w:top w:val="nil"/>
              <w:left w:val="nil"/>
              <w:bottom w:val="nil"/>
              <w:right w:val="nil"/>
            </w:tcBorders>
            <w:shd w:val="clear" w:color="auto" w:fill="auto"/>
          </w:tcPr>
          <w:p w14:paraId="22294A00" w14:textId="4EFCEFAB" w:rsidR="008F6739" w:rsidRPr="00176D3F" w:rsidRDefault="008F6739" w:rsidP="00D13B65">
            <w:pPr>
              <w:pStyle w:val="Source"/>
            </w:pPr>
            <w:r w:rsidRPr="00784A05">
              <w:rPr>
                <w:i/>
              </w:rPr>
              <w:t>Data source</w:t>
            </w:r>
            <w:r w:rsidR="00D10E92">
              <w:rPr>
                <w:i/>
              </w:rPr>
              <w:t>s</w:t>
            </w:r>
            <w:r w:rsidRPr="00176D3F">
              <w:t xml:space="preserve">: </w:t>
            </w:r>
            <w:r w:rsidR="00D13B65">
              <w:t>Ageing data are from PC</w:t>
            </w:r>
            <w:r w:rsidR="00D13B65" w:rsidRPr="00176D3F">
              <w:t xml:space="preserve"> </w:t>
            </w:r>
            <w:r w:rsidR="007301D3" w:rsidRPr="007301D3">
              <w:rPr>
                <w:rFonts w:cs="Arial"/>
              </w:rPr>
              <w:t>(2013a)</w:t>
            </w:r>
            <w:r w:rsidR="00D13B65">
              <w:t xml:space="preserve"> and unemployment rates from </w:t>
            </w:r>
            <w:r w:rsidR="0062057C">
              <w:t xml:space="preserve">ABS, </w:t>
            </w:r>
            <w:r w:rsidR="0062057C" w:rsidRPr="0062057C">
              <w:rPr>
                <w:i/>
              </w:rPr>
              <w:t>Labour Force, Australia</w:t>
            </w:r>
            <w:r w:rsidR="0062057C">
              <w:t xml:space="preserve">, </w:t>
            </w:r>
            <w:proofErr w:type="gramStart"/>
            <w:r w:rsidR="0062057C">
              <w:t>Cat</w:t>
            </w:r>
            <w:proofErr w:type="gramEnd"/>
            <w:r w:rsidR="0062057C">
              <w:t>. No. 6202.0.</w:t>
            </w:r>
          </w:p>
        </w:tc>
      </w:tr>
      <w:tr w:rsidR="008F6739" w14:paraId="0A5398BF" w14:textId="77777777" w:rsidTr="008F6739">
        <w:tc>
          <w:tcPr>
            <w:tcW w:w="8771" w:type="dxa"/>
            <w:tcBorders>
              <w:top w:val="nil"/>
              <w:left w:val="nil"/>
              <w:bottom w:val="single" w:sz="6" w:space="0" w:color="78A22F"/>
              <w:right w:val="nil"/>
            </w:tcBorders>
            <w:shd w:val="clear" w:color="auto" w:fill="auto"/>
          </w:tcPr>
          <w:p w14:paraId="55DC952C" w14:textId="77777777" w:rsidR="008F6739" w:rsidRDefault="008F6739" w:rsidP="008F6739">
            <w:pPr>
              <w:pStyle w:val="Figurespace"/>
            </w:pPr>
          </w:p>
        </w:tc>
      </w:tr>
      <w:tr w:rsidR="008F6739" w:rsidRPr="000863A5" w14:paraId="570048E7" w14:textId="77777777" w:rsidTr="008F6739">
        <w:tc>
          <w:tcPr>
            <w:tcW w:w="8771" w:type="dxa"/>
            <w:tcBorders>
              <w:top w:val="single" w:sz="6" w:space="0" w:color="78A22F"/>
              <w:left w:val="nil"/>
              <w:bottom w:val="nil"/>
              <w:right w:val="nil"/>
            </w:tcBorders>
          </w:tcPr>
          <w:p w14:paraId="4417901C" w14:textId="7EAC388E" w:rsidR="008F6739" w:rsidRPr="00626D32" w:rsidRDefault="008F6739" w:rsidP="008F6739">
            <w:pPr>
              <w:pStyle w:val="BoxSpaceBelow"/>
            </w:pPr>
          </w:p>
        </w:tc>
      </w:tr>
    </w:tbl>
    <w:p w14:paraId="079E2A3F" w14:textId="2DB84319" w:rsidR="00DE26C9" w:rsidRDefault="00DE26C9" w:rsidP="00DE26C9">
      <w:pPr>
        <w:pStyle w:val="Heading3"/>
        <w:tabs>
          <w:tab w:val="left" w:pos="4320"/>
        </w:tabs>
      </w:pPr>
      <w:bookmarkStart w:id="12" w:name="_Toc408581784"/>
      <w:r>
        <w:t>What is (largely) not in scope?</w:t>
      </w:r>
      <w:bookmarkEnd w:id="12"/>
    </w:p>
    <w:p w14:paraId="59C76E14" w14:textId="77777777" w:rsidR="00DE26C9" w:rsidRDefault="00DE26C9" w:rsidP="00DE26C9">
      <w:pPr>
        <w:pStyle w:val="BodyText"/>
      </w:pPr>
      <w:r>
        <w:t>The Commission is not examining in any detail a number of issues that intersect with or are part of the WR framework, including:</w:t>
      </w:r>
    </w:p>
    <w:p w14:paraId="52D6E223" w14:textId="77777777" w:rsidR="00DE26C9" w:rsidRDefault="00DE26C9" w:rsidP="00DE26C9">
      <w:pPr>
        <w:pStyle w:val="ListBullet"/>
      </w:pPr>
      <w:r>
        <w:t xml:space="preserve">governance arrangements of individual unions (and concerns about specific instances of corruption and other criminally unlawful conduct by employers, employees and unions in the WR system) </w:t>
      </w:r>
    </w:p>
    <w:p w14:paraId="294BC0CA" w14:textId="266FE531" w:rsidR="002B17E5" w:rsidRDefault="002B17E5" w:rsidP="002B17E5">
      <w:pPr>
        <w:pStyle w:val="ListBullet"/>
      </w:pPr>
      <w:r w:rsidRPr="002B17E5">
        <w:t>institutional arrangements in the construction industry</w:t>
      </w:r>
      <w:r>
        <w:t>, which were addressed</w:t>
      </w:r>
      <w:r w:rsidRPr="002B17E5">
        <w:t xml:space="preserve"> in </w:t>
      </w:r>
      <w:r>
        <w:t>the Commission’s</w:t>
      </w:r>
      <w:r w:rsidR="00203278">
        <w:t xml:space="preserve"> inquiry into Public I</w:t>
      </w:r>
      <w:r w:rsidRPr="002B17E5">
        <w:t xml:space="preserve">nfrastructure </w:t>
      </w:r>
      <w:r w:rsidR="00203278" w:rsidRPr="00203278">
        <w:rPr>
          <w:szCs w:val="24"/>
        </w:rPr>
        <w:t>(PC 2014b)</w:t>
      </w:r>
      <w:r>
        <w:t xml:space="preserve"> </w:t>
      </w:r>
    </w:p>
    <w:p w14:paraId="18AE2FA2" w14:textId="66A06D6D" w:rsidR="00DE26C9" w:rsidRDefault="00DE26C9" w:rsidP="00DE26C9">
      <w:pPr>
        <w:pStyle w:val="ListBullet"/>
      </w:pPr>
      <w:r>
        <w:t xml:space="preserve">financial assistance for legal representation for WR matters, a matter covered in the Productivity Commission’s inquiry into </w:t>
      </w:r>
      <w:r w:rsidR="00203278">
        <w:t>Access to J</w:t>
      </w:r>
      <w:r>
        <w:t>ustice</w:t>
      </w:r>
      <w:r w:rsidR="00203278">
        <w:t xml:space="preserve"> </w:t>
      </w:r>
      <w:r w:rsidR="00203278" w:rsidRPr="00203278">
        <w:rPr>
          <w:szCs w:val="24"/>
        </w:rPr>
        <w:t>(PC 2014a)</w:t>
      </w:r>
    </w:p>
    <w:p w14:paraId="6D66284D" w14:textId="77777777" w:rsidR="00DE26C9" w:rsidRPr="00A2630F" w:rsidRDefault="00DE26C9" w:rsidP="00DE26C9">
      <w:pPr>
        <w:pStyle w:val="ListBullet"/>
      </w:pPr>
      <w:proofErr w:type="gramStart"/>
      <w:r>
        <w:t>separate</w:t>
      </w:r>
      <w:proofErr w:type="gramEnd"/>
      <w:r>
        <w:t xml:space="preserve"> Workplace Health and Safety (WHS) institutions and laws, including workers’ compensation schemes. However, the more general impact of the WR system on WHS is relevant to this inquiry </w:t>
      </w:r>
    </w:p>
    <w:p w14:paraId="0324F2A2" w14:textId="604DA51F" w:rsidR="00DE26C9" w:rsidRDefault="00DE26C9" w:rsidP="00DE26C9">
      <w:pPr>
        <w:pStyle w:val="ListBullet"/>
      </w:pPr>
      <w:proofErr w:type="gramStart"/>
      <w:r w:rsidRPr="00A2630F">
        <w:t>the</w:t>
      </w:r>
      <w:proofErr w:type="gramEnd"/>
      <w:r w:rsidRPr="00A2630F">
        <w:t xml:space="preserve"> Superannuation Guarantee. </w:t>
      </w:r>
      <w:r>
        <w:t xml:space="preserve">While it may have arisen as an industrial relations </w:t>
      </w:r>
      <w:proofErr w:type="spellStart"/>
      <w:r>
        <w:t>trade</w:t>
      </w:r>
      <w:r w:rsidR="00D10E92">
        <w:noBreakHyphen/>
      </w:r>
      <w:r>
        <w:t>off</w:t>
      </w:r>
      <w:proofErr w:type="spellEnd"/>
      <w:r>
        <w:t>, t</w:t>
      </w:r>
      <w:r w:rsidRPr="00A2630F">
        <w:t xml:space="preserve">he Guarantee is now recognised as one of </w:t>
      </w:r>
      <w:r>
        <w:t>a</w:t>
      </w:r>
      <w:r w:rsidRPr="00A2630F">
        <w:t xml:space="preserve"> set of interlocking retirement income policy measures, and consideration of it in any detail would therefore cover many iss</w:t>
      </w:r>
      <w:r>
        <w:t>ues not central to this inquiry</w:t>
      </w:r>
      <w:r w:rsidRPr="00A2630F">
        <w:t xml:space="preserve"> </w:t>
      </w:r>
    </w:p>
    <w:p w14:paraId="3B7CF077" w14:textId="77777777" w:rsidR="00DE26C9" w:rsidRDefault="00DE26C9" w:rsidP="00DE26C9">
      <w:pPr>
        <w:pStyle w:val="ListBullet"/>
      </w:pPr>
      <w:r>
        <w:lastRenderedPageBreak/>
        <w:t>Australia’s vocational training system, with the important exception of agreements that may specify training requirements in a way likely to be inefficient or inconsistent with wider economic and social needs</w:t>
      </w:r>
    </w:p>
    <w:p w14:paraId="4321E73D" w14:textId="5226432D" w:rsidR="00DE26C9" w:rsidRDefault="00DE26C9" w:rsidP="00DE26C9">
      <w:pPr>
        <w:pStyle w:val="ListBullet"/>
      </w:pPr>
      <w:proofErr w:type="gramStart"/>
      <w:r>
        <w:t>the</w:t>
      </w:r>
      <w:proofErr w:type="gramEnd"/>
      <w:r>
        <w:t xml:space="preserve"> newly established Fair Entitlements Guarantee, a statutory scheme that provides assistance to employees for unpaid entitlements following the insolvency of their employer. The Commission will examine this scheme in its inquiry into Business Set</w:t>
      </w:r>
      <w:r w:rsidR="00D10E92">
        <w:noBreakHyphen/>
      </w:r>
      <w:r>
        <w:t>up, Transfer and Closure.</w:t>
      </w:r>
    </w:p>
    <w:p w14:paraId="4E73B823" w14:textId="4BE96C7C" w:rsidR="00A2630F" w:rsidRDefault="001F2817" w:rsidP="00A2630F">
      <w:pPr>
        <w:pStyle w:val="BodyText"/>
      </w:pPr>
      <w:r>
        <w:t xml:space="preserve">The Commission notes </w:t>
      </w:r>
      <w:r w:rsidR="00A2630F">
        <w:t xml:space="preserve">that the Australian Government is proposing a variety of changes to the FWA </w:t>
      </w:r>
      <w:r w:rsidR="00750211">
        <w:t>via</w:t>
      </w:r>
      <w:r w:rsidR="00A2630F">
        <w:t xml:space="preserve"> </w:t>
      </w:r>
      <w:r w:rsidR="00750211">
        <w:t xml:space="preserve">a number of Bills </w:t>
      </w:r>
      <w:r w:rsidR="00BA163B">
        <w:t>that</w:t>
      </w:r>
      <w:r w:rsidR="00355672">
        <w:t xml:space="preserve"> are </w:t>
      </w:r>
      <w:r w:rsidR="00750211">
        <w:t>before Parliament.</w:t>
      </w:r>
      <w:r w:rsidR="005210D3" w:rsidRPr="0028155A">
        <w:rPr>
          <w:rStyle w:val="FootnoteReference"/>
        </w:rPr>
        <w:footnoteReference w:id="5"/>
      </w:r>
      <w:r w:rsidR="00750211">
        <w:t xml:space="preserve"> </w:t>
      </w:r>
      <w:r>
        <w:t xml:space="preserve">The inquiry’s primary focus will be on the preferred structure for WR in Australia and it is unlikely to </w:t>
      </w:r>
      <w:r w:rsidR="00121C22">
        <w:t xml:space="preserve">directly </w:t>
      </w:r>
      <w:r w:rsidR="008B5B35">
        <w:t xml:space="preserve">assess </w:t>
      </w:r>
      <w:r>
        <w:t>amendments to relevant legislation</w:t>
      </w:r>
      <w:r w:rsidR="00F521BB">
        <w:t>,</w:t>
      </w:r>
      <w:r>
        <w:t xml:space="preserve"> </w:t>
      </w:r>
      <w:r w:rsidR="008B5B35">
        <w:t xml:space="preserve">although it may indicate how these arrangements may need to be revised, if that is necessary, to conform </w:t>
      </w:r>
      <w:r>
        <w:t xml:space="preserve">to its </w:t>
      </w:r>
      <w:r w:rsidR="009C57AD">
        <w:t>proposed policy recommendations</w:t>
      </w:r>
      <w:r w:rsidR="00A2630F">
        <w:t>.</w:t>
      </w:r>
    </w:p>
    <w:p w14:paraId="486BF127" w14:textId="7DBE33C1" w:rsidR="00514CA8" w:rsidRDefault="004B1A90" w:rsidP="005679CF">
      <w:pPr>
        <w:pStyle w:val="Heading2"/>
      </w:pPr>
      <w:bookmarkStart w:id="13" w:name="_Toc409524622"/>
      <w:r>
        <w:t>1.</w:t>
      </w:r>
      <w:bookmarkStart w:id="14" w:name="_Toc408581785"/>
      <w:r w:rsidR="00AA6994">
        <w:rPr>
          <w:noProof/>
        </w:rPr>
        <w:t>2</w:t>
      </w:r>
      <w:r w:rsidR="005679CF">
        <w:tab/>
      </w:r>
      <w:r w:rsidR="00E9453D">
        <w:t>T</w:t>
      </w:r>
      <w:r w:rsidR="00F23906">
        <w:t xml:space="preserve">he </w:t>
      </w:r>
      <w:r w:rsidR="00F23906" w:rsidDel="00E9453D">
        <w:t xml:space="preserve">stated </w:t>
      </w:r>
      <w:r w:rsidR="00F23906">
        <w:t>o</w:t>
      </w:r>
      <w:r w:rsidR="00121C22">
        <w:t xml:space="preserve">bjectives of </w:t>
      </w:r>
      <w:r w:rsidR="00F23906">
        <w:t>Australia’s</w:t>
      </w:r>
      <w:r w:rsidR="00121C22">
        <w:t xml:space="preserve"> workplace relations system</w:t>
      </w:r>
      <w:bookmarkEnd w:id="14"/>
      <w:bookmarkEnd w:id="13"/>
    </w:p>
    <w:p w14:paraId="67140471" w14:textId="09BA499B" w:rsidR="00C2359D" w:rsidRDefault="00C2359D" w:rsidP="00121C22">
      <w:pPr>
        <w:pStyle w:val="BodyText"/>
      </w:pPr>
      <w:r>
        <w:t xml:space="preserve">The </w:t>
      </w:r>
      <w:r w:rsidR="003F6113">
        <w:t>FWA</w:t>
      </w:r>
      <w:r w:rsidR="006209C3">
        <w:t xml:space="preserve"> </w:t>
      </w:r>
      <w:r>
        <w:t xml:space="preserve">is the primary legislative device governing the </w:t>
      </w:r>
      <w:r w:rsidR="00203278">
        <w:t>WR</w:t>
      </w:r>
      <w:r>
        <w:t xml:space="preserve"> system in Australia, although the pre</w:t>
      </w:r>
      <w:r w:rsidR="00D10E92">
        <w:noBreakHyphen/>
      </w:r>
      <w:r>
        <w:t xml:space="preserve">eminence of a Commonwealth statute is relatively recent. Historically and </w:t>
      </w:r>
      <w:r w:rsidR="002419F8">
        <w:t>c</w:t>
      </w:r>
      <w:r>
        <w:t xml:space="preserve">onstitutionally, </w:t>
      </w:r>
      <w:r w:rsidR="00203278">
        <w:t>the Commonwealth and the s</w:t>
      </w:r>
      <w:r w:rsidR="006209C3">
        <w:t xml:space="preserve">tates have shared responsibility for </w:t>
      </w:r>
      <w:r>
        <w:t>workplace relations.</w:t>
      </w:r>
      <w:r w:rsidR="00EB1B64">
        <w:t xml:space="preserve"> </w:t>
      </w:r>
      <w:r>
        <w:t xml:space="preserve">The </w:t>
      </w:r>
      <w:r w:rsidR="00EB1B64">
        <w:t>FWA</w:t>
      </w:r>
      <w:r>
        <w:t xml:space="preserve"> cites objectives that are diverse and </w:t>
      </w:r>
      <w:r w:rsidR="002419F8">
        <w:t>—</w:t>
      </w:r>
      <w:r>
        <w:t xml:space="preserve"> as is often the case with </w:t>
      </w:r>
      <w:r w:rsidR="00E9453D">
        <w:t xml:space="preserve">such </w:t>
      </w:r>
      <w:r>
        <w:t xml:space="preserve">diversity </w:t>
      </w:r>
      <w:r w:rsidR="002419F8">
        <w:t>—</w:t>
      </w:r>
      <w:r>
        <w:t xml:space="preserve"> potentially in conflict:</w:t>
      </w:r>
      <w:r w:rsidR="00EB1B64">
        <w:t xml:space="preserve"> </w:t>
      </w:r>
      <w:r>
        <w:t xml:space="preserve">The </w:t>
      </w:r>
      <w:r w:rsidR="00EB1B64">
        <w:t>FWA</w:t>
      </w:r>
      <w:r>
        <w:t xml:space="preserve"> is intended to deliver outcomes that are </w:t>
      </w:r>
      <w:r w:rsidRPr="00E56D2F">
        <w:rPr>
          <w:b/>
        </w:rPr>
        <w:t>fair, flexible, co</w:t>
      </w:r>
      <w:r w:rsidR="00D10E92">
        <w:rPr>
          <w:b/>
        </w:rPr>
        <w:noBreakHyphen/>
      </w:r>
      <w:r w:rsidRPr="00E56D2F">
        <w:rPr>
          <w:b/>
        </w:rPr>
        <w:t>operative, productive, relevant, enforceable, non</w:t>
      </w:r>
      <w:r w:rsidR="00D10E92">
        <w:rPr>
          <w:b/>
        </w:rPr>
        <w:noBreakHyphen/>
      </w:r>
      <w:r w:rsidRPr="00E56D2F">
        <w:rPr>
          <w:b/>
        </w:rPr>
        <w:t>discriminatory, accessible, simple and clear</w:t>
      </w:r>
      <w:r w:rsidR="0003615C" w:rsidRPr="00E56D2F">
        <w:rPr>
          <w:b/>
        </w:rPr>
        <w:t xml:space="preserve"> (s. 3)</w:t>
      </w:r>
      <w:r w:rsidRPr="00E56D2F">
        <w:rPr>
          <w:b/>
        </w:rPr>
        <w:t>.</w:t>
      </w:r>
      <w:r w:rsidR="006B40CA">
        <w:t xml:space="preserve"> </w:t>
      </w:r>
      <w:r w:rsidR="00F1157C">
        <w:t>It</w:t>
      </w:r>
      <w:r>
        <w:t xml:space="preserve"> </w:t>
      </w:r>
      <w:r w:rsidR="006B40CA">
        <w:t xml:space="preserve">also </w:t>
      </w:r>
      <w:r w:rsidR="00E9453D">
        <w:t>provide</w:t>
      </w:r>
      <w:r w:rsidR="00F1157C">
        <w:t>s</w:t>
      </w:r>
      <w:r w:rsidR="00E9453D">
        <w:t xml:space="preserve"> for</w:t>
      </w:r>
      <w:r>
        <w:t xml:space="preserve"> special arrangements for small businesses; preference for collective bargaining; balance between family and workplace responsibilities; minimum wage and employment standards; and</w:t>
      </w:r>
      <w:r w:rsidRPr="006D3487">
        <w:t xml:space="preserve"> </w:t>
      </w:r>
      <w:r>
        <w:t>the right of freedom of association.</w:t>
      </w:r>
    </w:p>
    <w:p w14:paraId="05FB4C1B" w14:textId="41409DDD" w:rsidR="00C2359D" w:rsidRDefault="00C2359D" w:rsidP="006B40CA">
      <w:pPr>
        <w:pStyle w:val="BodyText"/>
      </w:pPr>
      <w:r>
        <w:t>State</w:t>
      </w:r>
      <w:r w:rsidR="00D10E92">
        <w:noBreakHyphen/>
      </w:r>
      <w:r>
        <w:t>based laws</w:t>
      </w:r>
      <w:r w:rsidR="003F6113">
        <w:t xml:space="preserve"> still survive, albeit with reduced reach, and</w:t>
      </w:r>
      <w:r>
        <w:t xml:space="preserve"> </w:t>
      </w:r>
      <w:r w:rsidR="003F6113">
        <w:t xml:space="preserve">their objectives </w:t>
      </w:r>
      <w:r w:rsidR="006B40CA">
        <w:t xml:space="preserve">largely mirror those of the FWA, though sometimes with greater elaboration. For example, the </w:t>
      </w:r>
      <w:r w:rsidR="006B40CA" w:rsidRPr="00203278">
        <w:t xml:space="preserve">Queensland </w:t>
      </w:r>
      <w:r w:rsidR="006B40CA" w:rsidRPr="006B40CA">
        <w:rPr>
          <w:i/>
        </w:rPr>
        <w:t>Industrial Relations Act 1999</w:t>
      </w:r>
      <w:r w:rsidR="006B40CA">
        <w:t xml:space="preserve"> specifies 14 separate objectives, such as ‘meeting the needs of emerging labour markets and work patterns’, and ‘promoting and facilitating jobs growth, skills acquisition and vocational training through apprenticeships, traineeships and labour market programs</w:t>
      </w:r>
      <w:r w:rsidR="00C92D1F">
        <w:t>’</w:t>
      </w:r>
      <w:r w:rsidR="006B40CA">
        <w:t xml:space="preserve"> (s. 3)</w:t>
      </w:r>
      <w:r>
        <w:t>.</w:t>
      </w:r>
    </w:p>
    <w:p w14:paraId="23FFF69F" w14:textId="362DFCC2" w:rsidR="00E3493D" w:rsidRPr="00C92D1F" w:rsidRDefault="00E3493D" w:rsidP="00E3493D">
      <w:pPr>
        <w:pStyle w:val="BodyText"/>
      </w:pPr>
      <w:r>
        <w:t xml:space="preserve">One issue for this inquiry is whether any system can hope to achieve coherence across this diversity of objectives. By its nature, legislation often claims multiple objectives. But establishing what a system is meant to achieve is important for this inquiry, and </w:t>
      </w:r>
      <w:r w:rsidR="00E9453D">
        <w:t xml:space="preserve">the </w:t>
      </w:r>
      <w:r w:rsidR="00E9453D">
        <w:lastRenderedPageBreak/>
        <w:t xml:space="preserve">relevant </w:t>
      </w:r>
      <w:r>
        <w:t>legislation is an obvious starting point.</w:t>
      </w:r>
      <w:r>
        <w:rPr>
          <w:b/>
          <w:i/>
        </w:rPr>
        <w:t xml:space="preserve"> </w:t>
      </w:r>
      <w:r w:rsidRPr="00C92D1F">
        <w:rPr>
          <w:i/>
        </w:rPr>
        <w:t xml:space="preserve">The Commission encourages stakeholders to give their views on </w:t>
      </w:r>
      <w:r>
        <w:rPr>
          <w:i/>
        </w:rPr>
        <w:t xml:space="preserve">the </w:t>
      </w:r>
      <w:r w:rsidRPr="00C92D1F">
        <w:rPr>
          <w:i/>
        </w:rPr>
        <w:t>appropriate objectives</w:t>
      </w:r>
      <w:r>
        <w:rPr>
          <w:i/>
        </w:rPr>
        <w:t xml:space="preserve"> of the WR system, how these can be balanced and their capacity to adapt</w:t>
      </w:r>
      <w:r w:rsidRPr="00C92D1F">
        <w:t xml:space="preserve"> </w:t>
      </w:r>
      <w:r w:rsidRPr="00C92D1F">
        <w:rPr>
          <w:i/>
        </w:rPr>
        <w:t>to future structural change and global economic trends</w:t>
      </w:r>
      <w:r>
        <w:t>.</w:t>
      </w:r>
    </w:p>
    <w:p w14:paraId="55521AB2" w14:textId="7AFE322D" w:rsidR="00C2359D" w:rsidRPr="00C91977" w:rsidRDefault="004B1A90" w:rsidP="00E3493D">
      <w:pPr>
        <w:pStyle w:val="Heading2"/>
      </w:pPr>
      <w:bookmarkStart w:id="15" w:name="_Toc409524623"/>
      <w:r>
        <w:t>1.</w:t>
      </w:r>
      <w:bookmarkStart w:id="16" w:name="_Toc408581787"/>
      <w:r w:rsidR="00AA6994">
        <w:rPr>
          <w:noProof/>
        </w:rPr>
        <w:t>3</w:t>
      </w:r>
      <w:r w:rsidR="00E3493D">
        <w:tab/>
      </w:r>
      <w:r w:rsidR="00C2359D" w:rsidRPr="00C91977">
        <w:t xml:space="preserve">The historical context: </w:t>
      </w:r>
      <w:r w:rsidR="00203278">
        <w:t>h</w:t>
      </w:r>
      <w:r w:rsidR="00C2359D" w:rsidRPr="00C91977">
        <w:t xml:space="preserve">ow </w:t>
      </w:r>
      <w:r w:rsidR="00E9453D">
        <w:t>the WR system evolved</w:t>
      </w:r>
      <w:r w:rsidR="00C2359D" w:rsidRPr="00C91977" w:rsidDel="00E9453D">
        <w:t xml:space="preserve"> </w:t>
      </w:r>
      <w:r w:rsidR="00C2359D" w:rsidRPr="00C91977">
        <w:t>seems important</w:t>
      </w:r>
      <w:bookmarkEnd w:id="16"/>
      <w:bookmarkEnd w:id="15"/>
    </w:p>
    <w:p w14:paraId="0A7B64A6" w14:textId="4BB4E448" w:rsidR="00C2359D" w:rsidRDefault="00C2359D" w:rsidP="00E3493D">
      <w:pPr>
        <w:pStyle w:val="BodyText"/>
      </w:pPr>
      <w:r>
        <w:t>The circumstances under which Australia’s workplace relations laws and practices developed are unique to this</w:t>
      </w:r>
      <w:r w:rsidR="00E3493D">
        <w:t xml:space="preserve"> country</w:t>
      </w:r>
      <w:r w:rsidR="006F6721">
        <w:t>, but have adapted considerably over time</w:t>
      </w:r>
      <w:r w:rsidR="007256AD">
        <w:t>.</w:t>
      </w:r>
      <w:r w:rsidR="00E3493D">
        <w:t xml:space="preserve"> </w:t>
      </w:r>
    </w:p>
    <w:p w14:paraId="305CB469" w14:textId="77777777" w:rsidR="0088240F" w:rsidRDefault="00C2359D" w:rsidP="00E3493D">
      <w:pPr>
        <w:pStyle w:val="BodyText"/>
      </w:pPr>
      <w:r>
        <w:t>Two significant events shaped the early development of the system in Australia</w:t>
      </w:r>
      <w:r w:rsidR="0088240F">
        <w:t>:</w:t>
      </w:r>
    </w:p>
    <w:p w14:paraId="74A8BA7B" w14:textId="689190C9" w:rsidR="0088240F" w:rsidRDefault="00C2359D" w:rsidP="00E2388D">
      <w:pPr>
        <w:pStyle w:val="ListBullet"/>
      </w:pPr>
      <w:r>
        <w:t xml:space="preserve">the debilitating strikes of the 1890s, which resulted in </w:t>
      </w:r>
      <w:r w:rsidR="0088240F">
        <w:t>the creation of industrial arbitration tribunals at t</w:t>
      </w:r>
      <w:r w:rsidR="00E2388D">
        <w:t>he state and Commonwealth level</w:t>
      </w:r>
      <w:r w:rsidR="0088240F">
        <w:t xml:space="preserve"> and the introduction of </w:t>
      </w:r>
      <w:r>
        <w:t>a limited dispute settlement power</w:t>
      </w:r>
      <w:r w:rsidR="0088240F">
        <w:t xml:space="preserve"> into the </w:t>
      </w:r>
      <w:r>
        <w:t>Constitution</w:t>
      </w:r>
      <w:r w:rsidR="00F1157C">
        <w:t xml:space="preserve"> at federation</w:t>
      </w:r>
    </w:p>
    <w:p w14:paraId="3AD0EF20" w14:textId="6DB5FC69" w:rsidR="00C2359D" w:rsidRDefault="00C2359D" w:rsidP="006F6721">
      <w:pPr>
        <w:pStyle w:val="ListBullet"/>
      </w:pPr>
      <w:r>
        <w:t>the Harvester Judgment of 1907</w:t>
      </w:r>
      <w:r w:rsidR="007008AE" w:rsidRPr="007008AE">
        <w:t xml:space="preserve"> </w:t>
      </w:r>
      <w:r w:rsidR="007008AE">
        <w:t>in the Commonwealth Conciliation and Arbitration Court</w:t>
      </w:r>
      <w:r>
        <w:t xml:space="preserve">, </w:t>
      </w:r>
      <w:r w:rsidR="00E2388D">
        <w:t xml:space="preserve">which </w:t>
      </w:r>
      <w:r w:rsidR="003F12E6">
        <w:t xml:space="preserve">defined the </w:t>
      </w:r>
      <w:r>
        <w:t>minimum conditions under which a</w:t>
      </w:r>
      <w:r w:rsidR="00C57196">
        <w:t xml:space="preserve"> man</w:t>
      </w:r>
      <w:r>
        <w:t xml:space="preserve"> would be able to support </w:t>
      </w:r>
      <w:r w:rsidRPr="00C57196">
        <w:t>his</w:t>
      </w:r>
      <w:r>
        <w:t xml:space="preserve"> family</w:t>
      </w:r>
      <w:r w:rsidR="003F12E6">
        <w:t xml:space="preserve"> in </w:t>
      </w:r>
      <w:r w:rsidR="00E2388D">
        <w:t>‘</w:t>
      </w:r>
      <w:r w:rsidR="003F12E6">
        <w:t xml:space="preserve">reasonable </w:t>
      </w:r>
      <w:r w:rsidR="00E2388D">
        <w:t xml:space="preserve">and frugal </w:t>
      </w:r>
      <w:r w:rsidR="003F12E6">
        <w:t>comfort</w:t>
      </w:r>
      <w:r w:rsidR="00E2388D">
        <w:t>’</w:t>
      </w:r>
      <w:r w:rsidR="0046582E">
        <w:t xml:space="preserve">. The </w:t>
      </w:r>
      <w:r w:rsidR="00B652A9">
        <w:t>criteria for determining the minimum wage and its scope have</w:t>
      </w:r>
      <w:r w:rsidR="0046582E">
        <w:t xml:space="preserve"> since changed considerably</w:t>
      </w:r>
      <w:r w:rsidR="00B652A9">
        <w:t>, exemplified by the ‘</w:t>
      </w:r>
      <w:r w:rsidR="006F6721" w:rsidRPr="006F6721">
        <w:t>equal pay for work of equal value</w:t>
      </w:r>
      <w:r w:rsidR="00B652A9">
        <w:t>’ decision in the mid</w:t>
      </w:r>
      <w:r w:rsidR="006F6721">
        <w:noBreakHyphen/>
      </w:r>
      <w:r w:rsidR="00B652A9">
        <w:t>1970s. Nevertheless,</w:t>
      </w:r>
      <w:r w:rsidR="0046582E">
        <w:t xml:space="preserve"> the decision was the first of many to come that set base</w:t>
      </w:r>
      <w:r w:rsidR="00D10E92">
        <w:noBreakHyphen/>
      </w:r>
      <w:r w:rsidR="0046582E">
        <w:t>level standards for the wages and conditions (with such standards the main topic of Issues Paper 2)</w:t>
      </w:r>
      <w:r w:rsidR="00526341">
        <w:t>.</w:t>
      </w:r>
      <w:r w:rsidR="00830F29">
        <w:t xml:space="preserve"> </w:t>
      </w:r>
    </w:p>
    <w:p w14:paraId="7C7268A7" w14:textId="6058EEF7" w:rsidR="00C2359D" w:rsidRDefault="00C2359D" w:rsidP="00E3493D">
      <w:pPr>
        <w:pStyle w:val="BodyText"/>
      </w:pPr>
      <w:r>
        <w:t>Gradually, the syst</w:t>
      </w:r>
      <w:r w:rsidR="00203278">
        <w:t>em of f</w:t>
      </w:r>
      <w:r>
        <w:t>ederal awards grew, mostly</w:t>
      </w:r>
      <w:r w:rsidR="00A904DB">
        <w:t xml:space="preserve"> due to </w:t>
      </w:r>
      <w:r>
        <w:t>efforts by some unions to broaden</w:t>
      </w:r>
      <w:r w:rsidR="00D81D6F">
        <w:t xml:space="preserve"> their</w:t>
      </w:r>
      <w:r>
        <w:t xml:space="preserve"> national application </w:t>
      </w:r>
      <w:r w:rsidR="00E2388D">
        <w:t>through</w:t>
      </w:r>
      <w:r>
        <w:t xml:space="preserve"> </w:t>
      </w:r>
      <w:r w:rsidR="00D81D6F">
        <w:t xml:space="preserve">the </w:t>
      </w:r>
      <w:r>
        <w:t xml:space="preserve">active use of the </w:t>
      </w:r>
      <w:r w:rsidR="00D81D6F">
        <w:t xml:space="preserve">Commonwealth’s </w:t>
      </w:r>
      <w:r>
        <w:t>dispute settlement powers, although as recently as 1990</w:t>
      </w:r>
      <w:r w:rsidR="00D81D6F">
        <w:t>,</w:t>
      </w:r>
      <w:r>
        <w:t xml:space="preserve"> there were still more employees covered by </w:t>
      </w:r>
      <w:r w:rsidR="00203278">
        <w:t>s</w:t>
      </w:r>
      <w:r>
        <w:t xml:space="preserve">tate </w:t>
      </w:r>
      <w:r w:rsidR="00E2388D">
        <w:t>tha</w:t>
      </w:r>
      <w:r w:rsidR="00203278">
        <w:t>n f</w:t>
      </w:r>
      <w:r w:rsidR="00E2388D">
        <w:t xml:space="preserve">ederal </w:t>
      </w:r>
      <w:r>
        <w:t>awards</w:t>
      </w:r>
      <w:r w:rsidR="00A904DB">
        <w:t xml:space="preserve">. </w:t>
      </w:r>
      <w:r w:rsidR="00112F32">
        <w:t xml:space="preserve">These awards and the processes that determined them distinguish Australia from most other developed countries. </w:t>
      </w:r>
      <w:r w:rsidR="00D81D6F">
        <w:t xml:space="preserve">While their names and roles have changed, various specialist Commonwealth agencies have played an increasing role in regulating WR </w:t>
      </w:r>
      <w:r w:rsidR="006C54EA">
        <w:t>across all jurisdictions</w:t>
      </w:r>
      <w:r w:rsidR="00D81D6F">
        <w:t xml:space="preserve">, in part due to the growing use by the Commonwealth of its </w:t>
      </w:r>
      <w:r w:rsidR="0055655F">
        <w:t>constitutional</w:t>
      </w:r>
      <w:r w:rsidR="00D81D6F">
        <w:t xml:space="preserve"> powers</w:t>
      </w:r>
      <w:r w:rsidR="0055655F">
        <w:t xml:space="preserve"> and state governments’ willingness to refer their powers</w:t>
      </w:r>
      <w:r w:rsidR="00112F32">
        <w:t xml:space="preserve"> </w:t>
      </w:r>
      <w:r w:rsidR="00112F32" w:rsidRPr="0055655F">
        <w:rPr>
          <w:szCs w:val="24"/>
        </w:rPr>
        <w:t>(</w:t>
      </w:r>
      <w:proofErr w:type="spellStart"/>
      <w:r w:rsidR="00112F32" w:rsidRPr="0055655F">
        <w:rPr>
          <w:szCs w:val="24"/>
        </w:rPr>
        <w:t>Lucev</w:t>
      </w:r>
      <w:proofErr w:type="spellEnd"/>
      <w:r w:rsidR="00112F32" w:rsidRPr="0055655F">
        <w:rPr>
          <w:szCs w:val="24"/>
        </w:rPr>
        <w:t> 2008; McCallum 2005)</w:t>
      </w:r>
      <w:r w:rsidR="0055655F">
        <w:t>.</w:t>
      </w:r>
      <w:r w:rsidR="006C54EA">
        <w:t xml:space="preserve"> </w:t>
      </w:r>
      <w:r w:rsidR="007256AD">
        <w:t xml:space="preserve">The pessimism expressed by the Constitution Commission 1988 about the capacity of the Australian Constitution to provide for a more national system was largely misplaced. </w:t>
      </w:r>
      <w:r w:rsidR="006C54EA">
        <w:t xml:space="preserve">The main remaining exceptions </w:t>
      </w:r>
      <w:r w:rsidR="007256AD">
        <w:t xml:space="preserve">to a national system </w:t>
      </w:r>
      <w:r w:rsidR="006C54EA">
        <w:t>are employees of unincorporated enterprises</w:t>
      </w:r>
      <w:r w:rsidR="006C54EA" w:rsidRPr="006C54EA">
        <w:t xml:space="preserve"> </w:t>
      </w:r>
      <w:r w:rsidR="006C54EA">
        <w:t xml:space="preserve">in Western Australia and many employees paid by state governments — which provide </w:t>
      </w:r>
      <w:r w:rsidR="00C214F5">
        <w:t>an</w:t>
      </w:r>
      <w:r w:rsidR="006C54EA">
        <w:t xml:space="preserve"> example of the </w:t>
      </w:r>
      <w:r w:rsidR="004C3449">
        <w:t xml:space="preserve">lingering presence of past arrangements in the current system. </w:t>
      </w:r>
    </w:p>
    <w:p w14:paraId="1333A504" w14:textId="6983A22A" w:rsidR="004C3449" w:rsidRDefault="004C3449" w:rsidP="000F30E1">
      <w:pPr>
        <w:pStyle w:val="BodyText"/>
        <w:keepNext/>
      </w:pPr>
      <w:r>
        <w:t xml:space="preserve">The most recent changes </w:t>
      </w:r>
      <w:r w:rsidR="00112F32">
        <w:t xml:space="preserve">in the system </w:t>
      </w:r>
      <w:r w:rsidR="00F256FB">
        <w:t>include</w:t>
      </w:r>
      <w:r>
        <w:t>:</w:t>
      </w:r>
    </w:p>
    <w:p w14:paraId="3F4E565B" w14:textId="67C6DFD8" w:rsidR="004C3449" w:rsidRDefault="004C3449" w:rsidP="004C3449">
      <w:pPr>
        <w:pStyle w:val="ListBullet"/>
      </w:pPr>
      <w:proofErr w:type="gramStart"/>
      <w:r>
        <w:t>the</w:t>
      </w:r>
      <w:proofErr w:type="gramEnd"/>
      <w:r>
        <w:t xml:space="preserve"> shift from centrally determining wages and conditions to enterprise</w:t>
      </w:r>
      <w:r w:rsidR="00D10E92">
        <w:noBreakHyphen/>
      </w:r>
      <w:r>
        <w:t xml:space="preserve">level bargaining (the biggest break from the past). While awards still provide a floor for employment conditions, there is no longer a third party industrial tribunal that settles industrial disputes by making awards </w:t>
      </w:r>
      <w:r w:rsidRPr="007D5344">
        <w:rPr>
          <w:szCs w:val="24"/>
        </w:rPr>
        <w:t>(Hamilton 2012, p. 2)</w:t>
      </w:r>
      <w:r>
        <w:t xml:space="preserve"> </w:t>
      </w:r>
    </w:p>
    <w:p w14:paraId="3B53BAF9" w14:textId="5438CDB4" w:rsidR="004C3449" w:rsidRDefault="004C3449" w:rsidP="004C3449">
      <w:pPr>
        <w:pStyle w:val="ListBullet"/>
      </w:pPr>
      <w:proofErr w:type="gramStart"/>
      <w:r>
        <w:lastRenderedPageBreak/>
        <w:t>some</w:t>
      </w:r>
      <w:proofErr w:type="gramEnd"/>
      <w:r>
        <w:t xml:space="preserve"> emphasis on productivity and flexibility at the enterprise level as </w:t>
      </w:r>
      <w:r w:rsidRPr="00F75290">
        <w:rPr>
          <w:i/>
        </w:rPr>
        <w:t>goals</w:t>
      </w:r>
      <w:r>
        <w:t xml:space="preserve"> of the WR system</w:t>
      </w:r>
      <w:r w:rsidR="00203278">
        <w:t>.</w:t>
      </w:r>
      <w:r>
        <w:t xml:space="preserve"> (</w:t>
      </w:r>
      <w:r w:rsidR="000113ED">
        <w:t xml:space="preserve">An aspect of this inquiry will be to assess </w:t>
      </w:r>
      <w:r>
        <w:t>whether these goals have been achieved)</w:t>
      </w:r>
    </w:p>
    <w:p w14:paraId="1638BB1A" w14:textId="0AC368D5" w:rsidR="004C3449" w:rsidRDefault="004C3449" w:rsidP="004C3449">
      <w:pPr>
        <w:pStyle w:val="ListBullet"/>
      </w:pPr>
      <w:r>
        <w:t xml:space="preserve">simplification of awards (from 3715 state and federal awards to 122 ‘modern’ awards in 2010 </w:t>
      </w:r>
      <w:r w:rsidR="000D6457" w:rsidRPr="000D6457">
        <w:rPr>
          <w:szCs w:val="24"/>
        </w:rPr>
        <w:t>(Australian Government 2012a)</w:t>
      </w:r>
      <w:r w:rsidR="009B6A2D">
        <w:t>, and the introduction of greater flexibility into such awards</w:t>
      </w:r>
    </w:p>
    <w:p w14:paraId="16EE3AB2" w14:textId="3AC81BBA" w:rsidR="00893010" w:rsidRDefault="00893010" w:rsidP="004C3449">
      <w:pPr>
        <w:pStyle w:val="ListBullet"/>
      </w:pPr>
      <w:r>
        <w:t xml:space="preserve">the widening scope of the Federal Minimum Wage to encompass employees of all businesses (except those employed by unincorporated enterprises in Western Australia), and the creation of specific legislative criteria for setting the minimum </w:t>
      </w:r>
      <w:r w:rsidRPr="00893010">
        <w:rPr>
          <w:szCs w:val="24"/>
        </w:rPr>
        <w:t>(Bray 2013)</w:t>
      </w:r>
      <w:r w:rsidR="00C54057">
        <w:t xml:space="preserve"> </w:t>
      </w:r>
    </w:p>
    <w:p w14:paraId="196E835A" w14:textId="7A0FE8BB" w:rsidR="004C3449" w:rsidRDefault="004C3449" w:rsidP="004C3449">
      <w:pPr>
        <w:pStyle w:val="ListBullet"/>
      </w:pPr>
      <w:proofErr w:type="gramStart"/>
      <w:r>
        <w:t>introduction</w:t>
      </w:r>
      <w:proofErr w:type="gramEnd"/>
      <w:r>
        <w:t xml:space="preserve"> of protections for individual workers (rather than collectives of workers) that exceeded the protections in particular awards, specific state and territory laws, and remedies at common law. The most important development was the inclusion of unfair dismissal arrangements into the federal WR system </w:t>
      </w:r>
      <w:r w:rsidRPr="00250709">
        <w:rPr>
          <w:szCs w:val="24"/>
        </w:rPr>
        <w:t>(</w:t>
      </w:r>
      <w:proofErr w:type="spellStart"/>
      <w:r w:rsidRPr="00250709">
        <w:rPr>
          <w:szCs w:val="24"/>
        </w:rPr>
        <w:t>Figgis</w:t>
      </w:r>
      <w:proofErr w:type="spellEnd"/>
      <w:r w:rsidRPr="00250709">
        <w:rPr>
          <w:szCs w:val="24"/>
        </w:rPr>
        <w:t xml:space="preserve"> 1998, pp. 1–2; Forsyth 2008, p. 509; </w:t>
      </w:r>
      <w:proofErr w:type="spellStart"/>
      <w:r w:rsidRPr="00250709">
        <w:rPr>
          <w:szCs w:val="24"/>
        </w:rPr>
        <w:t>Wheelright</w:t>
      </w:r>
      <w:proofErr w:type="spellEnd"/>
      <w:r w:rsidRPr="00250709">
        <w:rPr>
          <w:szCs w:val="24"/>
        </w:rPr>
        <w:t> 2001, pp. 173–176)</w:t>
      </w:r>
      <w:r>
        <w:t xml:space="preserve">. In 2014, </w:t>
      </w:r>
      <w:r w:rsidR="00203278">
        <w:t>f</w:t>
      </w:r>
      <w:r>
        <w:t>ederal employment protection was extended so that workers subjected to alleged workplace bullying in constitutionally</w:t>
      </w:r>
      <w:r w:rsidR="00D10E92">
        <w:noBreakHyphen/>
      </w:r>
      <w:r>
        <w:t xml:space="preserve">covered businesses could take the matter to the FWC, which could make an order to stop any proven bullying </w:t>
      </w:r>
    </w:p>
    <w:p w14:paraId="264345D8" w14:textId="35A36AED" w:rsidR="004C3449" w:rsidRDefault="004C3449" w:rsidP="004C3449">
      <w:pPr>
        <w:pStyle w:val="ListBullet"/>
      </w:pPr>
      <w:r>
        <w:t xml:space="preserve">the transfer of some key matters relating to working conditions (such as WHS) to dedicated laws and institutions outside the WR system </w:t>
      </w:r>
    </w:p>
    <w:p w14:paraId="7DDB26D6" w14:textId="3D31B45E" w:rsidR="004C3449" w:rsidRDefault="004C3449" w:rsidP="004C3449">
      <w:pPr>
        <w:pStyle w:val="ListBullet"/>
      </w:pPr>
      <w:proofErr w:type="gramStart"/>
      <w:r>
        <w:t>according</w:t>
      </w:r>
      <w:proofErr w:type="gramEnd"/>
      <w:r>
        <w:t xml:space="preserve"> less weight generally to the powers of unions as negotiating parties for wages and conditions, and as monitors of WHS </w:t>
      </w:r>
      <w:r w:rsidRPr="00FD66A8">
        <w:rPr>
          <w:szCs w:val="24"/>
        </w:rPr>
        <w:t>(Patmore 2006)</w:t>
      </w:r>
      <w:r w:rsidR="00203278">
        <w:t xml:space="preserve">, as well as </w:t>
      </w:r>
      <w:r>
        <w:t>a general decline in union membership (</w:t>
      </w:r>
      <w:r w:rsidR="00C214F5">
        <w:t>Issues Paper 3</w:t>
      </w:r>
      <w:r w:rsidR="00112F32">
        <w:t>).</w:t>
      </w:r>
      <w:r>
        <w:t xml:space="preserve"> </w:t>
      </w:r>
    </w:p>
    <w:p w14:paraId="24C4E569" w14:textId="54243F51" w:rsidR="000C43D3" w:rsidRDefault="00223883" w:rsidP="00E3493D">
      <w:pPr>
        <w:pStyle w:val="BodyText"/>
      </w:pPr>
      <w:r>
        <w:t xml:space="preserve">At the end of this period of considerable change, </w:t>
      </w:r>
      <w:r w:rsidR="00AE36B9">
        <w:t>there remains some continuity. S</w:t>
      </w:r>
      <w:r>
        <w:t>a</w:t>
      </w:r>
      <w:r w:rsidR="00AE36B9">
        <w:t>f</w:t>
      </w:r>
      <w:r>
        <w:t>ety net arrangements remain a</w:t>
      </w:r>
      <w:r w:rsidR="00203278">
        <w:t xml:space="preserve"> fundamental</w:t>
      </w:r>
      <w:r>
        <w:t xml:space="preserve"> part of the system (</w:t>
      </w:r>
      <w:r w:rsidR="00203278">
        <w:t xml:space="preserve">through </w:t>
      </w:r>
      <w:r>
        <w:t>awards covering a wide range of industries; National Employment Standards that must be reflected in all agreements; and a regularly re</w:t>
      </w:r>
      <w:r w:rsidR="00D10E92">
        <w:noBreakHyphen/>
      </w:r>
      <w:r>
        <w:t>set minimum wage</w:t>
      </w:r>
      <w:r w:rsidR="00AE36B9">
        <w:t xml:space="preserve">). There are still elaborate laws and administrative processes governing employment relations in all but a few pockets of the economy, and multiple specialist agencies still oversee the system. </w:t>
      </w:r>
      <w:r w:rsidR="000C43D3">
        <w:t xml:space="preserve">Even as the system has moved towards much greater use of enterprise bargaining, the requirements for review and registration of each agreement and the circumstances under which negotiations may proceed have remained within the (adapted) legal structure. </w:t>
      </w:r>
    </w:p>
    <w:p w14:paraId="214C97C4" w14:textId="0EF1A42C" w:rsidR="00B771D7" w:rsidRDefault="00C61BD2" w:rsidP="000C43D3">
      <w:pPr>
        <w:pStyle w:val="BodyText"/>
      </w:pPr>
      <w:r>
        <w:t xml:space="preserve">In </w:t>
      </w:r>
      <w:r w:rsidR="009C170E">
        <w:t>some important</w:t>
      </w:r>
      <w:r>
        <w:t xml:space="preserve"> respects,</w:t>
      </w:r>
      <w:r w:rsidR="00AE36B9">
        <w:t xml:space="preserve"> Australia</w:t>
      </w:r>
      <w:r>
        <w:t>’s WR system</w:t>
      </w:r>
      <w:r w:rsidR="00AE36B9">
        <w:t xml:space="preserve"> is not </w:t>
      </w:r>
      <w:r>
        <w:t xml:space="preserve">internationally </w:t>
      </w:r>
      <w:r w:rsidR="00AE36B9">
        <w:t>unique</w:t>
      </w:r>
      <w:r w:rsidR="000C43D3">
        <w:t xml:space="preserve">. </w:t>
      </w:r>
      <w:r w:rsidR="00F256FB">
        <w:t>M</w:t>
      </w:r>
      <w:r w:rsidR="000C43D3">
        <w:t xml:space="preserve">ost countries have safety nets of some form, use </w:t>
      </w:r>
      <w:r w:rsidR="002C0FE6">
        <w:t>multiple</w:t>
      </w:r>
      <w:r w:rsidR="000C43D3">
        <w:t xml:space="preserve"> specialist agencies for </w:t>
      </w:r>
      <w:r w:rsidR="00890ABA">
        <w:t>(</w:t>
      </w:r>
      <w:r w:rsidR="000C43D3">
        <w:t>quasi</w:t>
      </w:r>
      <w:r w:rsidR="00926AF7">
        <w:t xml:space="preserve"> </w:t>
      </w:r>
      <w:r w:rsidR="00890ABA">
        <w:t xml:space="preserve">and actual) </w:t>
      </w:r>
      <w:r w:rsidR="000C43D3">
        <w:t>jud</w:t>
      </w:r>
      <w:r w:rsidR="00890ABA">
        <w:t>icial</w:t>
      </w:r>
      <w:r w:rsidR="000C43D3">
        <w:t xml:space="preserve"> and mediation purposes, and prescribe laws about the processes for negotiation</w:t>
      </w:r>
      <w:r w:rsidR="00566BED">
        <w:t xml:space="preserve"> between parties. No system is simple</w:t>
      </w:r>
      <w:r w:rsidR="000C43D3">
        <w:t xml:space="preserve">. Arguably, many </w:t>
      </w:r>
      <w:r w:rsidR="00497D8C">
        <w:t xml:space="preserve">other </w:t>
      </w:r>
      <w:r w:rsidR="000C43D3">
        <w:t>federations have more fragmented WR systems.</w:t>
      </w:r>
      <w:r w:rsidR="00AE36B9">
        <w:t xml:space="preserve"> However, </w:t>
      </w:r>
      <w:r w:rsidR="000C43D3">
        <w:t>notwithstanding a shift towards enterprise bargaining</w:t>
      </w:r>
      <w:r w:rsidR="00497D8C">
        <w:t xml:space="preserve"> (and</w:t>
      </w:r>
      <w:r w:rsidR="00B0031F">
        <w:t>,</w:t>
      </w:r>
      <w:r w:rsidR="00497D8C">
        <w:t xml:space="preserve"> to a lesser extent, individual agreements)</w:t>
      </w:r>
      <w:r w:rsidR="000C43D3">
        <w:t>, Australia</w:t>
      </w:r>
      <w:r w:rsidR="00AE36B9">
        <w:t xml:space="preserve"> </w:t>
      </w:r>
      <w:r w:rsidR="000C43D3">
        <w:t xml:space="preserve">appears to </w:t>
      </w:r>
      <w:r w:rsidR="00AE36B9">
        <w:t>g</w:t>
      </w:r>
      <w:r w:rsidR="000C43D3">
        <w:t>ive</w:t>
      </w:r>
      <w:r w:rsidR="00AE36B9">
        <w:t xml:space="preserve"> more weight than other Anglo</w:t>
      </w:r>
      <w:r w:rsidR="00D10E92">
        <w:noBreakHyphen/>
      </w:r>
      <w:r w:rsidR="00AE36B9">
        <w:t>Saxon countr</w:t>
      </w:r>
      <w:r w:rsidR="00AB6EA7">
        <w:t>ies</w:t>
      </w:r>
      <w:r w:rsidR="00AE36B9">
        <w:t xml:space="preserve"> to </w:t>
      </w:r>
      <w:r w:rsidR="00B771D7">
        <w:t>elaborate rules about WR processes</w:t>
      </w:r>
      <w:r w:rsidR="00497D8C">
        <w:t xml:space="preserve"> and</w:t>
      </w:r>
      <w:r w:rsidR="00B0031F">
        <w:t>,</w:t>
      </w:r>
      <w:r w:rsidR="00497D8C">
        <w:t xml:space="preserve"> </w:t>
      </w:r>
      <w:r>
        <w:t>most particularly</w:t>
      </w:r>
      <w:r w:rsidR="00B0031F">
        <w:t>,</w:t>
      </w:r>
      <w:r>
        <w:t xml:space="preserve"> </w:t>
      </w:r>
      <w:r w:rsidR="00B771D7">
        <w:t xml:space="preserve">to </w:t>
      </w:r>
      <w:r w:rsidR="00AE36B9">
        <w:t>the centralised determination of wages and conditions for many employees</w:t>
      </w:r>
      <w:r w:rsidR="00B771D7">
        <w:t xml:space="preserve">. </w:t>
      </w:r>
      <w:r w:rsidR="00B771D7">
        <w:lastRenderedPageBreak/>
        <w:t>This then requires a complex legal and institutional architecture</w:t>
      </w:r>
      <w:r w:rsidR="001A2BFA">
        <w:t xml:space="preserve"> </w:t>
      </w:r>
      <w:r w:rsidR="00B0031F">
        <w:t xml:space="preserve">that is </w:t>
      </w:r>
      <w:r w:rsidR="001A2BFA">
        <w:t>distinctive to Australia</w:t>
      </w:r>
      <w:r w:rsidR="00B771D7">
        <w:t>.</w:t>
      </w:r>
      <w:r w:rsidR="00AD4DA1">
        <w:t xml:space="preserve"> </w:t>
      </w:r>
    </w:p>
    <w:p w14:paraId="39A30CC0" w14:textId="2534D4AB" w:rsidR="000A38F4" w:rsidRPr="000A38F4" w:rsidRDefault="00AB6EA7" w:rsidP="000C43D3">
      <w:pPr>
        <w:pStyle w:val="BodyText"/>
        <w:rPr>
          <w:i/>
        </w:rPr>
      </w:pPr>
      <w:r>
        <w:t xml:space="preserve">Given the weight of history in shaping Australia’s current arrangements and its divergence from systems in some other developed countries, </w:t>
      </w:r>
      <w:r w:rsidR="009B425C">
        <w:t>a useful</w:t>
      </w:r>
      <w:r w:rsidR="00603C37">
        <w:t xml:space="preserve"> question </w:t>
      </w:r>
      <w:r w:rsidR="009B425C">
        <w:t xml:space="preserve">for participants </w:t>
      </w:r>
      <w:r w:rsidR="00603C37">
        <w:t xml:space="preserve">is </w:t>
      </w:r>
      <w:r w:rsidR="00603C37" w:rsidRPr="009B425C">
        <w:rPr>
          <w:i/>
        </w:rPr>
        <w:t>wh</w:t>
      </w:r>
      <w:r w:rsidR="009B425C" w:rsidRPr="009B425C">
        <w:rPr>
          <w:i/>
        </w:rPr>
        <w:t>e</w:t>
      </w:r>
      <w:r w:rsidR="00603C37" w:rsidRPr="009B425C">
        <w:rPr>
          <w:i/>
        </w:rPr>
        <w:t xml:space="preserve">ther the current system </w:t>
      </w:r>
      <w:r w:rsidR="009B425C" w:rsidRPr="009B425C">
        <w:rPr>
          <w:i/>
        </w:rPr>
        <w:t>is well suited to contemporary (and evolving) workplace needs</w:t>
      </w:r>
      <w:r w:rsidR="00600E7C">
        <w:rPr>
          <w:i/>
        </w:rPr>
        <w:t xml:space="preserve"> for Australia in an increasingly globalised economy</w:t>
      </w:r>
      <w:r w:rsidR="009B425C" w:rsidRPr="009B425C">
        <w:rPr>
          <w:i/>
        </w:rPr>
        <w:t>.</w:t>
      </w:r>
      <w:r w:rsidR="001A2BFA">
        <w:t xml:space="preserve"> </w:t>
      </w:r>
      <w:r w:rsidR="001A2BFA" w:rsidRPr="001A2BFA">
        <w:t xml:space="preserve">It may be that overseas experiences will guide us. </w:t>
      </w:r>
      <w:r w:rsidR="001A2BFA">
        <w:rPr>
          <w:i/>
        </w:rPr>
        <w:t>However</w:t>
      </w:r>
      <w:r w:rsidR="00600E7C">
        <w:rPr>
          <w:i/>
        </w:rPr>
        <w:t>,</w:t>
      </w:r>
      <w:r w:rsidR="001A2BFA" w:rsidRPr="001A2BFA">
        <w:rPr>
          <w:i/>
        </w:rPr>
        <w:t xml:space="preserve"> </w:t>
      </w:r>
      <w:r w:rsidR="001A2BFA">
        <w:rPr>
          <w:i/>
        </w:rPr>
        <w:t>it</w:t>
      </w:r>
      <w:r w:rsidR="001A2BFA" w:rsidRPr="00E3493D">
        <w:rPr>
          <w:i/>
        </w:rPr>
        <w:t xml:space="preserve"> appears there is no </w:t>
      </w:r>
      <w:r w:rsidR="001A2BFA">
        <w:rPr>
          <w:i/>
        </w:rPr>
        <w:t xml:space="preserve">single </w:t>
      </w:r>
      <w:r w:rsidR="001A2BFA" w:rsidRPr="00E3493D">
        <w:rPr>
          <w:i/>
        </w:rPr>
        <w:t>template workplace relations model globally</w:t>
      </w:r>
      <w:r w:rsidR="001A2BFA">
        <w:rPr>
          <w:i/>
        </w:rPr>
        <w:t xml:space="preserve"> that we can emulate</w:t>
      </w:r>
      <w:r w:rsidR="001A2BFA" w:rsidRPr="00E3493D">
        <w:rPr>
          <w:i/>
        </w:rPr>
        <w:t xml:space="preserve">, although the Commission would welcome analysis </w:t>
      </w:r>
      <w:r w:rsidR="00600E7C">
        <w:rPr>
          <w:i/>
        </w:rPr>
        <w:t>drawing on the experience of other countries</w:t>
      </w:r>
      <w:r w:rsidR="001A2BFA" w:rsidRPr="00E3493D">
        <w:rPr>
          <w:i/>
        </w:rPr>
        <w:t>.</w:t>
      </w:r>
    </w:p>
    <w:p w14:paraId="793C58B1" w14:textId="59CA75E4" w:rsidR="00FA15F5" w:rsidRDefault="004B1A90" w:rsidP="008E2950">
      <w:pPr>
        <w:pStyle w:val="Heading2"/>
      </w:pPr>
      <w:bookmarkStart w:id="17" w:name="_Toc409524624"/>
      <w:r>
        <w:t>1.</w:t>
      </w:r>
      <w:bookmarkStart w:id="18" w:name="_Toc408581788"/>
      <w:r w:rsidR="00E56D2F">
        <w:rPr>
          <w:noProof/>
        </w:rPr>
        <w:t>4</w:t>
      </w:r>
      <w:r w:rsidR="008E2950">
        <w:tab/>
      </w:r>
      <w:r w:rsidR="006501B9">
        <w:t>What might need to change</w:t>
      </w:r>
      <w:r w:rsidR="00A92462">
        <w:t>?</w:t>
      </w:r>
      <w:bookmarkEnd w:id="17"/>
      <w:r w:rsidR="00A92462" w:rsidDel="00A92462">
        <w:t xml:space="preserve"> </w:t>
      </w:r>
      <w:bookmarkEnd w:id="18"/>
    </w:p>
    <w:p w14:paraId="1B236508" w14:textId="06FF6389" w:rsidR="00AE38A9" w:rsidRDefault="00FA15F5" w:rsidP="00FA15F5">
      <w:pPr>
        <w:pStyle w:val="BodyText"/>
      </w:pPr>
      <w:r>
        <w:t xml:space="preserve">Not surprisingly, what constitutes the ‘best’ design </w:t>
      </w:r>
      <w:r w:rsidR="00AE38A9">
        <w:t>of a WR framework</w:t>
      </w:r>
      <w:r>
        <w:t xml:space="preserve"> is hotly contested</w:t>
      </w:r>
      <w:r w:rsidR="00AE38A9">
        <w:t xml:space="preserve">. </w:t>
      </w:r>
    </w:p>
    <w:p w14:paraId="2A88479B" w14:textId="733D7CE7" w:rsidR="00DC4FF8" w:rsidRDefault="00600E7C" w:rsidP="007B392F">
      <w:pPr>
        <w:pStyle w:val="Heading3"/>
      </w:pPr>
      <w:bookmarkStart w:id="19" w:name="_Toc408581789"/>
      <w:r>
        <w:t>S</w:t>
      </w:r>
      <w:r w:rsidR="00615732">
        <w:t xml:space="preserve">ome identify multiple </w:t>
      </w:r>
      <w:r w:rsidR="00DC4FF8">
        <w:t>severe flaws</w:t>
      </w:r>
      <w:bookmarkEnd w:id="19"/>
    </w:p>
    <w:p w14:paraId="408B0D3A" w14:textId="2BAACCED" w:rsidR="007F5E07" w:rsidRDefault="0017394B" w:rsidP="00FA15F5">
      <w:pPr>
        <w:pStyle w:val="BodyText"/>
      </w:pPr>
      <w:r>
        <w:t>Many</w:t>
      </w:r>
      <w:r w:rsidR="00FE0DF3">
        <w:t xml:space="preserve"> commentators </w:t>
      </w:r>
      <w:r w:rsidR="00AE38A9">
        <w:t>perceive</w:t>
      </w:r>
      <w:r>
        <w:t xml:space="preserve"> flaws in</w:t>
      </w:r>
      <w:r w:rsidR="00AE38A9">
        <w:t xml:space="preserve"> </w:t>
      </w:r>
      <w:r>
        <w:t xml:space="preserve">Australia’s WR framework, </w:t>
      </w:r>
      <w:r w:rsidR="007F5E07">
        <w:t xml:space="preserve">although views on the problems are divided. </w:t>
      </w:r>
    </w:p>
    <w:p w14:paraId="4AD55A34" w14:textId="2E092098" w:rsidR="00FA15F5" w:rsidRDefault="00934754" w:rsidP="00FA15F5">
      <w:pPr>
        <w:pStyle w:val="BodyText"/>
      </w:pPr>
      <w:r>
        <w:t>S</w:t>
      </w:r>
      <w:r w:rsidR="007F5E07">
        <w:t>ome businesses and other commentators have argued</w:t>
      </w:r>
      <w:r w:rsidR="00AE38A9">
        <w:t xml:space="preserve"> </w:t>
      </w:r>
      <w:r w:rsidR="00FA15F5">
        <w:t xml:space="preserve">that the </w:t>
      </w:r>
      <w:r w:rsidR="00600E7C">
        <w:t xml:space="preserve">current </w:t>
      </w:r>
      <w:r w:rsidR="00FA15F5">
        <w:t>system:</w:t>
      </w:r>
    </w:p>
    <w:p w14:paraId="75F26111" w14:textId="3E229903" w:rsidR="00FA15F5" w:rsidRDefault="00FA15F5" w:rsidP="00FA15F5">
      <w:pPr>
        <w:pStyle w:val="ListBullet"/>
      </w:pPr>
      <w:proofErr w:type="gramStart"/>
      <w:r>
        <w:t>lacks</w:t>
      </w:r>
      <w:proofErr w:type="gramEnd"/>
      <w:r>
        <w:t xml:space="preserve"> flexibility</w:t>
      </w:r>
      <w:r w:rsidR="00157326">
        <w:t xml:space="preserve">, and thus </w:t>
      </w:r>
      <w:r w:rsidR="00473BCA">
        <w:t>interfere</w:t>
      </w:r>
      <w:r w:rsidR="00600E7C">
        <w:t>s</w:t>
      </w:r>
      <w:r w:rsidR="00473BCA">
        <w:t xml:space="preserve"> with manage</w:t>
      </w:r>
      <w:r w:rsidR="00600E7C">
        <w:t>rs’</w:t>
      </w:r>
      <w:r w:rsidR="00473BCA">
        <w:t xml:space="preserve"> ability to manage</w:t>
      </w:r>
      <w:r>
        <w:t>. In its submission to the Productivity Commission’s automotive inquiry</w:t>
      </w:r>
      <w:r w:rsidR="00203278">
        <w:t xml:space="preserve"> </w:t>
      </w:r>
      <w:r>
        <w:t xml:space="preserve">, </w:t>
      </w:r>
      <w:r w:rsidR="002C668D">
        <w:t>the Australian Industry</w:t>
      </w:r>
      <w:r>
        <w:t xml:space="preserve"> Group </w:t>
      </w:r>
      <w:r w:rsidR="00E628E1" w:rsidRPr="00E628E1">
        <w:t>(2013)</w:t>
      </w:r>
      <w:r w:rsidR="00E628E1">
        <w:t xml:space="preserve"> </w:t>
      </w:r>
      <w:r>
        <w:t xml:space="preserve">said that the existing system made it difficult for businesses to hire contractors and </w:t>
      </w:r>
      <w:r w:rsidR="00E628E1">
        <w:t>u</w:t>
      </w:r>
      <w:r w:rsidR="00600E7C">
        <w:t xml:space="preserve">se </w:t>
      </w:r>
      <w:r>
        <w:t>labour hire businesses</w:t>
      </w:r>
      <w:r w:rsidR="00E628E1">
        <w:t xml:space="preserve"> </w:t>
      </w:r>
    </w:p>
    <w:p w14:paraId="6E82C3C2" w14:textId="3D3E4A05" w:rsidR="006501B9" w:rsidRDefault="009F1A62" w:rsidP="00FA15F5">
      <w:pPr>
        <w:pStyle w:val="ListBullet"/>
      </w:pPr>
      <w:r>
        <w:t>requires high negotiated</w:t>
      </w:r>
      <w:r w:rsidR="00FA15F5">
        <w:t xml:space="preserve"> wage rates and excessively short</w:t>
      </w:r>
      <w:r w:rsidR="00D10E92">
        <w:noBreakHyphen/>
      </w:r>
      <w:r>
        <w:t>term</w:t>
      </w:r>
      <w:r w:rsidR="00FA15F5">
        <w:t xml:space="preserve"> greenfield agreements </w:t>
      </w:r>
      <w:r>
        <w:t xml:space="preserve">that may </w:t>
      </w:r>
      <w:r w:rsidR="00FA15F5">
        <w:t xml:space="preserve">threaten the viability of a large prospective </w:t>
      </w:r>
      <w:r w:rsidR="002A115A">
        <w:t>group</w:t>
      </w:r>
      <w:r w:rsidR="00FA15F5">
        <w:t xml:space="preserve"> of long</w:t>
      </w:r>
      <w:r w:rsidR="00D10E92">
        <w:noBreakHyphen/>
      </w:r>
      <w:r w:rsidR="00FA15F5">
        <w:t>term investments in the resource</w:t>
      </w:r>
      <w:r w:rsidR="00D10E92">
        <w:noBreakHyphen/>
      </w:r>
      <w:r w:rsidR="00FA15F5">
        <w:t>int</w:t>
      </w:r>
      <w:r w:rsidR="00E628E1">
        <w:t>ensive sector — particularly Liquefied Natural Gas</w:t>
      </w:r>
      <w:r w:rsidR="00FA15F5">
        <w:t xml:space="preserve"> </w:t>
      </w:r>
      <w:r w:rsidR="00E628E1">
        <w:t xml:space="preserve">(LNG) </w:t>
      </w:r>
      <w:r w:rsidR="00FA15F5">
        <w:t xml:space="preserve">production </w:t>
      </w:r>
      <w:r w:rsidR="00FA15F5" w:rsidRPr="00821BDA">
        <w:rPr>
          <w:szCs w:val="24"/>
        </w:rPr>
        <w:t>(Ferguson 2014)</w:t>
      </w:r>
      <w:r w:rsidR="00FA15F5">
        <w:t xml:space="preserve"> </w:t>
      </w:r>
    </w:p>
    <w:p w14:paraId="0D8647B6" w14:textId="569992F9" w:rsidR="003A13F4" w:rsidRDefault="00FA15F5" w:rsidP="00FA15F5">
      <w:pPr>
        <w:pStyle w:val="ListBullet"/>
      </w:pPr>
      <w:r>
        <w:t xml:space="preserve">does not encourage productivity, as this is not a central feature of </w:t>
      </w:r>
      <w:r w:rsidR="0066636F">
        <w:t>enterprise agreements</w:t>
      </w:r>
      <w:r w:rsidR="00473BCA">
        <w:t xml:space="preserve"> and where negotiated </w:t>
      </w:r>
      <w:r w:rsidR="009B4CB7">
        <w:t xml:space="preserve">may sometimes be little more than </w:t>
      </w:r>
      <w:r w:rsidR="00473BCA">
        <w:t>buying out restrictive work practices</w:t>
      </w:r>
      <w:r>
        <w:t xml:space="preserve"> </w:t>
      </w:r>
      <w:r w:rsidR="00DC4FF8" w:rsidRPr="00DC4FF8">
        <w:rPr>
          <w:szCs w:val="24"/>
        </w:rPr>
        <w:t>(for example, Toyota Australia 2013, p. 16)</w:t>
      </w:r>
      <w:r>
        <w:t xml:space="preserve">. </w:t>
      </w:r>
      <w:r w:rsidR="006501B9">
        <w:t>Some s</w:t>
      </w:r>
      <w:r>
        <w:t xml:space="preserve">urvey evidence from resource businesses suggest that most </w:t>
      </w:r>
      <w:r w:rsidR="0066636F" w:rsidRPr="0066636F">
        <w:t>enterprise agreements</w:t>
      </w:r>
      <w:r>
        <w:t xml:space="preserve"> do not have clauses relating pay to productivity</w:t>
      </w:r>
      <w:r w:rsidR="00A253DB">
        <w:t xml:space="preserve"> </w:t>
      </w:r>
      <w:r w:rsidR="00A253DB" w:rsidRPr="00A253DB">
        <w:rPr>
          <w:szCs w:val="24"/>
        </w:rPr>
        <w:t>(</w:t>
      </w:r>
      <w:proofErr w:type="spellStart"/>
      <w:r w:rsidR="00A253DB" w:rsidRPr="00A253DB">
        <w:rPr>
          <w:szCs w:val="24"/>
        </w:rPr>
        <w:t>Kates</w:t>
      </w:r>
      <w:proofErr w:type="spellEnd"/>
      <w:r w:rsidR="00A253DB" w:rsidRPr="00A253DB">
        <w:rPr>
          <w:szCs w:val="24"/>
        </w:rPr>
        <w:t> 2013, p. 5)</w:t>
      </w:r>
      <w:r w:rsidR="00A253DB">
        <w:t xml:space="preserve"> </w:t>
      </w:r>
    </w:p>
    <w:p w14:paraId="3BA95329" w14:textId="48B6AF1F" w:rsidR="006501B9" w:rsidRDefault="006501B9" w:rsidP="00FA15F5">
      <w:pPr>
        <w:pStyle w:val="ListBullet"/>
      </w:pPr>
      <w:r>
        <w:t xml:space="preserve">encourages </w:t>
      </w:r>
      <w:r w:rsidR="00FA15F5">
        <w:t>overly adversarial relationships between management and employees, which is likely to be inimical to productivity and innovation</w:t>
      </w:r>
      <w:r w:rsidR="00A253DB">
        <w:t xml:space="preserve"> </w:t>
      </w:r>
      <w:r w:rsidR="00203278" w:rsidRPr="00203278">
        <w:rPr>
          <w:szCs w:val="24"/>
        </w:rPr>
        <w:t>(PC 2014b)</w:t>
      </w:r>
      <w:r w:rsidR="00A253DB">
        <w:t xml:space="preserve"> </w:t>
      </w:r>
    </w:p>
    <w:p w14:paraId="69E80F1A" w14:textId="1EF6E638" w:rsidR="004562B8" w:rsidRDefault="007256AD" w:rsidP="00FA15F5">
      <w:pPr>
        <w:pStyle w:val="ListBullet"/>
      </w:pPr>
      <w:r>
        <w:t>a</w:t>
      </w:r>
      <w:r w:rsidR="006501B9">
        <w:t xml:space="preserve">llows </w:t>
      </w:r>
      <w:r w:rsidR="00594A03" w:rsidRPr="0098127B">
        <w:t>strike</w:t>
      </w:r>
      <w:r w:rsidR="006501B9">
        <w:t>s</w:t>
      </w:r>
      <w:r w:rsidR="00594A03" w:rsidRPr="0098127B">
        <w:t xml:space="preserve"> over matters outside the employment relationship</w:t>
      </w:r>
      <w:r w:rsidR="001A01FB">
        <w:t xml:space="preserve"> </w:t>
      </w:r>
      <w:r w:rsidR="001A01FB" w:rsidRPr="001A01FB">
        <w:rPr>
          <w:szCs w:val="24"/>
        </w:rPr>
        <w:t>(AMMA 2014)</w:t>
      </w:r>
      <w:r w:rsidR="00594A03" w:rsidRPr="0098127B">
        <w:t xml:space="preserve"> </w:t>
      </w:r>
    </w:p>
    <w:p w14:paraId="1D290E81" w14:textId="7F896847" w:rsidR="00FA15F5" w:rsidRDefault="00FA15F5" w:rsidP="00FA15F5">
      <w:pPr>
        <w:pStyle w:val="ListBullet"/>
      </w:pPr>
      <w:r>
        <w:t>imposes high penalty rates for work outside the five day working cycle</w:t>
      </w:r>
      <w:r w:rsidR="006501B9">
        <w:t xml:space="preserve"> </w:t>
      </w:r>
      <w:r w:rsidRPr="0068147D">
        <w:rPr>
          <w:szCs w:val="24"/>
        </w:rPr>
        <w:t>(ROH Automotive 2013)</w:t>
      </w:r>
    </w:p>
    <w:p w14:paraId="4B1E3B09" w14:textId="205BB51E" w:rsidR="00FA15F5" w:rsidRDefault="00FA15F5" w:rsidP="00FA15F5">
      <w:pPr>
        <w:pStyle w:val="ListBullet"/>
      </w:pPr>
      <w:r>
        <w:lastRenderedPageBreak/>
        <w:t xml:space="preserve">has costly and slow unfair dismissal laws, with employers </w:t>
      </w:r>
      <w:r w:rsidR="008B42C0">
        <w:t xml:space="preserve">sometimes </w:t>
      </w:r>
      <w:r w:rsidR="00CB5C59">
        <w:t>pay</w:t>
      </w:r>
      <w:r w:rsidR="008B42C0">
        <w:t>ing</w:t>
      </w:r>
      <w:r w:rsidR="00CB5C59">
        <w:t xml:space="preserve"> </w:t>
      </w:r>
      <w:r>
        <w:t xml:space="preserve">‘go away’ </w:t>
      </w:r>
      <w:r w:rsidR="008B42C0">
        <w:t>money</w:t>
      </w:r>
      <w:r>
        <w:t xml:space="preserve"> to avoid the formal process</w:t>
      </w:r>
      <w:r w:rsidR="00594A03">
        <w:t xml:space="preserve"> </w:t>
      </w:r>
    </w:p>
    <w:p w14:paraId="61CBAFBE" w14:textId="6D7B386C" w:rsidR="00FA15F5" w:rsidRDefault="00FA15F5" w:rsidP="0045131B">
      <w:pPr>
        <w:pStyle w:val="ListBullet"/>
      </w:pPr>
      <w:r>
        <w:t xml:space="preserve">despite award consolidation, still has a highly regulated set of base wages across many occupations and industries, which threatens flexibility at the enterprise level and </w:t>
      </w:r>
      <w:r w:rsidR="00681228">
        <w:t>may price</w:t>
      </w:r>
      <w:r>
        <w:t xml:space="preserve"> some workers out of jobs </w:t>
      </w:r>
      <w:r w:rsidR="00813018" w:rsidRPr="0045131B">
        <w:t>(Wooden 2010)</w:t>
      </w:r>
      <w:r w:rsidR="004562B8">
        <w:t xml:space="preserve"> </w:t>
      </w:r>
    </w:p>
    <w:p w14:paraId="6D708409" w14:textId="53156B9E" w:rsidR="00B21487" w:rsidRDefault="00481C5F" w:rsidP="0045131B">
      <w:pPr>
        <w:pStyle w:val="ListBullet"/>
      </w:pPr>
      <w:r>
        <w:t>allows</w:t>
      </w:r>
      <w:r w:rsidR="00FA15F5">
        <w:t xml:space="preserve"> copycat agreements across many enterprises</w:t>
      </w:r>
      <w:r w:rsidR="00BF2B78">
        <w:t>,</w:t>
      </w:r>
      <w:r w:rsidR="00681228">
        <w:t xml:space="preserve"> </w:t>
      </w:r>
      <w:r w:rsidR="00FA15F5">
        <w:t xml:space="preserve">notwithstanding variations in the </w:t>
      </w:r>
      <w:r w:rsidR="00B21487">
        <w:t>circumstances of the enterprises concerned</w:t>
      </w:r>
    </w:p>
    <w:p w14:paraId="5A58C8F5" w14:textId="06F79013" w:rsidR="00FA15F5" w:rsidRDefault="00B21487" w:rsidP="0045131B">
      <w:pPr>
        <w:pStyle w:val="ListBullet"/>
      </w:pPr>
      <w:r>
        <w:t>r</w:t>
      </w:r>
      <w:r w:rsidR="00FA15F5">
        <w:t>emains fragmented across jurisdictions, with a panoply of laws, awards and institutions</w:t>
      </w:r>
      <w:r w:rsidR="001A2BFA">
        <w:t>, for example in</w:t>
      </w:r>
      <w:r w:rsidR="00FA15F5">
        <w:t xml:space="preserve"> Western Australia, which has not referred its WR powers to the Commonwealth </w:t>
      </w:r>
      <w:r w:rsidR="00FA15F5" w:rsidRPr="0045131B">
        <w:t>(CCIWA 2011)</w:t>
      </w:r>
      <w:r w:rsidR="00FE0DF3">
        <w:t xml:space="preserve"> </w:t>
      </w:r>
    </w:p>
    <w:p w14:paraId="1B224B0E" w14:textId="216724F3" w:rsidR="00FA15F5" w:rsidRDefault="00FA15F5" w:rsidP="0045131B">
      <w:pPr>
        <w:pStyle w:val="ListBullet"/>
      </w:pPr>
      <w:proofErr w:type="gramStart"/>
      <w:r>
        <w:t>is</w:t>
      </w:r>
      <w:proofErr w:type="gramEnd"/>
      <w:r>
        <w:t xml:space="preserve"> </w:t>
      </w:r>
      <w:r w:rsidR="0043602F">
        <w:t>below international best practice</w:t>
      </w:r>
      <w:r>
        <w:t xml:space="preserve">. </w:t>
      </w:r>
      <w:r w:rsidR="00BF2B78">
        <w:t>Compared</w:t>
      </w:r>
      <w:r>
        <w:t xml:space="preserve"> with its international peers, Australian business leaders perceive </w:t>
      </w:r>
      <w:r w:rsidR="00BF2B78">
        <w:t xml:space="preserve">that </w:t>
      </w:r>
      <w:r>
        <w:t>Australia</w:t>
      </w:r>
      <w:r w:rsidR="00CF5D1D">
        <w:t>’s WR system</w:t>
      </w:r>
      <w:r>
        <w:t xml:space="preserve"> </w:t>
      </w:r>
      <w:r w:rsidR="00BF2B78">
        <w:t>has</w:t>
      </w:r>
      <w:r>
        <w:t xml:space="preserve"> </w:t>
      </w:r>
      <w:r w:rsidR="00CF5D1D">
        <w:t>led to</w:t>
      </w:r>
      <w:r>
        <w:t xml:space="preserve"> a relatively inefficient labour market, especially in respect of</w:t>
      </w:r>
      <w:r w:rsidR="00CF5D1D">
        <w:t>:</w:t>
      </w:r>
      <w:r>
        <w:t xml:space="preserve"> poor trust between employees; lower wage flexibility; higher hiring, firing and redundancy costs; and wages that are inadequately linked to enterprise productivity </w:t>
      </w:r>
      <w:r w:rsidR="004B1A90" w:rsidRPr="004B1A90">
        <w:rPr>
          <w:szCs w:val="24"/>
        </w:rPr>
        <w:t>(figure 1.4 and World Economic Forum 2014)</w:t>
      </w:r>
      <w:r>
        <w:t xml:space="preserve">. When asked about the most problematic factors for doing business, nearly one in </w:t>
      </w:r>
      <w:r w:rsidR="00AC3DF7">
        <w:t>four</w:t>
      </w:r>
      <w:r>
        <w:t xml:space="preserve"> Australian business leaders cited restrictive labour regulations. (Across OECD countries, the average share of CEOs citing such regulations was just above 10 per cent).</w:t>
      </w:r>
    </w:p>
    <w:p w14:paraId="47C48BC6" w14:textId="1CCB97DD" w:rsidR="007F5E07" w:rsidRPr="00672EB9" w:rsidRDefault="00934754" w:rsidP="007F5E07">
      <w:pPr>
        <w:pStyle w:val="BodyText"/>
      </w:pPr>
      <w:r w:rsidRPr="00672EB9">
        <w:t>Of course o</w:t>
      </w:r>
      <w:r w:rsidR="007F5E07" w:rsidRPr="00672EB9">
        <w:t xml:space="preserve">thers would see at least some of the specific ‘flaws’ listed above as in fact desirable features of the system; for example, </w:t>
      </w:r>
      <w:r w:rsidR="008F194E" w:rsidRPr="00672EB9">
        <w:t xml:space="preserve">high penalty rates and </w:t>
      </w:r>
      <w:r w:rsidR="007F5E07" w:rsidRPr="00672EB9">
        <w:t>the guarantees offered by highly regulated</w:t>
      </w:r>
      <w:r w:rsidR="007F5E07" w:rsidRPr="00905A4F">
        <w:t xml:space="preserve"> minimum standards of wages and conditions across different occupations and industries.</w:t>
      </w:r>
    </w:p>
    <w:p w14:paraId="1B06FEE5" w14:textId="0835F6E5" w:rsidR="00934754" w:rsidRPr="00672EB9" w:rsidRDefault="007F5E07" w:rsidP="007F5E07">
      <w:pPr>
        <w:pStyle w:val="BodyText"/>
      </w:pPr>
      <w:r w:rsidRPr="00672EB9">
        <w:t xml:space="preserve">Moreover, </w:t>
      </w:r>
      <w:r w:rsidR="00934754" w:rsidRPr="00672EB9">
        <w:t xml:space="preserve">some </w:t>
      </w:r>
      <w:r w:rsidRPr="00672EB9">
        <w:t>unions and other</w:t>
      </w:r>
      <w:r w:rsidR="00934754" w:rsidRPr="00672EB9">
        <w:t xml:space="preserve"> commentators</w:t>
      </w:r>
      <w:r w:rsidRPr="00672EB9">
        <w:t xml:space="preserve"> have </w:t>
      </w:r>
      <w:r w:rsidR="00934754" w:rsidRPr="00672EB9">
        <w:t xml:space="preserve">their own concerns about </w:t>
      </w:r>
      <w:r w:rsidR="009D570C" w:rsidRPr="00672EB9">
        <w:t xml:space="preserve">aspects of </w:t>
      </w:r>
      <w:r w:rsidR="00934754" w:rsidRPr="00672EB9">
        <w:t xml:space="preserve">the current </w:t>
      </w:r>
      <w:r w:rsidR="008334A3" w:rsidRPr="00672EB9">
        <w:t>framework</w:t>
      </w:r>
      <w:r w:rsidR="00934754" w:rsidRPr="00672EB9">
        <w:t>, including that it:</w:t>
      </w:r>
    </w:p>
    <w:p w14:paraId="2EA81CFC" w14:textId="5121FEC8" w:rsidR="008F194E" w:rsidRPr="00195510" w:rsidRDefault="007F5E07" w:rsidP="009D570C">
      <w:pPr>
        <w:pStyle w:val="ListBullet"/>
      </w:pPr>
      <w:r w:rsidRPr="00195510">
        <w:t xml:space="preserve">lacks a safety net for workers not classified as employees, such as </w:t>
      </w:r>
      <w:r w:rsidR="00934754" w:rsidRPr="00672EB9">
        <w:t xml:space="preserve">outworkers and </w:t>
      </w:r>
      <w:r w:rsidRPr="00672EB9">
        <w:t xml:space="preserve">contractors </w:t>
      </w:r>
      <w:r w:rsidR="00CC3492" w:rsidRPr="00CC3492">
        <w:rPr>
          <w:szCs w:val="24"/>
        </w:rPr>
        <w:t>(ACTU 2012)</w:t>
      </w:r>
      <w:r w:rsidR="00195510" w:rsidRPr="00672EB9">
        <w:t>,</w:t>
      </w:r>
      <w:r w:rsidR="0066775E">
        <w:t xml:space="preserve"> </w:t>
      </w:r>
      <w:r w:rsidR="00195510" w:rsidRPr="00672EB9">
        <w:t xml:space="preserve">and that sham contracting is used to </w:t>
      </w:r>
      <w:r w:rsidR="0066775E">
        <w:t>reduce</w:t>
      </w:r>
      <w:r w:rsidR="00195510" w:rsidRPr="00672EB9">
        <w:t xml:space="preserve"> </w:t>
      </w:r>
      <w:r w:rsidR="0066775E">
        <w:t>wages and conditions</w:t>
      </w:r>
      <w:r w:rsidR="00195510" w:rsidRPr="00672EB9">
        <w:t xml:space="preserve"> </w:t>
      </w:r>
      <w:r w:rsidR="00CC3492" w:rsidRPr="00CC3492">
        <w:rPr>
          <w:szCs w:val="24"/>
        </w:rPr>
        <w:t>(CFMEU 2011)</w:t>
      </w:r>
      <w:r w:rsidR="00195510" w:rsidRPr="00672EB9">
        <w:t xml:space="preserve"> </w:t>
      </w:r>
    </w:p>
    <w:p w14:paraId="0BB6940B" w14:textId="278388ED" w:rsidR="00934754" w:rsidRPr="00672EB9" w:rsidRDefault="008F194E" w:rsidP="008334A3">
      <w:pPr>
        <w:pStyle w:val="ListBullet"/>
      </w:pPr>
      <w:r w:rsidRPr="00672EB9">
        <w:t>offer</w:t>
      </w:r>
      <w:r w:rsidR="008334A3" w:rsidRPr="00672EB9">
        <w:t>s</w:t>
      </w:r>
      <w:r w:rsidRPr="00672EB9">
        <w:t xml:space="preserve"> </w:t>
      </w:r>
      <w:r w:rsidR="008334A3" w:rsidRPr="00672EB9">
        <w:t>in</w:t>
      </w:r>
      <w:r w:rsidRPr="00672EB9">
        <w:t xml:space="preserve">adequate </w:t>
      </w:r>
      <w:r w:rsidR="00934754" w:rsidRPr="00672EB9">
        <w:t>protect</w:t>
      </w:r>
      <w:r w:rsidRPr="00672EB9">
        <w:t>ions in relation to</w:t>
      </w:r>
      <w:r w:rsidR="00934754" w:rsidRPr="00672EB9">
        <w:t xml:space="preserve"> temporary overseas workers </w:t>
      </w:r>
      <w:r w:rsidR="0012014C" w:rsidRPr="0012014C">
        <w:rPr>
          <w:szCs w:val="24"/>
        </w:rPr>
        <w:t>(ACTU 2014)</w:t>
      </w:r>
    </w:p>
    <w:p w14:paraId="5A31D770" w14:textId="7B91FD4D" w:rsidR="00905A4F" w:rsidRDefault="007F5E07" w:rsidP="00934754">
      <w:pPr>
        <w:pStyle w:val="ListBullet"/>
      </w:pPr>
      <w:r w:rsidRPr="00672EB9">
        <w:t xml:space="preserve">is too narrow in its general protections </w:t>
      </w:r>
      <w:r w:rsidR="00CC3492" w:rsidRPr="00CC3492">
        <w:rPr>
          <w:szCs w:val="24"/>
        </w:rPr>
        <w:t>(ACTU 2012)</w:t>
      </w:r>
    </w:p>
    <w:p w14:paraId="2229DF66" w14:textId="06CCF658" w:rsidR="00905A4F" w:rsidRPr="00195510" w:rsidRDefault="00905A4F" w:rsidP="00905A4F">
      <w:pPr>
        <w:pStyle w:val="ListBullet"/>
      </w:pPr>
      <w:r w:rsidRPr="00672EB9">
        <w:t xml:space="preserve">unreasonably limits the scope of bargaining though its definition of permitted matters </w:t>
      </w:r>
      <w:r w:rsidR="00CC3492" w:rsidRPr="00CC3492">
        <w:rPr>
          <w:szCs w:val="24"/>
        </w:rPr>
        <w:t>(ASU 2012)</w:t>
      </w:r>
    </w:p>
    <w:p w14:paraId="4F836BCE" w14:textId="6B0181D6" w:rsidR="008334A3" w:rsidRPr="00672EB9" w:rsidRDefault="00934754" w:rsidP="00934754">
      <w:pPr>
        <w:pStyle w:val="ListBullet"/>
      </w:pPr>
      <w:r w:rsidRPr="00195510">
        <w:t xml:space="preserve">too narrowly provides rights to request flexible working arrangements </w:t>
      </w:r>
      <w:r w:rsidR="00CC3492" w:rsidRPr="00CC3492">
        <w:rPr>
          <w:szCs w:val="24"/>
        </w:rPr>
        <w:t>(ACTU 2012; AHRC 2012)</w:t>
      </w:r>
      <w:r w:rsidRPr="00672EB9">
        <w:t xml:space="preserve"> </w:t>
      </w:r>
    </w:p>
    <w:p w14:paraId="3CA9AD62" w14:textId="031CB198" w:rsidR="007F5E07" w:rsidRPr="00672EB9" w:rsidRDefault="007F5E07" w:rsidP="007F5E07">
      <w:pPr>
        <w:pStyle w:val="ListBullet"/>
      </w:pPr>
      <w:r w:rsidRPr="00672EB9">
        <w:t xml:space="preserve">does not confer sufficient arbitral powers to </w:t>
      </w:r>
      <w:r w:rsidR="00905A4F">
        <w:t xml:space="preserve">the </w:t>
      </w:r>
      <w:r w:rsidR="00B10A4D">
        <w:t>Fair Work Ombudsman (</w:t>
      </w:r>
      <w:r w:rsidR="00905A4F">
        <w:t>FWO</w:t>
      </w:r>
      <w:r w:rsidR="00B10A4D">
        <w:t>)</w:t>
      </w:r>
      <w:r w:rsidR="00905A4F">
        <w:t xml:space="preserve"> and the FWC</w:t>
      </w:r>
      <w:r w:rsidRPr="00672EB9">
        <w:t xml:space="preserve"> </w:t>
      </w:r>
      <w:r w:rsidR="00CC3492" w:rsidRPr="00CC3492">
        <w:rPr>
          <w:szCs w:val="24"/>
        </w:rPr>
        <w:t>(AMWU 2012)</w:t>
      </w:r>
    </w:p>
    <w:p w14:paraId="7F8B5048" w14:textId="73CF4379" w:rsidR="007F5E07" w:rsidRDefault="007F5E07" w:rsidP="00905A4F">
      <w:pPr>
        <w:pStyle w:val="ListBullet"/>
      </w:pPr>
      <w:proofErr w:type="gramStart"/>
      <w:r w:rsidRPr="00672EB9">
        <w:t>impedes</w:t>
      </w:r>
      <w:proofErr w:type="gramEnd"/>
      <w:r w:rsidRPr="00672EB9">
        <w:t xml:space="preserve"> collective action with insufficient protection of right of entry </w:t>
      </w:r>
      <w:r w:rsidR="00CC3492" w:rsidRPr="00CC3492">
        <w:rPr>
          <w:szCs w:val="24"/>
        </w:rPr>
        <w:t>(</w:t>
      </w:r>
      <w:proofErr w:type="spellStart"/>
      <w:r w:rsidR="00CC3492" w:rsidRPr="00CC3492">
        <w:rPr>
          <w:szCs w:val="24"/>
        </w:rPr>
        <w:t>UnionsWA</w:t>
      </w:r>
      <w:proofErr w:type="spellEnd"/>
      <w:r w:rsidR="00CC3492" w:rsidRPr="00CC3492">
        <w:rPr>
          <w:szCs w:val="24"/>
        </w:rPr>
        <w:t> 2012)</w:t>
      </w:r>
      <w:r w:rsidR="008F194E" w:rsidRPr="00493C66">
        <w:t>.</w:t>
      </w:r>
    </w:p>
    <w:p w14:paraId="0D7904E4" w14:textId="48B3FBB7" w:rsidR="00615732" w:rsidRDefault="00615732" w:rsidP="00615732">
      <w:pPr>
        <w:pStyle w:val="BoxSpaceAbove"/>
      </w:pPr>
      <w:bookmarkStart w:id="20" w:name="_Toc408581790"/>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15732" w14:paraId="657F95D7" w14:textId="77777777" w:rsidTr="00247BDB">
        <w:tc>
          <w:tcPr>
            <w:tcW w:w="8771" w:type="dxa"/>
            <w:tcBorders>
              <w:top w:val="single" w:sz="6" w:space="0" w:color="78A22F"/>
              <w:left w:val="nil"/>
              <w:bottom w:val="nil"/>
              <w:right w:val="nil"/>
            </w:tcBorders>
            <w:shd w:val="clear" w:color="auto" w:fill="auto"/>
          </w:tcPr>
          <w:p w14:paraId="76BD62EF" w14:textId="5779F4AB" w:rsidR="00615732" w:rsidRDefault="00615732" w:rsidP="00247BDB">
            <w:pPr>
              <w:pStyle w:val="FigureTitle"/>
            </w:pPr>
            <w:r w:rsidRPr="00784A05">
              <w:rPr>
                <w:b w:val="0"/>
              </w:rPr>
              <w:t xml:space="preserve">Figure </w:t>
            </w:r>
            <w:r w:rsidR="004B1A90">
              <w:rPr>
                <w:b w:val="0"/>
              </w:rPr>
              <w:t>1.</w:t>
            </w:r>
            <w:r>
              <w:rPr>
                <w:b w:val="0"/>
                <w:noProof/>
              </w:rPr>
              <w:t>4</w:t>
            </w:r>
            <w:r>
              <w:tab/>
            </w:r>
            <w:r w:rsidRPr="0067259A">
              <w:t>Business perceptions of Australia’s relative labour market efficiency</w:t>
            </w:r>
          </w:p>
          <w:p w14:paraId="5A896F4C" w14:textId="77777777" w:rsidR="00615732" w:rsidRPr="00176D3F" w:rsidRDefault="00615732" w:rsidP="00247BDB">
            <w:pPr>
              <w:pStyle w:val="Subtitle"/>
            </w:pPr>
            <w:r>
              <w:t>2014</w:t>
            </w:r>
            <w:r>
              <w:noBreakHyphen/>
              <w:t>15</w:t>
            </w:r>
          </w:p>
        </w:tc>
      </w:tr>
      <w:tr w:rsidR="00615732" w14:paraId="3DB41427" w14:textId="77777777" w:rsidTr="00247BD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615732" w14:paraId="3D3CA64C" w14:textId="77777777" w:rsidTr="00247BDB">
              <w:trPr>
                <w:jc w:val="center"/>
              </w:trPr>
              <w:tc>
                <w:tcPr>
                  <w:tcW w:w="5000" w:type="pct"/>
                  <w:tcBorders>
                    <w:top w:val="nil"/>
                    <w:bottom w:val="nil"/>
                  </w:tcBorders>
                </w:tcPr>
                <w:p w14:paraId="6AA45423" w14:textId="77777777" w:rsidR="00615732" w:rsidRDefault="00615732" w:rsidP="00247BDB">
                  <w:pPr>
                    <w:pStyle w:val="Figure"/>
                    <w:spacing w:before="60" w:after="60"/>
                  </w:pPr>
                  <w:r w:rsidRPr="008F7118">
                    <w:rPr>
                      <w:noProof/>
                    </w:rPr>
                    <w:drawing>
                      <wp:inline distT="0" distB="0" distL="0" distR="0" wp14:anchorId="55C60F92" wp14:editId="4CBDE3C6">
                        <wp:extent cx="4977441" cy="2596551"/>
                        <wp:effectExtent l="0" t="0" r="0" b="0"/>
                        <wp:docPr id="1" name="Chart 1" descr="Figure 1.4 Business perceptions of Australia's relative labour market efficiency."/>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5AC47472" w14:textId="77777777" w:rsidR="00615732" w:rsidRDefault="00615732" w:rsidP="00247BDB">
            <w:pPr>
              <w:pStyle w:val="Figure"/>
            </w:pPr>
          </w:p>
        </w:tc>
      </w:tr>
      <w:tr w:rsidR="00615732" w:rsidRPr="00176D3F" w14:paraId="083A9E9A" w14:textId="77777777" w:rsidTr="00247BDB">
        <w:tc>
          <w:tcPr>
            <w:tcW w:w="8771" w:type="dxa"/>
            <w:tcBorders>
              <w:top w:val="nil"/>
              <w:left w:val="nil"/>
              <w:bottom w:val="nil"/>
              <w:right w:val="nil"/>
            </w:tcBorders>
            <w:shd w:val="clear" w:color="auto" w:fill="auto"/>
          </w:tcPr>
          <w:p w14:paraId="4075F4BC" w14:textId="6EFD7554" w:rsidR="00615732" w:rsidRPr="00176D3F" w:rsidRDefault="00615732" w:rsidP="00247BDB">
            <w:pPr>
              <w:pStyle w:val="Note"/>
            </w:pPr>
            <w:proofErr w:type="spellStart"/>
            <w:proofErr w:type="gramStart"/>
            <w:r>
              <w:rPr>
                <w:rStyle w:val="NoteLabel"/>
              </w:rPr>
              <w:t>a</w:t>
            </w:r>
            <w:proofErr w:type="spellEnd"/>
            <w:proofErr w:type="gramEnd"/>
            <w:r>
              <w:t xml:space="preserve"> The scores for the ease of redundancies and the female participation rate are based on re</w:t>
            </w:r>
            <w:r w:rsidR="00D10E92">
              <w:noBreakHyphen/>
            </w:r>
            <w:r>
              <w:t>scaling the cardinal measures of these factors using the World Economic Forum method. A higher score is ‘better’.</w:t>
            </w:r>
          </w:p>
        </w:tc>
      </w:tr>
      <w:tr w:rsidR="00615732" w:rsidRPr="00176D3F" w14:paraId="64414631" w14:textId="77777777" w:rsidTr="00247BDB">
        <w:tc>
          <w:tcPr>
            <w:tcW w:w="8771" w:type="dxa"/>
            <w:tcBorders>
              <w:top w:val="nil"/>
              <w:left w:val="nil"/>
              <w:bottom w:val="nil"/>
              <w:right w:val="nil"/>
            </w:tcBorders>
            <w:shd w:val="clear" w:color="auto" w:fill="auto"/>
          </w:tcPr>
          <w:p w14:paraId="4BE3264D" w14:textId="1338C97F" w:rsidR="00615732" w:rsidRPr="00176D3F" w:rsidRDefault="00615732" w:rsidP="00247BDB">
            <w:pPr>
              <w:pStyle w:val="Source"/>
            </w:pPr>
            <w:r w:rsidRPr="00784A05">
              <w:rPr>
                <w:i/>
              </w:rPr>
              <w:t>Data source</w:t>
            </w:r>
            <w:r w:rsidRPr="00176D3F">
              <w:t xml:space="preserve">: </w:t>
            </w:r>
            <w:r>
              <w:t xml:space="preserve">World Economic Forum </w:t>
            </w:r>
            <w:r w:rsidRPr="0030365A">
              <w:rPr>
                <w:rFonts w:cs="Arial"/>
              </w:rPr>
              <w:t>(2014)</w:t>
            </w:r>
            <w:r>
              <w:t>.</w:t>
            </w:r>
          </w:p>
        </w:tc>
      </w:tr>
      <w:tr w:rsidR="00615732" w14:paraId="13CBBB73" w14:textId="77777777" w:rsidTr="00247BDB">
        <w:tc>
          <w:tcPr>
            <w:tcW w:w="8771" w:type="dxa"/>
            <w:tcBorders>
              <w:top w:val="nil"/>
              <w:left w:val="nil"/>
              <w:bottom w:val="single" w:sz="6" w:space="0" w:color="78A22F"/>
              <w:right w:val="nil"/>
            </w:tcBorders>
            <w:shd w:val="clear" w:color="auto" w:fill="auto"/>
          </w:tcPr>
          <w:p w14:paraId="372EA70F" w14:textId="77777777" w:rsidR="00615732" w:rsidRDefault="00615732" w:rsidP="00247BDB">
            <w:pPr>
              <w:pStyle w:val="Figurespace"/>
            </w:pPr>
          </w:p>
        </w:tc>
      </w:tr>
      <w:tr w:rsidR="00615732" w:rsidRPr="000863A5" w14:paraId="617D7DE0" w14:textId="77777777" w:rsidTr="00247BDB">
        <w:tc>
          <w:tcPr>
            <w:tcW w:w="8771" w:type="dxa"/>
            <w:tcBorders>
              <w:top w:val="single" w:sz="6" w:space="0" w:color="78A22F"/>
              <w:left w:val="nil"/>
              <w:bottom w:val="nil"/>
              <w:right w:val="nil"/>
            </w:tcBorders>
          </w:tcPr>
          <w:p w14:paraId="09E2EBD2" w14:textId="505B8362" w:rsidR="00615732" w:rsidRPr="00626D32" w:rsidRDefault="00615732" w:rsidP="00247BDB">
            <w:pPr>
              <w:pStyle w:val="BoxSpaceBelow"/>
            </w:pPr>
          </w:p>
        </w:tc>
      </w:tr>
    </w:tbl>
    <w:p w14:paraId="38397147" w14:textId="77777777" w:rsidR="00E4396C" w:rsidRDefault="00E4396C" w:rsidP="00E4396C">
      <w:pPr>
        <w:pStyle w:val="Heading3"/>
      </w:pPr>
      <w:r>
        <w:t>Others paint a more positive picture</w:t>
      </w:r>
      <w:bookmarkEnd w:id="20"/>
    </w:p>
    <w:p w14:paraId="4BB3DB2B" w14:textId="28A31992" w:rsidR="00E4396C" w:rsidRDefault="008F194E" w:rsidP="00E4396C">
      <w:pPr>
        <w:pStyle w:val="BodyText"/>
      </w:pPr>
      <w:r>
        <w:t xml:space="preserve">Notwithstanding the </w:t>
      </w:r>
      <w:r w:rsidR="0066775E">
        <w:t>different</w:t>
      </w:r>
      <w:r>
        <w:t xml:space="preserve"> criticisms of the current system</w:t>
      </w:r>
      <w:r w:rsidR="00E4396C">
        <w:t xml:space="preserve">, it can be said that the </w:t>
      </w:r>
      <w:r w:rsidR="00A3420C">
        <w:t>framework</w:t>
      </w:r>
      <w:r w:rsidR="00E4396C">
        <w:t xml:space="preserve"> has (at the minimum) coincided in recent decades with positive developments in labour markets and economic performance: </w:t>
      </w:r>
    </w:p>
    <w:p w14:paraId="4DEBEE9E" w14:textId="235C7DAF" w:rsidR="00E4396C" w:rsidRDefault="00E4396C" w:rsidP="00E4396C">
      <w:pPr>
        <w:pStyle w:val="Quote"/>
      </w:pPr>
      <w:r>
        <w:t xml:space="preserve">Over … two decades, the pertinent economic outcomes have been congenial. … industrial disputes are uncommon, overall wages growth has been consistent with low consumer price inflation … unemployment has steadily declined while participation in the workforce has increased … and at the same time the profit share of incomes has increased. These are considerable achievements, not to be put at risk lightly. </w:t>
      </w:r>
      <w:r w:rsidRPr="000D6457">
        <w:rPr>
          <w:szCs w:val="24"/>
        </w:rPr>
        <w:t>(Australian Government 2012b)</w:t>
      </w:r>
      <w:r>
        <w:t xml:space="preserve"> </w:t>
      </w:r>
    </w:p>
    <w:p w14:paraId="4C0352E8" w14:textId="3D8C832D" w:rsidR="009E3A31" w:rsidRDefault="00F62448" w:rsidP="009E3A31">
      <w:pPr>
        <w:pStyle w:val="BodyText"/>
      </w:pPr>
      <w:r>
        <w:t xml:space="preserve">Several commentators </w:t>
      </w:r>
      <w:r w:rsidR="009E3A31">
        <w:t xml:space="preserve">have identified past changes in labour relations as supporting improvements in Australia’s macroeconomic environment, although they are cautious about precisely quantifying their relative importance </w:t>
      </w:r>
      <w:r w:rsidR="007301D3" w:rsidRPr="007301D3">
        <w:rPr>
          <w:szCs w:val="24"/>
        </w:rPr>
        <w:t xml:space="preserve">(Ballantyne, De Voss and Jacobs 2014; </w:t>
      </w:r>
      <w:proofErr w:type="spellStart"/>
      <w:r w:rsidR="007301D3" w:rsidRPr="007301D3">
        <w:rPr>
          <w:szCs w:val="24"/>
        </w:rPr>
        <w:t>Battellino</w:t>
      </w:r>
      <w:proofErr w:type="spellEnd"/>
      <w:r w:rsidR="007301D3" w:rsidRPr="007301D3">
        <w:rPr>
          <w:szCs w:val="24"/>
        </w:rPr>
        <w:t xml:space="preserve"> 2010; Borland 2012; Lowe 2012; </w:t>
      </w:r>
      <w:proofErr w:type="spellStart"/>
      <w:r w:rsidR="007301D3" w:rsidRPr="007301D3">
        <w:rPr>
          <w:szCs w:val="24"/>
        </w:rPr>
        <w:t>Mallick</w:t>
      </w:r>
      <w:proofErr w:type="spellEnd"/>
      <w:r w:rsidR="007301D3" w:rsidRPr="007301D3">
        <w:rPr>
          <w:szCs w:val="24"/>
        </w:rPr>
        <w:t> 2014; PC 2013b)</w:t>
      </w:r>
      <w:r w:rsidR="009E3A31">
        <w:t xml:space="preserve">. The concerns that preoccupied the 1970s — cascading strikes, demarcation disputes, thousands of state awards and the rigidities of bargaining at the time — have now waned. </w:t>
      </w:r>
    </w:p>
    <w:p w14:paraId="5796B390" w14:textId="191BF5A8" w:rsidR="00615732" w:rsidRDefault="00F62448" w:rsidP="00615732">
      <w:pPr>
        <w:pStyle w:val="BodyText"/>
      </w:pPr>
      <w:r>
        <w:t xml:space="preserve">Reductions in unemployment rates do not now lead to significant </w:t>
      </w:r>
      <w:proofErr w:type="spellStart"/>
      <w:r>
        <w:t>economy</w:t>
      </w:r>
      <w:r w:rsidR="00D10E92">
        <w:noBreakHyphen/>
      </w:r>
      <w:r>
        <w:t>wide</w:t>
      </w:r>
      <w:proofErr w:type="spellEnd"/>
      <w:r>
        <w:t xml:space="preserve"> wage growth (figure 1</w:t>
      </w:r>
      <w:r w:rsidR="004B1A90">
        <w:t>.</w:t>
      </w:r>
      <w:r w:rsidR="00FE6E78">
        <w:t>5</w:t>
      </w:r>
      <w:r>
        <w:t xml:space="preserve">). Wage shocks that affect one part of the economy (as in the resources </w:t>
      </w:r>
      <w:r>
        <w:lastRenderedPageBreak/>
        <w:t xml:space="preserve">boom) do not appear to reverberate so greatly throughout the rest of the wage system </w:t>
      </w:r>
      <w:r w:rsidR="00FE6E78" w:rsidRPr="00FE6E78">
        <w:rPr>
          <w:szCs w:val="24"/>
        </w:rPr>
        <w:t>(Borland 2012)</w:t>
      </w:r>
      <w:r>
        <w:t xml:space="preserve">. </w:t>
      </w:r>
      <w:r w:rsidR="00615732">
        <w:t>An Assistant Governor of the Reserve Bank of Australia has noted:</w:t>
      </w:r>
    </w:p>
    <w:p w14:paraId="4B736E1C" w14:textId="2F0D5CAA" w:rsidR="00615732" w:rsidRDefault="00615732" w:rsidP="00615732">
      <w:pPr>
        <w:pStyle w:val="Quote"/>
      </w:pPr>
      <w:r w:rsidRPr="00D93C00">
        <w:t>During these earlier booms, inflation had been more variable and Australia's centralised wage</w:t>
      </w:r>
      <w:r w:rsidR="00D10E92">
        <w:noBreakHyphen/>
      </w:r>
      <w:r w:rsidRPr="00D93C00">
        <w:t>setting system had the effect of spreading wage increases across the economy, to occupational categories for which the value of marginal product had not increased. Not surprisingly then, the result was a rise in inflation and unemployment</w:t>
      </w:r>
      <w:r w:rsidR="00FE6E78">
        <w:t>.</w:t>
      </w:r>
      <w:r w:rsidR="001540DE">
        <w:t xml:space="preserve"> </w:t>
      </w:r>
      <w:r w:rsidR="001540DE" w:rsidRPr="001540DE">
        <w:rPr>
          <w:szCs w:val="24"/>
        </w:rPr>
        <w:t>(Kent 2012)</w:t>
      </w:r>
    </w:p>
    <w:p w14:paraId="5EBEBE6A" w14:textId="32BAE12C" w:rsidR="00F62448" w:rsidRDefault="00F62448" w:rsidP="00F6244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62448" w14:paraId="5073D630" w14:textId="77777777" w:rsidTr="00247BDB">
        <w:tc>
          <w:tcPr>
            <w:tcW w:w="8771" w:type="dxa"/>
            <w:tcBorders>
              <w:top w:val="single" w:sz="6" w:space="0" w:color="78A22F"/>
              <w:left w:val="nil"/>
              <w:bottom w:val="nil"/>
              <w:right w:val="nil"/>
            </w:tcBorders>
            <w:shd w:val="clear" w:color="auto" w:fill="auto"/>
          </w:tcPr>
          <w:p w14:paraId="569BD959" w14:textId="25DE31C9" w:rsidR="00F62448" w:rsidRDefault="00F62448" w:rsidP="00247BDB">
            <w:pPr>
              <w:pStyle w:val="FigureTitle"/>
            </w:pPr>
            <w:r w:rsidRPr="00784A05">
              <w:rPr>
                <w:b w:val="0"/>
              </w:rPr>
              <w:t xml:space="preserve">Figure </w:t>
            </w:r>
            <w:r w:rsidR="004B1A90">
              <w:rPr>
                <w:b w:val="0"/>
              </w:rPr>
              <w:t>1.</w:t>
            </w:r>
            <w:r w:rsidR="00422F8F">
              <w:rPr>
                <w:b w:val="0"/>
                <w:noProof/>
              </w:rPr>
              <w:t>5</w:t>
            </w:r>
            <w:r>
              <w:tab/>
              <w:t>Prices are now largely unresponsive to strong labour demand</w:t>
            </w:r>
          </w:p>
          <w:p w14:paraId="33EE1A4D" w14:textId="77777777" w:rsidR="00F62448" w:rsidRPr="00176D3F" w:rsidRDefault="00F62448" w:rsidP="00247BDB">
            <w:pPr>
              <w:pStyle w:val="Subtitle"/>
            </w:pPr>
            <w:r>
              <w:t>1949</w:t>
            </w:r>
            <w:r>
              <w:noBreakHyphen/>
              <w:t>50 to 2013</w:t>
            </w:r>
            <w:r>
              <w:noBreakHyphen/>
              <w:t>14</w:t>
            </w:r>
            <w:r w:rsidRPr="001D102D">
              <w:rPr>
                <w:rStyle w:val="NoteLabel"/>
              </w:rPr>
              <w:t>a</w:t>
            </w:r>
          </w:p>
        </w:tc>
      </w:tr>
      <w:tr w:rsidR="00F62448" w14:paraId="2D10C25B" w14:textId="77777777" w:rsidTr="00247BD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F62448" w14:paraId="43320EA4" w14:textId="77777777" w:rsidTr="00247BDB">
              <w:trPr>
                <w:jc w:val="center"/>
              </w:trPr>
              <w:tc>
                <w:tcPr>
                  <w:tcW w:w="8504" w:type="dxa"/>
                  <w:tcBorders>
                    <w:top w:val="nil"/>
                    <w:bottom w:val="nil"/>
                  </w:tcBorders>
                </w:tcPr>
                <w:p w14:paraId="06ECBD97" w14:textId="77777777" w:rsidR="00F62448" w:rsidRDefault="00F62448" w:rsidP="00247BDB">
                  <w:pPr>
                    <w:pStyle w:val="Figure"/>
                    <w:spacing w:before="60" w:after="60"/>
                  </w:pPr>
                  <w:r>
                    <w:rPr>
                      <w:noProof/>
                    </w:rPr>
                    <w:drawing>
                      <wp:inline distT="0" distB="0" distL="0" distR="0" wp14:anchorId="1C0247A6" wp14:editId="088E109B">
                        <wp:extent cx="5279366" cy="2769079"/>
                        <wp:effectExtent l="0" t="0" r="0" b="0"/>
                        <wp:docPr id="12" name="Chart 12" descr="Figure 1.5 Prices are now largely unresponsive to strong labour demand."/>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726879AC" w14:textId="77777777" w:rsidR="00F62448" w:rsidRDefault="00F62448" w:rsidP="00247BDB">
            <w:pPr>
              <w:pStyle w:val="Figure"/>
            </w:pPr>
          </w:p>
        </w:tc>
      </w:tr>
      <w:tr w:rsidR="00F62448" w:rsidRPr="00176D3F" w14:paraId="6153AA54" w14:textId="77777777" w:rsidTr="00247BDB">
        <w:tc>
          <w:tcPr>
            <w:tcW w:w="8771" w:type="dxa"/>
            <w:tcBorders>
              <w:top w:val="nil"/>
              <w:left w:val="nil"/>
              <w:bottom w:val="nil"/>
              <w:right w:val="nil"/>
            </w:tcBorders>
            <w:shd w:val="clear" w:color="auto" w:fill="auto"/>
          </w:tcPr>
          <w:p w14:paraId="76FCF519" w14:textId="77777777" w:rsidR="00F62448" w:rsidRPr="00176D3F" w:rsidRDefault="00F62448" w:rsidP="000C57A3">
            <w:pPr>
              <w:pStyle w:val="Note"/>
              <w:tabs>
                <w:tab w:val="left" w:pos="5433"/>
              </w:tabs>
            </w:pPr>
            <w:proofErr w:type="spellStart"/>
            <w:proofErr w:type="gramStart"/>
            <w:r w:rsidRPr="000E4FFB">
              <w:rPr>
                <w:rStyle w:val="NoteLabel"/>
              </w:rPr>
              <w:t>a</w:t>
            </w:r>
            <w:proofErr w:type="spellEnd"/>
            <w:r>
              <w:t>The</w:t>
            </w:r>
            <w:proofErr w:type="gramEnd"/>
            <w:r>
              <w:t xml:space="preserve"> relationship is typically referred to as the ‘Phillip’s curve’ and is based on the premise that at some point lower unemployment creates inflationary pressures.  Borland (2012) investigated the relationship between unemployment and wage pressures, finding a similarly flatter Phillips curve after the introduction of enterprise bargaining. </w:t>
            </w:r>
          </w:p>
        </w:tc>
        <w:bookmarkStart w:id="21" w:name="_GoBack"/>
        <w:bookmarkEnd w:id="21"/>
      </w:tr>
      <w:tr w:rsidR="00F62448" w:rsidRPr="00176D3F" w14:paraId="426C393A" w14:textId="77777777" w:rsidTr="00247BDB">
        <w:tc>
          <w:tcPr>
            <w:tcW w:w="8771" w:type="dxa"/>
            <w:tcBorders>
              <w:top w:val="nil"/>
              <w:left w:val="nil"/>
              <w:bottom w:val="nil"/>
              <w:right w:val="nil"/>
            </w:tcBorders>
            <w:shd w:val="clear" w:color="auto" w:fill="auto"/>
          </w:tcPr>
          <w:p w14:paraId="61BA4815" w14:textId="513016DD" w:rsidR="00F62448" w:rsidRPr="00176D3F" w:rsidRDefault="00F62448" w:rsidP="00247BDB">
            <w:pPr>
              <w:pStyle w:val="Source"/>
            </w:pPr>
            <w:r w:rsidRPr="00784A05">
              <w:rPr>
                <w:i/>
              </w:rPr>
              <w:t>Data source</w:t>
            </w:r>
            <w:r w:rsidR="00D10E92">
              <w:rPr>
                <w:i/>
              </w:rPr>
              <w:t>s</w:t>
            </w:r>
            <w:r w:rsidRPr="00176D3F">
              <w:t xml:space="preserve">: </w:t>
            </w:r>
            <w:r>
              <w:t xml:space="preserve">ABS 2014 </w:t>
            </w:r>
            <w:r w:rsidRPr="008636F2">
              <w:rPr>
                <w:i/>
              </w:rPr>
              <w:t>Labour Force Australia, Detailed</w:t>
            </w:r>
            <w:r>
              <w:t>, Cat. No. </w:t>
            </w:r>
            <w:r w:rsidRPr="000D2AC9">
              <w:t>6291.0.55.001</w:t>
            </w:r>
            <w:r>
              <w:t xml:space="preserve">, November; ABS 2015, </w:t>
            </w:r>
            <w:r w:rsidRPr="008636F2">
              <w:rPr>
                <w:i/>
              </w:rPr>
              <w:t>Consumer Price Index, Australia</w:t>
            </w:r>
            <w:r>
              <w:t>, Cat. No. </w:t>
            </w:r>
            <w:r w:rsidRPr="000D2AC9">
              <w:t>6401.0</w:t>
            </w:r>
            <w:r w:rsidR="001369B3">
              <w:t xml:space="preserve">; </w:t>
            </w:r>
            <w:r w:rsidR="001369B3" w:rsidRPr="001369B3">
              <w:rPr>
                <w:rFonts w:cs="Arial"/>
                <w:szCs w:val="24"/>
              </w:rPr>
              <w:t xml:space="preserve">(Withers, </w:t>
            </w:r>
            <w:proofErr w:type="spellStart"/>
            <w:r w:rsidR="001369B3" w:rsidRPr="001369B3">
              <w:rPr>
                <w:rFonts w:cs="Arial"/>
                <w:szCs w:val="24"/>
              </w:rPr>
              <w:t>Endres</w:t>
            </w:r>
            <w:proofErr w:type="spellEnd"/>
            <w:r w:rsidR="001369B3" w:rsidRPr="001369B3">
              <w:rPr>
                <w:rFonts w:cs="Arial"/>
                <w:szCs w:val="24"/>
              </w:rPr>
              <w:t xml:space="preserve"> and Perry 1985)</w:t>
            </w:r>
            <w:r w:rsidR="001369B3">
              <w:t>.</w:t>
            </w:r>
          </w:p>
        </w:tc>
      </w:tr>
      <w:tr w:rsidR="00F62448" w14:paraId="379B2A2E" w14:textId="77777777" w:rsidTr="00247BDB">
        <w:tc>
          <w:tcPr>
            <w:tcW w:w="8771" w:type="dxa"/>
            <w:tcBorders>
              <w:top w:val="nil"/>
              <w:left w:val="nil"/>
              <w:bottom w:val="single" w:sz="6" w:space="0" w:color="78A22F"/>
              <w:right w:val="nil"/>
            </w:tcBorders>
            <w:shd w:val="clear" w:color="auto" w:fill="auto"/>
          </w:tcPr>
          <w:p w14:paraId="4CDC399D" w14:textId="77777777" w:rsidR="00F62448" w:rsidRDefault="00F62448" w:rsidP="00247BDB">
            <w:pPr>
              <w:pStyle w:val="Figurespace"/>
            </w:pPr>
          </w:p>
        </w:tc>
      </w:tr>
      <w:tr w:rsidR="00F62448" w:rsidRPr="000863A5" w14:paraId="6C69321E" w14:textId="77777777" w:rsidTr="00247BDB">
        <w:tc>
          <w:tcPr>
            <w:tcW w:w="8771" w:type="dxa"/>
            <w:tcBorders>
              <w:top w:val="single" w:sz="6" w:space="0" w:color="78A22F"/>
              <w:left w:val="nil"/>
              <w:bottom w:val="nil"/>
              <w:right w:val="nil"/>
            </w:tcBorders>
          </w:tcPr>
          <w:p w14:paraId="56AE0100" w14:textId="0706EB62" w:rsidR="00F62448" w:rsidRPr="00626D32" w:rsidRDefault="00F62448" w:rsidP="00247BDB">
            <w:pPr>
              <w:pStyle w:val="BoxSpaceBelow"/>
            </w:pPr>
          </w:p>
        </w:tc>
      </w:tr>
    </w:tbl>
    <w:p w14:paraId="75626FFE" w14:textId="06FFF137" w:rsidR="00FE6E78" w:rsidRDefault="00FE6E78" w:rsidP="00FE6E78">
      <w:pPr>
        <w:pStyle w:val="BodyText"/>
      </w:pPr>
      <w:r>
        <w:t>As the mining boom has abated, so have wages in the mining and construction industries. Indeed, in the latter case, a key union in Western Australia has suggested that it may accept a new enterprise agreement that reduces so</w:t>
      </w:r>
      <w:r w:rsidR="001540DE">
        <w:t xml:space="preserve">me wages by around 20 per cent </w:t>
      </w:r>
      <w:r w:rsidR="001540DE" w:rsidRPr="001540DE">
        <w:rPr>
          <w:szCs w:val="24"/>
        </w:rPr>
        <w:t>(Barrett 2014)</w:t>
      </w:r>
      <w:r>
        <w:t>.</w:t>
      </w:r>
    </w:p>
    <w:p w14:paraId="5C6F59BC" w14:textId="6904247D" w:rsidR="00FE6E78" w:rsidRDefault="00FE6E78" w:rsidP="00FE6E78">
      <w:pPr>
        <w:pStyle w:val="BodyText"/>
      </w:pPr>
      <w:r>
        <w:t>Evidence about the flows into and out of unemployment</w:t>
      </w:r>
      <w:r w:rsidRPr="00615732">
        <w:t xml:space="preserve"> </w:t>
      </w:r>
      <w:r>
        <w:t xml:space="preserve">also suggests that the labour market may be more flexible than supposed. The overall unemployment rate is relatively low because the average duration of unemployment is also modest — one indicator of hiring flexibility </w:t>
      </w:r>
      <w:r w:rsidRPr="00FC32B6">
        <w:rPr>
          <w:szCs w:val="24"/>
        </w:rPr>
        <w:t xml:space="preserve">(Blanchard, </w:t>
      </w:r>
      <w:proofErr w:type="spellStart"/>
      <w:r w:rsidRPr="00FC32B6">
        <w:rPr>
          <w:szCs w:val="24"/>
        </w:rPr>
        <w:t>Jaumotte</w:t>
      </w:r>
      <w:proofErr w:type="spellEnd"/>
      <w:r w:rsidRPr="00FC32B6">
        <w:rPr>
          <w:szCs w:val="24"/>
        </w:rPr>
        <w:t xml:space="preserve"> and </w:t>
      </w:r>
      <w:proofErr w:type="spellStart"/>
      <w:r w:rsidRPr="00FC32B6">
        <w:rPr>
          <w:szCs w:val="24"/>
        </w:rPr>
        <w:t>Loungani</w:t>
      </w:r>
      <w:proofErr w:type="spellEnd"/>
      <w:r w:rsidRPr="00FC32B6">
        <w:rPr>
          <w:szCs w:val="24"/>
        </w:rPr>
        <w:t> 2013)</w:t>
      </w:r>
      <w:r>
        <w:t xml:space="preserve">. Industrial disputes, which are one indicator of the functioning of the system, have fallen significantly in the last two decades and are low by historical standards. </w:t>
      </w:r>
    </w:p>
    <w:p w14:paraId="36D261E1" w14:textId="77777777" w:rsidR="00FE6E78" w:rsidRDefault="00FE6E78" w:rsidP="00FE6E78">
      <w:pPr>
        <w:pStyle w:val="BodyText"/>
      </w:pPr>
      <w:r>
        <w:lastRenderedPageBreak/>
        <w:t xml:space="preserve">Moreover, economic forces and policies </w:t>
      </w:r>
      <w:r w:rsidRPr="000C6CEC">
        <w:rPr>
          <w:i/>
        </w:rPr>
        <w:t>outside</w:t>
      </w:r>
      <w:r>
        <w:t xml:space="preserve"> the WR system affect how enterprises and employees respond to the WR system. Australia’s economic environment has changed markedly over time. Trade barriers have collapsed, the exchange rate has been floated, and competition policy has injected competition into many areas of the economy. Competitive pressures inevitably change the dynamics of bargaining between parties and reduce the size of any prizes from disputes. </w:t>
      </w:r>
    </w:p>
    <w:p w14:paraId="4001D3BF" w14:textId="77777777" w:rsidR="00FE6E78" w:rsidRDefault="00FE6E78" w:rsidP="00FE6E78">
      <w:pPr>
        <w:pStyle w:val="BodyText"/>
      </w:pPr>
      <w:r>
        <w:t>Data about regulatory measures from the OECD and the International Labour Organization (ILO) suggest that Australia may have less stringent employment protection regulations than many countries. (Regardless of the actual stringency of employment protection, perceptions may influence the behaviour of businesses.)</w:t>
      </w:r>
      <w:r w:rsidRPr="0028155A">
        <w:rPr>
          <w:rStyle w:val="FootnoteReference"/>
        </w:rPr>
        <w:footnoteReference w:id="6"/>
      </w:r>
      <w:r>
        <w:t xml:space="preserve"> </w:t>
      </w:r>
    </w:p>
    <w:p w14:paraId="51AAB73D" w14:textId="4CD0B854" w:rsidR="0049008D" w:rsidRDefault="00942BC4" w:rsidP="00DC4FF8">
      <w:pPr>
        <w:pStyle w:val="BodyText"/>
      </w:pPr>
      <w:r>
        <w:t xml:space="preserve">And even businesses have varying perspectives. </w:t>
      </w:r>
      <w:r w:rsidR="004C160E">
        <w:t>The CEDA/Business Spectator Survey of CEDA trustees and business leaders suggest</w:t>
      </w:r>
      <w:r w:rsidR="002F1D9D">
        <w:t>ed</w:t>
      </w:r>
      <w:r w:rsidR="004C160E">
        <w:t xml:space="preserve"> that, notwithstanding the impressions gained from particular business groups, reforming industrial relations ranked ninth out of eleven priorities for policy action in 2013</w:t>
      </w:r>
      <w:r w:rsidR="00476492">
        <w:t>,</w:t>
      </w:r>
      <w:r w:rsidR="004C160E">
        <w:t xml:space="preserve"> and seventh in 2012 </w:t>
      </w:r>
      <w:r w:rsidR="004C160E" w:rsidRPr="00026479">
        <w:rPr>
          <w:szCs w:val="24"/>
        </w:rPr>
        <w:t>(C&amp;B 2013)</w:t>
      </w:r>
      <w:r w:rsidR="004C160E">
        <w:t>.</w:t>
      </w:r>
    </w:p>
    <w:p w14:paraId="6E492A89" w14:textId="57F8F8B4" w:rsidR="00C13560" w:rsidRDefault="00DC4FF8" w:rsidP="00DC4FF8">
      <w:pPr>
        <w:pStyle w:val="BodyText"/>
      </w:pPr>
      <w:r>
        <w:t>There are mixed views by experts in the field of WR about the nature of concerns about the system, and the direction and magnitude of desired reform</w:t>
      </w:r>
      <w:r w:rsidR="002F1D9D">
        <w:t>.</w:t>
      </w:r>
      <w:r>
        <w:t xml:space="preserve"> </w:t>
      </w:r>
      <w:proofErr w:type="gramStart"/>
      <w:r w:rsidR="002F1D9D">
        <w:t>F</w:t>
      </w:r>
      <w:r>
        <w:t xml:space="preserve">or example, Borland </w:t>
      </w:r>
      <w:r w:rsidRPr="009A3401">
        <w:t>(2012)</w:t>
      </w:r>
      <w:r>
        <w:t>, Farmakis</w:t>
      </w:r>
      <w:r w:rsidR="00D10E92">
        <w:noBreakHyphen/>
      </w:r>
      <w:proofErr w:type="spellStart"/>
      <w:r>
        <w:t>Gamboni</w:t>
      </w:r>
      <w:proofErr w:type="spellEnd"/>
      <w:r>
        <w:t xml:space="preserve"> and Prentice </w:t>
      </w:r>
      <w:r w:rsidRPr="009C39B3">
        <w:t>(2011)</w:t>
      </w:r>
      <w:r>
        <w:t xml:space="preserve">, </w:t>
      </w:r>
      <w:proofErr w:type="spellStart"/>
      <w:r>
        <w:t>Peetz</w:t>
      </w:r>
      <w:proofErr w:type="spellEnd"/>
      <w:r>
        <w:t xml:space="preserve"> </w:t>
      </w:r>
      <w:r w:rsidRPr="009A3401">
        <w:t>(2012)</w:t>
      </w:r>
      <w:r>
        <w:t xml:space="preserve">, </w:t>
      </w:r>
      <w:proofErr w:type="spellStart"/>
      <w:r>
        <w:t>Philipatos</w:t>
      </w:r>
      <w:proofErr w:type="spellEnd"/>
      <w:r>
        <w:t xml:space="preserve"> </w:t>
      </w:r>
      <w:r w:rsidRPr="009C39B3">
        <w:t>(2013)</w:t>
      </w:r>
      <w:r>
        <w:t xml:space="preserve">, Sloan </w:t>
      </w:r>
      <w:r w:rsidRPr="005F101C">
        <w:t>(2010)</w:t>
      </w:r>
      <w:r w:rsidRPr="0073465D">
        <w:t xml:space="preserve"> </w:t>
      </w:r>
      <w:r>
        <w:t xml:space="preserve">and Wooden </w:t>
      </w:r>
      <w:r w:rsidRPr="009A3401">
        <w:t>(2006, 2010)</w:t>
      </w:r>
      <w:r>
        <w:t>.</w:t>
      </w:r>
      <w:proofErr w:type="gramEnd"/>
      <w:r w:rsidR="00D10E92">
        <w:t xml:space="preserve"> </w:t>
      </w:r>
    </w:p>
    <w:p w14:paraId="357F92C4" w14:textId="29DC7927" w:rsidR="00E54621" w:rsidRDefault="00E54621" w:rsidP="00E54621">
      <w:pPr>
        <w:pStyle w:val="BodyText"/>
      </w:pPr>
      <w:r>
        <w:t>In the face of the wide diversity of views about the WR system, the Commission will take a critical, evidence</w:t>
      </w:r>
      <w:r w:rsidR="00D10E92">
        <w:noBreakHyphen/>
      </w:r>
      <w:r>
        <w:t xml:space="preserve">based approach to differing claims about the impacts of different configurations of the system. </w:t>
      </w:r>
    </w:p>
    <w:p w14:paraId="7A2E2D76" w14:textId="77777777" w:rsidR="00E54621" w:rsidRDefault="00E54621" w:rsidP="00E54621">
      <w:pPr>
        <w:pStyle w:val="BodyText"/>
      </w:pPr>
      <w:r>
        <w:t xml:space="preserve">Though values and social norms legitimately shape views about what the WR system should look like, it is important to determine whether any particular policy measure does in fact have the impact it is claimed to have, and whether people and institutions actually behave as the underlying theories suggest. On the latter score, the Commission notes Chief Justice </w:t>
      </w:r>
      <w:proofErr w:type="spellStart"/>
      <w:r>
        <w:t>Dethridge’s</w:t>
      </w:r>
      <w:proofErr w:type="spellEnd"/>
      <w:r>
        <w:t xml:space="preserve"> view in the 44</w:t>
      </w:r>
      <w:r>
        <w:noBreakHyphen/>
        <w:t>Hour Week Case in 1927 that evidence is needed to make policy — in balancing the claims of opposing parties about the effects of any particular reform, ‘g</w:t>
      </w:r>
      <w:r w:rsidRPr="00A97BEC">
        <w:t>eneral prognostications of disaster on the one hand, or of uninjured prosperity on the other, are of little or no value</w:t>
      </w:r>
      <w:r>
        <w:t>’.</w:t>
      </w:r>
      <w:r w:rsidRPr="0028155A">
        <w:rPr>
          <w:rStyle w:val="FootnoteReference"/>
        </w:rPr>
        <w:footnoteReference w:id="7"/>
      </w:r>
    </w:p>
    <w:p w14:paraId="5892F3EA" w14:textId="36D0D814" w:rsidR="00E54621" w:rsidRDefault="00E54621" w:rsidP="00E54621">
      <w:pPr>
        <w:pStyle w:val="BodyText"/>
        <w:rPr>
          <w:i/>
        </w:rPr>
      </w:pPr>
      <w:r>
        <w:t xml:space="preserve">It appears most people believe that WR systems matter to economic performance, but they </w:t>
      </w:r>
      <w:proofErr w:type="gramStart"/>
      <w:r>
        <w:t>disagree</w:t>
      </w:r>
      <w:proofErr w:type="gramEnd"/>
      <w:r>
        <w:t xml:space="preserve"> about what type of arrangement is best, what ‘best’ means, and the strength of the evidence for any option. Even if evidence is incomplete, it may at least provide some indicat</w:t>
      </w:r>
      <w:r w:rsidR="00AF3AE0">
        <w:t>ion</w:t>
      </w:r>
      <w:r>
        <w:t xml:space="preserve"> </w:t>
      </w:r>
      <w:r w:rsidR="00AF3AE0">
        <w:t>of</w:t>
      </w:r>
      <w:r>
        <w:t xml:space="preserve"> what not to do, or some comfort that certain policy directions will have likely, if not entirely proven, benefits. </w:t>
      </w:r>
      <w:r w:rsidR="00F93E54" w:rsidRPr="00DF7FEC">
        <w:rPr>
          <w:i/>
        </w:rPr>
        <w:t xml:space="preserve">The Commission invites participants to </w:t>
      </w:r>
      <w:r w:rsidR="00F93E54">
        <w:rPr>
          <w:i/>
        </w:rPr>
        <w:t xml:space="preserve">submit proposals </w:t>
      </w:r>
      <w:r w:rsidR="00F93E54">
        <w:rPr>
          <w:i/>
        </w:rPr>
        <w:lastRenderedPageBreak/>
        <w:t xml:space="preserve">they </w:t>
      </w:r>
      <w:r w:rsidR="00284DD5">
        <w:rPr>
          <w:i/>
        </w:rPr>
        <w:t>consider</w:t>
      </w:r>
      <w:r w:rsidR="00F93E54">
        <w:rPr>
          <w:i/>
        </w:rPr>
        <w:t xml:space="preserve"> would improve the operation of the WR system together with supporting evidence and argument.</w:t>
      </w:r>
      <w:r w:rsidRPr="00AE7676">
        <w:rPr>
          <w:i/>
        </w:rPr>
        <w:t xml:space="preserve"> </w:t>
      </w:r>
    </w:p>
    <w:p w14:paraId="27A85E17" w14:textId="6E93DB1C" w:rsidR="00F61E3A" w:rsidRDefault="004B1A90" w:rsidP="00F61E3A">
      <w:pPr>
        <w:pStyle w:val="Heading2"/>
      </w:pPr>
      <w:bookmarkStart w:id="22" w:name="_Toc409524625"/>
      <w:r>
        <w:t>1.</w:t>
      </w:r>
      <w:r w:rsidR="00AA6994">
        <w:rPr>
          <w:noProof/>
        </w:rPr>
        <w:t>5</w:t>
      </w:r>
      <w:r w:rsidR="00F61E3A" w:rsidRPr="00F61E3A">
        <w:tab/>
      </w:r>
      <w:r w:rsidR="00F61E3A">
        <w:t>The Commission’s approach</w:t>
      </w:r>
      <w:bookmarkEnd w:id="22"/>
    </w:p>
    <w:p w14:paraId="5583DB56" w14:textId="433A52B9" w:rsidR="006A5C09" w:rsidRDefault="00F61E3A" w:rsidP="00F61E3A">
      <w:pPr>
        <w:pStyle w:val="BodyText"/>
      </w:pPr>
      <w:bookmarkStart w:id="23" w:name="_Toc408581786"/>
      <w:r>
        <w:t xml:space="preserve">As with all Productivity Commission inquiries, </w:t>
      </w:r>
      <w:r w:rsidR="00774E59">
        <w:t xml:space="preserve">under its Act </w:t>
      </w:r>
      <w:r>
        <w:t>the Commission</w:t>
      </w:r>
      <w:r w:rsidR="00774E59">
        <w:t xml:space="preserve"> is required to </w:t>
      </w:r>
      <w:r>
        <w:t>recommend</w:t>
      </w:r>
      <w:r w:rsidR="00774E59">
        <w:t xml:space="preserve"> policies to</w:t>
      </w:r>
      <w:r w:rsidR="0055478D">
        <w:t xml:space="preserve"> </w:t>
      </w:r>
      <w:r>
        <w:t>maximise the wellbeing of the community as a whole. This inquiry is not intended to maximise the benefits to any particular groups, whether they be businesses, unions, employees, consumers or other stakeholders, as their individual interests may not coincide with those of Australians as a whole. Of course, the interests of the different parties form part of this broader assessment.</w:t>
      </w:r>
    </w:p>
    <w:p w14:paraId="07C6E092" w14:textId="74865AB1" w:rsidR="00BC38BB" w:rsidRDefault="00620E6A" w:rsidP="00BC38BB">
      <w:pPr>
        <w:pStyle w:val="BodyText"/>
      </w:pPr>
      <w:r>
        <w:t xml:space="preserve">The </w:t>
      </w:r>
      <w:r w:rsidR="00BC38BB">
        <w:t>Commission’s approach recognises the social as well as the economic aspects of wellbeing; and in the case of an inquiry into workplace relations, the concepts of fairness and equitable treatment, the balance of negotiating strength and the ability of parties to remain well</w:t>
      </w:r>
      <w:r w:rsidR="00D10E92">
        <w:noBreakHyphen/>
      </w:r>
      <w:r w:rsidR="00BC38BB">
        <w:t>informed and able to manage their own interests effectively are clearly relevant, albeit sometimes difficult to balance.</w:t>
      </w:r>
    </w:p>
    <w:p w14:paraId="7E866DDD" w14:textId="2014424C" w:rsidR="00620E6A" w:rsidRDefault="00620E6A" w:rsidP="00620E6A">
      <w:pPr>
        <w:pStyle w:val="BodyText"/>
      </w:pPr>
      <w:r>
        <w:t xml:space="preserve">The Commission </w:t>
      </w:r>
      <w:r w:rsidR="00BC38BB">
        <w:t>also</w:t>
      </w:r>
      <w:r>
        <w:t xml:space="preserve"> recognises that the ‘price’ of labour differs from the price of most other inputs into an economy. This is not only because the price </w:t>
      </w:r>
      <w:r w:rsidR="002F1D9D">
        <w:t>(wage)</w:t>
      </w:r>
      <w:r>
        <w:t xml:space="preserve"> offered usually affect</w:t>
      </w:r>
      <w:r w:rsidR="002F1D9D">
        <w:t>s</w:t>
      </w:r>
      <w:r>
        <w:t xml:space="preserve"> people’s workplace performance</w:t>
      </w:r>
      <w:r w:rsidR="007F71BE">
        <w:t xml:space="preserve"> and because of the virtual exclusion of WR from competition policy</w:t>
      </w:r>
      <w:r w:rsidR="00994D11">
        <w:t xml:space="preserve"> (Issues Paper 5)</w:t>
      </w:r>
      <w:r w:rsidR="007F71BE">
        <w:t xml:space="preserve">, though these are </w:t>
      </w:r>
      <w:r w:rsidR="00994D11">
        <w:t>distinctive</w:t>
      </w:r>
      <w:r w:rsidR="00231A40">
        <w:t xml:space="preserve"> features</w:t>
      </w:r>
      <w:r w:rsidR="007F71BE">
        <w:t xml:space="preserve">. </w:t>
      </w:r>
      <w:r>
        <w:t>It is also because many people’s incomes and indeed wellbeing depend to a considerable extent on that price. No nation aspires to be a low</w:t>
      </w:r>
      <w:r w:rsidR="00D10E92">
        <w:noBreakHyphen/>
      </w:r>
      <w:r>
        <w:t xml:space="preserve">wage economy. </w:t>
      </w:r>
      <w:r w:rsidR="00F23474">
        <w:t>T</w:t>
      </w:r>
      <w:r>
        <w:t xml:space="preserve">he </w:t>
      </w:r>
      <w:r w:rsidR="00F23474">
        <w:t>more relevant</w:t>
      </w:r>
      <w:r>
        <w:t xml:space="preserve"> question is how a workplace relations system, together with other policies and practices, should be designed to achieve high productivity and to allocate labour to its best uses, thereby sustaining higher incomes and enabling greater wellbeing over time. </w:t>
      </w:r>
    </w:p>
    <w:p w14:paraId="446DD0D4" w14:textId="5269E7E5" w:rsidR="00032EAD" w:rsidRDefault="00471AEE" w:rsidP="00032EAD">
      <w:pPr>
        <w:pStyle w:val="Heading3"/>
      </w:pPr>
      <w:r>
        <w:t>Considerations for assessing policy proposals</w:t>
      </w:r>
      <w:bookmarkEnd w:id="23"/>
    </w:p>
    <w:p w14:paraId="35A70117" w14:textId="19D484AF" w:rsidR="00471AEE" w:rsidRDefault="00471AEE" w:rsidP="00471AEE">
      <w:pPr>
        <w:pStyle w:val="BodyText"/>
      </w:pPr>
      <w:r>
        <w:t>The Commission has no</w:t>
      </w:r>
      <w:r w:rsidRPr="003B2214">
        <w:t xml:space="preserve"> presumption</w:t>
      </w:r>
      <w:r>
        <w:t>s</w:t>
      </w:r>
      <w:r w:rsidRPr="003B2214">
        <w:t xml:space="preserve"> about the </w:t>
      </w:r>
      <w:r>
        <w:t>desired</w:t>
      </w:r>
      <w:r w:rsidRPr="003B2214">
        <w:t xml:space="preserve"> direction, magnitude or form of changes to the WR system</w:t>
      </w:r>
      <w:r>
        <w:t xml:space="preserve">. </w:t>
      </w:r>
      <w:r w:rsidRPr="003B2214">
        <w:t xml:space="preserve">The Commission is open to lateral </w:t>
      </w:r>
      <w:r>
        <w:t>suggestions</w:t>
      </w:r>
      <w:r w:rsidRPr="003B2214">
        <w:t xml:space="preserve"> so long as they are practical, beneficial and backed by </w:t>
      </w:r>
      <w:r>
        <w:t xml:space="preserve">solid </w:t>
      </w:r>
      <w:r w:rsidRPr="003B2214">
        <w:t>evidence</w:t>
      </w:r>
      <w:r w:rsidR="000C6113">
        <w:t xml:space="preserve"> and argument</w:t>
      </w:r>
      <w:r w:rsidRPr="003B2214">
        <w:t>.</w:t>
      </w:r>
      <w:r w:rsidR="004A6E38">
        <w:t xml:space="preserve"> </w:t>
      </w:r>
      <w:r w:rsidR="004A6E38" w:rsidRPr="004A6E38">
        <w:t xml:space="preserve">It recognises that there may be proposals </w:t>
      </w:r>
      <w:r w:rsidR="004A6E38">
        <w:t>that</w:t>
      </w:r>
      <w:r w:rsidR="004A6E38" w:rsidRPr="004A6E38">
        <w:t xml:space="preserve"> are less beholden to the past that achieve productive and fair workplaces — either modelled on other countries, or reflecting entirely new ideas.</w:t>
      </w:r>
    </w:p>
    <w:p w14:paraId="5E8C0687" w14:textId="7BA68670" w:rsidR="00F23474" w:rsidRDefault="00F23474" w:rsidP="00F23474">
      <w:pPr>
        <w:pStyle w:val="BodyText"/>
      </w:pPr>
      <w:r>
        <w:t>In examining submissions and other material</w:t>
      </w:r>
      <w:r w:rsidR="00B80D5E">
        <w:t>,</w:t>
      </w:r>
      <w:r>
        <w:t xml:space="preserve"> the Commission </w:t>
      </w:r>
      <w:r w:rsidR="00717C5E">
        <w:t>will</w:t>
      </w:r>
      <w:r>
        <w:t xml:space="preserve"> </w:t>
      </w:r>
      <w:r w:rsidR="00717C5E">
        <w:t xml:space="preserve">be </w:t>
      </w:r>
      <w:r>
        <w:t xml:space="preserve">asking </w:t>
      </w:r>
      <w:r w:rsidR="00906A1A">
        <w:t>how</w:t>
      </w:r>
      <w:r w:rsidDel="00717C5E">
        <w:t xml:space="preserve"> </w:t>
      </w:r>
      <w:r>
        <w:t>any proposed changes:</w:t>
      </w:r>
    </w:p>
    <w:p w14:paraId="251EA531" w14:textId="3E20B224" w:rsidR="00032EAD" w:rsidRPr="00B80D5E" w:rsidRDefault="004A439C" w:rsidP="00BC38BB">
      <w:pPr>
        <w:pStyle w:val="ListBullet"/>
      </w:pPr>
      <w:r w:rsidRPr="00B80D5E">
        <w:t>improve</w:t>
      </w:r>
      <w:r w:rsidR="00032EAD" w:rsidRPr="00B80D5E">
        <w:t xml:space="preserve"> </w:t>
      </w:r>
      <w:r w:rsidR="000C6113" w:rsidRPr="00B80D5E">
        <w:t xml:space="preserve">the </w:t>
      </w:r>
      <w:r w:rsidR="00B80D5E">
        <w:t>overall</w:t>
      </w:r>
      <w:r w:rsidR="000C6113">
        <w:t xml:space="preserve"> </w:t>
      </w:r>
      <w:r w:rsidR="000C6113" w:rsidRPr="00B80D5E">
        <w:t xml:space="preserve">use and </w:t>
      </w:r>
      <w:r w:rsidR="00032EAD" w:rsidRPr="00B80D5E">
        <w:t xml:space="preserve">allocation of resources </w:t>
      </w:r>
      <w:r w:rsidR="000C6113" w:rsidRPr="00B80D5E">
        <w:t xml:space="preserve">in </w:t>
      </w:r>
      <w:r w:rsidR="00032EAD" w:rsidRPr="00B80D5E">
        <w:t xml:space="preserve">workplaces and </w:t>
      </w:r>
      <w:r w:rsidR="000C6113" w:rsidRPr="00B80D5E">
        <w:t xml:space="preserve">around </w:t>
      </w:r>
      <w:r w:rsidR="00032EAD" w:rsidRPr="00B80D5E">
        <w:t xml:space="preserve">the economy (encompassing managerial as well as employee efficiency) </w:t>
      </w:r>
    </w:p>
    <w:p w14:paraId="7CB37E13" w14:textId="7DD518D4" w:rsidR="00717C5E" w:rsidRPr="00B80D5E" w:rsidRDefault="004A439C" w:rsidP="00717C5E">
      <w:pPr>
        <w:pStyle w:val="ListBullet"/>
      </w:pPr>
      <w:r w:rsidRPr="00B80D5E">
        <w:t xml:space="preserve">enhance </w:t>
      </w:r>
      <w:r w:rsidR="00717C5E" w:rsidRPr="00B80D5E">
        <w:t>employment opportunities</w:t>
      </w:r>
      <w:r w:rsidR="00B80D5E">
        <w:t>, matching of people to jobs</w:t>
      </w:r>
      <w:r w:rsidR="00717C5E" w:rsidRPr="00B80D5E">
        <w:t xml:space="preserve"> and informed </w:t>
      </w:r>
      <w:r w:rsidR="00B80D5E">
        <w:t>employment</w:t>
      </w:r>
      <w:r w:rsidR="00717C5E" w:rsidRPr="00B80D5E">
        <w:t xml:space="preserve"> choices</w:t>
      </w:r>
    </w:p>
    <w:p w14:paraId="23B417DA" w14:textId="60A34495" w:rsidR="00032EAD" w:rsidRPr="00B80D5E" w:rsidRDefault="00545F89" w:rsidP="007327DB">
      <w:pPr>
        <w:pStyle w:val="ListBullet"/>
      </w:pPr>
      <w:r>
        <w:lastRenderedPageBreak/>
        <w:t>accommodate differences in the needs and circumstances and of different types of businesses and different regions</w:t>
      </w:r>
    </w:p>
    <w:p w14:paraId="28C73C80" w14:textId="5CE48A0C" w:rsidR="004A439C" w:rsidRPr="00B80D5E" w:rsidRDefault="004A439C" w:rsidP="004A439C">
      <w:pPr>
        <w:pStyle w:val="ListBullet"/>
      </w:pPr>
      <w:r w:rsidRPr="00B80D5E">
        <w:t xml:space="preserve">promote efficient pricing and efficient investment in innovation, skill and capital </w:t>
      </w:r>
    </w:p>
    <w:p w14:paraId="0C5B6D75" w14:textId="59E951F2" w:rsidR="00032EAD" w:rsidRPr="00B80D5E" w:rsidRDefault="004A439C" w:rsidP="00BC38BB">
      <w:pPr>
        <w:pStyle w:val="ListBullet"/>
      </w:pPr>
      <w:r w:rsidRPr="00B80D5E">
        <w:t xml:space="preserve">promote </w:t>
      </w:r>
      <w:r w:rsidR="00032EAD" w:rsidRPr="00B80D5E">
        <w:t>institutions that are efficient and effective and avoid undue administrative or compliance costs</w:t>
      </w:r>
    </w:p>
    <w:p w14:paraId="2A82D44F" w14:textId="4C2E5B97" w:rsidR="00032EAD" w:rsidRPr="00B80D5E" w:rsidRDefault="004A439C" w:rsidP="00BC38BB">
      <w:pPr>
        <w:pStyle w:val="ListBullet"/>
      </w:pPr>
      <w:r w:rsidRPr="00B80D5E">
        <w:t xml:space="preserve">ensure that any </w:t>
      </w:r>
      <w:r w:rsidR="00032EAD" w:rsidRPr="00B80D5E">
        <w:t xml:space="preserve">regulatory requirements are </w:t>
      </w:r>
      <w:r w:rsidR="000C6113" w:rsidRPr="00B80D5E">
        <w:t xml:space="preserve">necessary and </w:t>
      </w:r>
      <w:r w:rsidR="00032EAD" w:rsidRPr="00B80D5E">
        <w:t>simple to understand and use</w:t>
      </w:r>
    </w:p>
    <w:p w14:paraId="1251AAAE" w14:textId="77777777" w:rsidR="00032EAD" w:rsidRDefault="00032EAD" w:rsidP="00032EAD">
      <w:pPr>
        <w:pStyle w:val="ListBullet"/>
      </w:pPr>
      <w:r>
        <w:t>curtail the abuse of power that could add significantly to social and economic costs</w:t>
      </w:r>
    </w:p>
    <w:p w14:paraId="620D9A4B" w14:textId="2ACB0CEE" w:rsidR="00032EAD" w:rsidRDefault="00032EAD" w:rsidP="00032EAD">
      <w:pPr>
        <w:pStyle w:val="ListBullet"/>
      </w:pPr>
      <w:r>
        <w:t xml:space="preserve">achieve outcomes that are consistent with community norms, for example in relation to </w:t>
      </w:r>
      <w:r w:rsidR="00E64827">
        <w:t>equitable outcomes</w:t>
      </w:r>
      <w:r>
        <w:t xml:space="preserve"> and ethical behaviour</w:t>
      </w:r>
    </w:p>
    <w:p w14:paraId="6A86DCD0" w14:textId="36A2D186" w:rsidR="00545F89" w:rsidRDefault="00545F89" w:rsidP="00545F89">
      <w:pPr>
        <w:pStyle w:val="ListBullet"/>
      </w:pPr>
      <w:r>
        <w:t xml:space="preserve">are consistent with complementary </w:t>
      </w:r>
      <w:r w:rsidR="00D37840">
        <w:t>regulations and policies</w:t>
      </w:r>
    </w:p>
    <w:p w14:paraId="7C07ACDD" w14:textId="4D7F9551" w:rsidR="00906A1A" w:rsidRPr="00B80D5E" w:rsidRDefault="00906A1A" w:rsidP="00906A1A">
      <w:pPr>
        <w:pStyle w:val="ListBullet"/>
      </w:pPr>
      <w:r w:rsidRPr="00B80D5E">
        <w:t>are adaptable, particularly, but not solely, in the light of future demographic and global economic trends</w:t>
      </w:r>
    </w:p>
    <w:p w14:paraId="3EE51B38" w14:textId="52144233" w:rsidR="00032EAD" w:rsidRDefault="00032EAD" w:rsidP="00032EAD">
      <w:pPr>
        <w:pStyle w:val="ListBullet"/>
      </w:pPr>
      <w:proofErr w:type="gramStart"/>
      <w:r>
        <w:t>take</w:t>
      </w:r>
      <w:proofErr w:type="gramEnd"/>
      <w:r>
        <w:t xml:space="preserve"> acco</w:t>
      </w:r>
      <w:r w:rsidR="0021702F">
        <w:t>unt of international agreements</w:t>
      </w:r>
      <w:r w:rsidR="005C06B4">
        <w:t>.</w:t>
      </w:r>
    </w:p>
    <w:p w14:paraId="7F797829" w14:textId="2F89A999" w:rsidR="00906A1A" w:rsidRDefault="00906A1A" w:rsidP="00FE6E78">
      <w:pPr>
        <w:pStyle w:val="InformationRequest"/>
      </w:pPr>
      <w:r>
        <w:t xml:space="preserve">The Commission welcomes </w:t>
      </w:r>
      <w:r w:rsidR="004A1F72">
        <w:t>evidence</w:t>
      </w:r>
      <w:r w:rsidR="00D10E92">
        <w:noBreakHyphen/>
      </w:r>
      <w:r w:rsidR="004A1F72">
        <w:t xml:space="preserve">based </w:t>
      </w:r>
      <w:r>
        <w:t>s</w:t>
      </w:r>
      <w:r w:rsidRPr="00906A1A">
        <w:t xml:space="preserve">ubmissions that offer guidance on policy or practical changes </w:t>
      </w:r>
      <w:r w:rsidR="004A1F72">
        <w:t xml:space="preserve">to the WR system </w:t>
      </w:r>
      <w:r w:rsidRPr="00906A1A">
        <w:t xml:space="preserve">that </w:t>
      </w:r>
      <w:r>
        <w:t>improve the wellbeing of the Australian community as a whole</w:t>
      </w:r>
      <w:r w:rsidR="00D10E92">
        <w:t xml:space="preserve"> </w:t>
      </w:r>
      <w:r>
        <w:t xml:space="preserve">— using the above or alternative objectives as the basis </w:t>
      </w:r>
      <w:r w:rsidR="004A1F72">
        <w:t xml:space="preserve">for </w:t>
      </w:r>
      <w:r w:rsidR="00AC234A">
        <w:t>participants’</w:t>
      </w:r>
      <w:r w:rsidR="004A1F72">
        <w:t xml:space="preserve"> views.</w:t>
      </w:r>
    </w:p>
    <w:p w14:paraId="18752E25" w14:textId="77777777" w:rsidR="00E56D2F" w:rsidRDefault="00E56D2F" w:rsidP="000C57A3">
      <w:pPr>
        <w:pStyle w:val="Heading4"/>
      </w:pPr>
      <w:r>
        <w:t>Interdependencies, contingencies and risks may also be important</w:t>
      </w:r>
    </w:p>
    <w:p w14:paraId="6B524FC9" w14:textId="5721A01E" w:rsidR="00A76560" w:rsidRDefault="00A76560" w:rsidP="00E56D2F">
      <w:pPr>
        <w:pStyle w:val="BodyText"/>
      </w:pPr>
      <w:r w:rsidRPr="00A76560">
        <w:t xml:space="preserve">The impact of any given change to the WR system will often be affected by other changes to the system, or to other policies. For example, </w:t>
      </w:r>
      <w:r w:rsidR="0083713E">
        <w:t xml:space="preserve">the impacts of penalty rates on the opening hours of retail outlets partly depend on the extent of any trading hour restrictions. </w:t>
      </w:r>
    </w:p>
    <w:p w14:paraId="6A8AF577" w14:textId="45390FC2" w:rsidR="00E56D2F" w:rsidRPr="00DC54B3" w:rsidRDefault="00E56D2F" w:rsidP="00FE6E78">
      <w:pPr>
        <w:pStyle w:val="InformationRequest"/>
      </w:pPr>
      <w:r w:rsidRPr="00DC54B3">
        <w:t xml:space="preserve">In considering policy options, to what extent are the benefits of a given element of a </w:t>
      </w:r>
      <w:r>
        <w:t xml:space="preserve">worthwhile </w:t>
      </w:r>
      <w:r w:rsidRPr="00DC54B3">
        <w:t>reform package dependent on implementing other elements of the package?</w:t>
      </w:r>
    </w:p>
    <w:p w14:paraId="6FF7B550" w14:textId="77777777" w:rsidR="00E56D2F" w:rsidRDefault="00E56D2F" w:rsidP="00E56D2F">
      <w:pPr>
        <w:pStyle w:val="BodyText"/>
      </w:pPr>
      <w:r>
        <w:t xml:space="preserve">All policy changes have risks. They may not have their intended effects because of miscalculation or failure to appreciate the counter responses by people. Transitional costs may be high and implementation imperfect. </w:t>
      </w:r>
    </w:p>
    <w:p w14:paraId="0CF3AB29" w14:textId="77777777" w:rsidR="00E56D2F" w:rsidRDefault="00E56D2F" w:rsidP="00FE6E78">
      <w:pPr>
        <w:pStyle w:val="InformationRequest"/>
      </w:pPr>
      <w:r w:rsidRPr="00DC54B3">
        <w:t>What are the biggest risks from changing the present WR system and how could these be moderated</w:t>
      </w:r>
      <w:r>
        <w:t xml:space="preserve"> or avoided</w:t>
      </w:r>
      <w:r w:rsidRPr="00DC54B3">
        <w:t>?</w:t>
      </w:r>
      <w:r>
        <w:t xml:space="preserve"> What are the likely transitional costs associated with worthwhile reforms?</w:t>
      </w:r>
    </w:p>
    <w:p w14:paraId="005434F6" w14:textId="51E00426" w:rsidR="0055478D" w:rsidRDefault="00471AEE" w:rsidP="0055478D">
      <w:pPr>
        <w:pStyle w:val="Heading3"/>
      </w:pPr>
      <w:r>
        <w:t xml:space="preserve">Issues in assessing </w:t>
      </w:r>
      <w:proofErr w:type="spellStart"/>
      <w:r w:rsidR="0055478D">
        <w:t>economy</w:t>
      </w:r>
      <w:r w:rsidR="00D10E92">
        <w:noBreakHyphen/>
      </w:r>
      <w:r w:rsidR="0055478D">
        <w:t>wide</w:t>
      </w:r>
      <w:proofErr w:type="spellEnd"/>
      <w:r w:rsidR="0055478D">
        <w:t xml:space="preserve"> impacts </w:t>
      </w:r>
    </w:p>
    <w:p w14:paraId="39805FDD" w14:textId="2FB9C23B" w:rsidR="0055478D" w:rsidRDefault="0055478D" w:rsidP="0055478D">
      <w:pPr>
        <w:pStyle w:val="BodyText"/>
      </w:pPr>
      <w:r>
        <w:t xml:space="preserve">In addition to assessing the impacts of particular aspects of the WR system, the Commission, in line with the terms of reference, will also seek to examine the </w:t>
      </w:r>
      <w:proofErr w:type="spellStart"/>
      <w:r>
        <w:t>economy</w:t>
      </w:r>
      <w:r w:rsidR="00D10E92">
        <w:noBreakHyphen/>
      </w:r>
      <w:r>
        <w:t>wide</w:t>
      </w:r>
      <w:proofErr w:type="spellEnd"/>
      <w:r>
        <w:t xml:space="preserve"> impacts of the system (and of possible reforms to it), including on jobs, </w:t>
      </w:r>
      <w:r w:rsidR="00AA73F4">
        <w:t xml:space="preserve">inflation, </w:t>
      </w:r>
      <w:r>
        <w:t xml:space="preserve">productivity and incomes, and how these flow through at the regional and industry level. </w:t>
      </w:r>
    </w:p>
    <w:p w14:paraId="0CEA785B" w14:textId="77777777" w:rsidR="0055478D" w:rsidRDefault="0055478D" w:rsidP="0055478D">
      <w:pPr>
        <w:pStyle w:val="BodyText"/>
      </w:pPr>
      <w:r>
        <w:lastRenderedPageBreak/>
        <w:t>In undertaking this task, the Commission is mindful of the complexity of the linkages between WR and the economy as a whole, and the difficulties in isolating its effects from other factors driving economic performance:</w:t>
      </w:r>
    </w:p>
    <w:p w14:paraId="1A17FF79" w14:textId="77777777" w:rsidR="0055478D" w:rsidRDefault="0055478D" w:rsidP="0055478D">
      <w:pPr>
        <w:pStyle w:val="ListBullet"/>
      </w:pPr>
      <w:r>
        <w:t>the impacts may be indirect, such as through training, innovation, the adoption of new information technologies and investment, and thereby hard to separate from them</w:t>
      </w:r>
    </w:p>
    <w:p w14:paraId="25B07237" w14:textId="77777777" w:rsidR="0055478D" w:rsidRDefault="0055478D" w:rsidP="0055478D">
      <w:pPr>
        <w:pStyle w:val="ListBullet"/>
      </w:pPr>
      <w:r>
        <w:t xml:space="preserve">the impacts may require other complementary organisational changes or policy shifts </w:t>
      </w:r>
    </w:p>
    <w:p w14:paraId="7D1A76BA" w14:textId="2ED331F5" w:rsidR="0055478D" w:rsidRDefault="0055478D" w:rsidP="0055478D">
      <w:pPr>
        <w:pStyle w:val="ListBullet"/>
      </w:pPr>
      <w:r>
        <w:t>even if gains from any change ‘only’ show up as a modest one</w:t>
      </w:r>
      <w:r w:rsidR="00D10E92">
        <w:noBreakHyphen/>
      </w:r>
      <w:r>
        <w:t xml:space="preserve">off permanent upward shift in incomes </w:t>
      </w:r>
      <w:r w:rsidRPr="000D6457">
        <w:rPr>
          <w:szCs w:val="24"/>
        </w:rPr>
        <w:t xml:space="preserve">(a possibility raised by </w:t>
      </w:r>
      <w:proofErr w:type="spellStart"/>
      <w:r w:rsidRPr="000D6457">
        <w:rPr>
          <w:szCs w:val="24"/>
        </w:rPr>
        <w:t>Peetz</w:t>
      </w:r>
      <w:proofErr w:type="spellEnd"/>
      <w:r w:rsidRPr="000D6457">
        <w:rPr>
          <w:szCs w:val="24"/>
        </w:rPr>
        <w:t> 2012)</w:t>
      </w:r>
      <w:r>
        <w:t>, these can be important to people’s lifetime incomes, but hard to discern empirically among the noise in the economy</w:t>
      </w:r>
    </w:p>
    <w:p w14:paraId="7B49BA19" w14:textId="46D4E4A9" w:rsidR="0055478D" w:rsidRDefault="0055478D" w:rsidP="0055478D">
      <w:pPr>
        <w:pStyle w:val="ListBullet"/>
      </w:pPr>
      <w:proofErr w:type="gramStart"/>
      <w:r>
        <w:t>there</w:t>
      </w:r>
      <w:proofErr w:type="gramEnd"/>
      <w:r>
        <w:t xml:space="preserve"> may be opposing benefits and costs from reform, which make it hard to identify the effects separately. Related to this, there is no single measure by which to gauge whether a WR system has been successful (is it lower unemployment, </w:t>
      </w:r>
      <w:r w:rsidR="009C508C">
        <w:t xml:space="preserve">anchoring low inflationary expectations, </w:t>
      </w:r>
      <w:r>
        <w:t xml:space="preserve">higher real net national disposable income, productivity, greater job security, job satisfaction, lower dispute rates, higher wages, </w:t>
      </w:r>
      <w:r w:rsidR="002D47B3">
        <w:t>more equitable outcomes</w:t>
      </w:r>
      <w:r>
        <w:t xml:space="preserve">, among many other possible measures?) </w:t>
      </w:r>
    </w:p>
    <w:p w14:paraId="3B0EC3B7" w14:textId="1D2DE4F3" w:rsidR="009D6CE7" w:rsidRDefault="0055478D" w:rsidP="009D6CE7">
      <w:pPr>
        <w:pStyle w:val="ListBullet"/>
      </w:pPr>
      <w:r>
        <w:t xml:space="preserve">there are limited observations in macroeconomic data, which may not be ideally suited to isolating the effects of reform, and this appears to be reflected in the lack of consensus in this area </w:t>
      </w:r>
      <w:r w:rsidRPr="001A01FB">
        <w:rPr>
          <w:szCs w:val="24"/>
        </w:rPr>
        <w:t xml:space="preserve">(Borland 2012; Deakin, </w:t>
      </w:r>
      <w:proofErr w:type="spellStart"/>
      <w:r w:rsidRPr="001A01FB">
        <w:rPr>
          <w:szCs w:val="24"/>
        </w:rPr>
        <w:t>Malmberg</w:t>
      </w:r>
      <w:proofErr w:type="spellEnd"/>
      <w:r w:rsidRPr="001A01FB">
        <w:rPr>
          <w:szCs w:val="24"/>
        </w:rPr>
        <w:t xml:space="preserve"> and Sarkar 2014)</w:t>
      </w:r>
      <w:r>
        <w:t>. Contrary to this more aggregate analysis, more disaggregated studies based on firm</w:t>
      </w:r>
      <w:r w:rsidR="00D10E92">
        <w:noBreakHyphen/>
      </w:r>
      <w:r>
        <w:t xml:space="preserve">level data appear to be more promising in discovering effects that may still have aggregate impacts </w:t>
      </w:r>
      <w:r w:rsidRPr="00465FED">
        <w:rPr>
          <w:szCs w:val="24"/>
        </w:rPr>
        <w:t>(Farmakis-</w:t>
      </w:r>
      <w:proofErr w:type="spellStart"/>
      <w:r w:rsidRPr="00465FED">
        <w:rPr>
          <w:szCs w:val="24"/>
        </w:rPr>
        <w:t>Gamboni</w:t>
      </w:r>
      <w:proofErr w:type="spellEnd"/>
      <w:r w:rsidRPr="00465FED">
        <w:rPr>
          <w:szCs w:val="24"/>
        </w:rPr>
        <w:t xml:space="preserve"> and Prentice 2011; </w:t>
      </w:r>
      <w:proofErr w:type="spellStart"/>
      <w:r w:rsidRPr="00465FED">
        <w:rPr>
          <w:szCs w:val="24"/>
        </w:rPr>
        <w:t>Loundes</w:t>
      </w:r>
      <w:proofErr w:type="spellEnd"/>
      <w:r w:rsidRPr="00465FED">
        <w:rPr>
          <w:szCs w:val="24"/>
        </w:rPr>
        <w:t>, Tseng and Wooden 2003; Tseng and Wooden 2001)</w:t>
      </w:r>
      <w:r>
        <w:t>.</w:t>
      </w:r>
    </w:p>
    <w:p w14:paraId="3318C875" w14:textId="3340754C" w:rsidR="009D6CE7" w:rsidRDefault="009D6CE7" w:rsidP="009D6CE7">
      <w:pPr>
        <w:pStyle w:val="BodyText"/>
      </w:pPr>
      <w:r>
        <w:t>Nevertheless, as discussed earlier, many macroeconomists cite past labour relations reforms as one of the reasons for Australia’s improved macroeconomic performance since the mid</w:t>
      </w:r>
      <w:r w:rsidR="00D10E92">
        <w:noBreakHyphen/>
      </w:r>
      <w:r>
        <w:t>1990s.</w:t>
      </w:r>
    </w:p>
    <w:p w14:paraId="6D1576C4" w14:textId="58CEEF84" w:rsidR="0055478D" w:rsidRPr="00565559" w:rsidRDefault="0055478D" w:rsidP="00FE6E78">
      <w:pPr>
        <w:pStyle w:val="InformationRequest"/>
      </w:pPr>
      <w:r w:rsidRPr="00565559">
        <w:t xml:space="preserve">The Commission </w:t>
      </w:r>
      <w:r>
        <w:t>invites</w:t>
      </w:r>
      <w:r w:rsidRPr="00565559">
        <w:t xml:space="preserve"> participants’ views on the best evidence about the impacts of the WR system. It also requests views about the mechanisms through which the WR affects aggregate economic outcomes, as well as impacts on particular regi</w:t>
      </w:r>
      <w:r>
        <w:t>ons, industries and firm sizes.</w:t>
      </w:r>
    </w:p>
    <w:p w14:paraId="6B7A2666" w14:textId="77777777" w:rsidR="0055478D" w:rsidRDefault="0055478D" w:rsidP="0055478D">
      <w:pPr>
        <w:pStyle w:val="Heading3"/>
      </w:pPr>
      <w:r>
        <w:t>Data and analytical methods</w:t>
      </w:r>
    </w:p>
    <w:p w14:paraId="48201828" w14:textId="54EE7BAC" w:rsidR="0055478D" w:rsidRDefault="0055478D" w:rsidP="0055478D">
      <w:pPr>
        <w:pStyle w:val="BodyText"/>
      </w:pPr>
      <w:r>
        <w:t xml:space="preserve">As specified in the terms of reference, the Commission will draw </w:t>
      </w:r>
      <w:r w:rsidR="006751DB">
        <w:t xml:space="preserve">on </w:t>
      </w:r>
      <w:r>
        <w:t>a wide spectrum of evidence, including:</w:t>
      </w:r>
    </w:p>
    <w:p w14:paraId="124B8F2D" w14:textId="092BA258" w:rsidR="0055478D" w:rsidRDefault="0055478D" w:rsidP="0055478D">
      <w:pPr>
        <w:pStyle w:val="ListBullet"/>
      </w:pPr>
      <w:r>
        <w:t>past overarching reviews of the system (most recently, the 2012 post–implementation review of the FWA</w:t>
      </w:r>
      <w:r w:rsidR="00FE6E78">
        <w:t xml:space="preserve"> </w:t>
      </w:r>
      <w:r w:rsidR="00FE6E78" w:rsidRPr="00FE6E78">
        <w:rPr>
          <w:szCs w:val="24"/>
        </w:rPr>
        <w:t>(Australian Government 2012b)</w:t>
      </w:r>
      <w:r w:rsidR="00FE6E78">
        <w:t>)</w:t>
      </w:r>
      <w:r>
        <w:t>, analysis undertaken or commissione</w:t>
      </w:r>
      <w:r w:rsidR="00FE6E78">
        <w:t>d by the FWC (including as part</w:t>
      </w:r>
      <w:r>
        <w:t xml:space="preserve"> of its minimum wage and award reviews), and submissions to various recent Senate inquiries into changes to the WR system </w:t>
      </w:r>
    </w:p>
    <w:p w14:paraId="77C06040" w14:textId="77777777" w:rsidR="0055478D" w:rsidRDefault="0055478D" w:rsidP="00EA4C22">
      <w:pPr>
        <w:pStyle w:val="ListBullet"/>
        <w:spacing w:before="80"/>
      </w:pPr>
      <w:r>
        <w:lastRenderedPageBreak/>
        <w:t>ABS</w:t>
      </w:r>
      <w:r w:rsidRPr="0028155A">
        <w:rPr>
          <w:rStyle w:val="FootnoteReference"/>
        </w:rPr>
        <w:footnoteReference w:id="8"/>
      </w:r>
      <w:r>
        <w:t xml:space="preserve"> and other survey data (including the Household, Income and Labour Dynamics in Australia (HILDA), the Australian Workplace Relations Study (AWRS) and the Australian Work and Life Index (AWALI))</w:t>
      </w:r>
    </w:p>
    <w:p w14:paraId="2A396C37" w14:textId="1E79B5F7" w:rsidR="0055478D" w:rsidRDefault="0055478D" w:rsidP="00EA4C22">
      <w:pPr>
        <w:pStyle w:val="ListBullet"/>
        <w:spacing w:before="80"/>
      </w:pPr>
      <w:r>
        <w:t xml:space="preserve">data held by the Australian Department of Employment, such as its </w:t>
      </w:r>
      <w:r w:rsidR="0086795D">
        <w:t>Workplace Agreements D</w:t>
      </w:r>
      <w:r>
        <w:t xml:space="preserve">atabase </w:t>
      </w:r>
    </w:p>
    <w:p w14:paraId="77F94248" w14:textId="30260FFB" w:rsidR="0055478D" w:rsidRDefault="0055478D" w:rsidP="00EA4C22">
      <w:pPr>
        <w:pStyle w:val="ListBullet"/>
        <w:spacing w:before="80"/>
      </w:pPr>
      <w:r>
        <w:t>data fro</w:t>
      </w:r>
      <w:r w:rsidR="00FE6E78">
        <w:t>m the FWO and the FWC that shed</w:t>
      </w:r>
      <w:r>
        <w:t xml:space="preserve"> light on specific aspects of the WR system (such as trends in unfair dismissal cases and their outcomes)</w:t>
      </w:r>
    </w:p>
    <w:p w14:paraId="3070CF39" w14:textId="77777777" w:rsidR="0055478D" w:rsidRDefault="0055478D" w:rsidP="00EA4C22">
      <w:pPr>
        <w:pStyle w:val="ListBullet"/>
        <w:spacing w:before="80"/>
      </w:pPr>
      <w:r>
        <w:t>key legal cases</w:t>
      </w:r>
    </w:p>
    <w:p w14:paraId="72CA9C57" w14:textId="645A63D6" w:rsidR="0055478D" w:rsidRDefault="0055478D" w:rsidP="00EA4C22">
      <w:pPr>
        <w:pStyle w:val="ListBullet"/>
        <w:spacing w:before="80"/>
      </w:pPr>
      <w:proofErr w:type="gramStart"/>
      <w:r>
        <w:t>submissions</w:t>
      </w:r>
      <w:proofErr w:type="gramEnd"/>
      <w:r>
        <w:t xml:space="preserve"> to this inquiry. (The Commission has also provided scope for stakeholders to make brief comments about WR matters on its website (</w:t>
      </w:r>
      <w:r w:rsidRPr="008219A2">
        <w:t>http://www.pc.gov.au/inquiries/current/workplace-relations/comment</w:t>
      </w:r>
      <w:r>
        <w:t>).)</w:t>
      </w:r>
    </w:p>
    <w:p w14:paraId="61DC9F41" w14:textId="0A9F386C" w:rsidR="0055478D" w:rsidRDefault="0055478D" w:rsidP="00EA4C22">
      <w:pPr>
        <w:pStyle w:val="BodyText"/>
        <w:spacing w:before="200"/>
      </w:pPr>
      <w:r>
        <w:t>The Commission will consider various modelling and analytical methods</w:t>
      </w:r>
      <w:r w:rsidRPr="00C95FAD">
        <w:t xml:space="preserve"> </w:t>
      </w:r>
      <w:r>
        <w:t>in undertaking the inquiry, including econometric, micro</w:t>
      </w:r>
      <w:r w:rsidR="00D10E92">
        <w:noBreakHyphen/>
      </w:r>
      <w:r>
        <w:t>simulation and general equilibrium modelling.</w:t>
      </w:r>
    </w:p>
    <w:p w14:paraId="25FF9E50" w14:textId="7FFA4D4E" w:rsidR="0055478D" w:rsidRDefault="0055478D" w:rsidP="00FE6E78">
      <w:pPr>
        <w:pStyle w:val="InformationRequest"/>
      </w:pPr>
      <w:r w:rsidRPr="00116953">
        <w:t>The Commission seeks feedback on major studies and databases relevant to this inquiry.</w:t>
      </w:r>
      <w:r w:rsidR="00415A3A">
        <w:t xml:space="preserve"> </w:t>
      </w:r>
      <w:r>
        <w:t>H</w:t>
      </w:r>
      <w:r w:rsidRPr="00AE7676">
        <w:t xml:space="preserve">ow could new data and new methods help improve </w:t>
      </w:r>
      <w:r>
        <w:t>the assessment of</w:t>
      </w:r>
      <w:r w:rsidRPr="00AE7676">
        <w:t xml:space="preserve"> policy choices?</w:t>
      </w:r>
    </w:p>
    <w:p w14:paraId="5A69339C" w14:textId="77777777" w:rsidR="0055478D" w:rsidRDefault="0055478D" w:rsidP="00EA4C22">
      <w:pPr>
        <w:pStyle w:val="Heading3"/>
        <w:spacing w:before="480"/>
      </w:pPr>
      <w:r>
        <w:t xml:space="preserve">International experiences may provide some lessons </w:t>
      </w:r>
      <w:r>
        <w:br/>
        <w:t>about future directions</w:t>
      </w:r>
    </w:p>
    <w:p w14:paraId="10EDCBA1" w14:textId="05A384A3" w:rsidR="0055478D" w:rsidRDefault="0055478D" w:rsidP="00EA4C22">
      <w:pPr>
        <w:pStyle w:val="BodyText"/>
        <w:spacing w:before="200"/>
      </w:pPr>
      <w:r>
        <w:t xml:space="preserve">The Commission will consider any lessons from overseas institutional arrangements in each of the </w:t>
      </w:r>
      <w:r w:rsidR="00FE6E78">
        <w:t>theme areas identified in the issues papers</w:t>
      </w:r>
      <w:r>
        <w:t>. In addition, the economic and social outcomes of different WR arrangements may sometimes be best identified using data across countries and time.</w:t>
      </w:r>
    </w:p>
    <w:p w14:paraId="0DA99ECE" w14:textId="258529BB" w:rsidR="0055478D" w:rsidRDefault="0055478D" w:rsidP="00EA4C22">
      <w:pPr>
        <w:pStyle w:val="BodyText"/>
        <w:spacing w:before="200"/>
      </w:pPr>
      <w:r>
        <w:t xml:space="preserve">The Commission proposes to examine various international sources of evidence about WR systems, such as the United Kingdom Workplace Employment Relations Study </w:t>
      </w:r>
      <w:r w:rsidRPr="007A38D7">
        <w:rPr>
          <w:szCs w:val="24"/>
        </w:rPr>
        <w:t xml:space="preserve">(Van </w:t>
      </w:r>
      <w:proofErr w:type="spellStart"/>
      <w:r w:rsidRPr="007A38D7">
        <w:rPr>
          <w:szCs w:val="24"/>
        </w:rPr>
        <w:t>Wanrooy</w:t>
      </w:r>
      <w:proofErr w:type="spellEnd"/>
      <w:r w:rsidRPr="007A38D7">
        <w:rPr>
          <w:szCs w:val="24"/>
        </w:rPr>
        <w:t xml:space="preserve"> 2013; Van </w:t>
      </w:r>
      <w:proofErr w:type="spellStart"/>
      <w:r w:rsidRPr="007A38D7">
        <w:rPr>
          <w:szCs w:val="24"/>
        </w:rPr>
        <w:t>Wanrooy</w:t>
      </w:r>
      <w:proofErr w:type="spellEnd"/>
      <w:r w:rsidRPr="007A38D7">
        <w:rPr>
          <w:szCs w:val="24"/>
        </w:rPr>
        <w:t xml:space="preserve"> et al. 2013)</w:t>
      </w:r>
      <w:r>
        <w:t>, the ILO NATLEX database, and data from the</w:t>
      </w:r>
      <w:r w:rsidR="00DF0071">
        <w:t xml:space="preserve"> OECD </w:t>
      </w:r>
      <w:r w:rsidR="00E628E1" w:rsidRPr="00E628E1">
        <w:t>(2014)</w:t>
      </w:r>
      <w:r>
        <w:t>, the World Bank</w:t>
      </w:r>
      <w:r w:rsidR="00DF0071">
        <w:t xml:space="preserve"> </w:t>
      </w:r>
      <w:r w:rsidR="00DF0071" w:rsidRPr="00DF0071">
        <w:t>(2013)</w:t>
      </w:r>
      <w:r>
        <w:t xml:space="preserve"> and the World Economic Forum </w:t>
      </w:r>
      <w:r w:rsidRPr="00620E6A">
        <w:t>(2014)</w:t>
      </w:r>
      <w:r>
        <w:t xml:space="preserve">. These have several inconsistencies and other limitations </w:t>
      </w:r>
      <w:r w:rsidRPr="00620E6A">
        <w:rPr>
          <w:szCs w:val="24"/>
        </w:rPr>
        <w:t>(</w:t>
      </w:r>
      <w:proofErr w:type="spellStart"/>
      <w:r w:rsidRPr="00620E6A">
        <w:rPr>
          <w:szCs w:val="24"/>
        </w:rPr>
        <w:t>Aleksynska</w:t>
      </w:r>
      <w:proofErr w:type="spellEnd"/>
      <w:r w:rsidRPr="00620E6A">
        <w:rPr>
          <w:szCs w:val="24"/>
        </w:rPr>
        <w:t xml:space="preserve"> and </w:t>
      </w:r>
      <w:proofErr w:type="spellStart"/>
      <w:r w:rsidRPr="00620E6A">
        <w:rPr>
          <w:szCs w:val="24"/>
        </w:rPr>
        <w:t>Cazes</w:t>
      </w:r>
      <w:proofErr w:type="spellEnd"/>
      <w:r w:rsidRPr="00620E6A">
        <w:rPr>
          <w:szCs w:val="24"/>
        </w:rPr>
        <w:t> 2014; Hall and Casey 2006)</w:t>
      </w:r>
      <w:r>
        <w:t xml:space="preserve">, but may still be useful in this inquiry. </w:t>
      </w:r>
    </w:p>
    <w:p w14:paraId="3F3E0AF8" w14:textId="77777777" w:rsidR="0055478D" w:rsidRDefault="0055478D" w:rsidP="00EA4C22">
      <w:pPr>
        <w:pStyle w:val="BodyText"/>
        <w:spacing w:before="200"/>
      </w:pPr>
      <w:r>
        <w:t>However, there may be other important sources of information and, potentially, lessons from overseas that relate to the effects of the regimes as a whole, rather than their parts.</w:t>
      </w:r>
    </w:p>
    <w:p w14:paraId="4A37A688" w14:textId="77777777" w:rsidR="0055478D" w:rsidRDefault="0055478D" w:rsidP="00FE6E78">
      <w:pPr>
        <w:pStyle w:val="InformationRequest"/>
      </w:pPr>
      <w:r>
        <w:t xml:space="preserve">Beyond their advantages in providing lessons about parts of the WR system and any of its flaws, are there broad lessons for Australia from overseas WR arrangements? </w:t>
      </w:r>
    </w:p>
    <w:p w14:paraId="753B00D5" w14:textId="03E48848" w:rsidR="004C5CB0" w:rsidRDefault="0055478D" w:rsidP="00EA4C22">
      <w:pPr>
        <w:pStyle w:val="InformationRequest"/>
      </w:pPr>
      <w:r>
        <w:t>What are the most rigorous and comprehensive measures of the nature and impacts of international WR arrangements? What are the strengths and weaknesses of the existing measures?</w:t>
      </w:r>
      <w:r w:rsidR="004C5CB0">
        <w:br w:type="page"/>
      </w:r>
    </w:p>
    <w:p w14:paraId="0B4E27C2" w14:textId="77777777" w:rsidR="004C5CB0" w:rsidRDefault="004C5CB0" w:rsidP="004C5CB0">
      <w:pPr>
        <w:pStyle w:val="Heading2"/>
      </w:pPr>
      <w:bookmarkStart w:id="24" w:name="_Toc409524626"/>
      <w:r>
        <w:lastRenderedPageBreak/>
        <w:t>References</w:t>
      </w:r>
      <w:bookmarkEnd w:id="24"/>
    </w:p>
    <w:p w14:paraId="6A803502" w14:textId="6DAEDEF4" w:rsidR="004C5CB0" w:rsidRPr="004C5CB0" w:rsidRDefault="004C5CB0" w:rsidP="004C5CB0">
      <w:pPr>
        <w:pStyle w:val="Reference"/>
      </w:pPr>
    </w:p>
    <w:p w14:paraId="11599E0A" w14:textId="7AA959CA" w:rsidR="001540DE" w:rsidRDefault="001540DE" w:rsidP="001540DE">
      <w:pPr>
        <w:pStyle w:val="Bibliography"/>
      </w:pPr>
      <w:proofErr w:type="gramStart"/>
      <w:r>
        <w:t xml:space="preserve">ACTU (Australian Council of Trade Unions) 2012, </w:t>
      </w:r>
      <w:r>
        <w:rPr>
          <w:i/>
          <w:iCs/>
        </w:rPr>
        <w:t>Submission to the Fair Work Act Review 2012</w:t>
      </w:r>
      <w:r>
        <w:t>, Post Implementation Review.</w:t>
      </w:r>
      <w:proofErr w:type="gramEnd"/>
    </w:p>
    <w:p w14:paraId="3610991C" w14:textId="5175F3C1" w:rsidR="001540DE" w:rsidRDefault="00CA6412" w:rsidP="001540DE">
      <w:pPr>
        <w:pStyle w:val="Bibliography"/>
      </w:pPr>
      <w:proofErr w:type="gramStart"/>
      <w:r>
        <w:t>—— </w:t>
      </w:r>
      <w:r w:rsidR="001540DE">
        <w:t xml:space="preserve">2014, </w:t>
      </w:r>
      <w:r w:rsidR="001540DE">
        <w:rPr>
          <w:i/>
          <w:iCs/>
        </w:rPr>
        <w:t>Submission to issues paper</w:t>
      </w:r>
      <w:r w:rsidR="001540DE">
        <w:t>, Competition Policy Review, June.</w:t>
      </w:r>
      <w:proofErr w:type="gramEnd"/>
    </w:p>
    <w:p w14:paraId="35CE98D8" w14:textId="77777777" w:rsidR="001540DE" w:rsidRDefault="001540DE" w:rsidP="001540DE">
      <w:pPr>
        <w:pStyle w:val="Bibliography"/>
      </w:pPr>
      <w:proofErr w:type="gramStart"/>
      <w:r>
        <w:t xml:space="preserve">AHRC (Australian Human Rights Commission) 2012, </w:t>
      </w:r>
      <w:r>
        <w:rPr>
          <w:i/>
          <w:iCs/>
        </w:rPr>
        <w:t>Submission to the Fair Work Act Review 2012</w:t>
      </w:r>
      <w:r>
        <w:t>, Post Implementation Review.</w:t>
      </w:r>
      <w:proofErr w:type="gramEnd"/>
    </w:p>
    <w:p w14:paraId="51CA6FDC" w14:textId="77777777" w:rsidR="001540DE" w:rsidRDefault="001540DE" w:rsidP="001540DE">
      <w:pPr>
        <w:pStyle w:val="Bibliography"/>
      </w:pPr>
      <w:proofErr w:type="gramStart"/>
      <w:r>
        <w:t xml:space="preserve">Ai Group 2013, </w:t>
      </w:r>
      <w:r>
        <w:rPr>
          <w:i/>
          <w:iCs/>
        </w:rPr>
        <w:t>Initial submission</w:t>
      </w:r>
      <w:r>
        <w:t>, Productivity Commission Inquiry into Australia’s Automotive Manufacturing Industry, November.</w:t>
      </w:r>
      <w:proofErr w:type="gramEnd"/>
    </w:p>
    <w:p w14:paraId="5E321925" w14:textId="77777777" w:rsidR="001540DE" w:rsidRDefault="001540DE" w:rsidP="001540DE">
      <w:pPr>
        <w:pStyle w:val="Bibliography"/>
      </w:pPr>
      <w:proofErr w:type="spellStart"/>
      <w:r>
        <w:t>Aleksynska</w:t>
      </w:r>
      <w:proofErr w:type="spellEnd"/>
      <w:r>
        <w:t xml:space="preserve">, M. and </w:t>
      </w:r>
      <w:proofErr w:type="spellStart"/>
      <w:r>
        <w:t>Cazes</w:t>
      </w:r>
      <w:proofErr w:type="spellEnd"/>
      <w:r>
        <w:t xml:space="preserve">, S. 2014, </w:t>
      </w:r>
      <w:r>
        <w:rPr>
          <w:i/>
          <w:iCs/>
        </w:rPr>
        <w:t>Comparing indicators of labour market regulations across databases: A post scriptum to the employing workers debate</w:t>
      </w:r>
      <w:r>
        <w:t xml:space="preserve">, 50, Conditions of Work and Employment </w:t>
      </w:r>
      <w:proofErr w:type="spellStart"/>
      <w:r>
        <w:t>Programme</w:t>
      </w:r>
      <w:proofErr w:type="spellEnd"/>
      <w:r>
        <w:t>, International Labour Office (ILO), Geneva.</w:t>
      </w:r>
    </w:p>
    <w:p w14:paraId="42FB928F" w14:textId="77777777" w:rsidR="001540DE" w:rsidRDefault="001540DE" w:rsidP="001540DE">
      <w:pPr>
        <w:pStyle w:val="Bibliography"/>
      </w:pPr>
      <w:r>
        <w:t xml:space="preserve">AMMA (Australian Mines &amp; Metals Association) 2014, </w:t>
      </w:r>
      <w:r>
        <w:rPr>
          <w:i/>
          <w:iCs/>
        </w:rPr>
        <w:t>Submission to issues paper</w:t>
      </w:r>
      <w:r>
        <w:t>, Competition Policy Review, June.</w:t>
      </w:r>
    </w:p>
    <w:p w14:paraId="483243ED" w14:textId="77777777" w:rsidR="001540DE" w:rsidRDefault="001540DE" w:rsidP="001540DE">
      <w:pPr>
        <w:pStyle w:val="Bibliography"/>
      </w:pPr>
      <w:proofErr w:type="gramStart"/>
      <w:r>
        <w:t xml:space="preserve">AMWU (Australian Manufacturing Workers Union) 2012, </w:t>
      </w:r>
      <w:r>
        <w:rPr>
          <w:i/>
          <w:iCs/>
        </w:rPr>
        <w:t>Submission to the Fair Work Act Review 2012</w:t>
      </w:r>
      <w:r>
        <w:t>, Post Implementation Review.</w:t>
      </w:r>
      <w:proofErr w:type="gramEnd"/>
    </w:p>
    <w:p w14:paraId="4B64BBFB" w14:textId="77777777" w:rsidR="001540DE" w:rsidRDefault="001540DE" w:rsidP="001540DE">
      <w:pPr>
        <w:pStyle w:val="Bibliography"/>
      </w:pPr>
      <w:proofErr w:type="gramStart"/>
      <w:r>
        <w:t xml:space="preserve">ASU (Australian Services Union) 2012, </w:t>
      </w:r>
      <w:r>
        <w:rPr>
          <w:i/>
          <w:iCs/>
        </w:rPr>
        <w:t>Submission to the Fair Work Act Review 2012</w:t>
      </w:r>
      <w:r>
        <w:t>, Post Implementation Review.</w:t>
      </w:r>
      <w:proofErr w:type="gramEnd"/>
    </w:p>
    <w:p w14:paraId="728C60B3" w14:textId="77777777" w:rsidR="001540DE" w:rsidRDefault="001540DE" w:rsidP="001540DE">
      <w:pPr>
        <w:pStyle w:val="Bibliography"/>
      </w:pPr>
      <w:r>
        <w:t xml:space="preserve">Australian Government 2012a, </w:t>
      </w:r>
      <w:r>
        <w:rPr>
          <w:i/>
          <w:iCs/>
        </w:rPr>
        <w:t>Fair Work Act Review Background Paper</w:t>
      </w:r>
      <w:r>
        <w:t>, Canberra, January.</w:t>
      </w:r>
    </w:p>
    <w:p w14:paraId="0E66AF09" w14:textId="68767F62" w:rsidR="001540DE" w:rsidRDefault="00CA6412" w:rsidP="001540DE">
      <w:pPr>
        <w:pStyle w:val="Bibliography"/>
      </w:pPr>
      <w:r>
        <w:t>—— </w:t>
      </w:r>
      <w:r w:rsidR="001540DE">
        <w:t xml:space="preserve">2012b, </w:t>
      </w:r>
      <w:proofErr w:type="gramStart"/>
      <w:r w:rsidR="001540DE">
        <w:rPr>
          <w:i/>
          <w:iCs/>
        </w:rPr>
        <w:t>Towards</w:t>
      </w:r>
      <w:proofErr w:type="gramEnd"/>
      <w:r w:rsidR="001540DE">
        <w:rPr>
          <w:i/>
          <w:iCs/>
        </w:rPr>
        <w:t xml:space="preserve"> more productive and equitable workplaces: An evaluation of the Fair Work Legislation</w:t>
      </w:r>
      <w:r w:rsidR="001540DE">
        <w:t>, August, Canberra, http://employment.gov.au/fair-work-act-review (accessed 16 January 2015).</w:t>
      </w:r>
    </w:p>
    <w:p w14:paraId="1455B76D" w14:textId="77777777" w:rsidR="001540DE" w:rsidRDefault="001540DE" w:rsidP="001540DE">
      <w:pPr>
        <w:pStyle w:val="Bibliography"/>
      </w:pPr>
      <w:proofErr w:type="gramStart"/>
      <w:r>
        <w:t xml:space="preserve">Ballantyne, A., De Voss, D. and Jacobs, D. 2014, ‘Unemployment and Spare Capacity in the Labour Market’, </w:t>
      </w:r>
      <w:r>
        <w:rPr>
          <w:i/>
          <w:iCs/>
        </w:rPr>
        <w:t>Reserve Bank of Australia Bulletin</w:t>
      </w:r>
      <w:r>
        <w:t>.</w:t>
      </w:r>
      <w:proofErr w:type="gramEnd"/>
    </w:p>
    <w:p w14:paraId="376A8B31" w14:textId="77777777" w:rsidR="001540DE" w:rsidRDefault="001540DE" w:rsidP="001540DE">
      <w:pPr>
        <w:pStyle w:val="Bibliography"/>
      </w:pPr>
      <w:r>
        <w:t xml:space="preserve">Barrett, J. 2014, </w:t>
      </w:r>
      <w:r>
        <w:rPr>
          <w:i/>
          <w:iCs/>
        </w:rPr>
        <w:t>CFMEU agrees to slash wages in WA</w:t>
      </w:r>
      <w:r>
        <w:t>, Financial Review, http://www.afr.com/p/national/cfmeu_agrees_to_slash_wages_in_wa_vkJaFBgGOKzfbg9CQOQIxI (accessed 20 January 2015).</w:t>
      </w:r>
    </w:p>
    <w:p w14:paraId="0D6AB24B" w14:textId="77777777" w:rsidR="001540DE" w:rsidRDefault="001540DE" w:rsidP="001540DE">
      <w:pPr>
        <w:pStyle w:val="Bibliography"/>
      </w:pPr>
      <w:proofErr w:type="spellStart"/>
      <w:proofErr w:type="gramStart"/>
      <w:r>
        <w:t>Battellino</w:t>
      </w:r>
      <w:proofErr w:type="spellEnd"/>
      <w:r>
        <w:t>, R. 2010, ‘Mining Booms and the Australian Economy’, Sydney Institute.</w:t>
      </w:r>
      <w:proofErr w:type="gramEnd"/>
    </w:p>
    <w:p w14:paraId="51469267" w14:textId="77777777" w:rsidR="001540DE" w:rsidRDefault="001540DE" w:rsidP="001540DE">
      <w:pPr>
        <w:pStyle w:val="Bibliography"/>
      </w:pPr>
      <w:r>
        <w:t xml:space="preserve">Blanchard, O., </w:t>
      </w:r>
      <w:proofErr w:type="spellStart"/>
      <w:r>
        <w:t>Jaumotte</w:t>
      </w:r>
      <w:proofErr w:type="spellEnd"/>
      <w:r>
        <w:t xml:space="preserve">, F. and </w:t>
      </w:r>
      <w:proofErr w:type="spellStart"/>
      <w:r>
        <w:t>Loungani</w:t>
      </w:r>
      <w:proofErr w:type="spellEnd"/>
      <w:r>
        <w:t xml:space="preserve">, P. 2013, </w:t>
      </w:r>
      <w:proofErr w:type="spellStart"/>
      <w:r>
        <w:rPr>
          <w:i/>
          <w:iCs/>
        </w:rPr>
        <w:t>Labor</w:t>
      </w:r>
      <w:proofErr w:type="spellEnd"/>
      <w:r>
        <w:rPr>
          <w:i/>
          <w:iCs/>
        </w:rPr>
        <w:t xml:space="preserve"> Market Policies and IMF Advice on Advanced Economies </w:t>
      </w:r>
      <w:proofErr w:type="gramStart"/>
      <w:r>
        <w:rPr>
          <w:i/>
          <w:iCs/>
        </w:rPr>
        <w:t>During</w:t>
      </w:r>
      <w:proofErr w:type="gramEnd"/>
      <w:r>
        <w:rPr>
          <w:i/>
          <w:iCs/>
        </w:rPr>
        <w:t xml:space="preserve"> the Great Recession</w:t>
      </w:r>
      <w:r>
        <w:t>, IMF Staff Discussion Note, SDN/13/02, IMF.</w:t>
      </w:r>
    </w:p>
    <w:p w14:paraId="1B6B6B3D" w14:textId="77777777" w:rsidR="001540DE" w:rsidRDefault="001540DE" w:rsidP="001540DE">
      <w:pPr>
        <w:pStyle w:val="Bibliography"/>
      </w:pPr>
      <w:r>
        <w:t>Borland, J. 2012, ‘Industrial Relations Reform: Chasing a Pot of Gold at the End of the Rainbow?</w:t>
      </w:r>
      <w:proofErr w:type="gramStart"/>
      <w:r>
        <w:t>’,</w:t>
      </w:r>
      <w:proofErr w:type="gramEnd"/>
      <w:r>
        <w:t xml:space="preserve"> </w:t>
      </w:r>
      <w:r>
        <w:rPr>
          <w:i/>
          <w:iCs/>
        </w:rPr>
        <w:t>Australian Economic Review</w:t>
      </w:r>
      <w:r>
        <w:t>, vol. 45, no. 3, pp. 269–289.</w:t>
      </w:r>
    </w:p>
    <w:p w14:paraId="02FDB345" w14:textId="77777777" w:rsidR="001540DE" w:rsidRDefault="001540DE" w:rsidP="001540DE">
      <w:pPr>
        <w:pStyle w:val="Bibliography"/>
      </w:pPr>
      <w:r>
        <w:lastRenderedPageBreak/>
        <w:t xml:space="preserve">Bray, R. 2013, </w:t>
      </w:r>
      <w:r>
        <w:rPr>
          <w:i/>
          <w:iCs/>
        </w:rPr>
        <w:t>Reflections on the Evolution of the Minimum Wage in Australia: Options for the Future</w:t>
      </w:r>
      <w:r>
        <w:t>, Research School of Economics, Australian National University.</w:t>
      </w:r>
    </w:p>
    <w:p w14:paraId="59D302B5" w14:textId="77777777" w:rsidR="001540DE" w:rsidRDefault="001540DE" w:rsidP="001540DE">
      <w:pPr>
        <w:pStyle w:val="Bibliography"/>
      </w:pPr>
      <w:proofErr w:type="gramStart"/>
      <w:r>
        <w:t xml:space="preserve">C&amp;B (Committee for Economic Development of Australia and Business Spectator) 2013, </w:t>
      </w:r>
      <w:r>
        <w:rPr>
          <w:i/>
          <w:iCs/>
        </w:rPr>
        <w:t>Big Issues Survey Results 2013</w:t>
      </w:r>
      <w:r>
        <w:t>, Committee for Economic Development of Australia, Melbourne.</w:t>
      </w:r>
      <w:proofErr w:type="gramEnd"/>
    </w:p>
    <w:p w14:paraId="0F1BACC8" w14:textId="77777777" w:rsidR="001540DE" w:rsidRDefault="001540DE" w:rsidP="001540DE">
      <w:pPr>
        <w:pStyle w:val="Bibliography"/>
      </w:pPr>
      <w:r>
        <w:t xml:space="preserve">Campos, N. and Nugent, J. 2012, </w:t>
      </w:r>
      <w:r>
        <w:rPr>
          <w:i/>
          <w:iCs/>
        </w:rPr>
        <w:t xml:space="preserve">The Dynamics of the Regulation of </w:t>
      </w:r>
      <w:proofErr w:type="spellStart"/>
      <w:r>
        <w:rPr>
          <w:i/>
          <w:iCs/>
        </w:rPr>
        <w:t>Labor</w:t>
      </w:r>
      <w:proofErr w:type="spellEnd"/>
      <w:r>
        <w:rPr>
          <w:i/>
          <w:iCs/>
        </w:rPr>
        <w:t xml:space="preserve"> in Developing and Developed Countries since 1960</w:t>
      </w:r>
      <w:r>
        <w:t xml:space="preserve">, Discussion Paper, IZA DP No. 6881, </w:t>
      </w:r>
      <w:proofErr w:type="spellStart"/>
      <w:r>
        <w:t>Forschungsinstitut</w:t>
      </w:r>
      <w:proofErr w:type="spellEnd"/>
      <w:r>
        <w:t xml:space="preserve">  </w:t>
      </w:r>
      <w:proofErr w:type="spellStart"/>
      <w:r>
        <w:t>zur</w:t>
      </w:r>
      <w:proofErr w:type="spellEnd"/>
      <w:r>
        <w:t xml:space="preserve"> </w:t>
      </w:r>
      <w:proofErr w:type="spellStart"/>
      <w:r>
        <w:t>Zukunft</w:t>
      </w:r>
      <w:proofErr w:type="spellEnd"/>
      <w:r>
        <w:t xml:space="preserve"> der </w:t>
      </w:r>
      <w:proofErr w:type="spellStart"/>
      <w:r>
        <w:t>Arbeit</w:t>
      </w:r>
      <w:proofErr w:type="spellEnd"/>
      <w:r>
        <w:t>, Germany, September.</w:t>
      </w:r>
    </w:p>
    <w:p w14:paraId="33C022AA" w14:textId="77777777" w:rsidR="001540DE" w:rsidRDefault="001540DE" w:rsidP="001540DE">
      <w:pPr>
        <w:pStyle w:val="Bibliography"/>
      </w:pPr>
      <w:proofErr w:type="gramStart"/>
      <w:r>
        <w:t xml:space="preserve">CCIWA (Chamber of Commerce and Industry of Western Australia) 2011, </w:t>
      </w:r>
      <w:r>
        <w:rPr>
          <w:i/>
          <w:iCs/>
        </w:rPr>
        <w:t>Submission to the review</w:t>
      </w:r>
      <w:r>
        <w:t>, Review of the Western Australian Industrial Relations System, May.</w:t>
      </w:r>
      <w:proofErr w:type="gramEnd"/>
    </w:p>
    <w:p w14:paraId="6CFE9B76" w14:textId="77777777" w:rsidR="001540DE" w:rsidRDefault="001540DE" w:rsidP="001540DE">
      <w:pPr>
        <w:pStyle w:val="Bibliography"/>
      </w:pPr>
      <w:r>
        <w:t xml:space="preserve">CFMEU (Construction, </w:t>
      </w:r>
      <w:proofErr w:type="spellStart"/>
      <w:r>
        <w:t>Forrestry</w:t>
      </w:r>
      <w:proofErr w:type="spellEnd"/>
      <w:r>
        <w:t xml:space="preserve">, Manufacturing and Energy Union) 2011, </w:t>
      </w:r>
      <w:r>
        <w:rPr>
          <w:i/>
          <w:iCs/>
        </w:rPr>
        <w:t>Stop the sham</w:t>
      </w:r>
      <w:r>
        <w:t>.</w:t>
      </w:r>
    </w:p>
    <w:p w14:paraId="7E9EF78C" w14:textId="77777777" w:rsidR="001540DE" w:rsidRDefault="001540DE" w:rsidP="001540DE">
      <w:pPr>
        <w:pStyle w:val="Bibliography"/>
      </w:pPr>
      <w:proofErr w:type="gramStart"/>
      <w:r>
        <w:t xml:space="preserve">Deakin, S., </w:t>
      </w:r>
      <w:proofErr w:type="spellStart"/>
      <w:r>
        <w:t>Malmberg</w:t>
      </w:r>
      <w:proofErr w:type="spellEnd"/>
      <w:r>
        <w:t>, J. and Sarkar, P. 2014, ‘How do labour laws affect unemployment and the labour share of national income?</w:t>
      </w:r>
      <w:proofErr w:type="gramEnd"/>
      <w:r>
        <w:t xml:space="preserve"> </w:t>
      </w:r>
      <w:proofErr w:type="gramStart"/>
      <w:r>
        <w:t xml:space="preserve">The experience of six OECD countries, 1970–2010’, </w:t>
      </w:r>
      <w:r>
        <w:rPr>
          <w:i/>
          <w:iCs/>
        </w:rPr>
        <w:t>International Labour Review</w:t>
      </w:r>
      <w:r>
        <w:t>, vol. 153, no. 1, pp. 1–27.</w:t>
      </w:r>
      <w:proofErr w:type="gramEnd"/>
    </w:p>
    <w:p w14:paraId="338BB577" w14:textId="77777777" w:rsidR="001540DE" w:rsidRDefault="001540DE" w:rsidP="001540DE">
      <w:pPr>
        <w:pStyle w:val="Bibliography"/>
      </w:pPr>
      <w:proofErr w:type="gramStart"/>
      <w:r>
        <w:t xml:space="preserve">Department of Employment 2014, </w:t>
      </w:r>
      <w:r>
        <w:rPr>
          <w:i/>
          <w:iCs/>
        </w:rPr>
        <w:t>Australian Jobs 2014</w:t>
      </w:r>
      <w:r>
        <w:t>, Australian Government, Canberra.</w:t>
      </w:r>
      <w:proofErr w:type="gramEnd"/>
    </w:p>
    <w:p w14:paraId="11BD5699" w14:textId="77777777" w:rsidR="001540DE" w:rsidRDefault="001540DE" w:rsidP="001540DE">
      <w:pPr>
        <w:pStyle w:val="Bibliography"/>
      </w:pPr>
      <w:proofErr w:type="gramStart"/>
      <w:r>
        <w:t>Farmakis-</w:t>
      </w:r>
      <w:proofErr w:type="spellStart"/>
      <w:r>
        <w:t>Gamboni</w:t>
      </w:r>
      <w:proofErr w:type="spellEnd"/>
      <w:r>
        <w:t>, S. and Prentice, D. 2011, ‘When does reducing union bargaining power increase productivity?</w:t>
      </w:r>
      <w:proofErr w:type="gramEnd"/>
      <w:r>
        <w:t xml:space="preserve"> Evidence from the Workplace Relations Act’, </w:t>
      </w:r>
      <w:r>
        <w:rPr>
          <w:i/>
          <w:iCs/>
        </w:rPr>
        <w:t>Economic Record</w:t>
      </w:r>
      <w:r>
        <w:t>, vol. 87, no. 279, pp. 603–616.</w:t>
      </w:r>
    </w:p>
    <w:p w14:paraId="27AFE02F" w14:textId="77777777" w:rsidR="001540DE" w:rsidRDefault="001540DE" w:rsidP="001540DE">
      <w:pPr>
        <w:pStyle w:val="Bibliography"/>
      </w:pPr>
      <w:r>
        <w:t>Ferguson, M. 2014, ‘</w:t>
      </w:r>
      <w:proofErr w:type="spellStart"/>
      <w:r>
        <w:t>Competiteness</w:t>
      </w:r>
      <w:proofErr w:type="spellEnd"/>
      <w:r>
        <w:t xml:space="preserve"> of the Australian gas industry’, Paper presented to the Committee for the Economic Development of Australia, Perth.</w:t>
      </w:r>
    </w:p>
    <w:p w14:paraId="2138322F" w14:textId="77777777" w:rsidR="001540DE" w:rsidRDefault="001540DE" w:rsidP="001540DE">
      <w:pPr>
        <w:pStyle w:val="Bibliography"/>
      </w:pPr>
      <w:proofErr w:type="spellStart"/>
      <w:r>
        <w:t>Figgis</w:t>
      </w:r>
      <w:proofErr w:type="spellEnd"/>
      <w:r>
        <w:t xml:space="preserve">, H. 1998, </w:t>
      </w:r>
      <w:r>
        <w:rPr>
          <w:i/>
          <w:iCs/>
        </w:rPr>
        <w:t>Unfair Dismissal: the new laws</w:t>
      </w:r>
      <w:r>
        <w:t>, Briefing Paper, 2/98, NSW Parliamentary Library Research Service, Sydney.</w:t>
      </w:r>
    </w:p>
    <w:p w14:paraId="03E9F704" w14:textId="77777777" w:rsidR="001540DE" w:rsidRDefault="001540DE" w:rsidP="001540DE">
      <w:pPr>
        <w:pStyle w:val="Bibliography"/>
      </w:pPr>
      <w:r>
        <w:t xml:space="preserve">Forsyth, A. 2008, ‘Australian Regulation of Economic Dismissals: Before, During and After “Work Choices”’, </w:t>
      </w:r>
      <w:r>
        <w:rPr>
          <w:i/>
          <w:iCs/>
        </w:rPr>
        <w:t>Sydney Law Review</w:t>
      </w:r>
      <w:r>
        <w:t>, vol. 30, pp. 506–536.</w:t>
      </w:r>
    </w:p>
    <w:p w14:paraId="41B601EF" w14:textId="77777777" w:rsidR="001540DE" w:rsidRDefault="001540DE" w:rsidP="001540DE">
      <w:pPr>
        <w:pStyle w:val="Bibliography"/>
      </w:pPr>
      <w:r>
        <w:t>Giudice, G. 2014, ‘Industrial relations law reform – What value should be given to stability?</w:t>
      </w:r>
      <w:proofErr w:type="gramStart"/>
      <w:r>
        <w:t>’,</w:t>
      </w:r>
      <w:proofErr w:type="gramEnd"/>
      <w:r>
        <w:t xml:space="preserve"> </w:t>
      </w:r>
      <w:r>
        <w:rPr>
          <w:i/>
          <w:iCs/>
        </w:rPr>
        <w:t>Journal of Industrial Relations</w:t>
      </w:r>
      <w:r>
        <w:t>, vol. 56, no. 3, pp. 433–441.</w:t>
      </w:r>
    </w:p>
    <w:p w14:paraId="7E75117A" w14:textId="77777777" w:rsidR="001540DE" w:rsidRDefault="001540DE" w:rsidP="001540DE">
      <w:pPr>
        <w:pStyle w:val="Bibliography"/>
      </w:pPr>
      <w:r>
        <w:t xml:space="preserve">Hall, J. and Casey, A. 2006, </w:t>
      </w:r>
      <w:r>
        <w:rPr>
          <w:i/>
          <w:iCs/>
        </w:rPr>
        <w:t>International Comparative Surveys of Regulatory Impact</w:t>
      </w:r>
      <w:r>
        <w:t>, 06/05, Policy Perspectives Paper, New Zealand Treasury, Wellington.</w:t>
      </w:r>
    </w:p>
    <w:p w14:paraId="6C2C657C" w14:textId="77777777" w:rsidR="001540DE" w:rsidRDefault="001540DE" w:rsidP="001540DE">
      <w:pPr>
        <w:pStyle w:val="Bibliography"/>
      </w:pPr>
      <w:r>
        <w:t xml:space="preserve">Hamilton, R. 2012, </w:t>
      </w:r>
      <w:r>
        <w:rPr>
          <w:i/>
          <w:iCs/>
        </w:rPr>
        <w:t>Industrial dispute : a president’s term on Australia’s employment tribunal 1997-2012/</w:t>
      </w:r>
      <w:r>
        <w:t>, Printed for the Honourable GM Giudice AO on the occasion of his resignation as President, Fair Work Australia effective from 29 February 2012, Melbourne.</w:t>
      </w:r>
    </w:p>
    <w:p w14:paraId="7E3E4319" w14:textId="77777777" w:rsidR="001540DE" w:rsidRDefault="001540DE" w:rsidP="001540DE">
      <w:pPr>
        <w:pStyle w:val="Bibliography"/>
      </w:pPr>
      <w:r>
        <w:t xml:space="preserve">Hancock Report (Report of the Committee of Review into Australian Industrial Relations Law and Systems) 1985, </w:t>
      </w:r>
      <w:r>
        <w:rPr>
          <w:i/>
          <w:iCs/>
        </w:rPr>
        <w:t>Australian Industrial Relations Law and Systems</w:t>
      </w:r>
      <w:r>
        <w:t>, April, Report to the Australian Government, AGPS.</w:t>
      </w:r>
    </w:p>
    <w:p w14:paraId="35A11C6E" w14:textId="77777777" w:rsidR="001540DE" w:rsidRDefault="001540DE" w:rsidP="001540DE">
      <w:pPr>
        <w:pStyle w:val="Bibliography"/>
      </w:pPr>
      <w:proofErr w:type="spellStart"/>
      <w:r>
        <w:lastRenderedPageBreak/>
        <w:t>Kates</w:t>
      </w:r>
      <w:proofErr w:type="spellEnd"/>
      <w:r>
        <w:t xml:space="preserve">, S. 2013, </w:t>
      </w:r>
      <w:proofErr w:type="gramStart"/>
      <w:r>
        <w:rPr>
          <w:i/>
          <w:iCs/>
        </w:rPr>
        <w:t>The</w:t>
      </w:r>
      <w:proofErr w:type="gramEnd"/>
      <w:r>
        <w:rPr>
          <w:i/>
          <w:iCs/>
        </w:rPr>
        <w:t xml:space="preserve"> AMMA Workplace Relations Research Project – A Survey Based Analysis</w:t>
      </w:r>
      <w:r>
        <w:t>, Report 6, August, RMIT, Melbourne.</w:t>
      </w:r>
    </w:p>
    <w:p w14:paraId="00CC75AA" w14:textId="77777777" w:rsidR="001540DE" w:rsidRDefault="001540DE" w:rsidP="001540DE">
      <w:pPr>
        <w:pStyle w:val="Bibliography"/>
      </w:pPr>
      <w:r>
        <w:t>Kent, C. 2012, ‘Implications for the Australian Economy of Strong Growth in Asia’, presented at Structural Change and the Rise of Asia Conference, Canberra, 19 September.</w:t>
      </w:r>
    </w:p>
    <w:p w14:paraId="3ECABC18" w14:textId="77777777" w:rsidR="001540DE" w:rsidRDefault="001540DE" w:rsidP="001540DE">
      <w:pPr>
        <w:pStyle w:val="Bibliography"/>
      </w:pPr>
      <w:proofErr w:type="spellStart"/>
      <w:r>
        <w:t>Loundes</w:t>
      </w:r>
      <w:proofErr w:type="spellEnd"/>
      <w:r>
        <w:t>, J., Tseng, Y. and Wooden, M. 2003, ‘Enterprise bargaining and productivity in Australia: what do we know?</w:t>
      </w:r>
      <w:proofErr w:type="gramStart"/>
      <w:r>
        <w:t>’,</w:t>
      </w:r>
      <w:proofErr w:type="gramEnd"/>
      <w:r>
        <w:t xml:space="preserve"> </w:t>
      </w:r>
      <w:r>
        <w:rPr>
          <w:i/>
          <w:iCs/>
        </w:rPr>
        <w:t>The Economic Record</w:t>
      </w:r>
      <w:r>
        <w:t>, vol. 79, no. 245, pp. 245–258.</w:t>
      </w:r>
    </w:p>
    <w:p w14:paraId="029ECD8C" w14:textId="77777777" w:rsidR="001540DE" w:rsidRDefault="001540DE" w:rsidP="001540DE">
      <w:pPr>
        <w:pStyle w:val="Bibliography"/>
      </w:pPr>
      <w:proofErr w:type="gramStart"/>
      <w:r>
        <w:t>Lowe, P. 2012, ‘The Labour Market, Structural Change and Recent Economic Developments’.</w:t>
      </w:r>
      <w:proofErr w:type="gramEnd"/>
    </w:p>
    <w:p w14:paraId="21403739" w14:textId="77777777" w:rsidR="001540DE" w:rsidRDefault="001540DE" w:rsidP="001540DE">
      <w:pPr>
        <w:pStyle w:val="Bibliography"/>
      </w:pPr>
      <w:proofErr w:type="spellStart"/>
      <w:r>
        <w:t>Lucev</w:t>
      </w:r>
      <w:proofErr w:type="spellEnd"/>
      <w:r>
        <w:t>, T. 2008, ‘Workplace Relations and the Constitution: The Development and Expansion of Federal Jurisdiction over Workplace Relations in Australia’, presented at 5th Annual Cairns Law Conference, 11 July.</w:t>
      </w:r>
    </w:p>
    <w:p w14:paraId="37934480" w14:textId="77777777" w:rsidR="001540DE" w:rsidRDefault="001540DE" w:rsidP="001540DE">
      <w:pPr>
        <w:pStyle w:val="Bibliography"/>
      </w:pPr>
      <w:proofErr w:type="spellStart"/>
      <w:r>
        <w:t>Mallick</w:t>
      </w:r>
      <w:proofErr w:type="spellEnd"/>
      <w:r>
        <w:t xml:space="preserve">, D. 2014, </w:t>
      </w:r>
      <w:r>
        <w:rPr>
          <w:i/>
          <w:iCs/>
        </w:rPr>
        <w:t>A Spectral Representation of the Phillips Curve in Australia</w:t>
      </w:r>
      <w:r>
        <w:t>, MPRA Paper, 59794, University Library of Munich, Germany, https://ideas.repec.org/p/pra/mprapa/59794.html (accessed 20 January 2015).</w:t>
      </w:r>
    </w:p>
    <w:p w14:paraId="27B7B539" w14:textId="77777777" w:rsidR="001540DE" w:rsidRDefault="001540DE" w:rsidP="001540DE">
      <w:pPr>
        <w:pStyle w:val="Bibliography"/>
      </w:pPr>
      <w:r>
        <w:t xml:space="preserve">McCallum, R. 2005, ‘The Australian Constitution and the Shaping of our Federal and State Labour Laws’, </w:t>
      </w:r>
      <w:r>
        <w:rPr>
          <w:i/>
          <w:iCs/>
        </w:rPr>
        <w:t>Deakin Law Review</w:t>
      </w:r>
      <w:r>
        <w:t>, vol. 10, no. 2, pp. 460–469.</w:t>
      </w:r>
    </w:p>
    <w:p w14:paraId="4DB01390" w14:textId="77777777" w:rsidR="001540DE" w:rsidRDefault="001540DE" w:rsidP="001540DE">
      <w:pPr>
        <w:pStyle w:val="Bibliography"/>
      </w:pPr>
      <w:proofErr w:type="gramStart"/>
      <w:r>
        <w:t xml:space="preserve">OECD (Organisation for Economic Cooperation and Development) 2013, </w:t>
      </w:r>
      <w:r>
        <w:rPr>
          <w:i/>
          <w:iCs/>
        </w:rPr>
        <w:t>OECD Employment Outlook 2013</w:t>
      </w:r>
      <w:r>
        <w:t>, OECD Publishing.</w:t>
      </w:r>
      <w:proofErr w:type="gramEnd"/>
    </w:p>
    <w:p w14:paraId="76EB5C91" w14:textId="640E2B5C" w:rsidR="001540DE" w:rsidRDefault="00CA6412" w:rsidP="001540DE">
      <w:pPr>
        <w:pStyle w:val="Bibliography"/>
      </w:pPr>
      <w:proofErr w:type="gramStart"/>
      <w:r>
        <w:t>—— </w:t>
      </w:r>
      <w:r w:rsidR="001540DE">
        <w:t xml:space="preserve">2014, </w:t>
      </w:r>
      <w:r w:rsidR="001540DE">
        <w:rPr>
          <w:i/>
          <w:iCs/>
        </w:rPr>
        <w:t>OECD Indicators of Employment Protection</w:t>
      </w:r>
      <w:r w:rsidR="001540DE">
        <w:t>, http://www.oecd.org/employment/emp/oecdindicatorsofemploymentprotection.htm (accessed 5 January 2015).</w:t>
      </w:r>
      <w:proofErr w:type="gramEnd"/>
    </w:p>
    <w:p w14:paraId="3E4B1E09" w14:textId="77777777" w:rsidR="001540DE" w:rsidRDefault="001540DE" w:rsidP="001540DE">
      <w:pPr>
        <w:pStyle w:val="Bibliography"/>
      </w:pPr>
      <w:r>
        <w:t xml:space="preserve">Patmore, G. 2006, ‘A Voice for Whom? Employee Representation and Labour Legislation in Australia’, </w:t>
      </w:r>
      <w:r>
        <w:rPr>
          <w:i/>
          <w:iCs/>
        </w:rPr>
        <w:t>UNSW Law Journal</w:t>
      </w:r>
      <w:r>
        <w:t>, vol. 29, no. 1, pp. 8–21.</w:t>
      </w:r>
    </w:p>
    <w:p w14:paraId="62CC26BE" w14:textId="77777777" w:rsidR="001540DE" w:rsidRDefault="001540DE" w:rsidP="001540DE">
      <w:pPr>
        <w:pStyle w:val="Bibliography"/>
      </w:pPr>
      <w:r>
        <w:t xml:space="preserve">PC (Productivity Commission) 2013a, </w:t>
      </w:r>
      <w:r>
        <w:rPr>
          <w:i/>
          <w:iCs/>
        </w:rPr>
        <w:t>An Ageing Australia: Preparing for the Future</w:t>
      </w:r>
      <w:r>
        <w:t>, Research report, November, Canberra.</w:t>
      </w:r>
    </w:p>
    <w:p w14:paraId="4CF7414E" w14:textId="0444E1B9" w:rsidR="001540DE" w:rsidRDefault="00CA6412" w:rsidP="001540DE">
      <w:pPr>
        <w:pStyle w:val="Bibliography"/>
      </w:pPr>
      <w:r>
        <w:t>—— </w:t>
      </w:r>
      <w:r w:rsidR="001540DE">
        <w:t xml:space="preserve">2013b, </w:t>
      </w:r>
      <w:proofErr w:type="gramStart"/>
      <w:r w:rsidR="001540DE">
        <w:rPr>
          <w:i/>
          <w:iCs/>
        </w:rPr>
        <w:t>Looking</w:t>
      </w:r>
      <w:proofErr w:type="gramEnd"/>
      <w:r w:rsidR="001540DE">
        <w:rPr>
          <w:i/>
          <w:iCs/>
        </w:rPr>
        <w:t xml:space="preserve"> back on structural change in Australia: 2002-2012</w:t>
      </w:r>
      <w:r w:rsidR="001540DE">
        <w:t>, Supplement to Annual Report 2011-12, Canberra.</w:t>
      </w:r>
    </w:p>
    <w:p w14:paraId="449137F5" w14:textId="4CB3C967" w:rsidR="001540DE" w:rsidRDefault="00CA6412" w:rsidP="001540DE">
      <w:pPr>
        <w:pStyle w:val="Bibliography"/>
      </w:pPr>
      <w:r>
        <w:t>—— </w:t>
      </w:r>
      <w:r w:rsidR="001540DE">
        <w:t xml:space="preserve">2014a, </w:t>
      </w:r>
      <w:r w:rsidR="001540DE">
        <w:rPr>
          <w:i/>
          <w:iCs/>
        </w:rPr>
        <w:t>Access to Justice Arrangements</w:t>
      </w:r>
      <w:r w:rsidR="001540DE">
        <w:t>, Inquiry Report, December, Canberra.</w:t>
      </w:r>
    </w:p>
    <w:p w14:paraId="121C9E0E" w14:textId="09472746" w:rsidR="001540DE" w:rsidRDefault="00CA6412" w:rsidP="001540DE">
      <w:pPr>
        <w:pStyle w:val="Bibliography"/>
      </w:pPr>
      <w:r>
        <w:t>—— </w:t>
      </w:r>
      <w:r w:rsidR="001540DE">
        <w:t xml:space="preserve">2014b, </w:t>
      </w:r>
      <w:r w:rsidR="001540DE">
        <w:rPr>
          <w:i/>
          <w:iCs/>
        </w:rPr>
        <w:t>Public Infrastructure</w:t>
      </w:r>
      <w:r w:rsidR="001540DE">
        <w:t>, Inquiry Report, Canberra.</w:t>
      </w:r>
    </w:p>
    <w:p w14:paraId="6EE82FB6" w14:textId="77777777" w:rsidR="001540DE" w:rsidRDefault="001540DE" w:rsidP="001540DE">
      <w:pPr>
        <w:pStyle w:val="Bibliography"/>
      </w:pPr>
      <w:proofErr w:type="spellStart"/>
      <w:r>
        <w:t>Peetz</w:t>
      </w:r>
      <w:proofErr w:type="spellEnd"/>
      <w:r>
        <w:t xml:space="preserve">, D. 2012, ‘Does Industrial Relations Policy Affect Productivity’, </w:t>
      </w:r>
      <w:r>
        <w:rPr>
          <w:i/>
          <w:iCs/>
        </w:rPr>
        <w:t>Australian Bulletin of Labour</w:t>
      </w:r>
      <w:r>
        <w:t>, vol. 38, no. 4, pp. 268–292.</w:t>
      </w:r>
    </w:p>
    <w:p w14:paraId="5C7B54E6" w14:textId="77777777" w:rsidR="001540DE" w:rsidRDefault="001540DE" w:rsidP="001540DE">
      <w:pPr>
        <w:pStyle w:val="Bibliography"/>
      </w:pPr>
      <w:proofErr w:type="spellStart"/>
      <w:r>
        <w:t>Philipatos</w:t>
      </w:r>
      <w:proofErr w:type="spellEnd"/>
      <w:r>
        <w:t xml:space="preserve">, A. 2013, ‘Relics of a Byzantine IR System: Why Awards Should Be Abolished’, </w:t>
      </w:r>
      <w:r>
        <w:rPr>
          <w:i/>
          <w:iCs/>
        </w:rPr>
        <w:t>Issue Analysis</w:t>
      </w:r>
      <w:r>
        <w:t>, no. 140, pp. 1–16.</w:t>
      </w:r>
    </w:p>
    <w:p w14:paraId="0274D818" w14:textId="77777777" w:rsidR="001540DE" w:rsidRDefault="001540DE" w:rsidP="001540DE">
      <w:pPr>
        <w:pStyle w:val="Bibliography"/>
      </w:pPr>
      <w:r>
        <w:lastRenderedPageBreak/>
        <w:t xml:space="preserve">ROH Automotive 2013, </w:t>
      </w:r>
      <w:r>
        <w:rPr>
          <w:i/>
          <w:iCs/>
        </w:rPr>
        <w:t>Initial submission</w:t>
      </w:r>
      <w:r>
        <w:t>, Productivity Commission Inquiry into Australia’s Automotive Manufacturing Industry, November.</w:t>
      </w:r>
    </w:p>
    <w:p w14:paraId="5792D0B5" w14:textId="77777777" w:rsidR="001540DE" w:rsidRDefault="001540DE" w:rsidP="001540DE">
      <w:pPr>
        <w:pStyle w:val="Bibliography"/>
      </w:pPr>
      <w:r>
        <w:t xml:space="preserve">Sloan, J. 2010, ‘Evaluating the Fair Work Act’, </w:t>
      </w:r>
      <w:r>
        <w:rPr>
          <w:i/>
          <w:iCs/>
        </w:rPr>
        <w:t>Policy</w:t>
      </w:r>
      <w:r>
        <w:t>, vol. 26, 4, Summer 2010-11, pp. 19–24.</w:t>
      </w:r>
    </w:p>
    <w:p w14:paraId="365D8E3E" w14:textId="77777777" w:rsidR="001540DE" w:rsidRDefault="001540DE" w:rsidP="001540DE">
      <w:pPr>
        <w:pStyle w:val="Bibliography"/>
      </w:pPr>
      <w:proofErr w:type="gramStart"/>
      <w:r>
        <w:t xml:space="preserve">Toyota Australia 2013, </w:t>
      </w:r>
      <w:r>
        <w:rPr>
          <w:i/>
          <w:iCs/>
        </w:rPr>
        <w:t>Initial submission</w:t>
      </w:r>
      <w:r>
        <w:t>, Productivity Commission Inquiry into Australia’s Automotive Manufacturing Industry, November.</w:t>
      </w:r>
      <w:proofErr w:type="gramEnd"/>
    </w:p>
    <w:p w14:paraId="3E26ACE0" w14:textId="77777777" w:rsidR="001540DE" w:rsidRDefault="001540DE" w:rsidP="001540DE">
      <w:pPr>
        <w:pStyle w:val="Bibliography"/>
      </w:pPr>
      <w:r>
        <w:t xml:space="preserve">Tseng, Y. and Wooden, M. 2001, </w:t>
      </w:r>
      <w:r>
        <w:rPr>
          <w:i/>
          <w:iCs/>
        </w:rPr>
        <w:t>Enterprise Bargaining and Productivity: Evidence from the Business Longitudinal Survey</w:t>
      </w:r>
      <w:r>
        <w:t>, Melbourne Institute Working paper, 8/01, Melbourne University, Melbourne, July.</w:t>
      </w:r>
    </w:p>
    <w:p w14:paraId="6CC2EABC" w14:textId="77777777" w:rsidR="001540DE" w:rsidRDefault="001540DE" w:rsidP="001540DE">
      <w:pPr>
        <w:pStyle w:val="Bibliography"/>
      </w:pPr>
      <w:proofErr w:type="spellStart"/>
      <w:proofErr w:type="gramStart"/>
      <w:r>
        <w:t>UnionsWA</w:t>
      </w:r>
      <w:proofErr w:type="spellEnd"/>
      <w:r>
        <w:t xml:space="preserve"> 2012, </w:t>
      </w:r>
      <w:r>
        <w:rPr>
          <w:i/>
          <w:iCs/>
        </w:rPr>
        <w:t>Submission to the Fair Work Act Review 2012</w:t>
      </w:r>
      <w:r>
        <w:t>, Post Implementation Review.</w:t>
      </w:r>
      <w:proofErr w:type="gramEnd"/>
    </w:p>
    <w:p w14:paraId="0CB41494" w14:textId="77777777" w:rsidR="001540DE" w:rsidRDefault="001540DE" w:rsidP="001540DE">
      <w:pPr>
        <w:pStyle w:val="Bibliography"/>
      </w:pPr>
      <w:r>
        <w:t xml:space="preserve">Van </w:t>
      </w:r>
      <w:proofErr w:type="spellStart"/>
      <w:r>
        <w:t>Wanrooy</w:t>
      </w:r>
      <w:proofErr w:type="spellEnd"/>
      <w:r>
        <w:t xml:space="preserve">, B. 2013, </w:t>
      </w:r>
      <w:proofErr w:type="gramStart"/>
      <w:r>
        <w:rPr>
          <w:i/>
          <w:iCs/>
        </w:rPr>
        <w:t>The</w:t>
      </w:r>
      <w:proofErr w:type="gramEnd"/>
      <w:r>
        <w:rPr>
          <w:i/>
          <w:iCs/>
        </w:rPr>
        <w:t xml:space="preserve"> 2011 Workplace Employment Relations Study: First Findings &amp; Implications for Australia</w:t>
      </w:r>
      <w:r>
        <w:t>, Workplace Relations lectures, 15 February, Fair Work Commission, Canberra.</w:t>
      </w:r>
    </w:p>
    <w:p w14:paraId="738622FE" w14:textId="77777777" w:rsidR="001540DE" w:rsidRDefault="001540DE" w:rsidP="001540DE">
      <w:pPr>
        <w:pStyle w:val="Bibliography"/>
      </w:pPr>
      <w:r>
        <w:t xml:space="preserve">——, </w:t>
      </w:r>
      <w:proofErr w:type="spellStart"/>
      <w:r>
        <w:t>Bewley</w:t>
      </w:r>
      <w:proofErr w:type="spellEnd"/>
      <w:r>
        <w:t xml:space="preserve">, H., Forth, J., </w:t>
      </w:r>
      <w:proofErr w:type="spellStart"/>
      <w:r>
        <w:t>Freeth</w:t>
      </w:r>
      <w:proofErr w:type="spellEnd"/>
      <w:r>
        <w:t xml:space="preserve">, S., Stokes, L. and Wood, S. 2013, </w:t>
      </w:r>
      <w:r>
        <w:rPr>
          <w:i/>
          <w:iCs/>
        </w:rPr>
        <w:t>The 2011 Workplace Employment Relations Study: First Findings</w:t>
      </w:r>
      <w:r>
        <w:t xml:space="preserve">, URN 13/1010, </w:t>
      </w:r>
      <w:proofErr w:type="gramStart"/>
      <w:r>
        <w:t>UK</w:t>
      </w:r>
      <w:proofErr w:type="gramEnd"/>
      <w:r>
        <w:t xml:space="preserve"> Department for Business, Innovation and Skills, London.</w:t>
      </w:r>
    </w:p>
    <w:p w14:paraId="7BF95112" w14:textId="77777777" w:rsidR="001540DE" w:rsidRDefault="001540DE" w:rsidP="001540DE">
      <w:pPr>
        <w:pStyle w:val="Bibliography"/>
      </w:pPr>
      <w:proofErr w:type="spellStart"/>
      <w:r>
        <w:t>Wheelright</w:t>
      </w:r>
      <w:proofErr w:type="spellEnd"/>
      <w:r>
        <w:t xml:space="preserve">, K. 2001, ‘Remedies for Unfair Dismissal under the Workplace Relations Act 1996 - a fair go all round?’, </w:t>
      </w:r>
      <w:r>
        <w:rPr>
          <w:i/>
          <w:iCs/>
        </w:rPr>
        <w:t>Macquarie Law Journal</w:t>
      </w:r>
      <w:r>
        <w:t>, vol. 1, no. 1, pp. 173–192.</w:t>
      </w:r>
    </w:p>
    <w:p w14:paraId="26A827D6" w14:textId="77777777" w:rsidR="001540DE" w:rsidRDefault="001540DE" w:rsidP="001540DE">
      <w:pPr>
        <w:pStyle w:val="Bibliography"/>
      </w:pPr>
      <w:r>
        <w:t xml:space="preserve">Wilkins, R. and Wooden, M. 2014, ‘Two Decades of Change: the Australian Labour Market, 1993-2013’, </w:t>
      </w:r>
      <w:r>
        <w:rPr>
          <w:i/>
          <w:iCs/>
        </w:rPr>
        <w:t>Australian Economic Review</w:t>
      </w:r>
      <w:r>
        <w:t>, vol. 47, no. 4, pp. 417–431.</w:t>
      </w:r>
    </w:p>
    <w:p w14:paraId="1C0CFFCE" w14:textId="77777777" w:rsidR="001540DE" w:rsidRDefault="001540DE" w:rsidP="001540DE">
      <w:pPr>
        <w:pStyle w:val="Bibliography"/>
      </w:pPr>
      <w:r>
        <w:t xml:space="preserve">Withers, G., </w:t>
      </w:r>
      <w:proofErr w:type="spellStart"/>
      <w:r>
        <w:t>Endres</w:t>
      </w:r>
      <w:proofErr w:type="spellEnd"/>
      <w:r>
        <w:t xml:space="preserve">, T. and Perry, L. 1985, </w:t>
      </w:r>
      <w:r>
        <w:rPr>
          <w:i/>
          <w:iCs/>
        </w:rPr>
        <w:t>Australian Historical Statistics: Labour Statistics</w:t>
      </w:r>
      <w:r>
        <w:t>, Source Papers in Economic History, 7, Australian National University, Canberra.</w:t>
      </w:r>
    </w:p>
    <w:p w14:paraId="39BE4B1E" w14:textId="77777777" w:rsidR="001540DE" w:rsidRDefault="001540DE" w:rsidP="001540DE">
      <w:pPr>
        <w:pStyle w:val="Bibliography"/>
      </w:pPr>
      <w:r>
        <w:t xml:space="preserve">Wooden, M. 2006, ‘Implications of Work Choices Legislation’, </w:t>
      </w:r>
      <w:r>
        <w:rPr>
          <w:i/>
          <w:iCs/>
        </w:rPr>
        <w:t>Agenda</w:t>
      </w:r>
      <w:r>
        <w:t>, vol. 13, no. 2, pp. 99–116.</w:t>
      </w:r>
    </w:p>
    <w:p w14:paraId="54548A19" w14:textId="4122D1DE" w:rsidR="001540DE" w:rsidRDefault="00CA6412" w:rsidP="001540DE">
      <w:pPr>
        <w:pStyle w:val="Bibliography"/>
      </w:pPr>
      <w:r>
        <w:t>—— </w:t>
      </w:r>
      <w:r w:rsidR="001540DE">
        <w:t>2010, ‘An Unfair Safety Net?</w:t>
      </w:r>
      <w:proofErr w:type="gramStart"/>
      <w:r w:rsidR="001540DE">
        <w:t>’,</w:t>
      </w:r>
      <w:proofErr w:type="gramEnd"/>
      <w:r w:rsidR="001540DE">
        <w:t xml:space="preserve"> </w:t>
      </w:r>
      <w:r w:rsidR="001540DE">
        <w:rPr>
          <w:i/>
          <w:iCs/>
        </w:rPr>
        <w:t>Australian Bulletin of Labour</w:t>
      </w:r>
      <w:r w:rsidR="001540DE">
        <w:t>, vol. 36, no. 3, pp. 321–326.</w:t>
      </w:r>
    </w:p>
    <w:p w14:paraId="4A42D6DE" w14:textId="77777777" w:rsidR="001540DE" w:rsidRDefault="001540DE" w:rsidP="001540DE">
      <w:pPr>
        <w:pStyle w:val="Bibliography"/>
      </w:pPr>
      <w:r>
        <w:t xml:space="preserve">World Bank 2013, </w:t>
      </w:r>
      <w:r>
        <w:rPr>
          <w:i/>
          <w:iCs/>
        </w:rPr>
        <w:t xml:space="preserve">Doing Business 2013: </w:t>
      </w:r>
      <w:proofErr w:type="spellStart"/>
      <w:r>
        <w:rPr>
          <w:i/>
          <w:iCs/>
        </w:rPr>
        <w:t>Smater</w:t>
      </w:r>
      <w:proofErr w:type="spellEnd"/>
      <w:r>
        <w:rPr>
          <w:i/>
          <w:iCs/>
        </w:rPr>
        <w:t xml:space="preserve"> Regulations for Small and Medium-Size Enterprises</w:t>
      </w:r>
      <w:r>
        <w:t>, World Bank Group, Washington DC.</w:t>
      </w:r>
    </w:p>
    <w:p w14:paraId="0139F12C" w14:textId="77777777" w:rsidR="001540DE" w:rsidRDefault="001540DE" w:rsidP="001540DE">
      <w:pPr>
        <w:pStyle w:val="Bibliography"/>
      </w:pPr>
      <w:r>
        <w:t xml:space="preserve">World Economic Forum 2014, </w:t>
      </w:r>
      <w:proofErr w:type="gramStart"/>
      <w:r>
        <w:rPr>
          <w:i/>
          <w:iCs/>
        </w:rPr>
        <w:t>The</w:t>
      </w:r>
      <w:proofErr w:type="gramEnd"/>
      <w:r>
        <w:rPr>
          <w:i/>
          <w:iCs/>
        </w:rPr>
        <w:t xml:space="preserve"> Global Competitiveness Report</w:t>
      </w:r>
      <w:r>
        <w:t>, Geneva.</w:t>
      </w:r>
    </w:p>
    <w:p w14:paraId="58FA2FDB" w14:textId="596E61C3" w:rsidR="004C5CB0" w:rsidRPr="004C5CB0" w:rsidRDefault="004C5CB0" w:rsidP="004C5CB0">
      <w:pPr>
        <w:pStyle w:val="BodyText"/>
      </w:pPr>
    </w:p>
    <w:p w14:paraId="2A7E097B" w14:textId="5057F260" w:rsidR="00157326" w:rsidRDefault="00157326">
      <w:pPr>
        <w:rPr>
          <w:rFonts w:ascii="Arial" w:hAnsi="Arial"/>
          <w:b/>
          <w:sz w:val="32"/>
          <w:szCs w:val="20"/>
        </w:rPr>
      </w:pPr>
      <w:r>
        <w:br w:type="page"/>
      </w:r>
    </w:p>
    <w:p w14:paraId="351C619F" w14:textId="77777777" w:rsidR="00527FDC" w:rsidRDefault="00527FDC" w:rsidP="00527FDC">
      <w:pPr>
        <w:pStyle w:val="Heading1"/>
      </w:pPr>
      <w:bookmarkStart w:id="25" w:name="_Attachment"/>
      <w:bookmarkStart w:id="26" w:name="_Toc409524627"/>
      <w:bookmarkEnd w:id="25"/>
      <w:r>
        <w:lastRenderedPageBreak/>
        <w:t>Attachment A:</w:t>
      </w:r>
      <w:r>
        <w:tab/>
        <w:t>Inquiry participation</w:t>
      </w:r>
      <w:bookmarkEnd w:id="26"/>
    </w:p>
    <w:p w14:paraId="1CD9ECDA" w14:textId="22761DC4" w:rsidR="00527FDC" w:rsidRDefault="00D41C7D" w:rsidP="00527FDC">
      <w:pPr>
        <w:pStyle w:val="BodyText"/>
      </w:pPr>
      <w:r>
        <w:t>This is a public inquiry, and the Commission welcomes participation from interested people and organisations. The</w:t>
      </w:r>
      <w:r w:rsidR="00DE280B">
        <w:t xml:space="preserve"> </w:t>
      </w:r>
      <w:r w:rsidR="00680F59">
        <w:t xml:space="preserve">five </w:t>
      </w:r>
      <w:r w:rsidR="00527FDC">
        <w:t>issues paper</w:t>
      </w:r>
      <w:r w:rsidR="00680F59">
        <w:t>s released by the Commission are</w:t>
      </w:r>
      <w:r w:rsidR="00527FDC">
        <w:t xml:space="preserve"> </w:t>
      </w:r>
      <w:r>
        <w:t xml:space="preserve">intended </w:t>
      </w:r>
      <w:r w:rsidR="00527FDC">
        <w:t xml:space="preserve">to </w:t>
      </w:r>
      <w:r>
        <w:t>facilitate this</w:t>
      </w:r>
      <w:r w:rsidR="00DE280B">
        <w:t xml:space="preserve"> participation</w:t>
      </w:r>
      <w:r w:rsidR="00527FDC">
        <w:t xml:space="preserve">. </w:t>
      </w:r>
      <w:r w:rsidR="00680F59">
        <w:t>The papers set</w:t>
      </w:r>
      <w:r w:rsidR="00527FDC">
        <w:t xml:space="preserve"> out the scope of the inquiry, the issues about which the Commission is seeking comment and information, the Commission’s procedures, and how to make a </w:t>
      </w:r>
      <w:r w:rsidR="00094A73">
        <w:t xml:space="preserve">comment or a </w:t>
      </w:r>
      <w:r w:rsidR="00527FDC">
        <w:t xml:space="preserve">submission. </w:t>
      </w:r>
    </w:p>
    <w:p w14:paraId="6F6023BC" w14:textId="17269A82" w:rsidR="00527FDC" w:rsidRDefault="00527FDC" w:rsidP="00527FDC">
      <w:pPr>
        <w:pStyle w:val="BodyText"/>
      </w:pPr>
      <w:r>
        <w:t xml:space="preserve">The Australian Government has asked the Commission to provide a final report by November 2015. To meet this timetable, the Commission is seeking initial written submissions by </w:t>
      </w:r>
      <w:r w:rsidR="00C76000" w:rsidRPr="007327DB">
        <w:rPr>
          <w:b/>
        </w:rPr>
        <w:t xml:space="preserve">Friday </w:t>
      </w:r>
      <w:r w:rsidRPr="007327DB">
        <w:rPr>
          <w:b/>
        </w:rPr>
        <w:t>13</w:t>
      </w:r>
      <w:r w:rsidR="00D10E92">
        <w:rPr>
          <w:b/>
        </w:rPr>
        <w:t> </w:t>
      </w:r>
      <w:r w:rsidRPr="007327DB">
        <w:rPr>
          <w:b/>
        </w:rPr>
        <w:t>March 2015</w:t>
      </w:r>
      <w:r w:rsidR="00D41C7D">
        <w:t>. These submissions will</w:t>
      </w:r>
      <w:r>
        <w:t xml:space="preserve"> inform the draft report, which will be </w:t>
      </w:r>
      <w:r w:rsidR="006C4F4E">
        <w:t xml:space="preserve">publicly </w:t>
      </w:r>
      <w:r>
        <w:t xml:space="preserve">released </w:t>
      </w:r>
      <w:r w:rsidR="006C4F4E">
        <w:t>in June/</w:t>
      </w:r>
      <w:r>
        <w:t>July 2015.</w:t>
      </w:r>
    </w:p>
    <w:p w14:paraId="5647DA82" w14:textId="0F432603" w:rsidR="00D41C7D" w:rsidRDefault="00527FDC" w:rsidP="00527FDC">
      <w:pPr>
        <w:pStyle w:val="BodyText"/>
      </w:pPr>
      <w:r>
        <w:t>The Commission has commenced informal consultations and</w:t>
      </w:r>
      <w:r w:rsidR="00895601">
        <w:t>,</w:t>
      </w:r>
      <w:r>
        <w:t xml:space="preserve"> following release of the draft report, the Commission will seek feedback from stakeholders through public hearings in August</w:t>
      </w:r>
      <w:r w:rsidR="006C4F4E">
        <w:t>/September</w:t>
      </w:r>
      <w:r>
        <w:t xml:space="preserve"> 2015, as well as a second round of submissions. The </w:t>
      </w:r>
      <w:r w:rsidR="00680F59">
        <w:t xml:space="preserve">Commission will provide the </w:t>
      </w:r>
      <w:r>
        <w:t>final report to the Australian Government by 30</w:t>
      </w:r>
      <w:r w:rsidR="00D10E92">
        <w:t> </w:t>
      </w:r>
      <w:r>
        <w:t>November 2015.</w:t>
      </w:r>
    </w:p>
    <w:p w14:paraId="32BCE95E" w14:textId="34001B13" w:rsidR="00527FDC" w:rsidRDefault="00527FDC" w:rsidP="001605D2">
      <w:pPr>
        <w:pStyle w:val="Heading2"/>
      </w:pPr>
      <w:bookmarkStart w:id="27" w:name="_Toc409524628"/>
      <w:r>
        <w:t>How you can contribute to this inquiry</w:t>
      </w:r>
      <w:bookmarkEnd w:id="27"/>
    </w:p>
    <w:p w14:paraId="14517EA9" w14:textId="77777777" w:rsidR="00527FDC" w:rsidRDefault="00527FDC" w:rsidP="00527FDC">
      <w:pPr>
        <w:pStyle w:val="Heading3"/>
      </w:pPr>
      <w:r>
        <w:t>By making a brief comment</w:t>
      </w:r>
    </w:p>
    <w:p w14:paraId="1574E620" w14:textId="2E8FFE0D" w:rsidR="00527FDC" w:rsidRDefault="00680F59" w:rsidP="00527FDC">
      <w:pPr>
        <w:pStyle w:val="BodyText"/>
      </w:pPr>
      <w:r>
        <w:t>The Commission welcomes b</w:t>
      </w:r>
      <w:r w:rsidR="00527FDC" w:rsidRPr="00901C64">
        <w:t xml:space="preserve">rief comments </w:t>
      </w:r>
      <w:r>
        <w:t xml:space="preserve">from people </w:t>
      </w:r>
      <w:r w:rsidR="00527FDC" w:rsidRPr="00901C64">
        <w:t xml:space="preserve">who </w:t>
      </w:r>
      <w:r w:rsidR="008D480C">
        <w:t>want</w:t>
      </w:r>
      <w:r w:rsidR="00527FDC">
        <w:t xml:space="preserve"> to share their experiences or views on any topic covered by the inquiry</w:t>
      </w:r>
      <w:r w:rsidR="008D480C">
        <w:t xml:space="preserve">, </w:t>
      </w:r>
      <w:r w:rsidR="00527FDC">
        <w:t>but do not wish to make a public, formal submission.</w:t>
      </w:r>
    </w:p>
    <w:p w14:paraId="40AD0D1A" w14:textId="6F0DE713" w:rsidR="00527FDC" w:rsidRPr="00367076" w:rsidRDefault="00527FDC" w:rsidP="00527FDC">
      <w:pPr>
        <w:pStyle w:val="BodyText"/>
      </w:pPr>
      <w:r>
        <w:t>Unlike submissions, brief comments are not considered public by default and will only be published if the submitter gives the Commission express permission to do so (a check box has been provided on the submission form</w:t>
      </w:r>
      <w:r w:rsidR="00680F59">
        <w:t xml:space="preserve"> on the website</w:t>
      </w:r>
      <w:r>
        <w:t xml:space="preserve">). </w:t>
      </w:r>
      <w:r w:rsidR="00680F59">
        <w:t>The Commission may publish c</w:t>
      </w:r>
      <w:r>
        <w:t xml:space="preserve">omments on </w:t>
      </w:r>
      <w:r w:rsidR="00680F59">
        <w:t>its</w:t>
      </w:r>
      <w:r>
        <w:t xml:space="preserve"> website and/or within the inquiry report.</w:t>
      </w:r>
    </w:p>
    <w:p w14:paraId="49DC701E" w14:textId="77777777" w:rsidR="00527FDC" w:rsidRPr="0084411A" w:rsidRDefault="00527FDC" w:rsidP="00527FDC">
      <w:pPr>
        <w:pStyle w:val="Heading3"/>
      </w:pPr>
      <w:r w:rsidRPr="0084411A">
        <w:t>By lodging a submission</w:t>
      </w:r>
    </w:p>
    <w:p w14:paraId="5038CD1B" w14:textId="3E65F31A" w:rsidR="00527FDC" w:rsidRDefault="00527FDC" w:rsidP="00527FDC">
      <w:pPr>
        <w:pStyle w:val="BodyText"/>
      </w:pPr>
      <w:r>
        <w:t xml:space="preserve">The purpose of </w:t>
      </w:r>
      <w:r w:rsidR="00680F59">
        <w:t>the</w:t>
      </w:r>
      <w:r>
        <w:t xml:space="preserve"> issues paper</w:t>
      </w:r>
      <w:r w:rsidR="00680F59">
        <w:t>s</w:t>
      </w:r>
      <w:r>
        <w:t xml:space="preserve"> is to provide initial guidance on what might be relevant </w:t>
      </w:r>
      <w:r w:rsidR="00094A73">
        <w:t>to</w:t>
      </w:r>
      <w:r>
        <w:t xml:space="preserve"> this inquiry and </w:t>
      </w:r>
      <w:r w:rsidR="00680F59">
        <w:t>the</w:t>
      </w:r>
      <w:r>
        <w:t xml:space="preserve"> evidence the Commission is seeking </w:t>
      </w:r>
      <w:r w:rsidR="00DE280B">
        <w:t xml:space="preserve">from </w:t>
      </w:r>
      <w:r>
        <w:t xml:space="preserve">stakeholders. </w:t>
      </w:r>
      <w:r w:rsidR="00DE280B">
        <w:t>The Commission encourages submissions on any of the issues relevant to the inquiry’s terms of reference, even if not explicitly discussed in the issues paper</w:t>
      </w:r>
      <w:r w:rsidR="00680F59">
        <w:t>s</w:t>
      </w:r>
      <w:r w:rsidR="00DE280B">
        <w:t xml:space="preserve">. </w:t>
      </w:r>
      <w:r w:rsidR="00680F59">
        <w:t xml:space="preserve">The </w:t>
      </w:r>
      <w:r w:rsidR="00DE280B">
        <w:t>paper</w:t>
      </w:r>
      <w:r w:rsidR="00680F59">
        <w:t>s</w:t>
      </w:r>
      <w:r w:rsidR="00DE280B">
        <w:t xml:space="preserve"> </w:t>
      </w:r>
      <w:r w:rsidR="00680F59">
        <w:t>are</w:t>
      </w:r>
      <w:r w:rsidR="00DE280B">
        <w:t xml:space="preserve"> not intended to be exhaustive</w:t>
      </w:r>
      <w:r w:rsidR="00680F59">
        <w:t>. You</w:t>
      </w:r>
      <w:r w:rsidR="00DE280B">
        <w:t xml:space="preserve"> should feel free to raise any matter </w:t>
      </w:r>
      <w:r w:rsidR="00680F59">
        <w:t>you</w:t>
      </w:r>
      <w:r w:rsidR="00DE280B">
        <w:t xml:space="preserve"> see as relevant to the inquiry</w:t>
      </w:r>
      <w:r w:rsidR="00680F59">
        <w:t xml:space="preserve">, </w:t>
      </w:r>
      <w:r w:rsidR="00680F59">
        <w:lastRenderedPageBreak/>
        <w:t xml:space="preserve">but should not </w:t>
      </w:r>
      <w:r w:rsidR="00DE280B">
        <w:t xml:space="preserve">feel obliged to comment on </w:t>
      </w:r>
      <w:r w:rsidR="00DE280B" w:rsidRPr="00680F59">
        <w:rPr>
          <w:i/>
        </w:rPr>
        <w:t>all</w:t>
      </w:r>
      <w:r w:rsidR="00DE280B">
        <w:t xml:space="preserve"> the matters raised in </w:t>
      </w:r>
      <w:r w:rsidR="00680F59">
        <w:t>the issues papers</w:t>
      </w:r>
      <w:r w:rsidR="00DE280B">
        <w:t>.</w:t>
      </w:r>
      <w:r w:rsidR="00DE280B" w:rsidDel="00DE280B">
        <w:t xml:space="preserve"> </w:t>
      </w:r>
      <w:r w:rsidR="00680F59">
        <w:t xml:space="preserve">Some issues papers may be more relevant to </w:t>
      </w:r>
      <w:r w:rsidR="00E544D8">
        <w:t>you</w:t>
      </w:r>
      <w:r w:rsidR="00680F59">
        <w:t xml:space="preserve"> than others.</w:t>
      </w:r>
    </w:p>
    <w:p w14:paraId="2E2176ED" w14:textId="77777777" w:rsidR="00527FDC" w:rsidRDefault="00527FDC" w:rsidP="00527FDC">
      <w:pPr>
        <w:pStyle w:val="Heading4"/>
      </w:pPr>
      <w:bookmarkStart w:id="28" w:name="_Toc408581797"/>
      <w:r>
        <w:t>How to prepare a submission</w:t>
      </w:r>
      <w:bookmarkEnd w:id="28"/>
    </w:p>
    <w:p w14:paraId="54DC2E13" w14:textId="682C0D53" w:rsidR="00527FDC" w:rsidRDefault="00527FDC" w:rsidP="00527FDC">
      <w:pPr>
        <w:pStyle w:val="BodyText"/>
      </w:pPr>
      <w:r>
        <w:t xml:space="preserve">Submissions may range from a short letter outlining your views on a particular topic to a much more substantial document covering a range of issues. Where possible, </w:t>
      </w:r>
      <w:r w:rsidR="00680F59">
        <w:t>you</w:t>
      </w:r>
      <w:r>
        <w:t xml:space="preserve"> should provide evidence, such as relevant data and documentation, to support </w:t>
      </w:r>
      <w:r w:rsidR="00680F59">
        <w:t>your</w:t>
      </w:r>
      <w:r w:rsidR="00DE280B">
        <w:t xml:space="preserve"> </w:t>
      </w:r>
      <w:r w:rsidR="00680F59">
        <w:t>views</w:t>
      </w:r>
      <w:r>
        <w:t>.</w:t>
      </w:r>
    </w:p>
    <w:p w14:paraId="7EA4422E" w14:textId="77777777" w:rsidR="0078277E" w:rsidRDefault="0066372B" w:rsidP="00B12518">
      <w:pPr>
        <w:pStyle w:val="BodyText"/>
      </w:pPr>
      <w:r>
        <w:t>As this is a public review, all submissions should be provided as public documents</w:t>
      </w:r>
      <w:r w:rsidR="006C1DDA">
        <w:t>.</w:t>
      </w:r>
      <w:r>
        <w:t xml:space="preserve"> </w:t>
      </w:r>
      <w:r w:rsidR="0078277E" w:rsidRPr="0078277E">
        <w:t>Each submission, except for any information supplied in confidence (see below), will be published on the Commission’s website shortly after receipt, and will remain there indefinitely as a public document. Copyright in submissions sent to the Commission resides with the author(s), not with the Commission.</w:t>
      </w:r>
    </w:p>
    <w:p w14:paraId="12D58031" w14:textId="537870D8" w:rsidR="00091EEA" w:rsidRDefault="0060643B" w:rsidP="00527FDC">
      <w:pPr>
        <w:pStyle w:val="BodyText"/>
      </w:pPr>
      <w:r>
        <w:t>U</w:t>
      </w:r>
      <w:r w:rsidR="00091EEA" w:rsidRPr="00091EEA">
        <w:t>nder certain circumstances</w:t>
      </w:r>
      <w:r w:rsidR="0078277E">
        <w:t>,</w:t>
      </w:r>
      <w:r w:rsidR="00091EEA" w:rsidRPr="00091EEA">
        <w:t xml:space="preserve"> the Commission can accept sensitive material in confidence, for example, if it was of a personal or commercial nature, and publishing the material would be potentially damaging. </w:t>
      </w:r>
      <w:r w:rsidR="00091EEA">
        <w:t xml:space="preserve">Please </w:t>
      </w:r>
      <w:r w:rsidR="00091EEA" w:rsidRPr="00091EEA">
        <w:t>contact the Commission for further information and advice before submitting such material. Material supplied in confidence should be provided under separate cover and clearly marked ‘IN CONFIDENCE’.</w:t>
      </w:r>
    </w:p>
    <w:p w14:paraId="462D468A" w14:textId="77777777" w:rsidR="00527FDC" w:rsidRDefault="00527FDC" w:rsidP="00527FDC">
      <w:pPr>
        <w:pStyle w:val="Heading4"/>
      </w:pPr>
      <w:bookmarkStart w:id="29" w:name="_Toc408581798"/>
      <w:r>
        <w:t>How to lodge a submission</w:t>
      </w:r>
      <w:bookmarkEnd w:id="29"/>
    </w:p>
    <w:p w14:paraId="51F7F1C6" w14:textId="2523A7D2" w:rsidR="00527FDC" w:rsidRDefault="00527FDC" w:rsidP="00527FDC">
      <w:pPr>
        <w:pStyle w:val="BodyText"/>
      </w:pPr>
      <w:r w:rsidRPr="005C5E19">
        <w:t xml:space="preserve">Each submission should be accompanied by a submission cover sheet. The submission cover sheet is available on the inquiry web page. For submissions received from individuals, all </w:t>
      </w:r>
      <w:r w:rsidRPr="005C5E19">
        <w:rPr>
          <w:b/>
        </w:rPr>
        <w:t>personal</w:t>
      </w:r>
      <w:r w:rsidRPr="005C5E19">
        <w:t xml:space="preserve"> details (</w:t>
      </w:r>
      <w:r w:rsidR="00144175">
        <w:t>for example,</w:t>
      </w:r>
      <w:r w:rsidRPr="005C5E19">
        <w:t xml:space="preserve"> home and email address, signatures, phone, mobile and fax numbers) will be removed before it is published on the website for privacy reasons.</w:t>
      </w:r>
    </w:p>
    <w:p w14:paraId="047D5881" w14:textId="2B712B13" w:rsidR="00527FDC" w:rsidRDefault="00527FDC" w:rsidP="00527FDC">
      <w:pPr>
        <w:pStyle w:val="BodyText"/>
      </w:pPr>
      <w:r>
        <w:t>The Commission prefers to receive submissions as a Microsoft Word (.</w:t>
      </w:r>
      <w:proofErr w:type="spellStart"/>
      <w:r>
        <w:t>docx</w:t>
      </w:r>
      <w:proofErr w:type="spellEnd"/>
      <w:r>
        <w:t>) files. PDF files are acceptable if produced from a Word document or similar text based software. Do not send password</w:t>
      </w:r>
      <w:r w:rsidR="00D10E92">
        <w:noBreakHyphen/>
      </w:r>
      <w:r>
        <w:t>protected files. Do not send us material for which you are not the copyright owner</w:t>
      </w:r>
      <w:r w:rsidR="008D480C">
        <w:t xml:space="preserve">, </w:t>
      </w:r>
      <w:r>
        <w:t>such as newspaper articles</w:t>
      </w:r>
      <w:r w:rsidR="008D480C">
        <w:t>. Please provide a</w:t>
      </w:r>
      <w:r>
        <w:t xml:space="preserve"> reference or link to </w:t>
      </w:r>
      <w:r w:rsidR="008D480C">
        <w:t>such</w:t>
      </w:r>
      <w:r>
        <w:t xml:space="preserve"> material in your submission.</w:t>
      </w:r>
    </w:p>
    <w:p w14:paraId="6A6CE5C3" w14:textId="3812577E" w:rsidR="00527FDC" w:rsidRDefault="00E544D8" w:rsidP="00527FDC">
      <w:pPr>
        <w:pStyle w:val="BodyText"/>
      </w:pPr>
      <w:r>
        <w:t>Please remove t</w:t>
      </w:r>
      <w:r w:rsidR="00527FDC">
        <w:t xml:space="preserve">rack changes, editing marks, hidden text and internal links from submissions before sending to the Commission. To ensure hyperlinks work in your submission, </w:t>
      </w:r>
      <w:r w:rsidR="003B4B03">
        <w:t xml:space="preserve">please </w:t>
      </w:r>
      <w:r w:rsidR="00527FDC">
        <w:t>type the full web address.</w:t>
      </w:r>
      <w:r w:rsidR="0034558C">
        <w:t xml:space="preserve"> </w:t>
      </w:r>
      <w:r w:rsidR="00527FDC" w:rsidRPr="00AA4178">
        <w:t>Submissions sent by email must not exceed 20 megabytes as our email system cannot accept anything larger. If your submission is greater than 20</w:t>
      </w:r>
      <w:r w:rsidR="00527FDC">
        <w:t xml:space="preserve"> </w:t>
      </w:r>
      <w:proofErr w:type="spellStart"/>
      <w:r w:rsidR="00527FDC" w:rsidRPr="00AA4178">
        <w:t>mb</w:t>
      </w:r>
      <w:proofErr w:type="spellEnd"/>
      <w:r w:rsidR="00527FDC" w:rsidRPr="00AA4178">
        <w:t xml:space="preserve"> in size, please contact </w:t>
      </w:r>
      <w:r w:rsidR="00527FDC">
        <w:t>the inquiry team</w:t>
      </w:r>
      <w:r w:rsidR="00527FDC" w:rsidRPr="00AA4178">
        <w:t xml:space="preserve"> to organise another method of sending your submission.</w:t>
      </w:r>
      <w:r w:rsidR="0034558C">
        <w:t xml:space="preserve"> </w:t>
      </w:r>
      <w:r w:rsidR="00527FDC">
        <w:t>It is the Commission’s experience that submissions exceeding 20 megabytes do so because they contain uncompressed photographs</w:t>
      </w:r>
      <w:r w:rsidR="003B4B03">
        <w:t>.</w:t>
      </w:r>
      <w:r w:rsidR="00527FDC">
        <w:t xml:space="preserve"> </w:t>
      </w:r>
      <w:r w:rsidR="003B4B03">
        <w:t>We encourage</w:t>
      </w:r>
      <w:r w:rsidR="00527FDC">
        <w:t xml:space="preserve"> submitters to only supply photographs if they are evidential in nature </w:t>
      </w:r>
      <w:r w:rsidR="0034558C">
        <w:t xml:space="preserve">and are </w:t>
      </w:r>
      <w:r w:rsidR="00527FDC">
        <w:t>in a compressed format.</w:t>
      </w:r>
    </w:p>
    <w:p w14:paraId="6EB754E9" w14:textId="23178D57" w:rsidR="00527FDC" w:rsidRDefault="00527FDC" w:rsidP="00527FDC">
      <w:pPr>
        <w:pStyle w:val="BodyText"/>
      </w:pPr>
      <w:r>
        <w:lastRenderedPageBreak/>
        <w:t xml:space="preserve">Submissions can be </w:t>
      </w:r>
      <w:r w:rsidR="004207B1">
        <w:t>sent</w:t>
      </w:r>
      <w:r>
        <w:t xml:space="preserve"> by email or post: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527FDC" w14:paraId="139B8CA3" w14:textId="77777777" w:rsidTr="00527FDC">
        <w:tc>
          <w:tcPr>
            <w:tcW w:w="1384" w:type="dxa"/>
          </w:tcPr>
          <w:p w14:paraId="0A415E24" w14:textId="77777777" w:rsidR="00527FDC" w:rsidRDefault="00527FDC" w:rsidP="00527FDC">
            <w:pPr>
              <w:pStyle w:val="BodyText"/>
              <w:tabs>
                <w:tab w:val="left" w:pos="1701"/>
              </w:tabs>
              <w:spacing w:before="120"/>
            </w:pPr>
            <w:r>
              <w:t>Email</w:t>
            </w:r>
          </w:p>
        </w:tc>
        <w:tc>
          <w:tcPr>
            <w:tcW w:w="7621" w:type="dxa"/>
          </w:tcPr>
          <w:p w14:paraId="08C54959" w14:textId="77777777" w:rsidR="00527FDC" w:rsidRDefault="00527FDC" w:rsidP="00527FDC">
            <w:pPr>
              <w:pStyle w:val="BodyText"/>
              <w:tabs>
                <w:tab w:val="left" w:pos="1701"/>
              </w:tabs>
              <w:spacing w:before="120"/>
            </w:pPr>
            <w:r>
              <w:t>workplace.relations@pc.gov.au</w:t>
            </w:r>
          </w:p>
        </w:tc>
      </w:tr>
      <w:tr w:rsidR="00527FDC" w14:paraId="21F0C8FF" w14:textId="77777777" w:rsidTr="00527FDC">
        <w:tc>
          <w:tcPr>
            <w:tcW w:w="1384" w:type="dxa"/>
          </w:tcPr>
          <w:p w14:paraId="516F109F" w14:textId="77777777" w:rsidR="00527FDC" w:rsidRDefault="00527FDC" w:rsidP="00527FDC">
            <w:pPr>
              <w:pStyle w:val="BodyText"/>
              <w:tabs>
                <w:tab w:val="left" w:pos="1701"/>
              </w:tabs>
              <w:spacing w:before="120"/>
            </w:pPr>
            <w:r>
              <w:t>Post</w:t>
            </w:r>
          </w:p>
        </w:tc>
        <w:tc>
          <w:tcPr>
            <w:tcW w:w="7621" w:type="dxa"/>
          </w:tcPr>
          <w:p w14:paraId="2CDD8193" w14:textId="77777777" w:rsidR="00527FDC" w:rsidRDefault="00527FDC" w:rsidP="00527FDC">
            <w:pPr>
              <w:pStyle w:val="BodyText"/>
              <w:tabs>
                <w:tab w:val="left" w:pos="1701"/>
              </w:tabs>
              <w:spacing w:before="120"/>
              <w:jc w:val="left"/>
            </w:pPr>
            <w:r>
              <w:t>Workplace Relations Inquiry</w:t>
            </w:r>
            <w:r>
              <w:br/>
              <w:t>Productivity Commission</w:t>
            </w:r>
            <w:r>
              <w:br/>
              <w:t>GPO Box 1428</w:t>
            </w:r>
          </w:p>
          <w:p w14:paraId="48C0A7C3" w14:textId="77777777" w:rsidR="00527FDC" w:rsidRDefault="00527FDC" w:rsidP="00527FDC">
            <w:pPr>
              <w:pStyle w:val="BodyText"/>
              <w:tabs>
                <w:tab w:val="left" w:pos="1701"/>
              </w:tabs>
              <w:spacing w:before="0"/>
              <w:jc w:val="left"/>
            </w:pPr>
            <w:r>
              <w:t>CANBERRA CITY ACT 2601</w:t>
            </w:r>
          </w:p>
        </w:tc>
      </w:tr>
    </w:tbl>
    <w:p w14:paraId="72E6DE11" w14:textId="5EABC5B1" w:rsidR="00541CEE" w:rsidRDefault="003B4B03" w:rsidP="00541CEE">
      <w:pPr>
        <w:pStyle w:val="BodyText"/>
      </w:pPr>
      <w:r w:rsidRPr="003B4B03">
        <w:t>* If you do not receive notification of receipt of an email message you have sent to the Commission within two working days of sending, please contact the Administrative Officer.</w:t>
      </w:r>
    </w:p>
    <w:p w14:paraId="7F924150" w14:textId="77777777" w:rsidR="00527FDC" w:rsidRDefault="00527FDC" w:rsidP="00E544D8">
      <w:pPr>
        <w:pStyle w:val="Heading3"/>
      </w:pPr>
      <w:r>
        <w:t>By attending a public hearing</w:t>
      </w:r>
    </w:p>
    <w:p w14:paraId="4A154543" w14:textId="47695648" w:rsidR="00527FDC" w:rsidRDefault="004207B1" w:rsidP="00527FDC">
      <w:pPr>
        <w:pStyle w:val="BodyText"/>
      </w:pPr>
      <w:r>
        <w:t>The Commission holds public hearings in all of its public inquiries</w:t>
      </w:r>
      <w:r w:rsidR="00527FDC">
        <w:t xml:space="preserve">. They </w:t>
      </w:r>
      <w:r>
        <w:t xml:space="preserve">allow </w:t>
      </w:r>
      <w:r w:rsidR="00527FDC">
        <w:t>interested parties to expand on written submissions and to discuss inquiry issues with C</w:t>
      </w:r>
      <w:r>
        <w:t xml:space="preserve">ommissioners in a public forum. </w:t>
      </w:r>
      <w:r w:rsidR="00527FDC">
        <w:t>Any organisation or individual can attend a public hearing, either to speak to a written submission or to observe the proceedings.</w:t>
      </w:r>
    </w:p>
    <w:p w14:paraId="32A70E76" w14:textId="2FD0E4B8" w:rsidR="00527FDC" w:rsidRDefault="00527FDC" w:rsidP="00527FDC">
      <w:pPr>
        <w:pStyle w:val="BodyText"/>
      </w:pPr>
      <w:r>
        <w:t xml:space="preserve">Public hearings will be held following the closing date of that round of submissions. The hearing schedule will generally run </w:t>
      </w:r>
      <w:r w:rsidR="004207B1">
        <w:t>over</w:t>
      </w:r>
      <w:r>
        <w:t xml:space="preserve"> a </w:t>
      </w:r>
      <w:r w:rsidR="004854F3">
        <w:t>two</w:t>
      </w:r>
      <w:r w:rsidR="00D10E92">
        <w:noBreakHyphen/>
      </w:r>
      <w:r w:rsidR="004854F3">
        <w:t>week</w:t>
      </w:r>
      <w:r>
        <w:t xml:space="preserve"> period.</w:t>
      </w:r>
    </w:p>
    <w:p w14:paraId="4DE28E72" w14:textId="77777777" w:rsidR="00527FDC" w:rsidRDefault="00527FDC" w:rsidP="00F700FE">
      <w:pPr>
        <w:pStyle w:val="Heading4"/>
      </w:pPr>
      <w:r>
        <w:t>How to register to attend a public hearing</w:t>
      </w:r>
    </w:p>
    <w:p w14:paraId="077F937E" w14:textId="0C32A5A8" w:rsidR="00527FDC" w:rsidRDefault="004854F3" w:rsidP="00527FDC">
      <w:pPr>
        <w:pStyle w:val="BodyText"/>
      </w:pPr>
      <w:r>
        <w:t>After the release of the draft report, the Commission will start taking registrations for presenting and observing hearings</w:t>
      </w:r>
      <w:r w:rsidR="00527FDC">
        <w:t xml:space="preserve">. </w:t>
      </w:r>
      <w:r w:rsidR="004207B1">
        <w:t>P</w:t>
      </w:r>
      <w:r w:rsidR="00527FDC">
        <w:t>articipants who are not able to attend a hearing in person</w:t>
      </w:r>
      <w:r w:rsidR="004207B1">
        <w:t xml:space="preserve"> can participate by phone</w:t>
      </w:r>
      <w:r w:rsidR="00527FDC">
        <w:t>.</w:t>
      </w:r>
    </w:p>
    <w:p w14:paraId="444A07B7" w14:textId="2C91590D" w:rsidR="00527FDC" w:rsidRDefault="00527FDC" w:rsidP="00527FDC">
      <w:pPr>
        <w:pStyle w:val="BodyText"/>
      </w:pPr>
      <w:r>
        <w:t>Observers are encouraged to register to attend public hearings so that they can be notified via email of any changes to the schedule or start time of hearings</w:t>
      </w:r>
      <w:r w:rsidR="00E544D8">
        <w:t>. H</w:t>
      </w:r>
      <w:r>
        <w:t>owever</w:t>
      </w:r>
      <w:r w:rsidR="00E544D8">
        <w:t>,</w:t>
      </w:r>
      <w:r>
        <w:t xml:space="preserve"> any member of the public is welcome to attend a public hearing as an observer without having registered beforehand.</w:t>
      </w:r>
    </w:p>
    <w:p w14:paraId="5BE6AEE9" w14:textId="3E79578E" w:rsidR="00135885" w:rsidRDefault="00135885" w:rsidP="00527FDC">
      <w:pPr>
        <w:pStyle w:val="BodyText"/>
      </w:pPr>
      <w:r>
        <w:t>Commission staff will contact you if you have registered to present at a public hearing to discuss a specific time for your appearance. The amount of time allotted to each appearance will vary depending on the number of registrations received for that hearing day</w:t>
      </w:r>
      <w:r w:rsidR="004207B1">
        <w:t>. H</w:t>
      </w:r>
      <w:r>
        <w:t>owever</w:t>
      </w:r>
      <w:r w:rsidR="004207B1">
        <w:t>,</w:t>
      </w:r>
      <w:r>
        <w:t xml:space="preserve"> most appearances do not exceed one hour. Your name will then appear on a schedule of appearance for that public hearing, which will be made publicly available on the Commission’s website prior to the hearing date.</w:t>
      </w:r>
    </w:p>
    <w:p w14:paraId="77811813" w14:textId="5160D83D" w:rsidR="00135885" w:rsidRDefault="00135885" w:rsidP="00527FDC">
      <w:pPr>
        <w:pStyle w:val="BodyText"/>
      </w:pPr>
      <w:r>
        <w:t xml:space="preserve">You may register to represent yourself as an individual, or an organisation. Registrations will be accepted for up to four people to present jointly on behalf of an </w:t>
      </w:r>
      <w:proofErr w:type="gramStart"/>
      <w:r>
        <w:t>organisation,</w:t>
      </w:r>
      <w:proofErr w:type="gramEnd"/>
      <w:r>
        <w:t xml:space="preserve"> however registrations will not be accepted for the same organisation to be represented by different presenters at separate times or on separate dates.</w:t>
      </w:r>
    </w:p>
    <w:p w14:paraId="698DCDD9" w14:textId="07F47443" w:rsidR="00EE1DE4" w:rsidRDefault="00EE1DE4" w:rsidP="00AD36FF">
      <w:pPr>
        <w:pStyle w:val="BodyText"/>
      </w:pPr>
      <w:r>
        <w:lastRenderedPageBreak/>
        <w:t xml:space="preserve">Hearings are conducted in a relatively informal manner. Presenters will </w:t>
      </w:r>
      <w:r w:rsidR="004207B1">
        <w:t xml:space="preserve">be </w:t>
      </w:r>
      <w:r>
        <w:t>called to the witness table and make a</w:t>
      </w:r>
      <w:r w:rsidR="004207B1">
        <w:t xml:space="preserve"> brief</w:t>
      </w:r>
      <w:r>
        <w:t xml:space="preserve"> opening statement</w:t>
      </w:r>
      <w:r w:rsidR="004207B1">
        <w:t>. C</w:t>
      </w:r>
      <w:r>
        <w:t xml:space="preserve">ommissioners will </w:t>
      </w:r>
      <w:r w:rsidR="004207B1">
        <w:t xml:space="preserve">then </w:t>
      </w:r>
      <w:r>
        <w:t xml:space="preserve">seek elaboration on, or clarification of, particular points </w:t>
      </w:r>
      <w:r w:rsidR="004207B1">
        <w:t>raised by the presenter in their statement and</w:t>
      </w:r>
      <w:r>
        <w:t xml:space="preserve"> written submission/s.</w:t>
      </w:r>
    </w:p>
    <w:p w14:paraId="6BEF6C74" w14:textId="302FB973" w:rsidR="00135885" w:rsidRPr="00135885" w:rsidRDefault="00135885" w:rsidP="00AD36FF">
      <w:pPr>
        <w:pStyle w:val="BodyText"/>
      </w:pPr>
      <w:r>
        <w:t xml:space="preserve">Legal representation is unnecessary and there is no requirement to take a formal oath. The </w:t>
      </w:r>
      <w:r w:rsidRPr="00135885">
        <w:rPr>
          <w:i/>
        </w:rPr>
        <w:t>Productivity Commission</w:t>
      </w:r>
      <w:r>
        <w:rPr>
          <w:i/>
        </w:rPr>
        <w:t xml:space="preserve"> Act 1998</w:t>
      </w:r>
      <w:r>
        <w:t xml:space="preserve"> does require participants to be truthful in their remarks.</w:t>
      </w:r>
    </w:p>
    <w:p w14:paraId="3CA172EA" w14:textId="44D037F8" w:rsidR="00EE1DE4" w:rsidRDefault="00EE1DE4" w:rsidP="00AD36FF">
      <w:pPr>
        <w:pStyle w:val="BodyText"/>
      </w:pPr>
      <w:r>
        <w:t xml:space="preserve">The proceedings will be recorded and later transcribed into text, which will be available from the Commission’s website and may be quoted </w:t>
      </w:r>
      <w:r w:rsidR="008D480C">
        <w:t>in</w:t>
      </w:r>
      <w:r>
        <w:t xml:space="preserve"> the inquiry report.</w:t>
      </w:r>
    </w:p>
    <w:p w14:paraId="52FA1884" w14:textId="6504732E" w:rsidR="00997A2D" w:rsidRDefault="00135885" w:rsidP="004207B1">
      <w:pPr>
        <w:pStyle w:val="BodyText"/>
      </w:pPr>
      <w:r>
        <w:t>At the conclusion of the schedule for the day, Commissioners may accept brief comments from anyone in the audience. These comments would then be included in the transcript of the proceedings. Interjections from the floor are not permitted at any time during proceedings.</w:t>
      </w:r>
    </w:p>
    <w:sectPr w:rsidR="00997A2D" w:rsidSect="00FA2DFD">
      <w:headerReference w:type="even" r:id="rId34"/>
      <w:headerReference w:type="default" r:id="rId35"/>
      <w:footerReference w:type="even" r:id="rId36"/>
      <w:footerReference w:type="default" r:id="rId37"/>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548D4" w14:textId="77777777" w:rsidR="004636C5" w:rsidRDefault="004636C5">
      <w:r>
        <w:separator/>
      </w:r>
    </w:p>
  </w:endnote>
  <w:endnote w:type="continuationSeparator" w:id="0">
    <w:p w14:paraId="73B589FC" w14:textId="77777777" w:rsidR="004636C5" w:rsidRDefault="004636C5">
      <w:r>
        <w:continuationSeparator/>
      </w:r>
    </w:p>
  </w:endnote>
  <w:endnote w:type="continuationNotice" w:id="1">
    <w:p w14:paraId="1C11C14F" w14:textId="77777777" w:rsidR="004636C5" w:rsidRDefault="00463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F479F" w14:textId="77777777" w:rsidR="00BA595C" w:rsidRDefault="00BA59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1EEAD" w14:textId="77777777" w:rsidR="00BA595C" w:rsidRDefault="00BA59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929E" w14:textId="77777777" w:rsidR="00BA595C" w:rsidRDefault="00BA59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636C5" w14:paraId="71E37EAA" w14:textId="77777777" w:rsidTr="005F48ED">
      <w:trPr>
        <w:trHeight w:hRule="exact" w:val="567"/>
      </w:trPr>
      <w:tc>
        <w:tcPr>
          <w:tcW w:w="510" w:type="dxa"/>
        </w:tcPr>
        <w:p w14:paraId="694F01DA" w14:textId="77777777" w:rsidR="004636C5" w:rsidRPr="00A24443" w:rsidRDefault="004636C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14011">
            <w:rPr>
              <w:rStyle w:val="PageNumber"/>
              <w:caps w:val="0"/>
              <w:noProof/>
            </w:rPr>
            <w:t>iv</w:t>
          </w:r>
          <w:r w:rsidRPr="00A24443">
            <w:rPr>
              <w:rStyle w:val="PageNumber"/>
              <w:caps w:val="0"/>
            </w:rPr>
            <w:fldChar w:fldCharType="end"/>
          </w:r>
        </w:p>
      </w:tc>
      <w:tc>
        <w:tcPr>
          <w:tcW w:w="7767" w:type="dxa"/>
        </w:tcPr>
        <w:p w14:paraId="1706F2AC" w14:textId="23314EC5" w:rsidR="004636C5" w:rsidRPr="0013739A" w:rsidRDefault="004636C5" w:rsidP="0013739A">
          <w:pPr>
            <w:pStyle w:val="Footer"/>
            <w:rPr>
              <w:rFonts w:cs="Arial"/>
            </w:rPr>
          </w:pPr>
          <w:bookmarkStart w:id="7" w:name="DraftReportEven"/>
          <w:bookmarkEnd w:id="7"/>
          <w:r>
            <w:rPr>
              <w:rFonts w:cs="Arial"/>
            </w:rPr>
            <w:t>Workplace relations framework</w:t>
          </w:r>
        </w:p>
      </w:tc>
      <w:tc>
        <w:tcPr>
          <w:tcW w:w="510" w:type="dxa"/>
        </w:tcPr>
        <w:p w14:paraId="0098683C" w14:textId="77777777" w:rsidR="004636C5" w:rsidRDefault="004636C5" w:rsidP="0019293B">
          <w:pPr>
            <w:pStyle w:val="Footer"/>
          </w:pPr>
        </w:p>
      </w:tc>
    </w:tr>
  </w:tbl>
  <w:p w14:paraId="3F7F3ACB" w14:textId="77777777" w:rsidR="004636C5" w:rsidRDefault="004636C5" w:rsidP="0019293B">
    <w:pPr>
      <w:pStyle w:val="FooterEnd"/>
    </w:pPr>
  </w:p>
  <w:p w14:paraId="21E4AE10" w14:textId="77777777" w:rsidR="004636C5" w:rsidRDefault="004636C5" w:rsidP="009F6FCD">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636C5" w14:paraId="6F306B20" w14:textId="77777777" w:rsidTr="005F48ED">
      <w:trPr>
        <w:trHeight w:hRule="exact" w:val="567"/>
      </w:trPr>
      <w:tc>
        <w:tcPr>
          <w:tcW w:w="510" w:type="dxa"/>
        </w:tcPr>
        <w:p w14:paraId="66DFF769" w14:textId="77777777" w:rsidR="004636C5" w:rsidRDefault="004636C5">
          <w:pPr>
            <w:pStyle w:val="Footer"/>
            <w:ind w:right="360" w:firstLine="360"/>
          </w:pPr>
        </w:p>
      </w:tc>
      <w:tc>
        <w:tcPr>
          <w:tcW w:w="7767" w:type="dxa"/>
        </w:tcPr>
        <w:p w14:paraId="3923745A" w14:textId="3362728C" w:rsidR="004636C5" w:rsidRPr="00BA5B14" w:rsidRDefault="004636C5" w:rsidP="0013739A">
          <w:pPr>
            <w:pStyle w:val="Footer"/>
            <w:jc w:val="right"/>
            <w:rPr>
              <w:rFonts w:cs="Arial"/>
            </w:rPr>
          </w:pPr>
          <w:r>
            <w:rPr>
              <w:rFonts w:cs="Arial"/>
            </w:rPr>
            <w:t>Issues Paper 1: Context</w:t>
          </w:r>
        </w:p>
      </w:tc>
      <w:tc>
        <w:tcPr>
          <w:tcW w:w="510" w:type="dxa"/>
        </w:tcPr>
        <w:p w14:paraId="2033682E" w14:textId="77777777" w:rsidR="004636C5" w:rsidRPr="00A24443" w:rsidRDefault="004636C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14011">
            <w:rPr>
              <w:rStyle w:val="PageNumber"/>
              <w:caps w:val="0"/>
              <w:noProof/>
            </w:rPr>
            <w:t>iii</w:t>
          </w:r>
          <w:r w:rsidRPr="00A24443">
            <w:rPr>
              <w:rStyle w:val="PageNumber"/>
              <w:caps w:val="0"/>
            </w:rPr>
            <w:fldChar w:fldCharType="end"/>
          </w:r>
        </w:p>
      </w:tc>
    </w:tr>
  </w:tbl>
  <w:p w14:paraId="2F8A903B" w14:textId="77777777" w:rsidR="004636C5" w:rsidRDefault="004636C5">
    <w:pPr>
      <w:pStyle w:val="FooterEnd"/>
    </w:pPr>
  </w:p>
  <w:p w14:paraId="0D94CAD5" w14:textId="77777777" w:rsidR="004636C5" w:rsidRDefault="004636C5">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636C5" w14:paraId="31B75518" w14:textId="77777777" w:rsidTr="005F48ED">
      <w:trPr>
        <w:trHeight w:hRule="exact" w:val="567"/>
      </w:trPr>
      <w:tc>
        <w:tcPr>
          <w:tcW w:w="510" w:type="dxa"/>
        </w:tcPr>
        <w:p w14:paraId="057715EB" w14:textId="77777777" w:rsidR="004636C5" w:rsidRPr="00A24443" w:rsidRDefault="004636C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14011">
            <w:rPr>
              <w:rStyle w:val="PageNumber"/>
              <w:caps w:val="0"/>
              <w:noProof/>
            </w:rPr>
            <w:t>vi</w:t>
          </w:r>
          <w:r w:rsidRPr="00A24443">
            <w:rPr>
              <w:rStyle w:val="PageNumber"/>
              <w:caps w:val="0"/>
            </w:rPr>
            <w:fldChar w:fldCharType="end"/>
          </w:r>
        </w:p>
      </w:tc>
      <w:tc>
        <w:tcPr>
          <w:tcW w:w="7767" w:type="dxa"/>
        </w:tcPr>
        <w:p w14:paraId="4490851A" w14:textId="39C62F8B" w:rsidR="004636C5" w:rsidRPr="0013739A" w:rsidRDefault="004636C5" w:rsidP="0013739A">
          <w:pPr>
            <w:pStyle w:val="Footer"/>
            <w:rPr>
              <w:rFonts w:cs="Arial"/>
            </w:rPr>
          </w:pPr>
          <w:r>
            <w:rPr>
              <w:rFonts w:cs="Arial"/>
            </w:rPr>
            <w:t>workplace relations framework</w:t>
          </w:r>
        </w:p>
      </w:tc>
      <w:tc>
        <w:tcPr>
          <w:tcW w:w="510" w:type="dxa"/>
        </w:tcPr>
        <w:p w14:paraId="774F2124" w14:textId="77777777" w:rsidR="004636C5" w:rsidRDefault="004636C5" w:rsidP="0019293B">
          <w:pPr>
            <w:pStyle w:val="Footer"/>
          </w:pPr>
        </w:p>
      </w:tc>
    </w:tr>
  </w:tbl>
  <w:p w14:paraId="61484CAA" w14:textId="77777777" w:rsidR="004636C5" w:rsidRDefault="004636C5" w:rsidP="0019293B">
    <w:pPr>
      <w:pStyle w:val="FooterEnd"/>
    </w:pPr>
  </w:p>
  <w:p w14:paraId="2DB1F285" w14:textId="77777777" w:rsidR="004636C5" w:rsidRDefault="004636C5"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636C5" w14:paraId="119D5301" w14:textId="77777777" w:rsidTr="005F48ED">
      <w:trPr>
        <w:trHeight w:hRule="exact" w:val="567"/>
      </w:trPr>
      <w:tc>
        <w:tcPr>
          <w:tcW w:w="510" w:type="dxa"/>
        </w:tcPr>
        <w:p w14:paraId="214EC2BE" w14:textId="77777777" w:rsidR="004636C5" w:rsidRDefault="004636C5">
          <w:pPr>
            <w:pStyle w:val="Footer"/>
            <w:ind w:right="360" w:firstLine="360"/>
          </w:pPr>
        </w:p>
      </w:tc>
      <w:tc>
        <w:tcPr>
          <w:tcW w:w="7767" w:type="dxa"/>
        </w:tcPr>
        <w:p w14:paraId="6591A97F" w14:textId="77777777" w:rsidR="004636C5" w:rsidRPr="00BA5B14" w:rsidRDefault="004636C5"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14:paraId="20204900" w14:textId="77777777" w:rsidR="004636C5" w:rsidRPr="00A24443" w:rsidRDefault="004636C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vii</w:t>
          </w:r>
          <w:r w:rsidRPr="00A24443">
            <w:rPr>
              <w:rStyle w:val="PageNumber"/>
              <w:caps w:val="0"/>
            </w:rPr>
            <w:fldChar w:fldCharType="end"/>
          </w:r>
        </w:p>
      </w:tc>
    </w:tr>
  </w:tbl>
  <w:p w14:paraId="5B860436" w14:textId="77777777" w:rsidR="004636C5" w:rsidRDefault="004636C5">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636C5" w14:paraId="3773C723" w14:textId="77777777" w:rsidTr="005F48ED">
      <w:trPr>
        <w:trHeight w:hRule="exact" w:val="567"/>
      </w:trPr>
      <w:tc>
        <w:tcPr>
          <w:tcW w:w="510" w:type="dxa"/>
        </w:tcPr>
        <w:p w14:paraId="251081EB" w14:textId="77777777" w:rsidR="004636C5" w:rsidRPr="00A24443" w:rsidRDefault="004636C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14011">
            <w:rPr>
              <w:rStyle w:val="PageNumber"/>
              <w:caps w:val="0"/>
              <w:noProof/>
            </w:rPr>
            <w:t>14</w:t>
          </w:r>
          <w:r w:rsidRPr="00A24443">
            <w:rPr>
              <w:rStyle w:val="PageNumber"/>
              <w:caps w:val="0"/>
            </w:rPr>
            <w:fldChar w:fldCharType="end"/>
          </w:r>
        </w:p>
      </w:tc>
      <w:tc>
        <w:tcPr>
          <w:tcW w:w="7767" w:type="dxa"/>
        </w:tcPr>
        <w:p w14:paraId="0554D5A3" w14:textId="48EED340" w:rsidR="004636C5" w:rsidRPr="0013739A" w:rsidRDefault="004636C5" w:rsidP="0013739A">
          <w:pPr>
            <w:pStyle w:val="Footer"/>
            <w:rPr>
              <w:rFonts w:cs="Arial"/>
            </w:rPr>
          </w:pPr>
          <w:r>
            <w:rPr>
              <w:rFonts w:cs="Arial"/>
            </w:rPr>
            <w:t>Workplace relations framework</w:t>
          </w:r>
        </w:p>
      </w:tc>
      <w:tc>
        <w:tcPr>
          <w:tcW w:w="510" w:type="dxa"/>
        </w:tcPr>
        <w:p w14:paraId="229489B6" w14:textId="77777777" w:rsidR="004636C5" w:rsidRDefault="004636C5" w:rsidP="0019293B">
          <w:pPr>
            <w:pStyle w:val="Footer"/>
          </w:pPr>
        </w:p>
      </w:tc>
    </w:tr>
  </w:tbl>
  <w:p w14:paraId="6FAB5025" w14:textId="77777777" w:rsidR="004636C5" w:rsidRDefault="004636C5" w:rsidP="0019293B">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636C5" w14:paraId="187E06E7" w14:textId="77777777" w:rsidTr="005F48ED">
      <w:trPr>
        <w:trHeight w:hRule="exact" w:val="567"/>
      </w:trPr>
      <w:tc>
        <w:tcPr>
          <w:tcW w:w="510" w:type="dxa"/>
        </w:tcPr>
        <w:p w14:paraId="079A6BC3" w14:textId="77777777" w:rsidR="004636C5" w:rsidRDefault="004636C5">
          <w:pPr>
            <w:pStyle w:val="Footer"/>
            <w:ind w:right="360" w:firstLine="360"/>
          </w:pPr>
        </w:p>
      </w:tc>
      <w:tc>
        <w:tcPr>
          <w:tcW w:w="7767" w:type="dxa"/>
        </w:tcPr>
        <w:p w14:paraId="4A24D8BA" w14:textId="0EB5BDD8" w:rsidR="004636C5" w:rsidRPr="00BA5B14" w:rsidRDefault="004636C5" w:rsidP="0013739A">
          <w:pPr>
            <w:pStyle w:val="Footer"/>
            <w:jc w:val="right"/>
            <w:rPr>
              <w:rFonts w:cs="Arial"/>
            </w:rPr>
          </w:pPr>
          <w:r>
            <w:rPr>
              <w:rFonts w:cs="Arial"/>
            </w:rPr>
            <w:t>Issues Paper 1: Context</w:t>
          </w:r>
        </w:p>
      </w:tc>
      <w:tc>
        <w:tcPr>
          <w:tcW w:w="510" w:type="dxa"/>
        </w:tcPr>
        <w:p w14:paraId="029B3CF4" w14:textId="77777777" w:rsidR="004636C5" w:rsidRPr="00A24443" w:rsidRDefault="004636C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14011">
            <w:rPr>
              <w:rStyle w:val="PageNumber"/>
              <w:caps w:val="0"/>
              <w:noProof/>
            </w:rPr>
            <w:t>13</w:t>
          </w:r>
          <w:r w:rsidRPr="00A24443">
            <w:rPr>
              <w:rStyle w:val="PageNumber"/>
              <w:caps w:val="0"/>
            </w:rPr>
            <w:fldChar w:fldCharType="end"/>
          </w:r>
        </w:p>
      </w:tc>
    </w:tr>
  </w:tbl>
  <w:p w14:paraId="35DB907B" w14:textId="77777777" w:rsidR="004636C5" w:rsidRDefault="004636C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167DA" w14:textId="77777777" w:rsidR="004636C5" w:rsidRDefault="004636C5">
      <w:r>
        <w:separator/>
      </w:r>
    </w:p>
  </w:footnote>
  <w:footnote w:type="continuationSeparator" w:id="0">
    <w:p w14:paraId="2662BE7E" w14:textId="77777777" w:rsidR="004636C5" w:rsidRDefault="004636C5">
      <w:r>
        <w:continuationSeparator/>
      </w:r>
    </w:p>
  </w:footnote>
  <w:footnote w:type="continuationNotice" w:id="1">
    <w:p w14:paraId="7385E062" w14:textId="77777777" w:rsidR="004636C5" w:rsidRDefault="004636C5"/>
  </w:footnote>
  <w:footnote w:id="2">
    <w:p w14:paraId="21F69D10" w14:textId="5B71FAC9" w:rsidR="004636C5" w:rsidRDefault="004636C5">
      <w:pPr>
        <w:pStyle w:val="FootnoteText"/>
      </w:pPr>
      <w:r>
        <w:rPr>
          <w:rStyle w:val="FootnoteReference"/>
        </w:rPr>
        <w:footnoteRef/>
      </w:r>
      <w:r>
        <w:tab/>
        <w:t xml:space="preserve">The data relate to 2013 and are based on ABS 2014, </w:t>
      </w:r>
      <w:r w:rsidRPr="00651FDD">
        <w:rPr>
          <w:i/>
        </w:rPr>
        <w:t>Counts of Australian Businesses</w:t>
      </w:r>
      <w:r>
        <w:t xml:space="preserve">, </w:t>
      </w:r>
      <w:proofErr w:type="gramStart"/>
      <w:r>
        <w:t>Cat</w:t>
      </w:r>
      <w:proofErr w:type="gramEnd"/>
      <w:r>
        <w:t xml:space="preserve">. No. 8165, 31 March and ABS 2014, </w:t>
      </w:r>
      <w:r w:rsidRPr="00651FDD">
        <w:rPr>
          <w:i/>
        </w:rPr>
        <w:t>Australian Labour Market Statistics</w:t>
      </w:r>
      <w:r>
        <w:t>, Cat. No. 6105, 8 July.</w:t>
      </w:r>
    </w:p>
  </w:footnote>
  <w:footnote w:id="3">
    <w:p w14:paraId="5727D72C" w14:textId="373DE5FB" w:rsidR="004636C5" w:rsidRDefault="004636C5">
      <w:pPr>
        <w:pStyle w:val="FootnoteText"/>
      </w:pPr>
      <w:r w:rsidRPr="0028155A">
        <w:rPr>
          <w:rStyle w:val="FootnoteReference"/>
        </w:rPr>
        <w:footnoteRef/>
      </w:r>
      <w:r>
        <w:tab/>
        <w:t xml:space="preserve">Such as manufacturing, heavy and civil engineering construction, air transport, telecommunications and finance (Based on data from 2006 to 2013 from ABS 2014, </w:t>
      </w:r>
      <w:r w:rsidRPr="00C57196">
        <w:rPr>
          <w:i/>
        </w:rPr>
        <w:t>Employee Earnings, Benefits and Trade Union Membership, Australia - Trade Union Membership</w:t>
      </w:r>
      <w:r>
        <w:t>, Cat. </w:t>
      </w:r>
      <w:proofErr w:type="gramStart"/>
      <w:r>
        <w:t>No. 6310.0).</w:t>
      </w:r>
      <w:proofErr w:type="gramEnd"/>
    </w:p>
  </w:footnote>
  <w:footnote w:id="4">
    <w:p w14:paraId="49A50B3D" w14:textId="77777777" w:rsidR="004636C5" w:rsidRDefault="004636C5">
      <w:pPr>
        <w:pStyle w:val="FootnoteText"/>
      </w:pPr>
      <w:r w:rsidRPr="0028155A">
        <w:rPr>
          <w:rStyle w:val="FootnoteReference"/>
        </w:rPr>
        <w:footnoteRef/>
      </w:r>
      <w:r>
        <w:tab/>
      </w:r>
      <w:proofErr w:type="gramStart"/>
      <w:r>
        <w:t>Derived from the Online OECD Employment database, ‘Union members and employees’ in July 2014.</w:t>
      </w:r>
      <w:proofErr w:type="gramEnd"/>
    </w:p>
  </w:footnote>
  <w:footnote w:id="5">
    <w:p w14:paraId="5BACF19C" w14:textId="77777777" w:rsidR="004636C5" w:rsidRDefault="004636C5">
      <w:pPr>
        <w:pStyle w:val="FootnoteText"/>
      </w:pPr>
      <w:r w:rsidRPr="0028155A">
        <w:rPr>
          <w:rStyle w:val="FootnoteReference"/>
        </w:rPr>
        <w:footnoteRef/>
      </w:r>
      <w:r>
        <w:tab/>
        <w:t>Fair Work Amendment Bill 2014; Fair Work Amendment (Bargaining Processes) Bill 2014; Fair Work (Registered Organisations) Amendment Bill 2014; Building and Construction Industry (Improving Productivity) Bill 2013; Building and Construction Industry (Consequential and Transitional Provisions) Bill 2013.</w:t>
      </w:r>
    </w:p>
  </w:footnote>
  <w:footnote w:id="6">
    <w:p w14:paraId="2A298D89" w14:textId="4FC06F60" w:rsidR="004636C5" w:rsidRDefault="004636C5" w:rsidP="00FE6E78">
      <w:pPr>
        <w:pStyle w:val="FootnoteText"/>
      </w:pPr>
      <w:r w:rsidRPr="0028155A">
        <w:rPr>
          <w:rStyle w:val="FootnoteReference"/>
        </w:rPr>
        <w:footnoteRef/>
      </w:r>
      <w:r>
        <w:tab/>
        <w:t xml:space="preserve">Based on the OECD </w:t>
      </w:r>
      <w:r>
        <w:fldChar w:fldCharType="begin"/>
      </w:r>
      <w:r>
        <w:instrText xml:space="preserve"> ADDIN ZOTERO_ITEM CSL_CITATION {"citationID":"qQAxc1WF","properties":{"formattedCitation":"{\\rtf (2013, p.\\uc0\\u160{}72)}","plainCitation":"(2013, p. 72)"},"citationItems":[{"id":3680,"uris":["http://zotero.org/groups/267699/items/VKRSPKZE"],"uri":["http://zotero.org/groups/267699/items/VKRSPKZE"],"itemData":{"id":3680,"type":"report","title":"OECD Employment Outlook 2013","publisher-place":"OECD Publishing","event-place":"OECD Publishing","URL":"http://dx.doi.org/10.1787/empl_outlook-2013-en","translator":[{"family":"OECD","given":""}],"author":[{"family":"Organisation for Economic Cooperation and Development","given":""}],"issued":{"date-parts":[["2013"]]}},"locator":"72","label":"page","suppress-author":true}],"schema":"https://github.com/citation-style-language/schema/raw/master/csl-citation.json"} </w:instrText>
      </w:r>
      <w:r>
        <w:fldChar w:fldCharType="separate"/>
      </w:r>
      <w:r w:rsidRPr="00A77CEC">
        <w:rPr>
          <w:szCs w:val="24"/>
        </w:rPr>
        <w:t>(2013, p. 72)</w:t>
      </w:r>
      <w:r>
        <w:fldChar w:fldCharType="end"/>
      </w:r>
      <w:r>
        <w:t xml:space="preserve"> and</w:t>
      </w:r>
      <w:r w:rsidRPr="00C4687A">
        <w:t xml:space="preserve"> the LAMRIG database prepared by</w:t>
      </w:r>
      <w:r>
        <w:t xml:space="preserve"> Campos and Nugent</w:t>
      </w:r>
      <w:r w:rsidRPr="00C4687A">
        <w:t xml:space="preserve"> </w:t>
      </w:r>
      <w:r>
        <w:fldChar w:fldCharType="begin"/>
      </w:r>
      <w:r>
        <w:instrText xml:space="preserve"> ADDIN ZOTERO_ITEM CSL_CITATION {"citationID":"ot8QLKWi","properties":{"formattedCitation":"(2012)","plainCitation":"(2012)"},"citationItems":[{"id":1210,"uris":["http://zotero.org/groups/260176/items/X34KKI43"],"uri":["http://zotero.org/groups/260176/items/X34KKI43"],"itemData":{"id":1210,"type":"report","title":"The Dynamics of the Regulation of Labor in Developing and Developed Countries since 1960","publisher":"Forschungsinstitut  zur Zukunft der Arbeit","publisher-place":"Germany, September","genre":"Discussion Paper","event-place":"Germany, September","number":"IZA DP No. 6881","author":[{"family":"Campos","given":"N."},{"family":"Nugent","given":"J."}],"issued":{"date-parts":[["2012"]]}},"suppress-author":true}],"schema":"https://github.com/citation-style-language/schema/raw/master/csl-citation.json"} </w:instrText>
      </w:r>
      <w:r>
        <w:fldChar w:fldCharType="separate"/>
      </w:r>
      <w:r w:rsidRPr="00C4687A">
        <w:t>(2012)</w:t>
      </w:r>
      <w:r>
        <w:fldChar w:fldCharType="end"/>
      </w:r>
      <w:r>
        <w:t>.</w:t>
      </w:r>
    </w:p>
  </w:footnote>
  <w:footnote w:id="7">
    <w:p w14:paraId="6DABE86A" w14:textId="77777777" w:rsidR="004636C5" w:rsidRDefault="004636C5" w:rsidP="00E54621">
      <w:pPr>
        <w:pStyle w:val="FootnoteText"/>
      </w:pPr>
      <w:r w:rsidRPr="0028155A">
        <w:rPr>
          <w:rStyle w:val="FootnoteReference"/>
        </w:rPr>
        <w:footnoteRef/>
      </w:r>
      <w:r>
        <w:tab/>
      </w:r>
      <w:proofErr w:type="gramStart"/>
      <w:r w:rsidRPr="005D02E0">
        <w:rPr>
          <w:i/>
        </w:rPr>
        <w:t xml:space="preserve">Amalgamated Engineering Union v J. </w:t>
      </w:r>
      <w:proofErr w:type="spellStart"/>
      <w:r w:rsidRPr="005D02E0">
        <w:rPr>
          <w:i/>
        </w:rPr>
        <w:t>Alderdice</w:t>
      </w:r>
      <w:proofErr w:type="spellEnd"/>
      <w:r w:rsidRPr="005D02E0">
        <w:rPr>
          <w:i/>
        </w:rPr>
        <w:t xml:space="preserve"> &amp; Company Pty Ltd &amp; Others</w:t>
      </w:r>
      <w:r w:rsidRPr="00D20595">
        <w:t xml:space="preserve"> </w:t>
      </w:r>
      <w:r w:rsidRPr="00A97BEC">
        <w:t>(1927) 24 CAR 755, 24</w:t>
      </w:r>
      <w:r>
        <w:t> </w:t>
      </w:r>
      <w:r w:rsidRPr="00A97BEC">
        <w:t>February</w:t>
      </w:r>
      <w:r>
        <w:t> </w:t>
      </w:r>
      <w:r w:rsidRPr="00A97BEC">
        <w:t>1927</w:t>
      </w:r>
      <w:r>
        <w:t xml:space="preserve">, per </w:t>
      </w:r>
      <w:proofErr w:type="spellStart"/>
      <w:r w:rsidRPr="00A97BEC">
        <w:t>Dethridge</w:t>
      </w:r>
      <w:proofErr w:type="spellEnd"/>
      <w:r w:rsidRPr="00A97BEC">
        <w:t xml:space="preserve"> CJ</w:t>
      </w:r>
      <w:r>
        <w:t xml:space="preserve"> at 774-5.</w:t>
      </w:r>
      <w:proofErr w:type="gramEnd"/>
    </w:p>
  </w:footnote>
  <w:footnote w:id="8">
    <w:p w14:paraId="6DECAAC5" w14:textId="77777777" w:rsidR="004636C5" w:rsidRDefault="004636C5" w:rsidP="0055478D">
      <w:pPr>
        <w:pStyle w:val="FootnoteText"/>
      </w:pPr>
      <w:r w:rsidRPr="0028155A">
        <w:rPr>
          <w:rStyle w:val="FootnoteReference"/>
        </w:rPr>
        <w:footnoteRef/>
      </w:r>
      <w:r>
        <w:tab/>
      </w:r>
      <w:proofErr w:type="gramStart"/>
      <w:r>
        <w:t>For example, surveys such as Forms of Employment (2013), Working Time Arrangements (2012), Employee Earnings and Hours (2012), and micro datasets such as the Business Longitudinal Database (2006-07, 2010–11)</w:t>
      </w:r>
      <w:r w:rsidRPr="00C06ABD">
        <w:rPr>
          <w:i/>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5DE11" w14:textId="77777777" w:rsidR="00BA595C" w:rsidRDefault="00BA59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09586" w14:textId="77777777" w:rsidR="00BA595C" w:rsidRDefault="00BA59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2A035" w14:textId="77777777" w:rsidR="00BA595C" w:rsidRDefault="00BA59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4636C5" w14:paraId="0209A982" w14:textId="77777777" w:rsidTr="00F12738">
      <w:tc>
        <w:tcPr>
          <w:tcW w:w="2155" w:type="dxa"/>
          <w:tcBorders>
            <w:top w:val="single" w:sz="24" w:space="0" w:color="auto"/>
          </w:tcBorders>
        </w:tcPr>
        <w:p w14:paraId="21AE4BB7" w14:textId="77777777" w:rsidR="004636C5" w:rsidRDefault="004636C5" w:rsidP="00F12738">
          <w:pPr>
            <w:pStyle w:val="HeaderEven"/>
          </w:pPr>
        </w:p>
      </w:tc>
      <w:tc>
        <w:tcPr>
          <w:tcW w:w="6634" w:type="dxa"/>
          <w:tcBorders>
            <w:top w:val="single" w:sz="6" w:space="0" w:color="auto"/>
          </w:tcBorders>
        </w:tcPr>
        <w:p w14:paraId="369B61F4" w14:textId="77777777" w:rsidR="004636C5" w:rsidRDefault="004636C5" w:rsidP="00F12738">
          <w:pPr>
            <w:pStyle w:val="HeaderEven"/>
          </w:pPr>
        </w:p>
      </w:tc>
    </w:tr>
  </w:tbl>
  <w:p w14:paraId="47B887DD" w14:textId="77777777" w:rsidR="004636C5" w:rsidRDefault="004636C5" w:rsidP="009F6FCD">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636C5" w14:paraId="491E60C8" w14:textId="77777777">
      <w:tc>
        <w:tcPr>
          <w:tcW w:w="6634" w:type="dxa"/>
          <w:tcBorders>
            <w:top w:val="single" w:sz="6" w:space="0" w:color="auto"/>
          </w:tcBorders>
        </w:tcPr>
        <w:p w14:paraId="12A3257C" w14:textId="77777777" w:rsidR="004636C5" w:rsidRDefault="004636C5" w:rsidP="00E669E2">
          <w:pPr>
            <w:pStyle w:val="HeaderOdd"/>
          </w:pPr>
        </w:p>
      </w:tc>
      <w:tc>
        <w:tcPr>
          <w:tcW w:w="2155" w:type="dxa"/>
          <w:tcBorders>
            <w:top w:val="single" w:sz="24" w:space="0" w:color="auto"/>
          </w:tcBorders>
        </w:tcPr>
        <w:p w14:paraId="17E1B661" w14:textId="77777777" w:rsidR="004636C5" w:rsidRDefault="004636C5" w:rsidP="00E669E2">
          <w:pPr>
            <w:pStyle w:val="HeaderOdd"/>
          </w:pPr>
        </w:p>
      </w:tc>
    </w:tr>
  </w:tbl>
  <w:p w14:paraId="2D73C5AE" w14:textId="77777777" w:rsidR="004636C5" w:rsidRDefault="004636C5"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4636C5" w14:paraId="7EA0C546" w14:textId="77777777">
      <w:tc>
        <w:tcPr>
          <w:tcW w:w="2155" w:type="dxa"/>
          <w:tcBorders>
            <w:top w:val="single" w:sz="24" w:space="0" w:color="auto"/>
          </w:tcBorders>
        </w:tcPr>
        <w:p w14:paraId="546C707A" w14:textId="77777777" w:rsidR="004636C5" w:rsidRDefault="004636C5" w:rsidP="0019293B">
          <w:pPr>
            <w:pStyle w:val="HeaderEven"/>
          </w:pPr>
        </w:p>
      </w:tc>
      <w:tc>
        <w:tcPr>
          <w:tcW w:w="6634" w:type="dxa"/>
          <w:tcBorders>
            <w:top w:val="single" w:sz="6" w:space="0" w:color="auto"/>
          </w:tcBorders>
        </w:tcPr>
        <w:p w14:paraId="5F23E1F8" w14:textId="77777777" w:rsidR="004636C5" w:rsidRDefault="004636C5" w:rsidP="0019293B">
          <w:pPr>
            <w:pStyle w:val="HeaderEven"/>
          </w:pPr>
        </w:p>
      </w:tc>
    </w:tr>
  </w:tbl>
  <w:p w14:paraId="78BD1AFE" w14:textId="77777777" w:rsidR="004636C5" w:rsidRDefault="004636C5"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636C5" w14:paraId="4CC1A8BB" w14:textId="77777777">
      <w:tc>
        <w:tcPr>
          <w:tcW w:w="6634" w:type="dxa"/>
          <w:tcBorders>
            <w:top w:val="single" w:sz="6" w:space="0" w:color="auto"/>
          </w:tcBorders>
        </w:tcPr>
        <w:p w14:paraId="5E52E41A" w14:textId="77777777" w:rsidR="004636C5" w:rsidRDefault="004636C5" w:rsidP="00E669E2">
          <w:pPr>
            <w:pStyle w:val="HeaderOdd"/>
          </w:pPr>
        </w:p>
      </w:tc>
      <w:tc>
        <w:tcPr>
          <w:tcW w:w="2155" w:type="dxa"/>
          <w:tcBorders>
            <w:top w:val="single" w:sz="24" w:space="0" w:color="auto"/>
          </w:tcBorders>
        </w:tcPr>
        <w:p w14:paraId="2D05A618" w14:textId="77777777" w:rsidR="004636C5" w:rsidRDefault="004636C5" w:rsidP="00E669E2">
          <w:pPr>
            <w:pStyle w:val="HeaderOdd"/>
          </w:pPr>
        </w:p>
      </w:tc>
    </w:tr>
  </w:tbl>
  <w:p w14:paraId="3C72E8BF" w14:textId="77777777" w:rsidR="004636C5" w:rsidRDefault="004636C5" w:rsidP="00E669E2">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4636C5" w14:paraId="1BB75AD5" w14:textId="77777777">
      <w:tc>
        <w:tcPr>
          <w:tcW w:w="2155" w:type="dxa"/>
          <w:tcBorders>
            <w:top w:val="single" w:sz="24" w:space="0" w:color="auto"/>
          </w:tcBorders>
        </w:tcPr>
        <w:p w14:paraId="56738DC3" w14:textId="77777777" w:rsidR="004636C5" w:rsidRDefault="004636C5" w:rsidP="0019293B">
          <w:pPr>
            <w:pStyle w:val="HeaderEven"/>
          </w:pPr>
        </w:p>
      </w:tc>
      <w:tc>
        <w:tcPr>
          <w:tcW w:w="6634" w:type="dxa"/>
          <w:tcBorders>
            <w:top w:val="single" w:sz="6" w:space="0" w:color="auto"/>
          </w:tcBorders>
        </w:tcPr>
        <w:p w14:paraId="2A1250ED" w14:textId="77777777" w:rsidR="004636C5" w:rsidRDefault="004636C5" w:rsidP="0019293B">
          <w:pPr>
            <w:pStyle w:val="HeaderEven"/>
          </w:pPr>
        </w:p>
      </w:tc>
    </w:tr>
  </w:tbl>
  <w:p w14:paraId="642462D6" w14:textId="77777777" w:rsidR="004636C5" w:rsidRDefault="004636C5" w:rsidP="0019293B">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636C5" w14:paraId="462C570D" w14:textId="77777777">
      <w:tc>
        <w:tcPr>
          <w:tcW w:w="6634" w:type="dxa"/>
          <w:tcBorders>
            <w:top w:val="single" w:sz="6" w:space="0" w:color="auto"/>
          </w:tcBorders>
        </w:tcPr>
        <w:p w14:paraId="4271FD95" w14:textId="77777777" w:rsidR="004636C5" w:rsidRDefault="004636C5" w:rsidP="00E669E2">
          <w:pPr>
            <w:pStyle w:val="HeaderOdd"/>
          </w:pPr>
        </w:p>
      </w:tc>
      <w:tc>
        <w:tcPr>
          <w:tcW w:w="2155" w:type="dxa"/>
          <w:tcBorders>
            <w:top w:val="single" w:sz="24" w:space="0" w:color="auto"/>
          </w:tcBorders>
        </w:tcPr>
        <w:p w14:paraId="2A1A188B" w14:textId="77777777" w:rsidR="004636C5" w:rsidRDefault="004636C5" w:rsidP="00E669E2">
          <w:pPr>
            <w:pStyle w:val="HeaderOdd"/>
          </w:pPr>
        </w:p>
      </w:tc>
    </w:tr>
  </w:tbl>
  <w:p w14:paraId="2E145D4C" w14:textId="77777777" w:rsidR="004636C5" w:rsidRDefault="004636C5"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AA8770B"/>
    <w:multiLevelType w:val="multilevel"/>
    <w:tmpl w:val="7F78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65A246AE"/>
    <w:multiLevelType w:val="multilevel"/>
    <w:tmpl w:val="7D4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0F06A7B"/>
    <w:multiLevelType w:val="multilevel"/>
    <w:tmpl w:val="7052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4"/>
  </w:num>
  <w:num w:numId="4">
    <w:abstractNumId w:val="3"/>
  </w:num>
  <w:num w:numId="5">
    <w:abstractNumId w:val="19"/>
  </w:num>
  <w:num w:numId="6">
    <w:abstractNumId w:val="16"/>
  </w:num>
  <w:num w:numId="7">
    <w:abstractNumId w:val="8"/>
  </w:num>
  <w:num w:numId="8">
    <w:abstractNumId w:val="15"/>
  </w:num>
  <w:num w:numId="9">
    <w:abstractNumId w:val="7"/>
  </w:num>
  <w:num w:numId="10">
    <w:abstractNumId w:val="6"/>
  </w:num>
  <w:num w:numId="11">
    <w:abstractNumId w:val="10"/>
  </w:num>
  <w:num w:numId="12">
    <w:abstractNumId w:val="11"/>
  </w:num>
  <w:num w:numId="13">
    <w:abstractNumId w:val="4"/>
  </w:num>
  <w:num w:numId="14">
    <w:abstractNumId w:val="17"/>
  </w:num>
  <w:num w:numId="15">
    <w:abstractNumId w:val="22"/>
  </w:num>
  <w:num w:numId="16">
    <w:abstractNumId w:val="13"/>
  </w:num>
  <w:num w:numId="17">
    <w:abstractNumId w:val="23"/>
  </w:num>
  <w:num w:numId="18">
    <w:abstractNumId w:val="18"/>
  </w:num>
  <w:num w:numId="19">
    <w:abstractNumId w:val="9"/>
  </w:num>
  <w:num w:numId="20">
    <w:abstractNumId w:val="14"/>
  </w:num>
  <w:num w:numId="21">
    <w:abstractNumId w:val="0"/>
  </w:num>
  <w:num w:numId="22">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3">
    <w:abstractNumId w:val="21"/>
  </w:num>
  <w:num w:numId="24">
    <w:abstractNumId w:val="5"/>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4B25FA"/>
    <w:rsid w:val="000004A3"/>
    <w:rsid w:val="00000EEF"/>
    <w:rsid w:val="00003D50"/>
    <w:rsid w:val="00005EEF"/>
    <w:rsid w:val="00006FE0"/>
    <w:rsid w:val="000113ED"/>
    <w:rsid w:val="0001266D"/>
    <w:rsid w:val="000149AE"/>
    <w:rsid w:val="00015204"/>
    <w:rsid w:val="0001703D"/>
    <w:rsid w:val="000217A4"/>
    <w:rsid w:val="00021B37"/>
    <w:rsid w:val="000227D5"/>
    <w:rsid w:val="00023C64"/>
    <w:rsid w:val="000245AA"/>
    <w:rsid w:val="00024E7D"/>
    <w:rsid w:val="00025E4A"/>
    <w:rsid w:val="00026479"/>
    <w:rsid w:val="0002656A"/>
    <w:rsid w:val="00032BAB"/>
    <w:rsid w:val="00032EAD"/>
    <w:rsid w:val="00035FC2"/>
    <w:rsid w:val="0003615C"/>
    <w:rsid w:val="0003664B"/>
    <w:rsid w:val="00036A27"/>
    <w:rsid w:val="000371C8"/>
    <w:rsid w:val="00040C0A"/>
    <w:rsid w:val="0004111F"/>
    <w:rsid w:val="00042112"/>
    <w:rsid w:val="00045300"/>
    <w:rsid w:val="00046265"/>
    <w:rsid w:val="00047D3B"/>
    <w:rsid w:val="00050576"/>
    <w:rsid w:val="00052D58"/>
    <w:rsid w:val="00055077"/>
    <w:rsid w:val="000558BA"/>
    <w:rsid w:val="00055E93"/>
    <w:rsid w:val="00055FFB"/>
    <w:rsid w:val="000565B3"/>
    <w:rsid w:val="000606DF"/>
    <w:rsid w:val="000619E5"/>
    <w:rsid w:val="00061C34"/>
    <w:rsid w:val="00064E2A"/>
    <w:rsid w:val="0007150B"/>
    <w:rsid w:val="000715AE"/>
    <w:rsid w:val="00071AC4"/>
    <w:rsid w:val="00072675"/>
    <w:rsid w:val="00072B73"/>
    <w:rsid w:val="00073654"/>
    <w:rsid w:val="00073E19"/>
    <w:rsid w:val="00077F49"/>
    <w:rsid w:val="00081EF7"/>
    <w:rsid w:val="00082131"/>
    <w:rsid w:val="00083418"/>
    <w:rsid w:val="00084F12"/>
    <w:rsid w:val="00086E56"/>
    <w:rsid w:val="00087618"/>
    <w:rsid w:val="00090441"/>
    <w:rsid w:val="00091A04"/>
    <w:rsid w:val="00091EEA"/>
    <w:rsid w:val="000920F4"/>
    <w:rsid w:val="000938F5"/>
    <w:rsid w:val="00094A73"/>
    <w:rsid w:val="00095663"/>
    <w:rsid w:val="00095CB9"/>
    <w:rsid w:val="00096E55"/>
    <w:rsid w:val="0009783E"/>
    <w:rsid w:val="000A2457"/>
    <w:rsid w:val="000A38F4"/>
    <w:rsid w:val="000A51AA"/>
    <w:rsid w:val="000A5DD4"/>
    <w:rsid w:val="000A6DD4"/>
    <w:rsid w:val="000B0153"/>
    <w:rsid w:val="000B0DFE"/>
    <w:rsid w:val="000B1022"/>
    <w:rsid w:val="000B1B6F"/>
    <w:rsid w:val="000B31EB"/>
    <w:rsid w:val="000B350A"/>
    <w:rsid w:val="000B39FC"/>
    <w:rsid w:val="000B3E1D"/>
    <w:rsid w:val="000B53E9"/>
    <w:rsid w:val="000B601B"/>
    <w:rsid w:val="000C207E"/>
    <w:rsid w:val="000C390F"/>
    <w:rsid w:val="000C3C2C"/>
    <w:rsid w:val="000C43D3"/>
    <w:rsid w:val="000C57A3"/>
    <w:rsid w:val="000C6113"/>
    <w:rsid w:val="000C6CEC"/>
    <w:rsid w:val="000D2AC9"/>
    <w:rsid w:val="000D3D20"/>
    <w:rsid w:val="000D41E9"/>
    <w:rsid w:val="000D4997"/>
    <w:rsid w:val="000D61C4"/>
    <w:rsid w:val="000D61DA"/>
    <w:rsid w:val="000D6457"/>
    <w:rsid w:val="000D6A10"/>
    <w:rsid w:val="000D7388"/>
    <w:rsid w:val="000D7F18"/>
    <w:rsid w:val="000E1209"/>
    <w:rsid w:val="000E13E5"/>
    <w:rsid w:val="000E2128"/>
    <w:rsid w:val="000E2245"/>
    <w:rsid w:val="000E2A3B"/>
    <w:rsid w:val="000E3EBE"/>
    <w:rsid w:val="000E4FFB"/>
    <w:rsid w:val="000E554E"/>
    <w:rsid w:val="000E6048"/>
    <w:rsid w:val="000E62B7"/>
    <w:rsid w:val="000F0035"/>
    <w:rsid w:val="000F0CC9"/>
    <w:rsid w:val="000F2207"/>
    <w:rsid w:val="000F2218"/>
    <w:rsid w:val="000F22F8"/>
    <w:rsid w:val="000F30E1"/>
    <w:rsid w:val="000F420B"/>
    <w:rsid w:val="000F4569"/>
    <w:rsid w:val="000F5513"/>
    <w:rsid w:val="000F558A"/>
    <w:rsid w:val="000F7022"/>
    <w:rsid w:val="00100C78"/>
    <w:rsid w:val="00101265"/>
    <w:rsid w:val="00103E26"/>
    <w:rsid w:val="00105F1F"/>
    <w:rsid w:val="001066D4"/>
    <w:rsid w:val="0010721C"/>
    <w:rsid w:val="00107E52"/>
    <w:rsid w:val="00110116"/>
    <w:rsid w:val="001108BC"/>
    <w:rsid w:val="0011263B"/>
    <w:rsid w:val="00112F32"/>
    <w:rsid w:val="00112FE9"/>
    <w:rsid w:val="0011353D"/>
    <w:rsid w:val="00113E2B"/>
    <w:rsid w:val="001143A3"/>
    <w:rsid w:val="00115B9E"/>
    <w:rsid w:val="00115FA5"/>
    <w:rsid w:val="00120072"/>
    <w:rsid w:val="0012014C"/>
    <w:rsid w:val="00121C22"/>
    <w:rsid w:val="0012235B"/>
    <w:rsid w:val="0012253F"/>
    <w:rsid w:val="00122C2B"/>
    <w:rsid w:val="001240FA"/>
    <w:rsid w:val="00126EB8"/>
    <w:rsid w:val="001274D4"/>
    <w:rsid w:val="001305F3"/>
    <w:rsid w:val="001313C4"/>
    <w:rsid w:val="001331CC"/>
    <w:rsid w:val="0013332A"/>
    <w:rsid w:val="00133ABD"/>
    <w:rsid w:val="00134049"/>
    <w:rsid w:val="00135885"/>
    <w:rsid w:val="001363AA"/>
    <w:rsid w:val="001369B3"/>
    <w:rsid w:val="00136C36"/>
    <w:rsid w:val="0013739A"/>
    <w:rsid w:val="0014050E"/>
    <w:rsid w:val="00144175"/>
    <w:rsid w:val="0014466D"/>
    <w:rsid w:val="001447D2"/>
    <w:rsid w:val="0014621E"/>
    <w:rsid w:val="00146E23"/>
    <w:rsid w:val="00147D3A"/>
    <w:rsid w:val="00150286"/>
    <w:rsid w:val="00151844"/>
    <w:rsid w:val="001540DE"/>
    <w:rsid w:val="0015450B"/>
    <w:rsid w:val="00156AF3"/>
    <w:rsid w:val="00157326"/>
    <w:rsid w:val="001605D2"/>
    <w:rsid w:val="00161FDA"/>
    <w:rsid w:val="00162BBE"/>
    <w:rsid w:val="00163440"/>
    <w:rsid w:val="00163F90"/>
    <w:rsid w:val="00165933"/>
    <w:rsid w:val="00166469"/>
    <w:rsid w:val="001719DB"/>
    <w:rsid w:val="0017233D"/>
    <w:rsid w:val="001727D2"/>
    <w:rsid w:val="00172A16"/>
    <w:rsid w:val="00173816"/>
    <w:rsid w:val="0017394B"/>
    <w:rsid w:val="0017453E"/>
    <w:rsid w:val="001754AD"/>
    <w:rsid w:val="00175B91"/>
    <w:rsid w:val="00176EDF"/>
    <w:rsid w:val="00180166"/>
    <w:rsid w:val="001817D3"/>
    <w:rsid w:val="00183E82"/>
    <w:rsid w:val="00184B55"/>
    <w:rsid w:val="00184BC2"/>
    <w:rsid w:val="001871FA"/>
    <w:rsid w:val="001878BB"/>
    <w:rsid w:val="00187B52"/>
    <w:rsid w:val="001912F8"/>
    <w:rsid w:val="001919AC"/>
    <w:rsid w:val="00191AE0"/>
    <w:rsid w:val="0019293B"/>
    <w:rsid w:val="001935A1"/>
    <w:rsid w:val="0019426B"/>
    <w:rsid w:val="00195510"/>
    <w:rsid w:val="00195CA9"/>
    <w:rsid w:val="0019659E"/>
    <w:rsid w:val="00196D62"/>
    <w:rsid w:val="00197A1A"/>
    <w:rsid w:val="001A01FB"/>
    <w:rsid w:val="001A16C5"/>
    <w:rsid w:val="001A2BFA"/>
    <w:rsid w:val="001A3F11"/>
    <w:rsid w:val="001A5AB7"/>
    <w:rsid w:val="001A6E5E"/>
    <w:rsid w:val="001B04AA"/>
    <w:rsid w:val="001B04E7"/>
    <w:rsid w:val="001B23E8"/>
    <w:rsid w:val="001B3ADA"/>
    <w:rsid w:val="001B4465"/>
    <w:rsid w:val="001B44B9"/>
    <w:rsid w:val="001B46A5"/>
    <w:rsid w:val="001B4840"/>
    <w:rsid w:val="001B4886"/>
    <w:rsid w:val="001B4F7C"/>
    <w:rsid w:val="001B622C"/>
    <w:rsid w:val="001B6EF8"/>
    <w:rsid w:val="001B7011"/>
    <w:rsid w:val="001B7FDC"/>
    <w:rsid w:val="001C0828"/>
    <w:rsid w:val="001C0865"/>
    <w:rsid w:val="001C13C4"/>
    <w:rsid w:val="001C145B"/>
    <w:rsid w:val="001C1581"/>
    <w:rsid w:val="001C3977"/>
    <w:rsid w:val="001C3ABA"/>
    <w:rsid w:val="001C3BBE"/>
    <w:rsid w:val="001C4544"/>
    <w:rsid w:val="001C4781"/>
    <w:rsid w:val="001C5111"/>
    <w:rsid w:val="001C5315"/>
    <w:rsid w:val="001D0DD4"/>
    <w:rsid w:val="001D102D"/>
    <w:rsid w:val="001D2D8F"/>
    <w:rsid w:val="001D35C3"/>
    <w:rsid w:val="001D37BF"/>
    <w:rsid w:val="001D3F96"/>
    <w:rsid w:val="001D43E5"/>
    <w:rsid w:val="001D52B2"/>
    <w:rsid w:val="001D547E"/>
    <w:rsid w:val="001D5FD9"/>
    <w:rsid w:val="001D72FF"/>
    <w:rsid w:val="001E371A"/>
    <w:rsid w:val="001E409C"/>
    <w:rsid w:val="001E70A9"/>
    <w:rsid w:val="001E7B98"/>
    <w:rsid w:val="001E7BE8"/>
    <w:rsid w:val="001F0248"/>
    <w:rsid w:val="001F17B0"/>
    <w:rsid w:val="001F1BF9"/>
    <w:rsid w:val="001F2817"/>
    <w:rsid w:val="001F2B32"/>
    <w:rsid w:val="001F321B"/>
    <w:rsid w:val="001F3EB3"/>
    <w:rsid w:val="001F4813"/>
    <w:rsid w:val="001F49AE"/>
    <w:rsid w:val="001F4D97"/>
    <w:rsid w:val="001F4F86"/>
    <w:rsid w:val="001F52BA"/>
    <w:rsid w:val="001F779E"/>
    <w:rsid w:val="002018B9"/>
    <w:rsid w:val="00201F76"/>
    <w:rsid w:val="00202362"/>
    <w:rsid w:val="00202C2C"/>
    <w:rsid w:val="00203278"/>
    <w:rsid w:val="00204F75"/>
    <w:rsid w:val="00205834"/>
    <w:rsid w:val="00207B55"/>
    <w:rsid w:val="00207C97"/>
    <w:rsid w:val="002112A3"/>
    <w:rsid w:val="00212D3B"/>
    <w:rsid w:val="002131BF"/>
    <w:rsid w:val="002135AB"/>
    <w:rsid w:val="002144BE"/>
    <w:rsid w:val="00215F4A"/>
    <w:rsid w:val="0021702F"/>
    <w:rsid w:val="00217271"/>
    <w:rsid w:val="00221CD2"/>
    <w:rsid w:val="002223F3"/>
    <w:rsid w:val="00223883"/>
    <w:rsid w:val="00223B95"/>
    <w:rsid w:val="00223D84"/>
    <w:rsid w:val="002254B5"/>
    <w:rsid w:val="00226DC6"/>
    <w:rsid w:val="00231A40"/>
    <w:rsid w:val="00235723"/>
    <w:rsid w:val="0023623C"/>
    <w:rsid w:val="002362DE"/>
    <w:rsid w:val="00236A7F"/>
    <w:rsid w:val="0023732D"/>
    <w:rsid w:val="002419F8"/>
    <w:rsid w:val="00242279"/>
    <w:rsid w:val="0024233F"/>
    <w:rsid w:val="00243997"/>
    <w:rsid w:val="0024516C"/>
    <w:rsid w:val="00245C82"/>
    <w:rsid w:val="00245ECE"/>
    <w:rsid w:val="00247297"/>
    <w:rsid w:val="002474A7"/>
    <w:rsid w:val="002476B0"/>
    <w:rsid w:val="00247BDB"/>
    <w:rsid w:val="00254497"/>
    <w:rsid w:val="00254773"/>
    <w:rsid w:val="002551EF"/>
    <w:rsid w:val="002614BC"/>
    <w:rsid w:val="00262EB7"/>
    <w:rsid w:val="0026356C"/>
    <w:rsid w:val="00263E60"/>
    <w:rsid w:val="00265C42"/>
    <w:rsid w:val="00265CC7"/>
    <w:rsid w:val="002724BA"/>
    <w:rsid w:val="002741D6"/>
    <w:rsid w:val="00274D03"/>
    <w:rsid w:val="00280454"/>
    <w:rsid w:val="0028155A"/>
    <w:rsid w:val="00281E57"/>
    <w:rsid w:val="0028362A"/>
    <w:rsid w:val="00284DD5"/>
    <w:rsid w:val="00286069"/>
    <w:rsid w:val="00287B4E"/>
    <w:rsid w:val="00290180"/>
    <w:rsid w:val="002907E9"/>
    <w:rsid w:val="00291B40"/>
    <w:rsid w:val="00291C57"/>
    <w:rsid w:val="002926BF"/>
    <w:rsid w:val="002933EE"/>
    <w:rsid w:val="002936BA"/>
    <w:rsid w:val="00294082"/>
    <w:rsid w:val="002944BA"/>
    <w:rsid w:val="002A0608"/>
    <w:rsid w:val="002A0AFB"/>
    <w:rsid w:val="002A115A"/>
    <w:rsid w:val="002A14B9"/>
    <w:rsid w:val="002A3F60"/>
    <w:rsid w:val="002A46DA"/>
    <w:rsid w:val="002A5D49"/>
    <w:rsid w:val="002A6CE7"/>
    <w:rsid w:val="002A7449"/>
    <w:rsid w:val="002B11F0"/>
    <w:rsid w:val="002B17E5"/>
    <w:rsid w:val="002B2CDA"/>
    <w:rsid w:val="002B4008"/>
    <w:rsid w:val="002B6371"/>
    <w:rsid w:val="002B76CB"/>
    <w:rsid w:val="002B798A"/>
    <w:rsid w:val="002B7F02"/>
    <w:rsid w:val="002C005B"/>
    <w:rsid w:val="002C0FE6"/>
    <w:rsid w:val="002C1CE6"/>
    <w:rsid w:val="002C28DE"/>
    <w:rsid w:val="002C2CC2"/>
    <w:rsid w:val="002C37DD"/>
    <w:rsid w:val="002C3AEA"/>
    <w:rsid w:val="002C439F"/>
    <w:rsid w:val="002C54BA"/>
    <w:rsid w:val="002C5D47"/>
    <w:rsid w:val="002C6268"/>
    <w:rsid w:val="002C668D"/>
    <w:rsid w:val="002C6A80"/>
    <w:rsid w:val="002D0E8E"/>
    <w:rsid w:val="002D1B62"/>
    <w:rsid w:val="002D1B76"/>
    <w:rsid w:val="002D36FA"/>
    <w:rsid w:val="002D41EB"/>
    <w:rsid w:val="002D47B3"/>
    <w:rsid w:val="002D4F62"/>
    <w:rsid w:val="002D54E5"/>
    <w:rsid w:val="002D5936"/>
    <w:rsid w:val="002D6152"/>
    <w:rsid w:val="002D7A4E"/>
    <w:rsid w:val="002E13DD"/>
    <w:rsid w:val="002E1CE7"/>
    <w:rsid w:val="002E42C2"/>
    <w:rsid w:val="002E50AA"/>
    <w:rsid w:val="002F1907"/>
    <w:rsid w:val="002F1D9D"/>
    <w:rsid w:val="002F1E7B"/>
    <w:rsid w:val="002F3381"/>
    <w:rsid w:val="002F5906"/>
    <w:rsid w:val="002F59A7"/>
    <w:rsid w:val="002F6D81"/>
    <w:rsid w:val="002F72B8"/>
    <w:rsid w:val="002F79D6"/>
    <w:rsid w:val="00300490"/>
    <w:rsid w:val="00301189"/>
    <w:rsid w:val="00301E4A"/>
    <w:rsid w:val="00303634"/>
    <w:rsid w:val="0030709C"/>
    <w:rsid w:val="00310A88"/>
    <w:rsid w:val="00311C86"/>
    <w:rsid w:val="00311F1B"/>
    <w:rsid w:val="0031309A"/>
    <w:rsid w:val="003154EF"/>
    <w:rsid w:val="00316228"/>
    <w:rsid w:val="003168B8"/>
    <w:rsid w:val="003176B8"/>
    <w:rsid w:val="003207C4"/>
    <w:rsid w:val="003217F3"/>
    <w:rsid w:val="00322830"/>
    <w:rsid w:val="003232C1"/>
    <w:rsid w:val="00323E09"/>
    <w:rsid w:val="00327D6E"/>
    <w:rsid w:val="003307B8"/>
    <w:rsid w:val="00331128"/>
    <w:rsid w:val="003312F4"/>
    <w:rsid w:val="00333932"/>
    <w:rsid w:val="003349F5"/>
    <w:rsid w:val="00340034"/>
    <w:rsid w:val="003400F5"/>
    <w:rsid w:val="003401A2"/>
    <w:rsid w:val="00344653"/>
    <w:rsid w:val="0034503E"/>
    <w:rsid w:val="0034558C"/>
    <w:rsid w:val="003464C4"/>
    <w:rsid w:val="003518AA"/>
    <w:rsid w:val="00351F55"/>
    <w:rsid w:val="00352165"/>
    <w:rsid w:val="003527EB"/>
    <w:rsid w:val="00353182"/>
    <w:rsid w:val="003535A8"/>
    <w:rsid w:val="0035441D"/>
    <w:rsid w:val="00354D23"/>
    <w:rsid w:val="003555C7"/>
    <w:rsid w:val="00355672"/>
    <w:rsid w:val="003565D9"/>
    <w:rsid w:val="003602E1"/>
    <w:rsid w:val="00360E30"/>
    <w:rsid w:val="003610CF"/>
    <w:rsid w:val="003616E9"/>
    <w:rsid w:val="00367D3F"/>
    <w:rsid w:val="0037026F"/>
    <w:rsid w:val="00370DEC"/>
    <w:rsid w:val="00371024"/>
    <w:rsid w:val="00371240"/>
    <w:rsid w:val="00371F09"/>
    <w:rsid w:val="003729B8"/>
    <w:rsid w:val="00374731"/>
    <w:rsid w:val="003755B2"/>
    <w:rsid w:val="00375DA3"/>
    <w:rsid w:val="00375FEB"/>
    <w:rsid w:val="00376E59"/>
    <w:rsid w:val="00376FA2"/>
    <w:rsid w:val="00380340"/>
    <w:rsid w:val="003815D1"/>
    <w:rsid w:val="00384A87"/>
    <w:rsid w:val="00384F4B"/>
    <w:rsid w:val="00387BEF"/>
    <w:rsid w:val="0039051F"/>
    <w:rsid w:val="00391500"/>
    <w:rsid w:val="003919F9"/>
    <w:rsid w:val="00391FF1"/>
    <w:rsid w:val="0039247F"/>
    <w:rsid w:val="00392776"/>
    <w:rsid w:val="0039277D"/>
    <w:rsid w:val="003929C2"/>
    <w:rsid w:val="00397784"/>
    <w:rsid w:val="00397D0C"/>
    <w:rsid w:val="003A13F4"/>
    <w:rsid w:val="003A1D78"/>
    <w:rsid w:val="003A20DC"/>
    <w:rsid w:val="003A24A1"/>
    <w:rsid w:val="003A6792"/>
    <w:rsid w:val="003A7393"/>
    <w:rsid w:val="003A7F1C"/>
    <w:rsid w:val="003B0617"/>
    <w:rsid w:val="003B08CD"/>
    <w:rsid w:val="003B2214"/>
    <w:rsid w:val="003B23C2"/>
    <w:rsid w:val="003B4B03"/>
    <w:rsid w:val="003B5044"/>
    <w:rsid w:val="003B51BD"/>
    <w:rsid w:val="003B54AE"/>
    <w:rsid w:val="003C0110"/>
    <w:rsid w:val="003C123C"/>
    <w:rsid w:val="003C3641"/>
    <w:rsid w:val="003C38B5"/>
    <w:rsid w:val="003C38BE"/>
    <w:rsid w:val="003C5562"/>
    <w:rsid w:val="003C5D99"/>
    <w:rsid w:val="003C6A69"/>
    <w:rsid w:val="003D1087"/>
    <w:rsid w:val="003D1DDB"/>
    <w:rsid w:val="003D228B"/>
    <w:rsid w:val="003D3749"/>
    <w:rsid w:val="003D4872"/>
    <w:rsid w:val="003D4AAD"/>
    <w:rsid w:val="003D4AF2"/>
    <w:rsid w:val="003D643F"/>
    <w:rsid w:val="003D69F3"/>
    <w:rsid w:val="003D6B68"/>
    <w:rsid w:val="003D722F"/>
    <w:rsid w:val="003D7E7A"/>
    <w:rsid w:val="003E10FA"/>
    <w:rsid w:val="003E2BC2"/>
    <w:rsid w:val="003E2F4B"/>
    <w:rsid w:val="003E2F59"/>
    <w:rsid w:val="003E39E0"/>
    <w:rsid w:val="003E4FE3"/>
    <w:rsid w:val="003E5E29"/>
    <w:rsid w:val="003E746B"/>
    <w:rsid w:val="003F0789"/>
    <w:rsid w:val="003F106B"/>
    <w:rsid w:val="003F12E6"/>
    <w:rsid w:val="003F28D7"/>
    <w:rsid w:val="003F30D1"/>
    <w:rsid w:val="003F4634"/>
    <w:rsid w:val="003F4652"/>
    <w:rsid w:val="003F6113"/>
    <w:rsid w:val="003F7AB4"/>
    <w:rsid w:val="003F7CB5"/>
    <w:rsid w:val="00400E4C"/>
    <w:rsid w:val="004014D3"/>
    <w:rsid w:val="00401882"/>
    <w:rsid w:val="00407895"/>
    <w:rsid w:val="004100C8"/>
    <w:rsid w:val="004106FF"/>
    <w:rsid w:val="004110F2"/>
    <w:rsid w:val="00411DBD"/>
    <w:rsid w:val="00412994"/>
    <w:rsid w:val="00412ACE"/>
    <w:rsid w:val="0041311F"/>
    <w:rsid w:val="004145D2"/>
    <w:rsid w:val="00414EF1"/>
    <w:rsid w:val="00414F45"/>
    <w:rsid w:val="004158B8"/>
    <w:rsid w:val="00415A3A"/>
    <w:rsid w:val="00415F39"/>
    <w:rsid w:val="00416FB7"/>
    <w:rsid w:val="004207B1"/>
    <w:rsid w:val="00421512"/>
    <w:rsid w:val="0042256A"/>
    <w:rsid w:val="00422F8F"/>
    <w:rsid w:val="00423722"/>
    <w:rsid w:val="00423C46"/>
    <w:rsid w:val="00423D0D"/>
    <w:rsid w:val="00424578"/>
    <w:rsid w:val="004247CF"/>
    <w:rsid w:val="00425B2F"/>
    <w:rsid w:val="00426CB4"/>
    <w:rsid w:val="00426D97"/>
    <w:rsid w:val="00431249"/>
    <w:rsid w:val="00432A79"/>
    <w:rsid w:val="00432CF6"/>
    <w:rsid w:val="00433098"/>
    <w:rsid w:val="004343CA"/>
    <w:rsid w:val="00434C19"/>
    <w:rsid w:val="0043602F"/>
    <w:rsid w:val="00436F2D"/>
    <w:rsid w:val="00440360"/>
    <w:rsid w:val="004410F3"/>
    <w:rsid w:val="004428E6"/>
    <w:rsid w:val="00444095"/>
    <w:rsid w:val="0044587D"/>
    <w:rsid w:val="00445CB6"/>
    <w:rsid w:val="00450810"/>
    <w:rsid w:val="0045131B"/>
    <w:rsid w:val="00453F4E"/>
    <w:rsid w:val="00454260"/>
    <w:rsid w:val="004562B8"/>
    <w:rsid w:val="004569B2"/>
    <w:rsid w:val="00457CAA"/>
    <w:rsid w:val="00461B18"/>
    <w:rsid w:val="00462D53"/>
    <w:rsid w:val="004636C5"/>
    <w:rsid w:val="0046582E"/>
    <w:rsid w:val="00465FED"/>
    <w:rsid w:val="0046721F"/>
    <w:rsid w:val="00470737"/>
    <w:rsid w:val="004717AF"/>
    <w:rsid w:val="00471AEE"/>
    <w:rsid w:val="00473BCA"/>
    <w:rsid w:val="00474767"/>
    <w:rsid w:val="00476492"/>
    <w:rsid w:val="00476DEC"/>
    <w:rsid w:val="00477144"/>
    <w:rsid w:val="00477B83"/>
    <w:rsid w:val="00480E7D"/>
    <w:rsid w:val="00481C5F"/>
    <w:rsid w:val="00482A4F"/>
    <w:rsid w:val="00483C18"/>
    <w:rsid w:val="004854F3"/>
    <w:rsid w:val="004859F1"/>
    <w:rsid w:val="00486033"/>
    <w:rsid w:val="0049008D"/>
    <w:rsid w:val="004902FF"/>
    <w:rsid w:val="00490532"/>
    <w:rsid w:val="00491380"/>
    <w:rsid w:val="00492609"/>
    <w:rsid w:val="00493598"/>
    <w:rsid w:val="00493C66"/>
    <w:rsid w:val="0049459F"/>
    <w:rsid w:val="004945F9"/>
    <w:rsid w:val="00497D8C"/>
    <w:rsid w:val="004A1F72"/>
    <w:rsid w:val="004A38DD"/>
    <w:rsid w:val="004A439C"/>
    <w:rsid w:val="004A6E38"/>
    <w:rsid w:val="004A7361"/>
    <w:rsid w:val="004A7BA7"/>
    <w:rsid w:val="004A7C54"/>
    <w:rsid w:val="004B0F1A"/>
    <w:rsid w:val="004B14BE"/>
    <w:rsid w:val="004B178A"/>
    <w:rsid w:val="004B1A90"/>
    <w:rsid w:val="004B1F16"/>
    <w:rsid w:val="004B22B1"/>
    <w:rsid w:val="004B25FA"/>
    <w:rsid w:val="004B27A6"/>
    <w:rsid w:val="004B2C97"/>
    <w:rsid w:val="004B2EF9"/>
    <w:rsid w:val="004B43AE"/>
    <w:rsid w:val="004B53B9"/>
    <w:rsid w:val="004B664A"/>
    <w:rsid w:val="004B719B"/>
    <w:rsid w:val="004C160E"/>
    <w:rsid w:val="004C2742"/>
    <w:rsid w:val="004C276D"/>
    <w:rsid w:val="004C30ED"/>
    <w:rsid w:val="004C3449"/>
    <w:rsid w:val="004C5CB0"/>
    <w:rsid w:val="004C7515"/>
    <w:rsid w:val="004D3DB6"/>
    <w:rsid w:val="004D532E"/>
    <w:rsid w:val="004D54EF"/>
    <w:rsid w:val="004D5675"/>
    <w:rsid w:val="004D584D"/>
    <w:rsid w:val="004D6217"/>
    <w:rsid w:val="004D6969"/>
    <w:rsid w:val="004E0D73"/>
    <w:rsid w:val="004E193C"/>
    <w:rsid w:val="004E219E"/>
    <w:rsid w:val="004E2F13"/>
    <w:rsid w:val="004E59FB"/>
    <w:rsid w:val="004E7949"/>
    <w:rsid w:val="004F00FF"/>
    <w:rsid w:val="004F03C6"/>
    <w:rsid w:val="004F05AF"/>
    <w:rsid w:val="004F1B0C"/>
    <w:rsid w:val="004F2B48"/>
    <w:rsid w:val="004F5EA1"/>
    <w:rsid w:val="004F62AD"/>
    <w:rsid w:val="004F6B2E"/>
    <w:rsid w:val="00501022"/>
    <w:rsid w:val="00501D24"/>
    <w:rsid w:val="0050217E"/>
    <w:rsid w:val="00504899"/>
    <w:rsid w:val="005054BC"/>
    <w:rsid w:val="00505DC5"/>
    <w:rsid w:val="00506472"/>
    <w:rsid w:val="00506762"/>
    <w:rsid w:val="00506B31"/>
    <w:rsid w:val="00507166"/>
    <w:rsid w:val="005130DF"/>
    <w:rsid w:val="00513579"/>
    <w:rsid w:val="00514995"/>
    <w:rsid w:val="00514CA8"/>
    <w:rsid w:val="00514E8B"/>
    <w:rsid w:val="00515657"/>
    <w:rsid w:val="00515E58"/>
    <w:rsid w:val="0051614F"/>
    <w:rsid w:val="0051726F"/>
    <w:rsid w:val="00517795"/>
    <w:rsid w:val="005210D3"/>
    <w:rsid w:val="005232DB"/>
    <w:rsid w:val="00523639"/>
    <w:rsid w:val="00524063"/>
    <w:rsid w:val="00524CB1"/>
    <w:rsid w:val="00525E27"/>
    <w:rsid w:val="00526341"/>
    <w:rsid w:val="00526E37"/>
    <w:rsid w:val="00527FDC"/>
    <w:rsid w:val="005318AE"/>
    <w:rsid w:val="00531FE5"/>
    <w:rsid w:val="00533D09"/>
    <w:rsid w:val="00534092"/>
    <w:rsid w:val="00536AF2"/>
    <w:rsid w:val="005402FA"/>
    <w:rsid w:val="005413F3"/>
    <w:rsid w:val="00541CEE"/>
    <w:rsid w:val="00543BF5"/>
    <w:rsid w:val="00543DBB"/>
    <w:rsid w:val="005452F6"/>
    <w:rsid w:val="00545F89"/>
    <w:rsid w:val="00546AA0"/>
    <w:rsid w:val="00547419"/>
    <w:rsid w:val="00550C39"/>
    <w:rsid w:val="0055121D"/>
    <w:rsid w:val="00551644"/>
    <w:rsid w:val="0055478D"/>
    <w:rsid w:val="00555733"/>
    <w:rsid w:val="00555795"/>
    <w:rsid w:val="005558C7"/>
    <w:rsid w:val="0055655F"/>
    <w:rsid w:val="00557ED0"/>
    <w:rsid w:val="00561723"/>
    <w:rsid w:val="005632FA"/>
    <w:rsid w:val="00563F38"/>
    <w:rsid w:val="00565559"/>
    <w:rsid w:val="005657A9"/>
    <w:rsid w:val="00566955"/>
    <w:rsid w:val="00566BED"/>
    <w:rsid w:val="00566DC0"/>
    <w:rsid w:val="005679CF"/>
    <w:rsid w:val="005729BD"/>
    <w:rsid w:val="00575E86"/>
    <w:rsid w:val="00577752"/>
    <w:rsid w:val="005833A6"/>
    <w:rsid w:val="00583C39"/>
    <w:rsid w:val="005847AE"/>
    <w:rsid w:val="0058509F"/>
    <w:rsid w:val="00587514"/>
    <w:rsid w:val="00587F28"/>
    <w:rsid w:val="005909CF"/>
    <w:rsid w:val="00590D87"/>
    <w:rsid w:val="00591098"/>
    <w:rsid w:val="00591E71"/>
    <w:rsid w:val="00592098"/>
    <w:rsid w:val="00593E39"/>
    <w:rsid w:val="0059412E"/>
    <w:rsid w:val="00594A03"/>
    <w:rsid w:val="005973EB"/>
    <w:rsid w:val="005A08D3"/>
    <w:rsid w:val="005A0D41"/>
    <w:rsid w:val="005A12AC"/>
    <w:rsid w:val="005A4DC1"/>
    <w:rsid w:val="005A524A"/>
    <w:rsid w:val="005A532D"/>
    <w:rsid w:val="005A643D"/>
    <w:rsid w:val="005A6B87"/>
    <w:rsid w:val="005B1AA6"/>
    <w:rsid w:val="005B274C"/>
    <w:rsid w:val="005B5745"/>
    <w:rsid w:val="005C06B4"/>
    <w:rsid w:val="005C147C"/>
    <w:rsid w:val="005C15AC"/>
    <w:rsid w:val="005C184B"/>
    <w:rsid w:val="005C1CCF"/>
    <w:rsid w:val="005C5E19"/>
    <w:rsid w:val="005C695E"/>
    <w:rsid w:val="005C732B"/>
    <w:rsid w:val="005C7E9F"/>
    <w:rsid w:val="005D02E0"/>
    <w:rsid w:val="005D12B3"/>
    <w:rsid w:val="005D3044"/>
    <w:rsid w:val="005D3970"/>
    <w:rsid w:val="005D4A09"/>
    <w:rsid w:val="005D5059"/>
    <w:rsid w:val="005D5E5D"/>
    <w:rsid w:val="005D60E2"/>
    <w:rsid w:val="005D7446"/>
    <w:rsid w:val="005D77FD"/>
    <w:rsid w:val="005E2113"/>
    <w:rsid w:val="005E33BB"/>
    <w:rsid w:val="005E3977"/>
    <w:rsid w:val="005E6BA9"/>
    <w:rsid w:val="005E6E34"/>
    <w:rsid w:val="005F101C"/>
    <w:rsid w:val="005F1719"/>
    <w:rsid w:val="005F193A"/>
    <w:rsid w:val="005F33EC"/>
    <w:rsid w:val="005F48ED"/>
    <w:rsid w:val="005F52F5"/>
    <w:rsid w:val="005F6216"/>
    <w:rsid w:val="005F63E9"/>
    <w:rsid w:val="005F7133"/>
    <w:rsid w:val="00600E7C"/>
    <w:rsid w:val="00603C37"/>
    <w:rsid w:val="00604546"/>
    <w:rsid w:val="0060607A"/>
    <w:rsid w:val="0060643B"/>
    <w:rsid w:val="00606E78"/>
    <w:rsid w:val="00607BF1"/>
    <w:rsid w:val="00612713"/>
    <w:rsid w:val="00612B7B"/>
    <w:rsid w:val="006147FA"/>
    <w:rsid w:val="0061513B"/>
    <w:rsid w:val="00615638"/>
    <w:rsid w:val="00615732"/>
    <w:rsid w:val="006157CE"/>
    <w:rsid w:val="006170FF"/>
    <w:rsid w:val="0062057C"/>
    <w:rsid w:val="00620793"/>
    <w:rsid w:val="006209C3"/>
    <w:rsid w:val="00620E6A"/>
    <w:rsid w:val="006229EB"/>
    <w:rsid w:val="00630D4D"/>
    <w:rsid w:val="00630EB4"/>
    <w:rsid w:val="00632A74"/>
    <w:rsid w:val="006341EE"/>
    <w:rsid w:val="00636099"/>
    <w:rsid w:val="00643C7F"/>
    <w:rsid w:val="00645B10"/>
    <w:rsid w:val="00646277"/>
    <w:rsid w:val="006501B9"/>
    <w:rsid w:val="00651FDD"/>
    <w:rsid w:val="00654D42"/>
    <w:rsid w:val="00656AFE"/>
    <w:rsid w:val="00656C17"/>
    <w:rsid w:val="00656F71"/>
    <w:rsid w:val="00657C8F"/>
    <w:rsid w:val="0066372B"/>
    <w:rsid w:val="0066636F"/>
    <w:rsid w:val="00666A49"/>
    <w:rsid w:val="0066775E"/>
    <w:rsid w:val="0066798F"/>
    <w:rsid w:val="00671735"/>
    <w:rsid w:val="00672CF9"/>
    <w:rsid w:val="00672EB9"/>
    <w:rsid w:val="006751DB"/>
    <w:rsid w:val="00676B30"/>
    <w:rsid w:val="00677E1C"/>
    <w:rsid w:val="00680F59"/>
    <w:rsid w:val="00681228"/>
    <w:rsid w:val="006836CF"/>
    <w:rsid w:val="00684FF0"/>
    <w:rsid w:val="00685082"/>
    <w:rsid w:val="006877A9"/>
    <w:rsid w:val="00687DFB"/>
    <w:rsid w:val="006907B3"/>
    <w:rsid w:val="00691FF8"/>
    <w:rsid w:val="006928F4"/>
    <w:rsid w:val="00692F08"/>
    <w:rsid w:val="00692F51"/>
    <w:rsid w:val="00693DA2"/>
    <w:rsid w:val="0069532A"/>
    <w:rsid w:val="00696781"/>
    <w:rsid w:val="006A0227"/>
    <w:rsid w:val="006A1B0F"/>
    <w:rsid w:val="006A2896"/>
    <w:rsid w:val="006A4655"/>
    <w:rsid w:val="006A5C09"/>
    <w:rsid w:val="006A5EFA"/>
    <w:rsid w:val="006B2B3C"/>
    <w:rsid w:val="006B40CA"/>
    <w:rsid w:val="006B66AD"/>
    <w:rsid w:val="006B7868"/>
    <w:rsid w:val="006C1D81"/>
    <w:rsid w:val="006C1DDA"/>
    <w:rsid w:val="006C2387"/>
    <w:rsid w:val="006C2937"/>
    <w:rsid w:val="006C4F4E"/>
    <w:rsid w:val="006C4FA7"/>
    <w:rsid w:val="006C54EA"/>
    <w:rsid w:val="006C7038"/>
    <w:rsid w:val="006C7FF9"/>
    <w:rsid w:val="006D56BF"/>
    <w:rsid w:val="006D7082"/>
    <w:rsid w:val="006D7A8C"/>
    <w:rsid w:val="006E13E2"/>
    <w:rsid w:val="006E1DAB"/>
    <w:rsid w:val="006E235C"/>
    <w:rsid w:val="006E2F80"/>
    <w:rsid w:val="006E73EF"/>
    <w:rsid w:val="006E79D0"/>
    <w:rsid w:val="006F2183"/>
    <w:rsid w:val="006F2D42"/>
    <w:rsid w:val="006F308B"/>
    <w:rsid w:val="006F59E5"/>
    <w:rsid w:val="006F6721"/>
    <w:rsid w:val="006F76FD"/>
    <w:rsid w:val="0070078C"/>
    <w:rsid w:val="007008AE"/>
    <w:rsid w:val="00700B3E"/>
    <w:rsid w:val="00701220"/>
    <w:rsid w:val="00706B2D"/>
    <w:rsid w:val="00706DCA"/>
    <w:rsid w:val="007079C9"/>
    <w:rsid w:val="00710740"/>
    <w:rsid w:val="00710959"/>
    <w:rsid w:val="007112A5"/>
    <w:rsid w:val="00711C06"/>
    <w:rsid w:val="007126B7"/>
    <w:rsid w:val="00714D4D"/>
    <w:rsid w:val="0071529D"/>
    <w:rsid w:val="00717908"/>
    <w:rsid w:val="00717C5E"/>
    <w:rsid w:val="00721560"/>
    <w:rsid w:val="00721E30"/>
    <w:rsid w:val="00722204"/>
    <w:rsid w:val="00724771"/>
    <w:rsid w:val="00725668"/>
    <w:rsid w:val="007256AD"/>
    <w:rsid w:val="007266D3"/>
    <w:rsid w:val="00726FAA"/>
    <w:rsid w:val="007301D3"/>
    <w:rsid w:val="00730946"/>
    <w:rsid w:val="00730C62"/>
    <w:rsid w:val="0073187C"/>
    <w:rsid w:val="00732029"/>
    <w:rsid w:val="007327DB"/>
    <w:rsid w:val="007330F1"/>
    <w:rsid w:val="007342EC"/>
    <w:rsid w:val="0073465D"/>
    <w:rsid w:val="007346AA"/>
    <w:rsid w:val="007349FF"/>
    <w:rsid w:val="0073603B"/>
    <w:rsid w:val="00736BED"/>
    <w:rsid w:val="00736E85"/>
    <w:rsid w:val="0073725E"/>
    <w:rsid w:val="00740864"/>
    <w:rsid w:val="007412F7"/>
    <w:rsid w:val="00741C86"/>
    <w:rsid w:val="007438FE"/>
    <w:rsid w:val="00743AB1"/>
    <w:rsid w:val="00744B39"/>
    <w:rsid w:val="007458CB"/>
    <w:rsid w:val="0074590D"/>
    <w:rsid w:val="00750211"/>
    <w:rsid w:val="00750746"/>
    <w:rsid w:val="00750FAA"/>
    <w:rsid w:val="00752085"/>
    <w:rsid w:val="007548CB"/>
    <w:rsid w:val="00755553"/>
    <w:rsid w:val="007560C2"/>
    <w:rsid w:val="00757BA9"/>
    <w:rsid w:val="007604BB"/>
    <w:rsid w:val="00762CF2"/>
    <w:rsid w:val="007642E4"/>
    <w:rsid w:val="00765394"/>
    <w:rsid w:val="00765D76"/>
    <w:rsid w:val="00771707"/>
    <w:rsid w:val="00773596"/>
    <w:rsid w:val="00774669"/>
    <w:rsid w:val="00774E59"/>
    <w:rsid w:val="007754AD"/>
    <w:rsid w:val="00777193"/>
    <w:rsid w:val="007823DC"/>
    <w:rsid w:val="0078277E"/>
    <w:rsid w:val="00785232"/>
    <w:rsid w:val="0078655F"/>
    <w:rsid w:val="007876F1"/>
    <w:rsid w:val="007907F2"/>
    <w:rsid w:val="007912DF"/>
    <w:rsid w:val="00793D1B"/>
    <w:rsid w:val="00795DD9"/>
    <w:rsid w:val="00796484"/>
    <w:rsid w:val="0079701E"/>
    <w:rsid w:val="00797FDD"/>
    <w:rsid w:val="007A18C5"/>
    <w:rsid w:val="007A21EB"/>
    <w:rsid w:val="007B198F"/>
    <w:rsid w:val="007B1A93"/>
    <w:rsid w:val="007B23ED"/>
    <w:rsid w:val="007B324E"/>
    <w:rsid w:val="007B392F"/>
    <w:rsid w:val="007B4E46"/>
    <w:rsid w:val="007B70BA"/>
    <w:rsid w:val="007C02E3"/>
    <w:rsid w:val="007C0796"/>
    <w:rsid w:val="007C233D"/>
    <w:rsid w:val="007C267C"/>
    <w:rsid w:val="007C352E"/>
    <w:rsid w:val="007C36C9"/>
    <w:rsid w:val="007C47AB"/>
    <w:rsid w:val="007C4BBE"/>
    <w:rsid w:val="007C5E6C"/>
    <w:rsid w:val="007C5E74"/>
    <w:rsid w:val="007D26DA"/>
    <w:rsid w:val="007D44A1"/>
    <w:rsid w:val="007D5447"/>
    <w:rsid w:val="007D5A3A"/>
    <w:rsid w:val="007D5AA0"/>
    <w:rsid w:val="007D6401"/>
    <w:rsid w:val="007D7BE1"/>
    <w:rsid w:val="007D7BE7"/>
    <w:rsid w:val="007D7DFB"/>
    <w:rsid w:val="007E01E4"/>
    <w:rsid w:val="007E0D65"/>
    <w:rsid w:val="007E1A6A"/>
    <w:rsid w:val="007E4106"/>
    <w:rsid w:val="007E47E8"/>
    <w:rsid w:val="007E51B3"/>
    <w:rsid w:val="007E66FB"/>
    <w:rsid w:val="007E6B8A"/>
    <w:rsid w:val="007E7A12"/>
    <w:rsid w:val="007F0AC9"/>
    <w:rsid w:val="007F263C"/>
    <w:rsid w:val="007F3FA3"/>
    <w:rsid w:val="007F4A95"/>
    <w:rsid w:val="007F5393"/>
    <w:rsid w:val="007F567D"/>
    <w:rsid w:val="007F57A5"/>
    <w:rsid w:val="007F5E07"/>
    <w:rsid w:val="007F60EA"/>
    <w:rsid w:val="007F659C"/>
    <w:rsid w:val="007F6684"/>
    <w:rsid w:val="007F7107"/>
    <w:rsid w:val="007F71BE"/>
    <w:rsid w:val="00800D4C"/>
    <w:rsid w:val="00807791"/>
    <w:rsid w:val="0081030F"/>
    <w:rsid w:val="00812F4A"/>
    <w:rsid w:val="00813018"/>
    <w:rsid w:val="00815F5D"/>
    <w:rsid w:val="0082007F"/>
    <w:rsid w:val="0082087D"/>
    <w:rsid w:val="008219A2"/>
    <w:rsid w:val="00823571"/>
    <w:rsid w:val="0082424B"/>
    <w:rsid w:val="00826D76"/>
    <w:rsid w:val="00827F56"/>
    <w:rsid w:val="00830F29"/>
    <w:rsid w:val="00832D8F"/>
    <w:rsid w:val="008334A3"/>
    <w:rsid w:val="00833588"/>
    <w:rsid w:val="00834582"/>
    <w:rsid w:val="00834C27"/>
    <w:rsid w:val="00835771"/>
    <w:rsid w:val="00836E96"/>
    <w:rsid w:val="0083713E"/>
    <w:rsid w:val="00841C96"/>
    <w:rsid w:val="00842805"/>
    <w:rsid w:val="00842933"/>
    <w:rsid w:val="00842C6C"/>
    <w:rsid w:val="008438F8"/>
    <w:rsid w:val="0084411A"/>
    <w:rsid w:val="00844C3D"/>
    <w:rsid w:val="00846047"/>
    <w:rsid w:val="00851F47"/>
    <w:rsid w:val="00852BD6"/>
    <w:rsid w:val="0085473F"/>
    <w:rsid w:val="008579B0"/>
    <w:rsid w:val="0086082C"/>
    <w:rsid w:val="00860AA9"/>
    <w:rsid w:val="008636F2"/>
    <w:rsid w:val="00864188"/>
    <w:rsid w:val="00864ADC"/>
    <w:rsid w:val="00864E37"/>
    <w:rsid w:val="00864E5F"/>
    <w:rsid w:val="008656CE"/>
    <w:rsid w:val="0086795D"/>
    <w:rsid w:val="008719FB"/>
    <w:rsid w:val="00872EDC"/>
    <w:rsid w:val="0087484B"/>
    <w:rsid w:val="0087525C"/>
    <w:rsid w:val="00875927"/>
    <w:rsid w:val="00877116"/>
    <w:rsid w:val="00880153"/>
    <w:rsid w:val="0088063B"/>
    <w:rsid w:val="00880F97"/>
    <w:rsid w:val="0088133A"/>
    <w:rsid w:val="00881676"/>
    <w:rsid w:val="008822CC"/>
    <w:rsid w:val="0088240F"/>
    <w:rsid w:val="00884A96"/>
    <w:rsid w:val="0088511E"/>
    <w:rsid w:val="008852C4"/>
    <w:rsid w:val="0088707B"/>
    <w:rsid w:val="00890ABA"/>
    <w:rsid w:val="008925B6"/>
    <w:rsid w:val="0089285E"/>
    <w:rsid w:val="00893010"/>
    <w:rsid w:val="0089436C"/>
    <w:rsid w:val="00895601"/>
    <w:rsid w:val="00896583"/>
    <w:rsid w:val="008A102F"/>
    <w:rsid w:val="008A107A"/>
    <w:rsid w:val="008A1F1E"/>
    <w:rsid w:val="008A2625"/>
    <w:rsid w:val="008A34DF"/>
    <w:rsid w:val="008A453C"/>
    <w:rsid w:val="008A4F36"/>
    <w:rsid w:val="008A51F3"/>
    <w:rsid w:val="008A6A10"/>
    <w:rsid w:val="008A7AEB"/>
    <w:rsid w:val="008B0759"/>
    <w:rsid w:val="008B0F76"/>
    <w:rsid w:val="008B157A"/>
    <w:rsid w:val="008B24A1"/>
    <w:rsid w:val="008B42C0"/>
    <w:rsid w:val="008B56F8"/>
    <w:rsid w:val="008B5B35"/>
    <w:rsid w:val="008C0C41"/>
    <w:rsid w:val="008C282C"/>
    <w:rsid w:val="008C3942"/>
    <w:rsid w:val="008C5CE9"/>
    <w:rsid w:val="008C6489"/>
    <w:rsid w:val="008C7A05"/>
    <w:rsid w:val="008D1400"/>
    <w:rsid w:val="008D26EE"/>
    <w:rsid w:val="008D365C"/>
    <w:rsid w:val="008D4212"/>
    <w:rsid w:val="008D4291"/>
    <w:rsid w:val="008D480C"/>
    <w:rsid w:val="008D626C"/>
    <w:rsid w:val="008D6550"/>
    <w:rsid w:val="008D7F0E"/>
    <w:rsid w:val="008E0A6A"/>
    <w:rsid w:val="008E10CA"/>
    <w:rsid w:val="008E2950"/>
    <w:rsid w:val="008E40B4"/>
    <w:rsid w:val="008E4264"/>
    <w:rsid w:val="008E4FE0"/>
    <w:rsid w:val="008E5C7B"/>
    <w:rsid w:val="008E7834"/>
    <w:rsid w:val="008F13B0"/>
    <w:rsid w:val="008F186A"/>
    <w:rsid w:val="008F194E"/>
    <w:rsid w:val="008F31EF"/>
    <w:rsid w:val="008F412B"/>
    <w:rsid w:val="008F46CF"/>
    <w:rsid w:val="008F6739"/>
    <w:rsid w:val="008F7118"/>
    <w:rsid w:val="0090091B"/>
    <w:rsid w:val="009030BF"/>
    <w:rsid w:val="00903452"/>
    <w:rsid w:val="00903B52"/>
    <w:rsid w:val="00905A4F"/>
    <w:rsid w:val="00905DD6"/>
    <w:rsid w:val="00905E80"/>
    <w:rsid w:val="009064A3"/>
    <w:rsid w:val="00906603"/>
    <w:rsid w:val="00906A1A"/>
    <w:rsid w:val="00910238"/>
    <w:rsid w:val="0091032F"/>
    <w:rsid w:val="00910E74"/>
    <w:rsid w:val="009140DF"/>
    <w:rsid w:val="00914368"/>
    <w:rsid w:val="00914642"/>
    <w:rsid w:val="00915124"/>
    <w:rsid w:val="009155AD"/>
    <w:rsid w:val="00917699"/>
    <w:rsid w:val="0091784A"/>
    <w:rsid w:val="009207A0"/>
    <w:rsid w:val="00923E62"/>
    <w:rsid w:val="00924D2E"/>
    <w:rsid w:val="00925044"/>
    <w:rsid w:val="0092539A"/>
    <w:rsid w:val="00926312"/>
    <w:rsid w:val="00926AF7"/>
    <w:rsid w:val="00927CD2"/>
    <w:rsid w:val="00927F0F"/>
    <w:rsid w:val="00931076"/>
    <w:rsid w:val="00932D05"/>
    <w:rsid w:val="0093379B"/>
    <w:rsid w:val="009345D9"/>
    <w:rsid w:val="00934754"/>
    <w:rsid w:val="009348E8"/>
    <w:rsid w:val="00934B15"/>
    <w:rsid w:val="0093515E"/>
    <w:rsid w:val="00935BB2"/>
    <w:rsid w:val="009362BB"/>
    <w:rsid w:val="00940C87"/>
    <w:rsid w:val="009414C7"/>
    <w:rsid w:val="00942644"/>
    <w:rsid w:val="00942B62"/>
    <w:rsid w:val="00942BC4"/>
    <w:rsid w:val="00945511"/>
    <w:rsid w:val="0095288B"/>
    <w:rsid w:val="0095323B"/>
    <w:rsid w:val="00955D0C"/>
    <w:rsid w:val="00956A0C"/>
    <w:rsid w:val="00956BD9"/>
    <w:rsid w:val="0095787F"/>
    <w:rsid w:val="009578DD"/>
    <w:rsid w:val="00957F21"/>
    <w:rsid w:val="00962077"/>
    <w:rsid w:val="00962489"/>
    <w:rsid w:val="00966BDD"/>
    <w:rsid w:val="00966BF4"/>
    <w:rsid w:val="00967CD3"/>
    <w:rsid w:val="0097062A"/>
    <w:rsid w:val="00971534"/>
    <w:rsid w:val="00972FC9"/>
    <w:rsid w:val="00973CA0"/>
    <w:rsid w:val="009816A2"/>
    <w:rsid w:val="00982A34"/>
    <w:rsid w:val="009832B3"/>
    <w:rsid w:val="00984A4B"/>
    <w:rsid w:val="00990C2C"/>
    <w:rsid w:val="009916FE"/>
    <w:rsid w:val="00994D11"/>
    <w:rsid w:val="00997A2D"/>
    <w:rsid w:val="009A119C"/>
    <w:rsid w:val="009A2BF9"/>
    <w:rsid w:val="009A3401"/>
    <w:rsid w:val="009A3FBE"/>
    <w:rsid w:val="009A412D"/>
    <w:rsid w:val="009A4842"/>
    <w:rsid w:val="009B0199"/>
    <w:rsid w:val="009B3301"/>
    <w:rsid w:val="009B425C"/>
    <w:rsid w:val="009B4CB7"/>
    <w:rsid w:val="009B549E"/>
    <w:rsid w:val="009B5ACB"/>
    <w:rsid w:val="009B6A2D"/>
    <w:rsid w:val="009B6C1B"/>
    <w:rsid w:val="009B6E3B"/>
    <w:rsid w:val="009B7225"/>
    <w:rsid w:val="009B7553"/>
    <w:rsid w:val="009C170E"/>
    <w:rsid w:val="009C3047"/>
    <w:rsid w:val="009C39B3"/>
    <w:rsid w:val="009C3B15"/>
    <w:rsid w:val="009C3F8C"/>
    <w:rsid w:val="009C508C"/>
    <w:rsid w:val="009C57AD"/>
    <w:rsid w:val="009C7461"/>
    <w:rsid w:val="009D12B8"/>
    <w:rsid w:val="009D36BF"/>
    <w:rsid w:val="009D3F25"/>
    <w:rsid w:val="009D570C"/>
    <w:rsid w:val="009D5828"/>
    <w:rsid w:val="009D62FA"/>
    <w:rsid w:val="009D6CE7"/>
    <w:rsid w:val="009D7270"/>
    <w:rsid w:val="009E09C2"/>
    <w:rsid w:val="009E0ED9"/>
    <w:rsid w:val="009E1844"/>
    <w:rsid w:val="009E1C98"/>
    <w:rsid w:val="009E271A"/>
    <w:rsid w:val="009E2722"/>
    <w:rsid w:val="009E357A"/>
    <w:rsid w:val="009E3A31"/>
    <w:rsid w:val="009E3FB3"/>
    <w:rsid w:val="009E566D"/>
    <w:rsid w:val="009F0D1B"/>
    <w:rsid w:val="009F1A62"/>
    <w:rsid w:val="009F366F"/>
    <w:rsid w:val="009F3E26"/>
    <w:rsid w:val="009F5BBD"/>
    <w:rsid w:val="009F696D"/>
    <w:rsid w:val="009F6BC6"/>
    <w:rsid w:val="009F6FCD"/>
    <w:rsid w:val="009F74EF"/>
    <w:rsid w:val="009F7EC1"/>
    <w:rsid w:val="00A047E8"/>
    <w:rsid w:val="00A0594B"/>
    <w:rsid w:val="00A10737"/>
    <w:rsid w:val="00A11AEF"/>
    <w:rsid w:val="00A11FAF"/>
    <w:rsid w:val="00A13F10"/>
    <w:rsid w:val="00A13FAA"/>
    <w:rsid w:val="00A14011"/>
    <w:rsid w:val="00A1472D"/>
    <w:rsid w:val="00A156BB"/>
    <w:rsid w:val="00A15D3E"/>
    <w:rsid w:val="00A15D5A"/>
    <w:rsid w:val="00A17328"/>
    <w:rsid w:val="00A17DFD"/>
    <w:rsid w:val="00A20D0C"/>
    <w:rsid w:val="00A223AB"/>
    <w:rsid w:val="00A23463"/>
    <w:rsid w:val="00A23A20"/>
    <w:rsid w:val="00A23E8C"/>
    <w:rsid w:val="00A24443"/>
    <w:rsid w:val="00A253DB"/>
    <w:rsid w:val="00A257D0"/>
    <w:rsid w:val="00A257F7"/>
    <w:rsid w:val="00A2630F"/>
    <w:rsid w:val="00A263C4"/>
    <w:rsid w:val="00A26580"/>
    <w:rsid w:val="00A268B9"/>
    <w:rsid w:val="00A2703A"/>
    <w:rsid w:val="00A2719C"/>
    <w:rsid w:val="00A271A8"/>
    <w:rsid w:val="00A30AB3"/>
    <w:rsid w:val="00A30D4D"/>
    <w:rsid w:val="00A33D39"/>
    <w:rsid w:val="00A33DFF"/>
    <w:rsid w:val="00A3420C"/>
    <w:rsid w:val="00A35115"/>
    <w:rsid w:val="00A35582"/>
    <w:rsid w:val="00A35796"/>
    <w:rsid w:val="00A35D79"/>
    <w:rsid w:val="00A36D9A"/>
    <w:rsid w:val="00A37BAA"/>
    <w:rsid w:val="00A4245B"/>
    <w:rsid w:val="00A45AC1"/>
    <w:rsid w:val="00A5076E"/>
    <w:rsid w:val="00A51B7A"/>
    <w:rsid w:val="00A554AB"/>
    <w:rsid w:val="00A57062"/>
    <w:rsid w:val="00A61611"/>
    <w:rsid w:val="00A61C90"/>
    <w:rsid w:val="00A62FA8"/>
    <w:rsid w:val="00A64F30"/>
    <w:rsid w:val="00A6678C"/>
    <w:rsid w:val="00A66ADE"/>
    <w:rsid w:val="00A67439"/>
    <w:rsid w:val="00A676F8"/>
    <w:rsid w:val="00A67781"/>
    <w:rsid w:val="00A67F5D"/>
    <w:rsid w:val="00A72BF7"/>
    <w:rsid w:val="00A74F9F"/>
    <w:rsid w:val="00A761F9"/>
    <w:rsid w:val="00A7646D"/>
    <w:rsid w:val="00A76560"/>
    <w:rsid w:val="00A76B36"/>
    <w:rsid w:val="00A7706D"/>
    <w:rsid w:val="00A77B85"/>
    <w:rsid w:val="00A80A11"/>
    <w:rsid w:val="00A81145"/>
    <w:rsid w:val="00A81247"/>
    <w:rsid w:val="00A8139C"/>
    <w:rsid w:val="00A82839"/>
    <w:rsid w:val="00A853F9"/>
    <w:rsid w:val="00A879A6"/>
    <w:rsid w:val="00A904DB"/>
    <w:rsid w:val="00A91501"/>
    <w:rsid w:val="00A92462"/>
    <w:rsid w:val="00A92B53"/>
    <w:rsid w:val="00A94FA6"/>
    <w:rsid w:val="00A95A34"/>
    <w:rsid w:val="00A95B06"/>
    <w:rsid w:val="00A97A5F"/>
    <w:rsid w:val="00A97FB9"/>
    <w:rsid w:val="00AA4178"/>
    <w:rsid w:val="00AA49A0"/>
    <w:rsid w:val="00AA5AB9"/>
    <w:rsid w:val="00AA6710"/>
    <w:rsid w:val="00AA6994"/>
    <w:rsid w:val="00AA73F4"/>
    <w:rsid w:val="00AB0570"/>
    <w:rsid w:val="00AB0681"/>
    <w:rsid w:val="00AB0C95"/>
    <w:rsid w:val="00AB1F0F"/>
    <w:rsid w:val="00AB26F4"/>
    <w:rsid w:val="00AB6EA7"/>
    <w:rsid w:val="00AB7A62"/>
    <w:rsid w:val="00AC1A46"/>
    <w:rsid w:val="00AC234A"/>
    <w:rsid w:val="00AC3047"/>
    <w:rsid w:val="00AC3DF7"/>
    <w:rsid w:val="00AC47C7"/>
    <w:rsid w:val="00AD27FF"/>
    <w:rsid w:val="00AD3130"/>
    <w:rsid w:val="00AD31F2"/>
    <w:rsid w:val="00AD36FF"/>
    <w:rsid w:val="00AD3FB1"/>
    <w:rsid w:val="00AD4DA1"/>
    <w:rsid w:val="00AD4F04"/>
    <w:rsid w:val="00AD520B"/>
    <w:rsid w:val="00AD6EA8"/>
    <w:rsid w:val="00AD79A1"/>
    <w:rsid w:val="00AE36B9"/>
    <w:rsid w:val="00AE38A9"/>
    <w:rsid w:val="00AE38DA"/>
    <w:rsid w:val="00AE3BCC"/>
    <w:rsid w:val="00AE4431"/>
    <w:rsid w:val="00AE4490"/>
    <w:rsid w:val="00AE4903"/>
    <w:rsid w:val="00AE7676"/>
    <w:rsid w:val="00AF1023"/>
    <w:rsid w:val="00AF11FE"/>
    <w:rsid w:val="00AF3AE0"/>
    <w:rsid w:val="00AF4D78"/>
    <w:rsid w:val="00AF574C"/>
    <w:rsid w:val="00AF7354"/>
    <w:rsid w:val="00B0031F"/>
    <w:rsid w:val="00B02A13"/>
    <w:rsid w:val="00B04C44"/>
    <w:rsid w:val="00B04F28"/>
    <w:rsid w:val="00B109F6"/>
    <w:rsid w:val="00B10A4D"/>
    <w:rsid w:val="00B124DA"/>
    <w:rsid w:val="00B12518"/>
    <w:rsid w:val="00B126A6"/>
    <w:rsid w:val="00B127A9"/>
    <w:rsid w:val="00B13C3D"/>
    <w:rsid w:val="00B15D1F"/>
    <w:rsid w:val="00B17D3D"/>
    <w:rsid w:val="00B20A40"/>
    <w:rsid w:val="00B21487"/>
    <w:rsid w:val="00B2296F"/>
    <w:rsid w:val="00B2341A"/>
    <w:rsid w:val="00B24B1A"/>
    <w:rsid w:val="00B24B27"/>
    <w:rsid w:val="00B26448"/>
    <w:rsid w:val="00B2705A"/>
    <w:rsid w:val="00B31F10"/>
    <w:rsid w:val="00B34743"/>
    <w:rsid w:val="00B34983"/>
    <w:rsid w:val="00B34F60"/>
    <w:rsid w:val="00B425C3"/>
    <w:rsid w:val="00B440AD"/>
    <w:rsid w:val="00B447D0"/>
    <w:rsid w:val="00B46131"/>
    <w:rsid w:val="00B470DF"/>
    <w:rsid w:val="00B479BB"/>
    <w:rsid w:val="00B504B5"/>
    <w:rsid w:val="00B508BC"/>
    <w:rsid w:val="00B53E7E"/>
    <w:rsid w:val="00B54463"/>
    <w:rsid w:val="00B54B8A"/>
    <w:rsid w:val="00B56323"/>
    <w:rsid w:val="00B56AAF"/>
    <w:rsid w:val="00B57C51"/>
    <w:rsid w:val="00B60474"/>
    <w:rsid w:val="00B6103B"/>
    <w:rsid w:val="00B61B61"/>
    <w:rsid w:val="00B6342E"/>
    <w:rsid w:val="00B63782"/>
    <w:rsid w:val="00B651E1"/>
    <w:rsid w:val="00B652A9"/>
    <w:rsid w:val="00B665F2"/>
    <w:rsid w:val="00B67FE4"/>
    <w:rsid w:val="00B70255"/>
    <w:rsid w:val="00B706A3"/>
    <w:rsid w:val="00B70FFD"/>
    <w:rsid w:val="00B7113F"/>
    <w:rsid w:val="00B74046"/>
    <w:rsid w:val="00B7517F"/>
    <w:rsid w:val="00B756A0"/>
    <w:rsid w:val="00B75AB3"/>
    <w:rsid w:val="00B7656D"/>
    <w:rsid w:val="00B77011"/>
    <w:rsid w:val="00B77018"/>
    <w:rsid w:val="00B771D7"/>
    <w:rsid w:val="00B77FE8"/>
    <w:rsid w:val="00B80D5E"/>
    <w:rsid w:val="00B8440A"/>
    <w:rsid w:val="00B87720"/>
    <w:rsid w:val="00B87DB6"/>
    <w:rsid w:val="00B904DE"/>
    <w:rsid w:val="00B90881"/>
    <w:rsid w:val="00B91F79"/>
    <w:rsid w:val="00B921CE"/>
    <w:rsid w:val="00B9295A"/>
    <w:rsid w:val="00B9300D"/>
    <w:rsid w:val="00B93A7B"/>
    <w:rsid w:val="00B941C8"/>
    <w:rsid w:val="00B96848"/>
    <w:rsid w:val="00BA0E10"/>
    <w:rsid w:val="00BA163B"/>
    <w:rsid w:val="00BA2BCF"/>
    <w:rsid w:val="00BA3DE6"/>
    <w:rsid w:val="00BA3EAC"/>
    <w:rsid w:val="00BA5056"/>
    <w:rsid w:val="00BA595C"/>
    <w:rsid w:val="00BA5960"/>
    <w:rsid w:val="00BA5B14"/>
    <w:rsid w:val="00BA68A2"/>
    <w:rsid w:val="00BA7353"/>
    <w:rsid w:val="00BA73B6"/>
    <w:rsid w:val="00BA7E27"/>
    <w:rsid w:val="00BB0DD4"/>
    <w:rsid w:val="00BB16AC"/>
    <w:rsid w:val="00BB2603"/>
    <w:rsid w:val="00BB2772"/>
    <w:rsid w:val="00BB4FCD"/>
    <w:rsid w:val="00BB63C8"/>
    <w:rsid w:val="00BB6A15"/>
    <w:rsid w:val="00BC04E5"/>
    <w:rsid w:val="00BC04E9"/>
    <w:rsid w:val="00BC1EDB"/>
    <w:rsid w:val="00BC2374"/>
    <w:rsid w:val="00BC23DF"/>
    <w:rsid w:val="00BC37A2"/>
    <w:rsid w:val="00BC38BB"/>
    <w:rsid w:val="00BC6572"/>
    <w:rsid w:val="00BC6721"/>
    <w:rsid w:val="00BC6796"/>
    <w:rsid w:val="00BC6D80"/>
    <w:rsid w:val="00BC7750"/>
    <w:rsid w:val="00BD0251"/>
    <w:rsid w:val="00BD0B9F"/>
    <w:rsid w:val="00BD13EA"/>
    <w:rsid w:val="00BD1D4C"/>
    <w:rsid w:val="00BD351D"/>
    <w:rsid w:val="00BD4960"/>
    <w:rsid w:val="00BD4E1C"/>
    <w:rsid w:val="00BD6194"/>
    <w:rsid w:val="00BD7B87"/>
    <w:rsid w:val="00BE30AE"/>
    <w:rsid w:val="00BE3808"/>
    <w:rsid w:val="00BE46F1"/>
    <w:rsid w:val="00BE5171"/>
    <w:rsid w:val="00BE53F7"/>
    <w:rsid w:val="00BE5D67"/>
    <w:rsid w:val="00BE70D4"/>
    <w:rsid w:val="00BF0C0E"/>
    <w:rsid w:val="00BF23CF"/>
    <w:rsid w:val="00BF276F"/>
    <w:rsid w:val="00BF2B78"/>
    <w:rsid w:val="00BF2C3A"/>
    <w:rsid w:val="00BF2EC9"/>
    <w:rsid w:val="00BF4225"/>
    <w:rsid w:val="00BF50EE"/>
    <w:rsid w:val="00BF5A5C"/>
    <w:rsid w:val="00BF6711"/>
    <w:rsid w:val="00BF68D3"/>
    <w:rsid w:val="00BF68ED"/>
    <w:rsid w:val="00BF7C6C"/>
    <w:rsid w:val="00C01028"/>
    <w:rsid w:val="00C02009"/>
    <w:rsid w:val="00C0272B"/>
    <w:rsid w:val="00C03170"/>
    <w:rsid w:val="00C0389F"/>
    <w:rsid w:val="00C03D34"/>
    <w:rsid w:val="00C04EE8"/>
    <w:rsid w:val="00C05BF6"/>
    <w:rsid w:val="00C062E9"/>
    <w:rsid w:val="00C063FC"/>
    <w:rsid w:val="00C06ABD"/>
    <w:rsid w:val="00C07B64"/>
    <w:rsid w:val="00C07F53"/>
    <w:rsid w:val="00C07FA7"/>
    <w:rsid w:val="00C11009"/>
    <w:rsid w:val="00C13560"/>
    <w:rsid w:val="00C13721"/>
    <w:rsid w:val="00C142B8"/>
    <w:rsid w:val="00C14FE4"/>
    <w:rsid w:val="00C16DD7"/>
    <w:rsid w:val="00C17436"/>
    <w:rsid w:val="00C214F5"/>
    <w:rsid w:val="00C217D4"/>
    <w:rsid w:val="00C21F44"/>
    <w:rsid w:val="00C2359D"/>
    <w:rsid w:val="00C25101"/>
    <w:rsid w:val="00C25E6B"/>
    <w:rsid w:val="00C3066D"/>
    <w:rsid w:val="00C31917"/>
    <w:rsid w:val="00C31CF4"/>
    <w:rsid w:val="00C3301C"/>
    <w:rsid w:val="00C335AA"/>
    <w:rsid w:val="00C36524"/>
    <w:rsid w:val="00C40822"/>
    <w:rsid w:val="00C40FEF"/>
    <w:rsid w:val="00C41C4A"/>
    <w:rsid w:val="00C41CD5"/>
    <w:rsid w:val="00C42216"/>
    <w:rsid w:val="00C43164"/>
    <w:rsid w:val="00C43C71"/>
    <w:rsid w:val="00C43E50"/>
    <w:rsid w:val="00C44913"/>
    <w:rsid w:val="00C45E3F"/>
    <w:rsid w:val="00C4687A"/>
    <w:rsid w:val="00C52416"/>
    <w:rsid w:val="00C54057"/>
    <w:rsid w:val="00C54367"/>
    <w:rsid w:val="00C543F4"/>
    <w:rsid w:val="00C554C5"/>
    <w:rsid w:val="00C55529"/>
    <w:rsid w:val="00C57196"/>
    <w:rsid w:val="00C610BB"/>
    <w:rsid w:val="00C61BD2"/>
    <w:rsid w:val="00C6291C"/>
    <w:rsid w:val="00C633CB"/>
    <w:rsid w:val="00C64190"/>
    <w:rsid w:val="00C664CD"/>
    <w:rsid w:val="00C67E77"/>
    <w:rsid w:val="00C71718"/>
    <w:rsid w:val="00C72467"/>
    <w:rsid w:val="00C7293E"/>
    <w:rsid w:val="00C736B7"/>
    <w:rsid w:val="00C737BC"/>
    <w:rsid w:val="00C73E3D"/>
    <w:rsid w:val="00C759D1"/>
    <w:rsid w:val="00C76000"/>
    <w:rsid w:val="00C81D4A"/>
    <w:rsid w:val="00C82EB9"/>
    <w:rsid w:val="00C834E1"/>
    <w:rsid w:val="00C8762C"/>
    <w:rsid w:val="00C92D1F"/>
    <w:rsid w:val="00C95FAD"/>
    <w:rsid w:val="00CA00F9"/>
    <w:rsid w:val="00CA2961"/>
    <w:rsid w:val="00CA3AEF"/>
    <w:rsid w:val="00CA3DD0"/>
    <w:rsid w:val="00CA5AA7"/>
    <w:rsid w:val="00CA6412"/>
    <w:rsid w:val="00CA652A"/>
    <w:rsid w:val="00CA6716"/>
    <w:rsid w:val="00CA6782"/>
    <w:rsid w:val="00CA7134"/>
    <w:rsid w:val="00CB0A09"/>
    <w:rsid w:val="00CB29C8"/>
    <w:rsid w:val="00CB4951"/>
    <w:rsid w:val="00CB50D7"/>
    <w:rsid w:val="00CB5755"/>
    <w:rsid w:val="00CB5C59"/>
    <w:rsid w:val="00CB7177"/>
    <w:rsid w:val="00CB79FC"/>
    <w:rsid w:val="00CB7CED"/>
    <w:rsid w:val="00CC070F"/>
    <w:rsid w:val="00CC1998"/>
    <w:rsid w:val="00CC2A78"/>
    <w:rsid w:val="00CC3492"/>
    <w:rsid w:val="00CC4946"/>
    <w:rsid w:val="00CC5E14"/>
    <w:rsid w:val="00CC64A1"/>
    <w:rsid w:val="00CD14CC"/>
    <w:rsid w:val="00CD1816"/>
    <w:rsid w:val="00CD71D9"/>
    <w:rsid w:val="00CD79B7"/>
    <w:rsid w:val="00CE1782"/>
    <w:rsid w:val="00CE5914"/>
    <w:rsid w:val="00CE5E80"/>
    <w:rsid w:val="00CE644A"/>
    <w:rsid w:val="00CE66E2"/>
    <w:rsid w:val="00CE6883"/>
    <w:rsid w:val="00CE75A5"/>
    <w:rsid w:val="00CF0648"/>
    <w:rsid w:val="00CF3B11"/>
    <w:rsid w:val="00CF4573"/>
    <w:rsid w:val="00CF5D1D"/>
    <w:rsid w:val="00CF6D5B"/>
    <w:rsid w:val="00CF776F"/>
    <w:rsid w:val="00D0062C"/>
    <w:rsid w:val="00D02213"/>
    <w:rsid w:val="00D022B5"/>
    <w:rsid w:val="00D024C2"/>
    <w:rsid w:val="00D03319"/>
    <w:rsid w:val="00D03395"/>
    <w:rsid w:val="00D04BDB"/>
    <w:rsid w:val="00D10BE2"/>
    <w:rsid w:val="00D10E92"/>
    <w:rsid w:val="00D12D0F"/>
    <w:rsid w:val="00D132FA"/>
    <w:rsid w:val="00D13B65"/>
    <w:rsid w:val="00D13DAB"/>
    <w:rsid w:val="00D14ED7"/>
    <w:rsid w:val="00D1533D"/>
    <w:rsid w:val="00D179EA"/>
    <w:rsid w:val="00D20595"/>
    <w:rsid w:val="00D21733"/>
    <w:rsid w:val="00D21A32"/>
    <w:rsid w:val="00D22766"/>
    <w:rsid w:val="00D2314F"/>
    <w:rsid w:val="00D23764"/>
    <w:rsid w:val="00D246C5"/>
    <w:rsid w:val="00D24963"/>
    <w:rsid w:val="00D2610E"/>
    <w:rsid w:val="00D2662A"/>
    <w:rsid w:val="00D270A4"/>
    <w:rsid w:val="00D27337"/>
    <w:rsid w:val="00D31FE9"/>
    <w:rsid w:val="00D321F5"/>
    <w:rsid w:val="00D323B7"/>
    <w:rsid w:val="00D3291C"/>
    <w:rsid w:val="00D33343"/>
    <w:rsid w:val="00D334C0"/>
    <w:rsid w:val="00D334ED"/>
    <w:rsid w:val="00D33E4F"/>
    <w:rsid w:val="00D344D1"/>
    <w:rsid w:val="00D34AFF"/>
    <w:rsid w:val="00D34E1B"/>
    <w:rsid w:val="00D3579F"/>
    <w:rsid w:val="00D35880"/>
    <w:rsid w:val="00D35F25"/>
    <w:rsid w:val="00D36E5E"/>
    <w:rsid w:val="00D376BA"/>
    <w:rsid w:val="00D37840"/>
    <w:rsid w:val="00D4132C"/>
    <w:rsid w:val="00D41C7D"/>
    <w:rsid w:val="00D44546"/>
    <w:rsid w:val="00D449D9"/>
    <w:rsid w:val="00D45634"/>
    <w:rsid w:val="00D50A0F"/>
    <w:rsid w:val="00D52A71"/>
    <w:rsid w:val="00D5496C"/>
    <w:rsid w:val="00D5568A"/>
    <w:rsid w:val="00D57A60"/>
    <w:rsid w:val="00D57B37"/>
    <w:rsid w:val="00D6165B"/>
    <w:rsid w:val="00D63D73"/>
    <w:rsid w:val="00D64452"/>
    <w:rsid w:val="00D644EC"/>
    <w:rsid w:val="00D64BC4"/>
    <w:rsid w:val="00D66A0E"/>
    <w:rsid w:val="00D66E1E"/>
    <w:rsid w:val="00D7005E"/>
    <w:rsid w:val="00D70217"/>
    <w:rsid w:val="00D7042F"/>
    <w:rsid w:val="00D70696"/>
    <w:rsid w:val="00D7157A"/>
    <w:rsid w:val="00D720EC"/>
    <w:rsid w:val="00D75722"/>
    <w:rsid w:val="00D80CF5"/>
    <w:rsid w:val="00D816E9"/>
    <w:rsid w:val="00D81D6F"/>
    <w:rsid w:val="00D85C35"/>
    <w:rsid w:val="00D879E7"/>
    <w:rsid w:val="00D90A53"/>
    <w:rsid w:val="00D92998"/>
    <w:rsid w:val="00D93C00"/>
    <w:rsid w:val="00D93F61"/>
    <w:rsid w:val="00D94BE7"/>
    <w:rsid w:val="00D95C8E"/>
    <w:rsid w:val="00D9661E"/>
    <w:rsid w:val="00D96B3A"/>
    <w:rsid w:val="00D976F5"/>
    <w:rsid w:val="00DA1CD6"/>
    <w:rsid w:val="00DA267D"/>
    <w:rsid w:val="00DA3EB4"/>
    <w:rsid w:val="00DA54D2"/>
    <w:rsid w:val="00DA5BBA"/>
    <w:rsid w:val="00DA6327"/>
    <w:rsid w:val="00DB26D2"/>
    <w:rsid w:val="00DB2AE0"/>
    <w:rsid w:val="00DB33C2"/>
    <w:rsid w:val="00DB3495"/>
    <w:rsid w:val="00DB35FD"/>
    <w:rsid w:val="00DB499F"/>
    <w:rsid w:val="00DB67C9"/>
    <w:rsid w:val="00DC0C95"/>
    <w:rsid w:val="00DC2DA5"/>
    <w:rsid w:val="00DC4FF8"/>
    <w:rsid w:val="00DC54D1"/>
    <w:rsid w:val="00DD23FA"/>
    <w:rsid w:val="00DD2EFF"/>
    <w:rsid w:val="00DD3329"/>
    <w:rsid w:val="00DD3A8F"/>
    <w:rsid w:val="00DD4C24"/>
    <w:rsid w:val="00DD6580"/>
    <w:rsid w:val="00DE0670"/>
    <w:rsid w:val="00DE26C9"/>
    <w:rsid w:val="00DE280B"/>
    <w:rsid w:val="00DE29B1"/>
    <w:rsid w:val="00DE31DC"/>
    <w:rsid w:val="00DE38AA"/>
    <w:rsid w:val="00DE3B2A"/>
    <w:rsid w:val="00DE5EA0"/>
    <w:rsid w:val="00DE7C74"/>
    <w:rsid w:val="00DF0071"/>
    <w:rsid w:val="00DF1273"/>
    <w:rsid w:val="00DF29A0"/>
    <w:rsid w:val="00DF3F74"/>
    <w:rsid w:val="00DF426E"/>
    <w:rsid w:val="00DF5348"/>
    <w:rsid w:val="00DF59DE"/>
    <w:rsid w:val="00E01BC1"/>
    <w:rsid w:val="00E01D7F"/>
    <w:rsid w:val="00E036A1"/>
    <w:rsid w:val="00E04E11"/>
    <w:rsid w:val="00E061D3"/>
    <w:rsid w:val="00E071FA"/>
    <w:rsid w:val="00E13CF0"/>
    <w:rsid w:val="00E16157"/>
    <w:rsid w:val="00E1650F"/>
    <w:rsid w:val="00E17C72"/>
    <w:rsid w:val="00E20B18"/>
    <w:rsid w:val="00E217AC"/>
    <w:rsid w:val="00E21FC6"/>
    <w:rsid w:val="00E23710"/>
    <w:rsid w:val="00E2388D"/>
    <w:rsid w:val="00E278A0"/>
    <w:rsid w:val="00E27C70"/>
    <w:rsid w:val="00E27FD7"/>
    <w:rsid w:val="00E33AF7"/>
    <w:rsid w:val="00E3493D"/>
    <w:rsid w:val="00E367AF"/>
    <w:rsid w:val="00E37F99"/>
    <w:rsid w:val="00E41247"/>
    <w:rsid w:val="00E41A74"/>
    <w:rsid w:val="00E431A9"/>
    <w:rsid w:val="00E4396C"/>
    <w:rsid w:val="00E43C88"/>
    <w:rsid w:val="00E44B44"/>
    <w:rsid w:val="00E47927"/>
    <w:rsid w:val="00E514A9"/>
    <w:rsid w:val="00E53B21"/>
    <w:rsid w:val="00E53C2E"/>
    <w:rsid w:val="00E544CB"/>
    <w:rsid w:val="00E544D8"/>
    <w:rsid w:val="00E54621"/>
    <w:rsid w:val="00E56D2F"/>
    <w:rsid w:val="00E57AF5"/>
    <w:rsid w:val="00E60C61"/>
    <w:rsid w:val="00E628E1"/>
    <w:rsid w:val="00E62B40"/>
    <w:rsid w:val="00E638A6"/>
    <w:rsid w:val="00E6446E"/>
    <w:rsid w:val="00E64827"/>
    <w:rsid w:val="00E64B95"/>
    <w:rsid w:val="00E65A3A"/>
    <w:rsid w:val="00E66218"/>
    <w:rsid w:val="00E66783"/>
    <w:rsid w:val="00E667A6"/>
    <w:rsid w:val="00E669E2"/>
    <w:rsid w:val="00E67C17"/>
    <w:rsid w:val="00E67FD0"/>
    <w:rsid w:val="00E7021C"/>
    <w:rsid w:val="00E73B39"/>
    <w:rsid w:val="00E742C3"/>
    <w:rsid w:val="00E76135"/>
    <w:rsid w:val="00E77717"/>
    <w:rsid w:val="00E825D5"/>
    <w:rsid w:val="00E826DB"/>
    <w:rsid w:val="00E82F4F"/>
    <w:rsid w:val="00E8377B"/>
    <w:rsid w:val="00E86249"/>
    <w:rsid w:val="00E864DF"/>
    <w:rsid w:val="00E87515"/>
    <w:rsid w:val="00E917F4"/>
    <w:rsid w:val="00E92677"/>
    <w:rsid w:val="00E94468"/>
    <w:rsid w:val="00E9453D"/>
    <w:rsid w:val="00E94829"/>
    <w:rsid w:val="00E949EE"/>
    <w:rsid w:val="00E94E9D"/>
    <w:rsid w:val="00E97639"/>
    <w:rsid w:val="00EA038F"/>
    <w:rsid w:val="00EA1375"/>
    <w:rsid w:val="00EA2CC0"/>
    <w:rsid w:val="00EA4C22"/>
    <w:rsid w:val="00EA503D"/>
    <w:rsid w:val="00EA5FC5"/>
    <w:rsid w:val="00EA5FFD"/>
    <w:rsid w:val="00EA7ABB"/>
    <w:rsid w:val="00EB1B64"/>
    <w:rsid w:val="00EB53FE"/>
    <w:rsid w:val="00EB55D5"/>
    <w:rsid w:val="00EB5E1A"/>
    <w:rsid w:val="00EB6E6B"/>
    <w:rsid w:val="00EB7EC0"/>
    <w:rsid w:val="00EC0A05"/>
    <w:rsid w:val="00EC0DFC"/>
    <w:rsid w:val="00EC12D8"/>
    <w:rsid w:val="00EC2844"/>
    <w:rsid w:val="00EC502E"/>
    <w:rsid w:val="00EC5500"/>
    <w:rsid w:val="00EC5BF9"/>
    <w:rsid w:val="00EC747F"/>
    <w:rsid w:val="00EC7544"/>
    <w:rsid w:val="00ED1071"/>
    <w:rsid w:val="00ED185E"/>
    <w:rsid w:val="00ED18F8"/>
    <w:rsid w:val="00ED2982"/>
    <w:rsid w:val="00ED2A7F"/>
    <w:rsid w:val="00ED31C8"/>
    <w:rsid w:val="00ED4095"/>
    <w:rsid w:val="00ED4E8F"/>
    <w:rsid w:val="00EE059A"/>
    <w:rsid w:val="00EE1B29"/>
    <w:rsid w:val="00EE1DE4"/>
    <w:rsid w:val="00EE311D"/>
    <w:rsid w:val="00EE37C2"/>
    <w:rsid w:val="00EE56B7"/>
    <w:rsid w:val="00EE6EDA"/>
    <w:rsid w:val="00EE7877"/>
    <w:rsid w:val="00EE7DFE"/>
    <w:rsid w:val="00EF0822"/>
    <w:rsid w:val="00EF17EC"/>
    <w:rsid w:val="00EF1BCD"/>
    <w:rsid w:val="00EF477A"/>
    <w:rsid w:val="00EF57E6"/>
    <w:rsid w:val="00EF5BDC"/>
    <w:rsid w:val="00EF5D29"/>
    <w:rsid w:val="00EF613F"/>
    <w:rsid w:val="00EF630D"/>
    <w:rsid w:val="00EF6C6C"/>
    <w:rsid w:val="00EF722F"/>
    <w:rsid w:val="00EF74A2"/>
    <w:rsid w:val="00EF7D3E"/>
    <w:rsid w:val="00F01E14"/>
    <w:rsid w:val="00F0356D"/>
    <w:rsid w:val="00F03C83"/>
    <w:rsid w:val="00F056FC"/>
    <w:rsid w:val="00F0572E"/>
    <w:rsid w:val="00F0632F"/>
    <w:rsid w:val="00F069AE"/>
    <w:rsid w:val="00F07DB4"/>
    <w:rsid w:val="00F10476"/>
    <w:rsid w:val="00F1157C"/>
    <w:rsid w:val="00F11F4A"/>
    <w:rsid w:val="00F12738"/>
    <w:rsid w:val="00F13291"/>
    <w:rsid w:val="00F135D8"/>
    <w:rsid w:val="00F16C0D"/>
    <w:rsid w:val="00F1718B"/>
    <w:rsid w:val="00F17652"/>
    <w:rsid w:val="00F207AB"/>
    <w:rsid w:val="00F21453"/>
    <w:rsid w:val="00F21AC0"/>
    <w:rsid w:val="00F228A3"/>
    <w:rsid w:val="00F23474"/>
    <w:rsid w:val="00F23906"/>
    <w:rsid w:val="00F24607"/>
    <w:rsid w:val="00F24FD3"/>
    <w:rsid w:val="00F256FB"/>
    <w:rsid w:val="00F25995"/>
    <w:rsid w:val="00F2739C"/>
    <w:rsid w:val="00F30559"/>
    <w:rsid w:val="00F31299"/>
    <w:rsid w:val="00F3534A"/>
    <w:rsid w:val="00F35873"/>
    <w:rsid w:val="00F35E3D"/>
    <w:rsid w:val="00F3676D"/>
    <w:rsid w:val="00F42EDE"/>
    <w:rsid w:val="00F45363"/>
    <w:rsid w:val="00F51609"/>
    <w:rsid w:val="00F521BB"/>
    <w:rsid w:val="00F53239"/>
    <w:rsid w:val="00F53CD3"/>
    <w:rsid w:val="00F54016"/>
    <w:rsid w:val="00F559C2"/>
    <w:rsid w:val="00F55C25"/>
    <w:rsid w:val="00F56024"/>
    <w:rsid w:val="00F56225"/>
    <w:rsid w:val="00F56B8B"/>
    <w:rsid w:val="00F57C21"/>
    <w:rsid w:val="00F61161"/>
    <w:rsid w:val="00F61D6E"/>
    <w:rsid w:val="00F61E3A"/>
    <w:rsid w:val="00F62448"/>
    <w:rsid w:val="00F62B7E"/>
    <w:rsid w:val="00F636C0"/>
    <w:rsid w:val="00F642CB"/>
    <w:rsid w:val="00F64700"/>
    <w:rsid w:val="00F65300"/>
    <w:rsid w:val="00F65C7B"/>
    <w:rsid w:val="00F700FE"/>
    <w:rsid w:val="00F70336"/>
    <w:rsid w:val="00F7119D"/>
    <w:rsid w:val="00F734D8"/>
    <w:rsid w:val="00F766A7"/>
    <w:rsid w:val="00F77CAF"/>
    <w:rsid w:val="00F81006"/>
    <w:rsid w:val="00F81BC5"/>
    <w:rsid w:val="00F84228"/>
    <w:rsid w:val="00F84A56"/>
    <w:rsid w:val="00F85325"/>
    <w:rsid w:val="00F86B5C"/>
    <w:rsid w:val="00F86C45"/>
    <w:rsid w:val="00F92295"/>
    <w:rsid w:val="00F93E54"/>
    <w:rsid w:val="00F94F3E"/>
    <w:rsid w:val="00F951A2"/>
    <w:rsid w:val="00F95D26"/>
    <w:rsid w:val="00F96CFE"/>
    <w:rsid w:val="00F96D92"/>
    <w:rsid w:val="00FA0061"/>
    <w:rsid w:val="00FA15F5"/>
    <w:rsid w:val="00FA2AC4"/>
    <w:rsid w:val="00FA2DFD"/>
    <w:rsid w:val="00FA549E"/>
    <w:rsid w:val="00FA699C"/>
    <w:rsid w:val="00FA7007"/>
    <w:rsid w:val="00FA7E4D"/>
    <w:rsid w:val="00FB21DD"/>
    <w:rsid w:val="00FB4D5F"/>
    <w:rsid w:val="00FB6E13"/>
    <w:rsid w:val="00FC00EE"/>
    <w:rsid w:val="00FC03CD"/>
    <w:rsid w:val="00FC116C"/>
    <w:rsid w:val="00FC27AF"/>
    <w:rsid w:val="00FC2B96"/>
    <w:rsid w:val="00FC2F82"/>
    <w:rsid w:val="00FC7BDF"/>
    <w:rsid w:val="00FD0F8F"/>
    <w:rsid w:val="00FD22B1"/>
    <w:rsid w:val="00FD33F1"/>
    <w:rsid w:val="00FD3566"/>
    <w:rsid w:val="00FD5EE3"/>
    <w:rsid w:val="00FD5F5B"/>
    <w:rsid w:val="00FD729A"/>
    <w:rsid w:val="00FE0DF3"/>
    <w:rsid w:val="00FE103F"/>
    <w:rsid w:val="00FE2389"/>
    <w:rsid w:val="00FE3898"/>
    <w:rsid w:val="00FE5397"/>
    <w:rsid w:val="00FE56E2"/>
    <w:rsid w:val="00FE6E78"/>
    <w:rsid w:val="00FE7C69"/>
    <w:rsid w:val="00FF001F"/>
    <w:rsid w:val="00FF1CDF"/>
    <w:rsid w:val="00FF2B05"/>
    <w:rsid w:val="00FF30C6"/>
    <w:rsid w:val="00FF3758"/>
    <w:rsid w:val="00FF3ED0"/>
    <w:rsid w:val="00FF4944"/>
    <w:rsid w:val="00FF53C8"/>
    <w:rsid w:val="00FF56ED"/>
    <w:rsid w:val="00FF7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55A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5" w:uiPriority="39"/>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14011"/>
    <w:rPr>
      <w:sz w:val="24"/>
      <w:szCs w:val="24"/>
    </w:rPr>
  </w:style>
  <w:style w:type="paragraph" w:styleId="Heading1">
    <w:name w:val="heading 1"/>
    <w:basedOn w:val="BodyText"/>
    <w:next w:val="BodyText"/>
    <w:link w:val="Heading1Char"/>
    <w:rsid w:val="00A1401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4011"/>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4011"/>
    <w:pPr>
      <w:spacing w:before="560" w:line="320" w:lineRule="exact"/>
      <w:ind w:left="0" w:firstLine="0"/>
      <w:outlineLvl w:val="2"/>
    </w:pPr>
    <w:rPr>
      <w:sz w:val="26"/>
    </w:rPr>
  </w:style>
  <w:style w:type="paragraph" w:styleId="Heading4">
    <w:name w:val="heading 4"/>
    <w:basedOn w:val="Heading3"/>
    <w:next w:val="BodyText"/>
    <w:link w:val="Heading4Char"/>
    <w:qFormat/>
    <w:rsid w:val="00A14011"/>
    <w:pPr>
      <w:spacing w:before="480"/>
      <w:outlineLvl w:val="3"/>
    </w:pPr>
    <w:rPr>
      <w:b w:val="0"/>
      <w:sz w:val="24"/>
    </w:rPr>
  </w:style>
  <w:style w:type="paragraph" w:styleId="Heading5">
    <w:name w:val="heading 5"/>
    <w:basedOn w:val="Heading4"/>
    <w:next w:val="BodyText"/>
    <w:link w:val="Heading5Char"/>
    <w:qFormat/>
    <w:rsid w:val="00A14011"/>
    <w:pPr>
      <w:outlineLvl w:val="4"/>
    </w:pPr>
    <w:rPr>
      <w:i/>
      <w:sz w:val="22"/>
    </w:rPr>
  </w:style>
  <w:style w:type="paragraph" w:styleId="Heading6">
    <w:name w:val="heading 6"/>
    <w:basedOn w:val="BodyText"/>
    <w:next w:val="BodyText"/>
    <w:rsid w:val="00A14011"/>
    <w:pPr>
      <w:spacing w:after="60"/>
      <w:jc w:val="left"/>
      <w:outlineLvl w:val="5"/>
    </w:pPr>
    <w:rPr>
      <w:i/>
      <w:sz w:val="22"/>
    </w:rPr>
  </w:style>
  <w:style w:type="paragraph" w:styleId="Heading7">
    <w:name w:val="heading 7"/>
    <w:basedOn w:val="BodyText"/>
    <w:next w:val="BodyText"/>
    <w:rsid w:val="00A14011"/>
    <w:pPr>
      <w:spacing w:after="60" w:line="240" w:lineRule="auto"/>
      <w:jc w:val="left"/>
      <w:outlineLvl w:val="6"/>
    </w:pPr>
    <w:rPr>
      <w:rFonts w:ascii="Arial" w:hAnsi="Arial"/>
      <w:sz w:val="20"/>
    </w:rPr>
  </w:style>
  <w:style w:type="paragraph" w:styleId="Heading8">
    <w:name w:val="heading 8"/>
    <w:basedOn w:val="BodyText"/>
    <w:next w:val="BodyText"/>
    <w:rsid w:val="00A14011"/>
    <w:pPr>
      <w:spacing w:after="60" w:line="240" w:lineRule="auto"/>
      <w:jc w:val="left"/>
      <w:outlineLvl w:val="7"/>
    </w:pPr>
    <w:rPr>
      <w:rFonts w:ascii="Arial" w:hAnsi="Arial"/>
      <w:i/>
      <w:sz w:val="20"/>
    </w:rPr>
  </w:style>
  <w:style w:type="paragraph" w:styleId="Heading9">
    <w:name w:val="heading 9"/>
    <w:basedOn w:val="BodyText"/>
    <w:next w:val="BodyText"/>
    <w:rsid w:val="00A14011"/>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140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4011"/>
  </w:style>
  <w:style w:type="paragraph" w:styleId="BodyText">
    <w:name w:val="Body Text"/>
    <w:link w:val="BodyTextChar"/>
    <w:qFormat/>
    <w:rsid w:val="00A14011"/>
    <w:pPr>
      <w:spacing w:before="240" w:line="300" w:lineRule="atLeast"/>
      <w:jc w:val="both"/>
    </w:pPr>
    <w:rPr>
      <w:sz w:val="24"/>
    </w:rPr>
  </w:style>
  <w:style w:type="paragraph" w:styleId="Footer">
    <w:name w:val="footer"/>
    <w:basedOn w:val="BodyText"/>
    <w:link w:val="FooterChar"/>
    <w:rsid w:val="00A14011"/>
    <w:pPr>
      <w:spacing w:before="80" w:line="200" w:lineRule="exact"/>
      <w:ind w:right="6"/>
      <w:jc w:val="left"/>
    </w:pPr>
    <w:rPr>
      <w:rFonts w:ascii="Arial" w:hAnsi="Arial"/>
      <w:caps/>
      <w:spacing w:val="-4"/>
      <w:sz w:val="16"/>
    </w:rPr>
  </w:style>
  <w:style w:type="paragraph" w:customStyle="1" w:styleId="FooterEnd">
    <w:name w:val="Footer End"/>
    <w:basedOn w:val="Footer"/>
    <w:rsid w:val="00A14011"/>
    <w:pPr>
      <w:spacing w:before="0" w:line="20" w:lineRule="exact"/>
    </w:pPr>
  </w:style>
  <w:style w:type="paragraph" w:styleId="Header">
    <w:name w:val="header"/>
    <w:basedOn w:val="BodyText"/>
    <w:rsid w:val="00A14011"/>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14011"/>
    <w:pPr>
      <w:spacing w:line="20" w:lineRule="exact"/>
    </w:pPr>
    <w:rPr>
      <w:sz w:val="16"/>
    </w:rPr>
  </w:style>
  <w:style w:type="paragraph" w:customStyle="1" w:styleId="HeaderEven">
    <w:name w:val="Header Even"/>
    <w:basedOn w:val="Header"/>
    <w:semiHidden/>
    <w:rsid w:val="00A14011"/>
  </w:style>
  <w:style w:type="paragraph" w:customStyle="1" w:styleId="HeaderOdd">
    <w:name w:val="Header Odd"/>
    <w:basedOn w:val="Header"/>
    <w:semiHidden/>
    <w:rsid w:val="00A14011"/>
  </w:style>
  <w:style w:type="character" w:styleId="PageNumber">
    <w:name w:val="page number"/>
    <w:basedOn w:val="DefaultParagraphFont"/>
    <w:rsid w:val="00A14011"/>
    <w:rPr>
      <w:rFonts w:ascii="Arial" w:hAnsi="Arial"/>
      <w:b/>
      <w:sz w:val="16"/>
    </w:rPr>
  </w:style>
  <w:style w:type="paragraph" w:customStyle="1" w:styleId="Abbreviation">
    <w:name w:val="Abbreviation"/>
    <w:basedOn w:val="BodyText"/>
    <w:rsid w:val="00A14011"/>
    <w:pPr>
      <w:spacing w:before="120"/>
      <w:ind w:left="2381" w:hanging="2381"/>
      <w:jc w:val="left"/>
    </w:pPr>
  </w:style>
  <w:style w:type="paragraph" w:customStyle="1" w:styleId="Box">
    <w:name w:val="Box"/>
    <w:basedOn w:val="BodyText"/>
    <w:qFormat/>
    <w:rsid w:val="00A14011"/>
    <w:pPr>
      <w:keepNext/>
      <w:spacing w:before="120" w:line="260" w:lineRule="atLeast"/>
    </w:pPr>
    <w:rPr>
      <w:rFonts w:ascii="Arial" w:hAnsi="Arial"/>
      <w:sz w:val="20"/>
    </w:rPr>
  </w:style>
  <w:style w:type="paragraph" w:customStyle="1" w:styleId="BoxContinued">
    <w:name w:val="Box Continued"/>
    <w:basedOn w:val="BodyText"/>
    <w:next w:val="BodyText"/>
    <w:semiHidden/>
    <w:rsid w:val="00A14011"/>
    <w:pPr>
      <w:spacing w:before="180" w:line="220" w:lineRule="exact"/>
      <w:jc w:val="right"/>
    </w:pPr>
    <w:rPr>
      <w:rFonts w:ascii="Arial" w:hAnsi="Arial"/>
      <w:sz w:val="18"/>
    </w:rPr>
  </w:style>
  <w:style w:type="paragraph" w:customStyle="1" w:styleId="BoxHeading1">
    <w:name w:val="Box Heading 1"/>
    <w:basedOn w:val="BodyText"/>
    <w:next w:val="Box"/>
    <w:rsid w:val="00A14011"/>
    <w:pPr>
      <w:keepNext/>
      <w:spacing w:before="200" w:line="280" w:lineRule="atLeast"/>
    </w:pPr>
    <w:rPr>
      <w:rFonts w:ascii="Arial" w:hAnsi="Arial"/>
      <w:b/>
      <w:sz w:val="22"/>
    </w:rPr>
  </w:style>
  <w:style w:type="paragraph" w:customStyle="1" w:styleId="BoxHeading2">
    <w:name w:val="Box Heading 2"/>
    <w:basedOn w:val="BoxHeading1"/>
    <w:next w:val="Normal"/>
    <w:rsid w:val="00A14011"/>
    <w:rPr>
      <w:b w:val="0"/>
      <w:i/>
    </w:rPr>
  </w:style>
  <w:style w:type="paragraph" w:customStyle="1" w:styleId="BoxListBullet">
    <w:name w:val="Box List Bullet"/>
    <w:basedOn w:val="BodyText"/>
    <w:rsid w:val="00A14011"/>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A14011"/>
    <w:pPr>
      <w:numPr>
        <w:numId w:val="13"/>
      </w:numPr>
      <w:ind w:left="568" w:hanging="284"/>
    </w:pPr>
  </w:style>
  <w:style w:type="paragraph" w:customStyle="1" w:styleId="BoxListNumber">
    <w:name w:val="Box List Number"/>
    <w:basedOn w:val="BodyText"/>
    <w:rsid w:val="00A14011"/>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A14011"/>
    <w:pPr>
      <w:numPr>
        <w:ilvl w:val="1"/>
      </w:numPr>
      <w:ind w:left="681" w:hanging="397"/>
    </w:pPr>
  </w:style>
  <w:style w:type="paragraph" w:customStyle="1" w:styleId="BoxQuote">
    <w:name w:val="Box Quote"/>
    <w:basedOn w:val="BodyText"/>
    <w:next w:val="Box"/>
    <w:qFormat/>
    <w:rsid w:val="00A14011"/>
    <w:pPr>
      <w:keepNext/>
      <w:spacing w:before="60" w:line="240" w:lineRule="exact"/>
      <w:ind w:left="284"/>
    </w:pPr>
    <w:rPr>
      <w:rFonts w:ascii="Arial" w:hAnsi="Arial"/>
      <w:sz w:val="18"/>
    </w:rPr>
  </w:style>
  <w:style w:type="paragraph" w:customStyle="1" w:styleId="Note">
    <w:name w:val="Note"/>
    <w:basedOn w:val="BodyText"/>
    <w:next w:val="BodyText"/>
    <w:rsid w:val="00A14011"/>
    <w:pPr>
      <w:keepLines/>
      <w:spacing w:before="80" w:line="220" w:lineRule="exact"/>
    </w:pPr>
    <w:rPr>
      <w:rFonts w:ascii="Arial" w:hAnsi="Arial"/>
      <w:sz w:val="18"/>
    </w:rPr>
  </w:style>
  <w:style w:type="paragraph" w:customStyle="1" w:styleId="Source">
    <w:name w:val="Source"/>
    <w:basedOn w:val="Normal"/>
    <w:next w:val="BodyText"/>
    <w:rsid w:val="00A14011"/>
    <w:pPr>
      <w:keepLines/>
      <w:spacing w:before="80" w:line="220" w:lineRule="exact"/>
      <w:jc w:val="both"/>
    </w:pPr>
    <w:rPr>
      <w:rFonts w:ascii="Arial" w:hAnsi="Arial"/>
      <w:sz w:val="18"/>
      <w:szCs w:val="20"/>
    </w:rPr>
  </w:style>
  <w:style w:type="paragraph" w:customStyle="1" w:styleId="BoxSource">
    <w:name w:val="Box Source"/>
    <w:basedOn w:val="Source"/>
    <w:next w:val="BodyText"/>
    <w:rsid w:val="00A14011"/>
    <w:pPr>
      <w:spacing w:before="120"/>
    </w:pPr>
  </w:style>
  <w:style w:type="paragraph" w:customStyle="1" w:styleId="BoxSpaceAbove">
    <w:name w:val="Box Space Above"/>
    <w:basedOn w:val="BodyText"/>
    <w:rsid w:val="00A14011"/>
    <w:pPr>
      <w:keepNext/>
      <w:spacing w:before="360" w:line="80" w:lineRule="exact"/>
      <w:jc w:val="left"/>
    </w:pPr>
  </w:style>
  <w:style w:type="paragraph" w:styleId="Caption">
    <w:name w:val="caption"/>
    <w:basedOn w:val="Normal"/>
    <w:next w:val="BodyText"/>
    <w:rsid w:val="00A14011"/>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A14011"/>
    <w:pPr>
      <w:spacing w:before="120" w:after="0"/>
    </w:pPr>
  </w:style>
  <w:style w:type="paragraph" w:customStyle="1" w:styleId="BoxSubtitle">
    <w:name w:val="Box Subtitle"/>
    <w:basedOn w:val="BoxTitle"/>
    <w:next w:val="Normal"/>
    <w:rsid w:val="00A14011"/>
    <w:pPr>
      <w:spacing w:after="80" w:line="200" w:lineRule="exact"/>
      <w:ind w:firstLine="0"/>
    </w:pPr>
    <w:rPr>
      <w:b w:val="0"/>
      <w:sz w:val="20"/>
    </w:rPr>
  </w:style>
  <w:style w:type="paragraph" w:customStyle="1" w:styleId="Chapter">
    <w:name w:val="Chapter"/>
    <w:basedOn w:val="Heading1"/>
    <w:next w:val="BodyText"/>
    <w:semiHidden/>
    <w:rsid w:val="00A14011"/>
    <w:pPr>
      <w:ind w:left="0" w:firstLine="0"/>
      <w:outlineLvl w:val="9"/>
    </w:pPr>
  </w:style>
  <w:style w:type="paragraph" w:customStyle="1" w:styleId="ChapterSummary">
    <w:name w:val="Chapter Summary"/>
    <w:basedOn w:val="BodyText"/>
    <w:rsid w:val="00A14011"/>
    <w:pPr>
      <w:spacing w:line="280" w:lineRule="atLeast"/>
      <w:ind w:left="907"/>
    </w:pPr>
    <w:rPr>
      <w:rFonts w:ascii="Arial" w:hAnsi="Arial"/>
      <w:b/>
      <w:sz w:val="20"/>
    </w:rPr>
  </w:style>
  <w:style w:type="character" w:styleId="CommentReference">
    <w:name w:val="annotation reference"/>
    <w:basedOn w:val="DefaultParagraphFont"/>
    <w:semiHidden/>
    <w:rsid w:val="00A14011"/>
    <w:rPr>
      <w:b/>
      <w:vanish/>
      <w:color w:val="FF00FF"/>
      <w:sz w:val="20"/>
    </w:rPr>
  </w:style>
  <w:style w:type="paragraph" w:styleId="CommentText">
    <w:name w:val="annotation text"/>
    <w:basedOn w:val="Normal"/>
    <w:link w:val="CommentTextChar"/>
    <w:semiHidden/>
    <w:rsid w:val="00A14011"/>
    <w:pPr>
      <w:spacing w:before="120" w:line="240" w:lineRule="atLeast"/>
      <w:ind w:left="567" w:hanging="567"/>
    </w:pPr>
    <w:rPr>
      <w:sz w:val="20"/>
    </w:rPr>
  </w:style>
  <w:style w:type="paragraph" w:customStyle="1" w:styleId="Continued">
    <w:name w:val="Continued"/>
    <w:basedOn w:val="BoxContinued"/>
    <w:next w:val="BodyText"/>
    <w:rsid w:val="00A14011"/>
  </w:style>
  <w:style w:type="character" w:customStyle="1" w:styleId="DocumentInfo">
    <w:name w:val="Document Info"/>
    <w:basedOn w:val="DefaultParagraphFont"/>
    <w:semiHidden/>
    <w:rsid w:val="00A14011"/>
    <w:rPr>
      <w:rFonts w:ascii="Arial" w:hAnsi="Arial"/>
      <w:sz w:val="14"/>
    </w:rPr>
  </w:style>
  <w:style w:type="character" w:customStyle="1" w:styleId="DraftingNote">
    <w:name w:val="Drafting Note"/>
    <w:basedOn w:val="DefaultParagraphFont"/>
    <w:rsid w:val="00A14011"/>
    <w:rPr>
      <w:b/>
      <w:color w:val="FF0000"/>
      <w:sz w:val="24"/>
      <w:u w:val="dotted"/>
    </w:rPr>
  </w:style>
  <w:style w:type="paragraph" w:customStyle="1" w:styleId="Figure">
    <w:name w:val="Figure"/>
    <w:basedOn w:val="BodyText"/>
    <w:rsid w:val="00A14011"/>
    <w:pPr>
      <w:keepNext/>
      <w:spacing w:before="120" w:after="120" w:line="240" w:lineRule="atLeast"/>
      <w:jc w:val="center"/>
    </w:pPr>
  </w:style>
  <w:style w:type="paragraph" w:customStyle="1" w:styleId="FigureTitle">
    <w:name w:val="Figure Title"/>
    <w:basedOn w:val="Caption"/>
    <w:next w:val="Subtitle"/>
    <w:rsid w:val="00A14011"/>
    <w:pPr>
      <w:spacing w:before="120"/>
    </w:pPr>
  </w:style>
  <w:style w:type="paragraph" w:styleId="Subtitle">
    <w:name w:val="Subtitle"/>
    <w:basedOn w:val="Caption"/>
    <w:link w:val="SubtitleChar"/>
    <w:qFormat/>
    <w:rsid w:val="00A14011"/>
    <w:pPr>
      <w:spacing w:before="0" w:line="200" w:lineRule="exact"/>
      <w:ind w:firstLine="0"/>
    </w:pPr>
    <w:rPr>
      <w:b w:val="0"/>
      <w:sz w:val="20"/>
    </w:rPr>
  </w:style>
  <w:style w:type="paragraph" w:customStyle="1" w:styleId="Finding">
    <w:name w:val="Finding"/>
    <w:basedOn w:val="BodyText"/>
    <w:rsid w:val="00A14011"/>
    <w:pPr>
      <w:keepLines/>
      <w:spacing w:before="120" w:line="280" w:lineRule="atLeast"/>
    </w:pPr>
    <w:rPr>
      <w:rFonts w:ascii="Arial" w:hAnsi="Arial"/>
      <w:sz w:val="22"/>
    </w:rPr>
  </w:style>
  <w:style w:type="paragraph" w:customStyle="1" w:styleId="FindingBullet">
    <w:name w:val="Finding Bullet"/>
    <w:basedOn w:val="Finding"/>
    <w:rsid w:val="00A14011"/>
    <w:pPr>
      <w:numPr>
        <w:numId w:val="15"/>
      </w:numPr>
      <w:spacing w:before="80"/>
    </w:pPr>
  </w:style>
  <w:style w:type="paragraph" w:customStyle="1" w:styleId="FindingNoTitle">
    <w:name w:val="Finding NoTitle"/>
    <w:basedOn w:val="Finding"/>
    <w:semiHidden/>
    <w:rsid w:val="00A14011"/>
    <w:pPr>
      <w:spacing w:before="240"/>
    </w:pPr>
  </w:style>
  <w:style w:type="paragraph" w:customStyle="1" w:styleId="RecTitle">
    <w:name w:val="Rec Title"/>
    <w:basedOn w:val="BodyText"/>
    <w:next w:val="Rec"/>
    <w:qFormat/>
    <w:rsid w:val="00A14011"/>
    <w:pPr>
      <w:keepNext/>
      <w:keepLines/>
      <w:spacing w:line="280" w:lineRule="atLeast"/>
    </w:pPr>
    <w:rPr>
      <w:rFonts w:ascii="Arial" w:hAnsi="Arial"/>
      <w:caps/>
      <w:sz w:val="18"/>
    </w:rPr>
  </w:style>
  <w:style w:type="paragraph" w:customStyle="1" w:styleId="FindingTitle">
    <w:name w:val="Finding Title"/>
    <w:basedOn w:val="RecTitle"/>
    <w:next w:val="Finding"/>
    <w:rsid w:val="00A14011"/>
  </w:style>
  <w:style w:type="character" w:styleId="FootnoteReference">
    <w:name w:val="footnote reference"/>
    <w:basedOn w:val="DefaultParagraphFont"/>
    <w:semiHidden/>
    <w:rsid w:val="00A14011"/>
    <w:rPr>
      <w:rFonts w:ascii="Times New Roman" w:hAnsi="Times New Roman"/>
      <w:position w:val="6"/>
      <w:sz w:val="20"/>
      <w:vertAlign w:val="baseline"/>
    </w:rPr>
  </w:style>
  <w:style w:type="paragraph" w:styleId="FootnoteText">
    <w:name w:val="footnote text"/>
    <w:basedOn w:val="BodyText"/>
    <w:link w:val="FootnoteTextChar"/>
    <w:rsid w:val="00A14011"/>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14011"/>
    <w:rPr>
      <w:i/>
    </w:rPr>
  </w:style>
  <w:style w:type="paragraph" w:customStyle="1" w:styleId="Jurisdictioncommentsbodytext">
    <w:name w:val="Jurisdiction comments body text"/>
    <w:rsid w:val="00A14011"/>
    <w:pPr>
      <w:spacing w:after="140"/>
      <w:jc w:val="both"/>
    </w:pPr>
    <w:rPr>
      <w:rFonts w:ascii="Arial" w:hAnsi="Arial"/>
      <w:sz w:val="24"/>
      <w:lang w:eastAsia="en-US"/>
    </w:rPr>
  </w:style>
  <w:style w:type="paragraph" w:customStyle="1" w:styleId="Jurisdictioncommentsheading">
    <w:name w:val="Jurisdiction comments heading"/>
    <w:rsid w:val="00A14011"/>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4011"/>
    <w:pPr>
      <w:numPr>
        <w:numId w:val="2"/>
      </w:numPr>
      <w:spacing w:after="140"/>
      <w:jc w:val="both"/>
    </w:pPr>
    <w:rPr>
      <w:rFonts w:ascii="Arial" w:hAnsi="Arial"/>
      <w:sz w:val="24"/>
      <w:lang w:eastAsia="en-US"/>
    </w:rPr>
  </w:style>
  <w:style w:type="paragraph" w:styleId="ListBullet">
    <w:name w:val="List Bullet"/>
    <w:basedOn w:val="BodyText"/>
    <w:rsid w:val="00A14011"/>
    <w:pPr>
      <w:numPr>
        <w:numId w:val="3"/>
      </w:numPr>
      <w:spacing w:before="120"/>
    </w:pPr>
  </w:style>
  <w:style w:type="paragraph" w:styleId="ListBullet2">
    <w:name w:val="List Bullet 2"/>
    <w:basedOn w:val="BodyText"/>
    <w:rsid w:val="00A14011"/>
    <w:pPr>
      <w:numPr>
        <w:numId w:val="4"/>
      </w:numPr>
      <w:spacing w:before="120"/>
    </w:pPr>
  </w:style>
  <w:style w:type="paragraph" w:styleId="ListBullet3">
    <w:name w:val="List Bullet 3"/>
    <w:basedOn w:val="BodyText"/>
    <w:rsid w:val="00A14011"/>
    <w:pPr>
      <w:numPr>
        <w:numId w:val="5"/>
      </w:numPr>
      <w:spacing w:before="120"/>
      <w:ind w:left="1020" w:hanging="340"/>
    </w:pPr>
  </w:style>
  <w:style w:type="paragraph" w:styleId="ListNumber">
    <w:name w:val="List Number"/>
    <w:basedOn w:val="BodyText"/>
    <w:rsid w:val="00A14011"/>
    <w:pPr>
      <w:numPr>
        <w:numId w:val="9"/>
      </w:numPr>
      <w:spacing w:before="120"/>
    </w:pPr>
  </w:style>
  <w:style w:type="paragraph" w:styleId="ListNumber2">
    <w:name w:val="List Number 2"/>
    <w:basedOn w:val="ListNumber"/>
    <w:rsid w:val="00A14011"/>
    <w:pPr>
      <w:numPr>
        <w:ilvl w:val="1"/>
      </w:numPr>
    </w:pPr>
  </w:style>
  <w:style w:type="paragraph" w:styleId="ListNumber3">
    <w:name w:val="List Number 3"/>
    <w:basedOn w:val="ListNumber2"/>
    <w:rsid w:val="00A14011"/>
    <w:pPr>
      <w:numPr>
        <w:ilvl w:val="2"/>
      </w:numPr>
    </w:pPr>
  </w:style>
  <w:style w:type="character" w:customStyle="1" w:styleId="NoteLabel">
    <w:name w:val="Note Label"/>
    <w:basedOn w:val="DefaultParagraphFont"/>
    <w:rsid w:val="00A14011"/>
    <w:rPr>
      <w:rFonts w:ascii="Arial" w:hAnsi="Arial"/>
      <w:b/>
      <w:position w:val="6"/>
      <w:sz w:val="18"/>
    </w:rPr>
  </w:style>
  <w:style w:type="paragraph" w:customStyle="1" w:styleId="PartDivider">
    <w:name w:val="Part Divider"/>
    <w:basedOn w:val="BodyText"/>
    <w:next w:val="BodyText"/>
    <w:semiHidden/>
    <w:rsid w:val="00A14011"/>
    <w:pPr>
      <w:spacing w:before="0" w:line="40" w:lineRule="exact"/>
      <w:jc w:val="right"/>
    </w:pPr>
    <w:rPr>
      <w:smallCaps/>
      <w:sz w:val="16"/>
    </w:rPr>
  </w:style>
  <w:style w:type="paragraph" w:customStyle="1" w:styleId="PartNumber">
    <w:name w:val="Part Number"/>
    <w:basedOn w:val="BodyText"/>
    <w:next w:val="BodyText"/>
    <w:semiHidden/>
    <w:rsid w:val="00A14011"/>
    <w:pPr>
      <w:spacing w:before="4000" w:line="320" w:lineRule="exact"/>
      <w:ind w:left="6634"/>
      <w:jc w:val="right"/>
    </w:pPr>
    <w:rPr>
      <w:smallCaps/>
      <w:spacing w:val="60"/>
      <w:sz w:val="32"/>
    </w:rPr>
  </w:style>
  <w:style w:type="paragraph" w:customStyle="1" w:styleId="PartTitle">
    <w:name w:val="Part Title"/>
    <w:basedOn w:val="BodyText"/>
    <w:semiHidden/>
    <w:rsid w:val="00A14011"/>
    <w:pPr>
      <w:spacing w:before="160" w:after="1360" w:line="520" w:lineRule="exact"/>
      <w:ind w:right="2381"/>
      <w:jc w:val="right"/>
    </w:pPr>
    <w:rPr>
      <w:smallCaps/>
      <w:sz w:val="52"/>
    </w:rPr>
  </w:style>
  <w:style w:type="paragraph" w:styleId="Quote">
    <w:name w:val="Quote"/>
    <w:basedOn w:val="BodyText"/>
    <w:next w:val="BodyText"/>
    <w:qFormat/>
    <w:rsid w:val="00A14011"/>
    <w:pPr>
      <w:spacing w:before="120" w:line="280" w:lineRule="exact"/>
      <w:ind w:left="340"/>
    </w:pPr>
    <w:rPr>
      <w:sz w:val="22"/>
    </w:rPr>
  </w:style>
  <w:style w:type="paragraph" w:customStyle="1" w:styleId="QuoteBullet">
    <w:name w:val="Quote Bullet"/>
    <w:basedOn w:val="Quote"/>
    <w:rsid w:val="00A14011"/>
    <w:pPr>
      <w:numPr>
        <w:numId w:val="6"/>
      </w:numPr>
    </w:pPr>
  </w:style>
  <w:style w:type="paragraph" w:customStyle="1" w:styleId="Rec">
    <w:name w:val="Rec"/>
    <w:basedOn w:val="BodyText"/>
    <w:qFormat/>
    <w:rsid w:val="00A14011"/>
    <w:pPr>
      <w:keepLines/>
      <w:spacing w:before="120" w:line="280" w:lineRule="atLeast"/>
    </w:pPr>
    <w:rPr>
      <w:rFonts w:ascii="Arial" w:hAnsi="Arial"/>
      <w:sz w:val="22"/>
    </w:rPr>
  </w:style>
  <w:style w:type="paragraph" w:customStyle="1" w:styleId="RecBullet">
    <w:name w:val="Rec Bullet"/>
    <w:basedOn w:val="Rec"/>
    <w:rsid w:val="00A14011"/>
    <w:pPr>
      <w:numPr>
        <w:numId w:val="17"/>
      </w:numPr>
      <w:spacing w:before="80"/>
    </w:pPr>
  </w:style>
  <w:style w:type="paragraph" w:customStyle="1" w:styleId="RecB">
    <w:name w:val="RecB"/>
    <w:basedOn w:val="Normal"/>
    <w:semiHidden/>
    <w:rsid w:val="00A14011"/>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14011"/>
    <w:pPr>
      <w:numPr>
        <w:numId w:val="11"/>
      </w:numPr>
      <w:spacing w:before="80"/>
    </w:pPr>
  </w:style>
  <w:style w:type="paragraph" w:customStyle="1" w:styleId="RecBNoTitle">
    <w:name w:val="RecB NoTitle"/>
    <w:basedOn w:val="RecB"/>
    <w:semiHidden/>
    <w:rsid w:val="00A14011"/>
    <w:pPr>
      <w:spacing w:before="240"/>
    </w:pPr>
  </w:style>
  <w:style w:type="paragraph" w:customStyle="1" w:styleId="Reference">
    <w:name w:val="Reference"/>
    <w:basedOn w:val="BodyText"/>
    <w:rsid w:val="00A14011"/>
    <w:pPr>
      <w:spacing w:before="120"/>
      <w:ind w:left="340" w:hanging="340"/>
    </w:pPr>
  </w:style>
  <w:style w:type="paragraph" w:customStyle="1" w:styleId="SequenceInfo">
    <w:name w:val="Sequence Info"/>
    <w:basedOn w:val="BodyText"/>
    <w:semiHidden/>
    <w:rsid w:val="00A14011"/>
    <w:rPr>
      <w:vanish/>
      <w:sz w:val="16"/>
    </w:rPr>
  </w:style>
  <w:style w:type="paragraph" w:customStyle="1" w:styleId="SideNote">
    <w:name w:val="Side Note"/>
    <w:basedOn w:val="BodyText"/>
    <w:next w:val="BodyText"/>
    <w:semiHidden/>
    <w:rsid w:val="00A14011"/>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4011"/>
    <w:pPr>
      <w:framePr w:wrap="around"/>
      <w:numPr>
        <w:numId w:val="7"/>
      </w:numPr>
      <w:tabs>
        <w:tab w:val="left" w:pos="227"/>
      </w:tabs>
    </w:pPr>
  </w:style>
  <w:style w:type="paragraph" w:customStyle="1" w:styleId="SideNoteGraphic">
    <w:name w:val="Side Note Graphic"/>
    <w:basedOn w:val="SideNote"/>
    <w:next w:val="BodyText"/>
    <w:semiHidden/>
    <w:rsid w:val="00A14011"/>
    <w:pPr>
      <w:framePr w:wrap="around"/>
    </w:pPr>
  </w:style>
  <w:style w:type="paragraph" w:customStyle="1" w:styleId="TableBodyText">
    <w:name w:val="Table Body Text"/>
    <w:basedOn w:val="BodyText"/>
    <w:rsid w:val="00A14011"/>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14011"/>
    <w:pPr>
      <w:numPr>
        <w:numId w:val="8"/>
      </w:numPr>
      <w:jc w:val="left"/>
    </w:pPr>
  </w:style>
  <w:style w:type="paragraph" w:customStyle="1" w:styleId="TableColumnHeading">
    <w:name w:val="Table Column Heading"/>
    <w:basedOn w:val="TableBodyText"/>
    <w:rsid w:val="00A14011"/>
    <w:pPr>
      <w:spacing w:before="80" w:after="80"/>
    </w:pPr>
    <w:rPr>
      <w:i/>
    </w:rPr>
  </w:style>
  <w:style w:type="paragraph" w:styleId="TOC2">
    <w:name w:val="toc 2"/>
    <w:basedOn w:val="TOC1"/>
    <w:rsid w:val="00A14011"/>
    <w:pPr>
      <w:ind w:left="1134" w:hanging="624"/>
    </w:pPr>
    <w:rPr>
      <w:b w:val="0"/>
    </w:rPr>
  </w:style>
  <w:style w:type="paragraph" w:styleId="TOC3">
    <w:name w:val="toc 3"/>
    <w:basedOn w:val="TOC2"/>
    <w:rsid w:val="00A14011"/>
    <w:pPr>
      <w:spacing w:before="60"/>
      <w:ind w:left="1190" w:hanging="680"/>
    </w:pPr>
  </w:style>
  <w:style w:type="paragraph" w:styleId="TableofFigures">
    <w:name w:val="table of figures"/>
    <w:basedOn w:val="TOC3"/>
    <w:next w:val="BodyText"/>
    <w:semiHidden/>
    <w:rsid w:val="00A14011"/>
    <w:pPr>
      <w:ind w:left="737" w:hanging="737"/>
    </w:pPr>
  </w:style>
  <w:style w:type="paragraph" w:customStyle="1" w:styleId="TableTitle">
    <w:name w:val="Table Title"/>
    <w:basedOn w:val="Caption"/>
    <w:next w:val="Subtitle"/>
    <w:qFormat/>
    <w:rsid w:val="00A14011"/>
    <w:pPr>
      <w:spacing w:before="120"/>
    </w:pPr>
  </w:style>
  <w:style w:type="paragraph" w:customStyle="1" w:styleId="TableUnitsRow">
    <w:name w:val="Table Units Row"/>
    <w:basedOn w:val="TableBodyText"/>
    <w:rsid w:val="00A14011"/>
    <w:pPr>
      <w:spacing w:before="40"/>
    </w:pPr>
  </w:style>
  <w:style w:type="paragraph" w:styleId="TOC1">
    <w:name w:val="toc 1"/>
    <w:basedOn w:val="Normal"/>
    <w:next w:val="TOC2"/>
    <w:link w:val="TOC1Char"/>
    <w:rsid w:val="00A14011"/>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rsid w:val="00A14011"/>
    <w:pPr>
      <w:ind w:left="1191" w:firstLine="0"/>
    </w:pPr>
  </w:style>
  <w:style w:type="paragraph" w:customStyle="1" w:styleId="RecBBullet2">
    <w:name w:val="RecB Bullet 2"/>
    <w:basedOn w:val="ListBullet2"/>
    <w:semiHidden/>
    <w:rsid w:val="00A14011"/>
    <w:pPr>
      <w:pBdr>
        <w:left w:val="single" w:sz="24" w:space="29" w:color="C0C0C0"/>
      </w:pBdr>
    </w:pPr>
    <w:rPr>
      <w:b/>
      <w:i/>
    </w:rPr>
  </w:style>
  <w:style w:type="paragraph" w:styleId="BalloonText">
    <w:name w:val="Balloon Text"/>
    <w:basedOn w:val="Normal"/>
    <w:link w:val="BalloonTextChar"/>
    <w:rsid w:val="00A14011"/>
    <w:rPr>
      <w:rFonts w:ascii="Tahoma" w:hAnsi="Tahoma" w:cs="Tahoma"/>
      <w:sz w:val="16"/>
      <w:szCs w:val="16"/>
    </w:rPr>
  </w:style>
  <w:style w:type="character" w:customStyle="1" w:styleId="BalloonTextChar">
    <w:name w:val="Balloon Text Char"/>
    <w:basedOn w:val="DefaultParagraphFont"/>
    <w:link w:val="BalloonText"/>
    <w:rsid w:val="00A14011"/>
    <w:rPr>
      <w:rFonts w:ascii="Tahoma" w:hAnsi="Tahoma" w:cs="Tahoma"/>
      <w:sz w:val="16"/>
      <w:szCs w:val="16"/>
    </w:rPr>
  </w:style>
  <w:style w:type="character" w:customStyle="1" w:styleId="SubtitleChar">
    <w:name w:val="Subtitle Char"/>
    <w:basedOn w:val="DefaultParagraphFont"/>
    <w:link w:val="Subtitle"/>
    <w:rsid w:val="00A14011"/>
    <w:rPr>
      <w:rFonts w:ascii="Arial" w:hAnsi="Arial"/>
      <w:szCs w:val="24"/>
    </w:rPr>
  </w:style>
  <w:style w:type="paragraph" w:customStyle="1" w:styleId="BoxListBullet3">
    <w:name w:val="Box List Bullet 3"/>
    <w:basedOn w:val="ListBullet3"/>
    <w:rsid w:val="00A14011"/>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14011"/>
    <w:rPr>
      <w:i/>
      <w:iCs/>
    </w:rPr>
  </w:style>
  <w:style w:type="paragraph" w:customStyle="1" w:styleId="BoxQuoteBullet">
    <w:name w:val="Box Quote Bullet"/>
    <w:basedOn w:val="BoxQuote"/>
    <w:next w:val="Box"/>
    <w:rsid w:val="00A14011"/>
    <w:pPr>
      <w:numPr>
        <w:numId w:val="12"/>
      </w:numPr>
      <w:ind w:left="568" w:hanging="284"/>
    </w:pPr>
  </w:style>
  <w:style w:type="paragraph" w:customStyle="1" w:styleId="InformationRequestBullet">
    <w:name w:val="Information Request Bullet"/>
    <w:basedOn w:val="ListBullet"/>
    <w:next w:val="BodyText"/>
    <w:rsid w:val="00A14011"/>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A14011"/>
    <w:pPr>
      <w:keepNext w:val="0"/>
      <w:spacing w:before="60" w:after="60" w:line="80" w:lineRule="exact"/>
    </w:pPr>
    <w:rPr>
      <w:sz w:val="14"/>
    </w:rPr>
  </w:style>
  <w:style w:type="paragraph" w:customStyle="1" w:styleId="KeyPointsListBullet">
    <w:name w:val="Key Points List Bullet"/>
    <w:basedOn w:val="Normal"/>
    <w:qFormat/>
    <w:rsid w:val="00A14011"/>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14011"/>
    <w:pPr>
      <w:numPr>
        <w:numId w:val="19"/>
      </w:numPr>
      <w:ind w:left="568" w:hanging="284"/>
    </w:pPr>
  </w:style>
  <w:style w:type="paragraph" w:customStyle="1" w:styleId="InformationRequestTitle">
    <w:name w:val="Information Request Title"/>
    <w:basedOn w:val="FindingTitle"/>
    <w:next w:val="InformationRequest"/>
    <w:rsid w:val="00A14011"/>
    <w:rPr>
      <w:i/>
    </w:rPr>
  </w:style>
  <w:style w:type="paragraph" w:customStyle="1" w:styleId="Space">
    <w:name w:val="Space"/>
    <w:basedOn w:val="Normal"/>
    <w:rsid w:val="00A14011"/>
    <w:pPr>
      <w:keepNext/>
      <w:spacing w:line="120" w:lineRule="exact"/>
      <w:jc w:val="both"/>
    </w:pPr>
    <w:rPr>
      <w:rFonts w:ascii="Arial" w:hAnsi="Arial"/>
      <w:sz w:val="20"/>
      <w:szCs w:val="20"/>
    </w:rPr>
  </w:style>
  <w:style w:type="paragraph" w:customStyle="1" w:styleId="Heading1nochapterno">
    <w:name w:val="Heading 1 (no chapter no.)"/>
    <w:basedOn w:val="Heading1"/>
    <w:rsid w:val="00A14011"/>
    <w:pPr>
      <w:spacing w:before="0"/>
      <w:ind w:left="0" w:firstLine="0"/>
    </w:pPr>
  </w:style>
  <w:style w:type="paragraph" w:customStyle="1" w:styleId="Heading2nosectionno">
    <w:name w:val="Heading 2 (no section no.)"/>
    <w:basedOn w:val="Heading2"/>
    <w:rsid w:val="00A14011"/>
    <w:pPr>
      <w:ind w:left="0" w:firstLine="0"/>
    </w:pPr>
  </w:style>
  <w:style w:type="character" w:customStyle="1" w:styleId="Heading5Char">
    <w:name w:val="Heading 5 Char"/>
    <w:basedOn w:val="DefaultParagraphFont"/>
    <w:link w:val="Heading5"/>
    <w:rsid w:val="00A14011"/>
    <w:rPr>
      <w:rFonts w:ascii="Arial" w:hAnsi="Arial"/>
      <w:i/>
      <w:sz w:val="22"/>
    </w:rPr>
  </w:style>
  <w:style w:type="paragraph" w:customStyle="1" w:styleId="Figurespace">
    <w:name w:val="Figure space"/>
    <w:basedOn w:val="Box"/>
    <w:rsid w:val="00A14011"/>
    <w:pPr>
      <w:spacing w:before="0" w:line="120" w:lineRule="exact"/>
    </w:pPr>
  </w:style>
  <w:style w:type="paragraph" w:customStyle="1" w:styleId="FooterDraftReport">
    <w:name w:val="FooterDraftReport"/>
    <w:basedOn w:val="Footer"/>
    <w:link w:val="FooterDraftReportChar"/>
    <w:rsid w:val="00A14011"/>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A140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A14011"/>
    <w:rPr>
      <w:rFonts w:ascii="Arial" w:hAnsi="Arial"/>
      <w:caps/>
      <w:spacing w:val="-4"/>
      <w:sz w:val="16"/>
    </w:rPr>
  </w:style>
  <w:style w:type="character" w:customStyle="1" w:styleId="BodyTextChar">
    <w:name w:val="Body Text Char"/>
    <w:basedOn w:val="DefaultParagraphFont"/>
    <w:link w:val="BodyText"/>
    <w:rsid w:val="00A14011"/>
    <w:rPr>
      <w:sz w:val="24"/>
    </w:rPr>
  </w:style>
  <w:style w:type="character" w:customStyle="1" w:styleId="CommentTextChar">
    <w:name w:val="Comment Text Char"/>
    <w:basedOn w:val="DefaultParagraphFont"/>
    <w:link w:val="CommentText"/>
    <w:semiHidden/>
    <w:rsid w:val="001F49AE"/>
    <w:rPr>
      <w:szCs w:val="24"/>
    </w:rPr>
  </w:style>
  <w:style w:type="character" w:customStyle="1" w:styleId="FooterDraftReportChar">
    <w:name w:val="FooterDraftReport Char"/>
    <w:basedOn w:val="FooterChar"/>
    <w:link w:val="FooterDraftReport"/>
    <w:rsid w:val="00A14011"/>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FootnoteTextChar">
    <w:name w:val="Footnote Text Char"/>
    <w:basedOn w:val="DefaultParagraphFont"/>
    <w:link w:val="FootnoteText"/>
    <w:rsid w:val="00FA15F5"/>
  </w:style>
  <w:style w:type="paragraph" w:styleId="CommentSubject">
    <w:name w:val="annotation subject"/>
    <w:basedOn w:val="CommentText"/>
    <w:next w:val="CommentText"/>
    <w:link w:val="CommentSubjectChar"/>
    <w:rsid w:val="00514995"/>
    <w:pPr>
      <w:spacing w:before="0" w:line="240" w:lineRule="auto"/>
      <w:ind w:left="0" w:firstLine="0"/>
    </w:pPr>
    <w:rPr>
      <w:b/>
      <w:bCs/>
      <w:szCs w:val="20"/>
    </w:rPr>
  </w:style>
  <w:style w:type="character" w:customStyle="1" w:styleId="CommentSubjectChar">
    <w:name w:val="Comment Subject Char"/>
    <w:basedOn w:val="CommentTextChar"/>
    <w:link w:val="CommentSubject"/>
    <w:rsid w:val="00514995"/>
    <w:rPr>
      <w:b/>
      <w:bCs/>
      <w:szCs w:val="24"/>
    </w:rPr>
  </w:style>
  <w:style w:type="character" w:customStyle="1" w:styleId="TOC1Char">
    <w:name w:val="TOC 1 Char"/>
    <w:basedOn w:val="DefaultParagraphFont"/>
    <w:link w:val="TOC1"/>
    <w:rsid w:val="00A14011"/>
    <w:rPr>
      <w:rFonts w:ascii="Arial" w:hAnsi="Arial"/>
      <w:b/>
      <w:sz w:val="26"/>
      <w:szCs w:val="26"/>
      <w:lang w:eastAsia="en-US"/>
    </w:rPr>
  </w:style>
  <w:style w:type="character" w:styleId="EndnoteReference">
    <w:name w:val="endnote reference"/>
    <w:basedOn w:val="DefaultParagraphFont"/>
    <w:rsid w:val="00C03170"/>
    <w:rPr>
      <w:vertAlign w:val="superscript"/>
    </w:rPr>
  </w:style>
  <w:style w:type="character" w:customStyle="1" w:styleId="Heading4Char">
    <w:name w:val="Heading 4 Char"/>
    <w:basedOn w:val="DefaultParagraphFont"/>
    <w:link w:val="Heading4"/>
    <w:rsid w:val="00B57C51"/>
    <w:rPr>
      <w:rFonts w:ascii="Arial" w:hAnsi="Arial"/>
      <w:sz w:val="24"/>
    </w:rPr>
  </w:style>
  <w:style w:type="character" w:customStyle="1" w:styleId="Heading1Char">
    <w:name w:val="Heading 1 Char"/>
    <w:basedOn w:val="DefaultParagraphFont"/>
    <w:link w:val="Heading1"/>
    <w:rsid w:val="00B57C51"/>
    <w:rPr>
      <w:sz w:val="52"/>
    </w:rPr>
  </w:style>
  <w:style w:type="paragraph" w:styleId="ListParagraph">
    <w:name w:val="List Paragraph"/>
    <w:basedOn w:val="Normal"/>
    <w:uiPriority w:val="34"/>
    <w:qFormat/>
    <w:rsid w:val="00C2359D"/>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4C5CB0"/>
    <w:pPr>
      <w:spacing w:after="240"/>
      <w:ind w:left="720" w:hanging="720"/>
    </w:pPr>
  </w:style>
  <w:style w:type="paragraph" w:styleId="Revision">
    <w:name w:val="Revision"/>
    <w:hidden/>
    <w:uiPriority w:val="99"/>
    <w:semiHidden/>
    <w:rsid w:val="000E2128"/>
    <w:rPr>
      <w:sz w:val="24"/>
      <w:szCs w:val="24"/>
    </w:rPr>
  </w:style>
  <w:style w:type="paragraph" w:styleId="TOC5">
    <w:name w:val="toc 5"/>
    <w:basedOn w:val="Normal"/>
    <w:next w:val="Normal"/>
    <w:autoRedefine/>
    <w:uiPriority w:val="39"/>
    <w:rsid w:val="00C0272B"/>
    <w:pPr>
      <w:spacing w:after="100"/>
      <w:ind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5" w:uiPriority="39"/>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14011"/>
    <w:rPr>
      <w:sz w:val="24"/>
      <w:szCs w:val="24"/>
    </w:rPr>
  </w:style>
  <w:style w:type="paragraph" w:styleId="Heading1">
    <w:name w:val="heading 1"/>
    <w:basedOn w:val="BodyText"/>
    <w:next w:val="BodyText"/>
    <w:link w:val="Heading1Char"/>
    <w:rsid w:val="00A1401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4011"/>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4011"/>
    <w:pPr>
      <w:spacing w:before="560" w:line="320" w:lineRule="exact"/>
      <w:ind w:left="0" w:firstLine="0"/>
      <w:outlineLvl w:val="2"/>
    </w:pPr>
    <w:rPr>
      <w:sz w:val="26"/>
    </w:rPr>
  </w:style>
  <w:style w:type="paragraph" w:styleId="Heading4">
    <w:name w:val="heading 4"/>
    <w:basedOn w:val="Heading3"/>
    <w:next w:val="BodyText"/>
    <w:link w:val="Heading4Char"/>
    <w:qFormat/>
    <w:rsid w:val="00A14011"/>
    <w:pPr>
      <w:spacing w:before="480"/>
      <w:outlineLvl w:val="3"/>
    </w:pPr>
    <w:rPr>
      <w:b w:val="0"/>
      <w:sz w:val="24"/>
    </w:rPr>
  </w:style>
  <w:style w:type="paragraph" w:styleId="Heading5">
    <w:name w:val="heading 5"/>
    <w:basedOn w:val="Heading4"/>
    <w:next w:val="BodyText"/>
    <w:link w:val="Heading5Char"/>
    <w:qFormat/>
    <w:rsid w:val="00A14011"/>
    <w:pPr>
      <w:outlineLvl w:val="4"/>
    </w:pPr>
    <w:rPr>
      <w:i/>
      <w:sz w:val="22"/>
    </w:rPr>
  </w:style>
  <w:style w:type="paragraph" w:styleId="Heading6">
    <w:name w:val="heading 6"/>
    <w:basedOn w:val="BodyText"/>
    <w:next w:val="BodyText"/>
    <w:rsid w:val="00A14011"/>
    <w:pPr>
      <w:spacing w:after="60"/>
      <w:jc w:val="left"/>
      <w:outlineLvl w:val="5"/>
    </w:pPr>
    <w:rPr>
      <w:i/>
      <w:sz w:val="22"/>
    </w:rPr>
  </w:style>
  <w:style w:type="paragraph" w:styleId="Heading7">
    <w:name w:val="heading 7"/>
    <w:basedOn w:val="BodyText"/>
    <w:next w:val="BodyText"/>
    <w:rsid w:val="00A14011"/>
    <w:pPr>
      <w:spacing w:after="60" w:line="240" w:lineRule="auto"/>
      <w:jc w:val="left"/>
      <w:outlineLvl w:val="6"/>
    </w:pPr>
    <w:rPr>
      <w:rFonts w:ascii="Arial" w:hAnsi="Arial"/>
      <w:sz w:val="20"/>
    </w:rPr>
  </w:style>
  <w:style w:type="paragraph" w:styleId="Heading8">
    <w:name w:val="heading 8"/>
    <w:basedOn w:val="BodyText"/>
    <w:next w:val="BodyText"/>
    <w:rsid w:val="00A14011"/>
    <w:pPr>
      <w:spacing w:after="60" w:line="240" w:lineRule="auto"/>
      <w:jc w:val="left"/>
      <w:outlineLvl w:val="7"/>
    </w:pPr>
    <w:rPr>
      <w:rFonts w:ascii="Arial" w:hAnsi="Arial"/>
      <w:i/>
      <w:sz w:val="20"/>
    </w:rPr>
  </w:style>
  <w:style w:type="paragraph" w:styleId="Heading9">
    <w:name w:val="heading 9"/>
    <w:basedOn w:val="BodyText"/>
    <w:next w:val="BodyText"/>
    <w:rsid w:val="00A14011"/>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140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4011"/>
  </w:style>
  <w:style w:type="paragraph" w:styleId="BodyText">
    <w:name w:val="Body Text"/>
    <w:link w:val="BodyTextChar"/>
    <w:qFormat/>
    <w:rsid w:val="00A14011"/>
    <w:pPr>
      <w:spacing w:before="240" w:line="300" w:lineRule="atLeast"/>
      <w:jc w:val="both"/>
    </w:pPr>
    <w:rPr>
      <w:sz w:val="24"/>
    </w:rPr>
  </w:style>
  <w:style w:type="paragraph" w:styleId="Footer">
    <w:name w:val="footer"/>
    <w:basedOn w:val="BodyText"/>
    <w:link w:val="FooterChar"/>
    <w:rsid w:val="00A14011"/>
    <w:pPr>
      <w:spacing w:before="80" w:line="200" w:lineRule="exact"/>
      <w:ind w:right="6"/>
      <w:jc w:val="left"/>
    </w:pPr>
    <w:rPr>
      <w:rFonts w:ascii="Arial" w:hAnsi="Arial"/>
      <w:caps/>
      <w:spacing w:val="-4"/>
      <w:sz w:val="16"/>
    </w:rPr>
  </w:style>
  <w:style w:type="paragraph" w:customStyle="1" w:styleId="FooterEnd">
    <w:name w:val="Footer End"/>
    <w:basedOn w:val="Footer"/>
    <w:rsid w:val="00A14011"/>
    <w:pPr>
      <w:spacing w:before="0" w:line="20" w:lineRule="exact"/>
    </w:pPr>
  </w:style>
  <w:style w:type="paragraph" w:styleId="Header">
    <w:name w:val="header"/>
    <w:basedOn w:val="BodyText"/>
    <w:rsid w:val="00A14011"/>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14011"/>
    <w:pPr>
      <w:spacing w:line="20" w:lineRule="exact"/>
    </w:pPr>
    <w:rPr>
      <w:sz w:val="16"/>
    </w:rPr>
  </w:style>
  <w:style w:type="paragraph" w:customStyle="1" w:styleId="HeaderEven">
    <w:name w:val="Header Even"/>
    <w:basedOn w:val="Header"/>
    <w:semiHidden/>
    <w:rsid w:val="00A14011"/>
  </w:style>
  <w:style w:type="paragraph" w:customStyle="1" w:styleId="HeaderOdd">
    <w:name w:val="Header Odd"/>
    <w:basedOn w:val="Header"/>
    <w:semiHidden/>
    <w:rsid w:val="00A14011"/>
  </w:style>
  <w:style w:type="character" w:styleId="PageNumber">
    <w:name w:val="page number"/>
    <w:basedOn w:val="DefaultParagraphFont"/>
    <w:rsid w:val="00A14011"/>
    <w:rPr>
      <w:rFonts w:ascii="Arial" w:hAnsi="Arial"/>
      <w:b/>
      <w:sz w:val="16"/>
    </w:rPr>
  </w:style>
  <w:style w:type="paragraph" w:customStyle="1" w:styleId="Abbreviation">
    <w:name w:val="Abbreviation"/>
    <w:basedOn w:val="BodyText"/>
    <w:rsid w:val="00A14011"/>
    <w:pPr>
      <w:spacing w:before="120"/>
      <w:ind w:left="2381" w:hanging="2381"/>
      <w:jc w:val="left"/>
    </w:pPr>
  </w:style>
  <w:style w:type="paragraph" w:customStyle="1" w:styleId="Box">
    <w:name w:val="Box"/>
    <w:basedOn w:val="BodyText"/>
    <w:qFormat/>
    <w:rsid w:val="00A14011"/>
    <w:pPr>
      <w:keepNext/>
      <w:spacing w:before="120" w:line="260" w:lineRule="atLeast"/>
    </w:pPr>
    <w:rPr>
      <w:rFonts w:ascii="Arial" w:hAnsi="Arial"/>
      <w:sz w:val="20"/>
    </w:rPr>
  </w:style>
  <w:style w:type="paragraph" w:customStyle="1" w:styleId="BoxContinued">
    <w:name w:val="Box Continued"/>
    <w:basedOn w:val="BodyText"/>
    <w:next w:val="BodyText"/>
    <w:semiHidden/>
    <w:rsid w:val="00A14011"/>
    <w:pPr>
      <w:spacing w:before="180" w:line="220" w:lineRule="exact"/>
      <w:jc w:val="right"/>
    </w:pPr>
    <w:rPr>
      <w:rFonts w:ascii="Arial" w:hAnsi="Arial"/>
      <w:sz w:val="18"/>
    </w:rPr>
  </w:style>
  <w:style w:type="paragraph" w:customStyle="1" w:styleId="BoxHeading1">
    <w:name w:val="Box Heading 1"/>
    <w:basedOn w:val="BodyText"/>
    <w:next w:val="Box"/>
    <w:rsid w:val="00A14011"/>
    <w:pPr>
      <w:keepNext/>
      <w:spacing w:before="200" w:line="280" w:lineRule="atLeast"/>
    </w:pPr>
    <w:rPr>
      <w:rFonts w:ascii="Arial" w:hAnsi="Arial"/>
      <w:b/>
      <w:sz w:val="22"/>
    </w:rPr>
  </w:style>
  <w:style w:type="paragraph" w:customStyle="1" w:styleId="BoxHeading2">
    <w:name w:val="Box Heading 2"/>
    <w:basedOn w:val="BoxHeading1"/>
    <w:next w:val="Normal"/>
    <w:rsid w:val="00A14011"/>
    <w:rPr>
      <w:b w:val="0"/>
      <w:i/>
    </w:rPr>
  </w:style>
  <w:style w:type="paragraph" w:customStyle="1" w:styleId="BoxListBullet">
    <w:name w:val="Box List Bullet"/>
    <w:basedOn w:val="BodyText"/>
    <w:rsid w:val="00A14011"/>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A14011"/>
    <w:pPr>
      <w:numPr>
        <w:numId w:val="13"/>
      </w:numPr>
      <w:ind w:left="568" w:hanging="284"/>
    </w:pPr>
  </w:style>
  <w:style w:type="paragraph" w:customStyle="1" w:styleId="BoxListNumber">
    <w:name w:val="Box List Number"/>
    <w:basedOn w:val="BodyText"/>
    <w:rsid w:val="00A14011"/>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A14011"/>
    <w:pPr>
      <w:numPr>
        <w:ilvl w:val="1"/>
      </w:numPr>
      <w:ind w:left="681" w:hanging="397"/>
    </w:pPr>
  </w:style>
  <w:style w:type="paragraph" w:customStyle="1" w:styleId="BoxQuote">
    <w:name w:val="Box Quote"/>
    <w:basedOn w:val="BodyText"/>
    <w:next w:val="Box"/>
    <w:qFormat/>
    <w:rsid w:val="00A14011"/>
    <w:pPr>
      <w:keepNext/>
      <w:spacing w:before="60" w:line="240" w:lineRule="exact"/>
      <w:ind w:left="284"/>
    </w:pPr>
    <w:rPr>
      <w:rFonts w:ascii="Arial" w:hAnsi="Arial"/>
      <w:sz w:val="18"/>
    </w:rPr>
  </w:style>
  <w:style w:type="paragraph" w:customStyle="1" w:styleId="Note">
    <w:name w:val="Note"/>
    <w:basedOn w:val="BodyText"/>
    <w:next w:val="BodyText"/>
    <w:rsid w:val="00A14011"/>
    <w:pPr>
      <w:keepLines/>
      <w:spacing w:before="80" w:line="220" w:lineRule="exact"/>
    </w:pPr>
    <w:rPr>
      <w:rFonts w:ascii="Arial" w:hAnsi="Arial"/>
      <w:sz w:val="18"/>
    </w:rPr>
  </w:style>
  <w:style w:type="paragraph" w:customStyle="1" w:styleId="Source">
    <w:name w:val="Source"/>
    <w:basedOn w:val="Normal"/>
    <w:next w:val="BodyText"/>
    <w:rsid w:val="00A14011"/>
    <w:pPr>
      <w:keepLines/>
      <w:spacing w:before="80" w:line="220" w:lineRule="exact"/>
      <w:jc w:val="both"/>
    </w:pPr>
    <w:rPr>
      <w:rFonts w:ascii="Arial" w:hAnsi="Arial"/>
      <w:sz w:val="18"/>
      <w:szCs w:val="20"/>
    </w:rPr>
  </w:style>
  <w:style w:type="paragraph" w:customStyle="1" w:styleId="BoxSource">
    <w:name w:val="Box Source"/>
    <w:basedOn w:val="Source"/>
    <w:next w:val="BodyText"/>
    <w:rsid w:val="00A14011"/>
    <w:pPr>
      <w:spacing w:before="120"/>
    </w:pPr>
  </w:style>
  <w:style w:type="paragraph" w:customStyle="1" w:styleId="BoxSpaceAbove">
    <w:name w:val="Box Space Above"/>
    <w:basedOn w:val="BodyText"/>
    <w:rsid w:val="00A14011"/>
    <w:pPr>
      <w:keepNext/>
      <w:spacing w:before="360" w:line="80" w:lineRule="exact"/>
      <w:jc w:val="left"/>
    </w:pPr>
  </w:style>
  <w:style w:type="paragraph" w:styleId="Caption">
    <w:name w:val="caption"/>
    <w:basedOn w:val="Normal"/>
    <w:next w:val="BodyText"/>
    <w:rsid w:val="00A14011"/>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A14011"/>
    <w:pPr>
      <w:spacing w:before="120" w:after="0"/>
    </w:pPr>
  </w:style>
  <w:style w:type="paragraph" w:customStyle="1" w:styleId="BoxSubtitle">
    <w:name w:val="Box Subtitle"/>
    <w:basedOn w:val="BoxTitle"/>
    <w:next w:val="Normal"/>
    <w:rsid w:val="00A14011"/>
    <w:pPr>
      <w:spacing w:after="80" w:line="200" w:lineRule="exact"/>
      <w:ind w:firstLine="0"/>
    </w:pPr>
    <w:rPr>
      <w:b w:val="0"/>
      <w:sz w:val="20"/>
    </w:rPr>
  </w:style>
  <w:style w:type="paragraph" w:customStyle="1" w:styleId="Chapter">
    <w:name w:val="Chapter"/>
    <w:basedOn w:val="Heading1"/>
    <w:next w:val="BodyText"/>
    <w:semiHidden/>
    <w:rsid w:val="00A14011"/>
    <w:pPr>
      <w:ind w:left="0" w:firstLine="0"/>
      <w:outlineLvl w:val="9"/>
    </w:pPr>
  </w:style>
  <w:style w:type="paragraph" w:customStyle="1" w:styleId="ChapterSummary">
    <w:name w:val="Chapter Summary"/>
    <w:basedOn w:val="BodyText"/>
    <w:rsid w:val="00A14011"/>
    <w:pPr>
      <w:spacing w:line="280" w:lineRule="atLeast"/>
      <w:ind w:left="907"/>
    </w:pPr>
    <w:rPr>
      <w:rFonts w:ascii="Arial" w:hAnsi="Arial"/>
      <w:b/>
      <w:sz w:val="20"/>
    </w:rPr>
  </w:style>
  <w:style w:type="character" w:styleId="CommentReference">
    <w:name w:val="annotation reference"/>
    <w:basedOn w:val="DefaultParagraphFont"/>
    <w:semiHidden/>
    <w:rsid w:val="00A14011"/>
    <w:rPr>
      <w:b/>
      <w:vanish/>
      <w:color w:val="FF00FF"/>
      <w:sz w:val="20"/>
    </w:rPr>
  </w:style>
  <w:style w:type="paragraph" w:styleId="CommentText">
    <w:name w:val="annotation text"/>
    <w:basedOn w:val="Normal"/>
    <w:link w:val="CommentTextChar"/>
    <w:semiHidden/>
    <w:rsid w:val="00A14011"/>
    <w:pPr>
      <w:spacing w:before="120" w:line="240" w:lineRule="atLeast"/>
      <w:ind w:left="567" w:hanging="567"/>
    </w:pPr>
    <w:rPr>
      <w:sz w:val="20"/>
    </w:rPr>
  </w:style>
  <w:style w:type="paragraph" w:customStyle="1" w:styleId="Continued">
    <w:name w:val="Continued"/>
    <w:basedOn w:val="BoxContinued"/>
    <w:next w:val="BodyText"/>
    <w:rsid w:val="00A14011"/>
  </w:style>
  <w:style w:type="character" w:customStyle="1" w:styleId="DocumentInfo">
    <w:name w:val="Document Info"/>
    <w:basedOn w:val="DefaultParagraphFont"/>
    <w:semiHidden/>
    <w:rsid w:val="00A14011"/>
    <w:rPr>
      <w:rFonts w:ascii="Arial" w:hAnsi="Arial"/>
      <w:sz w:val="14"/>
    </w:rPr>
  </w:style>
  <w:style w:type="character" w:customStyle="1" w:styleId="DraftingNote">
    <w:name w:val="Drafting Note"/>
    <w:basedOn w:val="DefaultParagraphFont"/>
    <w:rsid w:val="00A14011"/>
    <w:rPr>
      <w:b/>
      <w:color w:val="FF0000"/>
      <w:sz w:val="24"/>
      <w:u w:val="dotted"/>
    </w:rPr>
  </w:style>
  <w:style w:type="paragraph" w:customStyle="1" w:styleId="Figure">
    <w:name w:val="Figure"/>
    <w:basedOn w:val="BodyText"/>
    <w:rsid w:val="00A14011"/>
    <w:pPr>
      <w:keepNext/>
      <w:spacing w:before="120" w:after="120" w:line="240" w:lineRule="atLeast"/>
      <w:jc w:val="center"/>
    </w:pPr>
  </w:style>
  <w:style w:type="paragraph" w:customStyle="1" w:styleId="FigureTitle">
    <w:name w:val="Figure Title"/>
    <w:basedOn w:val="Caption"/>
    <w:next w:val="Subtitle"/>
    <w:rsid w:val="00A14011"/>
    <w:pPr>
      <w:spacing w:before="120"/>
    </w:pPr>
  </w:style>
  <w:style w:type="paragraph" w:styleId="Subtitle">
    <w:name w:val="Subtitle"/>
    <w:basedOn w:val="Caption"/>
    <w:link w:val="SubtitleChar"/>
    <w:qFormat/>
    <w:rsid w:val="00A14011"/>
    <w:pPr>
      <w:spacing w:before="0" w:line="200" w:lineRule="exact"/>
      <w:ind w:firstLine="0"/>
    </w:pPr>
    <w:rPr>
      <w:b w:val="0"/>
      <w:sz w:val="20"/>
    </w:rPr>
  </w:style>
  <w:style w:type="paragraph" w:customStyle="1" w:styleId="Finding">
    <w:name w:val="Finding"/>
    <w:basedOn w:val="BodyText"/>
    <w:rsid w:val="00A14011"/>
    <w:pPr>
      <w:keepLines/>
      <w:spacing w:before="120" w:line="280" w:lineRule="atLeast"/>
    </w:pPr>
    <w:rPr>
      <w:rFonts w:ascii="Arial" w:hAnsi="Arial"/>
      <w:sz w:val="22"/>
    </w:rPr>
  </w:style>
  <w:style w:type="paragraph" w:customStyle="1" w:styleId="FindingBullet">
    <w:name w:val="Finding Bullet"/>
    <w:basedOn w:val="Finding"/>
    <w:rsid w:val="00A14011"/>
    <w:pPr>
      <w:numPr>
        <w:numId w:val="15"/>
      </w:numPr>
      <w:spacing w:before="80"/>
    </w:pPr>
  </w:style>
  <w:style w:type="paragraph" w:customStyle="1" w:styleId="FindingNoTitle">
    <w:name w:val="Finding NoTitle"/>
    <w:basedOn w:val="Finding"/>
    <w:semiHidden/>
    <w:rsid w:val="00A14011"/>
    <w:pPr>
      <w:spacing w:before="240"/>
    </w:pPr>
  </w:style>
  <w:style w:type="paragraph" w:customStyle="1" w:styleId="RecTitle">
    <w:name w:val="Rec Title"/>
    <w:basedOn w:val="BodyText"/>
    <w:next w:val="Rec"/>
    <w:qFormat/>
    <w:rsid w:val="00A14011"/>
    <w:pPr>
      <w:keepNext/>
      <w:keepLines/>
      <w:spacing w:line="280" w:lineRule="atLeast"/>
    </w:pPr>
    <w:rPr>
      <w:rFonts w:ascii="Arial" w:hAnsi="Arial"/>
      <w:caps/>
      <w:sz w:val="18"/>
    </w:rPr>
  </w:style>
  <w:style w:type="paragraph" w:customStyle="1" w:styleId="FindingTitle">
    <w:name w:val="Finding Title"/>
    <w:basedOn w:val="RecTitle"/>
    <w:next w:val="Finding"/>
    <w:rsid w:val="00A14011"/>
  </w:style>
  <w:style w:type="character" w:styleId="FootnoteReference">
    <w:name w:val="footnote reference"/>
    <w:basedOn w:val="DefaultParagraphFont"/>
    <w:semiHidden/>
    <w:rsid w:val="00A14011"/>
    <w:rPr>
      <w:rFonts w:ascii="Times New Roman" w:hAnsi="Times New Roman"/>
      <w:position w:val="6"/>
      <w:sz w:val="20"/>
      <w:vertAlign w:val="baseline"/>
    </w:rPr>
  </w:style>
  <w:style w:type="paragraph" w:styleId="FootnoteText">
    <w:name w:val="footnote text"/>
    <w:basedOn w:val="BodyText"/>
    <w:link w:val="FootnoteTextChar"/>
    <w:rsid w:val="00A14011"/>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14011"/>
    <w:rPr>
      <w:i/>
    </w:rPr>
  </w:style>
  <w:style w:type="paragraph" w:customStyle="1" w:styleId="Jurisdictioncommentsbodytext">
    <w:name w:val="Jurisdiction comments body text"/>
    <w:rsid w:val="00A14011"/>
    <w:pPr>
      <w:spacing w:after="140"/>
      <w:jc w:val="both"/>
    </w:pPr>
    <w:rPr>
      <w:rFonts w:ascii="Arial" w:hAnsi="Arial"/>
      <w:sz w:val="24"/>
      <w:lang w:eastAsia="en-US"/>
    </w:rPr>
  </w:style>
  <w:style w:type="paragraph" w:customStyle="1" w:styleId="Jurisdictioncommentsheading">
    <w:name w:val="Jurisdiction comments heading"/>
    <w:rsid w:val="00A14011"/>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4011"/>
    <w:pPr>
      <w:numPr>
        <w:numId w:val="2"/>
      </w:numPr>
      <w:spacing w:after="140"/>
      <w:jc w:val="both"/>
    </w:pPr>
    <w:rPr>
      <w:rFonts w:ascii="Arial" w:hAnsi="Arial"/>
      <w:sz w:val="24"/>
      <w:lang w:eastAsia="en-US"/>
    </w:rPr>
  </w:style>
  <w:style w:type="paragraph" w:styleId="ListBullet">
    <w:name w:val="List Bullet"/>
    <w:basedOn w:val="BodyText"/>
    <w:rsid w:val="00A14011"/>
    <w:pPr>
      <w:numPr>
        <w:numId w:val="3"/>
      </w:numPr>
      <w:spacing w:before="120"/>
    </w:pPr>
  </w:style>
  <w:style w:type="paragraph" w:styleId="ListBullet2">
    <w:name w:val="List Bullet 2"/>
    <w:basedOn w:val="BodyText"/>
    <w:rsid w:val="00A14011"/>
    <w:pPr>
      <w:numPr>
        <w:numId w:val="4"/>
      </w:numPr>
      <w:spacing w:before="120"/>
    </w:pPr>
  </w:style>
  <w:style w:type="paragraph" w:styleId="ListBullet3">
    <w:name w:val="List Bullet 3"/>
    <w:basedOn w:val="BodyText"/>
    <w:rsid w:val="00A14011"/>
    <w:pPr>
      <w:numPr>
        <w:numId w:val="5"/>
      </w:numPr>
      <w:spacing w:before="120"/>
      <w:ind w:left="1020" w:hanging="340"/>
    </w:pPr>
  </w:style>
  <w:style w:type="paragraph" w:styleId="ListNumber">
    <w:name w:val="List Number"/>
    <w:basedOn w:val="BodyText"/>
    <w:rsid w:val="00A14011"/>
    <w:pPr>
      <w:numPr>
        <w:numId w:val="9"/>
      </w:numPr>
      <w:spacing w:before="120"/>
    </w:pPr>
  </w:style>
  <w:style w:type="paragraph" w:styleId="ListNumber2">
    <w:name w:val="List Number 2"/>
    <w:basedOn w:val="ListNumber"/>
    <w:rsid w:val="00A14011"/>
    <w:pPr>
      <w:numPr>
        <w:ilvl w:val="1"/>
      </w:numPr>
    </w:pPr>
  </w:style>
  <w:style w:type="paragraph" w:styleId="ListNumber3">
    <w:name w:val="List Number 3"/>
    <w:basedOn w:val="ListNumber2"/>
    <w:rsid w:val="00A14011"/>
    <w:pPr>
      <w:numPr>
        <w:ilvl w:val="2"/>
      </w:numPr>
    </w:pPr>
  </w:style>
  <w:style w:type="character" w:customStyle="1" w:styleId="NoteLabel">
    <w:name w:val="Note Label"/>
    <w:basedOn w:val="DefaultParagraphFont"/>
    <w:rsid w:val="00A14011"/>
    <w:rPr>
      <w:rFonts w:ascii="Arial" w:hAnsi="Arial"/>
      <w:b/>
      <w:position w:val="6"/>
      <w:sz w:val="18"/>
    </w:rPr>
  </w:style>
  <w:style w:type="paragraph" w:customStyle="1" w:styleId="PartDivider">
    <w:name w:val="Part Divider"/>
    <w:basedOn w:val="BodyText"/>
    <w:next w:val="BodyText"/>
    <w:semiHidden/>
    <w:rsid w:val="00A14011"/>
    <w:pPr>
      <w:spacing w:before="0" w:line="40" w:lineRule="exact"/>
      <w:jc w:val="right"/>
    </w:pPr>
    <w:rPr>
      <w:smallCaps/>
      <w:sz w:val="16"/>
    </w:rPr>
  </w:style>
  <w:style w:type="paragraph" w:customStyle="1" w:styleId="PartNumber">
    <w:name w:val="Part Number"/>
    <w:basedOn w:val="BodyText"/>
    <w:next w:val="BodyText"/>
    <w:semiHidden/>
    <w:rsid w:val="00A14011"/>
    <w:pPr>
      <w:spacing w:before="4000" w:line="320" w:lineRule="exact"/>
      <w:ind w:left="6634"/>
      <w:jc w:val="right"/>
    </w:pPr>
    <w:rPr>
      <w:smallCaps/>
      <w:spacing w:val="60"/>
      <w:sz w:val="32"/>
    </w:rPr>
  </w:style>
  <w:style w:type="paragraph" w:customStyle="1" w:styleId="PartTitle">
    <w:name w:val="Part Title"/>
    <w:basedOn w:val="BodyText"/>
    <w:semiHidden/>
    <w:rsid w:val="00A14011"/>
    <w:pPr>
      <w:spacing w:before="160" w:after="1360" w:line="520" w:lineRule="exact"/>
      <w:ind w:right="2381"/>
      <w:jc w:val="right"/>
    </w:pPr>
    <w:rPr>
      <w:smallCaps/>
      <w:sz w:val="52"/>
    </w:rPr>
  </w:style>
  <w:style w:type="paragraph" w:styleId="Quote">
    <w:name w:val="Quote"/>
    <w:basedOn w:val="BodyText"/>
    <w:next w:val="BodyText"/>
    <w:qFormat/>
    <w:rsid w:val="00A14011"/>
    <w:pPr>
      <w:spacing w:before="120" w:line="280" w:lineRule="exact"/>
      <w:ind w:left="340"/>
    </w:pPr>
    <w:rPr>
      <w:sz w:val="22"/>
    </w:rPr>
  </w:style>
  <w:style w:type="paragraph" w:customStyle="1" w:styleId="QuoteBullet">
    <w:name w:val="Quote Bullet"/>
    <w:basedOn w:val="Quote"/>
    <w:rsid w:val="00A14011"/>
    <w:pPr>
      <w:numPr>
        <w:numId w:val="6"/>
      </w:numPr>
    </w:pPr>
  </w:style>
  <w:style w:type="paragraph" w:customStyle="1" w:styleId="Rec">
    <w:name w:val="Rec"/>
    <w:basedOn w:val="BodyText"/>
    <w:qFormat/>
    <w:rsid w:val="00A14011"/>
    <w:pPr>
      <w:keepLines/>
      <w:spacing w:before="120" w:line="280" w:lineRule="atLeast"/>
    </w:pPr>
    <w:rPr>
      <w:rFonts w:ascii="Arial" w:hAnsi="Arial"/>
      <w:sz w:val="22"/>
    </w:rPr>
  </w:style>
  <w:style w:type="paragraph" w:customStyle="1" w:styleId="RecBullet">
    <w:name w:val="Rec Bullet"/>
    <w:basedOn w:val="Rec"/>
    <w:rsid w:val="00A14011"/>
    <w:pPr>
      <w:numPr>
        <w:numId w:val="17"/>
      </w:numPr>
      <w:spacing w:before="80"/>
    </w:pPr>
  </w:style>
  <w:style w:type="paragraph" w:customStyle="1" w:styleId="RecB">
    <w:name w:val="RecB"/>
    <w:basedOn w:val="Normal"/>
    <w:semiHidden/>
    <w:rsid w:val="00A14011"/>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14011"/>
    <w:pPr>
      <w:numPr>
        <w:numId w:val="11"/>
      </w:numPr>
      <w:spacing w:before="80"/>
    </w:pPr>
  </w:style>
  <w:style w:type="paragraph" w:customStyle="1" w:styleId="RecBNoTitle">
    <w:name w:val="RecB NoTitle"/>
    <w:basedOn w:val="RecB"/>
    <w:semiHidden/>
    <w:rsid w:val="00A14011"/>
    <w:pPr>
      <w:spacing w:before="240"/>
    </w:pPr>
  </w:style>
  <w:style w:type="paragraph" w:customStyle="1" w:styleId="Reference">
    <w:name w:val="Reference"/>
    <w:basedOn w:val="BodyText"/>
    <w:rsid w:val="00A14011"/>
    <w:pPr>
      <w:spacing w:before="120"/>
      <w:ind w:left="340" w:hanging="340"/>
    </w:pPr>
  </w:style>
  <w:style w:type="paragraph" w:customStyle="1" w:styleId="SequenceInfo">
    <w:name w:val="Sequence Info"/>
    <w:basedOn w:val="BodyText"/>
    <w:semiHidden/>
    <w:rsid w:val="00A14011"/>
    <w:rPr>
      <w:vanish/>
      <w:sz w:val="16"/>
    </w:rPr>
  </w:style>
  <w:style w:type="paragraph" w:customStyle="1" w:styleId="SideNote">
    <w:name w:val="Side Note"/>
    <w:basedOn w:val="BodyText"/>
    <w:next w:val="BodyText"/>
    <w:semiHidden/>
    <w:rsid w:val="00A14011"/>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4011"/>
    <w:pPr>
      <w:framePr w:wrap="around"/>
      <w:numPr>
        <w:numId w:val="7"/>
      </w:numPr>
      <w:tabs>
        <w:tab w:val="left" w:pos="227"/>
      </w:tabs>
    </w:pPr>
  </w:style>
  <w:style w:type="paragraph" w:customStyle="1" w:styleId="SideNoteGraphic">
    <w:name w:val="Side Note Graphic"/>
    <w:basedOn w:val="SideNote"/>
    <w:next w:val="BodyText"/>
    <w:semiHidden/>
    <w:rsid w:val="00A14011"/>
    <w:pPr>
      <w:framePr w:wrap="around"/>
    </w:pPr>
  </w:style>
  <w:style w:type="paragraph" w:customStyle="1" w:styleId="TableBodyText">
    <w:name w:val="Table Body Text"/>
    <w:basedOn w:val="BodyText"/>
    <w:rsid w:val="00A14011"/>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14011"/>
    <w:pPr>
      <w:numPr>
        <w:numId w:val="8"/>
      </w:numPr>
      <w:jc w:val="left"/>
    </w:pPr>
  </w:style>
  <w:style w:type="paragraph" w:customStyle="1" w:styleId="TableColumnHeading">
    <w:name w:val="Table Column Heading"/>
    <w:basedOn w:val="TableBodyText"/>
    <w:rsid w:val="00A14011"/>
    <w:pPr>
      <w:spacing w:before="80" w:after="80"/>
    </w:pPr>
    <w:rPr>
      <w:i/>
    </w:rPr>
  </w:style>
  <w:style w:type="paragraph" w:styleId="TOC2">
    <w:name w:val="toc 2"/>
    <w:basedOn w:val="TOC1"/>
    <w:rsid w:val="00A14011"/>
    <w:pPr>
      <w:ind w:left="1134" w:hanging="624"/>
    </w:pPr>
    <w:rPr>
      <w:b w:val="0"/>
    </w:rPr>
  </w:style>
  <w:style w:type="paragraph" w:styleId="TOC3">
    <w:name w:val="toc 3"/>
    <w:basedOn w:val="TOC2"/>
    <w:rsid w:val="00A14011"/>
    <w:pPr>
      <w:spacing w:before="60"/>
      <w:ind w:left="1190" w:hanging="680"/>
    </w:pPr>
  </w:style>
  <w:style w:type="paragraph" w:styleId="TableofFigures">
    <w:name w:val="table of figures"/>
    <w:basedOn w:val="TOC3"/>
    <w:next w:val="BodyText"/>
    <w:semiHidden/>
    <w:rsid w:val="00A14011"/>
    <w:pPr>
      <w:ind w:left="737" w:hanging="737"/>
    </w:pPr>
  </w:style>
  <w:style w:type="paragraph" w:customStyle="1" w:styleId="TableTitle">
    <w:name w:val="Table Title"/>
    <w:basedOn w:val="Caption"/>
    <w:next w:val="Subtitle"/>
    <w:qFormat/>
    <w:rsid w:val="00A14011"/>
    <w:pPr>
      <w:spacing w:before="120"/>
    </w:pPr>
  </w:style>
  <w:style w:type="paragraph" w:customStyle="1" w:styleId="TableUnitsRow">
    <w:name w:val="Table Units Row"/>
    <w:basedOn w:val="TableBodyText"/>
    <w:rsid w:val="00A14011"/>
    <w:pPr>
      <w:spacing w:before="40"/>
    </w:pPr>
  </w:style>
  <w:style w:type="paragraph" w:styleId="TOC1">
    <w:name w:val="toc 1"/>
    <w:basedOn w:val="Normal"/>
    <w:next w:val="TOC2"/>
    <w:link w:val="TOC1Char"/>
    <w:rsid w:val="00A14011"/>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rsid w:val="00A14011"/>
    <w:pPr>
      <w:ind w:left="1191" w:firstLine="0"/>
    </w:pPr>
  </w:style>
  <w:style w:type="paragraph" w:customStyle="1" w:styleId="RecBBullet2">
    <w:name w:val="RecB Bullet 2"/>
    <w:basedOn w:val="ListBullet2"/>
    <w:semiHidden/>
    <w:rsid w:val="00A14011"/>
    <w:pPr>
      <w:pBdr>
        <w:left w:val="single" w:sz="24" w:space="29" w:color="C0C0C0"/>
      </w:pBdr>
    </w:pPr>
    <w:rPr>
      <w:b/>
      <w:i/>
    </w:rPr>
  </w:style>
  <w:style w:type="paragraph" w:styleId="BalloonText">
    <w:name w:val="Balloon Text"/>
    <w:basedOn w:val="Normal"/>
    <w:link w:val="BalloonTextChar"/>
    <w:rsid w:val="00A14011"/>
    <w:rPr>
      <w:rFonts w:ascii="Tahoma" w:hAnsi="Tahoma" w:cs="Tahoma"/>
      <w:sz w:val="16"/>
      <w:szCs w:val="16"/>
    </w:rPr>
  </w:style>
  <w:style w:type="character" w:customStyle="1" w:styleId="BalloonTextChar">
    <w:name w:val="Balloon Text Char"/>
    <w:basedOn w:val="DefaultParagraphFont"/>
    <w:link w:val="BalloonText"/>
    <w:rsid w:val="00A14011"/>
    <w:rPr>
      <w:rFonts w:ascii="Tahoma" w:hAnsi="Tahoma" w:cs="Tahoma"/>
      <w:sz w:val="16"/>
      <w:szCs w:val="16"/>
    </w:rPr>
  </w:style>
  <w:style w:type="character" w:customStyle="1" w:styleId="SubtitleChar">
    <w:name w:val="Subtitle Char"/>
    <w:basedOn w:val="DefaultParagraphFont"/>
    <w:link w:val="Subtitle"/>
    <w:rsid w:val="00A14011"/>
    <w:rPr>
      <w:rFonts w:ascii="Arial" w:hAnsi="Arial"/>
      <w:szCs w:val="24"/>
    </w:rPr>
  </w:style>
  <w:style w:type="paragraph" w:customStyle="1" w:styleId="BoxListBullet3">
    <w:name w:val="Box List Bullet 3"/>
    <w:basedOn w:val="ListBullet3"/>
    <w:rsid w:val="00A14011"/>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14011"/>
    <w:rPr>
      <w:i/>
      <w:iCs/>
    </w:rPr>
  </w:style>
  <w:style w:type="paragraph" w:customStyle="1" w:styleId="BoxQuoteBullet">
    <w:name w:val="Box Quote Bullet"/>
    <w:basedOn w:val="BoxQuote"/>
    <w:next w:val="Box"/>
    <w:rsid w:val="00A14011"/>
    <w:pPr>
      <w:numPr>
        <w:numId w:val="12"/>
      </w:numPr>
      <w:ind w:left="568" w:hanging="284"/>
    </w:pPr>
  </w:style>
  <w:style w:type="paragraph" w:customStyle="1" w:styleId="InformationRequestBullet">
    <w:name w:val="Information Request Bullet"/>
    <w:basedOn w:val="ListBullet"/>
    <w:next w:val="BodyText"/>
    <w:rsid w:val="00A14011"/>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A14011"/>
    <w:pPr>
      <w:keepNext w:val="0"/>
      <w:spacing w:before="60" w:after="60" w:line="80" w:lineRule="exact"/>
    </w:pPr>
    <w:rPr>
      <w:sz w:val="14"/>
    </w:rPr>
  </w:style>
  <w:style w:type="paragraph" w:customStyle="1" w:styleId="KeyPointsListBullet">
    <w:name w:val="Key Points List Bullet"/>
    <w:basedOn w:val="Normal"/>
    <w:qFormat/>
    <w:rsid w:val="00A14011"/>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14011"/>
    <w:pPr>
      <w:numPr>
        <w:numId w:val="19"/>
      </w:numPr>
      <w:ind w:left="568" w:hanging="284"/>
    </w:pPr>
  </w:style>
  <w:style w:type="paragraph" w:customStyle="1" w:styleId="InformationRequestTitle">
    <w:name w:val="Information Request Title"/>
    <w:basedOn w:val="FindingTitle"/>
    <w:next w:val="InformationRequest"/>
    <w:rsid w:val="00A14011"/>
    <w:rPr>
      <w:i/>
    </w:rPr>
  </w:style>
  <w:style w:type="paragraph" w:customStyle="1" w:styleId="Space">
    <w:name w:val="Space"/>
    <w:basedOn w:val="Normal"/>
    <w:rsid w:val="00A14011"/>
    <w:pPr>
      <w:keepNext/>
      <w:spacing w:line="120" w:lineRule="exact"/>
      <w:jc w:val="both"/>
    </w:pPr>
    <w:rPr>
      <w:rFonts w:ascii="Arial" w:hAnsi="Arial"/>
      <w:sz w:val="20"/>
      <w:szCs w:val="20"/>
    </w:rPr>
  </w:style>
  <w:style w:type="paragraph" w:customStyle="1" w:styleId="Heading1nochapterno">
    <w:name w:val="Heading 1 (no chapter no.)"/>
    <w:basedOn w:val="Heading1"/>
    <w:rsid w:val="00A14011"/>
    <w:pPr>
      <w:spacing w:before="0"/>
      <w:ind w:left="0" w:firstLine="0"/>
    </w:pPr>
  </w:style>
  <w:style w:type="paragraph" w:customStyle="1" w:styleId="Heading2nosectionno">
    <w:name w:val="Heading 2 (no section no.)"/>
    <w:basedOn w:val="Heading2"/>
    <w:rsid w:val="00A14011"/>
    <w:pPr>
      <w:ind w:left="0" w:firstLine="0"/>
    </w:pPr>
  </w:style>
  <w:style w:type="character" w:customStyle="1" w:styleId="Heading5Char">
    <w:name w:val="Heading 5 Char"/>
    <w:basedOn w:val="DefaultParagraphFont"/>
    <w:link w:val="Heading5"/>
    <w:rsid w:val="00A14011"/>
    <w:rPr>
      <w:rFonts w:ascii="Arial" w:hAnsi="Arial"/>
      <w:i/>
      <w:sz w:val="22"/>
    </w:rPr>
  </w:style>
  <w:style w:type="paragraph" w:customStyle="1" w:styleId="Figurespace">
    <w:name w:val="Figure space"/>
    <w:basedOn w:val="Box"/>
    <w:rsid w:val="00A14011"/>
    <w:pPr>
      <w:spacing w:before="0" w:line="120" w:lineRule="exact"/>
    </w:pPr>
  </w:style>
  <w:style w:type="paragraph" w:customStyle="1" w:styleId="FooterDraftReport">
    <w:name w:val="FooterDraftReport"/>
    <w:basedOn w:val="Footer"/>
    <w:link w:val="FooterDraftReportChar"/>
    <w:rsid w:val="00A14011"/>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A140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A14011"/>
    <w:rPr>
      <w:rFonts w:ascii="Arial" w:hAnsi="Arial"/>
      <w:caps/>
      <w:spacing w:val="-4"/>
      <w:sz w:val="16"/>
    </w:rPr>
  </w:style>
  <w:style w:type="character" w:customStyle="1" w:styleId="BodyTextChar">
    <w:name w:val="Body Text Char"/>
    <w:basedOn w:val="DefaultParagraphFont"/>
    <w:link w:val="BodyText"/>
    <w:rsid w:val="00A14011"/>
    <w:rPr>
      <w:sz w:val="24"/>
    </w:rPr>
  </w:style>
  <w:style w:type="character" w:customStyle="1" w:styleId="CommentTextChar">
    <w:name w:val="Comment Text Char"/>
    <w:basedOn w:val="DefaultParagraphFont"/>
    <w:link w:val="CommentText"/>
    <w:semiHidden/>
    <w:rsid w:val="001F49AE"/>
    <w:rPr>
      <w:szCs w:val="24"/>
    </w:rPr>
  </w:style>
  <w:style w:type="character" w:customStyle="1" w:styleId="FooterDraftReportChar">
    <w:name w:val="FooterDraftReport Char"/>
    <w:basedOn w:val="FooterChar"/>
    <w:link w:val="FooterDraftReport"/>
    <w:rsid w:val="00A14011"/>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FootnoteTextChar">
    <w:name w:val="Footnote Text Char"/>
    <w:basedOn w:val="DefaultParagraphFont"/>
    <w:link w:val="FootnoteText"/>
    <w:rsid w:val="00FA15F5"/>
  </w:style>
  <w:style w:type="paragraph" w:styleId="CommentSubject">
    <w:name w:val="annotation subject"/>
    <w:basedOn w:val="CommentText"/>
    <w:next w:val="CommentText"/>
    <w:link w:val="CommentSubjectChar"/>
    <w:rsid w:val="00514995"/>
    <w:pPr>
      <w:spacing w:before="0" w:line="240" w:lineRule="auto"/>
      <w:ind w:left="0" w:firstLine="0"/>
    </w:pPr>
    <w:rPr>
      <w:b/>
      <w:bCs/>
      <w:szCs w:val="20"/>
    </w:rPr>
  </w:style>
  <w:style w:type="character" w:customStyle="1" w:styleId="CommentSubjectChar">
    <w:name w:val="Comment Subject Char"/>
    <w:basedOn w:val="CommentTextChar"/>
    <w:link w:val="CommentSubject"/>
    <w:rsid w:val="00514995"/>
    <w:rPr>
      <w:b/>
      <w:bCs/>
      <w:szCs w:val="24"/>
    </w:rPr>
  </w:style>
  <w:style w:type="character" w:customStyle="1" w:styleId="TOC1Char">
    <w:name w:val="TOC 1 Char"/>
    <w:basedOn w:val="DefaultParagraphFont"/>
    <w:link w:val="TOC1"/>
    <w:rsid w:val="00A14011"/>
    <w:rPr>
      <w:rFonts w:ascii="Arial" w:hAnsi="Arial"/>
      <w:b/>
      <w:sz w:val="26"/>
      <w:szCs w:val="26"/>
      <w:lang w:eastAsia="en-US"/>
    </w:rPr>
  </w:style>
  <w:style w:type="character" w:styleId="EndnoteReference">
    <w:name w:val="endnote reference"/>
    <w:basedOn w:val="DefaultParagraphFont"/>
    <w:rsid w:val="00C03170"/>
    <w:rPr>
      <w:vertAlign w:val="superscript"/>
    </w:rPr>
  </w:style>
  <w:style w:type="character" w:customStyle="1" w:styleId="Heading4Char">
    <w:name w:val="Heading 4 Char"/>
    <w:basedOn w:val="DefaultParagraphFont"/>
    <w:link w:val="Heading4"/>
    <w:rsid w:val="00B57C51"/>
    <w:rPr>
      <w:rFonts w:ascii="Arial" w:hAnsi="Arial"/>
      <w:sz w:val="24"/>
    </w:rPr>
  </w:style>
  <w:style w:type="character" w:customStyle="1" w:styleId="Heading1Char">
    <w:name w:val="Heading 1 Char"/>
    <w:basedOn w:val="DefaultParagraphFont"/>
    <w:link w:val="Heading1"/>
    <w:rsid w:val="00B57C51"/>
    <w:rPr>
      <w:sz w:val="52"/>
    </w:rPr>
  </w:style>
  <w:style w:type="paragraph" w:styleId="ListParagraph">
    <w:name w:val="List Paragraph"/>
    <w:basedOn w:val="Normal"/>
    <w:uiPriority w:val="34"/>
    <w:qFormat/>
    <w:rsid w:val="00C2359D"/>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4C5CB0"/>
    <w:pPr>
      <w:spacing w:after="240"/>
      <w:ind w:left="720" w:hanging="720"/>
    </w:pPr>
  </w:style>
  <w:style w:type="paragraph" w:styleId="Revision">
    <w:name w:val="Revision"/>
    <w:hidden/>
    <w:uiPriority w:val="99"/>
    <w:semiHidden/>
    <w:rsid w:val="000E2128"/>
    <w:rPr>
      <w:sz w:val="24"/>
      <w:szCs w:val="24"/>
    </w:rPr>
  </w:style>
  <w:style w:type="paragraph" w:styleId="TOC5">
    <w:name w:val="toc 5"/>
    <w:basedOn w:val="Normal"/>
    <w:next w:val="Normal"/>
    <w:autoRedefine/>
    <w:uiPriority w:val="39"/>
    <w:rsid w:val="00C0272B"/>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5877">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371462302">
      <w:bodyDiv w:val="1"/>
      <w:marLeft w:val="0"/>
      <w:marRight w:val="0"/>
      <w:marTop w:val="0"/>
      <w:marBottom w:val="0"/>
      <w:divBdr>
        <w:top w:val="none" w:sz="0" w:space="0" w:color="auto"/>
        <w:left w:val="none" w:sz="0" w:space="0" w:color="auto"/>
        <w:bottom w:val="none" w:sz="0" w:space="0" w:color="auto"/>
        <w:right w:val="none" w:sz="0" w:space="0" w:color="auto"/>
      </w:divBdr>
    </w:div>
    <w:div w:id="425804336">
      <w:bodyDiv w:val="1"/>
      <w:marLeft w:val="0"/>
      <w:marRight w:val="0"/>
      <w:marTop w:val="0"/>
      <w:marBottom w:val="0"/>
      <w:divBdr>
        <w:top w:val="none" w:sz="0" w:space="0" w:color="auto"/>
        <w:left w:val="none" w:sz="0" w:space="0" w:color="auto"/>
        <w:bottom w:val="none" w:sz="0" w:space="0" w:color="auto"/>
        <w:right w:val="none" w:sz="0" w:space="0" w:color="auto"/>
      </w:divBdr>
    </w:div>
    <w:div w:id="1028415318">
      <w:bodyDiv w:val="1"/>
      <w:marLeft w:val="0"/>
      <w:marRight w:val="0"/>
      <w:marTop w:val="0"/>
      <w:marBottom w:val="0"/>
      <w:divBdr>
        <w:top w:val="none" w:sz="0" w:space="0" w:color="auto"/>
        <w:left w:val="none" w:sz="0" w:space="0" w:color="auto"/>
        <w:bottom w:val="none" w:sz="0" w:space="0" w:color="auto"/>
        <w:right w:val="none" w:sz="0" w:space="0" w:color="auto"/>
      </w:divBdr>
    </w:div>
    <w:div w:id="1257862941">
      <w:bodyDiv w:val="1"/>
      <w:marLeft w:val="0"/>
      <w:marRight w:val="0"/>
      <w:marTop w:val="0"/>
      <w:marBottom w:val="0"/>
      <w:divBdr>
        <w:top w:val="none" w:sz="0" w:space="0" w:color="auto"/>
        <w:left w:val="none" w:sz="0" w:space="0" w:color="auto"/>
        <w:bottom w:val="none" w:sz="0" w:space="0" w:color="auto"/>
        <w:right w:val="none" w:sz="0" w:space="0" w:color="auto"/>
      </w:divBdr>
    </w:div>
    <w:div w:id="1376199092">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chart" Target="charts/chart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chart" Target="charts/chart4.xml"/><Relationship Id="rId37"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image" Target="media/image2.jpeg"/><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chart" Target="charts/chart2.xml"/><Relationship Id="rId35"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http://pc/gcp/wr/Research%20%20Analysis/Projected%20Employment%20Share%20by%20Occupation%20-%20DE%20-%20ABS%206291.0.55.003%20Table%200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http://pc/gcp/wr/Research%20%20Analysis/Youth%20Unemployment%20-%20ABS%20-%206202%20-%20Table%2017.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http://pc/gcp/wr/Research%20%20Analysis/Background/Ralph/Excel%20and%20other%20data/Employment%20Rate%20by%20Cohor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http://pc/gcp/wr/Research%20%20Analysis/Background/Ralph/Excel%20and%20other%20data/International%20data/World%20Economic%20Forum%20Efficiency%20Enhancers%202014-15.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Noadmin\Desktop\new%20data\Data%20for%20Phllips%20Cur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647092592592592"/>
          <c:y val="4.8183113767333162E-2"/>
          <c:w val="0.50588777777777783"/>
          <c:h val="0.8179137022152505"/>
        </c:manualLayout>
      </c:layout>
      <c:barChart>
        <c:barDir val="bar"/>
        <c:grouping val="clustered"/>
        <c:varyColors val="0"/>
        <c:ser>
          <c:idx val="0"/>
          <c:order val="0"/>
          <c:tx>
            <c:strRef>
              <c:f>'Dept Emplotment Figures'!$L$24</c:f>
              <c:strCache>
                <c:ptCount val="1"/>
                <c:pt idx="0">
                  <c:v>2018</c:v>
                </c:pt>
              </c:strCache>
            </c:strRef>
          </c:tx>
          <c:spPr>
            <a:solidFill>
              <a:srgbClr val="78A22F"/>
            </a:solidFill>
            <a:ln>
              <a:solidFill>
                <a:srgbClr val="78A22F"/>
              </a:solidFill>
            </a:ln>
          </c:spPr>
          <c:invertIfNegative val="0"/>
          <c:cat>
            <c:strRef>
              <c:f>'Dept Emplotment Figures'!$A$25:$A$32</c:f>
              <c:strCache>
                <c:ptCount val="8"/>
                <c:pt idx="0">
                  <c:v>Machinery Operators and Drivers</c:v>
                </c:pt>
                <c:pt idx="1">
                  <c:v>Labourers</c:v>
                </c:pt>
                <c:pt idx="2">
                  <c:v>Sales Workers </c:v>
                </c:pt>
                <c:pt idx="3">
                  <c:v>Clerical and Administrative Workers</c:v>
                </c:pt>
                <c:pt idx="4">
                  <c:v>Technicians and Trades Workers </c:v>
                </c:pt>
                <c:pt idx="5">
                  <c:v>Managers</c:v>
                </c:pt>
                <c:pt idx="6">
                  <c:v>Community and Personal Service Workers </c:v>
                </c:pt>
                <c:pt idx="7">
                  <c:v>Professionals</c:v>
                </c:pt>
              </c:strCache>
            </c:strRef>
          </c:cat>
          <c:val>
            <c:numRef>
              <c:f>'Dept Emplotment Figures'!$L$25:$L$32</c:f>
              <c:numCache>
                <c:formatCode>General</c:formatCode>
                <c:ptCount val="8"/>
                <c:pt idx="0">
                  <c:v>3.1</c:v>
                </c:pt>
                <c:pt idx="1">
                  <c:v>1.3</c:v>
                </c:pt>
                <c:pt idx="2">
                  <c:v>8.6999999999999993</c:v>
                </c:pt>
                <c:pt idx="3">
                  <c:v>8.3000000000000007</c:v>
                </c:pt>
                <c:pt idx="4">
                  <c:v>10.8</c:v>
                </c:pt>
                <c:pt idx="5">
                  <c:v>15.7</c:v>
                </c:pt>
                <c:pt idx="6">
                  <c:v>19.8</c:v>
                </c:pt>
                <c:pt idx="7">
                  <c:v>32.299999999999997</c:v>
                </c:pt>
              </c:numCache>
            </c:numRef>
          </c:val>
        </c:ser>
        <c:ser>
          <c:idx val="1"/>
          <c:order val="1"/>
          <c:tx>
            <c:strRef>
              <c:f>'Dept Emplotment Figures'!$C$24</c:f>
              <c:strCache>
                <c:ptCount val="1"/>
                <c:pt idx="0">
                  <c:v>2013</c:v>
                </c:pt>
              </c:strCache>
            </c:strRef>
          </c:tx>
          <c:spPr>
            <a:solidFill>
              <a:srgbClr val="265A9A"/>
            </a:solidFill>
            <a:ln>
              <a:solidFill>
                <a:srgbClr val="265A9A"/>
              </a:solidFill>
            </a:ln>
          </c:spPr>
          <c:invertIfNegative val="0"/>
          <c:cat>
            <c:strRef>
              <c:f>'Dept Emplotment Figures'!$A$25:$A$32</c:f>
              <c:strCache>
                <c:ptCount val="8"/>
                <c:pt idx="0">
                  <c:v>Machinery Operators and Drivers</c:v>
                </c:pt>
                <c:pt idx="1">
                  <c:v>Labourers</c:v>
                </c:pt>
                <c:pt idx="2">
                  <c:v>Sales Workers </c:v>
                </c:pt>
                <c:pt idx="3">
                  <c:v>Clerical and Administrative Workers</c:v>
                </c:pt>
                <c:pt idx="4">
                  <c:v>Technicians and Trades Workers </c:v>
                </c:pt>
                <c:pt idx="5">
                  <c:v>Managers</c:v>
                </c:pt>
                <c:pt idx="6">
                  <c:v>Community and Personal Service Workers </c:v>
                </c:pt>
                <c:pt idx="7">
                  <c:v>Professionals</c:v>
                </c:pt>
              </c:strCache>
            </c:strRef>
          </c:cat>
          <c:val>
            <c:numRef>
              <c:f>'Dept Emplotment Figures'!$C$25:$C$32</c:f>
              <c:numCache>
                <c:formatCode>General</c:formatCode>
                <c:ptCount val="8"/>
                <c:pt idx="0">
                  <c:v>7</c:v>
                </c:pt>
                <c:pt idx="1">
                  <c:v>10</c:v>
                </c:pt>
                <c:pt idx="2">
                  <c:v>9</c:v>
                </c:pt>
                <c:pt idx="3">
                  <c:v>14</c:v>
                </c:pt>
                <c:pt idx="4">
                  <c:v>15</c:v>
                </c:pt>
                <c:pt idx="5">
                  <c:v>13</c:v>
                </c:pt>
                <c:pt idx="6">
                  <c:v>10</c:v>
                </c:pt>
                <c:pt idx="7">
                  <c:v>22</c:v>
                </c:pt>
              </c:numCache>
            </c:numRef>
          </c:val>
        </c:ser>
        <c:dLbls>
          <c:showLegendKey val="0"/>
          <c:showVal val="0"/>
          <c:showCatName val="0"/>
          <c:showSerName val="0"/>
          <c:showPercent val="0"/>
          <c:showBubbleSize val="0"/>
        </c:dLbls>
        <c:gapWidth val="58"/>
        <c:axId val="114783360"/>
        <c:axId val="114784896"/>
      </c:barChart>
      <c:catAx>
        <c:axId val="114783360"/>
        <c:scaling>
          <c:orientation val="minMax"/>
        </c:scaling>
        <c:delete val="0"/>
        <c:axPos val="l"/>
        <c:majorTickMark val="out"/>
        <c:minorTickMark val="none"/>
        <c:tickLblPos val="nextTo"/>
        <c:spPr>
          <a:ln>
            <a:solidFill>
              <a:srgbClr val="BFBFBF"/>
            </a:solidFill>
          </a:ln>
        </c:spPr>
        <c:crossAx val="114784896"/>
        <c:crosses val="autoZero"/>
        <c:auto val="1"/>
        <c:lblAlgn val="ctr"/>
        <c:lblOffset val="100"/>
        <c:noMultiLvlLbl val="0"/>
      </c:catAx>
      <c:valAx>
        <c:axId val="114784896"/>
        <c:scaling>
          <c:orientation val="minMax"/>
        </c:scaling>
        <c:delete val="0"/>
        <c:axPos val="b"/>
        <c:majorGridlines>
          <c:spPr>
            <a:ln>
              <a:noFill/>
            </a:ln>
          </c:spPr>
        </c:majorGridlines>
        <c:title>
          <c:tx>
            <c:rich>
              <a:bodyPr/>
              <a:lstStyle/>
              <a:p>
                <a:pPr>
                  <a:defRPr/>
                </a:pPr>
                <a:r>
                  <a:rPr lang="en-US"/>
                  <a:t>Per cent</a:t>
                </a:r>
              </a:p>
            </c:rich>
          </c:tx>
          <c:layout/>
          <c:overlay val="0"/>
        </c:title>
        <c:numFmt formatCode="General" sourceLinked="1"/>
        <c:majorTickMark val="out"/>
        <c:minorTickMark val="none"/>
        <c:tickLblPos val="nextTo"/>
        <c:spPr>
          <a:ln>
            <a:solidFill>
              <a:srgbClr val="BFBFBF"/>
            </a:solidFill>
          </a:ln>
        </c:spPr>
        <c:crossAx val="114783360"/>
        <c:crosses val="autoZero"/>
        <c:crossBetween val="between"/>
      </c:valAx>
      <c:spPr>
        <a:noFill/>
        <a:ln>
          <a:noFill/>
        </a:ln>
      </c:spPr>
    </c:plotArea>
    <c:legend>
      <c:legendPos val="b"/>
      <c:layout>
        <c:manualLayout>
          <c:xMode val="edge"/>
          <c:yMode val="edge"/>
          <c:x val="0.76849203703703706"/>
          <c:y val="0.17234758339438139"/>
          <c:w val="0.16857148148148149"/>
          <c:h val="6.9863445537560756E-2"/>
        </c:manualLayout>
      </c:layout>
      <c:overlay val="0"/>
      <c:spPr>
        <a:ln>
          <a:noFill/>
        </a:ln>
      </c:spPr>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15331890331889"/>
          <c:y val="4.8120443713892444E-2"/>
          <c:w val="0.78553210678210683"/>
          <c:h val="0.8544358299932624"/>
        </c:manualLayout>
      </c:layout>
      <c:lineChart>
        <c:grouping val="standard"/>
        <c:varyColors val="0"/>
        <c:ser>
          <c:idx val="0"/>
          <c:order val="0"/>
          <c:spPr>
            <a:ln>
              <a:solidFill>
                <a:srgbClr val="78A22F"/>
              </a:solidFill>
            </a:ln>
          </c:spPr>
          <c:marker>
            <c:symbol val="none"/>
          </c:marker>
          <c:cat>
            <c:numRef>
              <c:f>Data!$A$11:$A$449</c:f>
              <c:numCache>
                <c:formatCode>General</c:formatCode>
                <c:ptCount val="439"/>
                <c:pt idx="0">
                  <c:v>1978</c:v>
                </c:pt>
                <c:pt idx="1">
                  <c:v>1978</c:v>
                </c:pt>
                <c:pt idx="2">
                  <c:v>1978</c:v>
                </c:pt>
                <c:pt idx="3">
                  <c:v>1978</c:v>
                </c:pt>
                <c:pt idx="4">
                  <c:v>1978</c:v>
                </c:pt>
                <c:pt idx="5">
                  <c:v>1978</c:v>
                </c:pt>
                <c:pt idx="6">
                  <c:v>1978</c:v>
                </c:pt>
                <c:pt idx="7">
                  <c:v>1978</c:v>
                </c:pt>
                <c:pt idx="8">
                  <c:v>1978</c:v>
                </c:pt>
                <c:pt idx="9">
                  <c:v>1978</c:v>
                </c:pt>
                <c:pt idx="10">
                  <c:v>1978</c:v>
                </c:pt>
                <c:pt idx="11">
                  <c:v>1979</c:v>
                </c:pt>
                <c:pt idx="12">
                  <c:v>1979</c:v>
                </c:pt>
                <c:pt idx="13">
                  <c:v>1979</c:v>
                </c:pt>
                <c:pt idx="14">
                  <c:v>1979</c:v>
                </c:pt>
                <c:pt idx="15">
                  <c:v>1979</c:v>
                </c:pt>
                <c:pt idx="16">
                  <c:v>1979</c:v>
                </c:pt>
                <c:pt idx="17">
                  <c:v>1979</c:v>
                </c:pt>
                <c:pt idx="18">
                  <c:v>1979</c:v>
                </c:pt>
                <c:pt idx="19">
                  <c:v>1979</c:v>
                </c:pt>
                <c:pt idx="20">
                  <c:v>1979</c:v>
                </c:pt>
                <c:pt idx="21">
                  <c:v>1979</c:v>
                </c:pt>
                <c:pt idx="22">
                  <c:v>1979</c:v>
                </c:pt>
                <c:pt idx="23">
                  <c:v>1980</c:v>
                </c:pt>
                <c:pt idx="24">
                  <c:v>1980</c:v>
                </c:pt>
                <c:pt idx="25">
                  <c:v>1980</c:v>
                </c:pt>
                <c:pt idx="26">
                  <c:v>1980</c:v>
                </c:pt>
                <c:pt idx="27">
                  <c:v>1980</c:v>
                </c:pt>
                <c:pt idx="28">
                  <c:v>1980</c:v>
                </c:pt>
                <c:pt idx="29">
                  <c:v>1980</c:v>
                </c:pt>
                <c:pt idx="30">
                  <c:v>1980</c:v>
                </c:pt>
                <c:pt idx="31">
                  <c:v>1980</c:v>
                </c:pt>
                <c:pt idx="32">
                  <c:v>1980</c:v>
                </c:pt>
                <c:pt idx="33">
                  <c:v>1980</c:v>
                </c:pt>
                <c:pt idx="34">
                  <c:v>1980</c:v>
                </c:pt>
                <c:pt idx="35">
                  <c:v>1981</c:v>
                </c:pt>
                <c:pt idx="36">
                  <c:v>1981</c:v>
                </c:pt>
                <c:pt idx="37">
                  <c:v>1981</c:v>
                </c:pt>
                <c:pt idx="38">
                  <c:v>1981</c:v>
                </c:pt>
                <c:pt idx="39">
                  <c:v>1981</c:v>
                </c:pt>
                <c:pt idx="40">
                  <c:v>1981</c:v>
                </c:pt>
                <c:pt idx="41">
                  <c:v>1981</c:v>
                </c:pt>
                <c:pt idx="42">
                  <c:v>1981</c:v>
                </c:pt>
                <c:pt idx="43">
                  <c:v>1981</c:v>
                </c:pt>
                <c:pt idx="44">
                  <c:v>1981</c:v>
                </c:pt>
                <c:pt idx="45">
                  <c:v>1981</c:v>
                </c:pt>
                <c:pt idx="46">
                  <c:v>1981</c:v>
                </c:pt>
                <c:pt idx="47">
                  <c:v>1982</c:v>
                </c:pt>
                <c:pt idx="48">
                  <c:v>1982</c:v>
                </c:pt>
                <c:pt idx="49">
                  <c:v>1982</c:v>
                </c:pt>
                <c:pt idx="50">
                  <c:v>1982</c:v>
                </c:pt>
                <c:pt idx="51">
                  <c:v>1982</c:v>
                </c:pt>
                <c:pt idx="52">
                  <c:v>1982</c:v>
                </c:pt>
                <c:pt idx="53">
                  <c:v>1982</c:v>
                </c:pt>
                <c:pt idx="54">
                  <c:v>1982</c:v>
                </c:pt>
                <c:pt idx="55">
                  <c:v>1982</c:v>
                </c:pt>
                <c:pt idx="56">
                  <c:v>1982</c:v>
                </c:pt>
                <c:pt idx="57">
                  <c:v>1982</c:v>
                </c:pt>
                <c:pt idx="58">
                  <c:v>1982</c:v>
                </c:pt>
                <c:pt idx="59">
                  <c:v>1983</c:v>
                </c:pt>
                <c:pt idx="60">
                  <c:v>1983</c:v>
                </c:pt>
                <c:pt idx="61">
                  <c:v>1983</c:v>
                </c:pt>
                <c:pt idx="62">
                  <c:v>1983</c:v>
                </c:pt>
                <c:pt idx="63">
                  <c:v>1983</c:v>
                </c:pt>
                <c:pt idx="64">
                  <c:v>1983</c:v>
                </c:pt>
                <c:pt idx="65">
                  <c:v>1983</c:v>
                </c:pt>
                <c:pt idx="66">
                  <c:v>1983</c:v>
                </c:pt>
                <c:pt idx="67">
                  <c:v>1983</c:v>
                </c:pt>
                <c:pt idx="68">
                  <c:v>1983</c:v>
                </c:pt>
                <c:pt idx="69">
                  <c:v>1983</c:v>
                </c:pt>
                <c:pt idx="70">
                  <c:v>1983</c:v>
                </c:pt>
                <c:pt idx="71">
                  <c:v>1984</c:v>
                </c:pt>
                <c:pt idx="72">
                  <c:v>1984</c:v>
                </c:pt>
                <c:pt idx="73">
                  <c:v>1984</c:v>
                </c:pt>
                <c:pt idx="74">
                  <c:v>1984</c:v>
                </c:pt>
                <c:pt idx="75">
                  <c:v>1984</c:v>
                </c:pt>
                <c:pt idx="76">
                  <c:v>1984</c:v>
                </c:pt>
                <c:pt idx="77">
                  <c:v>1984</c:v>
                </c:pt>
                <c:pt idx="78">
                  <c:v>1984</c:v>
                </c:pt>
                <c:pt idx="79">
                  <c:v>1984</c:v>
                </c:pt>
                <c:pt idx="80">
                  <c:v>1984</c:v>
                </c:pt>
                <c:pt idx="81">
                  <c:v>1984</c:v>
                </c:pt>
                <c:pt idx="82">
                  <c:v>1984</c:v>
                </c:pt>
                <c:pt idx="83">
                  <c:v>1985</c:v>
                </c:pt>
                <c:pt idx="84">
                  <c:v>1985</c:v>
                </c:pt>
                <c:pt idx="85">
                  <c:v>1985</c:v>
                </c:pt>
                <c:pt idx="86">
                  <c:v>1985</c:v>
                </c:pt>
                <c:pt idx="87">
                  <c:v>1985</c:v>
                </c:pt>
                <c:pt idx="88">
                  <c:v>1985</c:v>
                </c:pt>
                <c:pt idx="89">
                  <c:v>1985</c:v>
                </c:pt>
                <c:pt idx="90">
                  <c:v>1985</c:v>
                </c:pt>
                <c:pt idx="91">
                  <c:v>1985</c:v>
                </c:pt>
                <c:pt idx="92">
                  <c:v>1985</c:v>
                </c:pt>
                <c:pt idx="93">
                  <c:v>1985</c:v>
                </c:pt>
                <c:pt idx="94">
                  <c:v>1985</c:v>
                </c:pt>
                <c:pt idx="95">
                  <c:v>1986</c:v>
                </c:pt>
                <c:pt idx="96">
                  <c:v>1986</c:v>
                </c:pt>
                <c:pt idx="97">
                  <c:v>1986</c:v>
                </c:pt>
                <c:pt idx="98">
                  <c:v>1986</c:v>
                </c:pt>
                <c:pt idx="99">
                  <c:v>1986</c:v>
                </c:pt>
                <c:pt idx="100">
                  <c:v>1986</c:v>
                </c:pt>
                <c:pt idx="101">
                  <c:v>1986</c:v>
                </c:pt>
                <c:pt idx="102">
                  <c:v>1986</c:v>
                </c:pt>
                <c:pt idx="103">
                  <c:v>1986</c:v>
                </c:pt>
                <c:pt idx="104">
                  <c:v>1986</c:v>
                </c:pt>
                <c:pt idx="105">
                  <c:v>1986</c:v>
                </c:pt>
                <c:pt idx="106">
                  <c:v>1986</c:v>
                </c:pt>
                <c:pt idx="107">
                  <c:v>1987</c:v>
                </c:pt>
                <c:pt idx="108">
                  <c:v>1987</c:v>
                </c:pt>
                <c:pt idx="109">
                  <c:v>1987</c:v>
                </c:pt>
                <c:pt idx="110">
                  <c:v>1987</c:v>
                </c:pt>
                <c:pt idx="111">
                  <c:v>1987</c:v>
                </c:pt>
                <c:pt idx="112">
                  <c:v>1987</c:v>
                </c:pt>
                <c:pt idx="113">
                  <c:v>1987</c:v>
                </c:pt>
                <c:pt idx="114">
                  <c:v>1987</c:v>
                </c:pt>
                <c:pt idx="115">
                  <c:v>1987</c:v>
                </c:pt>
                <c:pt idx="116">
                  <c:v>1987</c:v>
                </c:pt>
                <c:pt idx="117">
                  <c:v>1987</c:v>
                </c:pt>
                <c:pt idx="118">
                  <c:v>1987</c:v>
                </c:pt>
                <c:pt idx="119">
                  <c:v>1988</c:v>
                </c:pt>
                <c:pt idx="120">
                  <c:v>1988</c:v>
                </c:pt>
                <c:pt idx="121">
                  <c:v>1988</c:v>
                </c:pt>
                <c:pt idx="122">
                  <c:v>1988</c:v>
                </c:pt>
                <c:pt idx="123">
                  <c:v>1988</c:v>
                </c:pt>
                <c:pt idx="124">
                  <c:v>1988</c:v>
                </c:pt>
                <c:pt idx="125">
                  <c:v>1988</c:v>
                </c:pt>
                <c:pt idx="126">
                  <c:v>1988</c:v>
                </c:pt>
                <c:pt idx="127">
                  <c:v>1988</c:v>
                </c:pt>
                <c:pt idx="128">
                  <c:v>1988</c:v>
                </c:pt>
                <c:pt idx="129">
                  <c:v>1988</c:v>
                </c:pt>
                <c:pt idx="130">
                  <c:v>1988</c:v>
                </c:pt>
                <c:pt idx="131">
                  <c:v>1989</c:v>
                </c:pt>
                <c:pt idx="132">
                  <c:v>1989</c:v>
                </c:pt>
                <c:pt idx="133">
                  <c:v>1989</c:v>
                </c:pt>
                <c:pt idx="134">
                  <c:v>1989</c:v>
                </c:pt>
                <c:pt idx="135">
                  <c:v>1989</c:v>
                </c:pt>
                <c:pt idx="136">
                  <c:v>1989</c:v>
                </c:pt>
                <c:pt idx="137">
                  <c:v>1989</c:v>
                </c:pt>
                <c:pt idx="138">
                  <c:v>1989</c:v>
                </c:pt>
                <c:pt idx="139">
                  <c:v>1989</c:v>
                </c:pt>
                <c:pt idx="140">
                  <c:v>1989</c:v>
                </c:pt>
                <c:pt idx="141">
                  <c:v>1989</c:v>
                </c:pt>
                <c:pt idx="142">
                  <c:v>1989</c:v>
                </c:pt>
                <c:pt idx="143">
                  <c:v>1990</c:v>
                </c:pt>
                <c:pt idx="144">
                  <c:v>1990</c:v>
                </c:pt>
                <c:pt idx="145">
                  <c:v>1990</c:v>
                </c:pt>
                <c:pt idx="146">
                  <c:v>1990</c:v>
                </c:pt>
                <c:pt idx="147">
                  <c:v>1990</c:v>
                </c:pt>
                <c:pt idx="148">
                  <c:v>1990</c:v>
                </c:pt>
                <c:pt idx="149">
                  <c:v>1990</c:v>
                </c:pt>
                <c:pt idx="150">
                  <c:v>1990</c:v>
                </c:pt>
                <c:pt idx="151">
                  <c:v>1990</c:v>
                </c:pt>
                <c:pt idx="152">
                  <c:v>1990</c:v>
                </c:pt>
                <c:pt idx="153">
                  <c:v>1990</c:v>
                </c:pt>
                <c:pt idx="154">
                  <c:v>1990</c:v>
                </c:pt>
                <c:pt idx="155">
                  <c:v>1991</c:v>
                </c:pt>
                <c:pt idx="156">
                  <c:v>1991</c:v>
                </c:pt>
                <c:pt idx="157">
                  <c:v>1991</c:v>
                </c:pt>
                <c:pt idx="158">
                  <c:v>1991</c:v>
                </c:pt>
                <c:pt idx="159">
                  <c:v>1991</c:v>
                </c:pt>
                <c:pt idx="160">
                  <c:v>1991</c:v>
                </c:pt>
                <c:pt idx="161">
                  <c:v>1991</c:v>
                </c:pt>
                <c:pt idx="162">
                  <c:v>1991</c:v>
                </c:pt>
                <c:pt idx="163">
                  <c:v>1991</c:v>
                </c:pt>
                <c:pt idx="164">
                  <c:v>1991</c:v>
                </c:pt>
                <c:pt idx="165">
                  <c:v>1991</c:v>
                </c:pt>
                <c:pt idx="166">
                  <c:v>1991</c:v>
                </c:pt>
                <c:pt idx="167">
                  <c:v>1992</c:v>
                </c:pt>
                <c:pt idx="168">
                  <c:v>1992</c:v>
                </c:pt>
                <c:pt idx="169">
                  <c:v>1992</c:v>
                </c:pt>
                <c:pt idx="170">
                  <c:v>1992</c:v>
                </c:pt>
                <c:pt idx="171">
                  <c:v>1992</c:v>
                </c:pt>
                <c:pt idx="172">
                  <c:v>1992</c:v>
                </c:pt>
                <c:pt idx="173">
                  <c:v>1992</c:v>
                </c:pt>
                <c:pt idx="174">
                  <c:v>1992</c:v>
                </c:pt>
                <c:pt idx="175">
                  <c:v>1992</c:v>
                </c:pt>
                <c:pt idx="176">
                  <c:v>1992</c:v>
                </c:pt>
                <c:pt idx="177">
                  <c:v>1992</c:v>
                </c:pt>
                <c:pt idx="178">
                  <c:v>1992</c:v>
                </c:pt>
                <c:pt idx="179">
                  <c:v>1993</c:v>
                </c:pt>
                <c:pt idx="180">
                  <c:v>1993</c:v>
                </c:pt>
                <c:pt idx="181">
                  <c:v>1993</c:v>
                </c:pt>
                <c:pt idx="182">
                  <c:v>1993</c:v>
                </c:pt>
                <c:pt idx="183">
                  <c:v>1993</c:v>
                </c:pt>
                <c:pt idx="184">
                  <c:v>1993</c:v>
                </c:pt>
                <c:pt idx="185">
                  <c:v>1993</c:v>
                </c:pt>
                <c:pt idx="186">
                  <c:v>1993</c:v>
                </c:pt>
                <c:pt idx="187">
                  <c:v>1993</c:v>
                </c:pt>
                <c:pt idx="188">
                  <c:v>1993</c:v>
                </c:pt>
                <c:pt idx="189">
                  <c:v>1993</c:v>
                </c:pt>
                <c:pt idx="190">
                  <c:v>1993</c:v>
                </c:pt>
                <c:pt idx="191">
                  <c:v>1994</c:v>
                </c:pt>
                <c:pt idx="192">
                  <c:v>1994</c:v>
                </c:pt>
                <c:pt idx="193">
                  <c:v>1994</c:v>
                </c:pt>
                <c:pt idx="194">
                  <c:v>1994</c:v>
                </c:pt>
                <c:pt idx="195">
                  <c:v>1994</c:v>
                </c:pt>
                <c:pt idx="196">
                  <c:v>1994</c:v>
                </c:pt>
                <c:pt idx="197">
                  <c:v>1994</c:v>
                </c:pt>
                <c:pt idx="198">
                  <c:v>1994</c:v>
                </c:pt>
                <c:pt idx="199">
                  <c:v>1994</c:v>
                </c:pt>
                <c:pt idx="200">
                  <c:v>1994</c:v>
                </c:pt>
                <c:pt idx="201">
                  <c:v>1994</c:v>
                </c:pt>
                <c:pt idx="202">
                  <c:v>1994</c:v>
                </c:pt>
                <c:pt idx="203">
                  <c:v>1995</c:v>
                </c:pt>
                <c:pt idx="204">
                  <c:v>1995</c:v>
                </c:pt>
                <c:pt idx="205">
                  <c:v>1995</c:v>
                </c:pt>
                <c:pt idx="206">
                  <c:v>1995</c:v>
                </c:pt>
                <c:pt idx="207">
                  <c:v>1995</c:v>
                </c:pt>
                <c:pt idx="208">
                  <c:v>1995</c:v>
                </c:pt>
                <c:pt idx="209">
                  <c:v>1995</c:v>
                </c:pt>
                <c:pt idx="210">
                  <c:v>1995</c:v>
                </c:pt>
                <c:pt idx="211">
                  <c:v>1995</c:v>
                </c:pt>
                <c:pt idx="212">
                  <c:v>1995</c:v>
                </c:pt>
                <c:pt idx="213">
                  <c:v>1995</c:v>
                </c:pt>
                <c:pt idx="214">
                  <c:v>1995</c:v>
                </c:pt>
                <c:pt idx="215">
                  <c:v>1996</c:v>
                </c:pt>
                <c:pt idx="216">
                  <c:v>1996</c:v>
                </c:pt>
                <c:pt idx="217">
                  <c:v>1996</c:v>
                </c:pt>
                <c:pt idx="218">
                  <c:v>1996</c:v>
                </c:pt>
                <c:pt idx="219">
                  <c:v>1996</c:v>
                </c:pt>
                <c:pt idx="220">
                  <c:v>1996</c:v>
                </c:pt>
                <c:pt idx="221">
                  <c:v>1996</c:v>
                </c:pt>
                <c:pt idx="222">
                  <c:v>1996</c:v>
                </c:pt>
                <c:pt idx="223">
                  <c:v>1996</c:v>
                </c:pt>
                <c:pt idx="224">
                  <c:v>1996</c:v>
                </c:pt>
                <c:pt idx="225">
                  <c:v>1996</c:v>
                </c:pt>
                <c:pt idx="226">
                  <c:v>1996</c:v>
                </c:pt>
                <c:pt idx="227">
                  <c:v>1997</c:v>
                </c:pt>
                <c:pt idx="228">
                  <c:v>1997</c:v>
                </c:pt>
                <c:pt idx="229">
                  <c:v>1997</c:v>
                </c:pt>
                <c:pt idx="230">
                  <c:v>1997</c:v>
                </c:pt>
                <c:pt idx="231">
                  <c:v>1997</c:v>
                </c:pt>
                <c:pt idx="232">
                  <c:v>1997</c:v>
                </c:pt>
                <c:pt idx="233">
                  <c:v>1997</c:v>
                </c:pt>
                <c:pt idx="234">
                  <c:v>1997</c:v>
                </c:pt>
                <c:pt idx="235">
                  <c:v>1997</c:v>
                </c:pt>
                <c:pt idx="236">
                  <c:v>1997</c:v>
                </c:pt>
                <c:pt idx="237">
                  <c:v>1997</c:v>
                </c:pt>
                <c:pt idx="238">
                  <c:v>1997</c:v>
                </c:pt>
                <c:pt idx="239">
                  <c:v>1998</c:v>
                </c:pt>
                <c:pt idx="240">
                  <c:v>1998</c:v>
                </c:pt>
                <c:pt idx="241">
                  <c:v>1998</c:v>
                </c:pt>
                <c:pt idx="242">
                  <c:v>1998</c:v>
                </c:pt>
                <c:pt idx="243">
                  <c:v>1998</c:v>
                </c:pt>
                <c:pt idx="244">
                  <c:v>1998</c:v>
                </c:pt>
                <c:pt idx="245">
                  <c:v>1998</c:v>
                </c:pt>
                <c:pt idx="246">
                  <c:v>1998</c:v>
                </c:pt>
                <c:pt idx="247">
                  <c:v>1998</c:v>
                </c:pt>
                <c:pt idx="248">
                  <c:v>1998</c:v>
                </c:pt>
                <c:pt idx="249">
                  <c:v>1998</c:v>
                </c:pt>
                <c:pt idx="250">
                  <c:v>1998</c:v>
                </c:pt>
                <c:pt idx="251">
                  <c:v>1999</c:v>
                </c:pt>
                <c:pt idx="252">
                  <c:v>1999</c:v>
                </c:pt>
                <c:pt idx="253">
                  <c:v>1999</c:v>
                </c:pt>
                <c:pt idx="254">
                  <c:v>1999</c:v>
                </c:pt>
                <c:pt idx="255">
                  <c:v>1999</c:v>
                </c:pt>
                <c:pt idx="256">
                  <c:v>1999</c:v>
                </c:pt>
                <c:pt idx="257">
                  <c:v>1999</c:v>
                </c:pt>
                <c:pt idx="258">
                  <c:v>1999</c:v>
                </c:pt>
                <c:pt idx="259">
                  <c:v>1999</c:v>
                </c:pt>
                <c:pt idx="260">
                  <c:v>1999</c:v>
                </c:pt>
                <c:pt idx="261">
                  <c:v>1999</c:v>
                </c:pt>
                <c:pt idx="262">
                  <c:v>1999</c:v>
                </c:pt>
                <c:pt idx="263">
                  <c:v>2000</c:v>
                </c:pt>
                <c:pt idx="264">
                  <c:v>2000</c:v>
                </c:pt>
                <c:pt idx="265">
                  <c:v>2000</c:v>
                </c:pt>
                <c:pt idx="266">
                  <c:v>2000</c:v>
                </c:pt>
                <c:pt idx="267">
                  <c:v>2000</c:v>
                </c:pt>
                <c:pt idx="268">
                  <c:v>2000</c:v>
                </c:pt>
                <c:pt idx="269">
                  <c:v>2000</c:v>
                </c:pt>
                <c:pt idx="270">
                  <c:v>2000</c:v>
                </c:pt>
                <c:pt idx="271">
                  <c:v>2000</c:v>
                </c:pt>
                <c:pt idx="272">
                  <c:v>2000</c:v>
                </c:pt>
                <c:pt idx="273">
                  <c:v>2000</c:v>
                </c:pt>
                <c:pt idx="274">
                  <c:v>2000</c:v>
                </c:pt>
                <c:pt idx="275">
                  <c:v>2001</c:v>
                </c:pt>
                <c:pt idx="276">
                  <c:v>2001</c:v>
                </c:pt>
                <c:pt idx="277">
                  <c:v>2001</c:v>
                </c:pt>
                <c:pt idx="278">
                  <c:v>2001</c:v>
                </c:pt>
                <c:pt idx="279">
                  <c:v>2001</c:v>
                </c:pt>
                <c:pt idx="280">
                  <c:v>2001</c:v>
                </c:pt>
                <c:pt idx="281">
                  <c:v>2001</c:v>
                </c:pt>
                <c:pt idx="282">
                  <c:v>2001</c:v>
                </c:pt>
                <c:pt idx="283">
                  <c:v>2001</c:v>
                </c:pt>
                <c:pt idx="284">
                  <c:v>2001</c:v>
                </c:pt>
                <c:pt idx="285">
                  <c:v>2001</c:v>
                </c:pt>
                <c:pt idx="286">
                  <c:v>2001</c:v>
                </c:pt>
                <c:pt idx="287">
                  <c:v>2002</c:v>
                </c:pt>
                <c:pt idx="288">
                  <c:v>2002</c:v>
                </c:pt>
                <c:pt idx="289">
                  <c:v>2002</c:v>
                </c:pt>
                <c:pt idx="290">
                  <c:v>2002</c:v>
                </c:pt>
                <c:pt idx="291">
                  <c:v>2002</c:v>
                </c:pt>
                <c:pt idx="292">
                  <c:v>2002</c:v>
                </c:pt>
                <c:pt idx="293">
                  <c:v>2002</c:v>
                </c:pt>
                <c:pt idx="294">
                  <c:v>2002</c:v>
                </c:pt>
                <c:pt idx="295">
                  <c:v>2002</c:v>
                </c:pt>
                <c:pt idx="296">
                  <c:v>2002</c:v>
                </c:pt>
                <c:pt idx="297">
                  <c:v>2002</c:v>
                </c:pt>
                <c:pt idx="298">
                  <c:v>2002</c:v>
                </c:pt>
                <c:pt idx="299">
                  <c:v>2003</c:v>
                </c:pt>
                <c:pt idx="300">
                  <c:v>2003</c:v>
                </c:pt>
                <c:pt idx="301">
                  <c:v>2003</c:v>
                </c:pt>
                <c:pt idx="302">
                  <c:v>2003</c:v>
                </c:pt>
                <c:pt idx="303">
                  <c:v>2003</c:v>
                </c:pt>
                <c:pt idx="304">
                  <c:v>2003</c:v>
                </c:pt>
                <c:pt idx="305">
                  <c:v>2003</c:v>
                </c:pt>
                <c:pt idx="306">
                  <c:v>2003</c:v>
                </c:pt>
                <c:pt idx="307">
                  <c:v>2003</c:v>
                </c:pt>
                <c:pt idx="308">
                  <c:v>2003</c:v>
                </c:pt>
                <c:pt idx="309">
                  <c:v>2003</c:v>
                </c:pt>
                <c:pt idx="310">
                  <c:v>2003</c:v>
                </c:pt>
                <c:pt idx="311">
                  <c:v>2004</c:v>
                </c:pt>
                <c:pt idx="312">
                  <c:v>2004</c:v>
                </c:pt>
                <c:pt idx="313">
                  <c:v>2004</c:v>
                </c:pt>
                <c:pt idx="314">
                  <c:v>2004</c:v>
                </c:pt>
                <c:pt idx="315">
                  <c:v>2004</c:v>
                </c:pt>
                <c:pt idx="316">
                  <c:v>2004</c:v>
                </c:pt>
                <c:pt idx="317">
                  <c:v>2004</c:v>
                </c:pt>
                <c:pt idx="318">
                  <c:v>2004</c:v>
                </c:pt>
                <c:pt idx="319">
                  <c:v>2004</c:v>
                </c:pt>
                <c:pt idx="320">
                  <c:v>2004</c:v>
                </c:pt>
                <c:pt idx="321">
                  <c:v>2004</c:v>
                </c:pt>
                <c:pt idx="322">
                  <c:v>2004</c:v>
                </c:pt>
                <c:pt idx="323">
                  <c:v>2005</c:v>
                </c:pt>
                <c:pt idx="324">
                  <c:v>2005</c:v>
                </c:pt>
                <c:pt idx="325">
                  <c:v>2005</c:v>
                </c:pt>
                <c:pt idx="326">
                  <c:v>2005</c:v>
                </c:pt>
                <c:pt idx="327">
                  <c:v>2005</c:v>
                </c:pt>
                <c:pt idx="328">
                  <c:v>2005</c:v>
                </c:pt>
                <c:pt idx="329">
                  <c:v>2005</c:v>
                </c:pt>
                <c:pt idx="330">
                  <c:v>2005</c:v>
                </c:pt>
                <c:pt idx="331">
                  <c:v>2005</c:v>
                </c:pt>
                <c:pt idx="332">
                  <c:v>2005</c:v>
                </c:pt>
                <c:pt idx="333">
                  <c:v>2005</c:v>
                </c:pt>
                <c:pt idx="334">
                  <c:v>2005</c:v>
                </c:pt>
                <c:pt idx="335">
                  <c:v>2006</c:v>
                </c:pt>
                <c:pt idx="336">
                  <c:v>2006</c:v>
                </c:pt>
                <c:pt idx="337">
                  <c:v>2006</c:v>
                </c:pt>
                <c:pt idx="338">
                  <c:v>2006</c:v>
                </c:pt>
                <c:pt idx="339">
                  <c:v>2006</c:v>
                </c:pt>
                <c:pt idx="340">
                  <c:v>2006</c:v>
                </c:pt>
                <c:pt idx="341">
                  <c:v>2006</c:v>
                </c:pt>
                <c:pt idx="342">
                  <c:v>2006</c:v>
                </c:pt>
                <c:pt idx="343">
                  <c:v>2006</c:v>
                </c:pt>
                <c:pt idx="344">
                  <c:v>2006</c:v>
                </c:pt>
                <c:pt idx="345">
                  <c:v>2006</c:v>
                </c:pt>
                <c:pt idx="346">
                  <c:v>2006</c:v>
                </c:pt>
                <c:pt idx="347">
                  <c:v>2007</c:v>
                </c:pt>
                <c:pt idx="348">
                  <c:v>2007</c:v>
                </c:pt>
                <c:pt idx="349">
                  <c:v>2007</c:v>
                </c:pt>
                <c:pt idx="350">
                  <c:v>2007</c:v>
                </c:pt>
                <c:pt idx="351">
                  <c:v>2007</c:v>
                </c:pt>
                <c:pt idx="352">
                  <c:v>2007</c:v>
                </c:pt>
                <c:pt idx="353">
                  <c:v>2007</c:v>
                </c:pt>
                <c:pt idx="354">
                  <c:v>2007</c:v>
                </c:pt>
                <c:pt idx="355">
                  <c:v>2007</c:v>
                </c:pt>
                <c:pt idx="356">
                  <c:v>2007</c:v>
                </c:pt>
                <c:pt idx="357">
                  <c:v>2007</c:v>
                </c:pt>
                <c:pt idx="358">
                  <c:v>2007</c:v>
                </c:pt>
                <c:pt idx="359">
                  <c:v>2008</c:v>
                </c:pt>
                <c:pt idx="360">
                  <c:v>2008</c:v>
                </c:pt>
                <c:pt idx="361">
                  <c:v>2008</c:v>
                </c:pt>
                <c:pt idx="362">
                  <c:v>2008</c:v>
                </c:pt>
                <c:pt idx="363">
                  <c:v>2008</c:v>
                </c:pt>
                <c:pt idx="364">
                  <c:v>2008</c:v>
                </c:pt>
                <c:pt idx="365">
                  <c:v>2008</c:v>
                </c:pt>
                <c:pt idx="366">
                  <c:v>2008</c:v>
                </c:pt>
                <c:pt idx="367">
                  <c:v>2008</c:v>
                </c:pt>
                <c:pt idx="368">
                  <c:v>2008</c:v>
                </c:pt>
                <c:pt idx="369">
                  <c:v>2008</c:v>
                </c:pt>
                <c:pt idx="370">
                  <c:v>2008</c:v>
                </c:pt>
                <c:pt idx="371">
                  <c:v>2009</c:v>
                </c:pt>
                <c:pt idx="372">
                  <c:v>2009</c:v>
                </c:pt>
                <c:pt idx="373">
                  <c:v>2009</c:v>
                </c:pt>
                <c:pt idx="374">
                  <c:v>2009</c:v>
                </c:pt>
                <c:pt idx="375">
                  <c:v>2009</c:v>
                </c:pt>
                <c:pt idx="376">
                  <c:v>2009</c:v>
                </c:pt>
                <c:pt idx="377">
                  <c:v>2009</c:v>
                </c:pt>
                <c:pt idx="378">
                  <c:v>2009</c:v>
                </c:pt>
                <c:pt idx="379">
                  <c:v>2009</c:v>
                </c:pt>
                <c:pt idx="380">
                  <c:v>2009</c:v>
                </c:pt>
                <c:pt idx="381">
                  <c:v>2009</c:v>
                </c:pt>
                <c:pt idx="382">
                  <c:v>2009</c:v>
                </c:pt>
                <c:pt idx="383">
                  <c:v>2010</c:v>
                </c:pt>
                <c:pt idx="384">
                  <c:v>2010</c:v>
                </c:pt>
                <c:pt idx="385">
                  <c:v>2010</c:v>
                </c:pt>
                <c:pt idx="386">
                  <c:v>2010</c:v>
                </c:pt>
                <c:pt idx="387">
                  <c:v>2010</c:v>
                </c:pt>
                <c:pt idx="388">
                  <c:v>2010</c:v>
                </c:pt>
                <c:pt idx="389">
                  <c:v>2010</c:v>
                </c:pt>
                <c:pt idx="390">
                  <c:v>2010</c:v>
                </c:pt>
                <c:pt idx="391">
                  <c:v>2010</c:v>
                </c:pt>
                <c:pt idx="392">
                  <c:v>2010</c:v>
                </c:pt>
                <c:pt idx="393">
                  <c:v>2010</c:v>
                </c:pt>
                <c:pt idx="394">
                  <c:v>2010</c:v>
                </c:pt>
                <c:pt idx="395">
                  <c:v>2011</c:v>
                </c:pt>
                <c:pt idx="396">
                  <c:v>2011</c:v>
                </c:pt>
                <c:pt idx="397">
                  <c:v>2011</c:v>
                </c:pt>
                <c:pt idx="398">
                  <c:v>2011</c:v>
                </c:pt>
                <c:pt idx="399">
                  <c:v>2011</c:v>
                </c:pt>
                <c:pt idx="400">
                  <c:v>2011</c:v>
                </c:pt>
                <c:pt idx="401">
                  <c:v>2011</c:v>
                </c:pt>
                <c:pt idx="402">
                  <c:v>2011</c:v>
                </c:pt>
                <c:pt idx="403">
                  <c:v>2011</c:v>
                </c:pt>
                <c:pt idx="404">
                  <c:v>2011</c:v>
                </c:pt>
                <c:pt idx="405">
                  <c:v>2011</c:v>
                </c:pt>
                <c:pt idx="406">
                  <c:v>2011</c:v>
                </c:pt>
                <c:pt idx="407">
                  <c:v>2012</c:v>
                </c:pt>
                <c:pt idx="408">
                  <c:v>2012</c:v>
                </c:pt>
                <c:pt idx="409">
                  <c:v>2012</c:v>
                </c:pt>
                <c:pt idx="410">
                  <c:v>2012</c:v>
                </c:pt>
                <c:pt idx="411">
                  <c:v>2012</c:v>
                </c:pt>
                <c:pt idx="412">
                  <c:v>2012</c:v>
                </c:pt>
                <c:pt idx="413">
                  <c:v>2012</c:v>
                </c:pt>
                <c:pt idx="414">
                  <c:v>2012</c:v>
                </c:pt>
                <c:pt idx="415">
                  <c:v>2012</c:v>
                </c:pt>
                <c:pt idx="416">
                  <c:v>2012</c:v>
                </c:pt>
                <c:pt idx="417">
                  <c:v>2012</c:v>
                </c:pt>
                <c:pt idx="418">
                  <c:v>2012</c:v>
                </c:pt>
                <c:pt idx="419">
                  <c:v>2013</c:v>
                </c:pt>
                <c:pt idx="420">
                  <c:v>2013</c:v>
                </c:pt>
                <c:pt idx="421">
                  <c:v>2013</c:v>
                </c:pt>
                <c:pt idx="422">
                  <c:v>2013</c:v>
                </c:pt>
                <c:pt idx="423">
                  <c:v>2013</c:v>
                </c:pt>
                <c:pt idx="424">
                  <c:v>2013</c:v>
                </c:pt>
                <c:pt idx="425">
                  <c:v>2013</c:v>
                </c:pt>
                <c:pt idx="426">
                  <c:v>2013</c:v>
                </c:pt>
                <c:pt idx="427">
                  <c:v>2013</c:v>
                </c:pt>
                <c:pt idx="428">
                  <c:v>2013</c:v>
                </c:pt>
                <c:pt idx="429">
                  <c:v>2013</c:v>
                </c:pt>
                <c:pt idx="430">
                  <c:v>2013</c:v>
                </c:pt>
                <c:pt idx="431">
                  <c:v>2014</c:v>
                </c:pt>
                <c:pt idx="432">
                  <c:v>2014</c:v>
                </c:pt>
                <c:pt idx="433">
                  <c:v>2014</c:v>
                </c:pt>
                <c:pt idx="434">
                  <c:v>2014</c:v>
                </c:pt>
                <c:pt idx="435">
                  <c:v>2014</c:v>
                </c:pt>
                <c:pt idx="436">
                  <c:v>2014</c:v>
                </c:pt>
                <c:pt idx="437">
                  <c:v>2014</c:v>
                </c:pt>
                <c:pt idx="438">
                  <c:v>2014</c:v>
                </c:pt>
              </c:numCache>
            </c:numRef>
          </c:cat>
          <c:val>
            <c:numRef>
              <c:f>Data!$AC$11:$AC$449</c:f>
              <c:numCache>
                <c:formatCode>0.0;\-0.0;0.0;@</c:formatCode>
                <c:ptCount val="439"/>
                <c:pt idx="0">
                  <c:v>13.081365399999999</c:v>
                </c:pt>
                <c:pt idx="1">
                  <c:v>12.8797394</c:v>
                </c:pt>
                <c:pt idx="2">
                  <c:v>12.6826683</c:v>
                </c:pt>
                <c:pt idx="3">
                  <c:v>12.543495</c:v>
                </c:pt>
                <c:pt idx="4">
                  <c:v>12.4822747</c:v>
                </c:pt>
                <c:pt idx="5">
                  <c:v>12.495946099999999</c:v>
                </c:pt>
                <c:pt idx="6">
                  <c:v>12.5884363</c:v>
                </c:pt>
                <c:pt idx="7">
                  <c:v>12.6923309</c:v>
                </c:pt>
                <c:pt idx="8">
                  <c:v>12.787926499999999</c:v>
                </c:pt>
                <c:pt idx="9">
                  <c:v>12.872659499999999</c:v>
                </c:pt>
                <c:pt idx="10">
                  <c:v>12.9659437</c:v>
                </c:pt>
                <c:pt idx="11">
                  <c:v>13.043408899999999</c:v>
                </c:pt>
                <c:pt idx="12">
                  <c:v>13.1158714</c:v>
                </c:pt>
                <c:pt idx="13">
                  <c:v>13.155465599999999</c:v>
                </c:pt>
                <c:pt idx="14">
                  <c:v>13.148971</c:v>
                </c:pt>
                <c:pt idx="15">
                  <c:v>13.1261963</c:v>
                </c:pt>
                <c:pt idx="16">
                  <c:v>13.103009399999999</c:v>
                </c:pt>
                <c:pt idx="17">
                  <c:v>13.0825472</c:v>
                </c:pt>
                <c:pt idx="18">
                  <c:v>13.0391587</c:v>
                </c:pt>
                <c:pt idx="19">
                  <c:v>12.9826797</c:v>
                </c:pt>
                <c:pt idx="20">
                  <c:v>12.870904700000001</c:v>
                </c:pt>
                <c:pt idx="21">
                  <c:v>12.719722000000001</c:v>
                </c:pt>
                <c:pt idx="22">
                  <c:v>12.5730845</c:v>
                </c:pt>
                <c:pt idx="23">
                  <c:v>12.484667099999999</c:v>
                </c:pt>
                <c:pt idx="24">
                  <c:v>12.4647755</c:v>
                </c:pt>
                <c:pt idx="25">
                  <c:v>12.5380529</c:v>
                </c:pt>
                <c:pt idx="26">
                  <c:v>12.669178499999999</c:v>
                </c:pt>
                <c:pt idx="27">
                  <c:v>12.778864</c:v>
                </c:pt>
                <c:pt idx="28">
                  <c:v>12.8315818</c:v>
                </c:pt>
                <c:pt idx="29">
                  <c:v>12.7954132</c:v>
                </c:pt>
                <c:pt idx="30">
                  <c:v>12.699119</c:v>
                </c:pt>
                <c:pt idx="31">
                  <c:v>12.564806799999999</c:v>
                </c:pt>
                <c:pt idx="32">
                  <c:v>12.417497300000001</c:v>
                </c:pt>
                <c:pt idx="33">
                  <c:v>12.2666375</c:v>
                </c:pt>
                <c:pt idx="34">
                  <c:v>12.0941358</c:v>
                </c:pt>
                <c:pt idx="35">
                  <c:v>11.8585104</c:v>
                </c:pt>
                <c:pt idx="36">
                  <c:v>11.5815251</c:v>
                </c:pt>
                <c:pt idx="37">
                  <c:v>11.3199577</c:v>
                </c:pt>
                <c:pt idx="38">
                  <c:v>11.120206</c:v>
                </c:pt>
                <c:pt idx="39">
                  <c:v>11.029768199999999</c:v>
                </c:pt>
                <c:pt idx="40">
                  <c:v>11.0334059</c:v>
                </c:pt>
                <c:pt idx="41">
                  <c:v>11.1504607</c:v>
                </c:pt>
                <c:pt idx="42">
                  <c:v>11.2851052</c:v>
                </c:pt>
                <c:pt idx="43">
                  <c:v>11.4234689</c:v>
                </c:pt>
                <c:pt idx="44">
                  <c:v>11.5547875</c:v>
                </c:pt>
                <c:pt idx="45">
                  <c:v>11.689299399999999</c:v>
                </c:pt>
                <c:pt idx="46">
                  <c:v>11.8312241</c:v>
                </c:pt>
                <c:pt idx="47">
                  <c:v>12.022202999999999</c:v>
                </c:pt>
                <c:pt idx="48">
                  <c:v>12.282514300000001</c:v>
                </c:pt>
                <c:pt idx="49">
                  <c:v>12.5515305</c:v>
                </c:pt>
                <c:pt idx="50">
                  <c:v>12.7941588</c:v>
                </c:pt>
                <c:pt idx="51">
                  <c:v>13.005376999999999</c:v>
                </c:pt>
                <c:pt idx="52">
                  <c:v>13.221602600000001</c:v>
                </c:pt>
                <c:pt idx="53">
                  <c:v>13.515806299999999</c:v>
                </c:pt>
                <c:pt idx="54">
                  <c:v>13.962684700000001</c:v>
                </c:pt>
                <c:pt idx="55">
                  <c:v>14.593589100000001</c:v>
                </c:pt>
                <c:pt idx="56">
                  <c:v>15.394102699999999</c:v>
                </c:pt>
                <c:pt idx="57">
                  <c:v>16.242713599999998</c:v>
                </c:pt>
                <c:pt idx="58">
                  <c:v>17.0626</c:v>
                </c:pt>
                <c:pt idx="59">
                  <c:v>17.723482400000002</c:v>
                </c:pt>
                <c:pt idx="60">
                  <c:v>18.1762099</c:v>
                </c:pt>
                <c:pt idx="61">
                  <c:v>18.4583984</c:v>
                </c:pt>
                <c:pt idx="62">
                  <c:v>18.635974600000001</c:v>
                </c:pt>
                <c:pt idx="63">
                  <c:v>18.757722000000001</c:v>
                </c:pt>
                <c:pt idx="64">
                  <c:v>18.808895</c:v>
                </c:pt>
                <c:pt idx="65">
                  <c:v>18.797086499999999</c:v>
                </c:pt>
                <c:pt idx="66">
                  <c:v>18.683982700000001</c:v>
                </c:pt>
                <c:pt idx="67">
                  <c:v>18.476546899999999</c:v>
                </c:pt>
                <c:pt idx="68">
                  <c:v>18.186057099999999</c:v>
                </c:pt>
                <c:pt idx="69">
                  <c:v>17.891741799999998</c:v>
                </c:pt>
                <c:pt idx="70">
                  <c:v>17.6081954</c:v>
                </c:pt>
                <c:pt idx="71">
                  <c:v>17.404150600000001</c:v>
                </c:pt>
                <c:pt idx="72">
                  <c:v>17.2652006</c:v>
                </c:pt>
                <c:pt idx="73">
                  <c:v>17.1654257</c:v>
                </c:pt>
                <c:pt idx="74">
                  <c:v>17.0960672</c:v>
                </c:pt>
                <c:pt idx="75">
                  <c:v>16.956116999999999</c:v>
                </c:pt>
                <c:pt idx="76">
                  <c:v>16.809854900000001</c:v>
                </c:pt>
                <c:pt idx="77">
                  <c:v>16.654306999999999</c:v>
                </c:pt>
                <c:pt idx="78">
                  <c:v>16.532562200000001</c:v>
                </c:pt>
                <c:pt idx="79">
                  <c:v>16.436226099999999</c:v>
                </c:pt>
                <c:pt idx="80">
                  <c:v>16.350310700000001</c:v>
                </c:pt>
                <c:pt idx="81">
                  <c:v>16.286806899999998</c:v>
                </c:pt>
                <c:pt idx="82">
                  <c:v>16.171892100000001</c:v>
                </c:pt>
                <c:pt idx="83">
                  <c:v>16.053410199999998</c:v>
                </c:pt>
                <c:pt idx="84">
                  <c:v>15.907124700000001</c:v>
                </c:pt>
                <c:pt idx="85">
                  <c:v>15.730391600000001</c:v>
                </c:pt>
                <c:pt idx="86">
                  <c:v>15.553979399999999</c:v>
                </c:pt>
                <c:pt idx="87">
                  <c:v>15.3906647</c:v>
                </c:pt>
                <c:pt idx="88">
                  <c:v>15.1969285</c:v>
                </c:pt>
                <c:pt idx="89">
                  <c:v>14.9730545</c:v>
                </c:pt>
                <c:pt idx="90">
                  <c:v>14.775259800000001</c:v>
                </c:pt>
                <c:pt idx="91">
                  <c:v>14.632268099999999</c:v>
                </c:pt>
                <c:pt idx="92">
                  <c:v>14.548874100000001</c:v>
                </c:pt>
                <c:pt idx="93">
                  <c:v>14.528606699999999</c:v>
                </c:pt>
                <c:pt idx="94">
                  <c:v>14.582140600000001</c:v>
                </c:pt>
                <c:pt idx="95">
                  <c:v>14.6754297</c:v>
                </c:pt>
                <c:pt idx="96">
                  <c:v>14.7646666</c:v>
                </c:pt>
                <c:pt idx="97">
                  <c:v>14.836472799999999</c:v>
                </c:pt>
                <c:pt idx="98">
                  <c:v>14.570895999999999</c:v>
                </c:pt>
                <c:pt idx="99">
                  <c:v>14.657125199999999</c:v>
                </c:pt>
                <c:pt idx="100">
                  <c:v>14.8084746</c:v>
                </c:pt>
                <c:pt idx="101">
                  <c:v>15.030025500000001</c:v>
                </c:pt>
                <c:pt idx="102">
                  <c:v>15.245784499999999</c:v>
                </c:pt>
                <c:pt idx="103">
                  <c:v>15.4084877</c:v>
                </c:pt>
                <c:pt idx="104">
                  <c:v>15.4825091</c:v>
                </c:pt>
                <c:pt idx="105">
                  <c:v>15.4612345</c:v>
                </c:pt>
                <c:pt idx="106">
                  <c:v>15.3895962</c:v>
                </c:pt>
                <c:pt idx="107">
                  <c:v>15.2907514</c:v>
                </c:pt>
                <c:pt idx="108">
                  <c:v>15.2243952</c:v>
                </c:pt>
                <c:pt idx="109">
                  <c:v>15.170176100000001</c:v>
                </c:pt>
                <c:pt idx="110">
                  <c:v>15.1217255</c:v>
                </c:pt>
                <c:pt idx="111">
                  <c:v>15.068623199999999</c:v>
                </c:pt>
                <c:pt idx="112">
                  <c:v>15.0102136</c:v>
                </c:pt>
                <c:pt idx="113">
                  <c:v>14.957890300000001</c:v>
                </c:pt>
                <c:pt idx="114">
                  <c:v>14.9149063</c:v>
                </c:pt>
                <c:pt idx="115">
                  <c:v>14.850336199999999</c:v>
                </c:pt>
                <c:pt idx="116">
                  <c:v>14.7340389</c:v>
                </c:pt>
                <c:pt idx="117">
                  <c:v>14.5615121</c:v>
                </c:pt>
                <c:pt idx="118">
                  <c:v>14.39179</c:v>
                </c:pt>
                <c:pt idx="119">
                  <c:v>14.2930431</c:v>
                </c:pt>
                <c:pt idx="120">
                  <c:v>14.237646700000001</c:v>
                </c:pt>
                <c:pt idx="121">
                  <c:v>14.1981526</c:v>
                </c:pt>
                <c:pt idx="122">
                  <c:v>14.110209899999999</c:v>
                </c:pt>
                <c:pt idx="123">
                  <c:v>13.9212436</c:v>
                </c:pt>
                <c:pt idx="124">
                  <c:v>13.6412827</c:v>
                </c:pt>
                <c:pt idx="125">
                  <c:v>13.2738318</c:v>
                </c:pt>
                <c:pt idx="126">
                  <c:v>12.961805</c:v>
                </c:pt>
                <c:pt idx="127">
                  <c:v>12.7140418</c:v>
                </c:pt>
                <c:pt idx="128">
                  <c:v>12.5653366</c:v>
                </c:pt>
                <c:pt idx="129">
                  <c:v>12.429574000000001</c:v>
                </c:pt>
                <c:pt idx="130">
                  <c:v>12.244151799999999</c:v>
                </c:pt>
                <c:pt idx="131">
                  <c:v>11.9933557</c:v>
                </c:pt>
                <c:pt idx="132">
                  <c:v>11.706336800000001</c:v>
                </c:pt>
                <c:pt idx="133">
                  <c:v>11.4336889</c:v>
                </c:pt>
                <c:pt idx="134">
                  <c:v>11.189439200000001</c:v>
                </c:pt>
                <c:pt idx="135">
                  <c:v>11.036718499999999</c:v>
                </c:pt>
                <c:pt idx="136">
                  <c:v>10.9588646</c:v>
                </c:pt>
                <c:pt idx="137">
                  <c:v>10.925777800000001</c:v>
                </c:pt>
                <c:pt idx="138">
                  <c:v>10.885410200000001</c:v>
                </c:pt>
                <c:pt idx="139">
                  <c:v>10.870968</c:v>
                </c:pt>
                <c:pt idx="140">
                  <c:v>10.8886053</c:v>
                </c:pt>
                <c:pt idx="141">
                  <c:v>10.9655051</c:v>
                </c:pt>
                <c:pt idx="142">
                  <c:v>11.1290259</c:v>
                </c:pt>
                <c:pt idx="143">
                  <c:v>11.3500085</c:v>
                </c:pt>
                <c:pt idx="144">
                  <c:v>11.5800073</c:v>
                </c:pt>
                <c:pt idx="145">
                  <c:v>11.8147029</c:v>
                </c:pt>
                <c:pt idx="146">
                  <c:v>12.0528089</c:v>
                </c:pt>
                <c:pt idx="147">
                  <c:v>12.2869802</c:v>
                </c:pt>
                <c:pt idx="148">
                  <c:v>12.5578749</c:v>
                </c:pt>
                <c:pt idx="149">
                  <c:v>12.9277382</c:v>
                </c:pt>
                <c:pt idx="150">
                  <c:v>13.3809684</c:v>
                </c:pt>
                <c:pt idx="151">
                  <c:v>13.858628100000001</c:v>
                </c:pt>
                <c:pt idx="152">
                  <c:v>14.310712199999999</c:v>
                </c:pt>
                <c:pt idx="153">
                  <c:v>14.754045899999999</c:v>
                </c:pt>
                <c:pt idx="154">
                  <c:v>15.223565499999999</c:v>
                </c:pt>
                <c:pt idx="155">
                  <c:v>15.743273500000001</c:v>
                </c:pt>
                <c:pt idx="156">
                  <c:v>16.3180251</c:v>
                </c:pt>
                <c:pt idx="157">
                  <c:v>16.879034999999998</c:v>
                </c:pt>
                <c:pt idx="158">
                  <c:v>17.357851</c:v>
                </c:pt>
                <c:pt idx="159">
                  <c:v>17.664633800000001</c:v>
                </c:pt>
                <c:pt idx="160">
                  <c:v>17.796432800000002</c:v>
                </c:pt>
                <c:pt idx="161">
                  <c:v>17.843494100000001</c:v>
                </c:pt>
                <c:pt idx="162">
                  <c:v>17.851323000000001</c:v>
                </c:pt>
                <c:pt idx="163">
                  <c:v>17.958460200000001</c:v>
                </c:pt>
                <c:pt idx="164">
                  <c:v>18.1553079</c:v>
                </c:pt>
                <c:pt idx="165">
                  <c:v>18.397492799999998</c:v>
                </c:pt>
                <c:pt idx="166">
                  <c:v>18.612071100000001</c:v>
                </c:pt>
                <c:pt idx="167">
                  <c:v>18.763154400000001</c:v>
                </c:pt>
                <c:pt idx="168">
                  <c:v>18.9056128</c:v>
                </c:pt>
                <c:pt idx="169">
                  <c:v>19.0405996</c:v>
                </c:pt>
                <c:pt idx="170">
                  <c:v>19.169871000000001</c:v>
                </c:pt>
                <c:pt idx="171">
                  <c:v>19.293471499999999</c:v>
                </c:pt>
                <c:pt idx="172">
                  <c:v>19.4293181</c:v>
                </c:pt>
                <c:pt idx="173">
                  <c:v>19.5360996</c:v>
                </c:pt>
                <c:pt idx="174">
                  <c:v>19.621214899999998</c:v>
                </c:pt>
                <c:pt idx="175">
                  <c:v>19.608254500000001</c:v>
                </c:pt>
                <c:pt idx="176">
                  <c:v>19.562277300000002</c:v>
                </c:pt>
                <c:pt idx="177">
                  <c:v>19.399394000000001</c:v>
                </c:pt>
                <c:pt idx="178">
                  <c:v>19.178864300000001</c:v>
                </c:pt>
                <c:pt idx="179">
                  <c:v>18.917204399999999</c:v>
                </c:pt>
                <c:pt idx="180">
                  <c:v>18.705470999999999</c:v>
                </c:pt>
                <c:pt idx="181">
                  <c:v>18.559107000000001</c:v>
                </c:pt>
                <c:pt idx="182">
                  <c:v>18.5051682</c:v>
                </c:pt>
                <c:pt idx="183">
                  <c:v>18.5351696</c:v>
                </c:pt>
                <c:pt idx="184">
                  <c:v>18.592146400000001</c:v>
                </c:pt>
                <c:pt idx="185">
                  <c:v>18.6083447</c:v>
                </c:pt>
                <c:pt idx="186">
                  <c:v>18.6187963</c:v>
                </c:pt>
                <c:pt idx="187">
                  <c:v>18.583517000000001</c:v>
                </c:pt>
                <c:pt idx="188">
                  <c:v>18.5128734</c:v>
                </c:pt>
                <c:pt idx="189">
                  <c:v>18.415559699999999</c:v>
                </c:pt>
                <c:pt idx="190">
                  <c:v>18.3295162</c:v>
                </c:pt>
                <c:pt idx="191">
                  <c:v>18.248470099999999</c:v>
                </c:pt>
                <c:pt idx="192">
                  <c:v>18.134281399999999</c:v>
                </c:pt>
                <c:pt idx="193">
                  <c:v>17.9781841</c:v>
                </c:pt>
                <c:pt idx="194">
                  <c:v>17.743392100000001</c:v>
                </c:pt>
                <c:pt idx="195">
                  <c:v>17.461416199999999</c:v>
                </c:pt>
                <c:pt idx="196">
                  <c:v>17.1302348</c:v>
                </c:pt>
                <c:pt idx="197">
                  <c:v>16.755089000000002</c:v>
                </c:pt>
                <c:pt idx="198">
                  <c:v>16.365079099999999</c:v>
                </c:pt>
                <c:pt idx="199">
                  <c:v>16.008151000000002</c:v>
                </c:pt>
                <c:pt idx="200">
                  <c:v>15.704898699999999</c:v>
                </c:pt>
                <c:pt idx="201">
                  <c:v>15.474324599999999</c:v>
                </c:pt>
                <c:pt idx="202">
                  <c:v>15.291529499999999</c:v>
                </c:pt>
                <c:pt idx="203">
                  <c:v>15.1805431</c:v>
                </c:pt>
                <c:pt idx="204">
                  <c:v>15.1370901</c:v>
                </c:pt>
                <c:pt idx="205">
                  <c:v>15.105125599999999</c:v>
                </c:pt>
                <c:pt idx="206">
                  <c:v>15.071453999999999</c:v>
                </c:pt>
                <c:pt idx="207">
                  <c:v>15.0532982</c:v>
                </c:pt>
                <c:pt idx="208">
                  <c:v>15.051027299999999</c:v>
                </c:pt>
                <c:pt idx="209">
                  <c:v>15.088941200000001</c:v>
                </c:pt>
                <c:pt idx="210">
                  <c:v>15.157973999999999</c:v>
                </c:pt>
                <c:pt idx="211">
                  <c:v>15.254322999999999</c:v>
                </c:pt>
                <c:pt idx="212">
                  <c:v>15.349431299999999</c:v>
                </c:pt>
                <c:pt idx="213">
                  <c:v>15.447683</c:v>
                </c:pt>
                <c:pt idx="214">
                  <c:v>15.549213200000001</c:v>
                </c:pt>
                <c:pt idx="215">
                  <c:v>15.6200215</c:v>
                </c:pt>
                <c:pt idx="216">
                  <c:v>15.620974</c:v>
                </c:pt>
                <c:pt idx="217">
                  <c:v>15.5828135</c:v>
                </c:pt>
                <c:pt idx="218">
                  <c:v>15.5074171</c:v>
                </c:pt>
                <c:pt idx="219">
                  <c:v>15.4189238</c:v>
                </c:pt>
                <c:pt idx="220">
                  <c:v>15.353428900000001</c:v>
                </c:pt>
                <c:pt idx="221">
                  <c:v>15.394569600000001</c:v>
                </c:pt>
                <c:pt idx="222">
                  <c:v>15.4857119</c:v>
                </c:pt>
                <c:pt idx="223">
                  <c:v>15.618695900000001</c:v>
                </c:pt>
                <c:pt idx="224">
                  <c:v>15.7996374</c:v>
                </c:pt>
                <c:pt idx="225">
                  <c:v>15.918728700000001</c:v>
                </c:pt>
                <c:pt idx="226">
                  <c:v>16.022324399999999</c:v>
                </c:pt>
                <c:pt idx="227">
                  <c:v>16.050572500000001</c:v>
                </c:pt>
                <c:pt idx="228">
                  <c:v>16.088963499999998</c:v>
                </c:pt>
                <c:pt idx="229">
                  <c:v>16.099744600000001</c:v>
                </c:pt>
                <c:pt idx="230">
                  <c:v>16.118140499999999</c:v>
                </c:pt>
                <c:pt idx="231">
                  <c:v>16.117544899999999</c:v>
                </c:pt>
                <c:pt idx="232">
                  <c:v>16.094517799999998</c:v>
                </c:pt>
                <c:pt idx="233">
                  <c:v>16.034342500000001</c:v>
                </c:pt>
                <c:pt idx="234">
                  <c:v>15.928689800000001</c:v>
                </c:pt>
                <c:pt idx="235">
                  <c:v>15.7714379</c:v>
                </c:pt>
                <c:pt idx="236">
                  <c:v>15.5651343</c:v>
                </c:pt>
                <c:pt idx="237">
                  <c:v>15.3364438</c:v>
                </c:pt>
                <c:pt idx="238">
                  <c:v>15.094553299999999</c:v>
                </c:pt>
                <c:pt idx="239">
                  <c:v>14.8895736</c:v>
                </c:pt>
                <c:pt idx="240">
                  <c:v>14.7524766</c:v>
                </c:pt>
                <c:pt idx="241">
                  <c:v>14.689234300000001</c:v>
                </c:pt>
                <c:pt idx="242">
                  <c:v>14.690220500000001</c:v>
                </c:pt>
                <c:pt idx="243">
                  <c:v>14.704550599999999</c:v>
                </c:pt>
                <c:pt idx="244">
                  <c:v>14.714140499999999</c:v>
                </c:pt>
                <c:pt idx="245">
                  <c:v>14.6582331</c:v>
                </c:pt>
                <c:pt idx="246">
                  <c:v>14.527631599999999</c:v>
                </c:pt>
                <c:pt idx="247">
                  <c:v>14.3190171</c:v>
                </c:pt>
                <c:pt idx="248">
                  <c:v>14.0723939</c:v>
                </c:pt>
                <c:pt idx="249">
                  <c:v>13.8412858</c:v>
                </c:pt>
                <c:pt idx="250">
                  <c:v>13.643657599999999</c:v>
                </c:pt>
                <c:pt idx="251">
                  <c:v>13.5221161</c:v>
                </c:pt>
                <c:pt idx="252">
                  <c:v>13.433032900000001</c:v>
                </c:pt>
                <c:pt idx="253">
                  <c:v>13.330792000000001</c:v>
                </c:pt>
                <c:pt idx="254">
                  <c:v>13.226621400000001</c:v>
                </c:pt>
                <c:pt idx="255">
                  <c:v>13.152142400000001</c:v>
                </c:pt>
                <c:pt idx="256">
                  <c:v>13.087797200000001</c:v>
                </c:pt>
                <c:pt idx="257">
                  <c:v>13.053639799999999</c:v>
                </c:pt>
                <c:pt idx="258">
                  <c:v>13.036360800000001</c:v>
                </c:pt>
                <c:pt idx="259">
                  <c:v>13.021250999999999</c:v>
                </c:pt>
                <c:pt idx="260">
                  <c:v>12.9816371</c:v>
                </c:pt>
                <c:pt idx="261">
                  <c:v>12.8994357</c:v>
                </c:pt>
                <c:pt idx="262">
                  <c:v>12.791964200000001</c:v>
                </c:pt>
                <c:pt idx="263">
                  <c:v>12.6618713</c:v>
                </c:pt>
                <c:pt idx="264">
                  <c:v>12.512934599999999</c:v>
                </c:pt>
                <c:pt idx="265">
                  <c:v>12.333766199999999</c:v>
                </c:pt>
                <c:pt idx="266">
                  <c:v>12.1332603</c:v>
                </c:pt>
                <c:pt idx="267">
                  <c:v>11.895216</c:v>
                </c:pt>
                <c:pt idx="268">
                  <c:v>11.6961139</c:v>
                </c:pt>
                <c:pt idx="269">
                  <c:v>11.6018173</c:v>
                </c:pt>
                <c:pt idx="270">
                  <c:v>11.6175047</c:v>
                </c:pt>
                <c:pt idx="271">
                  <c:v>11.7023075</c:v>
                </c:pt>
                <c:pt idx="272">
                  <c:v>11.8644316</c:v>
                </c:pt>
                <c:pt idx="273">
                  <c:v>12.075343</c:v>
                </c:pt>
                <c:pt idx="274">
                  <c:v>12.319766599999999</c:v>
                </c:pt>
                <c:pt idx="275">
                  <c:v>12.5955216</c:v>
                </c:pt>
                <c:pt idx="276">
                  <c:v>12.964642899999999</c:v>
                </c:pt>
                <c:pt idx="277">
                  <c:v>13.351549</c:v>
                </c:pt>
                <c:pt idx="278">
                  <c:v>13.497919899999999</c:v>
                </c:pt>
                <c:pt idx="279">
                  <c:v>13.706914299999999</c:v>
                </c:pt>
                <c:pt idx="280">
                  <c:v>13.810689500000001</c:v>
                </c:pt>
                <c:pt idx="281">
                  <c:v>13.8249751</c:v>
                </c:pt>
                <c:pt idx="282">
                  <c:v>13.802626200000001</c:v>
                </c:pt>
                <c:pt idx="283">
                  <c:v>13.793822</c:v>
                </c:pt>
                <c:pt idx="284">
                  <c:v>13.787579300000001</c:v>
                </c:pt>
                <c:pt idx="285">
                  <c:v>13.7560457</c:v>
                </c:pt>
                <c:pt idx="286">
                  <c:v>13.637468999999999</c:v>
                </c:pt>
                <c:pt idx="287">
                  <c:v>13.438957</c:v>
                </c:pt>
                <c:pt idx="288">
                  <c:v>13.1901931</c:v>
                </c:pt>
                <c:pt idx="289">
                  <c:v>12.951529900000001</c:v>
                </c:pt>
                <c:pt idx="290">
                  <c:v>12.798741700000001</c:v>
                </c:pt>
                <c:pt idx="291">
                  <c:v>12.727544999999999</c:v>
                </c:pt>
                <c:pt idx="292">
                  <c:v>12.715273399999999</c:v>
                </c:pt>
                <c:pt idx="293">
                  <c:v>12.7432607</c:v>
                </c:pt>
                <c:pt idx="294">
                  <c:v>12.757102100000001</c:v>
                </c:pt>
                <c:pt idx="295">
                  <c:v>12.702774</c:v>
                </c:pt>
                <c:pt idx="296">
                  <c:v>12.5806536</c:v>
                </c:pt>
                <c:pt idx="297">
                  <c:v>12.431757899999999</c:v>
                </c:pt>
                <c:pt idx="298">
                  <c:v>12.3057693</c:v>
                </c:pt>
                <c:pt idx="299">
                  <c:v>12.2274309</c:v>
                </c:pt>
                <c:pt idx="300">
                  <c:v>12.216704</c:v>
                </c:pt>
                <c:pt idx="301">
                  <c:v>12.2672784</c:v>
                </c:pt>
                <c:pt idx="302">
                  <c:v>12.3035844</c:v>
                </c:pt>
                <c:pt idx="303">
                  <c:v>12.273644900000001</c:v>
                </c:pt>
                <c:pt idx="304">
                  <c:v>12.1620849</c:v>
                </c:pt>
                <c:pt idx="305">
                  <c:v>11.9877039</c:v>
                </c:pt>
                <c:pt idx="306">
                  <c:v>11.8058417</c:v>
                </c:pt>
                <c:pt idx="307">
                  <c:v>11.662321199999999</c:v>
                </c:pt>
                <c:pt idx="308">
                  <c:v>11.583837000000001</c:v>
                </c:pt>
                <c:pt idx="309">
                  <c:v>11.555168099999999</c:v>
                </c:pt>
                <c:pt idx="310">
                  <c:v>11.5405917</c:v>
                </c:pt>
                <c:pt idx="311">
                  <c:v>11.5139187</c:v>
                </c:pt>
                <c:pt idx="312">
                  <c:v>11.4572094</c:v>
                </c:pt>
                <c:pt idx="313">
                  <c:v>11.390901400000001</c:v>
                </c:pt>
                <c:pt idx="314">
                  <c:v>11.355817500000001</c:v>
                </c:pt>
                <c:pt idx="315">
                  <c:v>11.359886599999999</c:v>
                </c:pt>
                <c:pt idx="316">
                  <c:v>11.3977827</c:v>
                </c:pt>
                <c:pt idx="317">
                  <c:v>11.442867400000001</c:v>
                </c:pt>
                <c:pt idx="318">
                  <c:v>11.460713</c:v>
                </c:pt>
                <c:pt idx="319">
                  <c:v>11.418336</c:v>
                </c:pt>
                <c:pt idx="320">
                  <c:v>11.3093485</c:v>
                </c:pt>
                <c:pt idx="321">
                  <c:v>11.1596235</c:v>
                </c:pt>
                <c:pt idx="322">
                  <c:v>11.0171755</c:v>
                </c:pt>
                <c:pt idx="323">
                  <c:v>10.899787099999999</c:v>
                </c:pt>
                <c:pt idx="324">
                  <c:v>10.824457600000001</c:v>
                </c:pt>
                <c:pt idx="325">
                  <c:v>10.7653151</c:v>
                </c:pt>
                <c:pt idx="326">
                  <c:v>10.6906765</c:v>
                </c:pt>
                <c:pt idx="327">
                  <c:v>10.622640199999999</c:v>
                </c:pt>
                <c:pt idx="328">
                  <c:v>10.5645007</c:v>
                </c:pt>
                <c:pt idx="329">
                  <c:v>10.5189466</c:v>
                </c:pt>
                <c:pt idx="330">
                  <c:v>10.490945699999999</c:v>
                </c:pt>
                <c:pt idx="331">
                  <c:v>10.496406500000001</c:v>
                </c:pt>
                <c:pt idx="332">
                  <c:v>10.527025200000001</c:v>
                </c:pt>
                <c:pt idx="333">
                  <c:v>10.562461900000001</c:v>
                </c:pt>
                <c:pt idx="334">
                  <c:v>10.5856849</c:v>
                </c:pt>
                <c:pt idx="335">
                  <c:v>10.583625400000001</c:v>
                </c:pt>
                <c:pt idx="336">
                  <c:v>10.5421888</c:v>
                </c:pt>
                <c:pt idx="337">
                  <c:v>10.4397153</c:v>
                </c:pt>
                <c:pt idx="338">
                  <c:v>10.3118582</c:v>
                </c:pt>
                <c:pt idx="339">
                  <c:v>10.1459849</c:v>
                </c:pt>
                <c:pt idx="340">
                  <c:v>9.9703166000000003</c:v>
                </c:pt>
                <c:pt idx="341">
                  <c:v>9.8264218999999997</c:v>
                </c:pt>
                <c:pt idx="342">
                  <c:v>9.7232520000000005</c:v>
                </c:pt>
                <c:pt idx="343">
                  <c:v>9.6682205000000003</c:v>
                </c:pt>
                <c:pt idx="344">
                  <c:v>9.6551747999999993</c:v>
                </c:pt>
                <c:pt idx="345">
                  <c:v>9.6551860000000005</c:v>
                </c:pt>
                <c:pt idx="346">
                  <c:v>9.6234290999999992</c:v>
                </c:pt>
                <c:pt idx="347">
                  <c:v>9.5423370999999992</c:v>
                </c:pt>
                <c:pt idx="348">
                  <c:v>9.4071066000000005</c:v>
                </c:pt>
                <c:pt idx="349">
                  <c:v>9.2527170999999999</c:v>
                </c:pt>
                <c:pt idx="350">
                  <c:v>9.1151637999999995</c:v>
                </c:pt>
                <c:pt idx="351">
                  <c:v>9.0311628000000006</c:v>
                </c:pt>
                <c:pt idx="352">
                  <c:v>9.0608138999999994</c:v>
                </c:pt>
                <c:pt idx="353">
                  <c:v>9.1926694999999992</c:v>
                </c:pt>
                <c:pt idx="354">
                  <c:v>9.3965299000000009</c:v>
                </c:pt>
                <c:pt idx="355">
                  <c:v>9.5735960000000002</c:v>
                </c:pt>
                <c:pt idx="356">
                  <c:v>9.6259423000000002</c:v>
                </c:pt>
                <c:pt idx="357">
                  <c:v>9.5124943999999996</c:v>
                </c:pt>
                <c:pt idx="358">
                  <c:v>9.2733737999999999</c:v>
                </c:pt>
                <c:pt idx="359">
                  <c:v>8.9943243000000006</c:v>
                </c:pt>
                <c:pt idx="360">
                  <c:v>8.7754138000000008</c:v>
                </c:pt>
                <c:pt idx="361">
                  <c:v>8.6766933999999996</c:v>
                </c:pt>
                <c:pt idx="362">
                  <c:v>8.7007949</c:v>
                </c:pt>
                <c:pt idx="363">
                  <c:v>8.7952898000000008</c:v>
                </c:pt>
                <c:pt idx="364">
                  <c:v>8.8734786000000003</c:v>
                </c:pt>
                <c:pt idx="365">
                  <c:v>8.8907398000000004</c:v>
                </c:pt>
                <c:pt idx="366">
                  <c:v>8.8743596999999994</c:v>
                </c:pt>
                <c:pt idx="367">
                  <c:v>8.8854676999999995</c:v>
                </c:pt>
                <c:pt idx="368">
                  <c:v>9.0283484999999999</c:v>
                </c:pt>
                <c:pt idx="369">
                  <c:v>9.3299003999999996</c:v>
                </c:pt>
                <c:pt idx="370">
                  <c:v>9.7787085000000005</c:v>
                </c:pt>
                <c:pt idx="371">
                  <c:v>10.328671699999999</c:v>
                </c:pt>
                <c:pt idx="372">
                  <c:v>10.8988991</c:v>
                </c:pt>
                <c:pt idx="373">
                  <c:v>11.394022100000001</c:v>
                </c:pt>
                <c:pt idx="374">
                  <c:v>11.7510485</c:v>
                </c:pt>
                <c:pt idx="375">
                  <c:v>11.9395644</c:v>
                </c:pt>
                <c:pt idx="376">
                  <c:v>11.9788479</c:v>
                </c:pt>
                <c:pt idx="377">
                  <c:v>11.903869500000001</c:v>
                </c:pt>
                <c:pt idx="378">
                  <c:v>11.772932000000001</c:v>
                </c:pt>
                <c:pt idx="379">
                  <c:v>11.625405300000001</c:v>
                </c:pt>
                <c:pt idx="380">
                  <c:v>11.4869042</c:v>
                </c:pt>
                <c:pt idx="381">
                  <c:v>11.3891799</c:v>
                </c:pt>
                <c:pt idx="382">
                  <c:v>11.3611267</c:v>
                </c:pt>
                <c:pt idx="383">
                  <c:v>11.383786499999999</c:v>
                </c:pt>
                <c:pt idx="384">
                  <c:v>11.443767599999999</c:v>
                </c:pt>
                <c:pt idx="385">
                  <c:v>11.529909699999999</c:v>
                </c:pt>
                <c:pt idx="386">
                  <c:v>11.592696399999999</c:v>
                </c:pt>
                <c:pt idx="387">
                  <c:v>11.6220512</c:v>
                </c:pt>
                <c:pt idx="388">
                  <c:v>11.6413653</c:v>
                </c:pt>
                <c:pt idx="389">
                  <c:v>11.6459017</c:v>
                </c:pt>
                <c:pt idx="390">
                  <c:v>11.6450947</c:v>
                </c:pt>
                <c:pt idx="391">
                  <c:v>11.647494</c:v>
                </c:pt>
                <c:pt idx="392">
                  <c:v>11.646274699999999</c:v>
                </c:pt>
                <c:pt idx="393">
                  <c:v>11.6189295</c:v>
                </c:pt>
                <c:pt idx="394">
                  <c:v>11.565322699999999</c:v>
                </c:pt>
                <c:pt idx="395">
                  <c:v>11.4991612</c:v>
                </c:pt>
                <c:pt idx="396">
                  <c:v>11.4189892</c:v>
                </c:pt>
                <c:pt idx="397">
                  <c:v>11.3370905</c:v>
                </c:pt>
                <c:pt idx="398">
                  <c:v>11.273763300000001</c:v>
                </c:pt>
                <c:pt idx="399">
                  <c:v>11.225708900000001</c:v>
                </c:pt>
                <c:pt idx="400">
                  <c:v>11.1779885</c:v>
                </c:pt>
                <c:pt idx="401">
                  <c:v>11.169904499999999</c:v>
                </c:pt>
                <c:pt idx="402">
                  <c:v>11.2138323</c:v>
                </c:pt>
                <c:pt idx="403">
                  <c:v>11.2809867</c:v>
                </c:pt>
                <c:pt idx="404">
                  <c:v>11.3775025</c:v>
                </c:pt>
                <c:pt idx="405">
                  <c:v>11.464517600000001</c:v>
                </c:pt>
                <c:pt idx="406">
                  <c:v>11.5211712</c:v>
                </c:pt>
                <c:pt idx="407">
                  <c:v>11.542076399999999</c:v>
                </c:pt>
                <c:pt idx="408">
                  <c:v>11.552316599999999</c:v>
                </c:pt>
                <c:pt idx="409">
                  <c:v>11.567303000000001</c:v>
                </c:pt>
                <c:pt idx="410">
                  <c:v>11.5948498</c:v>
                </c:pt>
                <c:pt idx="411">
                  <c:v>11.653040900000001</c:v>
                </c:pt>
                <c:pt idx="412">
                  <c:v>11.732105799999999</c:v>
                </c:pt>
                <c:pt idx="413">
                  <c:v>11.800751999999999</c:v>
                </c:pt>
                <c:pt idx="414">
                  <c:v>11.847569099999999</c:v>
                </c:pt>
                <c:pt idx="415">
                  <c:v>11.873723999999999</c:v>
                </c:pt>
                <c:pt idx="416">
                  <c:v>11.893883600000001</c:v>
                </c:pt>
                <c:pt idx="417">
                  <c:v>11.9270598</c:v>
                </c:pt>
                <c:pt idx="418">
                  <c:v>11.971245100000001</c:v>
                </c:pt>
                <c:pt idx="419">
                  <c:v>11.981425</c:v>
                </c:pt>
                <c:pt idx="420">
                  <c:v>11.9456101</c:v>
                </c:pt>
                <c:pt idx="421">
                  <c:v>11.886570600000001</c:v>
                </c:pt>
                <c:pt idx="422">
                  <c:v>11.855551200000001</c:v>
                </c:pt>
                <c:pt idx="423">
                  <c:v>11.897541500000001</c:v>
                </c:pt>
                <c:pt idx="424">
                  <c:v>12.0311618</c:v>
                </c:pt>
                <c:pt idx="425">
                  <c:v>12.235183299999999</c:v>
                </c:pt>
                <c:pt idx="426">
                  <c:v>12.431126900000001</c:v>
                </c:pt>
                <c:pt idx="427">
                  <c:v>12.564877900000001</c:v>
                </c:pt>
                <c:pt idx="428">
                  <c:v>12.6044863</c:v>
                </c:pt>
                <c:pt idx="429">
                  <c:v>12.5589859</c:v>
                </c:pt>
                <c:pt idx="430">
                  <c:v>12.4999153</c:v>
                </c:pt>
                <c:pt idx="431">
                  <c:v>12.489785299999999</c:v>
                </c:pt>
                <c:pt idx="432">
                  <c:v>12.589401799999999</c:v>
                </c:pt>
                <c:pt idx="433">
                  <c:v>12.7987717</c:v>
                </c:pt>
                <c:pt idx="434">
                  <c:v>13.055112899999999</c:v>
                </c:pt>
                <c:pt idx="435">
                  <c:v>13.2993846</c:v>
                </c:pt>
                <c:pt idx="436">
                  <c:v>13.507226599999999</c:v>
                </c:pt>
                <c:pt idx="437">
                  <c:v>13.6759243</c:v>
                </c:pt>
                <c:pt idx="438">
                  <c:v>13.783481099999999</c:v>
                </c:pt>
              </c:numCache>
            </c:numRef>
          </c:val>
          <c:smooth val="0"/>
        </c:ser>
        <c:dLbls>
          <c:showLegendKey val="0"/>
          <c:showVal val="0"/>
          <c:showCatName val="0"/>
          <c:showSerName val="0"/>
          <c:showPercent val="0"/>
          <c:showBubbleSize val="0"/>
        </c:dLbls>
        <c:marker val="1"/>
        <c:smooth val="0"/>
        <c:axId val="114834048"/>
        <c:axId val="114844032"/>
      </c:lineChart>
      <c:catAx>
        <c:axId val="114834048"/>
        <c:scaling>
          <c:orientation val="minMax"/>
        </c:scaling>
        <c:delete val="0"/>
        <c:axPos val="b"/>
        <c:numFmt formatCode="General" sourceLinked="1"/>
        <c:majorTickMark val="out"/>
        <c:minorTickMark val="none"/>
        <c:tickLblPos val="nextTo"/>
        <c:spPr>
          <a:ln>
            <a:solidFill>
              <a:srgbClr val="BFBFBF"/>
            </a:solidFill>
          </a:ln>
        </c:spPr>
        <c:txPr>
          <a:bodyPr rot="0" vert="horz"/>
          <a:lstStyle/>
          <a:p>
            <a:pPr>
              <a:defRPr/>
            </a:pPr>
            <a:endParaRPr lang="en-US"/>
          </a:p>
        </c:txPr>
        <c:crossAx val="114844032"/>
        <c:crosses val="autoZero"/>
        <c:auto val="1"/>
        <c:lblAlgn val="ctr"/>
        <c:lblOffset val="100"/>
        <c:tickLblSkip val="100"/>
        <c:tickMarkSkip val="10"/>
        <c:noMultiLvlLbl val="0"/>
      </c:catAx>
      <c:valAx>
        <c:axId val="114844032"/>
        <c:scaling>
          <c:orientation val="minMax"/>
          <c:max val="20"/>
          <c:min val="8"/>
        </c:scaling>
        <c:delete val="0"/>
        <c:axPos val="l"/>
        <c:title>
          <c:tx>
            <c:rich>
              <a:bodyPr rot="-5400000" vert="horz"/>
              <a:lstStyle/>
              <a:p>
                <a:pPr>
                  <a:defRPr/>
                </a:pPr>
                <a:r>
                  <a:rPr lang="en-US"/>
                  <a:t>Youth unemployment rate (%)</a:t>
                </a:r>
              </a:p>
            </c:rich>
          </c:tx>
          <c:layout/>
          <c:overlay val="0"/>
        </c:title>
        <c:numFmt formatCode="#,##0" sourceLinked="0"/>
        <c:majorTickMark val="out"/>
        <c:minorTickMark val="none"/>
        <c:tickLblPos val="nextTo"/>
        <c:spPr>
          <a:ln>
            <a:solidFill>
              <a:srgbClr val="BFBFBF"/>
            </a:solidFill>
          </a:ln>
        </c:spPr>
        <c:crossAx val="114834048"/>
        <c:crosses val="autoZero"/>
        <c:crossBetween val="between"/>
      </c:val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57431457431457"/>
          <c:y val="4.8506944444444443E-2"/>
          <c:w val="0.73572871572871568"/>
          <c:h val="0.81380173611111106"/>
        </c:manualLayout>
      </c:layout>
      <c:lineChart>
        <c:grouping val="standard"/>
        <c:varyColors val="0"/>
        <c:ser>
          <c:idx val="0"/>
          <c:order val="0"/>
          <c:tx>
            <c:strRef>
              <c:f>'Perc of Total Empl (by age) '!$A$35</c:f>
              <c:strCache>
                <c:ptCount val="1"/>
                <c:pt idx="0">
                  <c:v>&lt;25</c:v>
                </c:pt>
              </c:strCache>
            </c:strRef>
          </c:tx>
          <c:spPr>
            <a:ln>
              <a:solidFill>
                <a:srgbClr val="78A22F"/>
              </a:solidFill>
            </a:ln>
          </c:spPr>
          <c:marker>
            <c:symbol val="none"/>
          </c:marker>
          <c:cat>
            <c:numRef>
              <c:f>'Perc of Total Empl (by age) '!$B$34:$CE$34</c:f>
              <c:numCache>
                <c:formatCode>General</c:formatCode>
                <c:ptCount val="82"/>
                <c:pt idx="0">
                  <c:v>1979</c:v>
                </c:pt>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pt idx="34">
                  <c:v>2013</c:v>
                </c:pt>
                <c:pt idx="35">
                  <c:v>2014</c:v>
                </c:pt>
                <c:pt idx="36">
                  <c:v>2015</c:v>
                </c:pt>
                <c:pt idx="37">
                  <c:v>2016</c:v>
                </c:pt>
                <c:pt idx="38">
                  <c:v>2017</c:v>
                </c:pt>
                <c:pt idx="39">
                  <c:v>2018</c:v>
                </c:pt>
                <c:pt idx="40">
                  <c:v>2019</c:v>
                </c:pt>
                <c:pt idx="41">
                  <c:v>2020</c:v>
                </c:pt>
                <c:pt idx="42">
                  <c:v>2021</c:v>
                </c:pt>
                <c:pt idx="43">
                  <c:v>2022</c:v>
                </c:pt>
                <c:pt idx="44">
                  <c:v>2023</c:v>
                </c:pt>
                <c:pt idx="45">
                  <c:v>2024</c:v>
                </c:pt>
                <c:pt idx="46">
                  <c:v>2025</c:v>
                </c:pt>
                <c:pt idx="47">
                  <c:v>2026</c:v>
                </c:pt>
                <c:pt idx="48">
                  <c:v>2027</c:v>
                </c:pt>
                <c:pt idx="49">
                  <c:v>2028</c:v>
                </c:pt>
                <c:pt idx="50">
                  <c:v>2029</c:v>
                </c:pt>
                <c:pt idx="51">
                  <c:v>2030</c:v>
                </c:pt>
                <c:pt idx="52">
                  <c:v>2031</c:v>
                </c:pt>
                <c:pt idx="53">
                  <c:v>2032</c:v>
                </c:pt>
                <c:pt idx="54">
                  <c:v>2033</c:v>
                </c:pt>
                <c:pt idx="55">
                  <c:v>2034</c:v>
                </c:pt>
                <c:pt idx="56">
                  <c:v>2035</c:v>
                </c:pt>
                <c:pt idx="57">
                  <c:v>2036</c:v>
                </c:pt>
                <c:pt idx="58">
                  <c:v>2037</c:v>
                </c:pt>
                <c:pt idx="59">
                  <c:v>2038</c:v>
                </c:pt>
                <c:pt idx="60">
                  <c:v>2039</c:v>
                </c:pt>
                <c:pt idx="61">
                  <c:v>2040</c:v>
                </c:pt>
                <c:pt idx="62">
                  <c:v>2041</c:v>
                </c:pt>
                <c:pt idx="63">
                  <c:v>2042</c:v>
                </c:pt>
                <c:pt idx="64">
                  <c:v>2043</c:v>
                </c:pt>
                <c:pt idx="65">
                  <c:v>2044</c:v>
                </c:pt>
                <c:pt idx="66">
                  <c:v>2045</c:v>
                </c:pt>
                <c:pt idx="67">
                  <c:v>2046</c:v>
                </c:pt>
                <c:pt idx="68">
                  <c:v>2047</c:v>
                </c:pt>
                <c:pt idx="69">
                  <c:v>2048</c:v>
                </c:pt>
                <c:pt idx="70">
                  <c:v>2049</c:v>
                </c:pt>
                <c:pt idx="71">
                  <c:v>2050</c:v>
                </c:pt>
                <c:pt idx="72">
                  <c:v>2051</c:v>
                </c:pt>
                <c:pt idx="73">
                  <c:v>2052</c:v>
                </c:pt>
                <c:pt idx="74">
                  <c:v>2053</c:v>
                </c:pt>
                <c:pt idx="75">
                  <c:v>2054</c:v>
                </c:pt>
                <c:pt idx="76">
                  <c:v>2055</c:v>
                </c:pt>
                <c:pt idx="77">
                  <c:v>2056</c:v>
                </c:pt>
                <c:pt idx="78">
                  <c:v>2057</c:v>
                </c:pt>
                <c:pt idx="79">
                  <c:v>2058</c:v>
                </c:pt>
                <c:pt idx="80">
                  <c:v>2059</c:v>
                </c:pt>
                <c:pt idx="81">
                  <c:v>2060</c:v>
                </c:pt>
              </c:numCache>
            </c:numRef>
          </c:cat>
          <c:val>
            <c:numRef>
              <c:f>'Perc of Total Empl (by age) '!$B$35:$CE$35</c:f>
              <c:numCache>
                <c:formatCode>General</c:formatCode>
                <c:ptCount val="82"/>
                <c:pt idx="0">
                  <c:v>21.717736989485918</c:v>
                </c:pt>
                <c:pt idx="1">
                  <c:v>21.558926050225377</c:v>
                </c:pt>
                <c:pt idx="2">
                  <c:v>21.517941047565341</c:v>
                </c:pt>
                <c:pt idx="3">
                  <c:v>21.212695795699403</c:v>
                </c:pt>
                <c:pt idx="4">
                  <c:v>20.282785205255529</c:v>
                </c:pt>
                <c:pt idx="5">
                  <c:v>19.901158104964072</c:v>
                </c:pt>
                <c:pt idx="6">
                  <c:v>19.867941829296228</c:v>
                </c:pt>
                <c:pt idx="7">
                  <c:v>19.856646485137905</c:v>
                </c:pt>
                <c:pt idx="8">
                  <c:v>19.566162366880878</c:v>
                </c:pt>
                <c:pt idx="9">
                  <c:v>19.449663087836644</c:v>
                </c:pt>
                <c:pt idx="10">
                  <c:v>19.543234097334558</c:v>
                </c:pt>
                <c:pt idx="11">
                  <c:v>19.353296131798857</c:v>
                </c:pt>
                <c:pt idx="12">
                  <c:v>18.543860286334709</c:v>
                </c:pt>
                <c:pt idx="13">
                  <c:v>17.861459504335375</c:v>
                </c:pt>
                <c:pt idx="14">
                  <c:v>17.527838816392403</c:v>
                </c:pt>
                <c:pt idx="15">
                  <c:v>17.327400019132842</c:v>
                </c:pt>
                <c:pt idx="16">
                  <c:v>17.25343960487703</c:v>
                </c:pt>
                <c:pt idx="17">
                  <c:v>16.813049648369486</c:v>
                </c:pt>
                <c:pt idx="18">
                  <c:v>16.268990558207392</c:v>
                </c:pt>
                <c:pt idx="19">
                  <c:v>15.971273093498764</c:v>
                </c:pt>
                <c:pt idx="20">
                  <c:v>15.84093534871459</c:v>
                </c:pt>
                <c:pt idx="21">
                  <c:v>15.851502906998924</c:v>
                </c:pt>
                <c:pt idx="22">
                  <c:v>15.802363287382603</c:v>
                </c:pt>
                <c:pt idx="23">
                  <c:v>15.728269458735088</c:v>
                </c:pt>
                <c:pt idx="24">
                  <c:v>15.852335235903061</c:v>
                </c:pt>
                <c:pt idx="25">
                  <c:v>15.945724692197432</c:v>
                </c:pt>
                <c:pt idx="26">
                  <c:v>16.014872903561631</c:v>
                </c:pt>
                <c:pt idx="27">
                  <c:v>16.088919844742339</c:v>
                </c:pt>
                <c:pt idx="28">
                  <c:v>16.250717623455866</c:v>
                </c:pt>
                <c:pt idx="29">
                  <c:v>16.298385157735719</c:v>
                </c:pt>
                <c:pt idx="30">
                  <c:v>16.220176114032547</c:v>
                </c:pt>
                <c:pt idx="31">
                  <c:v>15.890866544202442</c:v>
                </c:pt>
                <c:pt idx="32">
                  <c:v>15.604514453882949</c:v>
                </c:pt>
                <c:pt idx="33">
                  <c:v>15.447757357336307</c:v>
                </c:pt>
                <c:pt idx="34">
                  <c:v>15.247588455579709</c:v>
                </c:pt>
                <c:pt idx="35">
                  <c:v>15.126892517527304</c:v>
                </c:pt>
                <c:pt idx="36">
                  <c:v>14.907318706055587</c:v>
                </c:pt>
                <c:pt idx="37">
                  <c:v>14.711693052393038</c:v>
                </c:pt>
                <c:pt idx="38">
                  <c:v>14.528484882993071</c:v>
                </c:pt>
                <c:pt idx="39">
                  <c:v>14.3438740447257</c:v>
                </c:pt>
                <c:pt idx="40">
                  <c:v>14.178612193399404</c:v>
                </c:pt>
                <c:pt idx="41">
                  <c:v>14.027336363777351</c:v>
                </c:pt>
                <c:pt idx="42">
                  <c:v>13.943268083530272</c:v>
                </c:pt>
                <c:pt idx="43">
                  <c:v>13.872251771344326</c:v>
                </c:pt>
                <c:pt idx="44">
                  <c:v>13.839762473921617</c:v>
                </c:pt>
                <c:pt idx="45">
                  <c:v>13.819316067793503</c:v>
                </c:pt>
                <c:pt idx="46">
                  <c:v>13.816503069660655</c:v>
                </c:pt>
                <c:pt idx="47">
                  <c:v>13.806631083938468</c:v>
                </c:pt>
                <c:pt idx="48">
                  <c:v>13.824438077185347</c:v>
                </c:pt>
                <c:pt idx="49">
                  <c:v>13.850882044819238</c:v>
                </c:pt>
                <c:pt idx="50">
                  <c:v>13.872801485290838</c:v>
                </c:pt>
                <c:pt idx="51">
                  <c:v>13.882945700892384</c:v>
                </c:pt>
                <c:pt idx="52">
                  <c:v>13.860718568305801</c:v>
                </c:pt>
                <c:pt idx="53">
                  <c:v>13.844012122341862</c:v>
                </c:pt>
                <c:pt idx="54">
                  <c:v>13.815019425546993</c:v>
                </c:pt>
                <c:pt idx="55">
                  <c:v>13.782906017028608</c:v>
                </c:pt>
                <c:pt idx="56">
                  <c:v>13.74345217175013</c:v>
                </c:pt>
                <c:pt idx="57">
                  <c:v>13.723378641220487</c:v>
                </c:pt>
                <c:pt idx="58">
                  <c:v>13.693319455426312</c:v>
                </c:pt>
                <c:pt idx="59">
                  <c:v>13.652183566445096</c:v>
                </c:pt>
                <c:pt idx="60">
                  <c:v>13.602098259630237</c:v>
                </c:pt>
                <c:pt idx="61">
                  <c:v>13.542951820247602</c:v>
                </c:pt>
                <c:pt idx="62">
                  <c:v>13.475190889370282</c:v>
                </c:pt>
                <c:pt idx="63">
                  <c:v>13.39941562280657</c:v>
                </c:pt>
                <c:pt idx="64">
                  <c:v>13.317349368082089</c:v>
                </c:pt>
                <c:pt idx="65">
                  <c:v>13.231073415346472</c:v>
                </c:pt>
                <c:pt idx="66">
                  <c:v>13.142231337635431</c:v>
                </c:pt>
                <c:pt idx="67">
                  <c:v>13.052661331636713</c:v>
                </c:pt>
                <c:pt idx="68">
                  <c:v>12.964338742348653</c:v>
                </c:pt>
                <c:pt idx="69">
                  <c:v>12.879103490763717</c:v>
                </c:pt>
                <c:pt idx="70">
                  <c:v>12.7986888764105</c:v>
                </c:pt>
                <c:pt idx="71">
                  <c:v>12.724418202168772</c:v>
                </c:pt>
                <c:pt idx="72">
                  <c:v>12.657463284356162</c:v>
                </c:pt>
                <c:pt idx="73">
                  <c:v>12.598752929736852</c:v>
                </c:pt>
                <c:pt idx="74">
                  <c:v>12.548534866226106</c:v>
                </c:pt>
                <c:pt idx="75">
                  <c:v>12.50632886205408</c:v>
                </c:pt>
                <c:pt idx="76">
                  <c:v>12.47204162739466</c:v>
                </c:pt>
                <c:pt idx="77">
                  <c:v>12.445233539265335</c:v>
                </c:pt>
                <c:pt idx="78">
                  <c:v>12.425112653570526</c:v>
                </c:pt>
                <c:pt idx="79">
                  <c:v>12.410540976773865</c:v>
                </c:pt>
                <c:pt idx="80">
                  <c:v>12.400343274989874</c:v>
                </c:pt>
                <c:pt idx="81">
                  <c:v>12.393221537688936</c:v>
                </c:pt>
              </c:numCache>
            </c:numRef>
          </c:val>
          <c:smooth val="0"/>
        </c:ser>
        <c:ser>
          <c:idx val="1"/>
          <c:order val="1"/>
          <c:tx>
            <c:strRef>
              <c:f>'Perc of Total Empl (by age) '!$A$36</c:f>
              <c:strCache>
                <c:ptCount val="1"/>
                <c:pt idx="0">
                  <c:v>26-44</c:v>
                </c:pt>
              </c:strCache>
            </c:strRef>
          </c:tx>
          <c:spPr>
            <a:ln cmpd="sng">
              <a:solidFill>
                <a:srgbClr val="265A9A"/>
              </a:solidFill>
              <a:prstDash val="solid"/>
            </a:ln>
            <a:effectLst/>
          </c:spPr>
          <c:marker>
            <c:symbol val="none"/>
          </c:marker>
          <c:cat>
            <c:numRef>
              <c:f>'Perc of Total Empl (by age) '!$B$34:$CE$34</c:f>
              <c:numCache>
                <c:formatCode>General</c:formatCode>
                <c:ptCount val="82"/>
                <c:pt idx="0">
                  <c:v>1979</c:v>
                </c:pt>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pt idx="34">
                  <c:v>2013</c:v>
                </c:pt>
                <c:pt idx="35">
                  <c:v>2014</c:v>
                </c:pt>
                <c:pt idx="36">
                  <c:v>2015</c:v>
                </c:pt>
                <c:pt idx="37">
                  <c:v>2016</c:v>
                </c:pt>
                <c:pt idx="38">
                  <c:v>2017</c:v>
                </c:pt>
                <c:pt idx="39">
                  <c:v>2018</c:v>
                </c:pt>
                <c:pt idx="40">
                  <c:v>2019</c:v>
                </c:pt>
                <c:pt idx="41">
                  <c:v>2020</c:v>
                </c:pt>
                <c:pt idx="42">
                  <c:v>2021</c:v>
                </c:pt>
                <c:pt idx="43">
                  <c:v>2022</c:v>
                </c:pt>
                <c:pt idx="44">
                  <c:v>2023</c:v>
                </c:pt>
                <c:pt idx="45">
                  <c:v>2024</c:v>
                </c:pt>
                <c:pt idx="46">
                  <c:v>2025</c:v>
                </c:pt>
                <c:pt idx="47">
                  <c:v>2026</c:v>
                </c:pt>
                <c:pt idx="48">
                  <c:v>2027</c:v>
                </c:pt>
                <c:pt idx="49">
                  <c:v>2028</c:v>
                </c:pt>
                <c:pt idx="50">
                  <c:v>2029</c:v>
                </c:pt>
                <c:pt idx="51">
                  <c:v>2030</c:v>
                </c:pt>
                <c:pt idx="52">
                  <c:v>2031</c:v>
                </c:pt>
                <c:pt idx="53">
                  <c:v>2032</c:v>
                </c:pt>
                <c:pt idx="54">
                  <c:v>2033</c:v>
                </c:pt>
                <c:pt idx="55">
                  <c:v>2034</c:v>
                </c:pt>
                <c:pt idx="56">
                  <c:v>2035</c:v>
                </c:pt>
                <c:pt idx="57">
                  <c:v>2036</c:v>
                </c:pt>
                <c:pt idx="58">
                  <c:v>2037</c:v>
                </c:pt>
                <c:pt idx="59">
                  <c:v>2038</c:v>
                </c:pt>
                <c:pt idx="60">
                  <c:v>2039</c:v>
                </c:pt>
                <c:pt idx="61">
                  <c:v>2040</c:v>
                </c:pt>
                <c:pt idx="62">
                  <c:v>2041</c:v>
                </c:pt>
                <c:pt idx="63">
                  <c:v>2042</c:v>
                </c:pt>
                <c:pt idx="64">
                  <c:v>2043</c:v>
                </c:pt>
                <c:pt idx="65">
                  <c:v>2044</c:v>
                </c:pt>
                <c:pt idx="66">
                  <c:v>2045</c:v>
                </c:pt>
                <c:pt idx="67">
                  <c:v>2046</c:v>
                </c:pt>
                <c:pt idx="68">
                  <c:v>2047</c:v>
                </c:pt>
                <c:pt idx="69">
                  <c:v>2048</c:v>
                </c:pt>
                <c:pt idx="70">
                  <c:v>2049</c:v>
                </c:pt>
                <c:pt idx="71">
                  <c:v>2050</c:v>
                </c:pt>
                <c:pt idx="72">
                  <c:v>2051</c:v>
                </c:pt>
                <c:pt idx="73">
                  <c:v>2052</c:v>
                </c:pt>
                <c:pt idx="74">
                  <c:v>2053</c:v>
                </c:pt>
                <c:pt idx="75">
                  <c:v>2054</c:v>
                </c:pt>
                <c:pt idx="76">
                  <c:v>2055</c:v>
                </c:pt>
                <c:pt idx="77">
                  <c:v>2056</c:v>
                </c:pt>
                <c:pt idx="78">
                  <c:v>2057</c:v>
                </c:pt>
                <c:pt idx="79">
                  <c:v>2058</c:v>
                </c:pt>
                <c:pt idx="80">
                  <c:v>2059</c:v>
                </c:pt>
                <c:pt idx="81">
                  <c:v>2060</c:v>
                </c:pt>
              </c:numCache>
            </c:numRef>
          </c:cat>
          <c:val>
            <c:numRef>
              <c:f>'Perc of Total Empl (by age) '!$B$36:$CE$36</c:f>
              <c:numCache>
                <c:formatCode>General</c:formatCode>
                <c:ptCount val="82"/>
                <c:pt idx="0">
                  <c:v>37.954215381567003</c:v>
                </c:pt>
                <c:pt idx="1">
                  <c:v>38.25443831811446</c:v>
                </c:pt>
                <c:pt idx="2">
                  <c:v>38.677558398107749</c:v>
                </c:pt>
                <c:pt idx="3">
                  <c:v>39.016572484543772</c:v>
                </c:pt>
                <c:pt idx="4">
                  <c:v>39.372884927612539</c:v>
                </c:pt>
                <c:pt idx="5">
                  <c:v>39.639933336204912</c:v>
                </c:pt>
                <c:pt idx="6">
                  <c:v>39.974930325031785</c:v>
                </c:pt>
                <c:pt idx="7">
                  <c:v>40.155556378906233</c:v>
                </c:pt>
                <c:pt idx="8">
                  <c:v>40.391614897316551</c:v>
                </c:pt>
                <c:pt idx="9">
                  <c:v>40.663101363723193</c:v>
                </c:pt>
                <c:pt idx="10">
                  <c:v>40.741748168833567</c:v>
                </c:pt>
                <c:pt idx="11">
                  <c:v>40.800543211020155</c:v>
                </c:pt>
                <c:pt idx="12">
                  <c:v>40.672238561913453</c:v>
                </c:pt>
                <c:pt idx="13">
                  <c:v>40.414404286870891</c:v>
                </c:pt>
                <c:pt idx="14">
                  <c:v>40.028758509547593</c:v>
                </c:pt>
                <c:pt idx="15">
                  <c:v>39.89613743070548</c:v>
                </c:pt>
                <c:pt idx="16">
                  <c:v>39.662331239612236</c:v>
                </c:pt>
                <c:pt idx="17">
                  <c:v>39.685415972922613</c:v>
                </c:pt>
                <c:pt idx="18">
                  <c:v>39.529577643265284</c:v>
                </c:pt>
                <c:pt idx="19">
                  <c:v>39.278036396073631</c:v>
                </c:pt>
                <c:pt idx="20">
                  <c:v>38.873969123696583</c:v>
                </c:pt>
                <c:pt idx="21">
                  <c:v>38.410121754205015</c:v>
                </c:pt>
                <c:pt idx="22">
                  <c:v>38.028497565238389</c:v>
                </c:pt>
                <c:pt idx="23">
                  <c:v>37.579220120506186</c:v>
                </c:pt>
                <c:pt idx="24">
                  <c:v>37.075004410112626</c:v>
                </c:pt>
                <c:pt idx="25">
                  <c:v>36.600753997565398</c:v>
                </c:pt>
                <c:pt idx="26">
                  <c:v>36.250582558298703</c:v>
                </c:pt>
                <c:pt idx="27">
                  <c:v>35.882518843136999</c:v>
                </c:pt>
                <c:pt idx="28">
                  <c:v>35.603992935676416</c:v>
                </c:pt>
                <c:pt idx="29">
                  <c:v>35.373936195059301</c:v>
                </c:pt>
                <c:pt idx="30">
                  <c:v>35.263918021925477</c:v>
                </c:pt>
                <c:pt idx="31">
                  <c:v>35.235059973387543</c:v>
                </c:pt>
                <c:pt idx="32">
                  <c:v>35.286723838208083</c:v>
                </c:pt>
                <c:pt idx="33">
                  <c:v>35.29930394417589</c:v>
                </c:pt>
                <c:pt idx="34">
                  <c:v>35.290196806860173</c:v>
                </c:pt>
                <c:pt idx="35">
                  <c:v>35.234382647456606</c:v>
                </c:pt>
                <c:pt idx="36">
                  <c:v>35.180167642556938</c:v>
                </c:pt>
                <c:pt idx="37">
                  <c:v>34.995675729117544</c:v>
                </c:pt>
                <c:pt idx="38">
                  <c:v>34.809346233690619</c:v>
                </c:pt>
                <c:pt idx="39">
                  <c:v>34.68517320008003</c:v>
                </c:pt>
                <c:pt idx="40">
                  <c:v>34.595016330063821</c:v>
                </c:pt>
                <c:pt idx="41">
                  <c:v>34.539061990072533</c:v>
                </c:pt>
                <c:pt idx="42">
                  <c:v>34.459357011949841</c:v>
                </c:pt>
                <c:pt idx="43">
                  <c:v>34.369079129982858</c:v>
                </c:pt>
                <c:pt idx="44">
                  <c:v>34.24348691376953</c:v>
                </c:pt>
                <c:pt idx="45">
                  <c:v>34.082110740984326</c:v>
                </c:pt>
                <c:pt idx="46">
                  <c:v>33.880919648673888</c:v>
                </c:pt>
                <c:pt idx="47">
                  <c:v>33.623228054803242</c:v>
                </c:pt>
                <c:pt idx="48">
                  <c:v>33.316804575396837</c:v>
                </c:pt>
                <c:pt idx="49">
                  <c:v>32.970437163058278</c:v>
                </c:pt>
                <c:pt idx="50">
                  <c:v>32.639771101372567</c:v>
                </c:pt>
                <c:pt idx="51">
                  <c:v>32.320640646466913</c:v>
                </c:pt>
                <c:pt idx="52">
                  <c:v>32.05316727824232</c:v>
                </c:pt>
                <c:pt idx="53">
                  <c:v>31.806348694598103</c:v>
                </c:pt>
                <c:pt idx="54">
                  <c:v>31.581115052104746</c:v>
                </c:pt>
                <c:pt idx="55">
                  <c:v>31.360072612895006</c:v>
                </c:pt>
                <c:pt idx="56">
                  <c:v>31.141938525544255</c:v>
                </c:pt>
                <c:pt idx="57">
                  <c:v>30.941885281501854</c:v>
                </c:pt>
                <c:pt idx="58">
                  <c:v>30.787560483989271</c:v>
                </c:pt>
                <c:pt idx="59">
                  <c:v>30.654725900508478</c:v>
                </c:pt>
                <c:pt idx="60">
                  <c:v>30.540248867254348</c:v>
                </c:pt>
                <c:pt idx="61">
                  <c:v>30.434396139303605</c:v>
                </c:pt>
                <c:pt idx="62">
                  <c:v>30.365862562845308</c:v>
                </c:pt>
                <c:pt idx="63">
                  <c:v>30.317117388784411</c:v>
                </c:pt>
                <c:pt idx="64">
                  <c:v>30.293700986095899</c:v>
                </c:pt>
                <c:pt idx="65">
                  <c:v>30.279279147127859</c:v>
                </c:pt>
                <c:pt idx="66">
                  <c:v>30.274042485829476</c:v>
                </c:pt>
                <c:pt idx="67">
                  <c:v>30.2751699675716</c:v>
                </c:pt>
                <c:pt idx="68">
                  <c:v>30.291109705801798</c:v>
                </c:pt>
                <c:pt idx="69">
                  <c:v>30.303592191471449</c:v>
                </c:pt>
                <c:pt idx="70">
                  <c:v>30.303476913306334</c:v>
                </c:pt>
                <c:pt idx="71">
                  <c:v>30.283836414857841</c:v>
                </c:pt>
                <c:pt idx="72">
                  <c:v>30.228962978311181</c:v>
                </c:pt>
                <c:pt idx="73">
                  <c:v>30.168669294560974</c:v>
                </c:pt>
                <c:pt idx="74">
                  <c:v>30.08921779770208</c:v>
                </c:pt>
                <c:pt idx="75">
                  <c:v>29.999245575373891</c:v>
                </c:pt>
                <c:pt idx="76">
                  <c:v>29.896487671646664</c:v>
                </c:pt>
                <c:pt idx="77">
                  <c:v>29.805596603350267</c:v>
                </c:pt>
                <c:pt idx="78">
                  <c:v>29.703303978355397</c:v>
                </c:pt>
                <c:pt idx="79">
                  <c:v>29.590468640073489</c:v>
                </c:pt>
                <c:pt idx="80">
                  <c:v>29.470824938315097</c:v>
                </c:pt>
                <c:pt idx="81">
                  <c:v>29.345906244367459</c:v>
                </c:pt>
              </c:numCache>
            </c:numRef>
          </c:val>
          <c:smooth val="0"/>
        </c:ser>
        <c:ser>
          <c:idx val="2"/>
          <c:order val="2"/>
          <c:tx>
            <c:strRef>
              <c:f>'Perc of Total Empl (by age) '!$A$37</c:f>
              <c:strCache>
                <c:ptCount val="1"/>
                <c:pt idx="0">
                  <c:v>45-64</c:v>
                </c:pt>
              </c:strCache>
            </c:strRef>
          </c:tx>
          <c:spPr>
            <a:ln cmpd="sng">
              <a:solidFill>
                <a:srgbClr val="B2D673"/>
              </a:solidFill>
              <a:prstDash val="solid"/>
            </a:ln>
            <a:effectLst/>
          </c:spPr>
          <c:marker>
            <c:symbol val="none"/>
          </c:marker>
          <c:cat>
            <c:numRef>
              <c:f>'Perc of Total Empl (by age) '!$B$34:$CE$34</c:f>
              <c:numCache>
                <c:formatCode>General</c:formatCode>
                <c:ptCount val="82"/>
                <c:pt idx="0">
                  <c:v>1979</c:v>
                </c:pt>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pt idx="34">
                  <c:v>2013</c:v>
                </c:pt>
                <c:pt idx="35">
                  <c:v>2014</c:v>
                </c:pt>
                <c:pt idx="36">
                  <c:v>2015</c:v>
                </c:pt>
                <c:pt idx="37">
                  <c:v>2016</c:v>
                </c:pt>
                <c:pt idx="38">
                  <c:v>2017</c:v>
                </c:pt>
                <c:pt idx="39">
                  <c:v>2018</c:v>
                </c:pt>
                <c:pt idx="40">
                  <c:v>2019</c:v>
                </c:pt>
                <c:pt idx="41">
                  <c:v>2020</c:v>
                </c:pt>
                <c:pt idx="42">
                  <c:v>2021</c:v>
                </c:pt>
                <c:pt idx="43">
                  <c:v>2022</c:v>
                </c:pt>
                <c:pt idx="44">
                  <c:v>2023</c:v>
                </c:pt>
                <c:pt idx="45">
                  <c:v>2024</c:v>
                </c:pt>
                <c:pt idx="46">
                  <c:v>2025</c:v>
                </c:pt>
                <c:pt idx="47">
                  <c:v>2026</c:v>
                </c:pt>
                <c:pt idx="48">
                  <c:v>2027</c:v>
                </c:pt>
                <c:pt idx="49">
                  <c:v>2028</c:v>
                </c:pt>
                <c:pt idx="50">
                  <c:v>2029</c:v>
                </c:pt>
                <c:pt idx="51">
                  <c:v>2030</c:v>
                </c:pt>
                <c:pt idx="52">
                  <c:v>2031</c:v>
                </c:pt>
                <c:pt idx="53">
                  <c:v>2032</c:v>
                </c:pt>
                <c:pt idx="54">
                  <c:v>2033</c:v>
                </c:pt>
                <c:pt idx="55">
                  <c:v>2034</c:v>
                </c:pt>
                <c:pt idx="56">
                  <c:v>2035</c:v>
                </c:pt>
                <c:pt idx="57">
                  <c:v>2036</c:v>
                </c:pt>
                <c:pt idx="58">
                  <c:v>2037</c:v>
                </c:pt>
                <c:pt idx="59">
                  <c:v>2038</c:v>
                </c:pt>
                <c:pt idx="60">
                  <c:v>2039</c:v>
                </c:pt>
                <c:pt idx="61">
                  <c:v>2040</c:v>
                </c:pt>
                <c:pt idx="62">
                  <c:v>2041</c:v>
                </c:pt>
                <c:pt idx="63">
                  <c:v>2042</c:v>
                </c:pt>
                <c:pt idx="64">
                  <c:v>2043</c:v>
                </c:pt>
                <c:pt idx="65">
                  <c:v>2044</c:v>
                </c:pt>
                <c:pt idx="66">
                  <c:v>2045</c:v>
                </c:pt>
                <c:pt idx="67">
                  <c:v>2046</c:v>
                </c:pt>
                <c:pt idx="68">
                  <c:v>2047</c:v>
                </c:pt>
                <c:pt idx="69">
                  <c:v>2048</c:v>
                </c:pt>
                <c:pt idx="70">
                  <c:v>2049</c:v>
                </c:pt>
                <c:pt idx="71">
                  <c:v>2050</c:v>
                </c:pt>
                <c:pt idx="72">
                  <c:v>2051</c:v>
                </c:pt>
                <c:pt idx="73">
                  <c:v>2052</c:v>
                </c:pt>
                <c:pt idx="74">
                  <c:v>2053</c:v>
                </c:pt>
                <c:pt idx="75">
                  <c:v>2054</c:v>
                </c:pt>
                <c:pt idx="76">
                  <c:v>2055</c:v>
                </c:pt>
                <c:pt idx="77">
                  <c:v>2056</c:v>
                </c:pt>
                <c:pt idx="78">
                  <c:v>2057</c:v>
                </c:pt>
                <c:pt idx="79">
                  <c:v>2058</c:v>
                </c:pt>
                <c:pt idx="80">
                  <c:v>2059</c:v>
                </c:pt>
                <c:pt idx="81">
                  <c:v>2060</c:v>
                </c:pt>
              </c:numCache>
            </c:numRef>
          </c:cat>
          <c:val>
            <c:numRef>
              <c:f>'Perc of Total Empl (by age) '!$B$37:$CE$37</c:f>
              <c:numCache>
                <c:formatCode>General</c:formatCode>
                <c:ptCount val="82"/>
                <c:pt idx="0">
                  <c:v>27.006276489952697</c:v>
                </c:pt>
                <c:pt idx="1">
                  <c:v>26.655781860070753</c:v>
                </c:pt>
                <c:pt idx="2">
                  <c:v>26.24595161221847</c:v>
                </c:pt>
                <c:pt idx="3">
                  <c:v>26.031946534039431</c:v>
                </c:pt>
                <c:pt idx="4">
                  <c:v>26.136461806614243</c:v>
                </c:pt>
                <c:pt idx="5">
                  <c:v>26.101863648498025</c:v>
                </c:pt>
                <c:pt idx="6">
                  <c:v>25.79486677500617</c:v>
                </c:pt>
                <c:pt idx="7">
                  <c:v>25.458498869940637</c:v>
                </c:pt>
                <c:pt idx="8">
                  <c:v>25.216346514200744</c:v>
                </c:pt>
                <c:pt idx="9">
                  <c:v>25.028022623456192</c:v>
                </c:pt>
                <c:pt idx="10">
                  <c:v>24.870064839870537</c:v>
                </c:pt>
                <c:pt idx="11">
                  <c:v>24.941865759345735</c:v>
                </c:pt>
                <c:pt idx="12">
                  <c:v>25.385561517750979</c:v>
                </c:pt>
                <c:pt idx="13">
                  <c:v>25.810381144517915</c:v>
                </c:pt>
                <c:pt idx="14">
                  <c:v>26.184683792182742</c:v>
                </c:pt>
                <c:pt idx="15">
                  <c:v>26.453372787124078</c:v>
                </c:pt>
                <c:pt idx="16">
                  <c:v>26.791801723322383</c:v>
                </c:pt>
                <c:pt idx="17">
                  <c:v>27.164983768793277</c:v>
                </c:pt>
                <c:pt idx="18">
                  <c:v>27.689754300212993</c:v>
                </c:pt>
                <c:pt idx="19">
                  <c:v>28.235543324532763</c:v>
                </c:pt>
                <c:pt idx="20">
                  <c:v>28.708010136826587</c:v>
                </c:pt>
                <c:pt idx="21">
                  <c:v>29.196704844444245</c:v>
                </c:pt>
                <c:pt idx="22">
                  <c:v>29.642567750959941</c:v>
                </c:pt>
                <c:pt idx="23">
                  <c:v>29.976085961713224</c:v>
                </c:pt>
                <c:pt idx="24">
                  <c:v>30.335711590052039</c:v>
                </c:pt>
                <c:pt idx="25">
                  <c:v>30.656716162228079</c:v>
                </c:pt>
                <c:pt idx="26">
                  <c:v>30.948190886611489</c:v>
                </c:pt>
                <c:pt idx="27">
                  <c:v>31.196997088027043</c:v>
                </c:pt>
                <c:pt idx="28">
                  <c:v>31.328529145539719</c:v>
                </c:pt>
                <c:pt idx="29">
                  <c:v>31.421794990610451</c:v>
                </c:pt>
                <c:pt idx="30">
                  <c:v>31.40038061997312</c:v>
                </c:pt>
                <c:pt idx="31">
                  <c:v>31.43989337592447</c:v>
                </c:pt>
                <c:pt idx="32">
                  <c:v>31.429447650923539</c:v>
                </c:pt>
                <c:pt idx="33">
                  <c:v>31.12509027431663</c:v>
                </c:pt>
                <c:pt idx="34">
                  <c:v>30.952371174788716</c:v>
                </c:pt>
                <c:pt idx="35">
                  <c:v>30.892820620865368</c:v>
                </c:pt>
                <c:pt idx="36">
                  <c:v>30.850745529875066</c:v>
                </c:pt>
                <c:pt idx="37">
                  <c:v>30.907546287107849</c:v>
                </c:pt>
                <c:pt idx="38">
                  <c:v>30.95043796559408</c:v>
                </c:pt>
                <c:pt idx="39">
                  <c:v>30.903594719748707</c:v>
                </c:pt>
                <c:pt idx="40">
                  <c:v>30.814648539606409</c:v>
                </c:pt>
                <c:pt idx="41">
                  <c:v>30.663522904200718</c:v>
                </c:pt>
                <c:pt idx="42">
                  <c:v>30.459409017844134</c:v>
                </c:pt>
                <c:pt idx="43">
                  <c:v>30.256609391939357</c:v>
                </c:pt>
                <c:pt idx="44">
                  <c:v>30.044421558756937</c:v>
                </c:pt>
                <c:pt idx="45">
                  <c:v>29.848302895770843</c:v>
                </c:pt>
                <c:pt idx="46">
                  <c:v>29.679898321236713</c:v>
                </c:pt>
                <c:pt idx="47">
                  <c:v>29.548391749065729</c:v>
                </c:pt>
                <c:pt idx="48">
                  <c:v>29.458180606940829</c:v>
                </c:pt>
                <c:pt idx="49">
                  <c:v>29.424554466585199</c:v>
                </c:pt>
                <c:pt idx="50">
                  <c:v>29.417424472765486</c:v>
                </c:pt>
                <c:pt idx="51">
                  <c:v>29.465362665104859</c:v>
                </c:pt>
                <c:pt idx="52">
                  <c:v>29.525395772363165</c:v>
                </c:pt>
                <c:pt idx="53">
                  <c:v>29.573209437375077</c:v>
                </c:pt>
                <c:pt idx="54">
                  <c:v>29.598705071470572</c:v>
                </c:pt>
                <c:pt idx="55">
                  <c:v>29.59074329134905</c:v>
                </c:pt>
                <c:pt idx="56">
                  <c:v>29.586591501733633</c:v>
                </c:pt>
                <c:pt idx="57">
                  <c:v>29.488808699489823</c:v>
                </c:pt>
                <c:pt idx="58">
                  <c:v>29.389450142327398</c:v>
                </c:pt>
                <c:pt idx="59">
                  <c:v>29.34331679467433</c:v>
                </c:pt>
                <c:pt idx="60">
                  <c:v>29.328071626272926</c:v>
                </c:pt>
                <c:pt idx="61">
                  <c:v>29.346310834199805</c:v>
                </c:pt>
                <c:pt idx="62">
                  <c:v>29.358309990964162</c:v>
                </c:pt>
                <c:pt idx="63">
                  <c:v>29.363978766494004</c:v>
                </c:pt>
                <c:pt idx="64">
                  <c:v>29.348410814425023</c:v>
                </c:pt>
                <c:pt idx="65">
                  <c:v>29.308634859249775</c:v>
                </c:pt>
                <c:pt idx="66">
                  <c:v>29.2414367203348</c:v>
                </c:pt>
                <c:pt idx="67">
                  <c:v>29.126458242159348</c:v>
                </c:pt>
                <c:pt idx="68">
                  <c:v>28.974606089158886</c:v>
                </c:pt>
                <c:pt idx="69">
                  <c:v>28.792545429796171</c:v>
                </c:pt>
                <c:pt idx="70">
                  <c:v>28.62189310445029</c:v>
                </c:pt>
                <c:pt idx="71">
                  <c:v>28.459110017998313</c:v>
                </c:pt>
                <c:pt idx="72">
                  <c:v>28.335415075647887</c:v>
                </c:pt>
                <c:pt idx="73">
                  <c:v>28.225610460391295</c:v>
                </c:pt>
                <c:pt idx="74">
                  <c:v>28.130321781473981</c:v>
                </c:pt>
                <c:pt idx="75">
                  <c:v>28.033568080745553</c:v>
                </c:pt>
                <c:pt idx="76">
                  <c:v>27.933987896600264</c:v>
                </c:pt>
                <c:pt idx="77">
                  <c:v>27.842779746064377</c:v>
                </c:pt>
                <c:pt idx="78">
                  <c:v>27.782871697743541</c:v>
                </c:pt>
                <c:pt idx="79">
                  <c:v>27.734646163572023</c:v>
                </c:pt>
                <c:pt idx="80">
                  <c:v>27.695650604272579</c:v>
                </c:pt>
                <c:pt idx="81">
                  <c:v>27.658309636805996</c:v>
                </c:pt>
              </c:numCache>
            </c:numRef>
          </c:val>
          <c:smooth val="0"/>
        </c:ser>
        <c:ser>
          <c:idx val="3"/>
          <c:order val="3"/>
          <c:tx>
            <c:strRef>
              <c:f>'Perc of Total Empl (by age) '!$A$38</c:f>
              <c:strCache>
                <c:ptCount val="1"/>
                <c:pt idx="0">
                  <c:v>65+</c:v>
                </c:pt>
              </c:strCache>
            </c:strRef>
          </c:tx>
          <c:spPr>
            <a:ln cmpd="sng">
              <a:solidFill>
                <a:srgbClr val="78A22F"/>
              </a:solidFill>
              <a:prstDash val="sysDot"/>
            </a:ln>
          </c:spPr>
          <c:marker>
            <c:symbol val="none"/>
          </c:marker>
          <c:cat>
            <c:numRef>
              <c:f>'Perc of Total Empl (by age) '!$B$34:$CE$34</c:f>
              <c:numCache>
                <c:formatCode>General</c:formatCode>
                <c:ptCount val="82"/>
                <c:pt idx="0">
                  <c:v>1979</c:v>
                </c:pt>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pt idx="34">
                  <c:v>2013</c:v>
                </c:pt>
                <c:pt idx="35">
                  <c:v>2014</c:v>
                </c:pt>
                <c:pt idx="36">
                  <c:v>2015</c:v>
                </c:pt>
                <c:pt idx="37">
                  <c:v>2016</c:v>
                </c:pt>
                <c:pt idx="38">
                  <c:v>2017</c:v>
                </c:pt>
                <c:pt idx="39">
                  <c:v>2018</c:v>
                </c:pt>
                <c:pt idx="40">
                  <c:v>2019</c:v>
                </c:pt>
                <c:pt idx="41">
                  <c:v>2020</c:v>
                </c:pt>
                <c:pt idx="42">
                  <c:v>2021</c:v>
                </c:pt>
                <c:pt idx="43">
                  <c:v>2022</c:v>
                </c:pt>
                <c:pt idx="44">
                  <c:v>2023</c:v>
                </c:pt>
                <c:pt idx="45">
                  <c:v>2024</c:v>
                </c:pt>
                <c:pt idx="46">
                  <c:v>2025</c:v>
                </c:pt>
                <c:pt idx="47">
                  <c:v>2026</c:v>
                </c:pt>
                <c:pt idx="48">
                  <c:v>2027</c:v>
                </c:pt>
                <c:pt idx="49">
                  <c:v>2028</c:v>
                </c:pt>
                <c:pt idx="50">
                  <c:v>2029</c:v>
                </c:pt>
                <c:pt idx="51">
                  <c:v>2030</c:v>
                </c:pt>
                <c:pt idx="52">
                  <c:v>2031</c:v>
                </c:pt>
                <c:pt idx="53">
                  <c:v>2032</c:v>
                </c:pt>
                <c:pt idx="54">
                  <c:v>2033</c:v>
                </c:pt>
                <c:pt idx="55">
                  <c:v>2034</c:v>
                </c:pt>
                <c:pt idx="56">
                  <c:v>2035</c:v>
                </c:pt>
                <c:pt idx="57">
                  <c:v>2036</c:v>
                </c:pt>
                <c:pt idx="58">
                  <c:v>2037</c:v>
                </c:pt>
                <c:pt idx="59">
                  <c:v>2038</c:v>
                </c:pt>
                <c:pt idx="60">
                  <c:v>2039</c:v>
                </c:pt>
                <c:pt idx="61">
                  <c:v>2040</c:v>
                </c:pt>
                <c:pt idx="62">
                  <c:v>2041</c:v>
                </c:pt>
                <c:pt idx="63">
                  <c:v>2042</c:v>
                </c:pt>
                <c:pt idx="64">
                  <c:v>2043</c:v>
                </c:pt>
                <c:pt idx="65">
                  <c:v>2044</c:v>
                </c:pt>
                <c:pt idx="66">
                  <c:v>2045</c:v>
                </c:pt>
                <c:pt idx="67">
                  <c:v>2046</c:v>
                </c:pt>
                <c:pt idx="68">
                  <c:v>2047</c:v>
                </c:pt>
                <c:pt idx="69">
                  <c:v>2048</c:v>
                </c:pt>
                <c:pt idx="70">
                  <c:v>2049</c:v>
                </c:pt>
                <c:pt idx="71">
                  <c:v>2050</c:v>
                </c:pt>
                <c:pt idx="72">
                  <c:v>2051</c:v>
                </c:pt>
                <c:pt idx="73">
                  <c:v>2052</c:v>
                </c:pt>
                <c:pt idx="74">
                  <c:v>2053</c:v>
                </c:pt>
                <c:pt idx="75">
                  <c:v>2054</c:v>
                </c:pt>
                <c:pt idx="76">
                  <c:v>2055</c:v>
                </c:pt>
                <c:pt idx="77">
                  <c:v>2056</c:v>
                </c:pt>
                <c:pt idx="78">
                  <c:v>2057</c:v>
                </c:pt>
                <c:pt idx="79">
                  <c:v>2058</c:v>
                </c:pt>
                <c:pt idx="80">
                  <c:v>2059</c:v>
                </c:pt>
                <c:pt idx="81">
                  <c:v>2060</c:v>
                </c:pt>
              </c:numCache>
            </c:numRef>
          </c:cat>
          <c:val>
            <c:numRef>
              <c:f>'Perc of Total Empl (by age) '!$B$38:$CE$38</c:f>
              <c:numCache>
                <c:formatCode>General</c:formatCode>
                <c:ptCount val="82"/>
                <c:pt idx="0">
                  <c:v>13.321771138994402</c:v>
                </c:pt>
                <c:pt idx="1">
                  <c:v>13.530853771589429</c:v>
                </c:pt>
                <c:pt idx="2">
                  <c:v>13.558548942108445</c:v>
                </c:pt>
                <c:pt idx="3">
                  <c:v>13.738785185717369</c:v>
                </c:pt>
                <c:pt idx="4">
                  <c:v>14.207868060517688</c:v>
                </c:pt>
                <c:pt idx="5">
                  <c:v>14.357044910332991</c:v>
                </c:pt>
                <c:pt idx="6">
                  <c:v>14.362261070665827</c:v>
                </c:pt>
                <c:pt idx="7">
                  <c:v>14.529298266015235</c:v>
                </c:pt>
                <c:pt idx="8">
                  <c:v>14.825876221601833</c:v>
                </c:pt>
                <c:pt idx="9">
                  <c:v>14.859212924983989</c:v>
                </c:pt>
                <c:pt idx="10">
                  <c:v>14.844952893961331</c:v>
                </c:pt>
                <c:pt idx="11">
                  <c:v>14.904294897835261</c:v>
                </c:pt>
                <c:pt idx="12">
                  <c:v>15.398339634000831</c:v>
                </c:pt>
                <c:pt idx="13">
                  <c:v>15.913755064275822</c:v>
                </c:pt>
                <c:pt idx="14">
                  <c:v>16.258718881877268</c:v>
                </c:pt>
                <c:pt idx="15">
                  <c:v>16.323089763037583</c:v>
                </c:pt>
                <c:pt idx="16">
                  <c:v>16.292427432188365</c:v>
                </c:pt>
                <c:pt idx="17">
                  <c:v>16.336550609914621</c:v>
                </c:pt>
                <c:pt idx="18">
                  <c:v>16.511677498314331</c:v>
                </c:pt>
                <c:pt idx="19">
                  <c:v>16.515147185894822</c:v>
                </c:pt>
                <c:pt idx="20">
                  <c:v>16.577085390762239</c:v>
                </c:pt>
                <c:pt idx="21">
                  <c:v>16.54167049435182</c:v>
                </c:pt>
                <c:pt idx="22">
                  <c:v>16.526571396419062</c:v>
                </c:pt>
                <c:pt idx="23">
                  <c:v>16.716424459045498</c:v>
                </c:pt>
                <c:pt idx="24">
                  <c:v>16.736948763932272</c:v>
                </c:pt>
                <c:pt idx="25">
                  <c:v>16.796805148009092</c:v>
                </c:pt>
                <c:pt idx="26">
                  <c:v>16.78635365152817</c:v>
                </c:pt>
                <c:pt idx="27">
                  <c:v>16.83156422409359</c:v>
                </c:pt>
                <c:pt idx="28">
                  <c:v>16.816760295328006</c:v>
                </c:pt>
                <c:pt idx="29">
                  <c:v>16.905883656594529</c:v>
                </c:pt>
                <c:pt idx="30">
                  <c:v>17.115525244068859</c:v>
                </c:pt>
                <c:pt idx="31">
                  <c:v>17.434180106485531</c:v>
                </c:pt>
                <c:pt idx="32">
                  <c:v>17.67931405698544</c:v>
                </c:pt>
                <c:pt idx="33">
                  <c:v>18.127848424171201</c:v>
                </c:pt>
                <c:pt idx="34">
                  <c:v>18.509843562771419</c:v>
                </c:pt>
                <c:pt idx="35">
                  <c:v>18.74590421415073</c:v>
                </c:pt>
                <c:pt idx="36">
                  <c:v>19.061768121512404</c:v>
                </c:pt>
                <c:pt idx="37">
                  <c:v>19.385084931381556</c:v>
                </c:pt>
                <c:pt idx="38">
                  <c:v>19.711730917722235</c:v>
                </c:pt>
                <c:pt idx="39">
                  <c:v>20.067358035445586</c:v>
                </c:pt>
                <c:pt idx="40">
                  <c:v>20.411722936930389</c:v>
                </c:pt>
                <c:pt idx="41">
                  <c:v>20.770078741949405</c:v>
                </c:pt>
                <c:pt idx="42">
                  <c:v>21.13796588667574</c:v>
                </c:pt>
                <c:pt idx="43">
                  <c:v>21.502059706733448</c:v>
                </c:pt>
                <c:pt idx="44">
                  <c:v>21.872329053551923</c:v>
                </c:pt>
                <c:pt idx="45">
                  <c:v>22.25027029545133</c:v>
                </c:pt>
                <c:pt idx="46">
                  <c:v>22.622678960428761</c:v>
                </c:pt>
                <c:pt idx="47">
                  <c:v>23.021749112192577</c:v>
                </c:pt>
                <c:pt idx="48">
                  <c:v>23.400576740476989</c:v>
                </c:pt>
                <c:pt idx="49">
                  <c:v>23.754126325537278</c:v>
                </c:pt>
                <c:pt idx="50">
                  <c:v>24.070002940571126</c:v>
                </c:pt>
                <c:pt idx="51">
                  <c:v>24.331050987535839</c:v>
                </c:pt>
                <c:pt idx="52">
                  <c:v>24.560718381088694</c:v>
                </c:pt>
                <c:pt idx="53">
                  <c:v>24.776429745684954</c:v>
                </c:pt>
                <c:pt idx="54">
                  <c:v>25.005160450877703</c:v>
                </c:pt>
                <c:pt idx="55">
                  <c:v>25.266278078727328</c:v>
                </c:pt>
                <c:pt idx="56">
                  <c:v>25.528017800972016</c:v>
                </c:pt>
                <c:pt idx="57">
                  <c:v>25.845927377787806</c:v>
                </c:pt>
                <c:pt idx="58">
                  <c:v>26.129669918257026</c:v>
                </c:pt>
                <c:pt idx="59">
                  <c:v>26.349773738372093</c:v>
                </c:pt>
                <c:pt idx="60">
                  <c:v>26.529581246842501</c:v>
                </c:pt>
                <c:pt idx="61">
                  <c:v>26.676341206248974</c:v>
                </c:pt>
                <c:pt idx="62">
                  <c:v>26.800636556820276</c:v>
                </c:pt>
                <c:pt idx="63">
                  <c:v>26.919488221915032</c:v>
                </c:pt>
                <c:pt idx="64">
                  <c:v>27.040538831396997</c:v>
                </c:pt>
                <c:pt idx="65">
                  <c:v>27.181012578275876</c:v>
                </c:pt>
                <c:pt idx="66">
                  <c:v>27.342289456200291</c:v>
                </c:pt>
                <c:pt idx="67">
                  <c:v>27.545710458632342</c:v>
                </c:pt>
                <c:pt idx="68">
                  <c:v>27.769945462690643</c:v>
                </c:pt>
                <c:pt idx="69">
                  <c:v>28.024758887968662</c:v>
                </c:pt>
                <c:pt idx="70">
                  <c:v>28.275941105832899</c:v>
                </c:pt>
                <c:pt idx="71">
                  <c:v>28.532635364975068</c:v>
                </c:pt>
                <c:pt idx="72">
                  <c:v>28.778158661684788</c:v>
                </c:pt>
                <c:pt idx="73">
                  <c:v>29.00696731531087</c:v>
                </c:pt>
                <c:pt idx="74">
                  <c:v>29.231925554597829</c:v>
                </c:pt>
                <c:pt idx="75">
                  <c:v>29.460857481826469</c:v>
                </c:pt>
                <c:pt idx="76">
                  <c:v>29.697482804358401</c:v>
                </c:pt>
                <c:pt idx="77">
                  <c:v>29.906390111320004</c:v>
                </c:pt>
                <c:pt idx="78">
                  <c:v>30.08871167033054</c:v>
                </c:pt>
                <c:pt idx="79">
                  <c:v>30.264344219580611</c:v>
                </c:pt>
                <c:pt idx="80">
                  <c:v>30.433181182422441</c:v>
                </c:pt>
                <c:pt idx="81">
                  <c:v>30.602562581137622</c:v>
                </c:pt>
              </c:numCache>
            </c:numRef>
          </c:val>
          <c:smooth val="0"/>
        </c:ser>
        <c:dLbls>
          <c:showLegendKey val="0"/>
          <c:showVal val="0"/>
          <c:showCatName val="0"/>
          <c:showSerName val="0"/>
          <c:showPercent val="0"/>
          <c:showBubbleSize val="0"/>
        </c:dLbls>
        <c:marker val="1"/>
        <c:smooth val="0"/>
        <c:axId val="118098176"/>
        <c:axId val="118099968"/>
      </c:lineChart>
      <c:catAx>
        <c:axId val="118098176"/>
        <c:scaling>
          <c:orientation val="minMax"/>
        </c:scaling>
        <c:delete val="0"/>
        <c:axPos val="b"/>
        <c:numFmt formatCode="General" sourceLinked="1"/>
        <c:majorTickMark val="out"/>
        <c:minorTickMark val="none"/>
        <c:tickLblPos val="nextTo"/>
        <c:spPr>
          <a:ln>
            <a:solidFill>
              <a:srgbClr val="BFBFBF"/>
            </a:solidFill>
          </a:ln>
        </c:spPr>
        <c:crossAx val="118099968"/>
        <c:crosses val="autoZero"/>
        <c:auto val="1"/>
        <c:lblAlgn val="ctr"/>
        <c:lblOffset val="100"/>
        <c:tickLblSkip val="20"/>
        <c:tickMarkSkip val="5"/>
        <c:noMultiLvlLbl val="0"/>
      </c:catAx>
      <c:valAx>
        <c:axId val="118099968"/>
        <c:scaling>
          <c:orientation val="minMax"/>
        </c:scaling>
        <c:delete val="0"/>
        <c:axPos val="l"/>
        <c:title>
          <c:tx>
            <c:rich>
              <a:bodyPr rot="-5400000" vert="horz"/>
              <a:lstStyle/>
              <a:p>
                <a:pPr>
                  <a:defRPr/>
                </a:pPr>
                <a:r>
                  <a:rPr lang="en-AU"/>
                  <a:t>Share </a:t>
                </a:r>
                <a:r>
                  <a:rPr lang="en-AU" baseline="0"/>
                  <a:t>of employment (%)</a:t>
                </a:r>
                <a:endParaRPr lang="en-AU"/>
              </a:p>
            </c:rich>
          </c:tx>
          <c:layout>
            <c:manualLayout>
              <c:xMode val="edge"/>
              <c:yMode val="edge"/>
              <c:x val="1.8814814814814815E-2"/>
              <c:y val="0.16743090277777775"/>
            </c:manualLayout>
          </c:layout>
          <c:overlay val="0"/>
        </c:title>
        <c:numFmt formatCode="General" sourceLinked="1"/>
        <c:majorTickMark val="out"/>
        <c:minorTickMark val="none"/>
        <c:tickLblPos val="nextTo"/>
        <c:spPr>
          <a:ln>
            <a:solidFill>
              <a:srgbClr val="BFBFBF"/>
            </a:solidFill>
          </a:ln>
        </c:spPr>
        <c:crossAx val="118098176"/>
        <c:crosses val="autoZero"/>
        <c:crossBetween val="between"/>
      </c:val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495175434140593"/>
          <c:y val="6.5896180555555559E-2"/>
          <c:w val="0.39930648148148146"/>
          <c:h val="0.74869965277777772"/>
        </c:manualLayout>
      </c:layout>
      <c:radarChart>
        <c:radarStyle val="marker"/>
        <c:varyColors val="0"/>
        <c:ser>
          <c:idx val="0"/>
          <c:order val="0"/>
          <c:tx>
            <c:strRef>
              <c:f>Summary!$A$44</c:f>
              <c:strCache>
                <c:ptCount val="1"/>
                <c:pt idx="0">
                  <c:v>Australia</c:v>
                </c:pt>
              </c:strCache>
            </c:strRef>
          </c:tx>
          <c:spPr>
            <a:ln w="28575">
              <a:solidFill>
                <a:schemeClr val="accent2"/>
              </a:solidFill>
            </a:ln>
          </c:spPr>
          <c:marker>
            <c:symbol val="none"/>
          </c:marker>
          <c:cat>
            <c:strRef>
              <c:f>Summary!$B$43:$K$43</c:f>
              <c:strCache>
                <c:ptCount val="10"/>
                <c:pt idx="0">
                  <c:v>Trust</c:v>
                </c:pt>
                <c:pt idx="1">
                  <c:v>Wage flexibility</c:v>
                </c:pt>
                <c:pt idx="2">
                  <c:v>Wages linked to productivity</c:v>
                </c:pt>
                <c:pt idx="3">
                  <c:v>Ease of hiring &amp; firing</c:v>
                </c:pt>
                <c:pt idx="4">
                  <c:v>Incentives</c:v>
                </c:pt>
                <c:pt idx="5">
                  <c:v>Merit</c:v>
                </c:pt>
                <c:pt idx="6">
                  <c:v>Keep talent</c:v>
                </c:pt>
                <c:pt idx="7">
                  <c:v>Attract talent</c:v>
                </c:pt>
                <c:pt idx="8">
                  <c:v>Ease of redundancies</c:v>
                </c:pt>
                <c:pt idx="9">
                  <c:v>Female participation</c:v>
                </c:pt>
              </c:strCache>
            </c:strRef>
          </c:cat>
          <c:val>
            <c:numRef>
              <c:f>Summary!$B$44:$K$44</c:f>
              <c:numCache>
                <c:formatCode>0.00</c:formatCode>
                <c:ptCount val="10"/>
                <c:pt idx="0">
                  <c:v>3.9154314978704319</c:v>
                </c:pt>
                <c:pt idx="1">
                  <c:v>3.6835364887761934</c:v>
                </c:pt>
                <c:pt idx="2">
                  <c:v>3.2351384560975616</c:v>
                </c:pt>
                <c:pt idx="3">
                  <c:v>2.7070671128355075</c:v>
                </c:pt>
                <c:pt idx="4">
                  <c:v>3.5468928515289684</c:v>
                </c:pt>
                <c:pt idx="5">
                  <c:v>5.6469129246782259</c:v>
                </c:pt>
                <c:pt idx="6">
                  <c:v>4.2440688455710811</c:v>
                </c:pt>
                <c:pt idx="7">
                  <c:v>4.7914968371282072</c:v>
                </c:pt>
                <c:pt idx="8">
                  <c:v>4.6492537313432836</c:v>
                </c:pt>
                <c:pt idx="9">
                  <c:v>5.8670344031298853</c:v>
                </c:pt>
              </c:numCache>
            </c:numRef>
          </c:val>
        </c:ser>
        <c:ser>
          <c:idx val="1"/>
          <c:order val="1"/>
          <c:tx>
            <c:strRef>
              <c:f>Summary!$A$45</c:f>
              <c:strCache>
                <c:ptCount val="1"/>
                <c:pt idx="0">
                  <c:v>OECD Average</c:v>
                </c:pt>
              </c:strCache>
            </c:strRef>
          </c:tx>
          <c:spPr>
            <a:ln w="28575">
              <a:solidFill>
                <a:schemeClr val="accent1"/>
              </a:solidFill>
              <a:prstDash val="solid"/>
            </a:ln>
          </c:spPr>
          <c:marker>
            <c:symbol val="none"/>
          </c:marker>
          <c:cat>
            <c:strRef>
              <c:f>Summary!$B$43:$K$43</c:f>
              <c:strCache>
                <c:ptCount val="10"/>
                <c:pt idx="0">
                  <c:v>Trust</c:v>
                </c:pt>
                <c:pt idx="1">
                  <c:v>Wage flexibility</c:v>
                </c:pt>
                <c:pt idx="2">
                  <c:v>Wages linked to productivity</c:v>
                </c:pt>
                <c:pt idx="3">
                  <c:v>Ease of hiring &amp; firing</c:v>
                </c:pt>
                <c:pt idx="4">
                  <c:v>Incentives</c:v>
                </c:pt>
                <c:pt idx="5">
                  <c:v>Merit</c:v>
                </c:pt>
                <c:pt idx="6">
                  <c:v>Keep talent</c:v>
                </c:pt>
                <c:pt idx="7">
                  <c:v>Attract talent</c:v>
                </c:pt>
                <c:pt idx="8">
                  <c:v>Ease of redundancies</c:v>
                </c:pt>
                <c:pt idx="9">
                  <c:v>Female participation</c:v>
                </c:pt>
              </c:strCache>
            </c:strRef>
          </c:cat>
          <c:val>
            <c:numRef>
              <c:f>Summary!$B$45:$K$45</c:f>
              <c:numCache>
                <c:formatCode>0.00</c:formatCode>
                <c:ptCount val="10"/>
                <c:pt idx="0">
                  <c:v>4.7166228448510559</c:v>
                </c:pt>
                <c:pt idx="1">
                  <c:v>4.6088414262931696</c:v>
                </c:pt>
                <c:pt idx="2">
                  <c:v>4.0571620218624433</c:v>
                </c:pt>
                <c:pt idx="3">
                  <c:v>3.6735027728496825</c:v>
                </c:pt>
                <c:pt idx="4">
                  <c:v>3.4790394157704529</c:v>
                </c:pt>
                <c:pt idx="5">
                  <c:v>5.0640944886814641</c:v>
                </c:pt>
                <c:pt idx="6">
                  <c:v>4.0450131705685699</c:v>
                </c:pt>
                <c:pt idx="7">
                  <c:v>3.9139996276017648</c:v>
                </c:pt>
                <c:pt idx="8">
                  <c:v>4.2420544337137827</c:v>
                </c:pt>
                <c:pt idx="9">
                  <c:v>5.6266034080801806</c:v>
                </c:pt>
              </c:numCache>
            </c:numRef>
          </c:val>
        </c:ser>
        <c:ser>
          <c:idx val="2"/>
          <c:order val="2"/>
          <c:tx>
            <c:strRef>
              <c:f>Summary!$A$46</c:f>
              <c:strCache>
                <c:ptCount val="1"/>
                <c:pt idx="0">
                  <c:v>Anglo-average</c:v>
                </c:pt>
              </c:strCache>
            </c:strRef>
          </c:tx>
          <c:spPr>
            <a:ln>
              <a:solidFill>
                <a:schemeClr val="tx1"/>
              </a:solidFill>
              <a:prstDash val="sysDash"/>
            </a:ln>
          </c:spPr>
          <c:marker>
            <c:symbol val="none"/>
          </c:marker>
          <c:cat>
            <c:strRef>
              <c:f>Summary!$B$43:$K$43</c:f>
              <c:strCache>
                <c:ptCount val="10"/>
                <c:pt idx="0">
                  <c:v>Trust</c:v>
                </c:pt>
                <c:pt idx="1">
                  <c:v>Wage flexibility</c:v>
                </c:pt>
                <c:pt idx="2">
                  <c:v>Wages linked to productivity</c:v>
                </c:pt>
                <c:pt idx="3">
                  <c:v>Ease of hiring &amp; firing</c:v>
                </c:pt>
                <c:pt idx="4">
                  <c:v>Incentives</c:v>
                </c:pt>
                <c:pt idx="5">
                  <c:v>Merit</c:v>
                </c:pt>
                <c:pt idx="6">
                  <c:v>Keep talent</c:v>
                </c:pt>
                <c:pt idx="7">
                  <c:v>Attract talent</c:v>
                </c:pt>
                <c:pt idx="8">
                  <c:v>Ease of redundancies</c:v>
                </c:pt>
                <c:pt idx="9">
                  <c:v>Female participation</c:v>
                </c:pt>
              </c:strCache>
            </c:strRef>
          </c:cat>
          <c:val>
            <c:numRef>
              <c:f>Summary!$B$46:$K$46</c:f>
              <c:numCache>
                <c:formatCode>0.00</c:formatCode>
                <c:ptCount val="10"/>
                <c:pt idx="0">
                  <c:v>4.9217689713229058</c:v>
                </c:pt>
                <c:pt idx="1">
                  <c:v>5.1998008208802649</c:v>
                </c:pt>
                <c:pt idx="2">
                  <c:v>4.3881069806870014</c:v>
                </c:pt>
                <c:pt idx="3">
                  <c:v>4.1144646695928762</c:v>
                </c:pt>
                <c:pt idx="4">
                  <c:v>4.0534139863864445</c:v>
                </c:pt>
                <c:pt idx="5">
                  <c:v>5.8594572820347102</c:v>
                </c:pt>
                <c:pt idx="6">
                  <c:v>4.617240859302048</c:v>
                </c:pt>
                <c:pt idx="7">
                  <c:v>5.2407810203075726</c:v>
                </c:pt>
                <c:pt idx="8">
                  <c:v>5.5794776119402982</c:v>
                </c:pt>
                <c:pt idx="9">
                  <c:v>5.9449951876035625</c:v>
                </c:pt>
              </c:numCache>
            </c:numRef>
          </c:val>
        </c:ser>
        <c:dLbls>
          <c:showLegendKey val="0"/>
          <c:showVal val="0"/>
          <c:showCatName val="0"/>
          <c:showSerName val="0"/>
          <c:showPercent val="0"/>
          <c:showBubbleSize val="0"/>
        </c:dLbls>
        <c:axId val="118145024"/>
        <c:axId val="118146560"/>
      </c:radarChart>
      <c:catAx>
        <c:axId val="118145024"/>
        <c:scaling>
          <c:orientation val="minMax"/>
        </c:scaling>
        <c:delete val="0"/>
        <c:axPos val="b"/>
        <c:majorGridlines/>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18146560"/>
        <c:crosses val="autoZero"/>
        <c:auto val="1"/>
        <c:lblAlgn val="ctr"/>
        <c:lblOffset val="100"/>
        <c:noMultiLvlLbl val="0"/>
      </c:catAx>
      <c:valAx>
        <c:axId val="118146560"/>
        <c:scaling>
          <c:orientation val="minMax"/>
          <c:max val="6"/>
          <c:min val="0"/>
        </c:scaling>
        <c:delete val="0"/>
        <c:axPos val="l"/>
        <c:majorGridlines>
          <c:spPr>
            <a:ln w="6350"/>
          </c:spPr>
        </c:majorGridlines>
        <c:numFmt formatCode="0.0" sourceLinked="0"/>
        <c:majorTickMark val="cross"/>
        <c:minorTickMark val="none"/>
        <c:tickLblPos val="nextTo"/>
        <c:txPr>
          <a:bodyPr/>
          <a:lstStyle/>
          <a:p>
            <a:pPr>
              <a:defRPr sz="800">
                <a:latin typeface="Arial" panose="020B0604020202020204" pitchFamily="34" charset="0"/>
                <a:cs typeface="Arial" panose="020B0604020202020204" pitchFamily="34" charset="0"/>
              </a:defRPr>
            </a:pPr>
            <a:endParaRPr lang="en-US"/>
          </a:p>
        </c:txPr>
        <c:crossAx val="118145024"/>
        <c:crosses val="autoZero"/>
        <c:crossBetween val="between"/>
        <c:majorUnit val="6"/>
      </c:valAx>
    </c:plotArea>
    <c:legend>
      <c:legendPos val="b"/>
      <c:layout/>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7101034504944"/>
          <c:y val="3.0238095238095238E-2"/>
          <c:w val="0.85140777420592928"/>
          <c:h val="0.80238531746031749"/>
        </c:manualLayout>
      </c:layout>
      <c:scatterChart>
        <c:scatterStyle val="lineMarker"/>
        <c:varyColors val="0"/>
        <c:ser>
          <c:idx val="2"/>
          <c:order val="0"/>
          <c:tx>
            <c:strRef>
              <c:f>'Phliips curve'!$I$3</c:f>
              <c:strCache>
                <c:ptCount val="1"/>
              </c:strCache>
            </c:strRef>
          </c:tx>
          <c:spPr>
            <a:ln w="22225">
              <a:solidFill>
                <a:schemeClr val="tx1"/>
              </a:solidFill>
              <a:prstDash val="sysDash"/>
            </a:ln>
          </c:spPr>
          <c:marker>
            <c:symbol val="circle"/>
            <c:size val="5"/>
            <c:spPr>
              <a:solidFill>
                <a:schemeClr val="bg1"/>
              </a:solidFill>
              <a:ln>
                <a:solidFill>
                  <a:schemeClr val="tx1"/>
                </a:solidFill>
              </a:ln>
            </c:spPr>
          </c:marker>
          <c:dPt>
            <c:idx val="46"/>
            <c:marker>
              <c:spPr>
                <a:solidFill>
                  <a:schemeClr val="tx1"/>
                </a:solidFill>
                <a:ln>
                  <a:solidFill>
                    <a:schemeClr val="tx1"/>
                  </a:solidFill>
                </a:ln>
              </c:spPr>
            </c:marker>
            <c:bubble3D val="0"/>
          </c:dPt>
          <c:dPt>
            <c:idx val="64"/>
            <c:marker>
              <c:spPr>
                <a:solidFill>
                  <a:schemeClr val="tx1"/>
                </a:solidFill>
                <a:ln>
                  <a:solidFill>
                    <a:schemeClr val="tx1"/>
                  </a:solidFill>
                </a:ln>
              </c:spPr>
            </c:marker>
            <c:bubble3D val="0"/>
          </c:dPt>
          <c:xVal>
            <c:numRef>
              <c:f>'Phliips curve'!$H$4:$H$68</c:f>
              <c:numCache>
                <c:formatCode>General</c:formatCode>
                <c:ptCount val="65"/>
                <c:pt idx="46" formatCode="0.00">
                  <c:v>8.3934809636675691</c:v>
                </c:pt>
                <c:pt idx="47" formatCode="0.00">
                  <c:v>8.5785854194512829</c:v>
                </c:pt>
                <c:pt idx="48" formatCode="0.00">
                  <c:v>7.967443894730045</c:v>
                </c:pt>
                <c:pt idx="49" formatCode="0.00">
                  <c:v>7.2714300752055578</c:v>
                </c:pt>
                <c:pt idx="50" formatCode="0.00">
                  <c:v>6.6157934424224925</c:v>
                </c:pt>
                <c:pt idx="51" formatCode="0.00">
                  <c:v>6.3527713650967561</c:v>
                </c:pt>
                <c:pt idx="52" formatCode="0.00">
                  <c:v>6.7106953417524915</c:v>
                </c:pt>
                <c:pt idx="53" formatCode="0.00">
                  <c:v>6.1319419538052822</c:v>
                </c:pt>
                <c:pt idx="54" formatCode="0.00">
                  <c:v>5.63797306946429</c:v>
                </c:pt>
                <c:pt idx="55" formatCode="0.00">
                  <c:v>5.1886263229696317</c:v>
                </c:pt>
                <c:pt idx="56" formatCode="0.00">
                  <c:v>4.9684782082967596</c:v>
                </c:pt>
                <c:pt idx="57" formatCode="0.00">
                  <c:v>4.5199571923042106</c:v>
                </c:pt>
                <c:pt idx="58" formatCode="0.00">
                  <c:v>4.2306305058097378</c:v>
                </c:pt>
                <c:pt idx="59" formatCode="0.00">
                  <c:v>4.9380657105912782</c:v>
                </c:pt>
                <c:pt idx="60" formatCode="0.00">
                  <c:v>5.4558693880387219</c:v>
                </c:pt>
                <c:pt idx="61" formatCode="0.00">
                  <c:v>5.0324029898218825</c:v>
                </c:pt>
                <c:pt idx="62" formatCode="0.00">
                  <c:v>5.1616456555693597</c:v>
                </c:pt>
                <c:pt idx="63" formatCode="0.00">
                  <c:v>5.4347631030784243</c:v>
                </c:pt>
                <c:pt idx="64" formatCode="0.00">
                  <c:v>5.8515427296339988</c:v>
                </c:pt>
              </c:numCache>
            </c:numRef>
          </c:xVal>
          <c:yVal>
            <c:numRef>
              <c:f>'Phliips curve'!$I$4:$I$68</c:f>
              <c:numCache>
                <c:formatCode>General</c:formatCode>
                <c:ptCount val="65"/>
                <c:pt idx="46" formatCode="0.00">
                  <c:v>4.258675078864349</c:v>
                </c:pt>
                <c:pt idx="47" formatCode="0.00">
                  <c:v>1.3237518910741208</c:v>
                </c:pt>
                <c:pt idx="48" formatCode="0.00">
                  <c:v>-3.7327360955585753E-2</c:v>
                </c:pt>
                <c:pt idx="49" formatCode="0.00">
                  <c:v>1.2696041822255699</c:v>
                </c:pt>
                <c:pt idx="50" formatCode="0.00">
                  <c:v>2.3967551622418704</c:v>
                </c:pt>
                <c:pt idx="51" formatCode="0.00">
                  <c:v>6.0136838314728047</c:v>
                </c:pt>
                <c:pt idx="52" formatCode="0.00">
                  <c:v>2.8532608695652328</c:v>
                </c:pt>
                <c:pt idx="53" formatCode="0.00">
                  <c:v>3.0052840158520278</c:v>
                </c:pt>
                <c:pt idx="54" formatCode="0.00">
                  <c:v>2.4046168643796051</c:v>
                </c:pt>
                <c:pt idx="55" formatCode="0.00">
                  <c:v>2.4107701941139759</c:v>
                </c:pt>
                <c:pt idx="56" formatCode="0.00">
                  <c:v>3.2100275145215518</c:v>
                </c:pt>
                <c:pt idx="57" formatCode="0.00">
                  <c:v>2.962085308056861</c:v>
                </c:pt>
                <c:pt idx="58" formatCode="0.00">
                  <c:v>3.3659378596087475</c:v>
                </c:pt>
                <c:pt idx="59" formatCode="0.00">
                  <c:v>3.1171722794322454</c:v>
                </c:pt>
                <c:pt idx="60" formatCode="0.00">
                  <c:v>2.3211875843454743</c:v>
                </c:pt>
                <c:pt idx="61" formatCode="0.00">
                  <c:v>3.1126351886045844</c:v>
                </c:pt>
                <c:pt idx="62" formatCode="0.00">
                  <c:v>2.3023791250959436</c:v>
                </c:pt>
                <c:pt idx="63" formatCode="0.00">
                  <c:v>2.2755688922230677</c:v>
                </c:pt>
                <c:pt idx="64" formatCode="0.00">
                  <c:v>2.7139364303178315</c:v>
                </c:pt>
              </c:numCache>
            </c:numRef>
          </c:yVal>
          <c:smooth val="0"/>
        </c:ser>
        <c:ser>
          <c:idx val="1"/>
          <c:order val="1"/>
          <c:tx>
            <c:strRef>
              <c:f>'Phliips curve'!$G$3</c:f>
              <c:strCache>
                <c:ptCount val="1"/>
                <c:pt idx="0">
                  <c:v>Inflation rate</c:v>
                </c:pt>
              </c:strCache>
            </c:strRef>
          </c:tx>
          <c:marker>
            <c:symbol val="circle"/>
            <c:size val="7"/>
            <c:spPr>
              <a:solidFill>
                <a:schemeClr val="bg1"/>
              </a:solidFill>
              <a:ln>
                <a:solidFill>
                  <a:schemeClr val="accent2"/>
                </a:solidFill>
              </a:ln>
            </c:spPr>
          </c:marker>
          <c:dPt>
            <c:idx val="25"/>
            <c:marker>
              <c:spPr>
                <a:solidFill>
                  <a:schemeClr val="accent2"/>
                </a:solidFill>
                <a:ln>
                  <a:solidFill>
                    <a:schemeClr val="accent2"/>
                  </a:solidFill>
                </a:ln>
              </c:spPr>
            </c:marker>
            <c:bubble3D val="0"/>
          </c:dPt>
          <c:dPt>
            <c:idx val="45"/>
            <c:marker>
              <c:spPr>
                <a:solidFill>
                  <a:schemeClr val="accent2"/>
                </a:solidFill>
                <a:ln>
                  <a:solidFill>
                    <a:schemeClr val="accent2"/>
                  </a:solidFill>
                </a:ln>
              </c:spPr>
            </c:marker>
            <c:bubble3D val="0"/>
          </c:dPt>
          <c:xVal>
            <c:numRef>
              <c:f>'Phliips curve'!$F$4:$F$68</c:f>
              <c:numCache>
                <c:formatCode>General</c:formatCode>
                <c:ptCount val="65"/>
                <c:pt idx="25" formatCode="0.00">
                  <c:v>1.62</c:v>
                </c:pt>
                <c:pt idx="26" formatCode="0.00">
                  <c:v>4.05</c:v>
                </c:pt>
                <c:pt idx="27" formatCode="0.00">
                  <c:v>4.8499999999999996</c:v>
                </c:pt>
                <c:pt idx="28" formatCode="0.00">
                  <c:v>5.15</c:v>
                </c:pt>
                <c:pt idx="29" formatCode="0.00">
                  <c:v>6.323378279577935</c:v>
                </c:pt>
                <c:pt idx="30" formatCode="0.00">
                  <c:v>6.1745025754974243</c:v>
                </c:pt>
                <c:pt idx="31" formatCode="0.00">
                  <c:v>5.8591384628286498</c:v>
                </c:pt>
                <c:pt idx="32" formatCode="0.00">
                  <c:v>6.169576229410664</c:v>
                </c:pt>
                <c:pt idx="33" formatCode="0.00">
                  <c:v>8.9863443804638958</c:v>
                </c:pt>
                <c:pt idx="34" formatCode="0.00">
                  <c:v>9.6222799974060145</c:v>
                </c:pt>
                <c:pt idx="35" formatCode="0.00">
                  <c:v>8.6048703012567032</c:v>
                </c:pt>
                <c:pt idx="36" formatCode="0.00">
                  <c:v>7.9374256991687249</c:v>
                </c:pt>
                <c:pt idx="37" formatCode="0.00">
                  <c:v>8.2702320261650684</c:v>
                </c:pt>
                <c:pt idx="38" formatCode="0.00">
                  <c:v>7.7602909288133297</c:v>
                </c:pt>
                <c:pt idx="39" formatCode="0.00">
                  <c:v>6.6139857111928988</c:v>
                </c:pt>
                <c:pt idx="40" formatCode="0.00">
                  <c:v>6.1551089041485723</c:v>
                </c:pt>
                <c:pt idx="41" formatCode="0.00">
                  <c:v>8.3499922961497415</c:v>
                </c:pt>
                <c:pt idx="42" formatCode="0.00">
                  <c:v>10.294510998480366</c:v>
                </c:pt>
                <c:pt idx="43" formatCode="0.00">
                  <c:v>10.917997662641216</c:v>
                </c:pt>
                <c:pt idx="44" formatCode="0.00">
                  <c:v>10.508246116335904</c:v>
                </c:pt>
                <c:pt idx="45" formatCode="0.00">
                  <c:v>8.9036286853025199</c:v>
                </c:pt>
              </c:numCache>
            </c:numRef>
          </c:xVal>
          <c:yVal>
            <c:numRef>
              <c:f>'Phliips curve'!$G$4:$G$68</c:f>
              <c:numCache>
                <c:formatCode>General</c:formatCode>
                <c:ptCount val="65"/>
                <c:pt idx="25" formatCode="0.00">
                  <c:v>16.959064327485397</c:v>
                </c:pt>
                <c:pt idx="26" formatCode="0.00">
                  <c:v>12.833333333333341</c:v>
                </c:pt>
                <c:pt idx="27" formatCode="0.00">
                  <c:v>13.737075332348603</c:v>
                </c:pt>
                <c:pt idx="28" formatCode="0.00">
                  <c:v>9.740259740259738</c:v>
                </c:pt>
                <c:pt idx="29" formatCode="0.00">
                  <c:v>8.0473372781065144</c:v>
                </c:pt>
                <c:pt idx="30" formatCode="0.00">
                  <c:v>10.29572836801751</c:v>
                </c:pt>
                <c:pt idx="31" formatCode="0.00">
                  <c:v>9.2353525322740779</c:v>
                </c:pt>
                <c:pt idx="32" formatCode="0.00">
                  <c:v>10.45454545454545</c:v>
                </c:pt>
                <c:pt idx="33" formatCode="0.00">
                  <c:v>11.522633744855959</c:v>
                </c:pt>
                <c:pt idx="34" formatCode="0.00">
                  <c:v>6.8634686346863427</c:v>
                </c:pt>
                <c:pt idx="35" formatCode="0.00">
                  <c:v>4.2817679558011079</c:v>
                </c:pt>
                <c:pt idx="36" formatCode="0.00">
                  <c:v>8.4105960264900581</c:v>
                </c:pt>
                <c:pt idx="37" formatCode="0.00">
                  <c:v>9.285277947464877</c:v>
                </c:pt>
                <c:pt idx="38" formatCode="0.00">
                  <c:v>7.3784237003913011</c:v>
                </c:pt>
                <c:pt idx="39" formatCode="0.00">
                  <c:v>7.2878709005726128</c:v>
                </c:pt>
                <c:pt idx="40" formatCode="0.00">
                  <c:v>8.0543425521591328</c:v>
                </c:pt>
                <c:pt idx="41" formatCode="0.00">
                  <c:v>5.253704535249204</c:v>
                </c:pt>
                <c:pt idx="42" formatCode="0.00">
                  <c:v>1.8771331058020424</c:v>
                </c:pt>
                <c:pt idx="43" formatCode="0.00">
                  <c:v>1.0469011725293242</c:v>
                </c:pt>
                <c:pt idx="44" formatCode="0.00">
                  <c:v>1.8234562784914976</c:v>
                </c:pt>
                <c:pt idx="45" formatCode="0.00">
                  <c:v>3.2153032153031891</c:v>
                </c:pt>
              </c:numCache>
            </c:numRef>
          </c:yVal>
          <c:smooth val="0"/>
        </c:ser>
        <c:ser>
          <c:idx val="0"/>
          <c:order val="2"/>
          <c:tx>
            <c:strRef>
              <c:f>'Phliips curve'!$E$3</c:f>
              <c:strCache>
                <c:ptCount val="1"/>
                <c:pt idx="0">
                  <c:v>Inflation rate</c:v>
                </c:pt>
              </c:strCache>
            </c:strRef>
          </c:tx>
          <c:marker>
            <c:symbol val="circle"/>
            <c:size val="7"/>
            <c:spPr>
              <a:solidFill>
                <a:schemeClr val="bg1"/>
              </a:solidFill>
              <a:ln>
                <a:solidFill>
                  <a:schemeClr val="accent1"/>
                </a:solidFill>
              </a:ln>
            </c:spPr>
          </c:marker>
          <c:dPt>
            <c:idx val="0"/>
            <c:marker>
              <c:spPr>
                <a:solidFill>
                  <a:schemeClr val="accent1"/>
                </a:solidFill>
                <a:ln w="9525">
                  <a:solidFill>
                    <a:schemeClr val="accent1"/>
                  </a:solidFill>
                </a:ln>
              </c:spPr>
            </c:marker>
            <c:bubble3D val="0"/>
          </c:dPt>
          <c:dPt>
            <c:idx val="24"/>
            <c:marker>
              <c:spPr>
                <a:solidFill>
                  <a:schemeClr val="accent1"/>
                </a:solidFill>
                <a:ln w="9525">
                  <a:solidFill>
                    <a:schemeClr val="accent1"/>
                  </a:solidFill>
                </a:ln>
              </c:spPr>
            </c:marker>
            <c:bubble3D val="0"/>
          </c:dPt>
          <c:xVal>
            <c:numRef>
              <c:f>'Phliips curve'!$D$4:$D$68</c:f>
              <c:numCache>
                <c:formatCode>0.00</c:formatCode>
                <c:ptCount val="65"/>
                <c:pt idx="0">
                  <c:v>1.53</c:v>
                </c:pt>
                <c:pt idx="1">
                  <c:v>1.79</c:v>
                </c:pt>
                <c:pt idx="2">
                  <c:v>1.1299999999999999</c:v>
                </c:pt>
                <c:pt idx="3">
                  <c:v>1.44</c:v>
                </c:pt>
                <c:pt idx="4">
                  <c:v>2.99</c:v>
                </c:pt>
                <c:pt idx="5">
                  <c:v>2.0699999999999998</c:v>
                </c:pt>
                <c:pt idx="6">
                  <c:v>1.41</c:v>
                </c:pt>
                <c:pt idx="7">
                  <c:v>1.53</c:v>
                </c:pt>
                <c:pt idx="8">
                  <c:v>2.1</c:v>
                </c:pt>
                <c:pt idx="9">
                  <c:v>2.66</c:v>
                </c:pt>
                <c:pt idx="10">
                  <c:v>2.8</c:v>
                </c:pt>
                <c:pt idx="11">
                  <c:v>2.42</c:v>
                </c:pt>
                <c:pt idx="12">
                  <c:v>2.2999999999999998</c:v>
                </c:pt>
                <c:pt idx="13">
                  <c:v>3.2</c:v>
                </c:pt>
                <c:pt idx="14">
                  <c:v>2.2000000000000002</c:v>
                </c:pt>
                <c:pt idx="15">
                  <c:v>1.7</c:v>
                </c:pt>
                <c:pt idx="16">
                  <c:v>1</c:v>
                </c:pt>
                <c:pt idx="17">
                  <c:v>1.36</c:v>
                </c:pt>
                <c:pt idx="18">
                  <c:v>1</c:v>
                </c:pt>
                <c:pt idx="19">
                  <c:v>1.55</c:v>
                </c:pt>
                <c:pt idx="20">
                  <c:v>1.44</c:v>
                </c:pt>
                <c:pt idx="21">
                  <c:v>1.33</c:v>
                </c:pt>
                <c:pt idx="22">
                  <c:v>1.5</c:v>
                </c:pt>
                <c:pt idx="23">
                  <c:v>1.98</c:v>
                </c:pt>
                <c:pt idx="24">
                  <c:v>1.76</c:v>
                </c:pt>
              </c:numCache>
            </c:numRef>
          </c:xVal>
          <c:yVal>
            <c:numRef>
              <c:f>'Phliips curve'!$E$4:$E$68</c:f>
              <c:numCache>
                <c:formatCode>0.00</c:formatCode>
                <c:ptCount val="65"/>
                <c:pt idx="0">
                  <c:v>8.4415584415584277</c:v>
                </c:pt>
                <c:pt idx="1">
                  <c:v>13.173652694610771</c:v>
                </c:pt>
                <c:pt idx="2">
                  <c:v>21.693121693121697</c:v>
                </c:pt>
                <c:pt idx="3">
                  <c:v>9.5652173913043583</c:v>
                </c:pt>
                <c:pt idx="4">
                  <c:v>2.7777777777777679</c:v>
                </c:pt>
                <c:pt idx="5">
                  <c:v>0.77220077220079286</c:v>
                </c:pt>
                <c:pt idx="6">
                  <c:v>3.4482758620689502</c:v>
                </c:pt>
                <c:pt idx="7">
                  <c:v>5.5555555555555358</c:v>
                </c:pt>
                <c:pt idx="8">
                  <c:v>1.0526315789473939</c:v>
                </c:pt>
                <c:pt idx="9">
                  <c:v>1.0416666666666741</c:v>
                </c:pt>
                <c:pt idx="10">
                  <c:v>3.0927835051546282</c:v>
                </c:pt>
                <c:pt idx="11">
                  <c:v>4.0000000000000036</c:v>
                </c:pt>
                <c:pt idx="12">
                  <c:v>-1.1102230246251565E-14</c:v>
                </c:pt>
                <c:pt idx="13">
                  <c:v>0</c:v>
                </c:pt>
                <c:pt idx="14">
                  <c:v>1.9230769230769384</c:v>
                </c:pt>
                <c:pt idx="15">
                  <c:v>3.1446540880503138</c:v>
                </c:pt>
                <c:pt idx="16">
                  <c:v>3.9634146341463561</c:v>
                </c:pt>
                <c:pt idx="17">
                  <c:v>2.6392961876832821</c:v>
                </c:pt>
                <c:pt idx="18">
                  <c:v>3.4285714285714475</c:v>
                </c:pt>
                <c:pt idx="19">
                  <c:v>2.7624309392265012</c:v>
                </c:pt>
                <c:pt idx="20">
                  <c:v>2.9569892473118253</c:v>
                </c:pt>
                <c:pt idx="21">
                  <c:v>4.6997389033942572</c:v>
                </c:pt>
                <c:pt idx="22">
                  <c:v>6.9825436408977648</c:v>
                </c:pt>
                <c:pt idx="23">
                  <c:v>6.0606060606060552</c:v>
                </c:pt>
                <c:pt idx="24">
                  <c:v>12.747252747252746</c:v>
                </c:pt>
              </c:numCache>
            </c:numRef>
          </c:yVal>
          <c:smooth val="0"/>
        </c:ser>
        <c:dLbls>
          <c:showLegendKey val="0"/>
          <c:showVal val="0"/>
          <c:showCatName val="0"/>
          <c:showSerName val="0"/>
          <c:showPercent val="0"/>
          <c:showBubbleSize val="0"/>
        </c:dLbls>
        <c:axId val="118240384"/>
        <c:axId val="118242304"/>
      </c:scatterChart>
      <c:valAx>
        <c:axId val="118240384"/>
        <c:scaling>
          <c:orientation val="minMax"/>
        </c:scaling>
        <c:delete val="0"/>
        <c:axPos val="b"/>
        <c:title>
          <c:tx>
            <c:rich>
              <a:bodyPr/>
              <a:lstStyle/>
              <a:p>
                <a:pPr>
                  <a:defRPr sz="900"/>
                </a:pPr>
                <a:r>
                  <a:rPr lang="en-AU" sz="900"/>
                  <a:t>Unemployment rate (per cent)</a:t>
                </a:r>
              </a:p>
            </c:rich>
          </c:tx>
          <c:layout/>
          <c:overlay val="0"/>
        </c:title>
        <c:numFmt formatCode="0" sourceLinked="0"/>
        <c:majorTickMark val="out"/>
        <c:minorTickMark val="none"/>
        <c:tickLblPos val="nextTo"/>
        <c:crossAx val="118242304"/>
        <c:crosses val="autoZero"/>
        <c:crossBetween val="midCat"/>
      </c:valAx>
      <c:valAx>
        <c:axId val="118242304"/>
        <c:scaling>
          <c:orientation val="minMax"/>
          <c:min val="0"/>
        </c:scaling>
        <c:delete val="0"/>
        <c:axPos val="l"/>
        <c:title>
          <c:tx>
            <c:rich>
              <a:bodyPr rot="-5400000" vert="horz"/>
              <a:lstStyle/>
              <a:p>
                <a:pPr>
                  <a:defRPr sz="900"/>
                </a:pPr>
                <a:r>
                  <a:rPr lang="en-AU" sz="900"/>
                  <a:t>Inflation rate (per cent)</a:t>
                </a:r>
              </a:p>
            </c:rich>
          </c:tx>
          <c:layout/>
          <c:overlay val="0"/>
        </c:title>
        <c:numFmt formatCode="General" sourceLinked="1"/>
        <c:majorTickMark val="out"/>
        <c:minorTickMark val="none"/>
        <c:tickLblPos val="nextTo"/>
        <c:crossAx val="118240384"/>
        <c:crosses val="autoZero"/>
        <c:crossBetween val="midCat"/>
      </c:valAx>
      <c:spPr>
        <a:ln>
          <a:noFill/>
        </a:ln>
      </c:spPr>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0.61226</cdr:x>
      <cdr:y>0.05306</cdr:y>
    </cdr:from>
    <cdr:to>
      <cdr:x>0.94213</cdr:x>
      <cdr:y>0.15564</cdr:y>
    </cdr:to>
    <cdr:sp macro="" textlink="">
      <cdr:nvSpPr>
        <cdr:cNvPr id="3" name="TextBox 2"/>
        <cdr:cNvSpPr txBox="1"/>
      </cdr:nvSpPr>
      <cdr:spPr>
        <a:xfrm xmlns:a="http://schemas.openxmlformats.org/drawingml/2006/main">
          <a:off x="1697183" y="129886"/>
          <a:ext cx="914400" cy="25111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a:latin typeface="Arial" panose="020B0604020202020204" pitchFamily="34" charset="0"/>
              <a:cs typeface="Arial" panose="020B0604020202020204" pitchFamily="34" charset="0"/>
            </a:rPr>
            <a:t>15-24 year olds</a:t>
          </a:r>
        </a:p>
      </cdr:txBody>
    </cdr:sp>
  </cdr:relSizeAnchor>
</c:userShapes>
</file>

<file path=word/drawings/drawing2.xml><?xml version="1.0" encoding="utf-8"?>
<c:userShapes xmlns:c="http://schemas.openxmlformats.org/drawingml/2006/chart">
  <cdr:relSizeAnchor xmlns:cdr="http://schemas.openxmlformats.org/drawingml/2006/chartDrawing">
    <cdr:from>
      <cdr:x>0.65942</cdr:x>
      <cdr:y>0.61866</cdr:y>
    </cdr:from>
    <cdr:to>
      <cdr:x>0.74232</cdr:x>
      <cdr:y>0.7278</cdr:y>
    </cdr:to>
    <cdr:sp macro="" textlink="">
      <cdr:nvSpPr>
        <cdr:cNvPr id="2" name="TextBox 1"/>
        <cdr:cNvSpPr txBox="1"/>
      </cdr:nvSpPr>
      <cdr:spPr>
        <a:xfrm xmlns:a="http://schemas.openxmlformats.org/drawingml/2006/main">
          <a:off x="1827908" y="1514469"/>
          <a:ext cx="229799" cy="267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a:latin typeface="Arial" panose="020B0604020202020204" pitchFamily="34" charset="0"/>
              <a:cs typeface="Arial" panose="020B0604020202020204" pitchFamily="34" charset="0"/>
            </a:rPr>
            <a:t>&lt;25</a:t>
          </a:r>
        </a:p>
      </cdr:txBody>
    </cdr:sp>
  </cdr:relSizeAnchor>
  <cdr:relSizeAnchor xmlns:cdr="http://schemas.openxmlformats.org/drawingml/2006/chartDrawing">
    <cdr:from>
      <cdr:x>0.66028</cdr:x>
      <cdr:y>0.4046</cdr:y>
    </cdr:from>
    <cdr:to>
      <cdr:x>0.74319</cdr:x>
      <cdr:y>0.51374</cdr:y>
    </cdr:to>
    <cdr:sp macro="" textlink="">
      <cdr:nvSpPr>
        <cdr:cNvPr id="3" name="TextBox 1"/>
        <cdr:cNvSpPr txBox="1"/>
      </cdr:nvSpPr>
      <cdr:spPr>
        <a:xfrm xmlns:a="http://schemas.openxmlformats.org/drawingml/2006/main">
          <a:off x="3565506" y="1165238"/>
          <a:ext cx="447714" cy="31432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latin typeface="Arial" panose="020B0604020202020204" pitchFamily="34" charset="0"/>
              <a:cs typeface="Arial" panose="020B0604020202020204" pitchFamily="34" charset="0"/>
            </a:rPr>
            <a:t>65+</a:t>
          </a:r>
        </a:p>
      </cdr:txBody>
    </cdr:sp>
  </cdr:relSizeAnchor>
  <cdr:relSizeAnchor xmlns:cdr="http://schemas.openxmlformats.org/drawingml/2006/chartDrawing">
    <cdr:from>
      <cdr:x>0.28347</cdr:x>
      <cdr:y>0.03904</cdr:y>
    </cdr:from>
    <cdr:to>
      <cdr:x>0.36637</cdr:x>
      <cdr:y>0.14818</cdr:y>
    </cdr:to>
    <cdr:sp macro="" textlink="">
      <cdr:nvSpPr>
        <cdr:cNvPr id="4" name="TextBox 1"/>
        <cdr:cNvSpPr txBox="1"/>
      </cdr:nvSpPr>
      <cdr:spPr>
        <a:xfrm xmlns:a="http://schemas.openxmlformats.org/drawingml/2006/main">
          <a:off x="785789" y="95563"/>
          <a:ext cx="229799" cy="26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latin typeface="Arial" panose="020B0604020202020204" pitchFamily="34" charset="0"/>
              <a:cs typeface="Arial" panose="020B0604020202020204" pitchFamily="34" charset="0"/>
            </a:rPr>
            <a:t>26-44</a:t>
          </a:r>
        </a:p>
      </cdr:txBody>
    </cdr:sp>
  </cdr:relSizeAnchor>
  <cdr:relSizeAnchor xmlns:cdr="http://schemas.openxmlformats.org/drawingml/2006/chartDrawing">
    <cdr:from>
      <cdr:x>0.23926</cdr:x>
      <cdr:y>0.26004</cdr:y>
    </cdr:from>
    <cdr:to>
      <cdr:x>0.32216</cdr:x>
      <cdr:y>0.36918</cdr:y>
    </cdr:to>
    <cdr:sp macro="" textlink="">
      <cdr:nvSpPr>
        <cdr:cNvPr id="5" name="TextBox 1"/>
        <cdr:cNvSpPr txBox="1"/>
      </cdr:nvSpPr>
      <cdr:spPr>
        <a:xfrm xmlns:a="http://schemas.openxmlformats.org/drawingml/2006/main">
          <a:off x="663237" y="636569"/>
          <a:ext cx="229799" cy="26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latin typeface="Arial" panose="020B0604020202020204" pitchFamily="34" charset="0"/>
              <a:cs typeface="Arial" panose="020B0604020202020204" pitchFamily="34" charset="0"/>
            </a:rPr>
            <a:t>45-64</a:t>
          </a:r>
        </a:p>
      </cdr:txBody>
    </cdr:sp>
  </cdr:relSizeAnchor>
</c:userShapes>
</file>

<file path=word/drawings/drawing3.xml><?xml version="1.0" encoding="utf-8"?>
<c:userShapes xmlns:c="http://schemas.openxmlformats.org/drawingml/2006/chart">
  <cdr:relSizeAnchor xmlns:cdr="http://schemas.openxmlformats.org/drawingml/2006/chartDrawing">
    <cdr:from>
      <cdr:x>0.217</cdr:x>
      <cdr:y>0.22158</cdr:y>
    </cdr:from>
    <cdr:to>
      <cdr:x>0.3145</cdr:x>
      <cdr:y>0.29851</cdr:y>
    </cdr:to>
    <cdr:sp macro="" textlink="">
      <cdr:nvSpPr>
        <cdr:cNvPr id="2" name="TextBox 1"/>
        <cdr:cNvSpPr txBox="1"/>
      </cdr:nvSpPr>
      <cdr:spPr>
        <a:xfrm xmlns:a="http://schemas.openxmlformats.org/drawingml/2006/main">
          <a:off x="1169276" y="635217"/>
          <a:ext cx="525339" cy="22056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800"/>
            <a:t>1974-75</a:t>
          </a:r>
        </a:p>
      </cdr:txBody>
    </cdr:sp>
  </cdr:relSizeAnchor>
  <cdr:relSizeAnchor xmlns:cdr="http://schemas.openxmlformats.org/drawingml/2006/chartDrawing">
    <cdr:from>
      <cdr:x>0.12464</cdr:x>
      <cdr:y>0.52514</cdr:y>
    </cdr:from>
    <cdr:to>
      <cdr:x>0.22214</cdr:x>
      <cdr:y>0.59588</cdr:y>
    </cdr:to>
    <cdr:sp macro="" textlink="">
      <cdr:nvSpPr>
        <cdr:cNvPr id="3" name="TextBox 1"/>
        <cdr:cNvSpPr txBox="1"/>
      </cdr:nvSpPr>
      <cdr:spPr>
        <a:xfrm xmlns:a="http://schemas.openxmlformats.org/drawingml/2006/main">
          <a:off x="674175" y="1323345"/>
          <a:ext cx="527374" cy="17826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t>1948-49</a:t>
          </a:r>
        </a:p>
      </cdr:txBody>
    </cdr:sp>
  </cdr:relSizeAnchor>
  <cdr:relSizeAnchor xmlns:cdr="http://schemas.openxmlformats.org/drawingml/2006/chartDrawing">
    <cdr:from>
      <cdr:x>0.75245</cdr:x>
      <cdr:y>0.7699</cdr:y>
    </cdr:from>
    <cdr:to>
      <cdr:x>0.84995</cdr:x>
      <cdr:y>0.84684</cdr:y>
    </cdr:to>
    <cdr:sp macro="" textlink="">
      <cdr:nvSpPr>
        <cdr:cNvPr id="5" name="TextBox 1"/>
        <cdr:cNvSpPr txBox="1"/>
      </cdr:nvSpPr>
      <cdr:spPr>
        <a:xfrm xmlns:a="http://schemas.openxmlformats.org/drawingml/2006/main">
          <a:off x="4069965" y="1940159"/>
          <a:ext cx="527374" cy="19388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t>1994-95</a:t>
          </a:r>
        </a:p>
      </cdr:txBody>
    </cdr:sp>
  </cdr:relSizeAnchor>
  <cdr:relSizeAnchor xmlns:cdr="http://schemas.openxmlformats.org/drawingml/2006/chartDrawing">
    <cdr:from>
      <cdr:x>0.7476</cdr:x>
      <cdr:y>0.75751</cdr:y>
    </cdr:from>
    <cdr:to>
      <cdr:x>0.76788</cdr:x>
      <cdr:y>0.79906</cdr:y>
    </cdr:to>
    <cdr:cxnSp macro="">
      <cdr:nvCxnSpPr>
        <cdr:cNvPr id="7" name="Straight Arrow Connector 6" descr="Arrow"/>
        <cdr:cNvCxnSpPr/>
      </cdr:nvCxnSpPr>
      <cdr:spPr>
        <a:xfrm xmlns:a="http://schemas.openxmlformats.org/drawingml/2006/main" flipH="1" flipV="1">
          <a:off x="4043729" y="1908919"/>
          <a:ext cx="109693" cy="104706"/>
        </a:xfrm>
        <a:prstGeom xmlns:a="http://schemas.openxmlformats.org/drawingml/2006/main" prst="straightConnector1">
          <a:avLst/>
        </a:prstGeom>
        <a:ln xmlns:a="http://schemas.openxmlformats.org/drawingml/2006/main">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0.40826</cdr:x>
      <cdr:y>0.58113</cdr:y>
    </cdr:from>
    <cdr:to>
      <cdr:x>0.50576</cdr:x>
      <cdr:y>0.65807</cdr:y>
    </cdr:to>
    <cdr:sp macro="" textlink="">
      <cdr:nvSpPr>
        <cdr:cNvPr id="10" name="TextBox 1"/>
        <cdr:cNvSpPr txBox="1"/>
      </cdr:nvSpPr>
      <cdr:spPr>
        <a:xfrm xmlns:a="http://schemas.openxmlformats.org/drawingml/2006/main">
          <a:off x="2209800" y="1681956"/>
          <a:ext cx="527720" cy="22268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t>2013-14</a:t>
          </a:r>
        </a:p>
      </cdr:txBody>
    </cdr:sp>
  </cdr:relSizeAnchor>
  <cdr:relSizeAnchor xmlns:cdr="http://schemas.openxmlformats.org/drawingml/2006/chartDrawing">
    <cdr:from>
      <cdr:x>0.48786</cdr:x>
      <cdr:y>0.66282</cdr:y>
    </cdr:from>
    <cdr:to>
      <cdr:x>0.51734</cdr:x>
      <cdr:y>0.72782</cdr:y>
    </cdr:to>
    <cdr:cxnSp macro="">
      <cdr:nvCxnSpPr>
        <cdr:cNvPr id="11" name="Straight Arrow Connector 10" descr="Arrow"/>
        <cdr:cNvCxnSpPr/>
      </cdr:nvCxnSpPr>
      <cdr:spPr>
        <a:xfrm xmlns:a="http://schemas.openxmlformats.org/drawingml/2006/main">
          <a:off x="2638830" y="1670300"/>
          <a:ext cx="159456" cy="163800"/>
        </a:xfrm>
        <a:prstGeom xmlns:a="http://schemas.openxmlformats.org/drawingml/2006/main" prst="straightConnector1">
          <a:avLst/>
        </a:prstGeom>
        <a:ln xmlns:a="http://schemas.openxmlformats.org/drawingml/2006/main">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0.57686</cdr:x>
      <cdr:y>0.63991</cdr:y>
    </cdr:from>
    <cdr:to>
      <cdr:x>0.67435</cdr:x>
      <cdr:y>0.71684</cdr:y>
    </cdr:to>
    <cdr:sp macro="" textlink="">
      <cdr:nvSpPr>
        <cdr:cNvPr id="13" name="TextBox 1"/>
        <cdr:cNvSpPr txBox="1"/>
      </cdr:nvSpPr>
      <cdr:spPr>
        <a:xfrm xmlns:a="http://schemas.openxmlformats.org/drawingml/2006/main">
          <a:off x="3120218" y="1612574"/>
          <a:ext cx="527320" cy="19386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t>1995-96</a:t>
          </a:r>
        </a:p>
      </cdr:txBody>
    </cdr:sp>
  </cdr:relSizeAnchor>
  <cdr:relSizeAnchor xmlns:cdr="http://schemas.openxmlformats.org/drawingml/2006/chartDrawing">
    <cdr:from>
      <cdr:x>0.66988</cdr:x>
      <cdr:y>0.69194</cdr:y>
    </cdr:from>
    <cdr:to>
      <cdr:x>0.69627</cdr:x>
      <cdr:y>0.70154</cdr:y>
    </cdr:to>
    <cdr:cxnSp macro="">
      <cdr:nvCxnSpPr>
        <cdr:cNvPr id="14" name="Straight Arrow Connector 13" descr="Arrow"/>
        <cdr:cNvCxnSpPr/>
      </cdr:nvCxnSpPr>
      <cdr:spPr>
        <a:xfrm xmlns:a="http://schemas.openxmlformats.org/drawingml/2006/main">
          <a:off x="3623357" y="1743699"/>
          <a:ext cx="142742" cy="24192"/>
        </a:xfrm>
        <a:prstGeom xmlns:a="http://schemas.openxmlformats.org/drawingml/2006/main" prst="straightConnector1">
          <a:avLst/>
        </a:prstGeom>
        <a:ln xmlns:a="http://schemas.openxmlformats.org/drawingml/2006/main">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0.27247</cdr:x>
      <cdr:y>0.41384</cdr:y>
    </cdr:from>
    <cdr:to>
      <cdr:x>0.35911</cdr:x>
      <cdr:y>0.49078</cdr:y>
    </cdr:to>
    <cdr:sp macro="" textlink="">
      <cdr:nvSpPr>
        <cdr:cNvPr id="22" name="TextBox 1"/>
        <cdr:cNvSpPr txBox="1"/>
      </cdr:nvSpPr>
      <cdr:spPr>
        <a:xfrm xmlns:a="http://schemas.openxmlformats.org/drawingml/2006/main">
          <a:off x="1474787" y="1197768"/>
          <a:ext cx="468981" cy="22268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t>1973-74</a:t>
          </a:r>
        </a:p>
      </cdr:txBody>
    </cdr:sp>
  </cdr:relSizeAnchor>
  <cdr:relSizeAnchor xmlns:cdr="http://schemas.openxmlformats.org/drawingml/2006/chartDrawing">
    <cdr:from>
      <cdr:x>0.2449</cdr:x>
      <cdr:y>0.42947</cdr:y>
    </cdr:from>
    <cdr:to>
      <cdr:x>0.28713</cdr:x>
      <cdr:y>0.44483</cdr:y>
    </cdr:to>
    <cdr:cxnSp macro="">
      <cdr:nvCxnSpPr>
        <cdr:cNvPr id="23" name="Straight Arrow Connector 22" descr="Arrow"/>
        <cdr:cNvCxnSpPr/>
      </cdr:nvCxnSpPr>
      <cdr:spPr>
        <a:xfrm xmlns:a="http://schemas.openxmlformats.org/drawingml/2006/main" flipH="1" flipV="1">
          <a:off x="1325562" y="1243012"/>
          <a:ext cx="228602" cy="44452"/>
        </a:xfrm>
        <a:prstGeom xmlns:a="http://schemas.openxmlformats.org/drawingml/2006/main" prst="straightConnector1">
          <a:avLst/>
        </a:prstGeom>
        <a:ln xmlns:a="http://schemas.openxmlformats.org/drawingml/2006/main">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EC7802011E674696F71CF841D12438" ma:contentTypeVersion="0" ma:contentTypeDescription="Create a new document." ma:contentTypeScope="" ma:versionID="67440964d41c78921edc44831307fce5">
  <xsd:schema xmlns:xsd="http://www.w3.org/2001/XMLSchema" xmlns:xs="http://www.w3.org/2001/XMLSchema" xmlns:p="http://schemas.microsoft.com/office/2006/metadata/properties" targetNamespace="http://schemas.microsoft.com/office/2006/metadata/properties" ma:root="true" ma:fieldsID="8b741d7760e7820ac40a9c32876c49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87DE-0DAC-4520-AC0F-204F72B37B29}">
  <ds:schemaRefs>
    <ds:schemaRef ds:uri="http://schemas.microsoft.com/office/2006/metadata/customXsn"/>
  </ds:schemaRefs>
</ds:datastoreItem>
</file>

<file path=customXml/itemProps2.xml><?xml version="1.0" encoding="utf-8"?>
<ds:datastoreItem xmlns:ds="http://schemas.openxmlformats.org/officeDocument/2006/customXml" ds:itemID="{3794060E-2258-4901-B394-E9AECDD10E56}">
  <ds:schemaRef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A61BE85-5AAA-4808-87B5-3BDB487DF36E}">
  <ds:schemaRefs>
    <ds:schemaRef ds:uri="http://schemas.microsoft.com/sharepoint/v3/contenttype/forms"/>
  </ds:schemaRefs>
</ds:datastoreItem>
</file>

<file path=customXml/itemProps4.xml><?xml version="1.0" encoding="utf-8"?>
<ds:datastoreItem xmlns:ds="http://schemas.openxmlformats.org/officeDocument/2006/customXml" ds:itemID="{F875499E-531D-49AE-B599-A6397395C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18591D8-16A4-4FA6-A155-5F22E103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13</TotalTime>
  <Pages>32</Pages>
  <Words>9480</Words>
  <Characters>54104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Issues Paper 1: Context</vt:lpstr>
    </vt:vector>
  </TitlesOfParts>
  <Company>Productivity Commission</Company>
  <LinksUpToDate>false</LinksUpToDate>
  <CharactersWithSpaces>63458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1: Context</dc:title>
  <dc:subject>Report</dc:subject>
  <dc:creator>Productivity Commission</dc:creator>
  <cp:lastModifiedBy>Mark Pimperl</cp:lastModifiedBy>
  <cp:revision>6</cp:revision>
  <cp:lastPrinted>2015-01-19T23:26:00Z</cp:lastPrinted>
  <dcterms:created xsi:type="dcterms:W3CDTF">2015-01-20T04:30:00Z</dcterms:created>
  <dcterms:modified xsi:type="dcterms:W3CDTF">2015-01-21T21:38:00Z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lue="true"/&gt;&lt;pref name="automaticJournalAbbreviations" value="true"/&gt;&lt;pref name="noteType" value="0"/&gt;&lt;/prefs&gt;&lt;/data&gt;</vt:lpwstr>
  </property>
  <property fmtid="{D5CDD505-2E9C-101B-9397-08002B2CF9AE}" pid="3" name="ContentTypeId">
    <vt:lpwstr>0x0101005FEC7802011E674696F71CF841D12438</vt:lpwstr>
  </property>
  <property fmtid="{D5CDD505-2E9C-101B-9397-08002B2CF9AE}" pid="4" name="RecordPoint_SubmissionCompleted">
    <vt:lpwstr>2014-08-04T15:25:53.9329301+10:00</vt:lpwstr>
  </property>
  <property fmtid="{D5CDD505-2E9C-101B-9397-08002B2CF9AE}" pid="5" name="RecordPoint_ActiveItemUniqueId">
    <vt:lpwstr>{9ad2aac8-e179-40c6-bcae-337fe26f78ec}</vt:lpwstr>
  </property>
  <property fmtid="{D5CDD505-2E9C-101B-9397-08002B2CF9AE}" pid="6" name="RecordPoint_WorkflowType">
    <vt:lpwstr>ActiveSubmitStub</vt:lpwstr>
  </property>
  <property fmtid="{D5CDD505-2E9C-101B-9397-08002B2CF9AE}" pid="7" name="ZOTERO_PREF_1">
    <vt:lpwstr>&lt;data data-version="3" zotero-version="4.0.20"&gt;&lt;session id="zcvXO0PD"/&gt;&lt;style id="http://www.zotero.org/styles/unisa-harvard" hasBibliography="1" bibliographyStyleHasBeenSet="1"/&gt;&lt;prefs&gt;&lt;pref name="fieldType" value="Field"/&gt;&lt;pref name="storeReferences" va</vt:lpwstr>
  </property>
</Properties>
</file>