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5390B" w14:textId="77777777" w:rsidR="008B44FD" w:rsidRPr="00CC2B24" w:rsidRDefault="008B44FD" w:rsidP="008B44FD">
      <w:pPr>
        <w:pStyle w:val="Heading1"/>
        <w:rPr>
          <w:color w:val="FFFFFF" w:themeColor="background1"/>
          <w:sz w:val="12"/>
          <w:szCs w:val="12"/>
        </w:rPr>
      </w:pPr>
      <w:bookmarkStart w:id="0" w:name="ChapterNumber"/>
      <w:bookmarkStart w:id="1" w:name="_GoBack"/>
      <w:bookmarkEnd w:id="1"/>
      <w:r w:rsidRPr="00CC2B24">
        <w:rPr>
          <w:color w:val="FFFFFF" w:themeColor="background1"/>
          <w:sz w:val="12"/>
          <w:szCs w:val="12"/>
        </w:rPr>
        <w:t>Computable General Equilibrium Modelling of Workplace Relations</w:t>
      </w:r>
    </w:p>
    <w:p w14:paraId="65EA51AE" w14:textId="77777777" w:rsidR="008B44FD" w:rsidRPr="00CC2B24" w:rsidRDefault="008B44FD" w:rsidP="008B44FD">
      <w:pPr>
        <w:pStyle w:val="BodyText"/>
        <w:rPr>
          <w:color w:val="FFFFFF" w:themeColor="background1"/>
          <w:sz w:val="12"/>
          <w:szCs w:val="12"/>
        </w:rPr>
      </w:pPr>
      <w:r w:rsidRPr="00CC2B24">
        <w:rPr>
          <w:color w:val="FFFFFF" w:themeColor="background1"/>
          <w:sz w:val="12"/>
          <w:szCs w:val="12"/>
        </w:rPr>
        <w:t>Workplace Relations Framework — Productivity Commission Technical Supplement to the Inquiry Report, Canberra.</w:t>
      </w:r>
      <w:r>
        <w:rPr>
          <w:noProof/>
          <w:color w:val="FFFFFF" w:themeColor="background1"/>
          <w:sz w:val="12"/>
          <w:szCs w:val="12"/>
        </w:rPr>
        <w:drawing>
          <wp:anchor distT="0" distB="0" distL="114300" distR="114300" simplePos="0" relativeHeight="251659264" behindDoc="0" locked="0" layoutInCell="1" allowOverlap="1" wp14:anchorId="7FCD9D64" wp14:editId="0E1C0B27">
            <wp:simplePos x="1151890" y="2362835"/>
            <wp:positionH relativeFrom="page">
              <wp:align>center</wp:align>
            </wp:positionH>
            <wp:positionV relativeFrom="page">
              <wp:align>center</wp:align>
            </wp:positionV>
            <wp:extent cx="7567200" cy="10702800"/>
            <wp:effectExtent l="0" t="0" r="0" b="3810"/>
            <wp:wrapNone/>
            <wp:docPr id="2" name="Picture 2" descr="Cover for: Computable General Equilibrium Modelling of Workplace Relations, Workplace Relations Framework, Technical Supplement to the Inquiry Report, Productiivity Commission, Canber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chnical-supplement-wrf-CGE.png"/>
                    <pic:cNvPicPr/>
                  </pic:nvPicPr>
                  <pic:blipFill>
                    <a:blip r:embed="rId14">
                      <a:extLst>
                        <a:ext uri="{28A0092B-C50C-407E-A947-70E740481C1C}">
                          <a14:useLocalDpi xmlns:a14="http://schemas.microsoft.com/office/drawing/2010/main" val="0"/>
                        </a:ext>
                      </a:extLst>
                    </a:blip>
                    <a:stretch>
                      <a:fillRect/>
                    </a:stretch>
                  </pic:blipFill>
                  <pic:spPr>
                    <a:xfrm>
                      <a:off x="0" y="0"/>
                      <a:ext cx="7567200" cy="10702800"/>
                    </a:xfrm>
                    <a:prstGeom prst="rect">
                      <a:avLst/>
                    </a:prstGeom>
                  </pic:spPr>
                </pic:pic>
              </a:graphicData>
            </a:graphic>
            <wp14:sizeRelH relativeFrom="margin">
              <wp14:pctWidth>0</wp14:pctWidth>
            </wp14:sizeRelH>
            <wp14:sizeRelV relativeFrom="margin">
              <wp14:pctHeight>0</wp14:pctHeight>
            </wp14:sizeRelV>
          </wp:anchor>
        </w:drawing>
      </w:r>
    </w:p>
    <w:p w14:paraId="694C759F" w14:textId="77777777" w:rsidR="008B44FD" w:rsidRDefault="008B44FD" w:rsidP="008B44FD">
      <w:pPr>
        <w:pStyle w:val="BodyText"/>
        <w:rPr>
          <w:b/>
          <w:szCs w:val="26"/>
        </w:rPr>
      </w:pPr>
      <w:r>
        <w:br w:type="page"/>
      </w:r>
    </w:p>
    <w:p w14:paraId="354946CE" w14:textId="77777777" w:rsidR="008B44FD" w:rsidRDefault="008B44FD" w:rsidP="008B44FD">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14:paraId="572E11D8" w14:textId="77777777" w:rsidR="008B44FD" w:rsidRDefault="008B44FD" w:rsidP="008B44FD">
      <w:pPr>
        <w:pStyle w:val="BodyText"/>
        <w:spacing w:after="120"/>
      </w:pPr>
      <w:bookmarkStart w:id="2" w:name="ISSN"/>
      <w:bookmarkEnd w:id="2"/>
      <w:r w:rsidRPr="00862D8F">
        <w:rPr>
          <w:noProof/>
          <w:sz w:val="22"/>
          <w:szCs w:val="22"/>
        </w:rPr>
        <w:drawing>
          <wp:inline distT="0" distB="0" distL="0" distR="0" wp14:anchorId="64E49A60" wp14:editId="31035275">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D6F7079" w14:textId="77777777" w:rsidR="008B44FD" w:rsidRPr="008A3857" w:rsidRDefault="008B44FD" w:rsidP="008B44FD">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w:t>
      </w:r>
      <w:proofErr w:type="spellStart"/>
      <w:r w:rsidRPr="00805FD7">
        <w:t>creativecommons.org</w:t>
      </w:r>
      <w:proofErr w:type="spellEnd"/>
      <w:r w:rsidRPr="00805FD7">
        <w:t>/licenses/by/3.0/au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573AA61A" w14:textId="77777777" w:rsidR="008B44FD" w:rsidRPr="008A3857" w:rsidRDefault="008B44FD" w:rsidP="008B44FD">
      <w:pPr>
        <w:pStyle w:val="Copyrightsubtitle"/>
      </w:pPr>
      <w:r w:rsidRPr="008A3857">
        <w:t>Use of the Commonwealth Coat of Arms</w:t>
      </w:r>
    </w:p>
    <w:p w14:paraId="00030C9D" w14:textId="77777777" w:rsidR="008B44FD" w:rsidRPr="008A3857" w:rsidRDefault="008B44FD" w:rsidP="008B44FD">
      <w:pPr>
        <w:pStyle w:val="Copyrightbodytext"/>
      </w:pPr>
      <w:r w:rsidRPr="008A3857">
        <w:t>For terms of use of the Coat of Arms visit the ‘</w:t>
      </w:r>
      <w:r w:rsidRPr="00805FD7">
        <w:t>It’s an Honour</w:t>
      </w:r>
      <w:r w:rsidRPr="008A3857">
        <w:t>’ website</w:t>
      </w:r>
      <w:r w:rsidRPr="00BA0B81">
        <w:t xml:space="preserve">: </w:t>
      </w:r>
      <w:r w:rsidRPr="00805FD7">
        <w:t>http://</w:t>
      </w:r>
      <w:proofErr w:type="spellStart"/>
      <w:r w:rsidRPr="00805FD7">
        <w:t>www.itsanhonour.gov.au</w:t>
      </w:r>
      <w:proofErr w:type="spellEnd"/>
    </w:p>
    <w:p w14:paraId="10079C5C" w14:textId="77777777" w:rsidR="008B44FD" w:rsidRPr="008A3857" w:rsidRDefault="008B44FD" w:rsidP="008B44FD">
      <w:pPr>
        <w:pStyle w:val="Copyrightsubtitle"/>
      </w:pPr>
      <w:r w:rsidRPr="008A3857">
        <w:t>Third party copyright</w:t>
      </w:r>
    </w:p>
    <w:p w14:paraId="0F06272E" w14:textId="77777777" w:rsidR="008B44FD" w:rsidRPr="008A3857" w:rsidRDefault="008B44FD" w:rsidP="008B44FD">
      <w:pPr>
        <w:pStyle w:val="Copyrightbodytext"/>
      </w:pPr>
      <w:r w:rsidRPr="008A3857">
        <w:t>Wherever a third party holds copyright in this material, the copyright remains with that party. Their permission may be required to use the material, please contact them directly.</w:t>
      </w:r>
    </w:p>
    <w:p w14:paraId="7A19C20A" w14:textId="77777777" w:rsidR="008B44FD" w:rsidRPr="008A3857" w:rsidRDefault="008B44FD" w:rsidP="008B44FD">
      <w:pPr>
        <w:pStyle w:val="Copyrightsubtitle"/>
      </w:pPr>
      <w:r w:rsidRPr="008A3857">
        <w:t>Attribution</w:t>
      </w:r>
    </w:p>
    <w:p w14:paraId="49360415" w14:textId="77777777" w:rsidR="008B44FD" w:rsidRPr="008A3857" w:rsidRDefault="008B44FD" w:rsidP="008B44FD">
      <w:pPr>
        <w:pStyle w:val="Copyrightbodytext"/>
      </w:pPr>
      <w:r w:rsidRPr="008A3857">
        <w:t xml:space="preserve">This work should be attributed as follows, </w:t>
      </w:r>
      <w:r w:rsidRPr="008E242D">
        <w:rPr>
          <w:i/>
        </w:rPr>
        <w:t xml:space="preserve">Source: Productivity Commission, </w:t>
      </w:r>
      <w:r w:rsidRPr="00A708BA">
        <w:rPr>
          <w:i/>
        </w:rPr>
        <w:t>Computable General Equilibrium Modelling of Workplace Relations</w:t>
      </w:r>
      <w:r w:rsidRPr="008A3857">
        <w:t>.</w:t>
      </w:r>
    </w:p>
    <w:p w14:paraId="38476EAC" w14:textId="77777777" w:rsidR="008B44FD" w:rsidRPr="008A3857" w:rsidRDefault="008B44FD" w:rsidP="008B44FD">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sidRPr="00A708BA">
        <w:rPr>
          <w:i/>
        </w:rPr>
        <w:t>Computable General Equilibrium Modelling of Workplace Relations</w:t>
      </w:r>
      <w:r w:rsidRPr="008A3857">
        <w:t>.</w:t>
      </w:r>
    </w:p>
    <w:p w14:paraId="276D9C8B" w14:textId="77777777" w:rsidR="008B44FD" w:rsidRPr="008A3857" w:rsidRDefault="008B44FD" w:rsidP="008B44FD">
      <w:pPr>
        <w:pStyle w:val="Copyrightsubtitle"/>
      </w:pPr>
      <w:r w:rsidRPr="008A3857">
        <w:t xml:space="preserve">An appropriate </w:t>
      </w:r>
      <w:r>
        <w:t>reference</w:t>
      </w:r>
      <w:r w:rsidRPr="008A3857">
        <w:t xml:space="preserve"> for this publication is:</w:t>
      </w:r>
    </w:p>
    <w:p w14:paraId="331B5517" w14:textId="77777777" w:rsidR="008B44FD" w:rsidRPr="008A3857" w:rsidRDefault="008B44FD" w:rsidP="008B44FD">
      <w:pPr>
        <w:pStyle w:val="Copyrightbodytext"/>
      </w:pPr>
      <w:r>
        <w:t xml:space="preserve">Productivity Commission 2016, </w:t>
      </w:r>
      <w:r w:rsidRPr="00A708BA">
        <w:rPr>
          <w:i/>
        </w:rPr>
        <w:t>Computable General Equilibrium Modelling of Workplace Relations</w:t>
      </w:r>
      <w:r w:rsidRPr="00A708BA">
        <w:t xml:space="preserve">, Workplace Relations Framework </w:t>
      </w:r>
      <w:r>
        <w:t xml:space="preserve">— </w:t>
      </w:r>
      <w:r w:rsidRPr="00A708BA">
        <w:t>Technical Supplement, Canberra.</w:t>
      </w:r>
    </w:p>
    <w:p w14:paraId="3A9C2FF8" w14:textId="77777777" w:rsidR="008B44FD" w:rsidRPr="008A3857" w:rsidRDefault="008B44FD" w:rsidP="008B44FD">
      <w:pPr>
        <w:pStyle w:val="Copyrightsubtitle"/>
      </w:pPr>
      <w:bookmarkStart w:id="3" w:name="JEL"/>
      <w:bookmarkEnd w:id="3"/>
      <w:r w:rsidRPr="008A3857">
        <w:t>Publications enquiries</w:t>
      </w:r>
    </w:p>
    <w:p w14:paraId="14E9040E" w14:textId="77777777" w:rsidR="008B44FD" w:rsidRDefault="008B44FD" w:rsidP="008B44FD">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4A4D4116" w14:textId="77777777" w:rsidR="008B44FD" w:rsidRDefault="008B44FD" w:rsidP="008B44F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Design table"/>
      </w:tblPr>
      <w:tblGrid>
        <w:gridCol w:w="8771"/>
      </w:tblGrid>
      <w:tr w:rsidR="008B44FD" w14:paraId="3483732C" w14:textId="77777777" w:rsidTr="00CA438F">
        <w:tc>
          <w:tcPr>
            <w:tcW w:w="8771" w:type="dxa"/>
            <w:tcBorders>
              <w:top w:val="single" w:sz="6" w:space="0" w:color="78A22F"/>
              <w:left w:val="nil"/>
              <w:bottom w:val="nil"/>
              <w:right w:val="nil"/>
            </w:tcBorders>
            <w:shd w:val="clear" w:color="auto" w:fill="F2F2F2" w:themeFill="background1" w:themeFillShade="F2"/>
          </w:tcPr>
          <w:p w14:paraId="10C6C515" w14:textId="77777777" w:rsidR="008B44FD" w:rsidRPr="008A3857" w:rsidRDefault="008B44FD" w:rsidP="00F67286">
            <w:pPr>
              <w:pStyle w:val="BoxTitle"/>
              <w:rPr>
                <w:sz w:val="22"/>
                <w:szCs w:val="22"/>
              </w:rPr>
            </w:pPr>
            <w:r w:rsidRPr="008A3857">
              <w:rPr>
                <w:sz w:val="22"/>
                <w:szCs w:val="22"/>
              </w:rPr>
              <w:t>The Productivity Commission</w:t>
            </w:r>
          </w:p>
        </w:tc>
      </w:tr>
      <w:tr w:rsidR="008B44FD" w14:paraId="5A349763" w14:textId="77777777" w:rsidTr="00CA438F">
        <w:tc>
          <w:tcPr>
            <w:tcW w:w="8771" w:type="dxa"/>
            <w:tcBorders>
              <w:top w:val="nil"/>
              <w:left w:val="nil"/>
              <w:bottom w:val="nil"/>
              <w:right w:val="nil"/>
            </w:tcBorders>
            <w:shd w:val="clear" w:color="auto" w:fill="F2F2F2" w:themeFill="background1" w:themeFillShade="F2"/>
          </w:tcPr>
          <w:p w14:paraId="31E62FD5" w14:textId="77777777" w:rsidR="008B44FD" w:rsidRDefault="008B44FD" w:rsidP="00F67286">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6C5D7D7" w14:textId="77777777" w:rsidR="008B44FD" w:rsidRDefault="008B44FD" w:rsidP="00F67286">
            <w:pPr>
              <w:pStyle w:val="Box"/>
            </w:pPr>
            <w:r w:rsidRPr="00BB5DCF">
              <w:t>The Commission’s independence is underpinned by an Act of Parliament. Its processes and outputs are open to public scrutiny and are driven by concern for the wellbeing of the community as a whole.</w:t>
            </w:r>
          </w:p>
          <w:p w14:paraId="4EF64EA9" w14:textId="77777777" w:rsidR="008B44FD" w:rsidRDefault="008B44FD" w:rsidP="00F67286">
            <w:pPr>
              <w:pStyle w:val="Box"/>
            </w:pPr>
            <w:r w:rsidRPr="00BB5DCF">
              <w:rPr>
                <w:szCs w:val="24"/>
              </w:rPr>
              <w:t>Further information on the Productivity Commission can be obtained from the Commission’s website (</w:t>
            </w:r>
            <w:proofErr w:type="spellStart"/>
            <w:r w:rsidRPr="00805FD7">
              <w:t>www.pc.gov.au</w:t>
            </w:r>
            <w:proofErr w:type="spellEnd"/>
            <w:r w:rsidRPr="00BB5DCF">
              <w:rPr>
                <w:szCs w:val="24"/>
              </w:rPr>
              <w:t>)</w:t>
            </w:r>
            <w:r>
              <w:rPr>
                <w:szCs w:val="24"/>
              </w:rPr>
              <w:t>.</w:t>
            </w:r>
          </w:p>
        </w:tc>
      </w:tr>
      <w:tr w:rsidR="008B44FD" w14:paraId="63B42792" w14:textId="77777777" w:rsidTr="00CA438F">
        <w:tc>
          <w:tcPr>
            <w:tcW w:w="8771" w:type="dxa"/>
            <w:tcBorders>
              <w:top w:val="nil"/>
              <w:left w:val="nil"/>
              <w:bottom w:val="single" w:sz="6" w:space="0" w:color="78A22F"/>
              <w:right w:val="nil"/>
            </w:tcBorders>
            <w:shd w:val="clear" w:color="auto" w:fill="F2F2F2" w:themeFill="background1" w:themeFillShade="F2"/>
          </w:tcPr>
          <w:p w14:paraId="2EA0A3AE" w14:textId="77777777" w:rsidR="008B44FD" w:rsidRDefault="008B44FD" w:rsidP="00F67286">
            <w:pPr>
              <w:pStyle w:val="Box"/>
              <w:spacing w:before="0" w:line="120" w:lineRule="exact"/>
            </w:pPr>
          </w:p>
        </w:tc>
      </w:tr>
    </w:tbl>
    <w:p w14:paraId="115EF252" w14:textId="77777777" w:rsidR="008B44FD" w:rsidRDefault="008B44FD" w:rsidP="008B44FD">
      <w:pPr>
        <w:pStyle w:val="BodyText"/>
        <w:sectPr w:rsidR="008B44FD" w:rsidSect="008B44FD">
          <w:headerReference w:type="first" r:id="rId16"/>
          <w:footerReference w:type="first" r:id="rId17"/>
          <w:pgSz w:w="11907" w:h="16840" w:code="9"/>
          <w:pgMar w:top="1304" w:right="1304" w:bottom="567" w:left="1814" w:header="1701" w:footer="397" w:gutter="0"/>
          <w:pgNumType w:fmt="lowerRoman" w:start="1"/>
          <w:cols w:space="720"/>
          <w:titlePg/>
        </w:sectPr>
      </w:pPr>
      <w:bookmarkStart w:id="5" w:name="cov"/>
      <w:bookmarkEnd w:id="5"/>
    </w:p>
    <w:p w14:paraId="0282E4F2" w14:textId="77777777" w:rsidR="008B44FD" w:rsidRPr="008206EE" w:rsidRDefault="008B44FD" w:rsidP="008B44FD">
      <w:pPr>
        <w:pStyle w:val="Heading1NotTOC"/>
      </w:pPr>
      <w:bookmarkStart w:id="6" w:name="Contents"/>
      <w:bookmarkEnd w:id="6"/>
      <w:r w:rsidRPr="00B153C3">
        <w:lastRenderedPageBreak/>
        <w:t>Contents</w:t>
      </w:r>
      <w:bookmarkStart w:id="7" w:name="InsertContents"/>
      <w:bookmarkEnd w:id="7"/>
    </w:p>
    <w:p w14:paraId="7295D162" w14:textId="77777777" w:rsidR="008B44FD" w:rsidRDefault="008B44FD" w:rsidP="008B44FD">
      <w:pPr>
        <w:pStyle w:val="TOC1"/>
        <w:rPr>
          <w:noProof/>
        </w:rPr>
      </w:pPr>
      <w:r>
        <w:rPr>
          <w:noProof/>
        </w:rPr>
        <w:t>Acknowledgments</w:t>
      </w:r>
      <w:r>
        <w:rPr>
          <w:noProof/>
        </w:rPr>
        <w:tab/>
        <w:t>v</w:t>
      </w:r>
    </w:p>
    <w:p w14:paraId="788E82A7" w14:textId="77777777" w:rsidR="008B44FD" w:rsidRDefault="008B44FD" w:rsidP="008B44FD">
      <w:pPr>
        <w:pStyle w:val="TOC1"/>
        <w:rPr>
          <w:noProof/>
        </w:rPr>
      </w:pPr>
      <w:r>
        <w:rPr>
          <w:noProof/>
        </w:rPr>
        <w:t>Abbreviations</w:t>
      </w:r>
      <w:r>
        <w:rPr>
          <w:noProof/>
        </w:rPr>
        <w:tab/>
        <w:t>vi</w:t>
      </w:r>
    </w:p>
    <w:p w14:paraId="0E374093"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Introduction</w:t>
      </w:r>
      <w:r>
        <w:rPr>
          <w:noProof/>
        </w:rPr>
        <w:tab/>
        <w:t>1</w:t>
      </w:r>
    </w:p>
    <w:p w14:paraId="78B4FD46"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Background</w:t>
      </w:r>
      <w:r>
        <w:rPr>
          <w:noProof/>
        </w:rPr>
        <w:tab/>
        <w:t>1</w:t>
      </w:r>
    </w:p>
    <w:p w14:paraId="52655745"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Overview of the CGE modelling</w:t>
      </w:r>
      <w:r>
        <w:rPr>
          <w:noProof/>
        </w:rPr>
        <w:tab/>
        <w:t>2</w:t>
      </w:r>
    </w:p>
    <w:p w14:paraId="14D1E10A"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Modelling approach</w:t>
      </w:r>
      <w:r>
        <w:rPr>
          <w:noProof/>
        </w:rPr>
        <w:tab/>
        <w:t>5</w:t>
      </w:r>
    </w:p>
    <w:p w14:paraId="52B2F07B"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The model</w:t>
      </w:r>
      <w:r>
        <w:rPr>
          <w:noProof/>
        </w:rPr>
        <w:tab/>
        <w:t>5</w:t>
      </w:r>
    </w:p>
    <w:p w14:paraId="35C09333"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Policy scenarios</w:t>
      </w:r>
      <w:r>
        <w:rPr>
          <w:noProof/>
        </w:rPr>
        <w:tab/>
        <w:t>6</w:t>
      </w:r>
    </w:p>
    <w:p w14:paraId="37DBD050"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The modelling in context</w:t>
      </w:r>
      <w:r>
        <w:rPr>
          <w:noProof/>
        </w:rPr>
        <w:tab/>
        <w:t>8</w:t>
      </w:r>
    </w:p>
    <w:p w14:paraId="06D35D2A" w14:textId="77777777" w:rsidR="008B44FD" w:rsidRDefault="008B44FD" w:rsidP="008B44FD">
      <w:pPr>
        <w:pStyle w:val="TOC1"/>
        <w:rPr>
          <w:noProof/>
        </w:rPr>
      </w:pPr>
      <w:r>
        <w:rPr>
          <w:noProof/>
        </w:rPr>
        <w:t>3</w:t>
      </w:r>
      <w:r>
        <w:rPr>
          <w:rFonts w:asciiTheme="minorHAnsi" w:eastAsiaTheme="minorEastAsia" w:hAnsiTheme="minorHAnsi" w:cstheme="minorBidi"/>
          <w:b w:val="0"/>
          <w:noProof/>
          <w:sz w:val="22"/>
          <w:szCs w:val="22"/>
          <w:lang w:eastAsia="en-AU"/>
        </w:rPr>
        <w:tab/>
      </w:r>
      <w:r>
        <w:rPr>
          <w:noProof/>
        </w:rPr>
        <w:t>Main results</w:t>
      </w:r>
      <w:r>
        <w:rPr>
          <w:noProof/>
        </w:rPr>
        <w:tab/>
        <w:t>11</w:t>
      </w:r>
    </w:p>
    <w:p w14:paraId="245F9B9A" w14:textId="4F0B877D" w:rsidR="0001631C" w:rsidRDefault="0001631C" w:rsidP="0001631C">
      <w:pPr>
        <w:pStyle w:val="TOC2"/>
      </w:pPr>
      <w:r>
        <w:rPr>
          <w:rFonts w:eastAsiaTheme="minorEastAsia"/>
        </w:rPr>
        <w:t>3.1</w:t>
      </w:r>
      <w:r>
        <w:rPr>
          <w:rFonts w:eastAsiaTheme="minorEastAsia"/>
        </w:rPr>
        <w:tab/>
      </w:r>
      <w:r>
        <w:t>Labour market implications</w:t>
      </w:r>
      <w:r>
        <w:tab/>
        <w:t>11</w:t>
      </w:r>
    </w:p>
    <w:p w14:paraId="6DBB8C8A" w14:textId="16D1BC7D" w:rsidR="0001631C" w:rsidRDefault="0001631C" w:rsidP="0001631C">
      <w:pPr>
        <w:pStyle w:val="TOC2"/>
      </w:pPr>
      <w:r>
        <w:t>3.2</w:t>
      </w:r>
      <w:r>
        <w:tab/>
      </w:r>
      <w:r>
        <w:t>Aggregate implications</w:t>
      </w:r>
      <w:r>
        <w:tab/>
        <w:t>12</w:t>
      </w:r>
    </w:p>
    <w:p w14:paraId="30A075BE" w14:textId="0EFB18A4" w:rsidR="0001631C" w:rsidRPr="0001631C" w:rsidRDefault="0001631C" w:rsidP="0001631C">
      <w:pPr>
        <w:pStyle w:val="TOC2"/>
        <w:rPr>
          <w:rFonts w:eastAsiaTheme="minorEastAsia"/>
        </w:rPr>
      </w:pPr>
      <w:r>
        <w:t>3.3</w:t>
      </w:r>
      <w:r>
        <w:tab/>
      </w:r>
      <w:r>
        <w:t>Sectoral implications</w:t>
      </w:r>
      <w:r>
        <w:tab/>
        <w:t>14</w:t>
      </w:r>
    </w:p>
    <w:p w14:paraId="75A9CE66"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Sensitivity testing</w:t>
      </w:r>
      <w:r>
        <w:rPr>
          <w:noProof/>
        </w:rPr>
        <w:tab/>
        <w:t>17</w:t>
      </w:r>
    </w:p>
    <w:p w14:paraId="0E601D76"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Alternative minimum wage footprints</w:t>
      </w:r>
      <w:r>
        <w:rPr>
          <w:noProof/>
        </w:rPr>
        <w:tab/>
        <w:t>17</w:t>
      </w:r>
    </w:p>
    <w:p w14:paraId="1856FBD4"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Responsiveness of labour demand to a change in wage relative to the price of capital</w:t>
      </w:r>
      <w:r>
        <w:rPr>
          <w:noProof/>
        </w:rPr>
        <w:tab/>
        <w:t>19</w:t>
      </w:r>
    </w:p>
    <w:p w14:paraId="5C07C430"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Employer responsiveness to award wage changes</w:t>
      </w:r>
      <w:r>
        <w:rPr>
          <w:noProof/>
        </w:rPr>
        <w:tab/>
        <w:t>19</w:t>
      </w:r>
    </w:p>
    <w:p w14:paraId="30FE4CEA"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Employee responsiveness to award wage change</w:t>
      </w:r>
      <w:r>
        <w:rPr>
          <w:noProof/>
        </w:rPr>
        <w:tab/>
        <w:t>21</w:t>
      </w:r>
    </w:p>
    <w:p w14:paraId="26D980EE"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A</w:t>
      </w:r>
      <w:r>
        <w:rPr>
          <w:rFonts w:asciiTheme="minorHAnsi" w:eastAsiaTheme="minorEastAsia" w:hAnsiTheme="minorHAnsi" w:cstheme="minorBidi"/>
          <w:b w:val="0"/>
          <w:noProof/>
          <w:sz w:val="22"/>
          <w:szCs w:val="22"/>
          <w:lang w:eastAsia="en-AU"/>
        </w:rPr>
        <w:tab/>
      </w:r>
      <w:r>
        <w:rPr>
          <w:noProof/>
        </w:rPr>
        <w:t>The VUMR</w:t>
      </w:r>
      <w:r w:rsidRPr="003F5B11">
        <w:rPr>
          <w:rFonts w:ascii="MS Mincho" w:eastAsia="MS Mincho" w:hAnsi="MS Mincho" w:cs="MS Mincho"/>
          <w:noProof/>
        </w:rPr>
        <w:t>‑</w:t>
      </w:r>
      <w:r>
        <w:rPr>
          <w:noProof/>
        </w:rPr>
        <w:t>WR model</w:t>
      </w:r>
      <w:r>
        <w:rPr>
          <w:noProof/>
        </w:rPr>
        <w:tab/>
        <w:t>25</w:t>
      </w:r>
    </w:p>
    <w:p w14:paraId="0133EEBA"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A.1</w:t>
      </w:r>
      <w:r>
        <w:rPr>
          <w:rFonts w:asciiTheme="minorHAnsi" w:eastAsiaTheme="minorEastAsia" w:hAnsiTheme="minorHAnsi" w:cstheme="minorBidi"/>
          <w:noProof/>
          <w:sz w:val="22"/>
          <w:szCs w:val="22"/>
          <w:lang w:eastAsia="en-AU"/>
        </w:rPr>
        <w:tab/>
      </w:r>
      <w:r>
        <w:rPr>
          <w:noProof/>
        </w:rPr>
        <w:t>An overview of the VUMR model</w:t>
      </w:r>
      <w:r>
        <w:rPr>
          <w:noProof/>
        </w:rPr>
        <w:tab/>
        <w:t>25</w:t>
      </w:r>
    </w:p>
    <w:p w14:paraId="4059F4E4"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A.2</w:t>
      </w:r>
      <w:r>
        <w:rPr>
          <w:rFonts w:asciiTheme="minorHAnsi" w:eastAsiaTheme="minorEastAsia" w:hAnsiTheme="minorHAnsi" w:cstheme="minorBidi"/>
          <w:noProof/>
          <w:sz w:val="22"/>
          <w:szCs w:val="22"/>
          <w:lang w:eastAsia="en-AU"/>
        </w:rPr>
        <w:tab/>
      </w:r>
      <w:r>
        <w:rPr>
          <w:noProof/>
        </w:rPr>
        <w:t>Modifications to the VUMR model for this inquiry</w:t>
      </w:r>
      <w:r>
        <w:rPr>
          <w:noProof/>
        </w:rPr>
        <w:tab/>
        <w:t>26</w:t>
      </w:r>
    </w:p>
    <w:p w14:paraId="5614A5D2"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A.3</w:t>
      </w:r>
      <w:r>
        <w:rPr>
          <w:rFonts w:asciiTheme="minorHAnsi" w:eastAsiaTheme="minorEastAsia" w:hAnsiTheme="minorHAnsi" w:cstheme="minorBidi"/>
          <w:noProof/>
          <w:sz w:val="22"/>
          <w:szCs w:val="22"/>
          <w:lang w:eastAsia="en-AU"/>
        </w:rPr>
        <w:tab/>
      </w:r>
      <w:r>
        <w:rPr>
          <w:noProof/>
        </w:rPr>
        <w:t xml:space="preserve"> The economic environment (model closure)</w:t>
      </w:r>
      <w:r>
        <w:rPr>
          <w:noProof/>
        </w:rPr>
        <w:tab/>
        <w:t>32</w:t>
      </w:r>
    </w:p>
    <w:p w14:paraId="712A4A2B"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B</w:t>
      </w:r>
      <w:r>
        <w:rPr>
          <w:rFonts w:asciiTheme="minorHAnsi" w:eastAsiaTheme="minorEastAsia" w:hAnsiTheme="minorHAnsi" w:cstheme="minorBidi"/>
          <w:b w:val="0"/>
          <w:noProof/>
          <w:sz w:val="22"/>
          <w:szCs w:val="22"/>
          <w:lang w:eastAsia="en-AU"/>
        </w:rPr>
        <w:tab/>
      </w:r>
      <w:r>
        <w:rPr>
          <w:noProof/>
        </w:rPr>
        <w:t>The VUMR</w:t>
      </w:r>
      <w:r w:rsidRPr="003F5B11">
        <w:rPr>
          <w:rFonts w:ascii="MS Mincho" w:eastAsia="MS Mincho" w:hAnsi="MS Mincho" w:cs="MS Mincho"/>
          <w:noProof/>
        </w:rPr>
        <w:t>‑</w:t>
      </w:r>
      <w:r>
        <w:rPr>
          <w:noProof/>
        </w:rPr>
        <w:t>WR model database</w:t>
      </w:r>
      <w:r>
        <w:rPr>
          <w:noProof/>
        </w:rPr>
        <w:tab/>
        <w:t>35</w:t>
      </w:r>
    </w:p>
    <w:p w14:paraId="7E6C4E80"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B.1</w:t>
      </w:r>
      <w:r>
        <w:rPr>
          <w:rFonts w:asciiTheme="minorHAnsi" w:eastAsiaTheme="minorEastAsia" w:hAnsiTheme="minorHAnsi" w:cstheme="minorBidi"/>
          <w:noProof/>
          <w:sz w:val="22"/>
          <w:szCs w:val="22"/>
          <w:lang w:eastAsia="en-AU"/>
        </w:rPr>
        <w:tab/>
      </w:r>
      <w:r>
        <w:rPr>
          <w:noProof/>
        </w:rPr>
        <w:t>An overview of the VUMR</w:t>
      </w:r>
      <w:r>
        <w:rPr>
          <w:noProof/>
        </w:rPr>
        <w:noBreakHyphen/>
        <w:t>WR model database</w:t>
      </w:r>
      <w:r>
        <w:rPr>
          <w:noProof/>
        </w:rPr>
        <w:tab/>
        <w:t>35</w:t>
      </w:r>
    </w:p>
    <w:p w14:paraId="1C0C8082"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B.2</w:t>
      </w:r>
      <w:r>
        <w:rPr>
          <w:rFonts w:asciiTheme="minorHAnsi" w:eastAsiaTheme="minorEastAsia" w:hAnsiTheme="minorHAnsi" w:cstheme="minorBidi"/>
          <w:noProof/>
          <w:sz w:val="22"/>
          <w:szCs w:val="22"/>
          <w:lang w:eastAsia="en-AU"/>
        </w:rPr>
        <w:tab/>
      </w:r>
      <w:r>
        <w:rPr>
          <w:noProof/>
        </w:rPr>
        <w:t>Creating the initial model database</w:t>
      </w:r>
      <w:r>
        <w:rPr>
          <w:noProof/>
        </w:rPr>
        <w:tab/>
        <w:t>36</w:t>
      </w:r>
    </w:p>
    <w:p w14:paraId="26AAC662"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lastRenderedPageBreak/>
        <w:t>B.3</w:t>
      </w:r>
      <w:r>
        <w:rPr>
          <w:rFonts w:asciiTheme="minorHAnsi" w:eastAsiaTheme="minorEastAsia" w:hAnsiTheme="minorHAnsi" w:cstheme="minorBidi"/>
          <w:noProof/>
          <w:sz w:val="22"/>
          <w:szCs w:val="22"/>
          <w:lang w:eastAsia="en-AU"/>
        </w:rPr>
        <w:tab/>
      </w:r>
      <w:r>
        <w:rPr>
          <w:noProof/>
        </w:rPr>
        <w:t>Introducing award</w:t>
      </w:r>
      <w:r>
        <w:rPr>
          <w:noProof/>
        </w:rPr>
        <w:noBreakHyphen/>
        <w:t>reliant and other workers into the model database</w:t>
      </w:r>
      <w:r>
        <w:rPr>
          <w:noProof/>
        </w:rPr>
        <w:tab/>
        <w:t>42</w:t>
      </w:r>
    </w:p>
    <w:p w14:paraId="00895833"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B.4</w:t>
      </w:r>
      <w:r>
        <w:rPr>
          <w:rFonts w:asciiTheme="minorHAnsi" w:eastAsiaTheme="minorEastAsia" w:hAnsiTheme="minorHAnsi" w:cstheme="minorBidi"/>
          <w:noProof/>
          <w:sz w:val="22"/>
          <w:szCs w:val="22"/>
          <w:lang w:eastAsia="en-AU"/>
        </w:rPr>
        <w:tab/>
      </w:r>
      <w:r>
        <w:rPr>
          <w:noProof/>
        </w:rPr>
        <w:t>Model parameters</w:t>
      </w:r>
      <w:r>
        <w:rPr>
          <w:noProof/>
        </w:rPr>
        <w:tab/>
        <w:t>43</w:t>
      </w:r>
    </w:p>
    <w:p w14:paraId="300951A7"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B.5</w:t>
      </w:r>
      <w:r>
        <w:rPr>
          <w:rFonts w:asciiTheme="minorHAnsi" w:eastAsiaTheme="minorEastAsia" w:hAnsiTheme="minorHAnsi" w:cstheme="minorBidi"/>
          <w:noProof/>
          <w:sz w:val="22"/>
          <w:szCs w:val="22"/>
          <w:lang w:eastAsia="en-AU"/>
        </w:rPr>
        <w:tab/>
      </w:r>
      <w:r>
        <w:rPr>
          <w:noProof/>
        </w:rPr>
        <w:t>Uprating the database from 2009</w:t>
      </w:r>
      <w:r>
        <w:rPr>
          <w:noProof/>
        </w:rPr>
        <w:noBreakHyphen/>
        <w:t>10 to 2013</w:t>
      </w:r>
      <w:r>
        <w:rPr>
          <w:noProof/>
        </w:rPr>
        <w:noBreakHyphen/>
        <w:t>14</w:t>
      </w:r>
      <w:r>
        <w:rPr>
          <w:noProof/>
        </w:rPr>
        <w:tab/>
        <w:t>45</w:t>
      </w:r>
    </w:p>
    <w:p w14:paraId="708E4530" w14:textId="77777777" w:rsidR="008B44FD" w:rsidRDefault="008B44FD" w:rsidP="008B44FD">
      <w:pPr>
        <w:pStyle w:val="TOC2"/>
        <w:tabs>
          <w:tab w:val="left" w:pos="1134"/>
        </w:tabs>
        <w:rPr>
          <w:rFonts w:asciiTheme="minorHAnsi" w:eastAsiaTheme="minorEastAsia" w:hAnsiTheme="minorHAnsi" w:cstheme="minorBidi"/>
          <w:noProof/>
          <w:sz w:val="22"/>
          <w:szCs w:val="22"/>
          <w:lang w:eastAsia="en-AU"/>
        </w:rPr>
      </w:pPr>
      <w:r>
        <w:rPr>
          <w:noProof/>
        </w:rPr>
        <w:t>B.6</w:t>
      </w:r>
      <w:r>
        <w:rPr>
          <w:rFonts w:asciiTheme="minorHAnsi" w:eastAsiaTheme="minorEastAsia" w:hAnsiTheme="minorHAnsi" w:cstheme="minorBidi"/>
          <w:noProof/>
          <w:sz w:val="22"/>
          <w:szCs w:val="22"/>
          <w:lang w:eastAsia="en-AU"/>
        </w:rPr>
        <w:tab/>
      </w:r>
      <w:r>
        <w:rPr>
          <w:noProof/>
        </w:rPr>
        <w:t>Structure of the labour market in the inquiry database</w:t>
      </w:r>
      <w:r>
        <w:rPr>
          <w:noProof/>
        </w:rPr>
        <w:tab/>
        <w:t>46</w:t>
      </w:r>
    </w:p>
    <w:p w14:paraId="1D013FC2" w14:textId="77777777" w:rsidR="008B44FD" w:rsidRDefault="008B44FD" w:rsidP="008B44FD">
      <w:pPr>
        <w:pStyle w:val="TOC1"/>
        <w:rPr>
          <w:rFonts w:asciiTheme="minorHAnsi" w:eastAsiaTheme="minorEastAsia" w:hAnsiTheme="minorHAnsi" w:cstheme="minorBidi"/>
          <w:b w:val="0"/>
          <w:noProof/>
          <w:sz w:val="22"/>
          <w:szCs w:val="22"/>
          <w:lang w:eastAsia="en-AU"/>
        </w:rPr>
      </w:pPr>
      <w:r>
        <w:rPr>
          <w:noProof/>
        </w:rPr>
        <w:t>C</w:t>
      </w:r>
      <w:r>
        <w:rPr>
          <w:rFonts w:asciiTheme="minorHAnsi" w:eastAsiaTheme="minorEastAsia" w:hAnsiTheme="minorHAnsi" w:cstheme="minorBidi"/>
          <w:b w:val="0"/>
          <w:noProof/>
          <w:sz w:val="22"/>
          <w:szCs w:val="22"/>
          <w:lang w:eastAsia="en-AU"/>
        </w:rPr>
        <w:tab/>
      </w:r>
      <w:r>
        <w:rPr>
          <w:noProof/>
        </w:rPr>
        <w:t>Modelling of the scenarios</w:t>
      </w:r>
      <w:r>
        <w:rPr>
          <w:noProof/>
        </w:rPr>
        <w:tab/>
        <w:t>51</w:t>
      </w:r>
    </w:p>
    <w:p w14:paraId="53F7B431" w14:textId="77777777" w:rsidR="008B44FD" w:rsidRDefault="008B44FD" w:rsidP="008B44FD">
      <w:pPr>
        <w:pStyle w:val="TOC2"/>
        <w:tabs>
          <w:tab w:val="left" w:pos="1190"/>
        </w:tabs>
        <w:rPr>
          <w:rFonts w:asciiTheme="minorHAnsi" w:eastAsiaTheme="minorEastAsia" w:hAnsiTheme="minorHAnsi" w:cstheme="minorBidi"/>
          <w:noProof/>
          <w:sz w:val="22"/>
          <w:szCs w:val="22"/>
          <w:lang w:eastAsia="en-AU"/>
        </w:rPr>
      </w:pPr>
      <w:r>
        <w:rPr>
          <w:noProof/>
        </w:rPr>
        <w:t>C.1</w:t>
      </w:r>
      <w:r>
        <w:rPr>
          <w:rFonts w:asciiTheme="minorHAnsi" w:eastAsiaTheme="minorEastAsia" w:hAnsiTheme="minorHAnsi" w:cstheme="minorBidi"/>
          <w:noProof/>
          <w:sz w:val="22"/>
          <w:szCs w:val="22"/>
          <w:lang w:eastAsia="en-AU"/>
        </w:rPr>
        <w:tab/>
      </w:r>
      <w:r>
        <w:rPr>
          <w:noProof/>
        </w:rPr>
        <w:t>Scenario 1 — Award wages grow at the same rate as average wages</w:t>
      </w:r>
      <w:r>
        <w:rPr>
          <w:noProof/>
        </w:rPr>
        <w:tab/>
        <w:t>51</w:t>
      </w:r>
    </w:p>
    <w:p w14:paraId="60C896E9" w14:textId="77777777" w:rsidR="008B44FD" w:rsidRDefault="008B44FD" w:rsidP="008B44FD">
      <w:pPr>
        <w:pStyle w:val="TOC2"/>
        <w:tabs>
          <w:tab w:val="left" w:pos="1190"/>
        </w:tabs>
        <w:rPr>
          <w:rFonts w:asciiTheme="minorHAnsi" w:eastAsiaTheme="minorEastAsia" w:hAnsiTheme="minorHAnsi" w:cstheme="minorBidi"/>
          <w:noProof/>
          <w:sz w:val="22"/>
          <w:szCs w:val="22"/>
          <w:lang w:eastAsia="en-AU"/>
        </w:rPr>
      </w:pPr>
      <w:r>
        <w:rPr>
          <w:noProof/>
        </w:rPr>
        <w:t>C.2</w:t>
      </w:r>
      <w:r>
        <w:rPr>
          <w:rFonts w:asciiTheme="minorHAnsi" w:eastAsiaTheme="minorEastAsia" w:hAnsiTheme="minorHAnsi" w:cstheme="minorBidi"/>
          <w:noProof/>
          <w:sz w:val="22"/>
          <w:szCs w:val="22"/>
          <w:lang w:eastAsia="en-AU"/>
        </w:rPr>
        <w:tab/>
      </w:r>
      <w:r>
        <w:rPr>
          <w:noProof/>
        </w:rPr>
        <w:t>Scenario 2: Moderate growth in minimum wages</w:t>
      </w:r>
      <w:r>
        <w:rPr>
          <w:noProof/>
        </w:rPr>
        <w:tab/>
        <w:t>53</w:t>
      </w:r>
    </w:p>
    <w:p w14:paraId="0A52640E" w14:textId="77777777" w:rsidR="008B44FD" w:rsidRDefault="008B44FD" w:rsidP="008B44FD">
      <w:pPr>
        <w:pStyle w:val="TOC1"/>
        <w:rPr>
          <w:noProof/>
        </w:rPr>
      </w:pPr>
      <w:r>
        <w:rPr>
          <w:noProof/>
        </w:rPr>
        <w:t>References</w:t>
      </w:r>
      <w:r>
        <w:rPr>
          <w:noProof/>
        </w:rPr>
        <w:tab/>
        <w:t>57</w:t>
      </w:r>
    </w:p>
    <w:p w14:paraId="15D526C9" w14:textId="77777777" w:rsidR="008B44FD" w:rsidRPr="00ED1125" w:rsidRDefault="008B44FD" w:rsidP="008B44FD">
      <w:pPr>
        <w:spacing w:before="240" w:line="300" w:lineRule="atLeast"/>
        <w:jc w:val="both"/>
      </w:pPr>
    </w:p>
    <w:p w14:paraId="2D3D9B40" w14:textId="77777777" w:rsidR="008B44FD" w:rsidRDefault="008B44FD" w:rsidP="008B44FD">
      <w:pPr>
        <w:pStyle w:val="BodyText"/>
        <w:sectPr w:rsidR="008B44FD" w:rsidSect="007448F7">
          <w:headerReference w:type="even" r:id="rId18"/>
          <w:headerReference w:type="default" r:id="rId19"/>
          <w:footerReference w:type="even" r:id="rId20"/>
          <w:footerReference w:type="default" r:id="rId21"/>
          <w:type w:val="oddPage"/>
          <w:pgSz w:w="11907" w:h="16840" w:code="9"/>
          <w:pgMar w:top="1985" w:right="1304" w:bottom="1247" w:left="1814" w:header="1701" w:footer="397" w:gutter="0"/>
          <w:pgNumType w:fmt="lowerRoman"/>
          <w:cols w:space="720"/>
        </w:sectPr>
      </w:pPr>
    </w:p>
    <w:p w14:paraId="2F79C2DD" w14:textId="77777777" w:rsidR="008B44FD" w:rsidRDefault="008B44FD" w:rsidP="008B44FD">
      <w:pPr>
        <w:pStyle w:val="Heading1"/>
      </w:pPr>
      <w:bookmarkStart w:id="8" w:name="Abbreviations"/>
      <w:bookmarkStart w:id="9" w:name="RDnote"/>
      <w:bookmarkEnd w:id="8"/>
      <w:bookmarkEnd w:id="9"/>
      <w:r>
        <w:lastRenderedPageBreak/>
        <w:t>Acknowledgments</w:t>
      </w:r>
    </w:p>
    <w:p w14:paraId="6D355F3D" w14:textId="77777777" w:rsidR="008B44FD" w:rsidRDefault="008B44FD" w:rsidP="008B44FD">
      <w:pPr>
        <w:pStyle w:val="BodyText"/>
        <w:rPr>
          <w:lang w:eastAsia="en-US"/>
        </w:rPr>
      </w:pPr>
      <w:r>
        <w:rPr>
          <w:lang w:eastAsia="en-US"/>
        </w:rPr>
        <w:t xml:space="preserve">The Commission thanks participants for their inputs at </w:t>
      </w:r>
      <w:r w:rsidRPr="005C44EE">
        <w:rPr>
          <w:lang w:eastAsia="en-US"/>
        </w:rPr>
        <w:t>three modelling workshops on 23</w:t>
      </w:r>
      <w:r>
        <w:rPr>
          <w:lang w:eastAsia="en-US"/>
        </w:rPr>
        <w:t> </w:t>
      </w:r>
      <w:r w:rsidRPr="005C44EE">
        <w:rPr>
          <w:lang w:eastAsia="en-US"/>
        </w:rPr>
        <w:t>June 2015, 24</w:t>
      </w:r>
      <w:r>
        <w:rPr>
          <w:lang w:eastAsia="en-US"/>
        </w:rPr>
        <w:t> </w:t>
      </w:r>
      <w:r w:rsidRPr="005C44EE">
        <w:rPr>
          <w:lang w:eastAsia="en-US"/>
        </w:rPr>
        <w:t>June 2015 and 28</w:t>
      </w:r>
      <w:r>
        <w:rPr>
          <w:lang w:eastAsia="en-US"/>
        </w:rPr>
        <w:t> </w:t>
      </w:r>
      <w:r w:rsidRPr="005C44EE">
        <w:rPr>
          <w:lang w:eastAsia="en-US"/>
        </w:rPr>
        <w:t>October 2015</w:t>
      </w:r>
      <w:r>
        <w:rPr>
          <w:lang w:eastAsia="en-US"/>
        </w:rPr>
        <w:t>. These workshops</w:t>
      </w:r>
      <w:r w:rsidRPr="005C44EE">
        <w:rPr>
          <w:lang w:eastAsia="en-US"/>
        </w:rPr>
        <w:t xml:space="preserve"> discuss</w:t>
      </w:r>
      <w:r>
        <w:rPr>
          <w:lang w:eastAsia="en-US"/>
        </w:rPr>
        <w:t>ed</w:t>
      </w:r>
      <w:r w:rsidRPr="005C44EE">
        <w:rPr>
          <w:lang w:eastAsia="en-US"/>
        </w:rPr>
        <w:t xml:space="preserve"> the modelling scenarios and consider</w:t>
      </w:r>
      <w:r>
        <w:rPr>
          <w:lang w:eastAsia="en-US"/>
        </w:rPr>
        <w:t>ed</w:t>
      </w:r>
      <w:r w:rsidRPr="005C44EE">
        <w:rPr>
          <w:lang w:eastAsia="en-US"/>
        </w:rPr>
        <w:t xml:space="preserve"> the initial modelling results. All three workshops were attended by academics and representatives of Australian government agencies</w:t>
      </w:r>
      <w:r>
        <w:rPr>
          <w:lang w:eastAsia="en-US"/>
        </w:rPr>
        <w:t>.</w:t>
      </w:r>
      <w:r w:rsidRPr="005C44EE">
        <w:rPr>
          <w:lang w:eastAsia="en-US"/>
        </w:rPr>
        <w:t xml:space="preserve"> </w:t>
      </w:r>
      <w:r>
        <w:rPr>
          <w:lang w:eastAsia="en-US"/>
        </w:rPr>
        <w:t xml:space="preserve">The participants are listed in appendix A of the </w:t>
      </w:r>
      <w:r w:rsidRPr="005C44EE">
        <w:rPr>
          <w:lang w:eastAsia="en-US"/>
        </w:rPr>
        <w:t>inquiry report</w:t>
      </w:r>
      <w:r>
        <w:rPr>
          <w:lang w:eastAsia="en-US"/>
        </w:rPr>
        <w:t xml:space="preserve"> into Australia’s Workplace Relations Framework (</w:t>
      </w:r>
      <w:r w:rsidRPr="009B6234">
        <w:rPr>
          <w:lang w:eastAsia="en-US"/>
        </w:rPr>
        <w:t>No.</w:t>
      </w:r>
      <w:r>
        <w:rPr>
          <w:lang w:eastAsia="en-US"/>
        </w:rPr>
        <w:t> </w:t>
      </w:r>
      <w:r w:rsidRPr="009B6234">
        <w:rPr>
          <w:lang w:eastAsia="en-US"/>
        </w:rPr>
        <w:t>76, 30</w:t>
      </w:r>
      <w:r>
        <w:rPr>
          <w:lang w:eastAsia="en-US"/>
        </w:rPr>
        <w:t> </w:t>
      </w:r>
      <w:r w:rsidRPr="009B6234">
        <w:rPr>
          <w:lang w:eastAsia="en-US"/>
        </w:rPr>
        <w:t>November</w:t>
      </w:r>
      <w:r>
        <w:rPr>
          <w:lang w:eastAsia="en-US"/>
        </w:rPr>
        <w:t> </w:t>
      </w:r>
      <w:r w:rsidRPr="009B6234">
        <w:rPr>
          <w:lang w:eastAsia="en-US"/>
        </w:rPr>
        <w:t>2015</w:t>
      </w:r>
      <w:r>
        <w:rPr>
          <w:lang w:eastAsia="en-US"/>
        </w:rPr>
        <w:t>)</w:t>
      </w:r>
      <w:r w:rsidRPr="005C44EE">
        <w:rPr>
          <w:lang w:eastAsia="en-US"/>
        </w:rPr>
        <w:t>. These consultations assisted the Commission to subsequently refine and improve the database construction, the modelling scenarios and the results as outlined in the inquiry report and presented in more detail in this supplement.</w:t>
      </w:r>
    </w:p>
    <w:p w14:paraId="3393A7E3" w14:textId="77777777" w:rsidR="008B44FD" w:rsidRPr="00883E8C" w:rsidRDefault="008B44FD" w:rsidP="008B44FD">
      <w:pPr>
        <w:pStyle w:val="BodyText"/>
        <w:rPr>
          <w:lang w:eastAsia="en-US"/>
        </w:rPr>
      </w:pPr>
    </w:p>
    <w:p w14:paraId="429C8B8D" w14:textId="77777777" w:rsidR="008B44FD" w:rsidRDefault="008B44FD" w:rsidP="008B44FD">
      <w:pPr>
        <w:pStyle w:val="BodyText"/>
        <w:sectPr w:rsidR="008B44FD" w:rsidSect="005C44EE">
          <w:headerReference w:type="even" r:id="rId22"/>
          <w:headerReference w:type="default" r:id="rId23"/>
          <w:footerReference w:type="even" r:id="rId24"/>
          <w:footerReference w:type="default" r:id="rId25"/>
          <w:pgSz w:w="11906" w:h="16838" w:code="9"/>
          <w:pgMar w:top="1985" w:right="1304" w:bottom="1247" w:left="1814" w:header="1701" w:footer="397" w:gutter="0"/>
          <w:pgNumType w:fmt="lowerRoman"/>
          <w:cols w:space="708"/>
          <w:docGrid w:linePitch="360"/>
        </w:sectPr>
      </w:pPr>
    </w:p>
    <w:p w14:paraId="178D59D7" w14:textId="32309473" w:rsidR="008B44FD" w:rsidRDefault="008B44FD" w:rsidP="008B44FD">
      <w:pPr>
        <w:pStyle w:val="Heading1"/>
      </w:pPr>
      <w:bookmarkStart w:id="10" w:name="EndContents"/>
      <w:bookmarkEnd w:id="10"/>
      <w:r>
        <w:lastRenderedPageBreak/>
        <w:t>Abbreviations</w:t>
      </w:r>
    </w:p>
    <w:p w14:paraId="24BC4035" w14:textId="77777777" w:rsidR="008B44FD" w:rsidRDefault="008B44FD" w:rsidP="008B44FD">
      <w:pPr>
        <w:pStyle w:val="Abbreviation"/>
      </w:pPr>
      <w:r>
        <w:t>ABS</w:t>
      </w:r>
      <w:r>
        <w:tab/>
      </w:r>
      <w:r w:rsidRPr="00F21EC1">
        <w:t xml:space="preserve">Australian Bureau of Statistics </w:t>
      </w:r>
    </w:p>
    <w:p w14:paraId="64F80672" w14:textId="77777777" w:rsidR="008B44FD" w:rsidRDefault="008B44FD" w:rsidP="008B44FD">
      <w:pPr>
        <w:pStyle w:val="Abbreviation"/>
      </w:pPr>
      <w:proofErr w:type="spellStart"/>
      <w:r>
        <w:t>ANZCO</w:t>
      </w:r>
      <w:proofErr w:type="spellEnd"/>
      <w:r>
        <w:tab/>
      </w:r>
      <w:r w:rsidRPr="00F0011E">
        <w:t xml:space="preserve">Australian and New Zealand Standard Classification of Occupations </w:t>
      </w:r>
    </w:p>
    <w:p w14:paraId="1A1C3169" w14:textId="77777777" w:rsidR="008B44FD" w:rsidRDefault="008B44FD" w:rsidP="008B44FD">
      <w:pPr>
        <w:pStyle w:val="Abbreviation"/>
      </w:pPr>
      <w:proofErr w:type="spellStart"/>
      <w:r>
        <w:t>CES</w:t>
      </w:r>
      <w:proofErr w:type="spellEnd"/>
      <w:r>
        <w:tab/>
        <w:t>Constant elasticity of substitution</w:t>
      </w:r>
    </w:p>
    <w:p w14:paraId="46A0557F" w14:textId="77777777" w:rsidR="008B44FD" w:rsidRDefault="008B44FD" w:rsidP="008B44FD">
      <w:pPr>
        <w:pStyle w:val="Abbreviation"/>
      </w:pPr>
      <w:proofErr w:type="spellStart"/>
      <w:r>
        <w:t>CET</w:t>
      </w:r>
      <w:proofErr w:type="spellEnd"/>
      <w:r>
        <w:tab/>
        <w:t>Constant elasticity of transformation</w:t>
      </w:r>
    </w:p>
    <w:p w14:paraId="0FFCC680" w14:textId="77777777" w:rsidR="008B44FD" w:rsidRDefault="008B44FD" w:rsidP="008B44FD">
      <w:pPr>
        <w:pStyle w:val="Abbreviation"/>
      </w:pPr>
      <w:proofErr w:type="spellStart"/>
      <w:r>
        <w:t>CGE</w:t>
      </w:r>
      <w:proofErr w:type="spellEnd"/>
      <w:r>
        <w:tab/>
        <w:t>Computable general equilibrium</w:t>
      </w:r>
    </w:p>
    <w:p w14:paraId="6F57DC69" w14:textId="77777777" w:rsidR="008B44FD" w:rsidRDefault="008B44FD" w:rsidP="008B44FD">
      <w:pPr>
        <w:pStyle w:val="Abbreviation"/>
      </w:pPr>
      <w:proofErr w:type="spellStart"/>
      <w:r>
        <w:t>COAG</w:t>
      </w:r>
      <w:proofErr w:type="spellEnd"/>
      <w:r>
        <w:tab/>
        <w:t>Council of Australian Governments</w:t>
      </w:r>
    </w:p>
    <w:p w14:paraId="18AFA607" w14:textId="77777777" w:rsidR="008B44FD" w:rsidRDefault="008B44FD" w:rsidP="008B44FD">
      <w:pPr>
        <w:pStyle w:val="Abbreviation"/>
      </w:pPr>
      <w:proofErr w:type="spellStart"/>
      <w:r>
        <w:t>CURF</w:t>
      </w:r>
      <w:proofErr w:type="spellEnd"/>
      <w:r>
        <w:tab/>
      </w:r>
      <w:proofErr w:type="spellStart"/>
      <w:r>
        <w:t>Confidentialised</w:t>
      </w:r>
      <w:proofErr w:type="spellEnd"/>
      <w:r>
        <w:t xml:space="preserve"> unit record file</w:t>
      </w:r>
    </w:p>
    <w:p w14:paraId="25811404" w14:textId="77777777" w:rsidR="008B44FD" w:rsidRDefault="008B44FD" w:rsidP="008B44FD">
      <w:pPr>
        <w:pStyle w:val="Abbreviation"/>
      </w:pPr>
      <w:r>
        <w:t>GDP</w:t>
      </w:r>
      <w:r>
        <w:tab/>
        <w:t>Gross domestic product</w:t>
      </w:r>
    </w:p>
    <w:p w14:paraId="63E99D24" w14:textId="77777777" w:rsidR="008B44FD" w:rsidRDefault="008B44FD" w:rsidP="008B44FD">
      <w:pPr>
        <w:pStyle w:val="Abbreviation"/>
      </w:pPr>
      <w:r>
        <w:t>GST</w:t>
      </w:r>
      <w:r>
        <w:tab/>
        <w:t>Goods and services tax</w:t>
      </w:r>
    </w:p>
    <w:p w14:paraId="143E570E" w14:textId="77777777" w:rsidR="008B44FD" w:rsidRDefault="008B44FD" w:rsidP="008B44FD">
      <w:pPr>
        <w:pStyle w:val="Abbreviation"/>
      </w:pPr>
      <w:proofErr w:type="spellStart"/>
      <w:r>
        <w:t>FWC</w:t>
      </w:r>
      <w:proofErr w:type="spellEnd"/>
      <w:r>
        <w:tab/>
        <w:t>Fair Work Commission</w:t>
      </w:r>
    </w:p>
    <w:p w14:paraId="369E79EC" w14:textId="77777777" w:rsidR="008B44FD" w:rsidRDefault="008B44FD" w:rsidP="008B44FD">
      <w:pPr>
        <w:pStyle w:val="Abbreviation"/>
      </w:pPr>
      <w:proofErr w:type="spellStart"/>
      <w:r>
        <w:t>MMRF</w:t>
      </w:r>
      <w:proofErr w:type="spellEnd"/>
      <w:r>
        <w:tab/>
      </w:r>
      <w:r w:rsidRPr="00C94387">
        <w:t xml:space="preserve">Monash Multi Regional Forecasting </w:t>
      </w:r>
    </w:p>
    <w:p w14:paraId="78B8114C" w14:textId="77777777" w:rsidR="008B44FD" w:rsidRDefault="008B44FD" w:rsidP="008B44FD">
      <w:pPr>
        <w:pStyle w:val="Abbreviation"/>
      </w:pPr>
      <w:proofErr w:type="spellStart"/>
      <w:r>
        <w:t>VUMR</w:t>
      </w:r>
      <w:proofErr w:type="spellEnd"/>
      <w:r>
        <w:tab/>
      </w:r>
      <w:r w:rsidRPr="009B6234">
        <w:t>Victoria University Multi Regional</w:t>
      </w:r>
    </w:p>
    <w:p w14:paraId="487C8426" w14:textId="77777777" w:rsidR="008B44FD" w:rsidRDefault="008B44FD" w:rsidP="008B44FD">
      <w:pPr>
        <w:pStyle w:val="Abbreviation"/>
      </w:pPr>
      <w:proofErr w:type="spellStart"/>
      <w:r>
        <w:t>WR</w:t>
      </w:r>
      <w:proofErr w:type="spellEnd"/>
      <w:r>
        <w:tab/>
        <w:t>Workplace relations</w:t>
      </w:r>
    </w:p>
    <w:p w14:paraId="053FE8AB" w14:textId="0CBBC4CA" w:rsidR="008B44FD" w:rsidRDefault="008B44FD" w:rsidP="008B44FD">
      <w:pPr>
        <w:pStyle w:val="Abbreviation"/>
        <w:rPr>
          <w:rFonts w:ascii="Arial" w:hAnsi="Arial" w:cs="Arial"/>
          <w:i/>
        </w:rPr>
      </w:pPr>
      <w:r>
        <w:t>PC</w:t>
      </w:r>
      <w:r>
        <w:tab/>
        <w:t>Productivity Commission</w:t>
      </w:r>
      <w:bookmarkStart w:id="11" w:name="Glossary"/>
      <w:bookmarkEnd w:id="11"/>
    </w:p>
    <w:p w14:paraId="042EAC8B" w14:textId="77777777" w:rsidR="008B44FD" w:rsidRDefault="008B44FD" w:rsidP="00453A36">
      <w:pPr>
        <w:pStyle w:val="Heading1"/>
        <w:spacing w:before="0"/>
        <w:sectPr w:rsidR="008B44FD" w:rsidSect="008B44FD">
          <w:headerReference w:type="even" r:id="rId26"/>
          <w:headerReference w:type="default" r:id="rId27"/>
          <w:footerReference w:type="even" r:id="rId28"/>
          <w:footerReference w:type="default" r:id="rId29"/>
          <w:pgSz w:w="11907" w:h="16840" w:code="9"/>
          <w:pgMar w:top="1985" w:right="1304" w:bottom="1247" w:left="1814" w:header="1701" w:footer="397" w:gutter="0"/>
          <w:pgNumType w:fmt="lowerRoman" w:chapSep="period"/>
          <w:cols w:space="720"/>
          <w:titlePg/>
          <w:docGrid w:linePitch="326"/>
        </w:sectPr>
      </w:pPr>
    </w:p>
    <w:p w14:paraId="00BB2D7F" w14:textId="70A1A472" w:rsidR="0034060E" w:rsidRDefault="0034060E" w:rsidP="00453A36">
      <w:pPr>
        <w:pStyle w:val="Heading1"/>
        <w:spacing w:before="0"/>
      </w:pPr>
      <w:r>
        <w:lastRenderedPageBreak/>
        <w:t>1</w:t>
      </w:r>
      <w:bookmarkEnd w:id="0"/>
      <w:r>
        <w:tab/>
      </w:r>
      <w:bookmarkStart w:id="12" w:name="ChapterTitle"/>
      <w:r>
        <w:t>Introduction</w:t>
      </w:r>
      <w:bookmarkEnd w:id="12"/>
    </w:p>
    <w:p w14:paraId="00BB2D80" w14:textId="66317BE7" w:rsidR="0034060E" w:rsidRDefault="0034060E" w:rsidP="00453A36">
      <w:pPr>
        <w:pStyle w:val="Heading2"/>
      </w:pPr>
      <w:bookmarkStart w:id="13" w:name="begin"/>
      <w:bookmarkEnd w:id="13"/>
      <w:r>
        <w:t>1.</w:t>
      </w:r>
      <w:r>
        <w:rPr>
          <w:noProof/>
        </w:rPr>
        <w:t>1</w:t>
      </w:r>
      <w:r>
        <w:tab/>
        <w:t>Background</w:t>
      </w:r>
    </w:p>
    <w:p w14:paraId="00BB2D81" w14:textId="49298C59" w:rsidR="0034060E" w:rsidRDefault="0034060E" w:rsidP="00453A36">
      <w:pPr>
        <w:pStyle w:val="BodyText"/>
      </w:pPr>
      <w:r>
        <w:t>Like most other developed economies, Australia sets statutorily</w:t>
      </w:r>
      <w:r>
        <w:noBreakHyphen/>
        <w:t xml:space="preserve">binding minimum wages. The rates vary between adults, juniors, apprentices and trainees, and some people with disabilities. In addition, under the award system, the Fair Work Commission </w:t>
      </w:r>
      <w:r w:rsidR="00E62288">
        <w:t>(</w:t>
      </w:r>
      <w:proofErr w:type="spellStart"/>
      <w:r w:rsidR="00E62288">
        <w:t>FWC</w:t>
      </w:r>
      <w:proofErr w:type="spellEnd"/>
      <w:r w:rsidR="00E62288">
        <w:t xml:space="preserve">) </w:t>
      </w:r>
      <w:r>
        <w:t>sets wage floors for many industries and occupations. In effect, there are hundreds of minimum wages in Australia.</w:t>
      </w:r>
    </w:p>
    <w:p w14:paraId="00BB2D82" w14:textId="4C0C1FFB" w:rsidR="0034060E" w:rsidRDefault="0034060E" w:rsidP="00453A36">
      <w:pPr>
        <w:pStyle w:val="BodyText"/>
      </w:pPr>
      <w:r>
        <w:t xml:space="preserve">Under the </w:t>
      </w:r>
      <w:r>
        <w:rPr>
          <w:i/>
        </w:rPr>
        <w:t>Fair Work Act 2009</w:t>
      </w:r>
      <w:r>
        <w:t xml:space="preserve">, an expert panel of the </w:t>
      </w:r>
      <w:proofErr w:type="spellStart"/>
      <w:r w:rsidR="00E62288">
        <w:t>FWC</w:t>
      </w:r>
      <w:proofErr w:type="spellEnd"/>
      <w:r>
        <w:t xml:space="preserve"> adjusts the national minimum wage each year following an annual wage review. It also adjusts the minimum wages for different work classifications in awards, normally in line with the adjustment to the national minimum wage.</w:t>
      </w:r>
      <w:r w:rsidRPr="009C07E4">
        <w:t xml:space="preserve"> </w:t>
      </w:r>
      <w:r>
        <w:t xml:space="preserve">The annual adjustments made over the last six years are shown in table 1.1. </w:t>
      </w:r>
    </w:p>
    <w:p w14:paraId="00BB2D83" w14:textId="7D1E43A8"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for layout design, a nested table with content sit within this design."/>
      </w:tblPr>
      <w:tblGrid>
        <w:gridCol w:w="8771"/>
      </w:tblGrid>
      <w:tr w:rsidR="0034060E" w14:paraId="00BB2D86" w14:textId="77777777" w:rsidTr="00CA438F">
        <w:tc>
          <w:tcPr>
            <w:tcW w:w="8771" w:type="dxa"/>
            <w:tcBorders>
              <w:top w:val="single" w:sz="6" w:space="0" w:color="78A22F"/>
              <w:left w:val="nil"/>
              <w:bottom w:val="nil"/>
              <w:right w:val="nil"/>
            </w:tcBorders>
            <w:hideMark/>
          </w:tcPr>
          <w:p w14:paraId="00BB2D84" w14:textId="77777777" w:rsidR="0034060E" w:rsidRDefault="0034060E">
            <w:pPr>
              <w:pStyle w:val="TableTitle"/>
            </w:pPr>
            <w:r>
              <w:rPr>
                <w:b w:val="0"/>
              </w:rPr>
              <w:t>Table 1.1</w:t>
            </w:r>
            <w:r>
              <w:tab/>
              <w:t xml:space="preserve">Minimum wage changes </w:t>
            </w:r>
          </w:p>
          <w:p w14:paraId="00BB2D85" w14:textId="77777777" w:rsidR="0034060E" w:rsidRDefault="0034060E">
            <w:pPr>
              <w:pStyle w:val="Subtitle"/>
            </w:pPr>
            <w:r>
              <w:t>2010–2015</w:t>
            </w:r>
          </w:p>
        </w:tc>
      </w:tr>
      <w:tr w:rsidR="0034060E" w14:paraId="00BB2DB5" w14:textId="77777777" w:rsidTr="00CA438F">
        <w:tc>
          <w:tcPr>
            <w:tcW w:w="8771" w:type="dxa"/>
            <w:tcBorders>
              <w:top w:val="nil"/>
              <w:left w:val="nil"/>
              <w:bottom w:val="nil"/>
              <w:right w:val="nil"/>
            </w:tcBorders>
            <w:hideMark/>
          </w:tcPr>
          <w:tbl>
            <w:tblPr>
              <w:tblW w:w="4994" w:type="pct"/>
              <w:tblCellMar>
                <w:top w:w="28" w:type="dxa"/>
                <w:left w:w="0" w:type="dxa"/>
                <w:right w:w="0" w:type="dxa"/>
              </w:tblCellMar>
              <w:tblLook w:val="04A0" w:firstRow="1" w:lastRow="0" w:firstColumn="1" w:lastColumn="0" w:noHBand="0" w:noVBand="1"/>
            </w:tblPr>
            <w:tblGrid>
              <w:gridCol w:w="1740"/>
              <w:gridCol w:w="965"/>
              <w:gridCol w:w="965"/>
              <w:gridCol w:w="965"/>
              <w:gridCol w:w="965"/>
              <w:gridCol w:w="961"/>
              <w:gridCol w:w="960"/>
              <w:gridCol w:w="956"/>
            </w:tblGrid>
            <w:tr w:rsidR="0034060E" w14:paraId="00BB2D8F" w14:textId="77777777">
              <w:tc>
                <w:tcPr>
                  <w:tcW w:w="1027" w:type="pct"/>
                  <w:tcBorders>
                    <w:top w:val="single" w:sz="6" w:space="0" w:color="BFBFBF"/>
                    <w:left w:val="nil"/>
                    <w:bottom w:val="single" w:sz="6" w:space="0" w:color="BFBFBF"/>
                    <w:right w:val="nil"/>
                  </w:tcBorders>
                </w:tcPr>
                <w:p w14:paraId="00BB2D87" w14:textId="77777777" w:rsidR="0034060E" w:rsidRDefault="0034060E">
                  <w:pPr>
                    <w:pStyle w:val="TableColumnHeading"/>
                    <w:jc w:val="left"/>
                  </w:pPr>
                </w:p>
              </w:tc>
              <w:tc>
                <w:tcPr>
                  <w:tcW w:w="569" w:type="pct"/>
                  <w:tcBorders>
                    <w:top w:val="single" w:sz="6" w:space="0" w:color="BFBFBF"/>
                    <w:left w:val="nil"/>
                    <w:bottom w:val="single" w:sz="6" w:space="0" w:color="BFBFBF"/>
                    <w:right w:val="nil"/>
                  </w:tcBorders>
                  <w:hideMark/>
                </w:tcPr>
                <w:p w14:paraId="00BB2D88" w14:textId="77777777" w:rsidR="0034060E" w:rsidRDefault="0034060E">
                  <w:pPr>
                    <w:pStyle w:val="TableColumnHeading"/>
                  </w:pPr>
                  <w:r>
                    <w:t>Unit</w:t>
                  </w:r>
                </w:p>
              </w:tc>
              <w:tc>
                <w:tcPr>
                  <w:tcW w:w="569" w:type="pct"/>
                  <w:tcBorders>
                    <w:top w:val="single" w:sz="6" w:space="0" w:color="BFBFBF"/>
                    <w:left w:val="nil"/>
                    <w:bottom w:val="single" w:sz="6" w:space="0" w:color="BFBFBF"/>
                    <w:right w:val="nil"/>
                  </w:tcBorders>
                  <w:hideMark/>
                </w:tcPr>
                <w:p w14:paraId="00BB2D89" w14:textId="77777777" w:rsidR="0034060E" w:rsidRDefault="0034060E">
                  <w:pPr>
                    <w:pStyle w:val="TableColumnHeading"/>
                  </w:pPr>
                  <w:r>
                    <w:t>Jul 2010</w:t>
                  </w:r>
                </w:p>
              </w:tc>
              <w:tc>
                <w:tcPr>
                  <w:tcW w:w="569" w:type="pct"/>
                  <w:tcBorders>
                    <w:top w:val="single" w:sz="6" w:space="0" w:color="BFBFBF"/>
                    <w:left w:val="nil"/>
                    <w:bottom w:val="single" w:sz="6" w:space="0" w:color="BFBFBF"/>
                    <w:right w:val="nil"/>
                  </w:tcBorders>
                  <w:hideMark/>
                </w:tcPr>
                <w:p w14:paraId="00BB2D8A" w14:textId="77777777" w:rsidR="0034060E" w:rsidRDefault="0034060E">
                  <w:pPr>
                    <w:pStyle w:val="TableColumnHeading"/>
                  </w:pPr>
                  <w:r>
                    <w:t>Jul 2011</w:t>
                  </w:r>
                </w:p>
              </w:tc>
              <w:tc>
                <w:tcPr>
                  <w:tcW w:w="569" w:type="pct"/>
                  <w:tcBorders>
                    <w:top w:val="single" w:sz="6" w:space="0" w:color="BFBFBF"/>
                    <w:left w:val="nil"/>
                    <w:bottom w:val="single" w:sz="6" w:space="0" w:color="BFBFBF"/>
                    <w:right w:val="nil"/>
                  </w:tcBorders>
                  <w:hideMark/>
                </w:tcPr>
                <w:p w14:paraId="00BB2D8B" w14:textId="77777777" w:rsidR="0034060E" w:rsidRDefault="0034060E">
                  <w:pPr>
                    <w:pStyle w:val="TableColumnHeading"/>
                  </w:pPr>
                  <w:r>
                    <w:t>Jul 2012</w:t>
                  </w:r>
                </w:p>
              </w:tc>
              <w:tc>
                <w:tcPr>
                  <w:tcW w:w="567" w:type="pct"/>
                  <w:tcBorders>
                    <w:top w:val="single" w:sz="6" w:space="0" w:color="BFBFBF"/>
                    <w:left w:val="nil"/>
                    <w:bottom w:val="single" w:sz="6" w:space="0" w:color="BFBFBF"/>
                    <w:right w:val="nil"/>
                  </w:tcBorders>
                  <w:hideMark/>
                </w:tcPr>
                <w:p w14:paraId="00BB2D8C" w14:textId="77777777" w:rsidR="0034060E" w:rsidRDefault="0034060E">
                  <w:pPr>
                    <w:pStyle w:val="TableColumnHeading"/>
                    <w:ind w:right="28"/>
                  </w:pPr>
                  <w:r>
                    <w:t>Jul 2013</w:t>
                  </w:r>
                </w:p>
              </w:tc>
              <w:tc>
                <w:tcPr>
                  <w:tcW w:w="566" w:type="pct"/>
                  <w:tcBorders>
                    <w:top w:val="single" w:sz="6" w:space="0" w:color="BFBFBF"/>
                    <w:left w:val="nil"/>
                    <w:bottom w:val="single" w:sz="6" w:space="0" w:color="BFBFBF"/>
                    <w:right w:val="nil"/>
                  </w:tcBorders>
                  <w:hideMark/>
                </w:tcPr>
                <w:p w14:paraId="00BB2D8D" w14:textId="77777777" w:rsidR="0034060E" w:rsidRDefault="0034060E">
                  <w:pPr>
                    <w:pStyle w:val="TableColumnHeading"/>
                    <w:ind w:right="28"/>
                  </w:pPr>
                  <w:r>
                    <w:t>Jul 2014</w:t>
                  </w:r>
                </w:p>
              </w:tc>
              <w:tc>
                <w:tcPr>
                  <w:tcW w:w="566" w:type="pct"/>
                  <w:tcBorders>
                    <w:top w:val="single" w:sz="6" w:space="0" w:color="BFBFBF"/>
                    <w:left w:val="nil"/>
                    <w:bottom w:val="single" w:sz="6" w:space="0" w:color="BFBFBF"/>
                    <w:right w:val="nil"/>
                  </w:tcBorders>
                  <w:hideMark/>
                </w:tcPr>
                <w:p w14:paraId="00BB2D8E" w14:textId="77777777" w:rsidR="0034060E" w:rsidRDefault="0034060E">
                  <w:pPr>
                    <w:pStyle w:val="TableColumnHeading"/>
                    <w:ind w:right="28"/>
                  </w:pPr>
                  <w:r>
                    <w:t>Jul 2015</w:t>
                  </w:r>
                </w:p>
              </w:tc>
            </w:tr>
            <w:tr w:rsidR="0034060E" w14:paraId="00BB2D98" w14:textId="77777777">
              <w:tc>
                <w:tcPr>
                  <w:tcW w:w="1027" w:type="pct"/>
                  <w:hideMark/>
                </w:tcPr>
                <w:p w14:paraId="00BB2D90" w14:textId="77777777" w:rsidR="0034060E" w:rsidRDefault="0034060E">
                  <w:pPr>
                    <w:pStyle w:val="TableBodyText"/>
                    <w:spacing w:before="40"/>
                    <w:jc w:val="left"/>
                    <w:rPr>
                      <w:szCs w:val="24"/>
                    </w:rPr>
                  </w:pPr>
                  <w:r>
                    <w:rPr>
                      <w:b/>
                    </w:rPr>
                    <w:t>Minimum wage</w:t>
                  </w:r>
                </w:p>
              </w:tc>
              <w:tc>
                <w:tcPr>
                  <w:tcW w:w="569" w:type="pct"/>
                </w:tcPr>
                <w:p w14:paraId="00BB2D91" w14:textId="77777777" w:rsidR="0034060E" w:rsidRDefault="0034060E">
                  <w:pPr>
                    <w:pStyle w:val="TableBodyText"/>
                    <w:spacing w:before="40"/>
                    <w:rPr>
                      <w:szCs w:val="24"/>
                    </w:rPr>
                  </w:pPr>
                </w:p>
              </w:tc>
              <w:tc>
                <w:tcPr>
                  <w:tcW w:w="569" w:type="pct"/>
                </w:tcPr>
                <w:p w14:paraId="00BB2D92" w14:textId="77777777" w:rsidR="0034060E" w:rsidRDefault="0034060E">
                  <w:pPr>
                    <w:pStyle w:val="TableBodyText"/>
                    <w:spacing w:before="40"/>
                    <w:rPr>
                      <w:szCs w:val="24"/>
                    </w:rPr>
                  </w:pPr>
                </w:p>
              </w:tc>
              <w:tc>
                <w:tcPr>
                  <w:tcW w:w="569" w:type="pct"/>
                </w:tcPr>
                <w:p w14:paraId="00BB2D93" w14:textId="77777777" w:rsidR="0034060E" w:rsidRDefault="0034060E">
                  <w:pPr>
                    <w:pStyle w:val="TableBodyText"/>
                    <w:spacing w:before="40"/>
                    <w:rPr>
                      <w:szCs w:val="24"/>
                    </w:rPr>
                  </w:pPr>
                </w:p>
              </w:tc>
              <w:tc>
                <w:tcPr>
                  <w:tcW w:w="569" w:type="pct"/>
                </w:tcPr>
                <w:p w14:paraId="00BB2D94" w14:textId="77777777" w:rsidR="0034060E" w:rsidRDefault="0034060E">
                  <w:pPr>
                    <w:pStyle w:val="TableBodyText"/>
                    <w:spacing w:before="40"/>
                    <w:rPr>
                      <w:szCs w:val="24"/>
                    </w:rPr>
                  </w:pPr>
                </w:p>
              </w:tc>
              <w:tc>
                <w:tcPr>
                  <w:tcW w:w="567" w:type="pct"/>
                </w:tcPr>
                <w:p w14:paraId="00BB2D95" w14:textId="77777777" w:rsidR="0034060E" w:rsidRDefault="0034060E">
                  <w:pPr>
                    <w:pStyle w:val="TableBodyText"/>
                    <w:spacing w:before="40"/>
                    <w:ind w:right="28"/>
                    <w:rPr>
                      <w:szCs w:val="24"/>
                    </w:rPr>
                  </w:pPr>
                </w:p>
              </w:tc>
              <w:tc>
                <w:tcPr>
                  <w:tcW w:w="566" w:type="pct"/>
                </w:tcPr>
                <w:p w14:paraId="00BB2D96" w14:textId="77777777" w:rsidR="0034060E" w:rsidRDefault="0034060E">
                  <w:pPr>
                    <w:pStyle w:val="TableBodyText"/>
                    <w:spacing w:before="40"/>
                    <w:ind w:right="28"/>
                    <w:rPr>
                      <w:szCs w:val="24"/>
                    </w:rPr>
                  </w:pPr>
                </w:p>
              </w:tc>
              <w:tc>
                <w:tcPr>
                  <w:tcW w:w="566" w:type="pct"/>
                </w:tcPr>
                <w:p w14:paraId="00BB2D97" w14:textId="77777777" w:rsidR="0034060E" w:rsidRDefault="0034060E">
                  <w:pPr>
                    <w:pStyle w:val="TableBodyText"/>
                    <w:spacing w:before="40"/>
                    <w:ind w:right="28"/>
                    <w:rPr>
                      <w:szCs w:val="24"/>
                    </w:rPr>
                  </w:pPr>
                </w:p>
              </w:tc>
            </w:tr>
            <w:tr w:rsidR="0034060E" w14:paraId="00BB2DA1" w14:textId="77777777">
              <w:tc>
                <w:tcPr>
                  <w:tcW w:w="1027" w:type="pct"/>
                  <w:hideMark/>
                </w:tcPr>
                <w:p w14:paraId="00BB2D99" w14:textId="77777777" w:rsidR="0034060E" w:rsidRDefault="0034060E">
                  <w:pPr>
                    <w:pStyle w:val="TableBodyText"/>
                    <w:jc w:val="left"/>
                  </w:pPr>
                  <w:r>
                    <w:t>Old minimum wage</w:t>
                  </w:r>
                </w:p>
              </w:tc>
              <w:tc>
                <w:tcPr>
                  <w:tcW w:w="569" w:type="pct"/>
                  <w:hideMark/>
                </w:tcPr>
                <w:p w14:paraId="00BB2D9A" w14:textId="451A0D65" w:rsidR="0034060E" w:rsidRDefault="0034060E" w:rsidP="00A83351">
                  <w:pPr>
                    <w:pStyle w:val="TableBodyText"/>
                  </w:pPr>
                  <w:r>
                    <w:t>hourly $</w:t>
                  </w:r>
                </w:p>
              </w:tc>
              <w:tc>
                <w:tcPr>
                  <w:tcW w:w="569" w:type="pct"/>
                  <w:hideMark/>
                </w:tcPr>
                <w:p w14:paraId="00BB2D9B" w14:textId="77777777" w:rsidR="0034060E" w:rsidRDefault="0034060E">
                  <w:pPr>
                    <w:pStyle w:val="TableBodyText"/>
                  </w:pPr>
                  <w:r>
                    <w:t>14.31</w:t>
                  </w:r>
                </w:p>
              </w:tc>
              <w:tc>
                <w:tcPr>
                  <w:tcW w:w="569" w:type="pct"/>
                  <w:hideMark/>
                </w:tcPr>
                <w:p w14:paraId="00BB2D9C" w14:textId="77777777" w:rsidR="0034060E" w:rsidRDefault="0034060E">
                  <w:pPr>
                    <w:pStyle w:val="TableBodyText"/>
                  </w:pPr>
                  <w:r>
                    <w:t>15.00</w:t>
                  </w:r>
                </w:p>
              </w:tc>
              <w:tc>
                <w:tcPr>
                  <w:tcW w:w="569" w:type="pct"/>
                  <w:hideMark/>
                </w:tcPr>
                <w:p w14:paraId="00BB2D9D" w14:textId="77777777" w:rsidR="0034060E" w:rsidRDefault="0034060E">
                  <w:pPr>
                    <w:pStyle w:val="TableBodyText"/>
                  </w:pPr>
                  <w:r>
                    <w:t>15.51</w:t>
                  </w:r>
                </w:p>
              </w:tc>
              <w:tc>
                <w:tcPr>
                  <w:tcW w:w="567" w:type="pct"/>
                  <w:hideMark/>
                </w:tcPr>
                <w:p w14:paraId="00BB2D9E" w14:textId="77777777" w:rsidR="0034060E" w:rsidRDefault="0034060E">
                  <w:pPr>
                    <w:pStyle w:val="TableBodyText"/>
                    <w:ind w:right="28"/>
                  </w:pPr>
                  <w:r>
                    <w:t>15.96</w:t>
                  </w:r>
                </w:p>
              </w:tc>
              <w:tc>
                <w:tcPr>
                  <w:tcW w:w="566" w:type="pct"/>
                  <w:hideMark/>
                </w:tcPr>
                <w:p w14:paraId="00BB2D9F" w14:textId="77777777" w:rsidR="0034060E" w:rsidRDefault="0034060E">
                  <w:pPr>
                    <w:pStyle w:val="TableBodyText"/>
                    <w:framePr w:w="2155" w:hSpace="227" w:vSpace="181" w:wrap="around" w:vAnchor="text" w:hAnchor="page" w:xAlign="outside" w:y="1"/>
                    <w:ind w:right="28"/>
                  </w:pPr>
                  <w:r>
                    <w:t>16.37</w:t>
                  </w:r>
                </w:p>
              </w:tc>
              <w:tc>
                <w:tcPr>
                  <w:tcW w:w="566" w:type="pct"/>
                  <w:hideMark/>
                </w:tcPr>
                <w:p w14:paraId="00BB2DA0" w14:textId="77777777" w:rsidR="0034060E" w:rsidRDefault="0034060E">
                  <w:pPr>
                    <w:pStyle w:val="TableBodyText"/>
                    <w:framePr w:w="2155" w:hSpace="227" w:vSpace="181" w:wrap="around" w:vAnchor="text" w:hAnchor="page" w:xAlign="outside" w:y="1"/>
                    <w:ind w:right="28"/>
                  </w:pPr>
                  <w:r>
                    <w:t>16.87</w:t>
                  </w:r>
                </w:p>
              </w:tc>
            </w:tr>
            <w:tr w:rsidR="0034060E" w14:paraId="00BB2DAA" w14:textId="77777777">
              <w:tc>
                <w:tcPr>
                  <w:tcW w:w="1027" w:type="pct"/>
                  <w:hideMark/>
                </w:tcPr>
                <w:p w14:paraId="00BB2DA2" w14:textId="77777777" w:rsidR="0034060E" w:rsidRDefault="0034060E">
                  <w:pPr>
                    <w:pStyle w:val="TableBodyText"/>
                    <w:jc w:val="left"/>
                  </w:pPr>
                  <w:r>
                    <w:t>New minimum wage</w:t>
                  </w:r>
                </w:p>
              </w:tc>
              <w:tc>
                <w:tcPr>
                  <w:tcW w:w="569" w:type="pct"/>
                  <w:hideMark/>
                </w:tcPr>
                <w:p w14:paraId="00BB2DA3" w14:textId="3881D7E5" w:rsidR="0034060E" w:rsidRDefault="0034060E" w:rsidP="00A83351">
                  <w:pPr>
                    <w:pStyle w:val="TableBodyText"/>
                  </w:pPr>
                  <w:r>
                    <w:t>hourly $</w:t>
                  </w:r>
                </w:p>
              </w:tc>
              <w:tc>
                <w:tcPr>
                  <w:tcW w:w="569" w:type="pct"/>
                  <w:hideMark/>
                </w:tcPr>
                <w:p w14:paraId="00BB2DA4" w14:textId="77777777" w:rsidR="0034060E" w:rsidRDefault="0034060E">
                  <w:pPr>
                    <w:pStyle w:val="TableBodyText"/>
                  </w:pPr>
                  <w:r>
                    <w:t>15.00</w:t>
                  </w:r>
                </w:p>
              </w:tc>
              <w:tc>
                <w:tcPr>
                  <w:tcW w:w="569" w:type="pct"/>
                  <w:hideMark/>
                </w:tcPr>
                <w:p w14:paraId="00BB2DA5" w14:textId="77777777" w:rsidR="0034060E" w:rsidRDefault="0034060E">
                  <w:pPr>
                    <w:pStyle w:val="TableBodyText"/>
                  </w:pPr>
                  <w:r>
                    <w:t>15.51</w:t>
                  </w:r>
                </w:p>
              </w:tc>
              <w:tc>
                <w:tcPr>
                  <w:tcW w:w="569" w:type="pct"/>
                  <w:hideMark/>
                </w:tcPr>
                <w:p w14:paraId="00BB2DA6" w14:textId="77777777" w:rsidR="0034060E" w:rsidRDefault="0034060E">
                  <w:pPr>
                    <w:pStyle w:val="TableBodyText"/>
                  </w:pPr>
                  <w:r>
                    <w:t>15.96</w:t>
                  </w:r>
                </w:p>
              </w:tc>
              <w:tc>
                <w:tcPr>
                  <w:tcW w:w="567" w:type="pct"/>
                  <w:hideMark/>
                </w:tcPr>
                <w:p w14:paraId="00BB2DA7" w14:textId="77777777" w:rsidR="0034060E" w:rsidRDefault="0034060E">
                  <w:pPr>
                    <w:pStyle w:val="TableBodyText"/>
                    <w:ind w:right="28"/>
                  </w:pPr>
                  <w:r>
                    <w:t>16.37</w:t>
                  </w:r>
                </w:p>
              </w:tc>
              <w:tc>
                <w:tcPr>
                  <w:tcW w:w="566" w:type="pct"/>
                  <w:hideMark/>
                </w:tcPr>
                <w:p w14:paraId="00BB2DA8" w14:textId="77777777" w:rsidR="0034060E" w:rsidRDefault="0034060E">
                  <w:pPr>
                    <w:pStyle w:val="TableBodyText"/>
                    <w:framePr w:w="2155" w:hSpace="227" w:vSpace="181" w:wrap="around" w:vAnchor="text" w:hAnchor="page" w:xAlign="outside" w:y="1"/>
                    <w:ind w:right="28"/>
                  </w:pPr>
                  <w:r>
                    <w:t>16.87</w:t>
                  </w:r>
                </w:p>
              </w:tc>
              <w:tc>
                <w:tcPr>
                  <w:tcW w:w="566" w:type="pct"/>
                  <w:hideMark/>
                </w:tcPr>
                <w:p w14:paraId="00BB2DA9" w14:textId="77777777" w:rsidR="0034060E" w:rsidRDefault="0034060E">
                  <w:pPr>
                    <w:pStyle w:val="TableBodyText"/>
                    <w:framePr w:w="2155" w:hSpace="227" w:vSpace="181" w:wrap="around" w:vAnchor="text" w:hAnchor="page" w:xAlign="outside" w:y="1"/>
                    <w:ind w:right="28"/>
                  </w:pPr>
                  <w:r>
                    <w:t>17.29</w:t>
                  </w:r>
                </w:p>
              </w:tc>
            </w:tr>
            <w:tr w:rsidR="0034060E" w14:paraId="00BB2DB3" w14:textId="77777777">
              <w:tc>
                <w:tcPr>
                  <w:tcW w:w="1027" w:type="pct"/>
                  <w:hideMark/>
                </w:tcPr>
                <w:p w14:paraId="00BB2DAB" w14:textId="77777777" w:rsidR="0034060E" w:rsidRDefault="0034060E">
                  <w:pPr>
                    <w:pStyle w:val="TableBodyText"/>
                    <w:jc w:val="left"/>
                  </w:pPr>
                  <w:r>
                    <w:t>Percentage increase</w:t>
                  </w:r>
                </w:p>
              </w:tc>
              <w:tc>
                <w:tcPr>
                  <w:tcW w:w="569" w:type="pct"/>
                  <w:hideMark/>
                </w:tcPr>
                <w:p w14:paraId="00BB2DAC" w14:textId="77777777" w:rsidR="0034060E" w:rsidRDefault="0034060E">
                  <w:pPr>
                    <w:pStyle w:val="TableBodyText"/>
                  </w:pPr>
                  <w:r>
                    <w:t>%</w:t>
                  </w:r>
                </w:p>
              </w:tc>
              <w:tc>
                <w:tcPr>
                  <w:tcW w:w="569" w:type="pct"/>
                  <w:hideMark/>
                </w:tcPr>
                <w:p w14:paraId="00BB2DAD" w14:textId="77777777" w:rsidR="0034060E" w:rsidRDefault="0034060E">
                  <w:pPr>
                    <w:pStyle w:val="TableBodyText"/>
                  </w:pPr>
                  <w:r>
                    <w:t>4.8</w:t>
                  </w:r>
                </w:p>
              </w:tc>
              <w:tc>
                <w:tcPr>
                  <w:tcW w:w="569" w:type="pct"/>
                  <w:hideMark/>
                </w:tcPr>
                <w:p w14:paraId="00BB2DAE" w14:textId="77777777" w:rsidR="0034060E" w:rsidRDefault="0034060E">
                  <w:pPr>
                    <w:pStyle w:val="TableBodyText"/>
                  </w:pPr>
                  <w:r>
                    <w:t>3.4</w:t>
                  </w:r>
                </w:p>
              </w:tc>
              <w:tc>
                <w:tcPr>
                  <w:tcW w:w="569" w:type="pct"/>
                  <w:hideMark/>
                </w:tcPr>
                <w:p w14:paraId="00BB2DAF" w14:textId="77777777" w:rsidR="0034060E" w:rsidRDefault="0034060E">
                  <w:pPr>
                    <w:pStyle w:val="TableBodyText"/>
                  </w:pPr>
                  <w:r>
                    <w:t>2.9</w:t>
                  </w:r>
                </w:p>
              </w:tc>
              <w:tc>
                <w:tcPr>
                  <w:tcW w:w="567" w:type="pct"/>
                  <w:hideMark/>
                </w:tcPr>
                <w:p w14:paraId="00BB2DB0" w14:textId="77777777" w:rsidR="0034060E" w:rsidRDefault="0034060E">
                  <w:pPr>
                    <w:pStyle w:val="TableBodyText"/>
                    <w:ind w:right="28"/>
                  </w:pPr>
                  <w:r>
                    <w:t>2.6</w:t>
                  </w:r>
                </w:p>
              </w:tc>
              <w:tc>
                <w:tcPr>
                  <w:tcW w:w="566" w:type="pct"/>
                  <w:hideMark/>
                </w:tcPr>
                <w:p w14:paraId="00BB2DB1" w14:textId="77777777" w:rsidR="0034060E" w:rsidRDefault="0034060E">
                  <w:pPr>
                    <w:pStyle w:val="TableBodyText"/>
                    <w:ind w:right="28"/>
                  </w:pPr>
                  <w:r>
                    <w:t>3.1</w:t>
                  </w:r>
                </w:p>
              </w:tc>
              <w:tc>
                <w:tcPr>
                  <w:tcW w:w="566" w:type="pct"/>
                  <w:hideMark/>
                </w:tcPr>
                <w:p w14:paraId="00BB2DB2" w14:textId="77777777" w:rsidR="0034060E" w:rsidRDefault="0034060E">
                  <w:pPr>
                    <w:pStyle w:val="TableBodyText"/>
                    <w:ind w:right="28"/>
                  </w:pPr>
                  <w:r>
                    <w:t>2.5</w:t>
                  </w:r>
                </w:p>
              </w:tc>
            </w:tr>
          </w:tbl>
          <w:p w14:paraId="00BB2DB4" w14:textId="77777777" w:rsidR="0034060E" w:rsidRDefault="0034060E">
            <w:pPr>
              <w:pStyle w:val="Box"/>
            </w:pPr>
          </w:p>
        </w:tc>
      </w:tr>
      <w:tr w:rsidR="0034060E" w14:paraId="00BB2DB7" w14:textId="77777777" w:rsidTr="00CA438F">
        <w:tc>
          <w:tcPr>
            <w:tcW w:w="8771" w:type="dxa"/>
            <w:tcBorders>
              <w:top w:val="nil"/>
              <w:left w:val="nil"/>
              <w:bottom w:val="single" w:sz="6" w:space="0" w:color="78A22F"/>
              <w:right w:val="nil"/>
            </w:tcBorders>
          </w:tcPr>
          <w:p w14:paraId="00BB2DB6" w14:textId="77777777" w:rsidR="0034060E" w:rsidRDefault="0034060E">
            <w:pPr>
              <w:pStyle w:val="Box"/>
              <w:spacing w:before="0" w:line="120" w:lineRule="exact"/>
            </w:pPr>
          </w:p>
        </w:tc>
      </w:tr>
      <w:tr w:rsidR="0034060E" w14:paraId="00BB2DB9" w14:textId="77777777" w:rsidTr="00CA438F">
        <w:tc>
          <w:tcPr>
            <w:tcW w:w="8771" w:type="dxa"/>
            <w:tcBorders>
              <w:top w:val="single" w:sz="6" w:space="0" w:color="78A22F"/>
              <w:left w:val="nil"/>
              <w:bottom w:val="nil"/>
              <w:right w:val="nil"/>
            </w:tcBorders>
            <w:hideMark/>
          </w:tcPr>
          <w:p w14:paraId="00BB2DB8" w14:textId="0D168224" w:rsidR="0034060E" w:rsidRDefault="0034060E">
            <w:pPr>
              <w:pStyle w:val="BoxSpaceBelow"/>
            </w:pPr>
          </w:p>
        </w:tc>
      </w:tr>
    </w:tbl>
    <w:p w14:paraId="00BB2DBA" w14:textId="6DA0F3C9" w:rsidR="0034060E" w:rsidRPr="00DB1996" w:rsidRDefault="0034060E" w:rsidP="00453A36">
      <w:pPr>
        <w:pStyle w:val="BodyText"/>
      </w:pPr>
      <w:r w:rsidRPr="00DB1996">
        <w:t>In its report on Workplace Relations Frameworks, the Productivity Commission</w:t>
      </w:r>
      <w:r>
        <w:t xml:space="preserve"> </w:t>
      </w:r>
      <w:r w:rsidR="004F0942" w:rsidRPr="004F0942">
        <w:t>(</w:t>
      </w:r>
      <w:proofErr w:type="spellStart"/>
      <w:r w:rsidR="004F0942" w:rsidRPr="004F0942">
        <w:t>2015c</w:t>
      </w:r>
      <w:proofErr w:type="spellEnd"/>
      <w:r w:rsidR="004F0942" w:rsidRPr="004F0942">
        <w:t>)</w:t>
      </w:r>
      <w:r>
        <w:t xml:space="preserve"> identified</w:t>
      </w:r>
      <w:r w:rsidRPr="00DB1996">
        <w:t xml:space="preserve"> </w:t>
      </w:r>
      <w:r>
        <w:t>several impacts</w:t>
      </w:r>
      <w:r w:rsidRPr="00DB1996">
        <w:t xml:space="preserve"> </w:t>
      </w:r>
      <w:r>
        <w:t>from</w:t>
      </w:r>
      <w:r w:rsidRPr="00DB1996">
        <w:t xml:space="preserve"> minimum wages.</w:t>
      </w:r>
    </w:p>
    <w:p w14:paraId="00BB2DBB" w14:textId="2CC5CEEC" w:rsidR="0034060E" w:rsidRPr="00CA1BAF" w:rsidRDefault="0034060E" w:rsidP="00453A36">
      <w:pPr>
        <w:pStyle w:val="BodyText"/>
      </w:pPr>
      <w:r>
        <w:t>The report found that increases in minimum wages would provide direct financial benefits to (most) low</w:t>
      </w:r>
      <w:r>
        <w:noBreakHyphen/>
        <w:t>wage workers and households. It found that t</w:t>
      </w:r>
      <w:r w:rsidRPr="00CA1BAF">
        <w:t>he benefits of minimum wage adjustments are spread throughout the income distribution, but favour middle</w:t>
      </w:r>
      <w:r>
        <w:noBreakHyphen/>
      </w:r>
      <w:r w:rsidRPr="00CA1BAF">
        <w:t xml:space="preserve">income households. </w:t>
      </w:r>
      <w:r>
        <w:t>P</w:t>
      </w:r>
      <w:r w:rsidRPr="00CA1BAF">
        <w:t>eople in lower</w:t>
      </w:r>
      <w:r>
        <w:noBreakHyphen/>
      </w:r>
      <w:r w:rsidR="00E62288">
        <w:t>income households benefit less</w:t>
      </w:r>
      <w:r w:rsidRPr="00CA1BAF">
        <w:t xml:space="preserve"> </w:t>
      </w:r>
      <w:r>
        <w:t xml:space="preserve">because </w:t>
      </w:r>
      <w:r w:rsidRPr="00CA1BAF">
        <w:t xml:space="preserve">those minimum wage earners located in the bottom quintile </w:t>
      </w:r>
      <w:r>
        <w:t xml:space="preserve">of </w:t>
      </w:r>
      <w:proofErr w:type="spellStart"/>
      <w:r>
        <w:t>equivalised</w:t>
      </w:r>
      <w:proofErr w:type="spellEnd"/>
      <w:r>
        <w:t xml:space="preserve"> household income </w:t>
      </w:r>
      <w:r w:rsidRPr="00CA1BAF">
        <w:t>tend to work relatively fewer hours on average</w:t>
      </w:r>
      <w:r>
        <w:t xml:space="preserve"> and because </w:t>
      </w:r>
      <w:r w:rsidRPr="00CA1BAF">
        <w:t>many lower</w:t>
      </w:r>
      <w:r>
        <w:noBreakHyphen/>
      </w:r>
      <w:r w:rsidRPr="00CA1BAF">
        <w:t>income households</w:t>
      </w:r>
      <w:r>
        <w:t xml:space="preserve"> do not contain wage</w:t>
      </w:r>
      <w:r>
        <w:noBreakHyphen/>
        <w:t xml:space="preserve">earners and/or </w:t>
      </w:r>
      <w:r w:rsidRPr="00CA1BAF">
        <w:t>transfer payments represent a more significant share of net household income than wages</w:t>
      </w:r>
      <w:r>
        <w:t>. However, an employee in a low</w:t>
      </w:r>
      <w:r>
        <w:noBreakHyphen/>
        <w:t>income household is much more likely to be paid at, or close to</w:t>
      </w:r>
      <w:r w:rsidR="00E62288">
        <w:t>,</w:t>
      </w:r>
      <w:r>
        <w:t xml:space="preserve"> the minimum wage than higher</w:t>
      </w:r>
      <w:r>
        <w:noBreakHyphen/>
        <w:t xml:space="preserve">income households. </w:t>
      </w:r>
    </w:p>
    <w:p w14:paraId="00BB2DBC" w14:textId="3BA00854" w:rsidR="0034060E" w:rsidRDefault="0034060E" w:rsidP="00453A36">
      <w:pPr>
        <w:pStyle w:val="BodyText"/>
      </w:pPr>
      <w:r>
        <w:lastRenderedPageBreak/>
        <w:t>Drawing on a range of empirical and qualitative evidence, the report’s assessment was that m</w:t>
      </w:r>
      <w:r w:rsidRPr="00CA1BAF">
        <w:t>odest increases in Australia’s minimum wage are unlikely to measurably affect employment</w:t>
      </w:r>
      <w:r>
        <w:t>. However,</w:t>
      </w:r>
      <w:r w:rsidRPr="00CA1BAF">
        <w:t xml:space="preserve"> large increases in the minimum wage </w:t>
      </w:r>
      <w:r>
        <w:t>‘</w:t>
      </w:r>
      <w:r w:rsidRPr="00CA1BAF">
        <w:t>bite</w:t>
      </w:r>
      <w:r>
        <w:t>’</w:t>
      </w:r>
      <w:r w:rsidRPr="00CA1BAF">
        <w:t xml:space="preserve"> </w:t>
      </w:r>
      <w:r>
        <w:t xml:space="preserve">(the ratio of the minimum wage to the median wage) </w:t>
      </w:r>
      <w:r w:rsidRPr="00CA1BAF">
        <w:t>or steep rises in the minimum wage compared with product prices would make lower</w:t>
      </w:r>
      <w:r>
        <w:noBreakHyphen/>
      </w:r>
      <w:r w:rsidRPr="00CA1BAF">
        <w:t>skilled, less experienced employees less attractive to employers and reduce employment on both an hours and headcount basis, particularly over the longer term.</w:t>
      </w:r>
      <w:r>
        <w:t xml:space="preserve"> It also considered </w:t>
      </w:r>
      <w:r w:rsidRPr="00CA1BAF">
        <w:t xml:space="preserve">that some reductions from current levels </w:t>
      </w:r>
      <w:r>
        <w:t>of the minimum wage bite c</w:t>
      </w:r>
      <w:r w:rsidRPr="00CA1BAF">
        <w:t xml:space="preserve">ould increase employment </w:t>
      </w:r>
      <w:r>
        <w:t xml:space="preserve">at the economywide level </w:t>
      </w:r>
      <w:r w:rsidRPr="00CA1BAF">
        <w:t xml:space="preserve">but there are more caveats and uncertainty </w:t>
      </w:r>
      <w:r>
        <w:t>in this area.</w:t>
      </w:r>
    </w:p>
    <w:p w14:paraId="00BB2DBD" w14:textId="77777777" w:rsidR="0034060E" w:rsidRDefault="0034060E" w:rsidP="00453A36">
      <w:pPr>
        <w:pStyle w:val="BodyText"/>
      </w:pPr>
      <w:r>
        <w:t xml:space="preserve">The Productivity Commission used microsimulation modelling to explore the </w:t>
      </w:r>
      <w:r w:rsidRPr="00CA1BAF">
        <w:t xml:space="preserve">‘morning after’ </w:t>
      </w:r>
      <w:r>
        <w:t>effects of a change in minimum wages on the size and distribution of household incomes. The modelling scenario was based on the 2012 minimum wage adjustment of 2.9 per cent, and took into account changes in various taxes and transfers affected by an increase in minimum wages.</w:t>
      </w:r>
      <w:r w:rsidRPr="00721005">
        <w:t xml:space="preserve"> </w:t>
      </w:r>
      <w:r>
        <w:t xml:space="preserve">Some </w:t>
      </w:r>
      <w:r w:rsidRPr="00CA1BAF">
        <w:t xml:space="preserve">limited behavioural </w:t>
      </w:r>
      <w:r>
        <w:t>(</w:t>
      </w:r>
      <w:proofErr w:type="spellStart"/>
      <w:r>
        <w:t>disemployment</w:t>
      </w:r>
      <w:proofErr w:type="spellEnd"/>
      <w:r>
        <w:t xml:space="preserve">) </w:t>
      </w:r>
      <w:r w:rsidRPr="00CA1BAF">
        <w:t>effects</w:t>
      </w:r>
      <w:r>
        <w:t xml:space="preserve"> were also modelled.</w:t>
      </w:r>
    </w:p>
    <w:p w14:paraId="00BB2DBE" w14:textId="77777777" w:rsidR="0034060E" w:rsidRDefault="0034060E" w:rsidP="00453A36">
      <w:pPr>
        <w:pStyle w:val="BodyText"/>
      </w:pPr>
      <w:r>
        <w:t>However, the report noted that m</w:t>
      </w:r>
      <w:r w:rsidRPr="00CA1BAF">
        <w:t xml:space="preserve">inimum wage regulation can have broader and more indirect effects on the living standards of people on low incomes (and, indeed, on the broader community). These can arise through changes to output and input prices, government finances, the incentives for workers to undertake education and acquire skills, and the composition of the economy. These induced effects give rise to wider resource allocation effects that may vary geographically and by industry. </w:t>
      </w:r>
      <w:r>
        <w:t>Many of these ‘economywide’ effects are more readily modelled in a ‘computable general equilibrium’ (</w:t>
      </w:r>
      <w:proofErr w:type="spellStart"/>
      <w:r>
        <w:t>CGE</w:t>
      </w:r>
      <w:proofErr w:type="spellEnd"/>
      <w:r>
        <w:t xml:space="preserve">) framework. </w:t>
      </w:r>
    </w:p>
    <w:p w14:paraId="00BB2DBF" w14:textId="77777777" w:rsidR="0034060E" w:rsidRDefault="0034060E" w:rsidP="00453A36">
      <w:pPr>
        <w:pStyle w:val="BodyText"/>
      </w:pPr>
      <w:r>
        <w:t xml:space="preserve">The report provided the key results of some </w:t>
      </w:r>
      <w:proofErr w:type="spellStart"/>
      <w:r>
        <w:t>CGE</w:t>
      </w:r>
      <w:proofErr w:type="spellEnd"/>
      <w:r>
        <w:t xml:space="preserve"> modelling of the potential </w:t>
      </w:r>
      <w:r w:rsidRPr="00CA1BAF">
        <w:t>economywide</w:t>
      </w:r>
      <w:r>
        <w:t xml:space="preserve"> effects of certain minimum wage scenarios. This technical supplement provides further detail and documentation of the </w:t>
      </w:r>
      <w:proofErr w:type="spellStart"/>
      <w:r>
        <w:t>CGE</w:t>
      </w:r>
      <w:proofErr w:type="spellEnd"/>
      <w:r>
        <w:t xml:space="preserve"> analysis.</w:t>
      </w:r>
    </w:p>
    <w:p w14:paraId="00BB2DC0" w14:textId="61C1155E" w:rsidR="0034060E" w:rsidRDefault="0034060E" w:rsidP="00453A36">
      <w:pPr>
        <w:pStyle w:val="Heading2"/>
      </w:pPr>
      <w:r>
        <w:t>1.</w:t>
      </w:r>
      <w:r>
        <w:rPr>
          <w:noProof/>
        </w:rPr>
        <w:t>2</w:t>
      </w:r>
      <w:r>
        <w:tab/>
        <w:t xml:space="preserve">Overview of the </w:t>
      </w:r>
      <w:proofErr w:type="spellStart"/>
      <w:r>
        <w:t>CGE</w:t>
      </w:r>
      <w:proofErr w:type="spellEnd"/>
      <w:r>
        <w:t xml:space="preserve"> modelling</w:t>
      </w:r>
    </w:p>
    <w:p w14:paraId="00BB2DC1" w14:textId="132E40CB" w:rsidR="0034060E" w:rsidRDefault="0034060E" w:rsidP="00453A36">
      <w:pPr>
        <w:spacing w:before="240" w:line="300" w:lineRule="atLeast"/>
        <w:jc w:val="both"/>
      </w:pPr>
      <w:r>
        <w:t>T</w:t>
      </w:r>
      <w:r w:rsidRPr="00CA1BAF">
        <w:t>he modelling use</w:t>
      </w:r>
      <w:r>
        <w:t>d</w:t>
      </w:r>
      <w:r w:rsidRPr="00CA1BAF">
        <w:t xml:space="preserve"> the Victoria University Multi</w:t>
      </w:r>
      <w:r>
        <w:noBreakHyphen/>
      </w:r>
      <w:r w:rsidRPr="00CA1BAF">
        <w:t>Regional (</w:t>
      </w:r>
      <w:proofErr w:type="spellStart"/>
      <w:r w:rsidRPr="00CA1BAF">
        <w:t>VUMR</w:t>
      </w:r>
      <w:proofErr w:type="spellEnd"/>
      <w:r w:rsidRPr="00CA1BAF">
        <w:t>) model in dynamic mode, adapted by the Productivity Commission to differentiate between workers whose wages are directly altered by minimum wage decisions and other workers. The model database is based on ABS input</w:t>
      </w:r>
      <w:r>
        <w:noBreakHyphen/>
      </w:r>
      <w:r w:rsidRPr="00CA1BAF">
        <w:t xml:space="preserve">output tables and has considerable occupational and industry detail. A hypothetical policy scenario </w:t>
      </w:r>
      <w:r>
        <w:t>has been</w:t>
      </w:r>
      <w:r w:rsidRPr="00CA1BAF">
        <w:t xml:space="preserve"> modelled in which the wages of award</w:t>
      </w:r>
      <w:r>
        <w:noBreakHyphen/>
      </w:r>
      <w:r w:rsidRPr="00CA1BAF">
        <w:t>reliant workers continue to grow, but by 1 percentage point less annually, for 5 years</w:t>
      </w:r>
      <w:r>
        <w:t xml:space="preserve"> from 2017</w:t>
      </w:r>
      <w:r>
        <w:noBreakHyphen/>
        <w:t>18</w:t>
      </w:r>
      <w:r w:rsidRPr="00CA1BAF">
        <w:t xml:space="preserve">, than under the counterfactual. The modelling projects effects over time, </w:t>
      </w:r>
      <w:r w:rsidR="00E62288">
        <w:t xml:space="preserve">and </w:t>
      </w:r>
      <w:r w:rsidRPr="00CA1BAF">
        <w:t xml:space="preserve">considers possible adjustment implications and the timescale over which changes may occur. </w:t>
      </w:r>
    </w:p>
    <w:p w14:paraId="00BB2DC2" w14:textId="77777777" w:rsidR="0034060E" w:rsidRDefault="0034060E" w:rsidP="00453A36">
      <w:pPr>
        <w:spacing w:before="240" w:line="300" w:lineRule="atLeast"/>
        <w:jc w:val="both"/>
      </w:pPr>
      <w:r>
        <w:t xml:space="preserve">The Productivity Commission held three modelling workshops on 23 June 2015, 24 June 2015 and 28 October 2015 to discuss the modelling scenarios and to consider the initial </w:t>
      </w:r>
      <w:r>
        <w:lastRenderedPageBreak/>
        <w:t>modelling results. All three workshops were attended by academics and representatives of Australian government agencies (inquiry report, appendix A). These consultations assisted the Commission to subsequently refine and improve the database construction, the modelling scenarios and the results as outlined in the inquiry report and presented in more detail in this supplement.</w:t>
      </w:r>
    </w:p>
    <w:p w14:paraId="00BB2DC3" w14:textId="7124ECD4" w:rsidR="0034060E" w:rsidRDefault="0034060E" w:rsidP="00453A36">
      <w:pPr>
        <w:spacing w:before="240" w:line="300" w:lineRule="atLeast"/>
        <w:jc w:val="both"/>
      </w:pPr>
      <w:r>
        <w:t>Importantly, wh</w:t>
      </w:r>
      <w:r w:rsidRPr="00CA1BAF">
        <w:t xml:space="preserve">ile the </w:t>
      </w:r>
      <w:proofErr w:type="spellStart"/>
      <w:r w:rsidRPr="00CA1BAF">
        <w:t>VUMR</w:t>
      </w:r>
      <w:proofErr w:type="spellEnd"/>
      <w:r w:rsidRPr="00CA1BAF">
        <w:t xml:space="preserve"> model is widely used and the modelling approach adopted has been subject to ex</w:t>
      </w:r>
      <w:r>
        <w:t>pert</w:t>
      </w:r>
      <w:r w:rsidRPr="00CA1BAF">
        <w:t xml:space="preserve"> scrutiny, the modelling projections </w:t>
      </w:r>
      <w:r>
        <w:t>in this supplement</w:t>
      </w:r>
      <w:r w:rsidRPr="00CA1BAF">
        <w:t xml:space="preserve"> should not be interpreted as forecasts of </w:t>
      </w:r>
      <w:r w:rsidR="00E62288">
        <w:t>actual changes. Different model</w:t>
      </w:r>
      <w:r w:rsidRPr="00CA1BAF">
        <w:t xml:space="preserve"> structures, behavioural parameters and closure assumptions reflect different interpretations of real world institutions and forces</w:t>
      </w:r>
      <w:r w:rsidR="00E62288">
        <w:t>,</w:t>
      </w:r>
      <w:r w:rsidRPr="00CA1BAF">
        <w:t xml:space="preserve"> and their underlying drivers</w:t>
      </w:r>
      <w:r w:rsidR="00E62288">
        <w:t xml:space="preserve">. These </w:t>
      </w:r>
      <w:r w:rsidRPr="00CA1BAF">
        <w:t xml:space="preserve">influence </w:t>
      </w:r>
      <w:r>
        <w:t xml:space="preserve">the </w:t>
      </w:r>
      <w:r w:rsidR="00E62288">
        <w:t xml:space="preserve">outcomes of the modelling of any </w:t>
      </w:r>
      <w:r w:rsidRPr="00CA1BAF">
        <w:t xml:space="preserve">policy scenario. This is particularly </w:t>
      </w:r>
      <w:r w:rsidR="00E62288">
        <w:t>relevant to the modelling of wage</w:t>
      </w:r>
      <w:r w:rsidRPr="00CA1BAF">
        <w:t xml:space="preserve"> changes, including </w:t>
      </w:r>
      <w:r>
        <w:t xml:space="preserve">the degree to which wage shocks affect the overall </w:t>
      </w:r>
      <w:r w:rsidRPr="00CA1BAF">
        <w:t xml:space="preserve">number of persons employed </w:t>
      </w:r>
      <w:r>
        <w:t>rather than</w:t>
      </w:r>
      <w:r w:rsidRPr="00CA1BAF">
        <w:t xml:space="preserve"> the </w:t>
      </w:r>
      <w:r>
        <w:t>average hours</w:t>
      </w:r>
      <w:r w:rsidRPr="00CA1BAF">
        <w:t xml:space="preserve"> work</w:t>
      </w:r>
      <w:r>
        <w:t>ed</w:t>
      </w:r>
      <w:r w:rsidRPr="00CA1BAF">
        <w:t xml:space="preserve"> </w:t>
      </w:r>
      <w:r>
        <w:t>by</w:t>
      </w:r>
      <w:r w:rsidRPr="00CA1BAF">
        <w:t xml:space="preserve"> those in employment. </w:t>
      </w:r>
    </w:p>
    <w:p w14:paraId="00BB2DC4" w14:textId="4F4735E8" w:rsidR="0034060E" w:rsidRDefault="0034060E" w:rsidP="00453A36">
      <w:pPr>
        <w:spacing w:before="240" w:line="300" w:lineRule="atLeast"/>
        <w:jc w:val="both"/>
      </w:pPr>
      <w:r w:rsidRPr="00941C27">
        <w:t xml:space="preserve">While the Productivity Commission did not base its policy advice on the </w:t>
      </w:r>
      <w:proofErr w:type="spellStart"/>
      <w:r w:rsidRPr="00941C27">
        <w:t>CGE</w:t>
      </w:r>
      <w:proofErr w:type="spellEnd"/>
      <w:r w:rsidRPr="00941C27">
        <w:t xml:space="preserve"> modelling results, it recognises the potential </w:t>
      </w:r>
      <w:r w:rsidRPr="0079190B">
        <w:t>under certain labour market conditions for minimum wage moderation to provide for a</w:t>
      </w:r>
      <w:r w:rsidR="00E62288">
        <w:t xml:space="preserve"> long</w:t>
      </w:r>
      <w:r w:rsidR="00E62288">
        <w:noBreakHyphen/>
        <w:t>run</w:t>
      </w:r>
      <w:r w:rsidRPr="0079190B">
        <w:t xml:space="preserve"> expansion in employment, accompanied by flow</w:t>
      </w:r>
      <w:r>
        <w:noBreakHyphen/>
      </w:r>
      <w:r w:rsidRPr="0079190B">
        <w:t xml:space="preserve">on increases in economic activity and incomes more generally. The modelling illustrates pathways by which such effects can arise. </w:t>
      </w:r>
    </w:p>
    <w:p w14:paraId="00BB2DC5" w14:textId="77777777" w:rsidR="0034060E" w:rsidRDefault="0034060E" w:rsidP="00453A36">
      <w:pPr>
        <w:spacing w:before="240" w:line="300" w:lineRule="atLeast"/>
        <w:jc w:val="both"/>
      </w:pPr>
    </w:p>
    <w:p w14:paraId="00BB2DC6" w14:textId="77777777" w:rsidR="0034060E" w:rsidRDefault="0034060E" w:rsidP="0034060E">
      <w:pPr>
        <w:sectPr w:rsidR="0034060E" w:rsidSect="008B44FD">
          <w:headerReference w:type="even" r:id="rId30"/>
          <w:headerReference w:type="default" r:id="rId31"/>
          <w:footerReference w:type="even" r:id="rId32"/>
          <w:footerReference w:type="default" r:id="rId33"/>
          <w:type w:val="oddPage"/>
          <w:pgSz w:w="11907" w:h="16840" w:code="9"/>
          <w:pgMar w:top="1985" w:right="1304" w:bottom="1247" w:left="1814" w:header="1701" w:footer="397" w:gutter="0"/>
          <w:pgNumType w:start="1" w:chapSep="period"/>
          <w:cols w:space="720"/>
          <w:docGrid w:linePitch="326"/>
        </w:sectPr>
      </w:pPr>
    </w:p>
    <w:p w14:paraId="00BB2DC7" w14:textId="77777777" w:rsidR="0034060E" w:rsidRDefault="0034060E" w:rsidP="00453A36">
      <w:pPr>
        <w:pStyle w:val="Heading1"/>
        <w:spacing w:before="0"/>
      </w:pPr>
      <w:r>
        <w:lastRenderedPageBreak/>
        <w:t>2</w:t>
      </w:r>
      <w:r>
        <w:tab/>
        <w:t>Modelling approach</w:t>
      </w:r>
    </w:p>
    <w:p w14:paraId="00BB2DC8" w14:textId="54EA05BE" w:rsidR="0034060E" w:rsidRDefault="0034060E" w:rsidP="00453A36">
      <w:pPr>
        <w:pStyle w:val="Heading2"/>
      </w:pPr>
      <w:r>
        <w:t>2.</w:t>
      </w:r>
      <w:r>
        <w:rPr>
          <w:noProof/>
        </w:rPr>
        <w:t>1</w:t>
      </w:r>
      <w:r>
        <w:tab/>
        <w:t>The model</w:t>
      </w:r>
    </w:p>
    <w:p w14:paraId="00BB2DC9" w14:textId="66E35B6B" w:rsidR="0034060E" w:rsidRDefault="0034060E" w:rsidP="00453A36">
      <w:pPr>
        <w:pStyle w:val="BodyText"/>
      </w:pPr>
      <w:r>
        <w:t xml:space="preserve">The </w:t>
      </w:r>
      <w:proofErr w:type="spellStart"/>
      <w:r w:rsidR="00E62288">
        <w:t>FWC</w:t>
      </w:r>
      <w:r>
        <w:t>’s</w:t>
      </w:r>
      <w:proofErr w:type="spellEnd"/>
      <w:r>
        <w:t xml:space="preserve"> annual wage review directly affects employees paid exactly at the </w:t>
      </w:r>
      <w:r w:rsidR="00E759E6">
        <w:t>national minimum wage</w:t>
      </w:r>
      <w:r>
        <w:t xml:space="preserve"> and employees paid above the minimum wage, but whose hourly pay rates are determined by awards covered by the national workplace relations system. To explore the economywide impacts of changes to the growth of award wages, it is necessary to consi</w:t>
      </w:r>
      <w:r w:rsidR="004F0942">
        <w:t>der the direct impacts on award</w:t>
      </w:r>
      <w:r w:rsidR="004F0942">
        <w:noBreakHyphen/>
      </w:r>
      <w:r>
        <w:t>reliant workers and the flow</w:t>
      </w:r>
      <w:r>
        <w:noBreakHyphen/>
        <w:t xml:space="preserve">on effects to the broader labour force, to national demands for goods and services and the productive capacities of the economy. </w:t>
      </w:r>
    </w:p>
    <w:p w14:paraId="00BB2DCA" w14:textId="26ACB420" w:rsidR="0034060E" w:rsidRDefault="0034060E" w:rsidP="00453A36">
      <w:pPr>
        <w:pStyle w:val="BodyText"/>
      </w:pPr>
      <w:r>
        <w:t xml:space="preserve">The </w:t>
      </w:r>
      <w:proofErr w:type="spellStart"/>
      <w:r w:rsidR="00E759E6">
        <w:t>VUMR</w:t>
      </w:r>
      <w:proofErr w:type="spellEnd"/>
      <w:r w:rsidR="00E759E6">
        <w:t xml:space="preserve"> </w:t>
      </w:r>
      <w:r>
        <w:t xml:space="preserve">model builds on that used in the Productivity Commission’s 2012 study on the impacts of reforms made by the Council of Australian Governments and documented in Centre of Policy Studies </w:t>
      </w:r>
      <w:r w:rsidRPr="00162980">
        <w:t>(2014)</w:t>
      </w:r>
      <w:r>
        <w:t>.</w:t>
      </w:r>
      <w:r w:rsidRPr="007732FB">
        <w:rPr>
          <w:rStyle w:val="FootnoteReference"/>
        </w:rPr>
        <w:footnoteReference w:id="1"/>
      </w:r>
      <w:r>
        <w:t xml:space="preserve"> Production in each state and territory is disaggregated into 79 industries and the workforce into 8 occupational groups. It includes a cohort based demographic module which is integrated with the production core of the model, as well as detailed accounting of government finances for each State and Territory government and the Australian Government (figure 2.1). Within the framework, labour demand and supply is modelled for each occupational group by region and industry. </w:t>
      </w:r>
    </w:p>
    <w:p w14:paraId="00BB2DCB" w14:textId="77777777" w:rsidR="0034060E" w:rsidRDefault="0034060E" w:rsidP="00453A36">
      <w:pPr>
        <w:pStyle w:val="BodyText"/>
      </w:pPr>
      <w:r>
        <w:t>For this supplement, the model (and its associated database) has been disaggregated into</w:t>
      </w:r>
      <w:r w:rsidRPr="009763B1">
        <w:t xml:space="preserve"> </w:t>
      </w:r>
      <w:r>
        <w:t xml:space="preserve">workers paid at award rates (including the minimum wage) and other workers. The demand for labour has been modified accordingly to introduce an additional level of substitution between award wage workers and other workers based on the relative effective price of labour. The supply of labour has also been modified to allow the national supply of workers in each occupation to respond positively to a change in award wages relative to other wages. The version incorporating this additional detail and applied in this supplement is termed the </w:t>
      </w:r>
      <w:proofErr w:type="spellStart"/>
      <w:r>
        <w:t>VUMR</w:t>
      </w:r>
      <w:r>
        <w:noBreakHyphen/>
        <w:t>WR</w:t>
      </w:r>
      <w:proofErr w:type="spellEnd"/>
      <w:r>
        <w:t xml:space="preserve"> (Workplace Relations) model. </w:t>
      </w:r>
    </w:p>
    <w:p w14:paraId="00BB2DCC" w14:textId="5E8D5BE6"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2DCE" w14:textId="77777777" w:rsidTr="00453A36">
        <w:tc>
          <w:tcPr>
            <w:tcW w:w="8771" w:type="dxa"/>
            <w:tcBorders>
              <w:top w:val="single" w:sz="6" w:space="0" w:color="78A22F"/>
              <w:left w:val="nil"/>
              <w:bottom w:val="nil"/>
              <w:right w:val="nil"/>
            </w:tcBorders>
            <w:shd w:val="clear" w:color="auto" w:fill="auto"/>
          </w:tcPr>
          <w:p w14:paraId="00BB2DCD" w14:textId="49D948D1" w:rsidR="0034060E" w:rsidRPr="00176D3F" w:rsidRDefault="0034060E" w:rsidP="00453A36">
            <w:pPr>
              <w:pStyle w:val="FigureTitle"/>
            </w:pPr>
            <w:r w:rsidRPr="00784A05">
              <w:rPr>
                <w:b w:val="0"/>
              </w:rPr>
              <w:t xml:space="preserve">Figure </w:t>
            </w:r>
            <w:r>
              <w:rPr>
                <w:b w:val="0"/>
              </w:rPr>
              <w:t>2.</w:t>
            </w:r>
            <w:r>
              <w:rPr>
                <w:b w:val="0"/>
                <w:noProof/>
              </w:rPr>
              <w:t>1</w:t>
            </w:r>
            <w:r>
              <w:tab/>
              <w:t>Stylised</w:t>
            </w:r>
            <w:r w:rsidRPr="00D86D8D">
              <w:t xml:space="preserve"> representation of the </w:t>
            </w:r>
            <w:proofErr w:type="spellStart"/>
            <w:r w:rsidRPr="00D86D8D">
              <w:t>VUMR</w:t>
            </w:r>
            <w:r>
              <w:noBreakHyphen/>
              <w:t>WR</w:t>
            </w:r>
            <w:proofErr w:type="spellEnd"/>
            <w:r w:rsidRPr="00D86D8D">
              <w:t xml:space="preserve"> model</w:t>
            </w:r>
          </w:p>
        </w:tc>
      </w:tr>
      <w:tr w:rsidR="0034060E" w14:paraId="00BB2DD2" w14:textId="77777777" w:rsidTr="00453A3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4060E" w14:paraId="00BB2DD0" w14:textId="77777777" w:rsidTr="00453A36">
              <w:trPr>
                <w:jc w:val="center"/>
              </w:trPr>
              <w:tc>
                <w:tcPr>
                  <w:tcW w:w="5000" w:type="pct"/>
                  <w:tcBorders>
                    <w:top w:val="nil"/>
                    <w:bottom w:val="nil"/>
                  </w:tcBorders>
                </w:tcPr>
                <w:p w14:paraId="00BB2DCF" w14:textId="42B2FC4D" w:rsidR="0034060E" w:rsidRDefault="00C1607E" w:rsidP="00453A36">
                  <w:pPr>
                    <w:pStyle w:val="Figure"/>
                    <w:spacing w:before="60" w:after="60"/>
                  </w:pPr>
                  <w:r>
                    <w:rPr>
                      <w:noProof/>
                    </w:rPr>
                    <w:drawing>
                      <wp:inline distT="0" distB="0" distL="0" distR="0" wp14:anchorId="4163CBE0" wp14:editId="78139565">
                        <wp:extent cx="5397500" cy="1487805"/>
                        <wp:effectExtent l="0" t="0" r="0" b="0"/>
                        <wp:docPr id="21" name="Picture 21" descr="Figure 2.1 Stylised representation of the VUMR WR model. This figure illustrates that the cohort based demographic module determines population, working age population and national labour supply in the production core. The production core in turn determines labour inputs by region and occupation, including interstate migration in the cohort based demographic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97500" cy="1487805"/>
                                </a:xfrm>
                                <a:prstGeom prst="rect">
                                  <a:avLst/>
                                </a:prstGeom>
                                <a:noFill/>
                                <a:ln>
                                  <a:noFill/>
                                </a:ln>
                              </pic:spPr>
                            </pic:pic>
                          </a:graphicData>
                        </a:graphic>
                      </wp:inline>
                    </w:drawing>
                  </w:r>
                </w:p>
              </w:tc>
            </w:tr>
          </w:tbl>
          <w:p w14:paraId="00BB2DD1" w14:textId="77777777" w:rsidR="0034060E" w:rsidRDefault="0034060E" w:rsidP="00453A36">
            <w:pPr>
              <w:pStyle w:val="Figure"/>
            </w:pPr>
          </w:p>
        </w:tc>
      </w:tr>
      <w:tr w:rsidR="0034060E" w14:paraId="00BB2DD4" w14:textId="77777777" w:rsidTr="00453A36">
        <w:tc>
          <w:tcPr>
            <w:tcW w:w="8771" w:type="dxa"/>
            <w:tcBorders>
              <w:top w:val="nil"/>
              <w:left w:val="nil"/>
              <w:bottom w:val="single" w:sz="6" w:space="0" w:color="78A22F"/>
              <w:right w:val="nil"/>
            </w:tcBorders>
            <w:shd w:val="clear" w:color="auto" w:fill="auto"/>
          </w:tcPr>
          <w:p w14:paraId="00BB2DD3" w14:textId="77777777" w:rsidR="0034060E" w:rsidRDefault="0034060E" w:rsidP="00453A36">
            <w:pPr>
              <w:pStyle w:val="Figurespace"/>
            </w:pPr>
          </w:p>
        </w:tc>
      </w:tr>
      <w:tr w:rsidR="0034060E" w:rsidRPr="000863A5" w14:paraId="00BB2DD6" w14:textId="77777777" w:rsidTr="00453A36">
        <w:tc>
          <w:tcPr>
            <w:tcW w:w="8771" w:type="dxa"/>
            <w:tcBorders>
              <w:top w:val="single" w:sz="6" w:space="0" w:color="78A22F"/>
              <w:left w:val="nil"/>
              <w:bottom w:val="nil"/>
              <w:right w:val="nil"/>
            </w:tcBorders>
          </w:tcPr>
          <w:p w14:paraId="00BB2DD5" w14:textId="700B7333" w:rsidR="0034060E" w:rsidRPr="00626D32" w:rsidRDefault="0034060E" w:rsidP="00453A36">
            <w:pPr>
              <w:pStyle w:val="BoxSpaceBelow"/>
            </w:pPr>
          </w:p>
        </w:tc>
      </w:tr>
    </w:tbl>
    <w:p w14:paraId="00BB2DD7" w14:textId="77777777" w:rsidR="0034060E" w:rsidRDefault="0034060E" w:rsidP="00453A36">
      <w:pPr>
        <w:pStyle w:val="BodyText"/>
      </w:pPr>
      <w:r>
        <w:t xml:space="preserve">In this supplement, the </w:t>
      </w:r>
      <w:proofErr w:type="spellStart"/>
      <w:r>
        <w:t>VUMR</w:t>
      </w:r>
      <w:r>
        <w:noBreakHyphen/>
        <w:t>WR</w:t>
      </w:r>
      <w:proofErr w:type="spellEnd"/>
      <w:r>
        <w:t xml:space="preserve"> model is applied in </w:t>
      </w:r>
      <w:r w:rsidRPr="00CE4FB6">
        <w:rPr>
          <w:i/>
        </w:rPr>
        <w:t>dynamic</w:t>
      </w:r>
      <w:r>
        <w:t xml:space="preserve"> mode to explore the transition path of the economy in response to award wage changes, including possible adjustment implications. Under the dynamic approach, the modelling scenarios consider the path of the economy over the period 2017</w:t>
      </w:r>
      <w:r>
        <w:noBreakHyphen/>
        <w:t>18 to 2024</w:t>
      </w:r>
      <w:r>
        <w:noBreakHyphen/>
        <w:t>25 with and without moderation of the growth of award wages over the first five years of that period.</w:t>
      </w:r>
    </w:p>
    <w:p w14:paraId="00BB2DD8" w14:textId="455DC0AD" w:rsidR="0034060E" w:rsidRDefault="0034060E" w:rsidP="00453A36">
      <w:pPr>
        <w:pStyle w:val="BodyText"/>
      </w:pPr>
      <w:r>
        <w:t xml:space="preserve">Details of the </w:t>
      </w:r>
      <w:proofErr w:type="spellStart"/>
      <w:r>
        <w:t>VUMR</w:t>
      </w:r>
      <w:r>
        <w:noBreakHyphen/>
        <w:t>WR</w:t>
      </w:r>
      <w:proofErr w:type="spellEnd"/>
      <w:r>
        <w:t xml:space="preserve"> model are provided in appendix A. A detailed description of the theoretical structure of the model is provided in </w:t>
      </w:r>
      <w:r w:rsidRPr="00775233">
        <w:rPr>
          <w:i/>
        </w:rPr>
        <w:t>A Dynamic Multi</w:t>
      </w:r>
      <w:r>
        <w:rPr>
          <w:i/>
        </w:rPr>
        <w:noBreakHyphen/>
      </w:r>
      <w:r w:rsidRPr="00775233">
        <w:rPr>
          <w:i/>
        </w:rPr>
        <w:t>Regional Applied General Equilibrium Model of the Australian Economy</w:t>
      </w:r>
      <w:r>
        <w:t xml:space="preserve"> </w:t>
      </w:r>
      <w:r w:rsidRPr="00D50160">
        <w:rPr>
          <w:szCs w:val="24"/>
        </w:rPr>
        <w:t>(</w:t>
      </w:r>
      <w:proofErr w:type="spellStart"/>
      <w:r w:rsidRPr="00D50160">
        <w:rPr>
          <w:szCs w:val="24"/>
        </w:rPr>
        <w:t>CoPS</w:t>
      </w:r>
      <w:proofErr w:type="spellEnd"/>
      <w:r w:rsidRPr="00D50160">
        <w:rPr>
          <w:szCs w:val="24"/>
        </w:rPr>
        <w:t> 2014)</w:t>
      </w:r>
      <w:r>
        <w:t>.</w:t>
      </w:r>
    </w:p>
    <w:p w14:paraId="00BB2DD9" w14:textId="77777777" w:rsidR="0034060E" w:rsidRDefault="0034060E" w:rsidP="00453A36">
      <w:pPr>
        <w:pStyle w:val="Heading2"/>
      </w:pPr>
      <w:r>
        <w:t>2.2</w:t>
      </w:r>
      <w:r>
        <w:rPr>
          <w:noProof/>
        </w:rPr>
        <w:tab/>
      </w:r>
      <w:r>
        <w:t>Policy scenarios</w:t>
      </w:r>
    </w:p>
    <w:p w14:paraId="55A78400" w14:textId="77777777" w:rsidR="00E759E6" w:rsidRDefault="0034060E" w:rsidP="00E759E6">
      <w:pPr>
        <w:pStyle w:val="BodyText"/>
      </w:pPr>
      <w:r>
        <w:t xml:space="preserve">The economywide impacts of changes in award wage depend on many factors, including: </w:t>
      </w:r>
    </w:p>
    <w:p w14:paraId="0E3431B1" w14:textId="1D2836B0" w:rsidR="00E759E6" w:rsidRDefault="00E759E6" w:rsidP="00E759E6">
      <w:pPr>
        <w:pStyle w:val="ListBullet"/>
      </w:pPr>
      <w:r>
        <w:t>the number of</w:t>
      </w:r>
      <w:r w:rsidR="0034060E">
        <w:t xml:space="preserve"> </w:t>
      </w:r>
      <w:r>
        <w:t xml:space="preserve">people </w:t>
      </w:r>
      <w:r w:rsidR="0034060E">
        <w:t>employed on minimum wages or wages linked to the minimums</w:t>
      </w:r>
    </w:p>
    <w:p w14:paraId="3574DCBF" w14:textId="1E0941F0" w:rsidR="00E759E6" w:rsidRDefault="00E759E6" w:rsidP="00E759E6">
      <w:pPr>
        <w:pStyle w:val="ListBullet"/>
      </w:pPr>
      <w:r>
        <w:t>the locations. occupations and industries</w:t>
      </w:r>
      <w:r w:rsidR="0034060E">
        <w:t xml:space="preserve"> </w:t>
      </w:r>
      <w:r>
        <w:t xml:space="preserve">where </w:t>
      </w:r>
      <w:r w:rsidR="0034060E">
        <w:t>these workers are employed</w:t>
      </w:r>
    </w:p>
    <w:p w14:paraId="05715DFA" w14:textId="0B5B2C82" w:rsidR="00E759E6" w:rsidRDefault="00E759E6" w:rsidP="00E759E6">
      <w:pPr>
        <w:pStyle w:val="ListBullet"/>
      </w:pPr>
      <w:r>
        <w:t xml:space="preserve">the linkages to the wider economy of </w:t>
      </w:r>
      <w:r w:rsidR="0034060E">
        <w:t xml:space="preserve">the firms and industries that employ these workers </w:t>
      </w:r>
    </w:p>
    <w:p w14:paraId="144B2660" w14:textId="30F527B0" w:rsidR="00E759E6" w:rsidRDefault="0034060E" w:rsidP="00E759E6">
      <w:pPr>
        <w:pStyle w:val="ListBullet"/>
      </w:pPr>
      <w:r>
        <w:t xml:space="preserve">expectations </w:t>
      </w:r>
      <w:r w:rsidR="00E759E6">
        <w:t>about</w:t>
      </w:r>
      <w:r>
        <w:t xml:space="preserve"> </w:t>
      </w:r>
      <w:r w:rsidR="00E759E6">
        <w:t xml:space="preserve">the </w:t>
      </w:r>
      <w:proofErr w:type="spellStart"/>
      <w:r w:rsidR="00E759E6">
        <w:t>FWC’s</w:t>
      </w:r>
      <w:proofErr w:type="spellEnd"/>
      <w:r w:rsidR="00E759E6">
        <w:t xml:space="preserve"> </w:t>
      </w:r>
      <w:r>
        <w:t>fut</w:t>
      </w:r>
      <w:r w:rsidR="00E759E6">
        <w:t>ure minimum wage determinations</w:t>
      </w:r>
    </w:p>
    <w:p w14:paraId="13B8E455" w14:textId="15295EF7" w:rsidR="00E759E6" w:rsidRDefault="00E759E6" w:rsidP="00E759E6">
      <w:pPr>
        <w:pStyle w:val="ListBullet"/>
      </w:pPr>
      <w:r>
        <w:t>the timing of</w:t>
      </w:r>
      <w:r w:rsidR="0034060E">
        <w:t xml:space="preserve"> determinations </w:t>
      </w:r>
    </w:p>
    <w:p w14:paraId="00BB2DDA" w14:textId="371C59A3" w:rsidR="0034060E" w:rsidRDefault="0034060E" w:rsidP="00E759E6">
      <w:pPr>
        <w:pStyle w:val="ListBullet"/>
      </w:pPr>
      <w:r>
        <w:t>general economic conditions prevailing at the time.</w:t>
      </w:r>
    </w:p>
    <w:p w14:paraId="00BB2DDB" w14:textId="77777777" w:rsidR="0034060E" w:rsidRPr="00CA1BAF" w:rsidRDefault="0034060E" w:rsidP="00453A36">
      <w:pPr>
        <w:pStyle w:val="BodyText"/>
      </w:pPr>
      <w:r>
        <w:t>I</w:t>
      </w:r>
      <w:r w:rsidRPr="00CA1BAF">
        <w:t xml:space="preserve">n scenario 1, award wages are assumed to grow in line with other wages for each occupation. </w:t>
      </w:r>
      <w:r>
        <w:t>This assumption of wage growth reflects the recent trend and provides a simple counterfactual for considering moderation of award wage growth. In scenario 1, the unemployment rate is assumed to be fixed.</w:t>
      </w:r>
    </w:p>
    <w:p w14:paraId="00BB2DDC" w14:textId="5640DD41" w:rsidR="0034060E" w:rsidRDefault="0034060E" w:rsidP="00453A36">
      <w:pPr>
        <w:pStyle w:val="BodyText"/>
      </w:pPr>
      <w:r w:rsidRPr="003415A3">
        <w:rPr>
          <w:rStyle w:val="BodyTextChar"/>
        </w:rPr>
        <w:t xml:space="preserve">In scenario 2, </w:t>
      </w:r>
      <w:r>
        <w:rPr>
          <w:rStyle w:val="BodyTextChar"/>
        </w:rPr>
        <w:t xml:space="preserve">award </w:t>
      </w:r>
      <w:r w:rsidRPr="003415A3">
        <w:rPr>
          <w:rStyle w:val="BodyTextChar"/>
        </w:rPr>
        <w:t xml:space="preserve">wages are </w:t>
      </w:r>
      <w:r>
        <w:rPr>
          <w:rStyle w:val="BodyTextChar"/>
        </w:rPr>
        <w:t xml:space="preserve">modelled as temporarily growing one percentage point </w:t>
      </w:r>
      <w:r w:rsidR="00453A36">
        <w:rPr>
          <w:rStyle w:val="BodyTextChar"/>
        </w:rPr>
        <w:t xml:space="preserve">slower </w:t>
      </w:r>
      <w:r>
        <w:rPr>
          <w:rStyle w:val="BodyTextChar"/>
        </w:rPr>
        <w:t>each year than in scenario 1, from 2017</w:t>
      </w:r>
      <w:r>
        <w:rPr>
          <w:rStyle w:val="BodyTextChar"/>
        </w:rPr>
        <w:noBreakHyphen/>
        <w:t>18 to 2021</w:t>
      </w:r>
      <w:r>
        <w:rPr>
          <w:rStyle w:val="BodyTextChar"/>
        </w:rPr>
        <w:noBreakHyphen/>
        <w:t xml:space="preserve">22. While still increasing </w:t>
      </w:r>
      <w:r w:rsidRPr="003415A3">
        <w:rPr>
          <w:rStyle w:val="BodyTextChar"/>
        </w:rPr>
        <w:t xml:space="preserve">in real terms, </w:t>
      </w:r>
      <w:r>
        <w:rPr>
          <w:rStyle w:val="BodyTextChar"/>
        </w:rPr>
        <w:t>award wages would be around 5 per cent below those in scenario 1 by 2021</w:t>
      </w:r>
      <w:r>
        <w:rPr>
          <w:rStyle w:val="BodyTextChar"/>
        </w:rPr>
        <w:noBreakHyphen/>
        <w:t xml:space="preserve">22 and </w:t>
      </w:r>
      <w:r>
        <w:rPr>
          <w:rStyle w:val="BodyTextChar"/>
        </w:rPr>
        <w:lastRenderedPageBreak/>
        <w:t xml:space="preserve">thereafter. </w:t>
      </w:r>
      <w:r w:rsidRPr="003415A3">
        <w:rPr>
          <w:rStyle w:val="BodyTextChar"/>
        </w:rPr>
        <w:t xml:space="preserve">It is assumed that the moderated growth in </w:t>
      </w:r>
      <w:r>
        <w:rPr>
          <w:rStyle w:val="BodyTextChar"/>
        </w:rPr>
        <w:t xml:space="preserve">award </w:t>
      </w:r>
      <w:r w:rsidRPr="003415A3">
        <w:rPr>
          <w:rStyle w:val="BodyTextChar"/>
        </w:rPr>
        <w:t xml:space="preserve">wages is passed directly through to </w:t>
      </w:r>
      <w:r>
        <w:rPr>
          <w:rStyle w:val="BodyTextChar"/>
        </w:rPr>
        <w:t xml:space="preserve">all </w:t>
      </w:r>
      <w:r w:rsidRPr="003415A3">
        <w:rPr>
          <w:rStyle w:val="BodyTextChar"/>
        </w:rPr>
        <w:t xml:space="preserve">workers who are </w:t>
      </w:r>
      <w:r>
        <w:rPr>
          <w:rStyle w:val="BodyTextChar"/>
        </w:rPr>
        <w:t>award</w:t>
      </w:r>
      <w:r>
        <w:rPr>
          <w:rStyle w:val="BodyTextChar"/>
        </w:rPr>
        <w:noBreakHyphen/>
        <w:t>reliant (table 2.1)</w:t>
      </w:r>
      <w:r>
        <w:t xml:space="preserve">. </w:t>
      </w:r>
    </w:p>
    <w:p w14:paraId="00BB2DDD" w14:textId="024F53E8"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for layout design, a nested table with content sit within this design."/>
      </w:tblPr>
      <w:tblGrid>
        <w:gridCol w:w="8771"/>
      </w:tblGrid>
      <w:tr w:rsidR="0034060E" w14:paraId="00BB2DDF" w14:textId="77777777" w:rsidTr="00CA438F">
        <w:tc>
          <w:tcPr>
            <w:tcW w:w="8771" w:type="dxa"/>
            <w:tcBorders>
              <w:top w:val="single" w:sz="6" w:space="0" w:color="78A22F"/>
              <w:left w:val="nil"/>
              <w:bottom w:val="nil"/>
              <w:right w:val="nil"/>
            </w:tcBorders>
            <w:shd w:val="clear" w:color="auto" w:fill="auto"/>
          </w:tcPr>
          <w:p w14:paraId="00BB2DDE" w14:textId="7BBEE2FE" w:rsidR="0034060E" w:rsidRPr="00784A05" w:rsidRDefault="0034060E" w:rsidP="00453A36">
            <w:pPr>
              <w:pStyle w:val="TableTitle"/>
            </w:pPr>
            <w:r>
              <w:rPr>
                <w:b w:val="0"/>
              </w:rPr>
              <w:t>Table 2.</w:t>
            </w:r>
            <w:r>
              <w:rPr>
                <w:b w:val="0"/>
                <w:noProof/>
              </w:rPr>
              <w:t>1</w:t>
            </w:r>
            <w:r>
              <w:tab/>
              <w:t>Illustrative scenarios modelled</w:t>
            </w:r>
          </w:p>
        </w:tc>
      </w:tr>
      <w:tr w:rsidR="0034060E" w14:paraId="00BB2DFB" w14:textId="77777777" w:rsidTr="00CA438F">
        <w:tc>
          <w:tcPr>
            <w:tcW w:w="8771" w:type="dxa"/>
            <w:tcBorders>
              <w:top w:val="nil"/>
              <w:left w:val="nil"/>
              <w:bottom w:val="nil"/>
              <w:right w:val="nil"/>
            </w:tcBorders>
            <w:shd w:val="clear" w:color="auto" w:fill="auto"/>
          </w:tcPr>
          <w:tbl>
            <w:tblPr>
              <w:tblW w:w="8486" w:type="dxa"/>
              <w:tblCellMar>
                <w:top w:w="28" w:type="dxa"/>
                <w:left w:w="0" w:type="dxa"/>
                <w:right w:w="0" w:type="dxa"/>
              </w:tblCellMar>
              <w:tblLook w:val="0000" w:firstRow="0" w:lastRow="0" w:firstColumn="0" w:lastColumn="0" w:noHBand="0" w:noVBand="0"/>
            </w:tblPr>
            <w:tblGrid>
              <w:gridCol w:w="1704"/>
              <w:gridCol w:w="1697"/>
              <w:gridCol w:w="1964"/>
              <w:gridCol w:w="1415"/>
              <w:gridCol w:w="1692"/>
              <w:gridCol w:w="14"/>
            </w:tblGrid>
            <w:tr w:rsidR="0034060E" w14:paraId="00BB2DE5" w14:textId="77777777" w:rsidTr="00453A36">
              <w:trPr>
                <w:gridAfter w:val="1"/>
                <w:wAfter w:w="8" w:type="pct"/>
              </w:trPr>
              <w:tc>
                <w:tcPr>
                  <w:tcW w:w="1004" w:type="pct"/>
                  <w:tcBorders>
                    <w:top w:val="single" w:sz="6" w:space="0" w:color="BFBFBF"/>
                    <w:bottom w:val="single" w:sz="6" w:space="0" w:color="BFBFBF"/>
                  </w:tcBorders>
                  <w:shd w:val="clear" w:color="auto" w:fill="auto"/>
                  <w:tcMar>
                    <w:top w:w="28" w:type="dxa"/>
                  </w:tcMar>
                </w:tcPr>
                <w:p w14:paraId="00BB2DE0" w14:textId="77777777" w:rsidR="0034060E" w:rsidRDefault="0034060E" w:rsidP="00453A36">
                  <w:pPr>
                    <w:pStyle w:val="TableColumnHeading"/>
                    <w:jc w:val="left"/>
                  </w:pPr>
                  <w:r>
                    <w:t>Scenario</w:t>
                  </w:r>
                </w:p>
              </w:tc>
              <w:tc>
                <w:tcPr>
                  <w:tcW w:w="1000" w:type="pct"/>
                  <w:tcBorders>
                    <w:top w:val="single" w:sz="6" w:space="0" w:color="BFBFBF"/>
                    <w:bottom w:val="single" w:sz="6" w:space="0" w:color="BFBFBF"/>
                  </w:tcBorders>
                </w:tcPr>
                <w:p w14:paraId="00BB2DE1" w14:textId="77777777" w:rsidR="0034060E" w:rsidRDefault="0034060E" w:rsidP="00D46F34">
                  <w:pPr>
                    <w:pStyle w:val="TableColumnHeading"/>
                    <w:jc w:val="left"/>
                  </w:pPr>
                  <w:r>
                    <w:t>Footprint of directly affected workers</w:t>
                  </w:r>
                </w:p>
              </w:tc>
              <w:tc>
                <w:tcPr>
                  <w:tcW w:w="1157" w:type="pct"/>
                  <w:tcBorders>
                    <w:top w:val="single" w:sz="6" w:space="0" w:color="BFBFBF"/>
                    <w:bottom w:val="single" w:sz="6" w:space="0" w:color="BFBFBF"/>
                  </w:tcBorders>
                </w:tcPr>
                <w:p w14:paraId="00BB2DE2" w14:textId="77777777" w:rsidR="0034060E" w:rsidRDefault="0034060E" w:rsidP="00D46F34">
                  <w:pPr>
                    <w:pStyle w:val="TableColumnHeading"/>
                    <w:jc w:val="left"/>
                  </w:pPr>
                  <w:r>
                    <w:t>Real award wages</w:t>
                  </w:r>
                </w:p>
              </w:tc>
              <w:tc>
                <w:tcPr>
                  <w:tcW w:w="834" w:type="pct"/>
                  <w:tcBorders>
                    <w:top w:val="single" w:sz="6" w:space="0" w:color="BFBFBF"/>
                    <w:bottom w:val="single" w:sz="6" w:space="0" w:color="BFBFBF"/>
                  </w:tcBorders>
                  <w:shd w:val="clear" w:color="auto" w:fill="auto"/>
                  <w:tcMar>
                    <w:top w:w="28" w:type="dxa"/>
                  </w:tcMar>
                </w:tcPr>
                <w:p w14:paraId="00BB2DE3" w14:textId="77777777" w:rsidR="0034060E" w:rsidRDefault="0034060E" w:rsidP="00D46F34">
                  <w:pPr>
                    <w:pStyle w:val="TableColumnHeading"/>
                    <w:jc w:val="left"/>
                  </w:pPr>
                  <w:r>
                    <w:t>Other wages</w:t>
                  </w:r>
                </w:p>
              </w:tc>
              <w:tc>
                <w:tcPr>
                  <w:tcW w:w="996" w:type="pct"/>
                  <w:tcBorders>
                    <w:top w:val="single" w:sz="6" w:space="0" w:color="BFBFBF"/>
                    <w:bottom w:val="single" w:sz="6" w:space="0" w:color="BFBFBF"/>
                  </w:tcBorders>
                  <w:shd w:val="clear" w:color="auto" w:fill="auto"/>
                  <w:tcMar>
                    <w:top w:w="28" w:type="dxa"/>
                  </w:tcMar>
                </w:tcPr>
                <w:p w14:paraId="00BB2DE4" w14:textId="77777777" w:rsidR="0034060E" w:rsidRDefault="0034060E" w:rsidP="00D46F34">
                  <w:pPr>
                    <w:pStyle w:val="TableColumnHeading"/>
                    <w:ind w:right="28"/>
                    <w:jc w:val="left"/>
                  </w:pPr>
                  <w:r>
                    <w:t>Unemployment rate</w:t>
                  </w:r>
                </w:p>
              </w:tc>
            </w:tr>
            <w:tr w:rsidR="0034060E" w14:paraId="00BB2DE7" w14:textId="77777777" w:rsidTr="00D46F34">
              <w:trPr>
                <w:gridAfter w:val="1"/>
                <w:wAfter w:w="8" w:type="pct"/>
              </w:trPr>
              <w:tc>
                <w:tcPr>
                  <w:tcW w:w="4992" w:type="pct"/>
                  <w:gridSpan w:val="5"/>
                  <w:tcBorders>
                    <w:top w:val="single" w:sz="6" w:space="0" w:color="BFBFBF"/>
                  </w:tcBorders>
                  <w:shd w:val="clear" w:color="auto" w:fill="F2F2F2" w:themeFill="accent4"/>
                </w:tcPr>
                <w:p w14:paraId="00BB2DE6" w14:textId="77777777" w:rsidR="0034060E" w:rsidRDefault="0034060E" w:rsidP="00D46F34">
                  <w:pPr>
                    <w:pStyle w:val="TableBodyText"/>
                    <w:spacing w:before="40"/>
                    <w:jc w:val="left"/>
                  </w:pPr>
                  <w:r>
                    <w:rPr>
                      <w:b/>
                    </w:rPr>
                    <w:t>Key illustrative minimum wage scenarios</w:t>
                  </w:r>
                </w:p>
              </w:tc>
            </w:tr>
            <w:tr w:rsidR="0034060E" w14:paraId="00BB2DED" w14:textId="77777777" w:rsidTr="00453A36">
              <w:trPr>
                <w:gridAfter w:val="1"/>
                <w:wAfter w:w="8" w:type="pct"/>
              </w:trPr>
              <w:tc>
                <w:tcPr>
                  <w:tcW w:w="1004" w:type="pct"/>
                </w:tcPr>
                <w:p w14:paraId="00BB2DE8" w14:textId="77777777" w:rsidR="0034060E" w:rsidRDefault="0034060E" w:rsidP="00453A36">
                  <w:pPr>
                    <w:pStyle w:val="TableBodyText"/>
                    <w:jc w:val="left"/>
                  </w:pPr>
                  <w:r>
                    <w:t>Scenario 1: award wages grow with other wages in each occupation</w:t>
                  </w:r>
                </w:p>
              </w:tc>
              <w:tc>
                <w:tcPr>
                  <w:tcW w:w="1000" w:type="pct"/>
                </w:tcPr>
                <w:p w14:paraId="00BB2DE9" w14:textId="77777777" w:rsidR="0034060E" w:rsidRDefault="0034060E" w:rsidP="00D46F34">
                  <w:pPr>
                    <w:pStyle w:val="TableBodyText"/>
                    <w:jc w:val="left"/>
                  </w:pPr>
                  <w:r>
                    <w:t>No distinction between award and non</w:t>
                  </w:r>
                  <w:r>
                    <w:noBreakHyphen/>
                    <w:t>award wages</w:t>
                  </w:r>
                </w:p>
              </w:tc>
              <w:tc>
                <w:tcPr>
                  <w:tcW w:w="1157" w:type="pct"/>
                </w:tcPr>
                <w:p w14:paraId="00BB2DEA" w14:textId="77777777" w:rsidR="0034060E" w:rsidRDefault="0034060E" w:rsidP="00D46F34">
                  <w:pPr>
                    <w:pStyle w:val="TableBodyText"/>
                    <w:jc w:val="left"/>
                  </w:pPr>
                  <w:r>
                    <w:t>Determined by supply and demand</w:t>
                  </w:r>
                </w:p>
              </w:tc>
              <w:tc>
                <w:tcPr>
                  <w:tcW w:w="834" w:type="pct"/>
                </w:tcPr>
                <w:p w14:paraId="00BB2DEB" w14:textId="77777777" w:rsidR="0034060E" w:rsidRDefault="0034060E" w:rsidP="00D46F34">
                  <w:pPr>
                    <w:pStyle w:val="TableBodyText"/>
                    <w:jc w:val="left"/>
                  </w:pPr>
                  <w:r>
                    <w:t>Determined by supply and demand</w:t>
                  </w:r>
                </w:p>
              </w:tc>
              <w:tc>
                <w:tcPr>
                  <w:tcW w:w="996" w:type="pct"/>
                </w:tcPr>
                <w:p w14:paraId="00BB2DEC" w14:textId="77777777" w:rsidR="0034060E" w:rsidRDefault="0034060E" w:rsidP="00D46F34">
                  <w:pPr>
                    <w:pStyle w:val="TableBodyText"/>
                    <w:ind w:right="28"/>
                    <w:jc w:val="left"/>
                  </w:pPr>
                  <w:r>
                    <w:t>Assumed unchanged</w:t>
                  </w:r>
                </w:p>
              </w:tc>
            </w:tr>
            <w:tr w:rsidR="0034060E" w14:paraId="00BB2DF3" w14:textId="77777777" w:rsidTr="00453A36">
              <w:trPr>
                <w:gridAfter w:val="1"/>
                <w:wAfter w:w="8" w:type="pct"/>
              </w:trPr>
              <w:tc>
                <w:tcPr>
                  <w:tcW w:w="1004" w:type="pct"/>
                </w:tcPr>
                <w:p w14:paraId="00BB2DEE" w14:textId="77777777" w:rsidR="0034060E" w:rsidRDefault="0034060E" w:rsidP="00453A36">
                  <w:pPr>
                    <w:pStyle w:val="TableBodyText"/>
                    <w:jc w:val="left"/>
                  </w:pPr>
                  <w:r>
                    <w:t>Scenario 2: moderate award wages growth</w:t>
                  </w:r>
                </w:p>
              </w:tc>
              <w:tc>
                <w:tcPr>
                  <w:tcW w:w="1000" w:type="pct"/>
                </w:tcPr>
                <w:p w14:paraId="00BB2DEF" w14:textId="1E0EE701" w:rsidR="0034060E" w:rsidRDefault="0034060E" w:rsidP="00D46F34">
                  <w:pPr>
                    <w:pStyle w:val="TableBodyText"/>
                    <w:jc w:val="left"/>
                  </w:pPr>
                  <w:r>
                    <w:t>Workers who are</w:t>
                  </w:r>
                  <w:r w:rsidR="004F0942">
                    <w:t xml:space="preserve"> award</w:t>
                  </w:r>
                  <w:r w:rsidR="004F0942">
                    <w:noBreakHyphen/>
                  </w:r>
                  <w:r>
                    <w:t>reliant</w:t>
                  </w:r>
                </w:p>
              </w:tc>
              <w:tc>
                <w:tcPr>
                  <w:tcW w:w="1157" w:type="pct"/>
                </w:tcPr>
                <w:p w14:paraId="00BB2DF0" w14:textId="77777777" w:rsidR="0034060E" w:rsidRDefault="0034060E" w:rsidP="00D46F34">
                  <w:pPr>
                    <w:pStyle w:val="TableBodyText"/>
                    <w:jc w:val="left"/>
                  </w:pPr>
                  <w:r>
                    <w:t>Grows 1 percentage point slower than in scenario 1 between 2017</w:t>
                  </w:r>
                  <w:r>
                    <w:noBreakHyphen/>
                    <w:t>18 and 2021</w:t>
                  </w:r>
                  <w:r>
                    <w:noBreakHyphen/>
                    <w:t>22</w:t>
                  </w:r>
                </w:p>
              </w:tc>
              <w:tc>
                <w:tcPr>
                  <w:tcW w:w="834" w:type="pct"/>
                </w:tcPr>
                <w:p w14:paraId="00BB2DF1" w14:textId="77777777" w:rsidR="0034060E" w:rsidRDefault="0034060E" w:rsidP="00D46F34">
                  <w:pPr>
                    <w:pStyle w:val="TableBodyText"/>
                    <w:jc w:val="left"/>
                  </w:pPr>
                  <w:r>
                    <w:t>Same as scenario 1</w:t>
                  </w:r>
                </w:p>
              </w:tc>
              <w:tc>
                <w:tcPr>
                  <w:tcW w:w="996" w:type="pct"/>
                </w:tcPr>
                <w:p w14:paraId="00BB2DF2" w14:textId="77777777" w:rsidR="0034060E" w:rsidRDefault="0034060E" w:rsidP="00D46F34">
                  <w:pPr>
                    <w:pStyle w:val="TableBodyText"/>
                    <w:ind w:right="28"/>
                    <w:jc w:val="left"/>
                  </w:pPr>
                  <w:r>
                    <w:t>Assumed to adjust between 2017</w:t>
                  </w:r>
                  <w:r>
                    <w:noBreakHyphen/>
                    <w:t>18 and 2021</w:t>
                  </w:r>
                  <w:r>
                    <w:noBreakHyphen/>
                    <w:t>22</w:t>
                  </w:r>
                </w:p>
              </w:tc>
            </w:tr>
            <w:tr w:rsidR="0034060E" w14:paraId="00BB2DF5" w14:textId="77777777" w:rsidTr="00D46F34">
              <w:tc>
                <w:tcPr>
                  <w:tcW w:w="5000" w:type="pct"/>
                  <w:gridSpan w:val="6"/>
                  <w:shd w:val="clear" w:color="auto" w:fill="F2F2F2" w:themeFill="accent4"/>
                </w:tcPr>
                <w:p w14:paraId="00BB2DF4" w14:textId="77777777" w:rsidR="0034060E" w:rsidRDefault="0034060E" w:rsidP="00453A36">
                  <w:pPr>
                    <w:pStyle w:val="TableBodyText"/>
                    <w:ind w:right="28"/>
                    <w:jc w:val="left"/>
                  </w:pPr>
                  <w:r>
                    <w:rPr>
                      <w:b/>
                    </w:rPr>
                    <w:t>Sensitivity testing to examine a</w:t>
                  </w:r>
                  <w:r w:rsidRPr="00CC6DCE">
                    <w:rPr>
                      <w:b/>
                    </w:rPr>
                    <w:t>lternative mod</w:t>
                  </w:r>
                  <w:r>
                    <w:rPr>
                      <w:b/>
                    </w:rPr>
                    <w:t>elling assumptions</w:t>
                  </w:r>
                </w:p>
              </w:tc>
            </w:tr>
            <w:tr w:rsidR="0034060E" w14:paraId="00BB2DF7" w14:textId="77777777" w:rsidTr="00453A36">
              <w:tc>
                <w:tcPr>
                  <w:tcW w:w="5000" w:type="pct"/>
                  <w:gridSpan w:val="6"/>
                </w:tcPr>
                <w:p w14:paraId="00BB2DF6" w14:textId="77777777" w:rsidR="0034060E" w:rsidRDefault="0034060E" w:rsidP="00453A36">
                  <w:pPr>
                    <w:pStyle w:val="TableBodyText"/>
                    <w:ind w:right="28"/>
                    <w:jc w:val="left"/>
                  </w:pPr>
                  <w:r>
                    <w:t>Alternative assumptions about the minimum wage footprint.</w:t>
                  </w:r>
                </w:p>
              </w:tc>
            </w:tr>
            <w:tr w:rsidR="0034060E" w14:paraId="00BB2DF9" w14:textId="77777777" w:rsidTr="00453A36">
              <w:tc>
                <w:tcPr>
                  <w:tcW w:w="5000" w:type="pct"/>
                  <w:gridSpan w:val="6"/>
                  <w:tcBorders>
                    <w:bottom w:val="single" w:sz="6" w:space="0" w:color="BFBFBF"/>
                  </w:tcBorders>
                  <w:shd w:val="clear" w:color="auto" w:fill="auto"/>
                </w:tcPr>
                <w:p w14:paraId="00BB2DF8" w14:textId="77777777" w:rsidR="0034060E" w:rsidRDefault="0034060E" w:rsidP="00453A36">
                  <w:pPr>
                    <w:pStyle w:val="TableBodyText"/>
                    <w:ind w:right="28"/>
                    <w:jc w:val="left"/>
                  </w:pPr>
                  <w:r>
                    <w:t>Alternative assumptions about the responsiveness of demand to a change in the price of labour relative to capital and the responsiveness of demand and supply to award wage changes.</w:t>
                  </w:r>
                </w:p>
              </w:tc>
            </w:tr>
          </w:tbl>
          <w:p w14:paraId="00BB2DFA" w14:textId="77777777" w:rsidR="0034060E" w:rsidRDefault="0034060E" w:rsidP="00453A36">
            <w:pPr>
              <w:pStyle w:val="Box"/>
            </w:pPr>
          </w:p>
        </w:tc>
      </w:tr>
      <w:tr w:rsidR="0034060E" w14:paraId="00BB2DFD" w14:textId="77777777" w:rsidTr="00CA438F">
        <w:tc>
          <w:tcPr>
            <w:tcW w:w="8771" w:type="dxa"/>
            <w:tcBorders>
              <w:top w:val="nil"/>
              <w:left w:val="nil"/>
              <w:bottom w:val="single" w:sz="6" w:space="0" w:color="78A22F"/>
              <w:right w:val="nil"/>
            </w:tcBorders>
            <w:shd w:val="clear" w:color="auto" w:fill="auto"/>
          </w:tcPr>
          <w:p w14:paraId="00BB2DFC" w14:textId="77777777" w:rsidR="0034060E" w:rsidRDefault="0034060E" w:rsidP="00453A36">
            <w:pPr>
              <w:pStyle w:val="Box"/>
              <w:spacing w:before="0" w:line="120" w:lineRule="exact"/>
            </w:pPr>
          </w:p>
        </w:tc>
      </w:tr>
      <w:tr w:rsidR="0034060E" w:rsidRPr="000863A5" w14:paraId="00BB2DFF" w14:textId="77777777" w:rsidTr="00CA438F">
        <w:tc>
          <w:tcPr>
            <w:tcW w:w="8771" w:type="dxa"/>
            <w:tcBorders>
              <w:top w:val="single" w:sz="6" w:space="0" w:color="78A22F"/>
              <w:left w:val="nil"/>
              <w:bottom w:val="nil"/>
              <w:right w:val="nil"/>
            </w:tcBorders>
          </w:tcPr>
          <w:p w14:paraId="00BB2DFE" w14:textId="38529FCF" w:rsidR="0034060E" w:rsidRPr="00626D32" w:rsidRDefault="0034060E" w:rsidP="00453A36">
            <w:pPr>
              <w:pStyle w:val="BoxSpaceBelow"/>
            </w:pPr>
          </w:p>
        </w:tc>
      </w:tr>
    </w:tbl>
    <w:p w14:paraId="00BB2E00" w14:textId="77777777" w:rsidR="0034060E" w:rsidRDefault="0034060E" w:rsidP="00453A36">
      <w:pPr>
        <w:pStyle w:val="BodyText"/>
        <w:rPr>
          <w:rStyle w:val="BodyTextChar"/>
        </w:rPr>
      </w:pPr>
      <w:r>
        <w:t>For the purposes of the modelling, award</w:t>
      </w:r>
      <w:r>
        <w:noBreakHyphen/>
        <w:t>reliant workers</w:t>
      </w:r>
      <w:r w:rsidRPr="00CA1BAF">
        <w:t xml:space="preserve"> are identified using the</w:t>
      </w:r>
      <w:r>
        <w:t xml:space="preserve"> Australian Bureau of Statistics’ (</w:t>
      </w:r>
      <w:r w:rsidRPr="00CA1BAF">
        <w:t>ABS</w:t>
      </w:r>
      <w:r>
        <w:t>)</w:t>
      </w:r>
      <w:r w:rsidRPr="00CA1BAF">
        <w:t xml:space="preserve"> </w:t>
      </w:r>
      <w:r>
        <w:t>Survey of Employee Earnings and Hours</w:t>
      </w:r>
      <w:r w:rsidRPr="00CA1BAF">
        <w:t>, which includes a variable identifying workers whose wages are set equal to the minimum award wages</w:t>
      </w:r>
      <w:r>
        <w:t>. T</w:t>
      </w:r>
      <w:r w:rsidRPr="00CA1BAF">
        <w:t>hese ‘award</w:t>
      </w:r>
      <w:r>
        <w:noBreakHyphen/>
      </w:r>
      <w:r w:rsidRPr="00CA1BAF">
        <w:t>reliant’ workers account for around 19 per cent of the workforce (</w:t>
      </w:r>
      <w:r>
        <w:t>figure 2.2</w:t>
      </w:r>
      <w:r w:rsidRPr="00CA1BAF">
        <w:t>)</w:t>
      </w:r>
      <w:r>
        <w:t xml:space="preserve">. </w:t>
      </w:r>
      <w:r w:rsidRPr="003415A3">
        <w:rPr>
          <w:rStyle w:val="BodyTextChar"/>
        </w:rPr>
        <w:t>Non</w:t>
      </w:r>
      <w:r w:rsidRPr="003415A3">
        <w:rPr>
          <w:rStyle w:val="BodyTextChar"/>
        </w:rPr>
        <w:noBreakHyphen/>
      </w:r>
      <w:r>
        <w:rPr>
          <w:rStyle w:val="BodyTextChar"/>
        </w:rPr>
        <w:t>award</w:t>
      </w:r>
      <w:r w:rsidRPr="003415A3">
        <w:rPr>
          <w:rStyle w:val="BodyTextChar"/>
        </w:rPr>
        <w:t xml:space="preserve"> wages are determined by the market and will therefore only be affected indirectly by the change in </w:t>
      </w:r>
      <w:r>
        <w:rPr>
          <w:rStyle w:val="BodyTextChar"/>
        </w:rPr>
        <w:t>award</w:t>
      </w:r>
      <w:r w:rsidRPr="003415A3">
        <w:rPr>
          <w:rStyle w:val="BodyTextChar"/>
        </w:rPr>
        <w:t xml:space="preserve"> wages. Unemployment is allowed to adjust over the five</w:t>
      </w:r>
      <w:r w:rsidRPr="003415A3">
        <w:rPr>
          <w:rStyle w:val="BodyTextChar"/>
        </w:rPr>
        <w:noBreakHyphen/>
        <w:t xml:space="preserve">year period of the moderate wage policy, in response to the change in </w:t>
      </w:r>
      <w:r>
        <w:rPr>
          <w:rStyle w:val="BodyTextChar"/>
        </w:rPr>
        <w:t>award</w:t>
      </w:r>
      <w:r w:rsidRPr="003415A3">
        <w:rPr>
          <w:rStyle w:val="BodyTextChar"/>
        </w:rPr>
        <w:t xml:space="preserve"> wages.</w:t>
      </w:r>
    </w:p>
    <w:p w14:paraId="00BB2E01" w14:textId="77777777" w:rsidR="0034060E" w:rsidRDefault="0034060E" w:rsidP="00453A36">
      <w:pPr>
        <w:pStyle w:val="BodyText"/>
      </w:pPr>
      <w:r>
        <w:t>More details on the specification of these scenarios in the modelling are presented in appendix C.</w:t>
      </w:r>
    </w:p>
    <w:p w14:paraId="00BB2E02" w14:textId="77777777" w:rsidR="0034060E" w:rsidRDefault="0034060E" w:rsidP="00453A36">
      <w:pPr>
        <w:pStyle w:val="BodyText"/>
      </w:pPr>
      <w:r>
        <w:t xml:space="preserve">The difference between scenario 1 and scenario 2 reflects the modelled effects of moderating the real growth in award wages over time. </w:t>
      </w:r>
    </w:p>
    <w:p w14:paraId="00BB2E03" w14:textId="77777777" w:rsidR="0034060E" w:rsidRDefault="0034060E" w:rsidP="00453A36">
      <w:pPr>
        <w:pStyle w:val="BodyText"/>
      </w:pPr>
      <w:r>
        <w:t>Sensitivity testing has been undertaken to explore the robustness of the projected changes to alternative assumptions about the extent of the minimum wage footprint and the value of key model parameters.</w:t>
      </w:r>
    </w:p>
    <w:p w14:paraId="00BB2E04" w14:textId="77777777"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2E07" w14:textId="77777777" w:rsidTr="00453A36">
        <w:tc>
          <w:tcPr>
            <w:tcW w:w="8771" w:type="dxa"/>
            <w:tcBorders>
              <w:top w:val="single" w:sz="6" w:space="0" w:color="78A22F"/>
              <w:left w:val="nil"/>
              <w:bottom w:val="nil"/>
              <w:right w:val="nil"/>
            </w:tcBorders>
            <w:shd w:val="clear" w:color="auto" w:fill="auto"/>
          </w:tcPr>
          <w:p w14:paraId="00BB2E05" w14:textId="22C0D868" w:rsidR="0034060E" w:rsidRDefault="0034060E" w:rsidP="00453A36">
            <w:pPr>
              <w:pStyle w:val="FigureTitle"/>
            </w:pPr>
            <w:r w:rsidRPr="00784A05">
              <w:rPr>
                <w:b w:val="0"/>
              </w:rPr>
              <w:t xml:space="preserve">Figure </w:t>
            </w:r>
            <w:r>
              <w:rPr>
                <w:b w:val="0"/>
              </w:rPr>
              <w:t>2.</w:t>
            </w:r>
            <w:r>
              <w:rPr>
                <w:b w:val="0"/>
                <w:noProof/>
              </w:rPr>
              <w:t>2</w:t>
            </w:r>
            <w:r>
              <w:tab/>
              <w:t>Scenario 2: Proportion of employees who are award</w:t>
            </w:r>
            <w:r>
              <w:noBreakHyphen/>
              <w:t>reliant</w:t>
            </w:r>
          </w:p>
          <w:p w14:paraId="00BB2E06" w14:textId="2FAC722D" w:rsidR="0034060E" w:rsidRPr="00176D3F" w:rsidRDefault="0034060E" w:rsidP="008D1A01">
            <w:pPr>
              <w:pStyle w:val="Subtitle"/>
            </w:pPr>
            <w:r>
              <w:t>Distribution of wages as per cent of national minimum wage</w:t>
            </w:r>
            <w:r>
              <w:rPr>
                <w:rStyle w:val="NoteLabel"/>
              </w:rPr>
              <w:t>a</w:t>
            </w:r>
          </w:p>
        </w:tc>
      </w:tr>
      <w:tr w:rsidR="0034060E" w14:paraId="00BB2E0B" w14:textId="77777777" w:rsidTr="00453A3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34060E" w14:paraId="00BB2E09" w14:textId="77777777" w:rsidTr="00107365">
              <w:trPr>
                <w:jc w:val="center"/>
              </w:trPr>
              <w:tc>
                <w:tcPr>
                  <w:tcW w:w="8504" w:type="dxa"/>
                  <w:tcBorders>
                    <w:top w:val="nil"/>
                    <w:bottom w:val="nil"/>
                  </w:tcBorders>
                </w:tcPr>
                <w:p w14:paraId="00BB2E08" w14:textId="1C9AC998" w:rsidR="0034060E" w:rsidRDefault="00107365" w:rsidP="00453A36">
                  <w:pPr>
                    <w:pStyle w:val="Figure"/>
                    <w:spacing w:before="60" w:after="60"/>
                  </w:pPr>
                  <w:r w:rsidRPr="00107365">
                    <w:rPr>
                      <w:noProof/>
                    </w:rPr>
                    <w:drawing>
                      <wp:inline distT="0" distB="0" distL="0" distR="0" wp14:anchorId="79348EE7" wp14:editId="16398422">
                        <wp:extent cx="5400000" cy="2880000"/>
                        <wp:effectExtent l="0" t="0" r="0" b="0"/>
                        <wp:docPr id="22" name="Chart 22" descr="Figure 2.2 Scenario 2: Proportion of employees who are award reliant. Distribution of wages as per cent of national minimum wage. This figure shows that 19.5 per cent of employees are award relia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00BB2E0A" w14:textId="77777777" w:rsidR="0034060E" w:rsidRDefault="0034060E" w:rsidP="00453A36">
            <w:pPr>
              <w:pStyle w:val="Figure"/>
            </w:pPr>
          </w:p>
        </w:tc>
      </w:tr>
      <w:tr w:rsidR="0034060E" w:rsidRPr="00176D3F" w14:paraId="00BB2E0D" w14:textId="77777777" w:rsidTr="00453A36">
        <w:tc>
          <w:tcPr>
            <w:tcW w:w="8771" w:type="dxa"/>
            <w:tcBorders>
              <w:top w:val="nil"/>
              <w:left w:val="nil"/>
              <w:bottom w:val="nil"/>
              <w:right w:val="nil"/>
            </w:tcBorders>
            <w:shd w:val="clear" w:color="auto" w:fill="auto"/>
          </w:tcPr>
          <w:p w14:paraId="00BB2E0C" w14:textId="77777777" w:rsidR="0034060E" w:rsidRDefault="0034060E" w:rsidP="00453A36">
            <w:pPr>
              <w:pStyle w:val="Source"/>
              <w:rPr>
                <w:i/>
              </w:rPr>
            </w:pPr>
            <w:proofErr w:type="spellStart"/>
            <w:r>
              <w:rPr>
                <w:rStyle w:val="NoteLabel"/>
              </w:rPr>
              <w:t>a</w:t>
            </w:r>
            <w:proofErr w:type="spellEnd"/>
            <w:r>
              <w:t xml:space="preserve"> This distribution of wages takes into account the national minimum wage rate that is applicable to each individual, including youth wage rates, apprenticeship and trainee wage rates and disability wage rates.</w:t>
            </w:r>
          </w:p>
        </w:tc>
      </w:tr>
      <w:tr w:rsidR="0034060E" w:rsidRPr="00176D3F" w14:paraId="00BB2E0F" w14:textId="77777777" w:rsidTr="00453A36">
        <w:tc>
          <w:tcPr>
            <w:tcW w:w="8771" w:type="dxa"/>
            <w:tcBorders>
              <w:top w:val="nil"/>
              <w:left w:val="nil"/>
              <w:bottom w:val="nil"/>
              <w:right w:val="nil"/>
            </w:tcBorders>
            <w:shd w:val="clear" w:color="auto" w:fill="auto"/>
          </w:tcPr>
          <w:p w14:paraId="00BB2E0E" w14:textId="77777777" w:rsidR="0034060E" w:rsidRPr="00176D3F" w:rsidRDefault="0034060E" w:rsidP="00453A36">
            <w:pPr>
              <w:pStyle w:val="Source"/>
            </w:pPr>
            <w:r>
              <w:rPr>
                <w:i/>
              </w:rPr>
              <w:t>S</w:t>
            </w:r>
            <w:r w:rsidRPr="00784A05">
              <w:rPr>
                <w:i/>
              </w:rPr>
              <w:t>ource</w:t>
            </w:r>
            <w:r w:rsidRPr="00176D3F">
              <w:t xml:space="preserve">: </w:t>
            </w:r>
            <w:r>
              <w:t xml:space="preserve">Productivity Commission estimates based on </w:t>
            </w:r>
            <w:r w:rsidRPr="00AA41F6">
              <w:t>ABS (</w:t>
            </w:r>
            <w:r w:rsidRPr="00AA41F6">
              <w:rPr>
                <w:i/>
                <w:iCs/>
              </w:rPr>
              <w:t>Employee Earnings and Hours, Australia</w:t>
            </w:r>
            <w:r w:rsidRPr="00AA41F6">
              <w:t>, Cat.</w:t>
            </w:r>
            <w:r>
              <w:t> </w:t>
            </w:r>
            <w:r w:rsidRPr="00AA41F6">
              <w:t>no.</w:t>
            </w:r>
            <w:r>
              <w:t> </w:t>
            </w:r>
            <w:r w:rsidRPr="00AA41F6">
              <w:t>6306.0, May 2014</w:t>
            </w:r>
            <w:r>
              <w:t>).</w:t>
            </w:r>
          </w:p>
        </w:tc>
      </w:tr>
      <w:tr w:rsidR="0034060E" w14:paraId="00BB2E11" w14:textId="77777777" w:rsidTr="00453A36">
        <w:tc>
          <w:tcPr>
            <w:tcW w:w="8771" w:type="dxa"/>
            <w:tcBorders>
              <w:top w:val="nil"/>
              <w:left w:val="nil"/>
              <w:bottom w:val="single" w:sz="6" w:space="0" w:color="78A22F"/>
              <w:right w:val="nil"/>
            </w:tcBorders>
            <w:shd w:val="clear" w:color="auto" w:fill="auto"/>
          </w:tcPr>
          <w:p w14:paraId="00BB2E10" w14:textId="77777777" w:rsidR="0034060E" w:rsidRDefault="0034060E" w:rsidP="00453A36">
            <w:pPr>
              <w:pStyle w:val="Figurespace"/>
            </w:pPr>
          </w:p>
        </w:tc>
      </w:tr>
      <w:tr w:rsidR="0034060E" w:rsidRPr="000863A5" w14:paraId="00BB2E13" w14:textId="77777777" w:rsidTr="00453A36">
        <w:tc>
          <w:tcPr>
            <w:tcW w:w="8771" w:type="dxa"/>
            <w:tcBorders>
              <w:top w:val="single" w:sz="6" w:space="0" w:color="78A22F"/>
              <w:left w:val="nil"/>
              <w:bottom w:val="nil"/>
              <w:right w:val="nil"/>
            </w:tcBorders>
          </w:tcPr>
          <w:p w14:paraId="00BB2E12" w14:textId="77777777" w:rsidR="0034060E" w:rsidRPr="00626D32" w:rsidRDefault="0034060E" w:rsidP="00453A36">
            <w:pPr>
              <w:pStyle w:val="BoxSpaceBelow"/>
            </w:pPr>
          </w:p>
        </w:tc>
      </w:tr>
    </w:tbl>
    <w:p w14:paraId="00BB2E14" w14:textId="77777777" w:rsidR="0034060E" w:rsidRDefault="0034060E" w:rsidP="00453A36">
      <w:pPr>
        <w:pStyle w:val="Heading2"/>
      </w:pPr>
      <w:r>
        <w:t>2.3</w:t>
      </w:r>
      <w:r>
        <w:rPr>
          <w:noProof/>
        </w:rPr>
        <w:tab/>
      </w:r>
      <w:r>
        <w:t>The modelling in context</w:t>
      </w:r>
    </w:p>
    <w:p w14:paraId="00BB2E15" w14:textId="1E5441C9" w:rsidR="0034060E" w:rsidRDefault="0034060E" w:rsidP="00453A36">
      <w:pPr>
        <w:pStyle w:val="BodyText"/>
      </w:pPr>
      <w:r>
        <w:t>The modelling approach seeks to capture many of the relationships that determine the economywide impacts of minimum wage policy in Australia. In simulations, t</w:t>
      </w:r>
      <w:r w:rsidRPr="00C50381">
        <w:t xml:space="preserve">he direct effects of </w:t>
      </w:r>
      <w:r>
        <w:t xml:space="preserve">the </w:t>
      </w:r>
      <w:proofErr w:type="spellStart"/>
      <w:r w:rsidR="00453A36">
        <w:t>FWC</w:t>
      </w:r>
      <w:r>
        <w:t>’s</w:t>
      </w:r>
      <w:proofErr w:type="spellEnd"/>
      <w:r>
        <w:t xml:space="preserve"> </w:t>
      </w:r>
      <w:r w:rsidRPr="00C50381">
        <w:t xml:space="preserve">decisions to </w:t>
      </w:r>
      <w:r>
        <w:t>set wages</w:t>
      </w:r>
      <w:r w:rsidRPr="00C50381">
        <w:t xml:space="preserve"> are imposed on the model as exogenous </w:t>
      </w:r>
      <w:r>
        <w:t>‘shocks’ or a model ‘scenario’, as described above, and the flow</w:t>
      </w:r>
      <w:r>
        <w:noBreakHyphen/>
        <w:t>on effects are projected.</w:t>
      </w:r>
    </w:p>
    <w:p w14:paraId="00BB2E16" w14:textId="77777777" w:rsidR="0034060E" w:rsidRDefault="0034060E" w:rsidP="00453A36">
      <w:pPr>
        <w:pStyle w:val="BodyText"/>
      </w:pPr>
      <w:r>
        <w:t xml:space="preserve">As with all such analyses, the limitations of the modelling need to be considered when interpreting the results. Like all models, the </w:t>
      </w:r>
      <w:proofErr w:type="spellStart"/>
      <w:r>
        <w:t>VUMR</w:t>
      </w:r>
      <w:r>
        <w:noBreakHyphen/>
        <w:t>WR</w:t>
      </w:r>
      <w:proofErr w:type="spellEnd"/>
      <w:r>
        <w:t xml:space="preserve"> model cannot fully replicate the economy and all of the complex interactions within and between the domestic and global economic system. While it provides a more detailed breakdown of labour markets than simple models, it nevertheless does not capture the full heterogeneity of occupations and skills. It also does not take account of the potential linkages between employees’ long</w:t>
      </w:r>
      <w:r>
        <w:noBreakHyphen/>
        <w:t>run decisions to invest in skill formation and the effects of minimum wages on employment prospects. The model does not explicitly capture the emergence of new activities and products, or global economic changes.</w:t>
      </w:r>
      <w:r w:rsidRPr="00C412CA">
        <w:t xml:space="preserve"> </w:t>
      </w:r>
      <w:r>
        <w:t xml:space="preserve">Nor does it take explicit account of social conditions and the feedback effects these may have on the economy. </w:t>
      </w:r>
    </w:p>
    <w:p w14:paraId="00BB2E17" w14:textId="0F6E0655" w:rsidR="0034060E" w:rsidRDefault="0034060E" w:rsidP="00453A36">
      <w:pPr>
        <w:pStyle w:val="BodyText"/>
      </w:pPr>
      <w:r>
        <w:t xml:space="preserve">As the projected effects of the scenarios modelled reflect simplifying assumptions imposed on the model, they should </w:t>
      </w:r>
      <w:r w:rsidRPr="008E375F">
        <w:t>not</w:t>
      </w:r>
      <w:r>
        <w:t xml:space="preserve"> be interpreted as estimates or forecasts of the actual effects </w:t>
      </w:r>
      <w:r>
        <w:lastRenderedPageBreak/>
        <w:t xml:space="preserve">of the </w:t>
      </w:r>
      <w:proofErr w:type="spellStart"/>
      <w:r w:rsidR="00453A36">
        <w:t>FWC</w:t>
      </w:r>
      <w:r>
        <w:t>’s</w:t>
      </w:r>
      <w:proofErr w:type="spellEnd"/>
      <w:r>
        <w:t xml:space="preserve"> determinations. Rather, they are indicative of the direction and pattern of change as it is modelled to evolve over time in response to award wage changes. In particular, the assumption that only th</w:t>
      </w:r>
      <w:r w:rsidR="004F0942">
        <w:t>ose employees recorded as award</w:t>
      </w:r>
      <w:r w:rsidR="004F0942">
        <w:noBreakHyphen/>
      </w:r>
      <w:r>
        <w:t xml:space="preserve">reliant in the ABS </w:t>
      </w:r>
      <w:r w:rsidRPr="007A604E">
        <w:rPr>
          <w:i/>
        </w:rPr>
        <w:t>Survey of Employe</w:t>
      </w:r>
      <w:r>
        <w:rPr>
          <w:i/>
        </w:rPr>
        <w:t>e</w:t>
      </w:r>
      <w:r w:rsidRPr="007A604E">
        <w:rPr>
          <w:i/>
        </w:rPr>
        <w:t xml:space="preserve"> Earnings and Hours</w:t>
      </w:r>
      <w:r>
        <w:rPr>
          <w:i/>
        </w:rPr>
        <w:t xml:space="preserve"> </w:t>
      </w:r>
      <w:r w:rsidRPr="00DB2D86">
        <w:t>are</w:t>
      </w:r>
      <w:r>
        <w:t xml:space="preserve"> directly affected by a change in award wage may not fully hold in reality. A further issue is</w:t>
      </w:r>
      <w:r w:rsidRPr="00CA1BAF">
        <w:t xml:space="preserve"> the extent to which </w:t>
      </w:r>
      <w:r>
        <w:t xml:space="preserve">the employment effects of </w:t>
      </w:r>
      <w:r w:rsidRPr="00CA1BAF">
        <w:t xml:space="preserve">variations in wages are realised as changes in the number of persons employed or in the </w:t>
      </w:r>
      <w:r>
        <w:t>hours</w:t>
      </w:r>
      <w:r w:rsidRPr="00CA1BAF">
        <w:t xml:space="preserve"> of work of those in employment</w:t>
      </w:r>
      <w:r>
        <w:t>, a matter not determined within the model</w:t>
      </w:r>
      <w:r w:rsidRPr="00CA1BAF">
        <w:t xml:space="preserve">. </w:t>
      </w:r>
      <w:r>
        <w:t>This is important since unemployment and underemployment can have different impacts on people’s lives and the economy. For example, long</w:t>
      </w:r>
      <w:r>
        <w:noBreakHyphen/>
        <w:t>term unemployment is more likely to erode skills and demotivate people than working fewer hours than desired. The fiscal savings can also vary depending on whether the outcome of wage moderation affects employment or hours worked — as eligibility for certain social security benefits depends not just on income, but on working status.</w:t>
      </w:r>
    </w:p>
    <w:p w14:paraId="00BB2E18" w14:textId="1906A425" w:rsidR="0034060E" w:rsidRDefault="0034060E" w:rsidP="00453A36">
      <w:pPr>
        <w:pStyle w:val="BodyText"/>
      </w:pPr>
      <w:r>
        <w:t>The dynamic modelling of the possible timescale of effects is based on a framework of ‘adaptive’ expectations where industry adjusts gradually to economic change. Under this approach, capital accumulates to equilibrate the actual return on capital with the expected rate and progressively depreciates, based on historical averages. Investment decisions of businesses are modelled as responding to minimum wage changes. To the extent that firms anticipate changes in the economy (flowing from minimum wage changes) and adjust investment, output and employment decisions, the modelling results could under</w:t>
      </w:r>
      <w:r w:rsidR="00453A36">
        <w:t>state</w:t>
      </w:r>
      <w:r>
        <w:t xml:space="preserve"> or overstate actual outcomes.</w:t>
      </w:r>
    </w:p>
    <w:p w14:paraId="00BB2E19" w14:textId="77827BB9" w:rsidR="0034060E" w:rsidRDefault="0034060E" w:rsidP="00453A36">
      <w:pPr>
        <w:pStyle w:val="BodyText"/>
      </w:pPr>
      <w:r>
        <w:t xml:space="preserve">The behavioural parameters included in the </w:t>
      </w:r>
      <w:proofErr w:type="spellStart"/>
      <w:r>
        <w:t>VUMR</w:t>
      </w:r>
      <w:r>
        <w:noBreakHyphen/>
        <w:t>WR</w:t>
      </w:r>
      <w:proofErr w:type="spellEnd"/>
      <w:r>
        <w:t xml:space="preserve"> model determine the responsiveness of producers and consumers to changes in relative prices (including wages) and are based on benchmark model values. To the extent that behavioural responses by producers and consumers differ (such as in purchasing local and imported supplies, the substitution between labour and capital in production</w:t>
      </w:r>
      <w:r w:rsidR="00453A36">
        <w:t>,</w:t>
      </w:r>
      <w:r>
        <w:t xml:space="preserve"> or the relocation of labour between regions) from these benchmark values, results could also understate or overstate outcomes. The behavioural parameters used in the model are</w:t>
      </w:r>
      <w:r w:rsidR="00453A36">
        <w:t xml:space="preserve"> the standard parameter</w:t>
      </w:r>
      <w:r>
        <w:t xml:space="preserve"> values included in successive versions of the model. The main values are included in appendix B.</w:t>
      </w:r>
    </w:p>
    <w:p w14:paraId="00BB2E1A" w14:textId="034EE29E" w:rsidR="0034060E" w:rsidRDefault="0034060E" w:rsidP="00453A36">
      <w:pPr>
        <w:pStyle w:val="BodyText"/>
      </w:pPr>
      <w:r>
        <w:t xml:space="preserve">Similarly, the compilation of the model database is based on simplifying assumptions needed to translate and calibrate available statistical information into a database representing the complex interactions in the economy. Deviations in the model data from actual economic flows would lead to </w:t>
      </w:r>
      <w:r w:rsidR="00453A36">
        <w:t xml:space="preserve">different </w:t>
      </w:r>
      <w:r>
        <w:t>aggregate results</w:t>
      </w:r>
      <w:r w:rsidR="00453A36">
        <w:t xml:space="preserve"> and possible</w:t>
      </w:r>
      <w:r>
        <w:t xml:space="preserve"> variation</w:t>
      </w:r>
      <w:r w:rsidR="00453A36">
        <w:t>s</w:t>
      </w:r>
      <w:r>
        <w:t xml:space="preserve"> in the distributional effects. </w:t>
      </w:r>
    </w:p>
    <w:p w14:paraId="00BB2E1B" w14:textId="77777777" w:rsidR="0034060E" w:rsidRDefault="0034060E" w:rsidP="00453A36">
      <w:pPr>
        <w:pStyle w:val="BodyText"/>
      </w:pPr>
    </w:p>
    <w:p w14:paraId="00BB2E1C" w14:textId="77777777" w:rsidR="0034060E" w:rsidRDefault="0034060E" w:rsidP="0034060E">
      <w:pPr>
        <w:sectPr w:rsidR="0034060E" w:rsidSect="0034060E">
          <w:headerReference w:type="even" r:id="rId36"/>
          <w:headerReference w:type="default" r:id="rId37"/>
          <w:footerReference w:type="even" r:id="rId38"/>
          <w:footerReference w:type="default" r:id="rId39"/>
          <w:type w:val="oddPage"/>
          <w:pgSz w:w="11907" w:h="16840" w:code="9"/>
          <w:pgMar w:top="1985" w:right="1304" w:bottom="1247" w:left="1814" w:header="1701" w:footer="397" w:gutter="0"/>
          <w:pgNumType w:chapSep="period"/>
          <w:cols w:space="720"/>
          <w:docGrid w:linePitch="326"/>
        </w:sectPr>
      </w:pPr>
    </w:p>
    <w:p w14:paraId="00BB2E1D" w14:textId="77777777" w:rsidR="0034060E" w:rsidRDefault="0034060E" w:rsidP="00453A36">
      <w:pPr>
        <w:pStyle w:val="Heading1"/>
        <w:spacing w:before="0"/>
      </w:pPr>
      <w:r>
        <w:lastRenderedPageBreak/>
        <w:t>3</w:t>
      </w:r>
      <w:r>
        <w:tab/>
        <w:t>Main results</w:t>
      </w:r>
    </w:p>
    <w:p w14:paraId="00BB2E1E" w14:textId="7DBF074D" w:rsidR="0034060E" w:rsidRDefault="0034060E" w:rsidP="00453A36">
      <w:pPr>
        <w:pStyle w:val="BodyText"/>
      </w:pPr>
      <w:r>
        <w:t xml:space="preserve">This chapter reports on the potential economic effects of a hypothetical scenario of moderating the growth in the minimum wage. This modelling projects </w:t>
      </w:r>
      <w:r w:rsidR="00453A36">
        <w:t>the economic impacts</w:t>
      </w:r>
      <w:r>
        <w:t xml:space="preserve"> over time, </w:t>
      </w:r>
      <w:r w:rsidR="00453A36">
        <w:t>and examines</w:t>
      </w:r>
      <w:r>
        <w:t xml:space="preserve"> </w:t>
      </w:r>
      <w:r w:rsidR="00453A36">
        <w:t xml:space="preserve">the </w:t>
      </w:r>
      <w:r>
        <w:t xml:space="preserve">possible adjustment implications and the timescale </w:t>
      </w:r>
      <w:r w:rsidR="00453A36">
        <w:t xml:space="preserve">of </w:t>
      </w:r>
      <w:r>
        <w:t xml:space="preserve">changes. </w:t>
      </w:r>
    </w:p>
    <w:p w14:paraId="00BB2E1F" w14:textId="227C8D9D" w:rsidR="0034060E" w:rsidRDefault="0034060E" w:rsidP="00C75068">
      <w:pPr>
        <w:pStyle w:val="Heading2"/>
      </w:pPr>
      <w:r>
        <w:t>3.</w:t>
      </w:r>
      <w:r>
        <w:rPr>
          <w:noProof/>
        </w:rPr>
        <w:t>1</w:t>
      </w:r>
      <w:r>
        <w:tab/>
        <w:t>Labour market implications</w:t>
      </w:r>
    </w:p>
    <w:p w14:paraId="00BB2E20" w14:textId="2A7CCB4A" w:rsidR="0034060E" w:rsidRDefault="0034060E" w:rsidP="00453A36">
      <w:pPr>
        <w:pStyle w:val="BodyText"/>
      </w:pPr>
      <w:r>
        <w:t>Under scenario 1, the expert panel is assumed to set award wages so that they grow in line with other wages for each occupation. This provides a natural benchmark (or counterfactual) against which the economic impacts of chan</w:t>
      </w:r>
      <w:r w:rsidR="004F0942">
        <w:t>ges in relative wages of award</w:t>
      </w:r>
      <w:r w:rsidR="004F0942">
        <w:noBreakHyphen/>
      </w:r>
      <w:r>
        <w:t>reliant workers can be assessed.</w:t>
      </w:r>
    </w:p>
    <w:p w14:paraId="00BB2E21" w14:textId="77777777" w:rsidR="0034060E" w:rsidRDefault="0034060E" w:rsidP="00453A36">
      <w:pPr>
        <w:pStyle w:val="BodyText"/>
      </w:pPr>
      <w:r>
        <w:t>As indicated in chapter 1, about 19 per cent of the workforce is estimated to be award</w:t>
      </w:r>
      <w:r>
        <w:noBreakHyphen/>
        <w:t>reliant. In the moderate minimum wage growth scenario (scenario 2), wages for this group of workers are modelled as growing one percentage point slower than in scenario 1 from 2017</w:t>
      </w:r>
      <w:r>
        <w:noBreakHyphen/>
        <w:t>18 to 2021</w:t>
      </w:r>
      <w:r>
        <w:noBreakHyphen/>
        <w:t>22. Under this scenario, by 2021</w:t>
      </w:r>
      <w:r>
        <w:noBreakHyphen/>
        <w:t>22, minimum award wages would be around 5 per cent below minimum award wages in scenario 1. Beyond 2021</w:t>
      </w:r>
      <w:r>
        <w:noBreakHyphen/>
        <w:t xml:space="preserve">22, the expert panel is again assumed to set award wages to grow at the rate of other wages. </w:t>
      </w:r>
    </w:p>
    <w:p w14:paraId="00BB2E22" w14:textId="77777777" w:rsidR="0034060E" w:rsidRDefault="0034060E" w:rsidP="00453A36">
      <w:pPr>
        <w:pStyle w:val="BodyText"/>
      </w:pPr>
      <w:r>
        <w:t>Reflecting moderation of wage growth of award wage earners, overall average wage rates are projected to be around half a per cent lower than otherwise by 2021</w:t>
      </w:r>
      <w:r>
        <w:noBreakHyphen/>
        <w:t>22. (This outcome is a consequence of the relatively modest share of employees who are award</w:t>
      </w:r>
      <w:r>
        <w:noBreakHyphen/>
        <w:t>reliant and the lower average wage rate for such employees compared with others.)</w:t>
      </w:r>
    </w:p>
    <w:p w14:paraId="00BB2E23" w14:textId="036BB21B" w:rsidR="0034060E" w:rsidRDefault="0034060E" w:rsidP="00453A36">
      <w:pPr>
        <w:pStyle w:val="BodyText"/>
      </w:pPr>
      <w:r>
        <w:t>The initial growth in projected employment occurs as businesses respond to the moderation in award wages by shifting toward more labour</w:t>
      </w:r>
      <w:r>
        <w:noBreakHyphen/>
        <w:t xml:space="preserve">intensive activities. </w:t>
      </w:r>
      <w:r w:rsidR="00453A36">
        <w:t>All else being equal, t</w:t>
      </w:r>
      <w:r>
        <w:t>he moderated wage growth would also improve the trade competitiveness of domestic</w:t>
      </w:r>
      <w:r w:rsidR="00453A36">
        <w:t xml:space="preserve"> industry. O</w:t>
      </w:r>
      <w:r>
        <w:t>ver time, output would increase, thereby increasing the demand for labour. Aggregate employment (measured in hours) is projected to be about 0.2 per cent higher in 2017</w:t>
      </w:r>
      <w:r>
        <w:noBreakHyphen/>
        <w:t>18. As the economy adjusts over time, aggregate employment measured in hours worked is projected to be about 1.2 per cent above what it would otherwise be in 2024</w:t>
      </w:r>
      <w:r>
        <w:noBreakHyphen/>
        <w:t>25 (scenario 1) (figure 3.1).</w:t>
      </w:r>
      <w:r>
        <w:rPr>
          <w:sz w:val="20"/>
        </w:rPr>
        <w:t xml:space="preserve"> </w:t>
      </w:r>
      <w:r>
        <w:t>With the main employment</w:t>
      </w:r>
      <w:r>
        <w:noBreakHyphen/>
        <w:t>augmenting adjustment concentrated on award</w:t>
      </w:r>
      <w:r w:rsidR="00B22FFA">
        <w:noBreakHyphen/>
      </w:r>
      <w:r>
        <w:t>reliant workers, employment of this group is projected to be 8 per cent above the level in 2024</w:t>
      </w:r>
      <w:r>
        <w:noBreakHyphen/>
        <w:t>25 than would otherwise prevail. If this increase were entirely realised through job creation, aggregate full</w:t>
      </w:r>
      <w:r>
        <w:noBreakHyphen/>
        <w:t>time equivalent employment would be around 150 000 persons larger by 2024</w:t>
      </w:r>
      <w:r>
        <w:noBreakHyphen/>
        <w:t xml:space="preserve">25. </w:t>
      </w:r>
    </w:p>
    <w:p w14:paraId="00BB2E24" w14:textId="54C98857"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4060E" w14:paraId="00BB2E27" w14:textId="77777777" w:rsidTr="00453A36">
        <w:tc>
          <w:tcPr>
            <w:tcW w:w="8771" w:type="dxa"/>
            <w:tcBorders>
              <w:top w:val="single" w:sz="6" w:space="0" w:color="78A22F"/>
              <w:left w:val="nil"/>
              <w:bottom w:val="nil"/>
              <w:right w:val="nil"/>
            </w:tcBorders>
            <w:hideMark/>
          </w:tcPr>
          <w:p w14:paraId="00BB2E25" w14:textId="6C921E60" w:rsidR="0034060E" w:rsidRDefault="0034060E">
            <w:pPr>
              <w:pStyle w:val="FigureTitle"/>
            </w:pPr>
            <w:r>
              <w:rPr>
                <w:b w:val="0"/>
              </w:rPr>
              <w:t>Figure 3.</w:t>
            </w:r>
            <w:r>
              <w:rPr>
                <w:b w:val="0"/>
                <w:noProof/>
              </w:rPr>
              <w:t>1</w:t>
            </w:r>
            <w:r>
              <w:tab/>
              <w:t>Projected effects of the moderate minimum wage growth scenario on hours worked</w:t>
            </w:r>
          </w:p>
          <w:p w14:paraId="00BB2E26" w14:textId="77777777" w:rsidR="0034060E" w:rsidRDefault="0034060E">
            <w:pPr>
              <w:pStyle w:val="Subtitle"/>
            </w:pPr>
            <w:r>
              <w:t>Index, 2013</w:t>
            </w:r>
            <w:r>
              <w:noBreakHyphen/>
              <w:t>14 = 100</w:t>
            </w:r>
          </w:p>
        </w:tc>
      </w:tr>
      <w:tr w:rsidR="0034060E" w14:paraId="00BB2E31" w14:textId="77777777" w:rsidTr="00453A36">
        <w:tc>
          <w:tcPr>
            <w:tcW w:w="8771" w:type="dxa"/>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4A0" w:firstRow="1" w:lastRow="0" w:firstColumn="1" w:lastColumn="0" w:noHBand="0" w:noVBand="1"/>
            </w:tblPr>
            <w:tblGrid>
              <w:gridCol w:w="4254"/>
              <w:gridCol w:w="4254"/>
            </w:tblGrid>
            <w:tr w:rsidR="0034060E" w14:paraId="00BB2E2A" w14:textId="77777777">
              <w:trPr>
                <w:trHeight w:val="180"/>
                <w:jc w:val="center"/>
              </w:trPr>
              <w:tc>
                <w:tcPr>
                  <w:tcW w:w="2500" w:type="pct"/>
                  <w:tcBorders>
                    <w:top w:val="nil"/>
                    <w:left w:val="nil"/>
                    <w:bottom w:val="nil"/>
                    <w:right w:val="nil"/>
                  </w:tcBorders>
                  <w:hideMark/>
                </w:tcPr>
                <w:p w14:paraId="00BB2E28" w14:textId="77777777" w:rsidR="0034060E" w:rsidRPr="00577AB7" w:rsidRDefault="0034060E">
                  <w:pPr>
                    <w:pStyle w:val="Figure"/>
                    <w:spacing w:before="60" w:after="60"/>
                    <w:rPr>
                      <w:rFonts w:ascii="Arial" w:hAnsi="Arial" w:cs="Arial"/>
                      <w:sz w:val="20"/>
                      <w:szCs w:val="18"/>
                    </w:rPr>
                  </w:pPr>
                  <w:r w:rsidRPr="00577AB7">
                    <w:rPr>
                      <w:rFonts w:ascii="Arial" w:hAnsi="Arial" w:cs="Arial"/>
                      <w:sz w:val="20"/>
                      <w:szCs w:val="18"/>
                    </w:rPr>
                    <w:t>Aggregate employment</w:t>
                  </w:r>
                </w:p>
              </w:tc>
              <w:tc>
                <w:tcPr>
                  <w:tcW w:w="2500" w:type="pct"/>
                  <w:tcBorders>
                    <w:top w:val="nil"/>
                    <w:left w:val="nil"/>
                    <w:bottom w:val="nil"/>
                    <w:right w:val="nil"/>
                  </w:tcBorders>
                  <w:hideMark/>
                </w:tcPr>
                <w:p w14:paraId="00BB2E29" w14:textId="77777777" w:rsidR="0034060E" w:rsidRPr="00577AB7" w:rsidRDefault="0034060E">
                  <w:pPr>
                    <w:pStyle w:val="Figure"/>
                    <w:spacing w:before="60" w:after="60"/>
                    <w:rPr>
                      <w:rFonts w:ascii="Arial" w:hAnsi="Arial" w:cs="Arial"/>
                      <w:sz w:val="20"/>
                      <w:szCs w:val="18"/>
                    </w:rPr>
                  </w:pPr>
                  <w:r w:rsidRPr="00577AB7">
                    <w:rPr>
                      <w:rFonts w:ascii="Arial" w:hAnsi="Arial" w:cs="Arial"/>
                      <w:sz w:val="20"/>
                      <w:szCs w:val="18"/>
                    </w:rPr>
                    <w:t>Award</w:t>
                  </w:r>
                  <w:r w:rsidRPr="00577AB7">
                    <w:rPr>
                      <w:rFonts w:ascii="Arial" w:hAnsi="Arial" w:cs="Arial"/>
                      <w:sz w:val="20"/>
                      <w:szCs w:val="18"/>
                    </w:rPr>
                    <w:noBreakHyphen/>
                    <w:t>reliant employment</w:t>
                  </w:r>
                </w:p>
              </w:tc>
            </w:tr>
            <w:tr w:rsidR="0034060E" w14:paraId="00BB2E2D" w14:textId="77777777" w:rsidTr="00170CFC">
              <w:tblPrEx>
                <w:tblCellMar>
                  <w:left w:w="108" w:type="dxa"/>
                  <w:right w:w="108" w:type="dxa"/>
                </w:tblCellMar>
              </w:tblPrEx>
              <w:trPr>
                <w:trHeight w:val="180"/>
                <w:jc w:val="center"/>
              </w:trPr>
              <w:tc>
                <w:tcPr>
                  <w:tcW w:w="2500" w:type="pct"/>
                  <w:tcBorders>
                    <w:top w:val="nil"/>
                    <w:left w:val="nil"/>
                    <w:bottom w:val="nil"/>
                    <w:right w:val="nil"/>
                  </w:tcBorders>
                  <w:hideMark/>
                </w:tcPr>
                <w:p w14:paraId="00BB2E2B" w14:textId="5B2CAF2D" w:rsidR="0034060E" w:rsidRDefault="00170CFC">
                  <w:pPr>
                    <w:pStyle w:val="Figure"/>
                    <w:spacing w:before="60" w:after="60"/>
                  </w:pPr>
                  <w:r w:rsidRPr="00170CFC">
                    <w:rPr>
                      <w:noProof/>
                    </w:rPr>
                    <w:drawing>
                      <wp:inline distT="0" distB="0" distL="0" distR="0" wp14:anchorId="5C4942F0" wp14:editId="137E7874">
                        <wp:extent cx="2772000" cy="2430140"/>
                        <wp:effectExtent l="0" t="0" r="0" b="8890"/>
                        <wp:docPr id="1" name="Chart 1" descr="Figure 3.1 Projected effects of the moderate minimum wage growth scenario on hours worked. Index, 2013-14 = 100. This figure is comprised of two charts. The first shows a modest increase in aggregate employment as a result of moderating minimum wage growth. "/>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2500" w:type="pct"/>
                  <w:tcBorders>
                    <w:top w:val="nil"/>
                    <w:left w:val="nil"/>
                    <w:bottom w:val="nil"/>
                    <w:right w:val="nil"/>
                  </w:tcBorders>
                  <w:hideMark/>
                </w:tcPr>
                <w:p w14:paraId="00BB2E2C" w14:textId="30DACD77" w:rsidR="0034060E" w:rsidRDefault="00170CFC">
                  <w:pPr>
                    <w:pStyle w:val="Figure"/>
                    <w:spacing w:before="60" w:after="60"/>
                  </w:pPr>
                  <w:r w:rsidRPr="00170CFC">
                    <w:rPr>
                      <w:noProof/>
                    </w:rPr>
                    <w:drawing>
                      <wp:inline distT="0" distB="0" distL="0" distR="0" wp14:anchorId="550909DF" wp14:editId="55C09B0F">
                        <wp:extent cx="2772000" cy="2432522"/>
                        <wp:effectExtent l="0" t="0" r="0" b="6350"/>
                        <wp:docPr id="23" name="Chart 23" descr="Figure 3.1 Projected effects of the moderate minimum wage growth scenario on hours worked. Index, 2013-14 = 100. This figure is comprised of two charts. This is the second chart.  It shows a proportionately larger increase in award reliant employ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34060E" w14:paraId="00BB2E2F" w14:textId="77777777">
              <w:trPr>
                <w:trHeight w:val="180"/>
                <w:jc w:val="center"/>
              </w:trPr>
              <w:tc>
                <w:tcPr>
                  <w:tcW w:w="5000" w:type="pct"/>
                  <w:gridSpan w:val="2"/>
                  <w:tcBorders>
                    <w:top w:val="nil"/>
                    <w:left w:val="nil"/>
                    <w:bottom w:val="nil"/>
                    <w:right w:val="nil"/>
                  </w:tcBorders>
                  <w:hideMark/>
                </w:tcPr>
                <w:p w14:paraId="00BB2E2E" w14:textId="77777777" w:rsidR="0034060E" w:rsidRDefault="0034060E">
                  <w:pPr>
                    <w:pStyle w:val="Figure"/>
                    <w:spacing w:before="60" w:after="60"/>
                    <w:rPr>
                      <w:rFonts w:ascii="Arial" w:hAnsi="Arial" w:cs="Arial"/>
                      <w:noProof/>
                      <w:sz w:val="18"/>
                      <w:szCs w:val="18"/>
                    </w:rPr>
                  </w:pPr>
                  <w:r>
                    <w:rPr>
                      <w:noProof/>
                    </w:rPr>
                    <w:drawing>
                      <wp:inline distT="0" distB="0" distL="0" distR="0" wp14:anchorId="00BB39C8" wp14:editId="1798DA31">
                        <wp:extent cx="4307681" cy="445294"/>
                        <wp:effectExtent l="0" t="0" r="0" b="0"/>
                        <wp:docPr id="28" name="Picture 27" descr="Leg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07681" cy="44529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00BB2E30" w14:textId="77777777" w:rsidR="0034060E" w:rsidRDefault="0034060E">
            <w:pPr>
              <w:pStyle w:val="Figure"/>
            </w:pPr>
          </w:p>
        </w:tc>
      </w:tr>
      <w:tr w:rsidR="0034060E" w14:paraId="00BB2E33" w14:textId="77777777" w:rsidTr="00453A36">
        <w:tc>
          <w:tcPr>
            <w:tcW w:w="8771" w:type="dxa"/>
            <w:tcBorders>
              <w:top w:val="nil"/>
              <w:left w:val="nil"/>
              <w:bottom w:val="nil"/>
              <w:right w:val="nil"/>
            </w:tcBorders>
            <w:hideMark/>
          </w:tcPr>
          <w:p w14:paraId="00BB2E32" w14:textId="77777777" w:rsidR="0034060E" w:rsidRDefault="0034060E">
            <w:pPr>
              <w:pStyle w:val="Source"/>
            </w:pPr>
            <w:r>
              <w:rPr>
                <w:i/>
              </w:rPr>
              <w:t>Source</w:t>
            </w:r>
            <w:r>
              <w:t xml:space="preserve">: Productivity Commission projections based on the </w:t>
            </w:r>
            <w:proofErr w:type="spellStart"/>
            <w:r>
              <w:t>VUMR</w:t>
            </w:r>
            <w:r>
              <w:noBreakHyphen/>
              <w:t>WR</w:t>
            </w:r>
            <w:proofErr w:type="spellEnd"/>
            <w:r>
              <w:t xml:space="preserve"> model.</w:t>
            </w:r>
          </w:p>
        </w:tc>
      </w:tr>
      <w:tr w:rsidR="0034060E" w14:paraId="00BB2E35" w14:textId="77777777" w:rsidTr="00453A36">
        <w:tc>
          <w:tcPr>
            <w:tcW w:w="8771" w:type="dxa"/>
            <w:tcBorders>
              <w:top w:val="nil"/>
              <w:left w:val="nil"/>
              <w:bottom w:val="single" w:sz="6" w:space="0" w:color="78A22F"/>
              <w:right w:val="nil"/>
            </w:tcBorders>
          </w:tcPr>
          <w:p w14:paraId="00BB2E34" w14:textId="77777777" w:rsidR="0034060E" w:rsidRDefault="0034060E">
            <w:pPr>
              <w:pStyle w:val="Figurespace"/>
            </w:pPr>
          </w:p>
        </w:tc>
      </w:tr>
      <w:tr w:rsidR="0034060E" w14:paraId="00BB2E37" w14:textId="77777777" w:rsidTr="00453A36">
        <w:tc>
          <w:tcPr>
            <w:tcW w:w="8771" w:type="dxa"/>
            <w:tcBorders>
              <w:top w:val="single" w:sz="6" w:space="0" w:color="78A22F"/>
              <w:left w:val="nil"/>
              <w:bottom w:val="nil"/>
              <w:right w:val="nil"/>
            </w:tcBorders>
            <w:hideMark/>
          </w:tcPr>
          <w:p w14:paraId="00BB2E36" w14:textId="52804EAA" w:rsidR="0034060E" w:rsidRDefault="0034060E">
            <w:pPr>
              <w:pStyle w:val="BoxSpaceBelow"/>
            </w:pPr>
          </w:p>
        </w:tc>
      </w:tr>
    </w:tbl>
    <w:p w14:paraId="00BB2E38" w14:textId="27655605" w:rsidR="0034060E" w:rsidRDefault="0034060E" w:rsidP="00453A36">
      <w:pPr>
        <w:pStyle w:val="BodyText"/>
      </w:pPr>
      <w:r>
        <w:t>In practice, some of the increased demand would be met through existing employees working additional hours, rather than through new jobs. As discussed in the Productivity Commission’s report on Workplace Relations Frameworks</w:t>
      </w:r>
      <w:r w:rsidR="004F0942">
        <w:t xml:space="preserve"> </w:t>
      </w:r>
      <w:r w:rsidR="004F0942" w:rsidRPr="004F0942">
        <w:t>(</w:t>
      </w:r>
      <w:proofErr w:type="spellStart"/>
      <w:r w:rsidR="004F0942" w:rsidRPr="004F0942">
        <w:t>2015b</w:t>
      </w:r>
      <w:proofErr w:type="spellEnd"/>
      <w:r w:rsidR="004F0942" w:rsidRPr="004F0942">
        <w:t>)</w:t>
      </w:r>
      <w:r>
        <w:t xml:space="preserve">, many employees would prefer to work more hours (underemployment) in Australia. Since 1992, underemployment is estimated to have accounted for around 6 per cent or more of the Australian labour force </w:t>
      </w:r>
      <w:r>
        <w:rPr>
          <w:szCs w:val="24"/>
        </w:rPr>
        <w:t>(ABS 2015)</w:t>
      </w:r>
      <w:r>
        <w:t>. This represents a large pool from which increased employment could be drawn. Moreover, for businesses, increasing the hours of existing employees involves fewer costs than new hires.</w:t>
      </w:r>
      <w:r w:rsidRPr="002437E4">
        <w:t xml:space="preserve"> </w:t>
      </w:r>
    </w:p>
    <w:p w14:paraId="00BB2E39" w14:textId="66E66640" w:rsidR="0034060E" w:rsidRDefault="0034060E" w:rsidP="00C75068">
      <w:pPr>
        <w:pStyle w:val="Heading2"/>
      </w:pPr>
      <w:r>
        <w:t>3.</w:t>
      </w:r>
      <w:r>
        <w:rPr>
          <w:noProof/>
        </w:rPr>
        <w:t>2</w:t>
      </w:r>
      <w:r>
        <w:tab/>
        <w:t>Aggregate implications</w:t>
      </w:r>
    </w:p>
    <w:p w14:paraId="00BB2E3A" w14:textId="77777777" w:rsidR="0034060E" w:rsidRDefault="0034060E" w:rsidP="00453A36">
      <w:pPr>
        <w:pStyle w:val="BodyText"/>
      </w:pPr>
      <w:r>
        <w:t>Reflecting the modest aggregate employment effects, the economywide effects are also likely to be modest. Moderating minimum award wage growth by one percentage point each year for five years is projected to lead to levels of gross domestic product and gross national expenditure of around 0.75 per cent above what they would otherwise be by 2024</w:t>
      </w:r>
      <w:r>
        <w:noBreakHyphen/>
        <w:t>25 (table 3.1). By 2024</w:t>
      </w:r>
      <w:r>
        <w:noBreakHyphen/>
        <w:t>25, gross domestic product is projected to be around $16 billion larger than it would otherwise have been (in 2013</w:t>
      </w:r>
      <w:r>
        <w:noBreakHyphen/>
        <w:t xml:space="preserve">14 prices). Again, these results are dependent on the underlying parameters and structure of the </w:t>
      </w:r>
      <w:proofErr w:type="spellStart"/>
      <w:r>
        <w:t>VUMR</w:t>
      </w:r>
      <w:r>
        <w:noBreakHyphen/>
        <w:t>WR</w:t>
      </w:r>
      <w:proofErr w:type="spellEnd"/>
      <w:r>
        <w:t xml:space="preserve"> model.</w:t>
      </w:r>
    </w:p>
    <w:p w14:paraId="00BB2E3B" w14:textId="77777777" w:rsidR="0034060E" w:rsidRDefault="0034060E" w:rsidP="00453A36">
      <w:pPr>
        <w:pStyle w:val="BodyText"/>
      </w:pPr>
      <w:r>
        <w:lastRenderedPageBreak/>
        <w:t>While the moderation of the growth in minimum wages may be expected to constrain the growth in wage rates of existing minimum wage workers, the effect on wage income is projected to be more than offset in the modelling by the expansion in employment of minimum wage workers, whether in terms of increased hours or in additional jobs. At an aggregate level, this is shown by the projected expansion in real household consumer spending of 0.7 per cent above its baseline by 2024</w:t>
      </w:r>
      <w:r>
        <w:noBreakHyphen/>
        <w:t>25 (table 3.1).</w:t>
      </w:r>
    </w:p>
    <w:p w14:paraId="00BB2E3C" w14:textId="1F56C087" w:rsidR="0034060E" w:rsidRDefault="0034060E" w:rsidP="00453A36">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for layout design, a nested table with content sit within this design."/>
      </w:tblPr>
      <w:tblGrid>
        <w:gridCol w:w="8771"/>
      </w:tblGrid>
      <w:tr w:rsidR="0034060E" w14:paraId="00BB2E3F" w14:textId="77777777" w:rsidTr="00CA438F">
        <w:tc>
          <w:tcPr>
            <w:tcW w:w="8771" w:type="dxa"/>
            <w:tcBorders>
              <w:top w:val="single" w:sz="6" w:space="0" w:color="78A22F"/>
              <w:left w:val="nil"/>
              <w:bottom w:val="nil"/>
              <w:right w:val="nil"/>
            </w:tcBorders>
            <w:hideMark/>
          </w:tcPr>
          <w:p w14:paraId="00BB2E3D" w14:textId="4FA01653" w:rsidR="0034060E" w:rsidRDefault="0034060E">
            <w:pPr>
              <w:pStyle w:val="TableTitle"/>
            </w:pPr>
            <w:r>
              <w:rPr>
                <w:b w:val="0"/>
              </w:rPr>
              <w:t>Table 3.</w:t>
            </w:r>
            <w:r>
              <w:rPr>
                <w:b w:val="0"/>
                <w:noProof/>
              </w:rPr>
              <w:t>1</w:t>
            </w:r>
            <w:r>
              <w:tab/>
              <w:t>Projected economywide effects of the moderate minimum wage growth scenario</w:t>
            </w:r>
          </w:p>
          <w:p w14:paraId="00BB2E3E" w14:textId="77777777" w:rsidR="0034060E" w:rsidRDefault="0034060E">
            <w:pPr>
              <w:pStyle w:val="Subtitle"/>
            </w:pPr>
            <w:r>
              <w:t>Percentage difference from scenario 1</w:t>
            </w:r>
          </w:p>
        </w:tc>
      </w:tr>
      <w:tr w:rsidR="0034060E" w14:paraId="00BB2E7D" w14:textId="77777777" w:rsidTr="00CA438F">
        <w:tc>
          <w:tcPr>
            <w:tcW w:w="8771" w:type="dxa"/>
            <w:tcBorders>
              <w:top w:val="nil"/>
              <w:left w:val="nil"/>
              <w:bottom w:val="nil"/>
              <w:right w:val="nil"/>
            </w:tcBorders>
            <w:hideMark/>
          </w:tcPr>
          <w:tbl>
            <w:tblPr>
              <w:tblW w:w="4998" w:type="pct"/>
              <w:tblCellMar>
                <w:top w:w="28" w:type="dxa"/>
                <w:left w:w="0" w:type="dxa"/>
                <w:right w:w="0" w:type="dxa"/>
              </w:tblCellMar>
              <w:tblLook w:val="04A0" w:firstRow="1" w:lastRow="0" w:firstColumn="1" w:lastColumn="0" w:noHBand="0" w:noVBand="1"/>
            </w:tblPr>
            <w:tblGrid>
              <w:gridCol w:w="4798"/>
              <w:gridCol w:w="1843"/>
              <w:gridCol w:w="1843"/>
            </w:tblGrid>
            <w:tr w:rsidR="0034060E" w14:paraId="00BB2E43" w14:textId="77777777" w:rsidTr="00D46F34">
              <w:tc>
                <w:tcPr>
                  <w:tcW w:w="2828" w:type="pct"/>
                  <w:tcBorders>
                    <w:top w:val="single" w:sz="6" w:space="0" w:color="BFBFBF"/>
                    <w:left w:val="nil"/>
                    <w:right w:val="nil"/>
                  </w:tcBorders>
                </w:tcPr>
                <w:p w14:paraId="00BB2E40" w14:textId="77777777" w:rsidR="0034060E" w:rsidRDefault="0034060E" w:rsidP="00D46F34">
                  <w:pPr>
                    <w:pStyle w:val="TableColumnHeading"/>
                    <w:spacing w:after="0"/>
                    <w:jc w:val="left"/>
                  </w:pPr>
                </w:p>
              </w:tc>
              <w:tc>
                <w:tcPr>
                  <w:tcW w:w="1086" w:type="pct"/>
                  <w:tcBorders>
                    <w:top w:val="single" w:sz="6" w:space="0" w:color="BFBFBF"/>
                    <w:left w:val="nil"/>
                    <w:right w:val="nil"/>
                  </w:tcBorders>
                  <w:hideMark/>
                </w:tcPr>
                <w:p w14:paraId="00BB2E41" w14:textId="77777777" w:rsidR="0034060E" w:rsidRDefault="0034060E" w:rsidP="00D46F34">
                  <w:pPr>
                    <w:pStyle w:val="TableColumnHeading"/>
                    <w:spacing w:after="0"/>
                  </w:pPr>
                  <w:r>
                    <w:t>2017</w:t>
                  </w:r>
                  <w:r>
                    <w:noBreakHyphen/>
                    <w:t>18</w:t>
                  </w:r>
                </w:p>
              </w:tc>
              <w:tc>
                <w:tcPr>
                  <w:tcW w:w="1086" w:type="pct"/>
                  <w:tcBorders>
                    <w:top w:val="single" w:sz="6" w:space="0" w:color="BFBFBF"/>
                    <w:left w:val="nil"/>
                    <w:right w:val="nil"/>
                  </w:tcBorders>
                  <w:hideMark/>
                </w:tcPr>
                <w:p w14:paraId="00BB2E42" w14:textId="77777777" w:rsidR="0034060E" w:rsidRDefault="0034060E" w:rsidP="00D46F34">
                  <w:pPr>
                    <w:pStyle w:val="TableColumnHeading"/>
                    <w:spacing w:after="0"/>
                    <w:ind w:right="28"/>
                  </w:pPr>
                  <w:r>
                    <w:t>2024</w:t>
                  </w:r>
                  <w:r>
                    <w:noBreakHyphen/>
                    <w:t>25</w:t>
                  </w:r>
                </w:p>
              </w:tc>
            </w:tr>
            <w:tr w:rsidR="0034060E" w14:paraId="00BB2E47" w14:textId="77777777" w:rsidTr="00D46F34">
              <w:tc>
                <w:tcPr>
                  <w:tcW w:w="2828" w:type="pct"/>
                  <w:tcBorders>
                    <w:left w:val="nil"/>
                    <w:bottom w:val="single" w:sz="6" w:space="0" w:color="BFBFBF"/>
                    <w:right w:val="nil"/>
                  </w:tcBorders>
                </w:tcPr>
                <w:p w14:paraId="00BB2E44" w14:textId="77777777" w:rsidR="0034060E" w:rsidRDefault="0034060E">
                  <w:pPr>
                    <w:pStyle w:val="TableUnitsRow"/>
                    <w:jc w:val="left"/>
                  </w:pPr>
                </w:p>
              </w:tc>
              <w:tc>
                <w:tcPr>
                  <w:tcW w:w="1086" w:type="pct"/>
                  <w:tcBorders>
                    <w:left w:val="nil"/>
                    <w:bottom w:val="single" w:sz="6" w:space="0" w:color="BFBFBF"/>
                    <w:right w:val="nil"/>
                  </w:tcBorders>
                </w:tcPr>
                <w:p w14:paraId="00BB2E45" w14:textId="77777777" w:rsidR="0034060E" w:rsidRDefault="0034060E">
                  <w:pPr>
                    <w:pStyle w:val="TableUnitsRow"/>
                  </w:pPr>
                  <w:r>
                    <w:t>%</w:t>
                  </w:r>
                </w:p>
              </w:tc>
              <w:tc>
                <w:tcPr>
                  <w:tcW w:w="1086" w:type="pct"/>
                  <w:tcBorders>
                    <w:left w:val="nil"/>
                    <w:bottom w:val="single" w:sz="6" w:space="0" w:color="BFBFBF"/>
                    <w:right w:val="nil"/>
                  </w:tcBorders>
                </w:tcPr>
                <w:p w14:paraId="00BB2E46" w14:textId="77777777" w:rsidR="0034060E" w:rsidRDefault="0034060E">
                  <w:pPr>
                    <w:pStyle w:val="TableUnitsRow"/>
                    <w:ind w:right="28"/>
                  </w:pPr>
                  <w:r>
                    <w:t>%</w:t>
                  </w:r>
                </w:p>
              </w:tc>
            </w:tr>
            <w:tr w:rsidR="0034060E" w14:paraId="00BB2E4B" w14:textId="77777777" w:rsidTr="00D46F34">
              <w:tc>
                <w:tcPr>
                  <w:tcW w:w="2828" w:type="pct"/>
                  <w:tcBorders>
                    <w:top w:val="single" w:sz="6" w:space="0" w:color="BFBFBF"/>
                    <w:left w:val="nil"/>
                    <w:bottom w:val="nil"/>
                    <w:right w:val="nil"/>
                  </w:tcBorders>
                  <w:hideMark/>
                </w:tcPr>
                <w:p w14:paraId="00BB2E48" w14:textId="77777777" w:rsidR="0034060E" w:rsidRDefault="0034060E" w:rsidP="00D46F34">
                  <w:pPr>
                    <w:pStyle w:val="TableBodyText"/>
                    <w:spacing w:before="80"/>
                    <w:jc w:val="left"/>
                  </w:pPr>
                  <w:r>
                    <w:t>Real gross domestic product</w:t>
                  </w:r>
                </w:p>
              </w:tc>
              <w:tc>
                <w:tcPr>
                  <w:tcW w:w="1086" w:type="pct"/>
                  <w:tcBorders>
                    <w:top w:val="single" w:sz="6" w:space="0" w:color="BFBFBF"/>
                    <w:left w:val="nil"/>
                    <w:bottom w:val="nil"/>
                    <w:right w:val="nil"/>
                  </w:tcBorders>
                  <w:hideMark/>
                </w:tcPr>
                <w:p w14:paraId="00BB2E49" w14:textId="77777777" w:rsidR="0034060E" w:rsidRDefault="0034060E" w:rsidP="00D46F34">
                  <w:pPr>
                    <w:pStyle w:val="TableBodyText"/>
                    <w:spacing w:before="80"/>
                  </w:pPr>
                  <w:r>
                    <w:t>0.1</w:t>
                  </w:r>
                </w:p>
              </w:tc>
              <w:tc>
                <w:tcPr>
                  <w:tcW w:w="1086" w:type="pct"/>
                  <w:tcBorders>
                    <w:top w:val="single" w:sz="6" w:space="0" w:color="BFBFBF"/>
                    <w:left w:val="nil"/>
                    <w:bottom w:val="nil"/>
                    <w:right w:val="nil"/>
                  </w:tcBorders>
                  <w:hideMark/>
                </w:tcPr>
                <w:p w14:paraId="00BB2E4A" w14:textId="77777777" w:rsidR="0034060E" w:rsidRDefault="0034060E" w:rsidP="00D46F34">
                  <w:pPr>
                    <w:pStyle w:val="TableBodyText"/>
                    <w:spacing w:before="80"/>
                  </w:pPr>
                  <w:r>
                    <w:t>0.8</w:t>
                  </w:r>
                </w:p>
              </w:tc>
            </w:tr>
            <w:tr w:rsidR="0034060E" w14:paraId="00BB2E4F" w14:textId="77777777" w:rsidTr="00453A36">
              <w:tc>
                <w:tcPr>
                  <w:tcW w:w="2828" w:type="pct"/>
                  <w:hideMark/>
                </w:tcPr>
                <w:p w14:paraId="00BB2E4C" w14:textId="5BACD05A" w:rsidR="0034060E" w:rsidRDefault="0034060E" w:rsidP="004F0942">
                  <w:pPr>
                    <w:pStyle w:val="TableBodyText"/>
                    <w:jc w:val="left"/>
                  </w:pPr>
                  <w:r>
                    <w:t>Real gross national expenditure</w:t>
                  </w:r>
                </w:p>
              </w:tc>
              <w:tc>
                <w:tcPr>
                  <w:tcW w:w="1086" w:type="pct"/>
                  <w:hideMark/>
                </w:tcPr>
                <w:p w14:paraId="00BB2E4D" w14:textId="77777777" w:rsidR="0034060E" w:rsidRDefault="0034060E" w:rsidP="00453A36">
                  <w:pPr>
                    <w:pStyle w:val="TableBodyText"/>
                  </w:pPr>
                  <w:r>
                    <w:t>0.1</w:t>
                  </w:r>
                </w:p>
              </w:tc>
              <w:tc>
                <w:tcPr>
                  <w:tcW w:w="1086" w:type="pct"/>
                  <w:hideMark/>
                </w:tcPr>
                <w:p w14:paraId="00BB2E4E" w14:textId="77777777" w:rsidR="0034060E" w:rsidRDefault="0034060E" w:rsidP="00453A36">
                  <w:pPr>
                    <w:pStyle w:val="TableBodyText"/>
                  </w:pPr>
                  <w:r>
                    <w:t>0.8</w:t>
                  </w:r>
                </w:p>
              </w:tc>
            </w:tr>
            <w:tr w:rsidR="004F0942" w14:paraId="7E93629B" w14:textId="77777777" w:rsidTr="00453A36">
              <w:tc>
                <w:tcPr>
                  <w:tcW w:w="2828" w:type="pct"/>
                </w:tcPr>
                <w:p w14:paraId="22DB3203" w14:textId="438E5AC1" w:rsidR="004F0942" w:rsidRDefault="004F0942" w:rsidP="004F0942">
                  <w:pPr>
                    <w:pStyle w:val="TableBodyText"/>
                    <w:tabs>
                      <w:tab w:val="left" w:pos="406"/>
                    </w:tabs>
                    <w:jc w:val="left"/>
                  </w:pPr>
                  <w:r>
                    <w:t xml:space="preserve">Components of </w:t>
                  </w:r>
                  <w:proofErr w:type="spellStart"/>
                  <w:r>
                    <w:t>GNE</w:t>
                  </w:r>
                  <w:proofErr w:type="spellEnd"/>
                  <w:r>
                    <w:t>:</w:t>
                  </w:r>
                </w:p>
              </w:tc>
              <w:tc>
                <w:tcPr>
                  <w:tcW w:w="1086" w:type="pct"/>
                </w:tcPr>
                <w:p w14:paraId="4E1A6CBD" w14:textId="77777777" w:rsidR="004F0942" w:rsidRDefault="004F0942" w:rsidP="00453A36">
                  <w:pPr>
                    <w:pStyle w:val="TableBodyText"/>
                  </w:pPr>
                </w:p>
              </w:tc>
              <w:tc>
                <w:tcPr>
                  <w:tcW w:w="1086" w:type="pct"/>
                </w:tcPr>
                <w:p w14:paraId="66CA6BB8" w14:textId="77777777" w:rsidR="004F0942" w:rsidRDefault="004F0942" w:rsidP="00453A36">
                  <w:pPr>
                    <w:pStyle w:val="TableBodyText"/>
                  </w:pPr>
                </w:p>
              </w:tc>
            </w:tr>
            <w:tr w:rsidR="0034060E" w14:paraId="00BB2E53" w14:textId="77777777" w:rsidTr="00453A36">
              <w:tc>
                <w:tcPr>
                  <w:tcW w:w="2828" w:type="pct"/>
                  <w:hideMark/>
                </w:tcPr>
                <w:p w14:paraId="00BB2E50" w14:textId="77777777" w:rsidR="0034060E" w:rsidRDefault="0034060E" w:rsidP="00453A36">
                  <w:pPr>
                    <w:pStyle w:val="TableBodyText"/>
                    <w:tabs>
                      <w:tab w:val="left" w:pos="406"/>
                    </w:tabs>
                    <w:jc w:val="left"/>
                  </w:pPr>
                  <w:r>
                    <w:tab/>
                    <w:t>Real household consumption</w:t>
                  </w:r>
                </w:p>
              </w:tc>
              <w:tc>
                <w:tcPr>
                  <w:tcW w:w="1086" w:type="pct"/>
                  <w:hideMark/>
                </w:tcPr>
                <w:p w14:paraId="00BB2E51" w14:textId="77777777" w:rsidR="0034060E" w:rsidRDefault="0034060E" w:rsidP="00453A36">
                  <w:pPr>
                    <w:pStyle w:val="TableBodyText"/>
                  </w:pPr>
                  <w:r>
                    <w:t>0.1</w:t>
                  </w:r>
                </w:p>
              </w:tc>
              <w:tc>
                <w:tcPr>
                  <w:tcW w:w="1086" w:type="pct"/>
                  <w:hideMark/>
                </w:tcPr>
                <w:p w14:paraId="00BB2E52" w14:textId="77777777" w:rsidR="0034060E" w:rsidRDefault="0034060E" w:rsidP="00453A36">
                  <w:pPr>
                    <w:pStyle w:val="TableBodyText"/>
                  </w:pPr>
                  <w:r>
                    <w:t>0.7</w:t>
                  </w:r>
                </w:p>
              </w:tc>
            </w:tr>
            <w:tr w:rsidR="0034060E" w14:paraId="00BB2E57" w14:textId="77777777" w:rsidTr="00453A36">
              <w:tc>
                <w:tcPr>
                  <w:tcW w:w="2828" w:type="pct"/>
                  <w:hideMark/>
                </w:tcPr>
                <w:p w14:paraId="00BB2E54" w14:textId="77777777" w:rsidR="0034060E" w:rsidRDefault="0034060E" w:rsidP="00453A36">
                  <w:pPr>
                    <w:pStyle w:val="TableBodyText"/>
                    <w:tabs>
                      <w:tab w:val="left" w:pos="406"/>
                    </w:tabs>
                    <w:jc w:val="left"/>
                  </w:pPr>
                  <w:r>
                    <w:tab/>
                    <w:t>Real government spending</w:t>
                  </w:r>
                </w:p>
              </w:tc>
              <w:tc>
                <w:tcPr>
                  <w:tcW w:w="1086" w:type="pct"/>
                  <w:hideMark/>
                </w:tcPr>
                <w:p w14:paraId="00BB2E55" w14:textId="77777777" w:rsidR="0034060E" w:rsidRDefault="0034060E" w:rsidP="00453A36">
                  <w:pPr>
                    <w:pStyle w:val="TableBodyText"/>
                  </w:pPr>
                  <w:r>
                    <w:t>0.1</w:t>
                  </w:r>
                </w:p>
              </w:tc>
              <w:tc>
                <w:tcPr>
                  <w:tcW w:w="1086" w:type="pct"/>
                  <w:hideMark/>
                </w:tcPr>
                <w:p w14:paraId="00BB2E56" w14:textId="77777777" w:rsidR="0034060E" w:rsidRDefault="0034060E" w:rsidP="00453A36">
                  <w:pPr>
                    <w:pStyle w:val="TableBodyText"/>
                  </w:pPr>
                  <w:r>
                    <w:t>0.7</w:t>
                  </w:r>
                </w:p>
              </w:tc>
            </w:tr>
            <w:tr w:rsidR="0034060E" w14:paraId="00BB2E5B" w14:textId="77777777" w:rsidTr="00453A36">
              <w:tc>
                <w:tcPr>
                  <w:tcW w:w="2828" w:type="pct"/>
                  <w:hideMark/>
                </w:tcPr>
                <w:p w14:paraId="00BB2E58" w14:textId="77777777" w:rsidR="0034060E" w:rsidRDefault="0034060E" w:rsidP="00453A36">
                  <w:pPr>
                    <w:pStyle w:val="TableBodyText"/>
                    <w:tabs>
                      <w:tab w:val="left" w:pos="406"/>
                    </w:tabs>
                    <w:jc w:val="left"/>
                  </w:pPr>
                  <w:r>
                    <w:tab/>
                    <w:t>Real investment</w:t>
                  </w:r>
                </w:p>
              </w:tc>
              <w:tc>
                <w:tcPr>
                  <w:tcW w:w="1086" w:type="pct"/>
                  <w:hideMark/>
                </w:tcPr>
                <w:p w14:paraId="00BB2E59" w14:textId="77777777" w:rsidR="0034060E" w:rsidRDefault="0034060E" w:rsidP="00453A36">
                  <w:pPr>
                    <w:pStyle w:val="TableBodyText"/>
                  </w:pPr>
                  <w:r>
                    <w:t>0.2</w:t>
                  </w:r>
                </w:p>
              </w:tc>
              <w:tc>
                <w:tcPr>
                  <w:tcW w:w="1086" w:type="pct"/>
                  <w:hideMark/>
                </w:tcPr>
                <w:p w14:paraId="00BB2E5A" w14:textId="77777777" w:rsidR="0034060E" w:rsidRDefault="0034060E" w:rsidP="00453A36">
                  <w:pPr>
                    <w:pStyle w:val="TableBodyText"/>
                  </w:pPr>
                  <w:r>
                    <w:t>1.3</w:t>
                  </w:r>
                </w:p>
              </w:tc>
            </w:tr>
            <w:tr w:rsidR="0034060E" w14:paraId="00BB2E63" w14:textId="77777777" w:rsidTr="00453A36">
              <w:tc>
                <w:tcPr>
                  <w:tcW w:w="2828" w:type="pct"/>
                  <w:hideMark/>
                </w:tcPr>
                <w:p w14:paraId="00BB2E60" w14:textId="77777777" w:rsidR="0034060E" w:rsidRDefault="0034060E" w:rsidP="00D46F34">
                  <w:pPr>
                    <w:pStyle w:val="TableBodyText"/>
                    <w:spacing w:before="160"/>
                    <w:jc w:val="left"/>
                  </w:pPr>
                  <w:r>
                    <w:t>Export volumes</w:t>
                  </w:r>
                </w:p>
              </w:tc>
              <w:tc>
                <w:tcPr>
                  <w:tcW w:w="1086" w:type="pct"/>
                  <w:hideMark/>
                </w:tcPr>
                <w:p w14:paraId="00BB2E61" w14:textId="77777777" w:rsidR="0034060E" w:rsidRDefault="0034060E" w:rsidP="00D46F34">
                  <w:pPr>
                    <w:pStyle w:val="TableBodyText"/>
                    <w:spacing w:before="160"/>
                  </w:pPr>
                  <w:r>
                    <w:t>0.1</w:t>
                  </w:r>
                </w:p>
              </w:tc>
              <w:tc>
                <w:tcPr>
                  <w:tcW w:w="1086" w:type="pct"/>
                  <w:hideMark/>
                </w:tcPr>
                <w:p w14:paraId="00BB2E62" w14:textId="77777777" w:rsidR="0034060E" w:rsidRDefault="0034060E" w:rsidP="00D46F34">
                  <w:pPr>
                    <w:pStyle w:val="TableBodyText"/>
                    <w:spacing w:before="160"/>
                  </w:pPr>
                  <w:r>
                    <w:t>0.4</w:t>
                  </w:r>
                </w:p>
              </w:tc>
            </w:tr>
            <w:tr w:rsidR="0034060E" w14:paraId="00BB2E67" w14:textId="77777777" w:rsidTr="00453A36">
              <w:tc>
                <w:tcPr>
                  <w:tcW w:w="2828" w:type="pct"/>
                  <w:hideMark/>
                </w:tcPr>
                <w:p w14:paraId="00BB2E64" w14:textId="77777777" w:rsidR="0034060E" w:rsidRDefault="0034060E" w:rsidP="00453A36">
                  <w:pPr>
                    <w:pStyle w:val="TableBodyText"/>
                    <w:jc w:val="left"/>
                  </w:pPr>
                  <w:r>
                    <w:t>Import volumes</w:t>
                  </w:r>
                </w:p>
              </w:tc>
              <w:tc>
                <w:tcPr>
                  <w:tcW w:w="1086" w:type="pct"/>
                  <w:hideMark/>
                </w:tcPr>
                <w:p w14:paraId="00BB2E65" w14:textId="77777777" w:rsidR="0034060E" w:rsidRDefault="0034060E" w:rsidP="00453A36">
                  <w:pPr>
                    <w:pStyle w:val="TableBodyText"/>
                  </w:pPr>
                  <w:r>
                    <w:t>0.1</w:t>
                  </w:r>
                </w:p>
              </w:tc>
              <w:tc>
                <w:tcPr>
                  <w:tcW w:w="1086" w:type="pct"/>
                  <w:hideMark/>
                </w:tcPr>
                <w:p w14:paraId="00BB2E66" w14:textId="77777777" w:rsidR="0034060E" w:rsidRDefault="0034060E" w:rsidP="00453A36">
                  <w:pPr>
                    <w:pStyle w:val="TableBodyText"/>
                  </w:pPr>
                  <w:r>
                    <w:t>0.7</w:t>
                  </w:r>
                </w:p>
              </w:tc>
            </w:tr>
            <w:tr w:rsidR="0034060E" w14:paraId="00BB2E6F" w14:textId="77777777" w:rsidTr="00453A36">
              <w:tc>
                <w:tcPr>
                  <w:tcW w:w="2828" w:type="pct"/>
                  <w:hideMark/>
                </w:tcPr>
                <w:p w14:paraId="00BB2E6C" w14:textId="32DAF524" w:rsidR="0034060E" w:rsidRDefault="0034060E" w:rsidP="00D46F34">
                  <w:pPr>
                    <w:pStyle w:val="TableBodyText"/>
                    <w:spacing w:before="160"/>
                    <w:jc w:val="left"/>
                  </w:pPr>
                  <w:r>
                    <w:t>Real exchange rate</w:t>
                  </w:r>
                  <w:r>
                    <w:rPr>
                      <w:rStyle w:val="NoteLabel"/>
                    </w:rPr>
                    <w:t>a</w:t>
                  </w:r>
                </w:p>
              </w:tc>
              <w:tc>
                <w:tcPr>
                  <w:tcW w:w="1086" w:type="pct"/>
                  <w:hideMark/>
                </w:tcPr>
                <w:p w14:paraId="00BB2E6D" w14:textId="77777777" w:rsidR="0034060E" w:rsidRDefault="0034060E" w:rsidP="00D46F34">
                  <w:pPr>
                    <w:pStyle w:val="TableBodyText"/>
                    <w:spacing w:before="160"/>
                  </w:pPr>
                  <w:r>
                    <w:t>0.1</w:t>
                  </w:r>
                </w:p>
              </w:tc>
              <w:tc>
                <w:tcPr>
                  <w:tcW w:w="1086" w:type="pct"/>
                  <w:hideMark/>
                </w:tcPr>
                <w:p w14:paraId="00BB2E6E" w14:textId="77777777" w:rsidR="0034060E" w:rsidRDefault="0034060E" w:rsidP="00D46F34">
                  <w:pPr>
                    <w:pStyle w:val="TableBodyText"/>
                    <w:spacing w:before="160"/>
                  </w:pPr>
                  <w:r>
                    <w:t>0.2</w:t>
                  </w:r>
                </w:p>
              </w:tc>
            </w:tr>
            <w:tr w:rsidR="0034060E" w14:paraId="00BB2E73" w14:textId="77777777" w:rsidTr="00453A36">
              <w:tc>
                <w:tcPr>
                  <w:tcW w:w="2828" w:type="pct"/>
                  <w:hideMark/>
                </w:tcPr>
                <w:p w14:paraId="00BB2E70" w14:textId="77777777" w:rsidR="0034060E" w:rsidRDefault="0034060E" w:rsidP="00453A36">
                  <w:pPr>
                    <w:pStyle w:val="TableBodyText"/>
                    <w:jc w:val="left"/>
                  </w:pPr>
                  <w:r>
                    <w:t>Terms of trade</w:t>
                  </w:r>
                </w:p>
              </w:tc>
              <w:tc>
                <w:tcPr>
                  <w:tcW w:w="1086" w:type="pct"/>
                  <w:hideMark/>
                </w:tcPr>
                <w:p w14:paraId="00BB2E71" w14:textId="473C836B" w:rsidR="0034060E" w:rsidRDefault="0034060E" w:rsidP="00453A36">
                  <w:pPr>
                    <w:pStyle w:val="TableBodyText"/>
                  </w:pPr>
                  <w:r>
                    <w:t>[</w:t>
                  </w:r>
                  <w:r>
                    <w:noBreakHyphen/>
                    <w:t>]</w:t>
                  </w:r>
                  <w:r w:rsidR="004F0942" w:rsidRPr="004F0942">
                    <w:rPr>
                      <w:rStyle w:val="NoteLabel"/>
                    </w:rPr>
                    <w:t>b</w:t>
                  </w:r>
                </w:p>
              </w:tc>
              <w:tc>
                <w:tcPr>
                  <w:tcW w:w="1086" w:type="pct"/>
                  <w:hideMark/>
                </w:tcPr>
                <w:p w14:paraId="00BB2E72" w14:textId="77777777" w:rsidR="0034060E" w:rsidRDefault="0034060E" w:rsidP="00453A36">
                  <w:pPr>
                    <w:pStyle w:val="TableBodyText"/>
                  </w:pPr>
                  <w:r>
                    <w:noBreakHyphen/>
                    <w:t>0.1</w:t>
                  </w:r>
                </w:p>
              </w:tc>
            </w:tr>
            <w:tr w:rsidR="0034060E" w14:paraId="00BB2E7B" w14:textId="77777777" w:rsidTr="00453A36">
              <w:tc>
                <w:tcPr>
                  <w:tcW w:w="2828" w:type="pct"/>
                  <w:tcBorders>
                    <w:top w:val="nil"/>
                    <w:left w:val="nil"/>
                    <w:bottom w:val="single" w:sz="6" w:space="0" w:color="BFBFBF"/>
                    <w:right w:val="nil"/>
                  </w:tcBorders>
                  <w:hideMark/>
                </w:tcPr>
                <w:p w14:paraId="00BB2E78" w14:textId="77777777" w:rsidR="0034060E" w:rsidRDefault="0034060E" w:rsidP="00D46F34">
                  <w:pPr>
                    <w:pStyle w:val="TableBodyText"/>
                    <w:spacing w:before="160"/>
                    <w:jc w:val="left"/>
                  </w:pPr>
                  <w:r>
                    <w:t>National labour productivity</w:t>
                  </w:r>
                </w:p>
              </w:tc>
              <w:tc>
                <w:tcPr>
                  <w:tcW w:w="1086" w:type="pct"/>
                  <w:tcBorders>
                    <w:top w:val="nil"/>
                    <w:left w:val="nil"/>
                    <w:bottom w:val="single" w:sz="6" w:space="0" w:color="BFBFBF"/>
                    <w:right w:val="nil"/>
                  </w:tcBorders>
                  <w:hideMark/>
                </w:tcPr>
                <w:p w14:paraId="00BB2E79" w14:textId="77777777" w:rsidR="0034060E" w:rsidRDefault="0034060E" w:rsidP="00D46F34">
                  <w:pPr>
                    <w:pStyle w:val="TableBodyText"/>
                    <w:spacing w:before="160"/>
                  </w:pPr>
                  <w:r>
                    <w:noBreakHyphen/>
                    <w:t>0.1</w:t>
                  </w:r>
                </w:p>
              </w:tc>
              <w:tc>
                <w:tcPr>
                  <w:tcW w:w="1086" w:type="pct"/>
                  <w:tcBorders>
                    <w:top w:val="nil"/>
                    <w:left w:val="nil"/>
                    <w:bottom w:val="single" w:sz="6" w:space="0" w:color="BFBFBF"/>
                    <w:right w:val="nil"/>
                  </w:tcBorders>
                  <w:hideMark/>
                </w:tcPr>
                <w:p w14:paraId="00BB2E7A" w14:textId="77777777" w:rsidR="0034060E" w:rsidRDefault="0034060E" w:rsidP="00D46F34">
                  <w:pPr>
                    <w:pStyle w:val="TableBodyText"/>
                    <w:spacing w:before="160"/>
                  </w:pPr>
                  <w:r>
                    <w:noBreakHyphen/>
                    <w:t>0.5</w:t>
                  </w:r>
                </w:p>
              </w:tc>
            </w:tr>
          </w:tbl>
          <w:p w14:paraId="00BB2E7C" w14:textId="77777777" w:rsidR="0034060E" w:rsidRDefault="0034060E">
            <w:pPr>
              <w:pStyle w:val="Box"/>
            </w:pPr>
          </w:p>
        </w:tc>
      </w:tr>
      <w:tr w:rsidR="0034060E" w14:paraId="00BB2E7F" w14:textId="77777777" w:rsidTr="00CA438F">
        <w:tc>
          <w:tcPr>
            <w:tcW w:w="8771" w:type="dxa"/>
            <w:tcBorders>
              <w:top w:val="nil"/>
              <w:left w:val="nil"/>
              <w:bottom w:val="nil"/>
              <w:right w:val="nil"/>
            </w:tcBorders>
            <w:hideMark/>
          </w:tcPr>
          <w:p w14:paraId="00BB2E7E" w14:textId="11E2DBC1" w:rsidR="0034060E" w:rsidRDefault="0034060E" w:rsidP="004F0942">
            <w:pPr>
              <w:pStyle w:val="Note"/>
              <w:rPr>
                <w:i/>
              </w:rPr>
            </w:pPr>
            <w:r>
              <w:rPr>
                <w:rStyle w:val="NoteLabel"/>
              </w:rPr>
              <w:t>a</w:t>
            </w:r>
            <w:r>
              <w:t xml:space="preserve"> Real depreciation of the Australian dollar (defined as the Australian dollar price of imports less the GDP(E) deflator).</w:t>
            </w:r>
            <w:r w:rsidR="004F0942">
              <w:t xml:space="preserve"> </w:t>
            </w:r>
            <w:r w:rsidR="004F0942" w:rsidRPr="004F0942">
              <w:rPr>
                <w:rStyle w:val="NoteLabel"/>
              </w:rPr>
              <w:t>b</w:t>
            </w:r>
            <w:r w:rsidR="004F0942">
              <w:t xml:space="preserve"> Between 0 and </w:t>
            </w:r>
            <w:r w:rsidR="004F0942">
              <w:noBreakHyphen/>
              <w:t>0.05.</w:t>
            </w:r>
          </w:p>
        </w:tc>
      </w:tr>
      <w:tr w:rsidR="0034060E" w14:paraId="00BB2E81" w14:textId="77777777" w:rsidTr="00CA438F">
        <w:tc>
          <w:tcPr>
            <w:tcW w:w="8771" w:type="dxa"/>
            <w:tcBorders>
              <w:top w:val="nil"/>
              <w:left w:val="nil"/>
              <w:bottom w:val="nil"/>
              <w:right w:val="nil"/>
            </w:tcBorders>
            <w:hideMark/>
          </w:tcPr>
          <w:p w14:paraId="00BB2E80" w14:textId="77777777" w:rsidR="0034060E" w:rsidRDefault="0034060E">
            <w:pPr>
              <w:pStyle w:val="Source"/>
            </w:pPr>
            <w:r>
              <w:rPr>
                <w:i/>
              </w:rPr>
              <w:t>Source</w:t>
            </w:r>
            <w:r>
              <w:t xml:space="preserve">: Productivity Commission projections based on the </w:t>
            </w:r>
            <w:proofErr w:type="spellStart"/>
            <w:r>
              <w:t>VUMR</w:t>
            </w:r>
            <w:r>
              <w:noBreakHyphen/>
              <w:t>WR</w:t>
            </w:r>
            <w:proofErr w:type="spellEnd"/>
            <w:r>
              <w:t xml:space="preserve"> model.</w:t>
            </w:r>
          </w:p>
        </w:tc>
      </w:tr>
      <w:tr w:rsidR="0034060E" w14:paraId="00BB2E83" w14:textId="77777777" w:rsidTr="00CA438F">
        <w:tc>
          <w:tcPr>
            <w:tcW w:w="8771" w:type="dxa"/>
            <w:tcBorders>
              <w:top w:val="nil"/>
              <w:left w:val="nil"/>
              <w:bottom w:val="single" w:sz="6" w:space="0" w:color="78A22F"/>
              <w:right w:val="nil"/>
            </w:tcBorders>
          </w:tcPr>
          <w:p w14:paraId="00BB2E82" w14:textId="77777777" w:rsidR="0034060E" w:rsidRDefault="0034060E">
            <w:pPr>
              <w:pStyle w:val="Box"/>
              <w:spacing w:before="0" w:line="120" w:lineRule="exact"/>
            </w:pPr>
          </w:p>
        </w:tc>
      </w:tr>
      <w:tr w:rsidR="0034060E" w14:paraId="00BB2E85" w14:textId="77777777" w:rsidTr="00CA438F">
        <w:tc>
          <w:tcPr>
            <w:tcW w:w="8771" w:type="dxa"/>
            <w:tcBorders>
              <w:top w:val="single" w:sz="6" w:space="0" w:color="78A22F"/>
              <w:left w:val="nil"/>
              <w:bottom w:val="nil"/>
              <w:right w:val="nil"/>
            </w:tcBorders>
            <w:hideMark/>
          </w:tcPr>
          <w:p w14:paraId="00BB2E84" w14:textId="5E24BCAE" w:rsidR="0034060E" w:rsidRDefault="0034060E">
            <w:pPr>
              <w:pStyle w:val="BoxSpaceBelow"/>
            </w:pPr>
          </w:p>
        </w:tc>
      </w:tr>
    </w:tbl>
    <w:p w14:paraId="00BB2E86" w14:textId="798423F1" w:rsidR="0034060E" w:rsidRDefault="0034060E" w:rsidP="00453A36">
      <w:pPr>
        <w:pStyle w:val="BodyText"/>
      </w:pPr>
      <w:r>
        <w:t>While many of the lower production costs associated with moderation of minimum wages relate to non</w:t>
      </w:r>
      <w:r>
        <w:noBreakHyphen/>
        <w:t xml:space="preserve">tradeable goods and services (see below), there are nevertheless projected effects on the costs of </w:t>
      </w:r>
      <w:proofErr w:type="spellStart"/>
      <w:r>
        <w:t>tradeables</w:t>
      </w:r>
      <w:proofErr w:type="spellEnd"/>
      <w:r>
        <w:t xml:space="preserve">. These cost reductions increase the trade competitiveness of Australia’s output relative to scenario 1, as illustrated by the depreciation of the real </w:t>
      </w:r>
      <w:r w:rsidR="004F0942">
        <w:t xml:space="preserve">(floating) exchange rate by 0.2 per cent </w:t>
      </w:r>
      <w:r>
        <w:t>by 2024</w:t>
      </w:r>
      <w:r>
        <w:noBreakHyphen/>
        <w:t xml:space="preserve">25 (table 3.1). With the increased competitiveness of local industry, export demand is projected to increase. However, the economy initially lacks the productive capacity to expand output, </w:t>
      </w:r>
      <w:r w:rsidR="004F0942">
        <w:t xml:space="preserve">and </w:t>
      </w:r>
      <w:r>
        <w:t>investment is projected to increase to close this capacity gap.</w:t>
      </w:r>
    </w:p>
    <w:p w14:paraId="00BB2E87" w14:textId="13E8577B" w:rsidR="0034060E" w:rsidRDefault="0034060E" w:rsidP="00453A36">
      <w:pPr>
        <w:pStyle w:val="BodyText"/>
      </w:pPr>
      <w:r>
        <w:t>National labour productivity is projected to decline relative to scenario 1 (table 3.1) because the inflow of new workers into the workforce is associated with a declining marginal product — each additional worker is modelled as contributing less than the previous worker. Compared with scenario 1, the level of national labour productivity is projected to be 0.1</w:t>
      </w:r>
      <w:r w:rsidR="006356C0">
        <w:t> </w:t>
      </w:r>
      <w:r>
        <w:t>per</w:t>
      </w:r>
      <w:r w:rsidR="006356C0">
        <w:t> </w:t>
      </w:r>
      <w:r>
        <w:t>cent lower in 2017</w:t>
      </w:r>
      <w:r>
        <w:noBreakHyphen/>
        <w:t>18 and 0.5</w:t>
      </w:r>
      <w:r w:rsidR="006356C0">
        <w:t> </w:t>
      </w:r>
      <w:r>
        <w:t>per</w:t>
      </w:r>
      <w:r w:rsidR="006356C0">
        <w:t> </w:t>
      </w:r>
      <w:r>
        <w:t>cent lower in the longer</w:t>
      </w:r>
      <w:r>
        <w:noBreakHyphen/>
        <w:t xml:space="preserve">term, </w:t>
      </w:r>
      <w:r>
        <w:lastRenderedPageBreak/>
        <w:t xml:space="preserve">which represents a very small (and temporary) reduction in labour productivity </w:t>
      </w:r>
      <w:r w:rsidRPr="001546F3">
        <w:t>growth</w:t>
      </w:r>
      <w:r>
        <w:t>. This is not an adverse outcome per se. Providing job opportunities for people who are not currently employed reduces output per hour below its counterfactual level, but it increases per capita output.</w:t>
      </w:r>
    </w:p>
    <w:p w14:paraId="00BB2E88" w14:textId="7066A572" w:rsidR="0034060E" w:rsidRDefault="0034060E" w:rsidP="00C75068">
      <w:pPr>
        <w:pStyle w:val="Heading2"/>
      </w:pPr>
      <w:r>
        <w:t>3.</w:t>
      </w:r>
      <w:r>
        <w:rPr>
          <w:noProof/>
        </w:rPr>
        <w:t>3</w:t>
      </w:r>
      <w:r>
        <w:tab/>
        <w:t>Sectoral implications</w:t>
      </w:r>
    </w:p>
    <w:p w14:paraId="00BB2E89" w14:textId="77777777" w:rsidR="0034060E" w:rsidRDefault="0034060E" w:rsidP="00453A36">
      <w:pPr>
        <w:pStyle w:val="BodyText"/>
      </w:pPr>
      <w:r>
        <w:t xml:space="preserve">The effects of wage moderation at the sectoral level are projected to vary between different production sectors, reflecting the importance of labour in each sector’s cost structure and the responsiveness of demand to any reduction in each sector’s price. </w:t>
      </w:r>
    </w:p>
    <w:p w14:paraId="00BB2E8A" w14:textId="77777777" w:rsidR="0034060E" w:rsidRDefault="0034060E" w:rsidP="00453A36">
      <w:pPr>
        <w:pStyle w:val="BodyText"/>
      </w:pPr>
      <w:r>
        <w:t>Labour, including award</w:t>
      </w:r>
      <w:r>
        <w:noBreakHyphen/>
        <w:t>reliant labour, comprises a larger proportion of the production costs in the services sector, and to a lesser degree in manufacturing, than in agriculture and mining (figure 3.2). For this reason, the moderation in minimum award wage growth is projected to lead to a greater reduction in the price of services and manufacturing than in the price of agriculture and mining. However, the projected expansion in output and employment is less in services than in the manufacturing sector (table 3.2). This result reflects the greater trade exposure of the manufacturing sector relative to the services sector, which presents more opportunity to expand output in response to an improvement in competitiveness.</w:t>
      </w:r>
    </w:p>
    <w:p w14:paraId="00BB2E8B" w14:textId="0DB0F1A3"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4060E" w14:paraId="00BB2E8D" w14:textId="77777777" w:rsidTr="00453A36">
        <w:tc>
          <w:tcPr>
            <w:tcW w:w="8771" w:type="dxa"/>
            <w:tcBorders>
              <w:top w:val="single" w:sz="6" w:space="0" w:color="78A22F"/>
              <w:left w:val="nil"/>
              <w:bottom w:val="nil"/>
              <w:right w:val="nil"/>
            </w:tcBorders>
            <w:hideMark/>
          </w:tcPr>
          <w:p w14:paraId="00BB2E8C" w14:textId="3BE34E0F" w:rsidR="0034060E" w:rsidRDefault="0034060E" w:rsidP="00453A36">
            <w:pPr>
              <w:pStyle w:val="FigureTitle"/>
            </w:pPr>
            <w:r>
              <w:rPr>
                <w:b w:val="0"/>
              </w:rPr>
              <w:t>Figure 3.</w:t>
            </w:r>
            <w:r>
              <w:rPr>
                <w:b w:val="0"/>
                <w:noProof/>
              </w:rPr>
              <w:t>2</w:t>
            </w:r>
            <w:r>
              <w:tab/>
              <w:t xml:space="preserve">The labour share of production costs by sector in the </w:t>
            </w:r>
            <w:proofErr w:type="spellStart"/>
            <w:r>
              <w:t>VUMR</w:t>
            </w:r>
            <w:r>
              <w:noBreakHyphen/>
              <w:t>WR</w:t>
            </w:r>
            <w:proofErr w:type="spellEnd"/>
            <w:r>
              <w:t xml:space="preserve"> model, Australia, 2013</w:t>
            </w:r>
            <w:r>
              <w:noBreakHyphen/>
              <w:t>14</w:t>
            </w:r>
          </w:p>
        </w:tc>
      </w:tr>
      <w:tr w:rsidR="0034060E" w14:paraId="00BB2E91" w14:textId="77777777" w:rsidTr="00453A36">
        <w:tc>
          <w:tcPr>
            <w:tcW w:w="8771" w:type="dxa"/>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8"/>
            </w:tblGrid>
            <w:tr w:rsidR="0034060E" w14:paraId="00BB2E8F" w14:textId="77777777" w:rsidTr="006645A3">
              <w:trPr>
                <w:jc w:val="center"/>
              </w:trPr>
              <w:tc>
                <w:tcPr>
                  <w:tcW w:w="8508" w:type="dxa"/>
                  <w:tcBorders>
                    <w:top w:val="nil"/>
                    <w:left w:val="nil"/>
                    <w:bottom w:val="nil"/>
                    <w:right w:val="nil"/>
                  </w:tcBorders>
                  <w:hideMark/>
                </w:tcPr>
                <w:p w14:paraId="00BB2E8E" w14:textId="5174F1D9" w:rsidR="0034060E" w:rsidRDefault="0034060E">
                  <w:pPr>
                    <w:pStyle w:val="Figure"/>
                    <w:spacing w:before="60" w:after="60"/>
                  </w:pPr>
                  <w:r>
                    <w:rPr>
                      <w:noProof/>
                    </w:rPr>
                    <w:t xml:space="preserve"> </w:t>
                  </w:r>
                  <w:r w:rsidR="006645A3" w:rsidRPr="006645A3">
                    <w:rPr>
                      <w:noProof/>
                    </w:rPr>
                    <w:drawing>
                      <wp:inline distT="0" distB="0" distL="0" distR="0" wp14:anchorId="0E6EEE12" wp14:editId="1037A952">
                        <wp:extent cx="5400000" cy="2880000"/>
                        <wp:effectExtent l="0" t="0" r="0" b="0"/>
                        <wp:docPr id="24" name="Chart 24" descr="Figure 3.2 The labour share of production costs by sector in the VUMR WR model, Australia, 2013 14. This figure shows total labour costs and award reliant labour costs are a higher proportion of total costs for services and to a lesser extent for manufacturing, than they are for mining and agricult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00BB2E90" w14:textId="77777777" w:rsidR="0034060E" w:rsidRDefault="0034060E">
            <w:pPr>
              <w:pStyle w:val="Figure"/>
            </w:pPr>
          </w:p>
        </w:tc>
      </w:tr>
      <w:tr w:rsidR="0034060E" w14:paraId="00BB2E93" w14:textId="77777777" w:rsidTr="00453A36">
        <w:tc>
          <w:tcPr>
            <w:tcW w:w="8771" w:type="dxa"/>
            <w:tcBorders>
              <w:top w:val="nil"/>
              <w:left w:val="nil"/>
              <w:bottom w:val="nil"/>
              <w:right w:val="nil"/>
            </w:tcBorders>
            <w:hideMark/>
          </w:tcPr>
          <w:p w14:paraId="00BB2E92" w14:textId="77777777" w:rsidR="0034060E" w:rsidRDefault="0034060E">
            <w:pPr>
              <w:pStyle w:val="Source"/>
            </w:pPr>
            <w:r>
              <w:rPr>
                <w:i/>
              </w:rPr>
              <w:t>Source</w:t>
            </w:r>
            <w:r>
              <w:t xml:space="preserve">: Productivity Commission estimates based on the </w:t>
            </w:r>
            <w:proofErr w:type="spellStart"/>
            <w:r>
              <w:t>VUMR</w:t>
            </w:r>
            <w:r>
              <w:noBreakHyphen/>
              <w:t>WR</w:t>
            </w:r>
            <w:proofErr w:type="spellEnd"/>
            <w:r>
              <w:t xml:space="preserve"> model.</w:t>
            </w:r>
          </w:p>
        </w:tc>
      </w:tr>
      <w:tr w:rsidR="0034060E" w14:paraId="00BB2E95" w14:textId="77777777" w:rsidTr="00453A36">
        <w:tc>
          <w:tcPr>
            <w:tcW w:w="8771" w:type="dxa"/>
            <w:tcBorders>
              <w:top w:val="nil"/>
              <w:left w:val="nil"/>
              <w:bottom w:val="single" w:sz="6" w:space="0" w:color="78A22F"/>
              <w:right w:val="nil"/>
            </w:tcBorders>
          </w:tcPr>
          <w:p w14:paraId="00BB2E94" w14:textId="77777777" w:rsidR="0034060E" w:rsidRDefault="0034060E">
            <w:pPr>
              <w:pStyle w:val="Figurespace"/>
            </w:pPr>
          </w:p>
        </w:tc>
      </w:tr>
      <w:tr w:rsidR="0034060E" w14:paraId="00BB2E97" w14:textId="77777777" w:rsidTr="00453A36">
        <w:tc>
          <w:tcPr>
            <w:tcW w:w="8771" w:type="dxa"/>
            <w:tcBorders>
              <w:top w:val="single" w:sz="6" w:space="0" w:color="78A22F"/>
              <w:left w:val="nil"/>
              <w:bottom w:val="nil"/>
              <w:right w:val="nil"/>
            </w:tcBorders>
            <w:hideMark/>
          </w:tcPr>
          <w:p w14:paraId="00BB2E96" w14:textId="5832C285" w:rsidR="0034060E" w:rsidRDefault="0034060E">
            <w:pPr>
              <w:pStyle w:val="BoxSpaceBelow"/>
            </w:pPr>
          </w:p>
        </w:tc>
      </w:tr>
    </w:tbl>
    <w:p w14:paraId="00BB2E98" w14:textId="2E5D4D05"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4060E" w14:paraId="00BB2E9B" w14:textId="77777777" w:rsidTr="00453A36">
        <w:tc>
          <w:tcPr>
            <w:tcW w:w="8771" w:type="dxa"/>
            <w:tcBorders>
              <w:top w:val="single" w:sz="6" w:space="0" w:color="78A22F"/>
              <w:left w:val="nil"/>
              <w:bottom w:val="nil"/>
              <w:right w:val="nil"/>
            </w:tcBorders>
            <w:hideMark/>
          </w:tcPr>
          <w:p w14:paraId="00BB2E99" w14:textId="3CE61FF1" w:rsidR="0034060E" w:rsidRDefault="0034060E">
            <w:pPr>
              <w:pStyle w:val="TableTitle"/>
            </w:pPr>
            <w:r>
              <w:rPr>
                <w:b w:val="0"/>
              </w:rPr>
              <w:t>Table 3.</w:t>
            </w:r>
            <w:r>
              <w:rPr>
                <w:b w:val="0"/>
                <w:noProof/>
              </w:rPr>
              <w:t>2</w:t>
            </w:r>
            <w:r>
              <w:tab/>
              <w:t>Projected sectoral effects of the moderate minimum wage growth scenario</w:t>
            </w:r>
          </w:p>
          <w:p w14:paraId="00BB2E9A" w14:textId="77777777" w:rsidR="0034060E" w:rsidRDefault="0034060E" w:rsidP="00453A36">
            <w:pPr>
              <w:pStyle w:val="Subtitle"/>
            </w:pPr>
            <w:r>
              <w:rPr>
                <w:color w:val="000000" w:themeColor="text1"/>
              </w:rPr>
              <w:t>Percentage difference from scenario 1</w:t>
            </w:r>
          </w:p>
        </w:tc>
      </w:tr>
      <w:tr w:rsidR="0034060E" w14:paraId="00BB2ED1" w14:textId="77777777" w:rsidTr="00453A36">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2829"/>
              <w:gridCol w:w="2830"/>
              <w:gridCol w:w="2828"/>
            </w:tblGrid>
            <w:tr w:rsidR="0034060E" w14:paraId="00BB2E9F" w14:textId="77777777" w:rsidTr="00D46F34">
              <w:tc>
                <w:tcPr>
                  <w:tcW w:w="1667" w:type="pct"/>
                  <w:tcBorders>
                    <w:top w:val="single" w:sz="6" w:space="0" w:color="BFBFBF"/>
                    <w:left w:val="nil"/>
                    <w:right w:val="nil"/>
                  </w:tcBorders>
                </w:tcPr>
                <w:p w14:paraId="00BB2E9C" w14:textId="77777777" w:rsidR="0034060E" w:rsidRDefault="0034060E" w:rsidP="00D46F34">
                  <w:pPr>
                    <w:pStyle w:val="TableColumnHeading"/>
                    <w:spacing w:after="0"/>
                    <w:jc w:val="left"/>
                  </w:pPr>
                </w:p>
              </w:tc>
              <w:tc>
                <w:tcPr>
                  <w:tcW w:w="1667" w:type="pct"/>
                  <w:tcBorders>
                    <w:top w:val="single" w:sz="6" w:space="0" w:color="BFBFBF"/>
                    <w:left w:val="nil"/>
                    <w:right w:val="nil"/>
                  </w:tcBorders>
                  <w:vAlign w:val="bottom"/>
                  <w:hideMark/>
                </w:tcPr>
                <w:p w14:paraId="00BB2E9D" w14:textId="77777777" w:rsidR="0034060E" w:rsidRDefault="0034060E" w:rsidP="00D46F34">
                  <w:pPr>
                    <w:pStyle w:val="TableColumnHeading"/>
                    <w:spacing w:after="0"/>
                  </w:pPr>
                  <w:r>
                    <w:t>2017</w:t>
                  </w:r>
                  <w:r>
                    <w:noBreakHyphen/>
                    <w:t>18</w:t>
                  </w:r>
                </w:p>
              </w:tc>
              <w:tc>
                <w:tcPr>
                  <w:tcW w:w="1666" w:type="pct"/>
                  <w:tcBorders>
                    <w:top w:val="single" w:sz="6" w:space="0" w:color="BFBFBF"/>
                    <w:left w:val="nil"/>
                    <w:right w:val="nil"/>
                  </w:tcBorders>
                  <w:hideMark/>
                </w:tcPr>
                <w:p w14:paraId="00BB2E9E" w14:textId="77777777" w:rsidR="0034060E" w:rsidRDefault="0034060E" w:rsidP="00D46F34">
                  <w:pPr>
                    <w:pStyle w:val="TableColumnHeading"/>
                    <w:spacing w:after="0"/>
                    <w:ind w:right="28"/>
                  </w:pPr>
                  <w:r>
                    <w:t>2024</w:t>
                  </w:r>
                  <w:r>
                    <w:noBreakHyphen/>
                    <w:t>25</w:t>
                  </w:r>
                </w:p>
              </w:tc>
            </w:tr>
            <w:tr w:rsidR="0034060E" w14:paraId="00BB2EA3" w14:textId="77777777" w:rsidTr="00D46F34">
              <w:tc>
                <w:tcPr>
                  <w:tcW w:w="1667" w:type="pct"/>
                  <w:tcBorders>
                    <w:left w:val="nil"/>
                    <w:bottom w:val="nil"/>
                    <w:right w:val="nil"/>
                  </w:tcBorders>
                </w:tcPr>
                <w:p w14:paraId="00BB2EA0" w14:textId="77777777" w:rsidR="0034060E" w:rsidRDefault="0034060E">
                  <w:pPr>
                    <w:pStyle w:val="TableUnitsRow"/>
                    <w:jc w:val="left"/>
                    <w:rPr>
                      <w:b/>
                    </w:rPr>
                  </w:pPr>
                </w:p>
              </w:tc>
              <w:tc>
                <w:tcPr>
                  <w:tcW w:w="1667" w:type="pct"/>
                  <w:tcBorders>
                    <w:left w:val="nil"/>
                    <w:bottom w:val="nil"/>
                    <w:right w:val="nil"/>
                  </w:tcBorders>
                </w:tcPr>
                <w:p w14:paraId="00BB2EA1" w14:textId="77777777" w:rsidR="0034060E" w:rsidRDefault="0034060E">
                  <w:pPr>
                    <w:pStyle w:val="TableUnitsRow"/>
                  </w:pPr>
                  <w:r>
                    <w:t>%</w:t>
                  </w:r>
                </w:p>
              </w:tc>
              <w:tc>
                <w:tcPr>
                  <w:tcW w:w="1666" w:type="pct"/>
                  <w:tcBorders>
                    <w:left w:val="nil"/>
                    <w:bottom w:val="nil"/>
                    <w:right w:val="nil"/>
                  </w:tcBorders>
                </w:tcPr>
                <w:p w14:paraId="00BB2EA2" w14:textId="77777777" w:rsidR="0034060E" w:rsidRDefault="0034060E">
                  <w:pPr>
                    <w:pStyle w:val="TableUnitsRow"/>
                    <w:ind w:right="28"/>
                  </w:pPr>
                  <w:r>
                    <w:t>%</w:t>
                  </w:r>
                </w:p>
              </w:tc>
            </w:tr>
            <w:tr w:rsidR="0034060E" w14:paraId="00BB2EA7" w14:textId="77777777">
              <w:tc>
                <w:tcPr>
                  <w:tcW w:w="1667" w:type="pct"/>
                  <w:tcBorders>
                    <w:top w:val="single" w:sz="6" w:space="0" w:color="BFBFBF"/>
                    <w:left w:val="nil"/>
                    <w:bottom w:val="nil"/>
                    <w:right w:val="nil"/>
                  </w:tcBorders>
                  <w:hideMark/>
                </w:tcPr>
                <w:p w14:paraId="00BB2EA4" w14:textId="77777777" w:rsidR="0034060E" w:rsidRDefault="0034060E">
                  <w:pPr>
                    <w:pStyle w:val="TableUnitsRow"/>
                    <w:jc w:val="left"/>
                    <w:rPr>
                      <w:b/>
                    </w:rPr>
                  </w:pPr>
                  <w:r>
                    <w:rPr>
                      <w:b/>
                    </w:rPr>
                    <w:t>Value added (at factor cost)</w:t>
                  </w:r>
                </w:p>
              </w:tc>
              <w:tc>
                <w:tcPr>
                  <w:tcW w:w="1667" w:type="pct"/>
                  <w:tcBorders>
                    <w:top w:val="single" w:sz="6" w:space="0" w:color="BFBFBF"/>
                    <w:left w:val="nil"/>
                    <w:bottom w:val="nil"/>
                    <w:right w:val="nil"/>
                  </w:tcBorders>
                </w:tcPr>
                <w:p w14:paraId="00BB2EA5" w14:textId="77777777" w:rsidR="0034060E" w:rsidRDefault="0034060E">
                  <w:pPr>
                    <w:pStyle w:val="TableUnitsRow"/>
                  </w:pPr>
                </w:p>
              </w:tc>
              <w:tc>
                <w:tcPr>
                  <w:tcW w:w="1666" w:type="pct"/>
                  <w:tcBorders>
                    <w:top w:val="single" w:sz="6" w:space="0" w:color="BFBFBF"/>
                    <w:left w:val="nil"/>
                    <w:bottom w:val="nil"/>
                    <w:right w:val="nil"/>
                  </w:tcBorders>
                </w:tcPr>
                <w:p w14:paraId="00BB2EA6" w14:textId="77777777" w:rsidR="0034060E" w:rsidRDefault="0034060E">
                  <w:pPr>
                    <w:pStyle w:val="TableUnitsRow"/>
                    <w:ind w:right="28"/>
                  </w:pPr>
                </w:p>
              </w:tc>
            </w:tr>
            <w:tr w:rsidR="0034060E" w14:paraId="00BB2EAB" w14:textId="77777777">
              <w:tc>
                <w:tcPr>
                  <w:tcW w:w="1667" w:type="pct"/>
                  <w:hideMark/>
                </w:tcPr>
                <w:p w14:paraId="00BB2EA8" w14:textId="77777777" w:rsidR="0034060E" w:rsidRDefault="0034060E">
                  <w:pPr>
                    <w:pStyle w:val="TableBodyText"/>
                    <w:jc w:val="left"/>
                  </w:pPr>
                  <w:r>
                    <w:t>Agriculture</w:t>
                  </w:r>
                </w:p>
              </w:tc>
              <w:tc>
                <w:tcPr>
                  <w:tcW w:w="1667" w:type="pct"/>
                  <w:hideMark/>
                </w:tcPr>
                <w:p w14:paraId="00BB2EA9" w14:textId="77777777" w:rsidR="0034060E" w:rsidRDefault="0034060E">
                  <w:pPr>
                    <w:pStyle w:val="TableBodyText"/>
                  </w:pPr>
                  <w:r>
                    <w:t>0.1</w:t>
                  </w:r>
                </w:p>
              </w:tc>
              <w:tc>
                <w:tcPr>
                  <w:tcW w:w="1666" w:type="pct"/>
                  <w:hideMark/>
                </w:tcPr>
                <w:p w14:paraId="00BB2EAA" w14:textId="77777777" w:rsidR="0034060E" w:rsidRDefault="0034060E">
                  <w:pPr>
                    <w:pStyle w:val="TableBodyText"/>
                    <w:ind w:right="28"/>
                  </w:pPr>
                  <w:r>
                    <w:t>0.5</w:t>
                  </w:r>
                </w:p>
              </w:tc>
            </w:tr>
            <w:tr w:rsidR="0034060E" w14:paraId="00BB2EAF" w14:textId="77777777">
              <w:tc>
                <w:tcPr>
                  <w:tcW w:w="1667" w:type="pct"/>
                  <w:hideMark/>
                </w:tcPr>
                <w:p w14:paraId="00BB2EAC" w14:textId="77777777" w:rsidR="0034060E" w:rsidRDefault="0034060E">
                  <w:pPr>
                    <w:pStyle w:val="TableBodyText"/>
                    <w:jc w:val="left"/>
                  </w:pPr>
                  <w:r>
                    <w:t>Mining</w:t>
                  </w:r>
                </w:p>
              </w:tc>
              <w:tc>
                <w:tcPr>
                  <w:tcW w:w="1667" w:type="pct"/>
                  <w:hideMark/>
                </w:tcPr>
                <w:p w14:paraId="00BB2EAD" w14:textId="77777777" w:rsidR="0034060E" w:rsidRDefault="0034060E">
                  <w:pPr>
                    <w:pStyle w:val="TableBodyText"/>
                  </w:pPr>
                  <w:r>
                    <w:t>0.1</w:t>
                  </w:r>
                </w:p>
              </w:tc>
              <w:tc>
                <w:tcPr>
                  <w:tcW w:w="1666" w:type="pct"/>
                  <w:hideMark/>
                </w:tcPr>
                <w:p w14:paraId="00BB2EAE" w14:textId="77777777" w:rsidR="0034060E" w:rsidRDefault="0034060E">
                  <w:pPr>
                    <w:pStyle w:val="TableBodyText"/>
                    <w:ind w:right="28"/>
                  </w:pPr>
                  <w:r>
                    <w:t>0.4</w:t>
                  </w:r>
                </w:p>
              </w:tc>
            </w:tr>
            <w:tr w:rsidR="0034060E" w14:paraId="00BB2EB3" w14:textId="77777777">
              <w:tc>
                <w:tcPr>
                  <w:tcW w:w="1667" w:type="pct"/>
                  <w:hideMark/>
                </w:tcPr>
                <w:p w14:paraId="00BB2EB0" w14:textId="77777777" w:rsidR="0034060E" w:rsidRDefault="0034060E">
                  <w:pPr>
                    <w:pStyle w:val="TableBodyText"/>
                    <w:jc w:val="left"/>
                  </w:pPr>
                  <w:r>
                    <w:t>Manufacturing</w:t>
                  </w:r>
                </w:p>
              </w:tc>
              <w:tc>
                <w:tcPr>
                  <w:tcW w:w="1667" w:type="pct"/>
                  <w:hideMark/>
                </w:tcPr>
                <w:p w14:paraId="00BB2EB1" w14:textId="77777777" w:rsidR="0034060E" w:rsidRDefault="0034060E">
                  <w:pPr>
                    <w:pStyle w:val="TableBodyText"/>
                  </w:pPr>
                  <w:r>
                    <w:t>0.1</w:t>
                  </w:r>
                </w:p>
              </w:tc>
              <w:tc>
                <w:tcPr>
                  <w:tcW w:w="1666" w:type="pct"/>
                  <w:hideMark/>
                </w:tcPr>
                <w:p w14:paraId="00BB2EB2" w14:textId="77777777" w:rsidR="0034060E" w:rsidRDefault="0034060E">
                  <w:pPr>
                    <w:pStyle w:val="TableBodyText"/>
                    <w:ind w:right="28"/>
                  </w:pPr>
                  <w:r>
                    <w:t>0.8</w:t>
                  </w:r>
                </w:p>
              </w:tc>
            </w:tr>
            <w:tr w:rsidR="0034060E" w14:paraId="00BB2EB7" w14:textId="77777777">
              <w:tc>
                <w:tcPr>
                  <w:tcW w:w="1667" w:type="pct"/>
                  <w:hideMark/>
                </w:tcPr>
                <w:p w14:paraId="00BB2EB4" w14:textId="77777777" w:rsidR="0034060E" w:rsidRDefault="0034060E">
                  <w:pPr>
                    <w:pStyle w:val="TableBodyText"/>
                    <w:jc w:val="left"/>
                    <w:rPr>
                      <w:i/>
                    </w:rPr>
                  </w:pPr>
                  <w:r>
                    <w:t>Services</w:t>
                  </w:r>
                </w:p>
              </w:tc>
              <w:tc>
                <w:tcPr>
                  <w:tcW w:w="1667" w:type="pct"/>
                  <w:hideMark/>
                </w:tcPr>
                <w:p w14:paraId="00BB2EB5" w14:textId="77777777" w:rsidR="0034060E" w:rsidRDefault="0034060E">
                  <w:pPr>
                    <w:pStyle w:val="TableBodyText"/>
                  </w:pPr>
                  <w:r>
                    <w:t>0.1</w:t>
                  </w:r>
                </w:p>
              </w:tc>
              <w:tc>
                <w:tcPr>
                  <w:tcW w:w="1666" w:type="pct"/>
                  <w:hideMark/>
                </w:tcPr>
                <w:p w14:paraId="00BB2EB6" w14:textId="77777777" w:rsidR="0034060E" w:rsidRDefault="0034060E">
                  <w:pPr>
                    <w:pStyle w:val="TableBodyText"/>
                    <w:ind w:right="28"/>
                  </w:pPr>
                  <w:r>
                    <w:t>0.8</w:t>
                  </w:r>
                </w:p>
              </w:tc>
            </w:tr>
            <w:tr w:rsidR="0034060E" w14:paraId="00BB2EBF" w14:textId="77777777">
              <w:tc>
                <w:tcPr>
                  <w:tcW w:w="1667" w:type="pct"/>
                  <w:hideMark/>
                </w:tcPr>
                <w:p w14:paraId="00BB2EBC" w14:textId="77777777" w:rsidR="0034060E" w:rsidRDefault="0034060E">
                  <w:pPr>
                    <w:pStyle w:val="TableBodyText"/>
                    <w:spacing w:before="120"/>
                    <w:jc w:val="left"/>
                    <w:rPr>
                      <w:b/>
                      <w:szCs w:val="24"/>
                    </w:rPr>
                  </w:pPr>
                  <w:r>
                    <w:rPr>
                      <w:b/>
                    </w:rPr>
                    <w:t xml:space="preserve">Employment (hours) </w:t>
                  </w:r>
                </w:p>
              </w:tc>
              <w:tc>
                <w:tcPr>
                  <w:tcW w:w="1667" w:type="pct"/>
                </w:tcPr>
                <w:p w14:paraId="00BB2EBD" w14:textId="77777777" w:rsidR="0034060E" w:rsidRDefault="0034060E">
                  <w:pPr>
                    <w:pStyle w:val="TableBodyText"/>
                  </w:pPr>
                </w:p>
              </w:tc>
              <w:tc>
                <w:tcPr>
                  <w:tcW w:w="1666" w:type="pct"/>
                </w:tcPr>
                <w:p w14:paraId="00BB2EBE" w14:textId="77777777" w:rsidR="0034060E" w:rsidRDefault="0034060E">
                  <w:pPr>
                    <w:pStyle w:val="TableBodyText"/>
                    <w:ind w:right="28"/>
                  </w:pPr>
                </w:p>
              </w:tc>
            </w:tr>
            <w:tr w:rsidR="0034060E" w14:paraId="00BB2EC3" w14:textId="77777777">
              <w:tc>
                <w:tcPr>
                  <w:tcW w:w="1667" w:type="pct"/>
                  <w:hideMark/>
                </w:tcPr>
                <w:p w14:paraId="00BB2EC0" w14:textId="77777777" w:rsidR="0034060E" w:rsidRDefault="0034060E">
                  <w:pPr>
                    <w:pStyle w:val="TableBodyText"/>
                    <w:jc w:val="left"/>
                  </w:pPr>
                  <w:r>
                    <w:t>Agriculture</w:t>
                  </w:r>
                </w:p>
              </w:tc>
              <w:tc>
                <w:tcPr>
                  <w:tcW w:w="1667" w:type="pct"/>
                  <w:hideMark/>
                </w:tcPr>
                <w:p w14:paraId="00BB2EC1" w14:textId="77777777" w:rsidR="0034060E" w:rsidRDefault="0034060E">
                  <w:pPr>
                    <w:pStyle w:val="TableBodyText"/>
                  </w:pPr>
                  <w:r>
                    <w:t>0.3</w:t>
                  </w:r>
                </w:p>
              </w:tc>
              <w:tc>
                <w:tcPr>
                  <w:tcW w:w="1666" w:type="pct"/>
                  <w:hideMark/>
                </w:tcPr>
                <w:p w14:paraId="00BB2EC2" w14:textId="77777777" w:rsidR="0034060E" w:rsidRDefault="0034060E">
                  <w:pPr>
                    <w:pStyle w:val="TableBodyText"/>
                    <w:ind w:right="28"/>
                  </w:pPr>
                  <w:r>
                    <w:t>1.1</w:t>
                  </w:r>
                </w:p>
              </w:tc>
            </w:tr>
            <w:tr w:rsidR="0034060E" w14:paraId="00BB2EC7" w14:textId="77777777">
              <w:tc>
                <w:tcPr>
                  <w:tcW w:w="1667" w:type="pct"/>
                  <w:hideMark/>
                </w:tcPr>
                <w:p w14:paraId="00BB2EC4" w14:textId="77777777" w:rsidR="0034060E" w:rsidRDefault="0034060E">
                  <w:pPr>
                    <w:pStyle w:val="TableBodyText"/>
                    <w:jc w:val="left"/>
                  </w:pPr>
                  <w:r>
                    <w:t>Mining</w:t>
                  </w:r>
                </w:p>
              </w:tc>
              <w:tc>
                <w:tcPr>
                  <w:tcW w:w="1667" w:type="pct"/>
                  <w:hideMark/>
                </w:tcPr>
                <w:p w14:paraId="00BB2EC5" w14:textId="77777777" w:rsidR="0034060E" w:rsidRDefault="0034060E">
                  <w:pPr>
                    <w:pStyle w:val="TableBodyText"/>
                  </w:pPr>
                  <w:r>
                    <w:t>0.3</w:t>
                  </w:r>
                </w:p>
              </w:tc>
              <w:tc>
                <w:tcPr>
                  <w:tcW w:w="1666" w:type="pct"/>
                  <w:hideMark/>
                </w:tcPr>
                <w:p w14:paraId="00BB2EC6" w14:textId="77777777" w:rsidR="0034060E" w:rsidRDefault="0034060E">
                  <w:pPr>
                    <w:pStyle w:val="TableBodyText"/>
                    <w:ind w:right="28"/>
                  </w:pPr>
                  <w:r>
                    <w:t>1.0</w:t>
                  </w:r>
                </w:p>
              </w:tc>
            </w:tr>
            <w:tr w:rsidR="0034060E" w14:paraId="00BB2ECB" w14:textId="77777777">
              <w:tc>
                <w:tcPr>
                  <w:tcW w:w="1667" w:type="pct"/>
                  <w:hideMark/>
                </w:tcPr>
                <w:p w14:paraId="00BB2EC8" w14:textId="77777777" w:rsidR="0034060E" w:rsidRDefault="0034060E">
                  <w:pPr>
                    <w:pStyle w:val="TableBodyText"/>
                    <w:jc w:val="left"/>
                  </w:pPr>
                  <w:r>
                    <w:t>Manufacturing</w:t>
                  </w:r>
                </w:p>
              </w:tc>
              <w:tc>
                <w:tcPr>
                  <w:tcW w:w="1667" w:type="pct"/>
                  <w:hideMark/>
                </w:tcPr>
                <w:p w14:paraId="00BB2EC9" w14:textId="77777777" w:rsidR="0034060E" w:rsidRDefault="0034060E">
                  <w:pPr>
                    <w:pStyle w:val="TableBodyText"/>
                  </w:pPr>
                  <w:r>
                    <w:t>0.3</w:t>
                  </w:r>
                </w:p>
              </w:tc>
              <w:tc>
                <w:tcPr>
                  <w:tcW w:w="1666" w:type="pct"/>
                  <w:hideMark/>
                </w:tcPr>
                <w:p w14:paraId="00BB2ECA" w14:textId="77777777" w:rsidR="0034060E" w:rsidRDefault="0034060E">
                  <w:pPr>
                    <w:pStyle w:val="TableBodyText"/>
                    <w:ind w:right="28"/>
                  </w:pPr>
                  <w:r>
                    <w:t>1.3</w:t>
                  </w:r>
                </w:p>
              </w:tc>
            </w:tr>
            <w:tr w:rsidR="0034060E" w14:paraId="00BB2ECF" w14:textId="77777777">
              <w:tc>
                <w:tcPr>
                  <w:tcW w:w="1667" w:type="pct"/>
                  <w:tcBorders>
                    <w:top w:val="nil"/>
                    <w:left w:val="nil"/>
                    <w:bottom w:val="single" w:sz="6" w:space="0" w:color="BFBFBF"/>
                    <w:right w:val="nil"/>
                  </w:tcBorders>
                  <w:hideMark/>
                </w:tcPr>
                <w:p w14:paraId="00BB2ECC" w14:textId="77777777" w:rsidR="0034060E" w:rsidRDefault="0034060E">
                  <w:pPr>
                    <w:pStyle w:val="TableBodyText"/>
                    <w:jc w:val="left"/>
                  </w:pPr>
                  <w:r>
                    <w:t>Services</w:t>
                  </w:r>
                </w:p>
              </w:tc>
              <w:tc>
                <w:tcPr>
                  <w:tcW w:w="1667" w:type="pct"/>
                  <w:tcBorders>
                    <w:top w:val="nil"/>
                    <w:left w:val="nil"/>
                    <w:bottom w:val="single" w:sz="6" w:space="0" w:color="BFBFBF"/>
                    <w:right w:val="nil"/>
                  </w:tcBorders>
                  <w:hideMark/>
                </w:tcPr>
                <w:p w14:paraId="00BB2ECD" w14:textId="77777777" w:rsidR="0034060E" w:rsidRDefault="0034060E">
                  <w:pPr>
                    <w:pStyle w:val="TableBodyText"/>
                  </w:pPr>
                  <w:r>
                    <w:t>0.2</w:t>
                  </w:r>
                </w:p>
              </w:tc>
              <w:tc>
                <w:tcPr>
                  <w:tcW w:w="1666" w:type="pct"/>
                  <w:tcBorders>
                    <w:top w:val="nil"/>
                    <w:left w:val="nil"/>
                    <w:bottom w:val="single" w:sz="6" w:space="0" w:color="BFBFBF"/>
                    <w:right w:val="nil"/>
                  </w:tcBorders>
                  <w:hideMark/>
                </w:tcPr>
                <w:p w14:paraId="00BB2ECE" w14:textId="77777777" w:rsidR="0034060E" w:rsidRDefault="0034060E">
                  <w:pPr>
                    <w:pStyle w:val="TableBodyText"/>
                    <w:ind w:right="28"/>
                  </w:pPr>
                  <w:r>
                    <w:t>1.2</w:t>
                  </w:r>
                </w:p>
              </w:tc>
            </w:tr>
          </w:tbl>
          <w:p w14:paraId="00BB2ED0" w14:textId="77777777" w:rsidR="0034060E" w:rsidRDefault="0034060E">
            <w:pPr>
              <w:pStyle w:val="Box"/>
            </w:pPr>
          </w:p>
        </w:tc>
      </w:tr>
      <w:tr w:rsidR="0034060E" w14:paraId="00BB2ED3" w14:textId="77777777" w:rsidTr="00453A36">
        <w:trPr>
          <w:cantSplit/>
        </w:trPr>
        <w:tc>
          <w:tcPr>
            <w:tcW w:w="8771" w:type="dxa"/>
            <w:tcBorders>
              <w:top w:val="nil"/>
              <w:left w:val="nil"/>
              <w:bottom w:val="nil"/>
              <w:right w:val="nil"/>
            </w:tcBorders>
            <w:hideMark/>
          </w:tcPr>
          <w:p w14:paraId="00BB2ED2" w14:textId="77777777" w:rsidR="0034060E" w:rsidRDefault="0034060E">
            <w:pPr>
              <w:pStyle w:val="Source"/>
            </w:pPr>
            <w:r>
              <w:rPr>
                <w:i/>
              </w:rPr>
              <w:t>Source</w:t>
            </w:r>
            <w:r>
              <w:t xml:space="preserve">: Productivity Commission projections based on the </w:t>
            </w:r>
            <w:proofErr w:type="spellStart"/>
            <w:r>
              <w:t>VUMR</w:t>
            </w:r>
            <w:r>
              <w:noBreakHyphen/>
              <w:t>WR</w:t>
            </w:r>
            <w:proofErr w:type="spellEnd"/>
            <w:r>
              <w:t xml:space="preserve"> model.</w:t>
            </w:r>
          </w:p>
        </w:tc>
      </w:tr>
      <w:tr w:rsidR="0034060E" w14:paraId="00BB2ED5" w14:textId="77777777" w:rsidTr="00453A36">
        <w:trPr>
          <w:cantSplit/>
        </w:trPr>
        <w:tc>
          <w:tcPr>
            <w:tcW w:w="8771" w:type="dxa"/>
            <w:tcBorders>
              <w:top w:val="nil"/>
              <w:left w:val="nil"/>
              <w:bottom w:val="single" w:sz="6" w:space="0" w:color="78A22F"/>
              <w:right w:val="nil"/>
            </w:tcBorders>
          </w:tcPr>
          <w:p w14:paraId="00BB2ED4" w14:textId="77777777" w:rsidR="0034060E" w:rsidRDefault="0034060E">
            <w:pPr>
              <w:pStyle w:val="Box"/>
              <w:spacing w:before="0" w:line="120" w:lineRule="exact"/>
            </w:pPr>
          </w:p>
        </w:tc>
      </w:tr>
      <w:tr w:rsidR="0034060E" w14:paraId="00BB2ED7" w14:textId="77777777" w:rsidTr="00453A36">
        <w:tc>
          <w:tcPr>
            <w:tcW w:w="8771" w:type="dxa"/>
            <w:tcBorders>
              <w:top w:val="single" w:sz="6" w:space="0" w:color="78A22F"/>
              <w:left w:val="nil"/>
              <w:bottom w:val="nil"/>
              <w:right w:val="nil"/>
            </w:tcBorders>
            <w:hideMark/>
          </w:tcPr>
          <w:p w14:paraId="00BB2ED6" w14:textId="4C609773" w:rsidR="0034060E" w:rsidRDefault="0034060E">
            <w:pPr>
              <w:pStyle w:val="BoxSpaceBelow"/>
            </w:pPr>
          </w:p>
        </w:tc>
      </w:tr>
    </w:tbl>
    <w:p w14:paraId="00BB2ED8" w14:textId="77777777" w:rsidR="0034060E" w:rsidRDefault="0034060E" w:rsidP="00453A36">
      <w:pPr>
        <w:pStyle w:val="Heading3"/>
      </w:pPr>
      <w:r>
        <w:t>Fiscal implications</w:t>
      </w:r>
    </w:p>
    <w:p w14:paraId="00BB2ED9" w14:textId="77777777" w:rsidR="0034060E" w:rsidRDefault="0034060E" w:rsidP="00453A36">
      <w:pPr>
        <w:pStyle w:val="BodyText"/>
      </w:pPr>
      <w:r>
        <w:t>It is also projected that the Commonwealth fiscal position could be improved, by around $500 million in 2017</w:t>
      </w:r>
      <w:r>
        <w:noBreakHyphen/>
        <w:t>18 (in 2013</w:t>
      </w:r>
      <w:r>
        <w:noBreakHyphen/>
        <w:t xml:space="preserve">14 prices), reflecting a reduction in the payment of unemployment benefits, a rise in personal income tax revenue and a rise in corporate income tax revenue (table 3.3). The fiscal position of State governments is also projected to improve as GST, property tax and payroll tax revenues expand with the level of economic activity more broadly. </w:t>
      </w:r>
    </w:p>
    <w:p w14:paraId="00BB2EDA" w14:textId="309F006D"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4060E" w14:paraId="00BB2EDD" w14:textId="77777777" w:rsidTr="00453A36">
        <w:tc>
          <w:tcPr>
            <w:tcW w:w="8771" w:type="dxa"/>
            <w:tcBorders>
              <w:top w:val="single" w:sz="6" w:space="0" w:color="78A22F"/>
              <w:left w:val="nil"/>
              <w:bottom w:val="nil"/>
              <w:right w:val="nil"/>
            </w:tcBorders>
            <w:hideMark/>
          </w:tcPr>
          <w:p w14:paraId="00BB2EDB" w14:textId="394017A3" w:rsidR="0034060E" w:rsidRDefault="0034060E">
            <w:pPr>
              <w:pStyle w:val="TableTitle"/>
            </w:pPr>
            <w:r>
              <w:rPr>
                <w:b w:val="0"/>
              </w:rPr>
              <w:t>Table 3.</w:t>
            </w:r>
            <w:r>
              <w:rPr>
                <w:b w:val="0"/>
                <w:noProof/>
              </w:rPr>
              <w:t>3</w:t>
            </w:r>
            <w:r>
              <w:tab/>
              <w:t>Projected fiscal implications of the moderate minimum wage growth scenario</w:t>
            </w:r>
          </w:p>
          <w:p w14:paraId="00BB2EDC" w14:textId="77777777" w:rsidR="0034060E" w:rsidRDefault="0034060E" w:rsidP="00453A36">
            <w:pPr>
              <w:pStyle w:val="Subtitle"/>
            </w:pPr>
            <w:r>
              <w:t>Value in 2013</w:t>
            </w:r>
            <w:r>
              <w:noBreakHyphen/>
              <w:t>14 prices</w:t>
            </w:r>
          </w:p>
        </w:tc>
      </w:tr>
      <w:tr w:rsidR="0034060E" w14:paraId="00BB2F07" w14:textId="77777777" w:rsidTr="00453A36">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5741"/>
              <w:gridCol w:w="1453"/>
              <w:gridCol w:w="1293"/>
            </w:tblGrid>
            <w:tr w:rsidR="0034060E" w14:paraId="00BB2EE1" w14:textId="77777777" w:rsidTr="00D46F34">
              <w:tc>
                <w:tcPr>
                  <w:tcW w:w="3382" w:type="pct"/>
                  <w:tcBorders>
                    <w:top w:val="single" w:sz="6" w:space="0" w:color="BFBFBF"/>
                    <w:left w:val="nil"/>
                    <w:right w:val="nil"/>
                  </w:tcBorders>
                </w:tcPr>
                <w:p w14:paraId="00BB2EDE" w14:textId="77777777" w:rsidR="0034060E" w:rsidRDefault="0034060E" w:rsidP="00D46F34">
                  <w:pPr>
                    <w:pStyle w:val="TableColumnHeading"/>
                    <w:spacing w:after="0"/>
                    <w:jc w:val="left"/>
                  </w:pPr>
                </w:p>
              </w:tc>
              <w:tc>
                <w:tcPr>
                  <w:tcW w:w="856" w:type="pct"/>
                  <w:tcBorders>
                    <w:top w:val="single" w:sz="6" w:space="0" w:color="BFBFBF"/>
                    <w:left w:val="nil"/>
                    <w:right w:val="nil"/>
                  </w:tcBorders>
                  <w:hideMark/>
                </w:tcPr>
                <w:p w14:paraId="00BB2EDF" w14:textId="77777777" w:rsidR="0034060E" w:rsidRDefault="0034060E" w:rsidP="00D46F34">
                  <w:pPr>
                    <w:pStyle w:val="TableColumnHeading"/>
                    <w:spacing w:after="0"/>
                  </w:pPr>
                  <w:r>
                    <w:t>2017</w:t>
                  </w:r>
                  <w:r>
                    <w:noBreakHyphen/>
                    <w:t>18</w:t>
                  </w:r>
                </w:p>
              </w:tc>
              <w:tc>
                <w:tcPr>
                  <w:tcW w:w="762" w:type="pct"/>
                  <w:tcBorders>
                    <w:top w:val="single" w:sz="6" w:space="0" w:color="BFBFBF"/>
                    <w:left w:val="nil"/>
                    <w:right w:val="nil"/>
                  </w:tcBorders>
                  <w:hideMark/>
                </w:tcPr>
                <w:p w14:paraId="00BB2EE0" w14:textId="77777777" w:rsidR="0034060E" w:rsidRDefault="0034060E" w:rsidP="00D46F34">
                  <w:pPr>
                    <w:pStyle w:val="TableColumnHeading"/>
                    <w:spacing w:after="0"/>
                    <w:ind w:right="28"/>
                  </w:pPr>
                  <w:r>
                    <w:t>2024</w:t>
                  </w:r>
                  <w:r>
                    <w:noBreakHyphen/>
                    <w:t>25</w:t>
                  </w:r>
                </w:p>
              </w:tc>
            </w:tr>
            <w:tr w:rsidR="0034060E" w14:paraId="00BB2EE5" w14:textId="77777777" w:rsidTr="00D46F34">
              <w:tc>
                <w:tcPr>
                  <w:tcW w:w="3382" w:type="pct"/>
                  <w:tcBorders>
                    <w:left w:val="nil"/>
                    <w:bottom w:val="nil"/>
                    <w:right w:val="nil"/>
                  </w:tcBorders>
                </w:tcPr>
                <w:p w14:paraId="00BB2EE2" w14:textId="77777777" w:rsidR="0034060E" w:rsidRDefault="0034060E">
                  <w:pPr>
                    <w:pStyle w:val="TableUnitsRow"/>
                    <w:jc w:val="left"/>
                  </w:pPr>
                </w:p>
              </w:tc>
              <w:tc>
                <w:tcPr>
                  <w:tcW w:w="856" w:type="pct"/>
                  <w:tcBorders>
                    <w:left w:val="nil"/>
                    <w:bottom w:val="nil"/>
                    <w:right w:val="nil"/>
                  </w:tcBorders>
                </w:tcPr>
                <w:p w14:paraId="00BB2EE3" w14:textId="77777777" w:rsidR="0034060E" w:rsidRDefault="0034060E" w:rsidP="00453A36">
                  <w:pPr>
                    <w:pStyle w:val="TableUnitsRow"/>
                  </w:pPr>
                  <w:r>
                    <w:t>$ million</w:t>
                  </w:r>
                </w:p>
              </w:tc>
              <w:tc>
                <w:tcPr>
                  <w:tcW w:w="762" w:type="pct"/>
                  <w:tcBorders>
                    <w:left w:val="nil"/>
                    <w:bottom w:val="nil"/>
                    <w:right w:val="nil"/>
                  </w:tcBorders>
                </w:tcPr>
                <w:p w14:paraId="00BB2EE4" w14:textId="77777777" w:rsidR="0034060E" w:rsidRDefault="0034060E">
                  <w:pPr>
                    <w:pStyle w:val="TableUnitsRow"/>
                    <w:ind w:right="28"/>
                  </w:pPr>
                  <w:r>
                    <w:t>$ million</w:t>
                  </w:r>
                </w:p>
              </w:tc>
            </w:tr>
            <w:tr w:rsidR="0034060E" w14:paraId="00BB2EE9" w14:textId="77777777">
              <w:tc>
                <w:tcPr>
                  <w:tcW w:w="3382" w:type="pct"/>
                  <w:tcBorders>
                    <w:top w:val="single" w:sz="6" w:space="0" w:color="BFBFBF"/>
                    <w:left w:val="nil"/>
                    <w:bottom w:val="nil"/>
                    <w:right w:val="nil"/>
                  </w:tcBorders>
                  <w:hideMark/>
                </w:tcPr>
                <w:p w14:paraId="00BB2EE6" w14:textId="77777777" w:rsidR="0034060E" w:rsidRDefault="0034060E" w:rsidP="00453A36">
                  <w:pPr>
                    <w:pStyle w:val="TableUnitsRow"/>
                    <w:tabs>
                      <w:tab w:val="left" w:pos="403"/>
                    </w:tabs>
                    <w:jc w:val="left"/>
                  </w:pPr>
                  <w:r>
                    <w:t>Commonwealth government, of which:</w:t>
                  </w:r>
                </w:p>
              </w:tc>
              <w:tc>
                <w:tcPr>
                  <w:tcW w:w="856" w:type="pct"/>
                  <w:tcBorders>
                    <w:top w:val="single" w:sz="6" w:space="0" w:color="BFBFBF"/>
                    <w:left w:val="nil"/>
                    <w:bottom w:val="nil"/>
                    <w:right w:val="nil"/>
                  </w:tcBorders>
                </w:tcPr>
                <w:p w14:paraId="00BB2EE7" w14:textId="77777777" w:rsidR="0034060E" w:rsidRDefault="0034060E">
                  <w:pPr>
                    <w:pStyle w:val="TableUnitsRow"/>
                  </w:pPr>
                </w:p>
              </w:tc>
              <w:tc>
                <w:tcPr>
                  <w:tcW w:w="762" w:type="pct"/>
                  <w:tcBorders>
                    <w:top w:val="single" w:sz="6" w:space="0" w:color="BFBFBF"/>
                    <w:left w:val="nil"/>
                    <w:bottom w:val="nil"/>
                    <w:right w:val="nil"/>
                  </w:tcBorders>
                </w:tcPr>
                <w:p w14:paraId="00BB2EE8" w14:textId="77777777" w:rsidR="0034060E" w:rsidRDefault="0034060E">
                  <w:pPr>
                    <w:pStyle w:val="TableUnitsRow"/>
                    <w:ind w:right="28"/>
                  </w:pPr>
                </w:p>
              </w:tc>
            </w:tr>
            <w:tr w:rsidR="0034060E" w14:paraId="00BB2EED" w14:textId="77777777">
              <w:tc>
                <w:tcPr>
                  <w:tcW w:w="3382" w:type="pct"/>
                  <w:hideMark/>
                </w:tcPr>
                <w:p w14:paraId="00BB2EEA" w14:textId="77777777" w:rsidR="0034060E" w:rsidRDefault="0034060E" w:rsidP="00453A36">
                  <w:pPr>
                    <w:pStyle w:val="TableBodyText"/>
                    <w:tabs>
                      <w:tab w:val="left" w:pos="403"/>
                    </w:tabs>
                    <w:jc w:val="left"/>
                  </w:pPr>
                  <w:r>
                    <w:tab/>
                    <w:t>Unemployment benefits</w:t>
                  </w:r>
                  <w:r>
                    <w:rPr>
                      <w:rStyle w:val="NoteLabel"/>
                    </w:rPr>
                    <w:t>a</w:t>
                  </w:r>
                </w:p>
              </w:tc>
              <w:tc>
                <w:tcPr>
                  <w:tcW w:w="856" w:type="pct"/>
                  <w:hideMark/>
                </w:tcPr>
                <w:p w14:paraId="00BB2EEB" w14:textId="77777777" w:rsidR="0034060E" w:rsidRDefault="0034060E">
                  <w:pPr>
                    <w:pStyle w:val="TableBodyText"/>
                  </w:pPr>
                  <w:r>
                    <w:noBreakHyphen/>
                    <w:t>400</w:t>
                  </w:r>
                </w:p>
              </w:tc>
              <w:tc>
                <w:tcPr>
                  <w:tcW w:w="762" w:type="pct"/>
                  <w:hideMark/>
                </w:tcPr>
                <w:p w14:paraId="00BB2EEC" w14:textId="77777777" w:rsidR="0034060E" w:rsidRDefault="0034060E">
                  <w:pPr>
                    <w:pStyle w:val="TableBodyText"/>
                    <w:ind w:right="28"/>
                  </w:pPr>
                  <w:r>
                    <w:noBreakHyphen/>
                    <w:t>2 500</w:t>
                  </w:r>
                </w:p>
              </w:tc>
            </w:tr>
            <w:tr w:rsidR="0034060E" w14:paraId="00BB2EF1" w14:textId="77777777">
              <w:tc>
                <w:tcPr>
                  <w:tcW w:w="3382" w:type="pct"/>
                  <w:hideMark/>
                </w:tcPr>
                <w:p w14:paraId="00BB2EEE" w14:textId="77777777" w:rsidR="0034060E" w:rsidRDefault="0034060E" w:rsidP="00453A36">
                  <w:pPr>
                    <w:pStyle w:val="TableBodyText"/>
                    <w:tabs>
                      <w:tab w:val="left" w:pos="403"/>
                    </w:tabs>
                    <w:jc w:val="left"/>
                  </w:pPr>
                  <w:r>
                    <w:tab/>
                    <w:t>Personal income tax revenue</w:t>
                  </w:r>
                </w:p>
              </w:tc>
              <w:tc>
                <w:tcPr>
                  <w:tcW w:w="856" w:type="pct"/>
                  <w:hideMark/>
                </w:tcPr>
                <w:p w14:paraId="00BB2EEF" w14:textId="77777777" w:rsidR="0034060E" w:rsidRDefault="0034060E">
                  <w:pPr>
                    <w:pStyle w:val="TableBodyText"/>
                  </w:pPr>
                  <w:r>
                    <w:t>10</w:t>
                  </w:r>
                </w:p>
              </w:tc>
              <w:tc>
                <w:tcPr>
                  <w:tcW w:w="762" w:type="pct"/>
                  <w:hideMark/>
                </w:tcPr>
                <w:p w14:paraId="00BB2EF0" w14:textId="77777777" w:rsidR="0034060E" w:rsidRDefault="0034060E">
                  <w:pPr>
                    <w:pStyle w:val="TableBodyText"/>
                    <w:ind w:right="28"/>
                  </w:pPr>
                  <w:r>
                    <w:t>1 300</w:t>
                  </w:r>
                </w:p>
              </w:tc>
            </w:tr>
            <w:tr w:rsidR="0034060E" w14:paraId="00BB2EF5" w14:textId="77777777">
              <w:tc>
                <w:tcPr>
                  <w:tcW w:w="3382" w:type="pct"/>
                  <w:hideMark/>
                </w:tcPr>
                <w:p w14:paraId="00BB2EF2" w14:textId="77777777" w:rsidR="0034060E" w:rsidRDefault="0034060E" w:rsidP="00453A36">
                  <w:pPr>
                    <w:pStyle w:val="TableBodyText"/>
                    <w:tabs>
                      <w:tab w:val="left" w:pos="403"/>
                    </w:tabs>
                    <w:jc w:val="left"/>
                  </w:pPr>
                  <w:r>
                    <w:tab/>
                    <w:t>Corporate income tax revenue</w:t>
                  </w:r>
                </w:p>
              </w:tc>
              <w:tc>
                <w:tcPr>
                  <w:tcW w:w="856" w:type="pct"/>
                  <w:hideMark/>
                </w:tcPr>
                <w:p w14:paraId="00BB2EF3" w14:textId="77777777" w:rsidR="0034060E" w:rsidRDefault="0034060E">
                  <w:pPr>
                    <w:pStyle w:val="TableBodyText"/>
                  </w:pPr>
                  <w:r>
                    <w:t>160</w:t>
                  </w:r>
                </w:p>
              </w:tc>
              <w:tc>
                <w:tcPr>
                  <w:tcW w:w="762" w:type="pct"/>
                  <w:hideMark/>
                </w:tcPr>
                <w:p w14:paraId="00BB2EF4" w14:textId="77777777" w:rsidR="0034060E" w:rsidRDefault="0034060E">
                  <w:pPr>
                    <w:pStyle w:val="TableBodyText"/>
                    <w:ind w:right="28"/>
                  </w:pPr>
                  <w:r>
                    <w:t>850</w:t>
                  </w:r>
                </w:p>
              </w:tc>
            </w:tr>
            <w:tr w:rsidR="0034060E" w14:paraId="00BB2EFD" w14:textId="77777777">
              <w:tc>
                <w:tcPr>
                  <w:tcW w:w="3382" w:type="pct"/>
                  <w:hideMark/>
                </w:tcPr>
                <w:p w14:paraId="00BB2EFA" w14:textId="77777777" w:rsidR="0034060E" w:rsidRDefault="0034060E" w:rsidP="00D46F34">
                  <w:pPr>
                    <w:pStyle w:val="TableBodyText"/>
                    <w:tabs>
                      <w:tab w:val="left" w:pos="403"/>
                    </w:tabs>
                    <w:spacing w:before="160"/>
                    <w:jc w:val="left"/>
                  </w:pPr>
                  <w:r>
                    <w:t>State and local governments, of which:</w:t>
                  </w:r>
                </w:p>
              </w:tc>
              <w:tc>
                <w:tcPr>
                  <w:tcW w:w="856" w:type="pct"/>
                </w:tcPr>
                <w:p w14:paraId="00BB2EFB" w14:textId="77777777" w:rsidR="0034060E" w:rsidRDefault="0034060E" w:rsidP="00D46F34">
                  <w:pPr>
                    <w:pStyle w:val="TableBodyText"/>
                    <w:spacing w:before="160"/>
                  </w:pPr>
                </w:p>
              </w:tc>
              <w:tc>
                <w:tcPr>
                  <w:tcW w:w="762" w:type="pct"/>
                </w:tcPr>
                <w:p w14:paraId="00BB2EFC" w14:textId="77777777" w:rsidR="0034060E" w:rsidRDefault="0034060E" w:rsidP="00D46F34">
                  <w:pPr>
                    <w:pStyle w:val="TableBodyText"/>
                    <w:spacing w:before="160"/>
                    <w:ind w:right="28"/>
                  </w:pPr>
                </w:p>
              </w:tc>
            </w:tr>
            <w:tr w:rsidR="0034060E" w14:paraId="00BB2F01" w14:textId="77777777">
              <w:tc>
                <w:tcPr>
                  <w:tcW w:w="3382" w:type="pct"/>
                  <w:hideMark/>
                </w:tcPr>
                <w:p w14:paraId="00BB2EFE" w14:textId="77777777" w:rsidR="0034060E" w:rsidRDefault="0034060E" w:rsidP="00453A36">
                  <w:pPr>
                    <w:pStyle w:val="TableBodyText"/>
                    <w:tabs>
                      <w:tab w:val="left" w:pos="403"/>
                    </w:tabs>
                    <w:jc w:val="left"/>
                  </w:pPr>
                  <w:r>
                    <w:tab/>
                    <w:t>GST</w:t>
                  </w:r>
                </w:p>
              </w:tc>
              <w:tc>
                <w:tcPr>
                  <w:tcW w:w="856" w:type="pct"/>
                  <w:hideMark/>
                </w:tcPr>
                <w:p w14:paraId="00BB2EFF" w14:textId="77777777" w:rsidR="0034060E" w:rsidRDefault="0034060E">
                  <w:pPr>
                    <w:pStyle w:val="TableBodyText"/>
                  </w:pPr>
                  <w:r>
                    <w:t>60</w:t>
                  </w:r>
                </w:p>
              </w:tc>
              <w:tc>
                <w:tcPr>
                  <w:tcW w:w="762" w:type="pct"/>
                  <w:hideMark/>
                </w:tcPr>
                <w:p w14:paraId="00BB2F00" w14:textId="77777777" w:rsidR="0034060E" w:rsidRDefault="0034060E">
                  <w:pPr>
                    <w:pStyle w:val="TableBodyText"/>
                    <w:ind w:right="28"/>
                  </w:pPr>
                  <w:r>
                    <w:t>520</w:t>
                  </w:r>
                </w:p>
              </w:tc>
            </w:tr>
            <w:tr w:rsidR="0034060E" w14:paraId="00BB2F05" w14:textId="77777777">
              <w:tc>
                <w:tcPr>
                  <w:tcW w:w="3382" w:type="pct"/>
                  <w:tcBorders>
                    <w:top w:val="nil"/>
                    <w:left w:val="nil"/>
                    <w:bottom w:val="single" w:sz="6" w:space="0" w:color="BFBFBF"/>
                    <w:right w:val="nil"/>
                  </w:tcBorders>
                  <w:hideMark/>
                </w:tcPr>
                <w:p w14:paraId="00BB2F02" w14:textId="77777777" w:rsidR="0034060E" w:rsidRDefault="0034060E" w:rsidP="00453A36">
                  <w:pPr>
                    <w:pStyle w:val="TableBodyText"/>
                    <w:tabs>
                      <w:tab w:val="left" w:pos="403"/>
                    </w:tabs>
                    <w:jc w:val="left"/>
                  </w:pPr>
                  <w:r>
                    <w:tab/>
                    <w:t>Property and payroll taxes</w:t>
                  </w:r>
                </w:p>
              </w:tc>
              <w:tc>
                <w:tcPr>
                  <w:tcW w:w="856" w:type="pct"/>
                  <w:tcBorders>
                    <w:top w:val="nil"/>
                    <w:left w:val="nil"/>
                    <w:bottom w:val="single" w:sz="6" w:space="0" w:color="BFBFBF"/>
                    <w:right w:val="nil"/>
                  </w:tcBorders>
                  <w:hideMark/>
                </w:tcPr>
                <w:p w14:paraId="00BB2F03" w14:textId="77777777" w:rsidR="0034060E" w:rsidRDefault="0034060E">
                  <w:pPr>
                    <w:pStyle w:val="TableBodyText"/>
                  </w:pPr>
                  <w:r>
                    <w:t>90</w:t>
                  </w:r>
                </w:p>
              </w:tc>
              <w:tc>
                <w:tcPr>
                  <w:tcW w:w="762" w:type="pct"/>
                  <w:tcBorders>
                    <w:top w:val="nil"/>
                    <w:left w:val="nil"/>
                    <w:bottom w:val="single" w:sz="6" w:space="0" w:color="BFBFBF"/>
                    <w:right w:val="nil"/>
                  </w:tcBorders>
                  <w:hideMark/>
                </w:tcPr>
                <w:p w14:paraId="00BB2F04" w14:textId="77777777" w:rsidR="0034060E" w:rsidRDefault="0034060E">
                  <w:pPr>
                    <w:pStyle w:val="TableBodyText"/>
                    <w:ind w:right="28"/>
                  </w:pPr>
                  <w:r>
                    <w:t>770</w:t>
                  </w:r>
                </w:p>
              </w:tc>
            </w:tr>
          </w:tbl>
          <w:p w14:paraId="00BB2F06" w14:textId="77777777" w:rsidR="0034060E" w:rsidRDefault="0034060E">
            <w:pPr>
              <w:pStyle w:val="Box"/>
            </w:pPr>
          </w:p>
        </w:tc>
      </w:tr>
      <w:tr w:rsidR="0034060E" w14:paraId="00BB2F09" w14:textId="77777777" w:rsidTr="00453A36">
        <w:trPr>
          <w:cantSplit/>
        </w:trPr>
        <w:tc>
          <w:tcPr>
            <w:tcW w:w="8771" w:type="dxa"/>
            <w:tcBorders>
              <w:top w:val="nil"/>
              <w:left w:val="nil"/>
              <w:bottom w:val="nil"/>
              <w:right w:val="nil"/>
            </w:tcBorders>
            <w:hideMark/>
          </w:tcPr>
          <w:p w14:paraId="00BB2F08" w14:textId="77777777" w:rsidR="0034060E" w:rsidRDefault="0034060E" w:rsidP="00453A36">
            <w:pPr>
              <w:pStyle w:val="Note"/>
              <w:rPr>
                <w:i/>
              </w:rPr>
            </w:pPr>
            <w:proofErr w:type="spellStart"/>
            <w:r>
              <w:rPr>
                <w:rStyle w:val="NoteLabel"/>
              </w:rPr>
              <w:t>a</w:t>
            </w:r>
            <w:proofErr w:type="spellEnd"/>
            <w:r>
              <w:t xml:space="preserve"> </w:t>
            </w:r>
            <w:proofErr w:type="spellStart"/>
            <w:r>
              <w:t>A</w:t>
            </w:r>
            <w:proofErr w:type="spellEnd"/>
            <w:r>
              <w:t xml:space="preserve"> negative value denotes a reduction in the payment of unemployment benefits, and therefore an improvement in the government’s net fiscal position. The effect on unemployment benefits assumes that the number of people in receipt of unemployment benefits falls by the increase in full time equivalent employment. Of course, some employment gains may come from discouraged workers or take the form of additional hours of work for existing employees, which do not entail such savings. On the other hand, some unemployed people in receipt of unemployment benefits may obtain part</w:t>
            </w:r>
            <w:r>
              <w:noBreakHyphen/>
              <w:t>time jobs, so that the reductions in unemployment benefits are greater than those shown here.</w:t>
            </w:r>
          </w:p>
        </w:tc>
      </w:tr>
      <w:tr w:rsidR="0034060E" w14:paraId="00BB2F0B" w14:textId="77777777" w:rsidTr="00453A36">
        <w:trPr>
          <w:cantSplit/>
        </w:trPr>
        <w:tc>
          <w:tcPr>
            <w:tcW w:w="8771" w:type="dxa"/>
            <w:tcBorders>
              <w:top w:val="nil"/>
              <w:left w:val="nil"/>
              <w:bottom w:val="nil"/>
              <w:right w:val="nil"/>
            </w:tcBorders>
            <w:hideMark/>
          </w:tcPr>
          <w:p w14:paraId="00BB2F0A" w14:textId="77777777" w:rsidR="0034060E" w:rsidRDefault="0034060E">
            <w:pPr>
              <w:pStyle w:val="Source"/>
            </w:pPr>
            <w:r>
              <w:rPr>
                <w:i/>
              </w:rPr>
              <w:t>Source</w:t>
            </w:r>
            <w:r>
              <w:t xml:space="preserve">: Productivity Commission projections based on the </w:t>
            </w:r>
            <w:proofErr w:type="spellStart"/>
            <w:r>
              <w:t>VUMR</w:t>
            </w:r>
            <w:r>
              <w:noBreakHyphen/>
              <w:t>WR</w:t>
            </w:r>
            <w:proofErr w:type="spellEnd"/>
            <w:r>
              <w:t xml:space="preserve"> model.</w:t>
            </w:r>
          </w:p>
        </w:tc>
      </w:tr>
      <w:tr w:rsidR="0034060E" w14:paraId="00BB2F0D" w14:textId="77777777" w:rsidTr="00453A36">
        <w:trPr>
          <w:cantSplit/>
        </w:trPr>
        <w:tc>
          <w:tcPr>
            <w:tcW w:w="8771" w:type="dxa"/>
            <w:tcBorders>
              <w:top w:val="nil"/>
              <w:left w:val="nil"/>
              <w:bottom w:val="single" w:sz="6" w:space="0" w:color="78A22F"/>
              <w:right w:val="nil"/>
            </w:tcBorders>
          </w:tcPr>
          <w:p w14:paraId="00BB2F0C" w14:textId="77777777" w:rsidR="0034060E" w:rsidRDefault="0034060E">
            <w:pPr>
              <w:pStyle w:val="Box"/>
              <w:spacing w:before="0" w:line="120" w:lineRule="exact"/>
            </w:pPr>
          </w:p>
        </w:tc>
      </w:tr>
      <w:tr w:rsidR="0034060E" w14:paraId="00BB2F0F" w14:textId="77777777" w:rsidTr="00453A36">
        <w:tc>
          <w:tcPr>
            <w:tcW w:w="8771" w:type="dxa"/>
            <w:tcBorders>
              <w:top w:val="single" w:sz="6" w:space="0" w:color="78A22F"/>
              <w:left w:val="nil"/>
              <w:bottom w:val="nil"/>
              <w:right w:val="nil"/>
            </w:tcBorders>
            <w:hideMark/>
          </w:tcPr>
          <w:p w14:paraId="00BB2F0E" w14:textId="5EE033C8" w:rsidR="0034060E" w:rsidRDefault="0034060E">
            <w:pPr>
              <w:pStyle w:val="BoxSpaceBelow"/>
            </w:pPr>
          </w:p>
        </w:tc>
      </w:tr>
    </w:tbl>
    <w:p w14:paraId="00BB2F10" w14:textId="77777777" w:rsidR="0034060E" w:rsidRDefault="0034060E" w:rsidP="00120072">
      <w:pPr>
        <w:pStyle w:val="BodyText"/>
      </w:pPr>
    </w:p>
    <w:p w14:paraId="00BB2F11" w14:textId="77777777" w:rsidR="0034060E" w:rsidRDefault="0034060E" w:rsidP="0034060E">
      <w:pPr>
        <w:sectPr w:rsidR="0034060E" w:rsidSect="0034060E">
          <w:headerReference w:type="even" r:id="rId44"/>
          <w:headerReference w:type="default" r:id="rId45"/>
          <w:footerReference w:type="even" r:id="rId46"/>
          <w:footerReference w:type="default" r:id="rId47"/>
          <w:type w:val="oddPage"/>
          <w:pgSz w:w="11907" w:h="16840" w:code="9"/>
          <w:pgMar w:top="1985" w:right="1304" w:bottom="1247" w:left="1814" w:header="1701" w:footer="397" w:gutter="0"/>
          <w:pgNumType w:chapSep="period"/>
          <w:cols w:space="720"/>
          <w:docGrid w:linePitch="326"/>
        </w:sectPr>
      </w:pPr>
    </w:p>
    <w:p w14:paraId="00BB2F12" w14:textId="77777777" w:rsidR="0034060E" w:rsidRDefault="0034060E" w:rsidP="00453A36">
      <w:pPr>
        <w:pStyle w:val="Heading1"/>
        <w:spacing w:before="0"/>
      </w:pPr>
      <w:r>
        <w:lastRenderedPageBreak/>
        <w:t>4</w:t>
      </w:r>
      <w:r>
        <w:tab/>
        <w:t>Sensitivity testing</w:t>
      </w:r>
    </w:p>
    <w:p w14:paraId="00BB2F13" w14:textId="77777777" w:rsidR="0034060E" w:rsidRDefault="0034060E" w:rsidP="00453A36">
      <w:pPr>
        <w:pStyle w:val="BodyText"/>
      </w:pPr>
      <w:r>
        <w:t>The scale and potentially the direction of the results reported in the preceding chapter depend on the choice of model parameters and other assumptions. Selective testing has therefore been undertaken to gauge the sensitivity of modelled projections to alternative modelling assumptions, including parameter values.</w:t>
      </w:r>
      <w:r>
        <w:rPr>
          <w:rStyle w:val="FootnoteReference"/>
        </w:rPr>
        <w:footnoteReference w:id="2"/>
      </w:r>
      <w:r>
        <w:t xml:space="preserve"> </w:t>
      </w:r>
    </w:p>
    <w:p w14:paraId="00BB2F14" w14:textId="77777777" w:rsidR="0034060E" w:rsidRDefault="0034060E" w:rsidP="00453A36">
      <w:pPr>
        <w:pStyle w:val="BodyText"/>
      </w:pPr>
      <w:r>
        <w:t xml:space="preserve">First, the sensitivity of modelling results to alternative assumptions about the proportion of employees who are directly affected by a minimum wage change (the minimum wage footprint) is modelled. </w:t>
      </w:r>
    </w:p>
    <w:p w14:paraId="00BB2F15" w14:textId="77777777" w:rsidR="0034060E" w:rsidRDefault="0034060E" w:rsidP="00453A36">
      <w:pPr>
        <w:pStyle w:val="BodyText"/>
      </w:pPr>
      <w:r>
        <w:t>Second, alternative assumptions about the responsiveness of the demand for labour to a change in the price of labour relative to the price of capital (represented by the value of the labour capital substitution elasticity) are modelled.</w:t>
      </w:r>
    </w:p>
    <w:p w14:paraId="00BB2F16" w14:textId="77777777" w:rsidR="0034060E" w:rsidRPr="00954277" w:rsidRDefault="0034060E" w:rsidP="00453A36">
      <w:pPr>
        <w:pStyle w:val="BodyText"/>
      </w:pPr>
      <w:r>
        <w:t>Third, alternative assumptions about the responsiveness of the demand for labour and the supply of labour to award wage changes relative to other wages (represented by the values of the award wage substitution and transformation elasticity values respectively) are modelled.</w:t>
      </w:r>
    </w:p>
    <w:p w14:paraId="00BB2F17" w14:textId="6825E5EE" w:rsidR="0034060E" w:rsidRDefault="0034060E" w:rsidP="00453A36">
      <w:pPr>
        <w:pStyle w:val="BodyText"/>
      </w:pPr>
      <w:r>
        <w:t>Overall, the sensitivity tests indicate that the direction of the results of the moderate minimum wage growth scenario are not sensitive to the alternative assumptions. However, the magnitude of the results are affected by the assumed minimum wage footprint and the degree of responsiveness of labour supply and labour demand to relative changes in award wages. The results are otherwise not sensitive to a plausible range of parameter values for the labour capital substitution elasticity.</w:t>
      </w:r>
    </w:p>
    <w:p w14:paraId="00BB2F18" w14:textId="48D468AD" w:rsidR="0034060E" w:rsidRDefault="0034060E" w:rsidP="00453A36">
      <w:pPr>
        <w:pStyle w:val="Heading2"/>
      </w:pPr>
      <w:r>
        <w:t>4.</w:t>
      </w:r>
      <w:r>
        <w:rPr>
          <w:noProof/>
        </w:rPr>
        <w:t>1</w:t>
      </w:r>
      <w:r>
        <w:tab/>
        <w:t>Alternative minimum wage footprints</w:t>
      </w:r>
    </w:p>
    <w:p w14:paraId="00BB2F19" w14:textId="77777777" w:rsidR="0034060E" w:rsidRDefault="0034060E" w:rsidP="00453A36">
      <w:pPr>
        <w:pStyle w:val="BodyText"/>
      </w:pPr>
      <w:r>
        <w:t>In the scenarios reported in the preceding chapter, the moderation in the growth of wages paid to award</w:t>
      </w:r>
      <w:r>
        <w:noBreakHyphen/>
        <w:t>reliant workers were projected to lead to an improvement in employment outcomes, particularly of award</w:t>
      </w:r>
      <w:r>
        <w:noBreakHyphen/>
        <w:t xml:space="preserve">reliant workers. The degree to which employment is affected depends, in part, on the footprint of workers who are directly affected by moderation of minimum wages. </w:t>
      </w:r>
    </w:p>
    <w:p w14:paraId="00BB2F1A" w14:textId="4D5B1787" w:rsidR="0034060E" w:rsidRPr="007A7E53" w:rsidRDefault="0034060E" w:rsidP="00453A36">
      <w:pPr>
        <w:pStyle w:val="BodyText"/>
      </w:pPr>
      <w:r>
        <w:t>For the purposes of the main scenario, t</w:t>
      </w:r>
      <w:r w:rsidRPr="007A7E53">
        <w:t xml:space="preserve">he Productivity Commission has used the latest available ABS Employee Earnings and Hours survey estimate of award wage reliance. </w:t>
      </w:r>
      <w:r w:rsidRPr="007A7E53">
        <w:lastRenderedPageBreak/>
        <w:t>While this is one of the more reliable sources of data on award reliance, the</w:t>
      </w:r>
      <w:r w:rsidR="001B7A6C">
        <w:t>re remain</w:t>
      </w:r>
      <w:r w:rsidRPr="007A7E53">
        <w:t xml:space="preserve"> uncertainties around the accuracy of this estimate.</w:t>
      </w:r>
    </w:p>
    <w:p w14:paraId="00BB2F1B" w14:textId="5590872E" w:rsidR="0034060E" w:rsidRDefault="0034060E" w:rsidP="00453A36">
      <w:pPr>
        <w:pStyle w:val="BodyText"/>
      </w:pPr>
      <w:r>
        <w:t>In particular, there may be workers earning above the award wage whose wage is nevertheless linked, for example through enterprise agreements or individual contracts, to movements in the award wage. Furthermore, t</w:t>
      </w:r>
      <w:r w:rsidRPr="007A7E53">
        <w:t xml:space="preserve">here are various sources of survey error. </w:t>
      </w:r>
      <w:r>
        <w:t>For example, t</w:t>
      </w:r>
      <w:r w:rsidRPr="007A7E53">
        <w:t>he hours worked by an employee in the survey period may not be representative of a normal week</w:t>
      </w:r>
      <w:r w:rsidR="001B7A6C">
        <w:t>,</w:t>
      </w:r>
      <w:r>
        <w:t xml:space="preserve"> or t</w:t>
      </w:r>
      <w:r w:rsidRPr="007A7E53">
        <w:t>he reported wage may include penalty rates, overtime or shift loading. There is the further issue of some employers not complying with minimum wage requirements. To the extent that non</w:t>
      </w:r>
      <w:r w:rsidRPr="007A7E53">
        <w:noBreakHyphen/>
        <w:t xml:space="preserve">compliance is an issue in the Australian labour market, a change in minimum wage will affect </w:t>
      </w:r>
      <w:r w:rsidR="001B7A6C">
        <w:t>fewer</w:t>
      </w:r>
      <w:r w:rsidRPr="007A7E53">
        <w:t xml:space="preserve"> workers</w:t>
      </w:r>
      <w:r>
        <w:t xml:space="preserve"> than otherwise</w:t>
      </w:r>
      <w:r w:rsidRPr="007A7E53">
        <w:t xml:space="preserve">. </w:t>
      </w:r>
    </w:p>
    <w:p w14:paraId="00BB2F1C" w14:textId="06605242" w:rsidR="0034060E" w:rsidRDefault="0034060E" w:rsidP="00453A36">
      <w:pPr>
        <w:pStyle w:val="BodyText"/>
      </w:pPr>
      <w:r>
        <w:t>Given the</w:t>
      </w:r>
      <w:r w:rsidR="001B7A6C">
        <w:t xml:space="preserve"> </w:t>
      </w:r>
      <w:r>
        <w:t xml:space="preserve">uncertainty </w:t>
      </w:r>
      <w:r w:rsidR="001B7A6C">
        <w:t>about</w:t>
      </w:r>
      <w:r>
        <w:t xml:space="preserve"> the proportion of workers who are directly affected by moderation of minimum wages, two additional wage moderation scenarios are modelled. These scenarios are identical to scenario 2 except that the proportion of workers </w:t>
      </w:r>
      <w:r w:rsidR="001B7A6C">
        <w:t xml:space="preserve">who are </w:t>
      </w:r>
      <w:r>
        <w:t>directly affected by minimum wage changes is assumed to vary as follows:</w:t>
      </w:r>
    </w:p>
    <w:p w14:paraId="00BB2F1D" w14:textId="77777777" w:rsidR="0034060E" w:rsidRDefault="0034060E" w:rsidP="00453A36">
      <w:pPr>
        <w:pStyle w:val="ListBullet"/>
      </w:pPr>
      <w:r>
        <w:rPr>
          <w:rStyle w:val="BodyTextChar"/>
        </w:rPr>
        <w:t>In a high footprint sensitivity, workers are designated to be award wage reliant if they receive a</w:t>
      </w:r>
      <w:r w:rsidRPr="003415A3">
        <w:rPr>
          <w:rStyle w:val="BodyTextChar"/>
        </w:rPr>
        <w:t xml:space="preserve"> wage up to 1</w:t>
      </w:r>
      <w:r>
        <w:rPr>
          <w:rStyle w:val="BodyTextChar"/>
        </w:rPr>
        <w:t>3</w:t>
      </w:r>
      <w:r w:rsidRPr="003415A3">
        <w:rPr>
          <w:rStyle w:val="BodyTextChar"/>
        </w:rPr>
        <w:t>0 per cent of the Federal minimum wage.</w:t>
      </w:r>
      <w:r>
        <w:rPr>
          <w:rStyle w:val="BodyTextChar"/>
        </w:rPr>
        <w:t xml:space="preserve"> </w:t>
      </w:r>
      <w:r>
        <w:t>These workers are estimated to account for around 23 per cent of employees.</w:t>
      </w:r>
    </w:p>
    <w:p w14:paraId="00BB2F1E" w14:textId="77777777" w:rsidR="0034060E" w:rsidRDefault="0034060E" w:rsidP="00453A36">
      <w:pPr>
        <w:pStyle w:val="ListBullet"/>
      </w:pPr>
      <w:r>
        <w:rPr>
          <w:rStyle w:val="BodyTextChar"/>
        </w:rPr>
        <w:t>In a low footprint sensitivity, workers are designated to be award wage reliant if they receive a</w:t>
      </w:r>
      <w:r w:rsidRPr="003415A3">
        <w:rPr>
          <w:rStyle w:val="BodyTextChar"/>
        </w:rPr>
        <w:t xml:space="preserve"> wage up to 1</w:t>
      </w:r>
      <w:r>
        <w:rPr>
          <w:rStyle w:val="BodyTextChar"/>
        </w:rPr>
        <w:t>2</w:t>
      </w:r>
      <w:r w:rsidRPr="003415A3">
        <w:rPr>
          <w:rStyle w:val="BodyTextChar"/>
        </w:rPr>
        <w:t>0 per cent of the Federal minimum wage.</w:t>
      </w:r>
      <w:r>
        <w:rPr>
          <w:rStyle w:val="BodyTextChar"/>
        </w:rPr>
        <w:t xml:space="preserve"> </w:t>
      </w:r>
      <w:r>
        <w:t>These workers are estimated to account for around 15 per cent of employees.</w:t>
      </w:r>
    </w:p>
    <w:p w14:paraId="00BB2F1F" w14:textId="77777777" w:rsidR="0034060E" w:rsidRDefault="0034060E" w:rsidP="00453A36">
      <w:pPr>
        <w:pStyle w:val="BodyText"/>
      </w:pPr>
      <w:r>
        <w:t xml:space="preserve">The aggregate employment effect is projected to vary with the size of the footprint of workers directly affected by minimum wage changes (table 4.1). The larger the proportion of the workforce whose wages are directly affected by the moderation in wages, the greater the expansion in economic activity and, hence, in the demand for all workers. </w:t>
      </w:r>
    </w:p>
    <w:p w14:paraId="00BB2F20" w14:textId="5A2F65DB"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2F23" w14:textId="77777777" w:rsidTr="00453A36">
        <w:tc>
          <w:tcPr>
            <w:tcW w:w="8771" w:type="dxa"/>
            <w:tcBorders>
              <w:top w:val="single" w:sz="6" w:space="0" w:color="78A22F"/>
              <w:left w:val="nil"/>
              <w:bottom w:val="nil"/>
              <w:right w:val="nil"/>
            </w:tcBorders>
            <w:shd w:val="clear" w:color="auto" w:fill="auto"/>
          </w:tcPr>
          <w:p w14:paraId="00BB2F21" w14:textId="04BF5533" w:rsidR="0034060E" w:rsidRDefault="0034060E" w:rsidP="00453A36">
            <w:pPr>
              <w:pStyle w:val="TableTitle"/>
            </w:pPr>
            <w:r>
              <w:rPr>
                <w:b w:val="0"/>
              </w:rPr>
              <w:t>Table 4.</w:t>
            </w:r>
            <w:r>
              <w:rPr>
                <w:b w:val="0"/>
                <w:noProof/>
              </w:rPr>
              <w:t>1</w:t>
            </w:r>
            <w:r>
              <w:tab/>
              <w:t>Estimated employment effects of alternative minimum wage footprint assumptions, 2024</w:t>
            </w:r>
            <w:r>
              <w:noBreakHyphen/>
              <w:t>25</w:t>
            </w:r>
          </w:p>
          <w:p w14:paraId="00BB2F22" w14:textId="77777777" w:rsidR="0034060E" w:rsidRPr="00784A05" w:rsidRDefault="0034060E" w:rsidP="00453A36">
            <w:pPr>
              <w:pStyle w:val="Subtitle"/>
            </w:pPr>
            <w:r>
              <w:t>Percentage difference from scenario 1</w:t>
            </w:r>
          </w:p>
        </w:tc>
      </w:tr>
      <w:tr w:rsidR="0034060E" w14:paraId="00BB2F39" w14:textId="77777777" w:rsidTr="00453A36">
        <w:trPr>
          <w:cantSplit/>
        </w:trPr>
        <w:tc>
          <w:tcPr>
            <w:tcW w:w="8771"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2829"/>
              <w:gridCol w:w="2253"/>
              <w:gridCol w:w="3402"/>
            </w:tblGrid>
            <w:tr w:rsidR="0034060E" w14:paraId="00BB2F27" w14:textId="77777777" w:rsidTr="00453A36">
              <w:tc>
                <w:tcPr>
                  <w:tcW w:w="1667" w:type="pct"/>
                  <w:tcBorders>
                    <w:top w:val="single" w:sz="6" w:space="0" w:color="BFBFBF"/>
                    <w:bottom w:val="single" w:sz="6" w:space="0" w:color="BFBFBF"/>
                  </w:tcBorders>
                  <w:shd w:val="clear" w:color="auto" w:fill="auto"/>
                  <w:tcMar>
                    <w:top w:w="28" w:type="dxa"/>
                  </w:tcMar>
                </w:tcPr>
                <w:p w14:paraId="00BB2F24" w14:textId="77777777" w:rsidR="0034060E" w:rsidRDefault="0034060E" w:rsidP="00453A36">
                  <w:pPr>
                    <w:pStyle w:val="TableColumnHeading"/>
                    <w:jc w:val="left"/>
                  </w:pPr>
                </w:p>
              </w:tc>
              <w:tc>
                <w:tcPr>
                  <w:tcW w:w="1328" w:type="pct"/>
                  <w:tcBorders>
                    <w:top w:val="single" w:sz="6" w:space="0" w:color="BFBFBF"/>
                    <w:bottom w:val="single" w:sz="6" w:space="0" w:color="BFBFBF"/>
                  </w:tcBorders>
                  <w:shd w:val="clear" w:color="auto" w:fill="auto"/>
                  <w:tcMar>
                    <w:top w:w="28" w:type="dxa"/>
                  </w:tcMar>
                </w:tcPr>
                <w:p w14:paraId="00BB2F25" w14:textId="77777777" w:rsidR="0034060E" w:rsidRDefault="0034060E" w:rsidP="00453A36">
                  <w:pPr>
                    <w:pStyle w:val="TableColumnHeading"/>
                  </w:pPr>
                  <w:r w:rsidRPr="00D76D96">
                    <w:t>Aggregate hours worked</w:t>
                  </w:r>
                </w:p>
              </w:tc>
              <w:tc>
                <w:tcPr>
                  <w:tcW w:w="2005" w:type="pct"/>
                  <w:tcBorders>
                    <w:top w:val="single" w:sz="6" w:space="0" w:color="BFBFBF"/>
                    <w:bottom w:val="single" w:sz="6" w:space="0" w:color="BFBFBF"/>
                  </w:tcBorders>
                  <w:shd w:val="clear" w:color="auto" w:fill="auto"/>
                  <w:tcMar>
                    <w:top w:w="28" w:type="dxa"/>
                  </w:tcMar>
                </w:tcPr>
                <w:p w14:paraId="00BB2F26" w14:textId="59678F6D" w:rsidR="0034060E" w:rsidRDefault="004F0942" w:rsidP="00453A36">
                  <w:pPr>
                    <w:pStyle w:val="TableColumnHeading"/>
                    <w:ind w:right="28"/>
                  </w:pPr>
                  <w:r>
                    <w:t>Hours worked by award</w:t>
                  </w:r>
                  <w:r>
                    <w:noBreakHyphen/>
                  </w:r>
                  <w:r w:rsidR="0034060E" w:rsidRPr="00D76D96">
                    <w:t>reliant workers</w:t>
                  </w:r>
                </w:p>
              </w:tc>
            </w:tr>
            <w:tr w:rsidR="0034060E" w14:paraId="00BB2F2B" w14:textId="77777777" w:rsidTr="00453A36">
              <w:tc>
                <w:tcPr>
                  <w:tcW w:w="1667" w:type="pct"/>
                  <w:tcBorders>
                    <w:top w:val="single" w:sz="6" w:space="0" w:color="BFBFBF"/>
                  </w:tcBorders>
                </w:tcPr>
                <w:p w14:paraId="00BB2F28" w14:textId="77777777" w:rsidR="0034060E" w:rsidRDefault="0034060E" w:rsidP="00453A36">
                  <w:pPr>
                    <w:pStyle w:val="TableUnitsRow"/>
                    <w:jc w:val="left"/>
                  </w:pPr>
                </w:p>
              </w:tc>
              <w:tc>
                <w:tcPr>
                  <w:tcW w:w="1328" w:type="pct"/>
                  <w:tcBorders>
                    <w:top w:val="single" w:sz="6" w:space="0" w:color="BFBFBF"/>
                  </w:tcBorders>
                </w:tcPr>
                <w:p w14:paraId="00BB2F29" w14:textId="77777777" w:rsidR="0034060E" w:rsidRDefault="0034060E" w:rsidP="00453A36">
                  <w:pPr>
                    <w:pStyle w:val="TableUnitsRow"/>
                  </w:pPr>
                  <w:r>
                    <w:t>%</w:t>
                  </w:r>
                </w:p>
              </w:tc>
              <w:tc>
                <w:tcPr>
                  <w:tcW w:w="2005" w:type="pct"/>
                  <w:tcBorders>
                    <w:top w:val="single" w:sz="6" w:space="0" w:color="BFBFBF"/>
                  </w:tcBorders>
                </w:tcPr>
                <w:p w14:paraId="00BB2F2A" w14:textId="77777777" w:rsidR="0034060E" w:rsidRDefault="0034060E" w:rsidP="00453A36">
                  <w:pPr>
                    <w:pStyle w:val="TableUnitsRow"/>
                    <w:ind w:right="28"/>
                  </w:pPr>
                  <w:r>
                    <w:t>%</w:t>
                  </w:r>
                </w:p>
              </w:tc>
            </w:tr>
            <w:tr w:rsidR="0034060E" w14:paraId="00BB2F2F" w14:textId="77777777" w:rsidTr="00453A36">
              <w:tc>
                <w:tcPr>
                  <w:tcW w:w="1667" w:type="pct"/>
                </w:tcPr>
                <w:p w14:paraId="00BB2F2C" w14:textId="77777777" w:rsidR="0034060E" w:rsidRDefault="0034060E" w:rsidP="00453A36">
                  <w:pPr>
                    <w:pStyle w:val="TableBodyText"/>
                    <w:jc w:val="left"/>
                  </w:pPr>
                  <w:r w:rsidRPr="0025745D">
                    <w:t>Scenario 2</w:t>
                  </w:r>
                </w:p>
              </w:tc>
              <w:tc>
                <w:tcPr>
                  <w:tcW w:w="1328" w:type="pct"/>
                </w:tcPr>
                <w:p w14:paraId="00BB2F2D" w14:textId="77777777" w:rsidR="0034060E" w:rsidRDefault="0034060E" w:rsidP="00453A36">
                  <w:pPr>
                    <w:pStyle w:val="TableBodyText"/>
                  </w:pPr>
                  <w:r w:rsidRPr="0025745D">
                    <w:t>1.2</w:t>
                  </w:r>
                </w:p>
              </w:tc>
              <w:tc>
                <w:tcPr>
                  <w:tcW w:w="2005" w:type="pct"/>
                </w:tcPr>
                <w:p w14:paraId="00BB2F2E" w14:textId="77777777" w:rsidR="0034060E" w:rsidRDefault="0034060E" w:rsidP="00453A36">
                  <w:pPr>
                    <w:pStyle w:val="TableBodyText"/>
                    <w:ind w:right="28"/>
                  </w:pPr>
                  <w:r w:rsidRPr="0025745D">
                    <w:t>8.2</w:t>
                  </w:r>
                </w:p>
              </w:tc>
            </w:tr>
            <w:tr w:rsidR="0034060E" w14:paraId="00BB2F33" w14:textId="77777777" w:rsidTr="00453A36">
              <w:tc>
                <w:tcPr>
                  <w:tcW w:w="1667" w:type="pct"/>
                </w:tcPr>
                <w:p w14:paraId="00BB2F30" w14:textId="77777777" w:rsidR="0034060E" w:rsidRDefault="0034060E" w:rsidP="00453A36">
                  <w:pPr>
                    <w:pStyle w:val="TableBodyText"/>
                    <w:jc w:val="left"/>
                  </w:pPr>
                  <w:r>
                    <w:t>High footprint: Wages up to 130 per </w:t>
                  </w:r>
                  <w:r w:rsidRPr="0025745D">
                    <w:t>cent of Federal minimum wage</w:t>
                  </w:r>
                </w:p>
              </w:tc>
              <w:tc>
                <w:tcPr>
                  <w:tcW w:w="1328" w:type="pct"/>
                </w:tcPr>
                <w:p w14:paraId="00BB2F31" w14:textId="77777777" w:rsidR="0034060E" w:rsidRDefault="0034060E" w:rsidP="00453A36">
                  <w:pPr>
                    <w:pStyle w:val="TableBodyText"/>
                  </w:pPr>
                  <w:r w:rsidRPr="0025745D">
                    <w:t>1.1</w:t>
                  </w:r>
                </w:p>
              </w:tc>
              <w:tc>
                <w:tcPr>
                  <w:tcW w:w="2005" w:type="pct"/>
                </w:tcPr>
                <w:p w14:paraId="00BB2F32" w14:textId="77777777" w:rsidR="0034060E" w:rsidRDefault="0034060E" w:rsidP="00453A36">
                  <w:pPr>
                    <w:pStyle w:val="TableBodyText"/>
                    <w:ind w:right="28"/>
                  </w:pPr>
                  <w:r w:rsidRPr="0025745D">
                    <w:t>6.7</w:t>
                  </w:r>
                </w:p>
              </w:tc>
            </w:tr>
            <w:tr w:rsidR="0034060E" w14:paraId="00BB2F37" w14:textId="77777777" w:rsidTr="00453A36">
              <w:tc>
                <w:tcPr>
                  <w:tcW w:w="1667" w:type="pct"/>
                  <w:tcBorders>
                    <w:bottom w:val="single" w:sz="6" w:space="0" w:color="BFBFBF"/>
                  </w:tcBorders>
                  <w:shd w:val="clear" w:color="auto" w:fill="auto"/>
                </w:tcPr>
                <w:p w14:paraId="00BB2F34" w14:textId="77777777" w:rsidR="0034060E" w:rsidRDefault="0034060E" w:rsidP="00453A36">
                  <w:pPr>
                    <w:pStyle w:val="TableBodyText"/>
                    <w:jc w:val="left"/>
                  </w:pPr>
                  <w:r>
                    <w:t>Low footprint: Wages up to 120 </w:t>
                  </w:r>
                  <w:r w:rsidRPr="0025745D">
                    <w:t>per</w:t>
                  </w:r>
                  <w:r>
                    <w:t> </w:t>
                  </w:r>
                  <w:r w:rsidRPr="0025745D">
                    <w:t>cent of Federal minimum wage</w:t>
                  </w:r>
                </w:p>
              </w:tc>
              <w:tc>
                <w:tcPr>
                  <w:tcW w:w="1328" w:type="pct"/>
                  <w:tcBorders>
                    <w:bottom w:val="single" w:sz="6" w:space="0" w:color="BFBFBF"/>
                  </w:tcBorders>
                  <w:shd w:val="clear" w:color="auto" w:fill="auto"/>
                </w:tcPr>
                <w:p w14:paraId="00BB2F35" w14:textId="77777777" w:rsidR="0034060E" w:rsidRDefault="0034060E" w:rsidP="00453A36">
                  <w:pPr>
                    <w:pStyle w:val="TableBodyText"/>
                  </w:pPr>
                  <w:r w:rsidRPr="0025745D">
                    <w:t>0.8</w:t>
                  </w:r>
                </w:p>
              </w:tc>
              <w:tc>
                <w:tcPr>
                  <w:tcW w:w="2005" w:type="pct"/>
                  <w:tcBorders>
                    <w:bottom w:val="single" w:sz="6" w:space="0" w:color="BFBFBF"/>
                  </w:tcBorders>
                  <w:shd w:val="clear" w:color="auto" w:fill="auto"/>
                </w:tcPr>
                <w:p w14:paraId="00BB2F36" w14:textId="77777777" w:rsidR="0034060E" w:rsidRDefault="0034060E" w:rsidP="00453A36">
                  <w:pPr>
                    <w:pStyle w:val="TableBodyText"/>
                    <w:ind w:right="28"/>
                  </w:pPr>
                  <w:r w:rsidRPr="0025745D">
                    <w:t>7.6</w:t>
                  </w:r>
                </w:p>
              </w:tc>
            </w:tr>
          </w:tbl>
          <w:p w14:paraId="00BB2F38" w14:textId="77777777" w:rsidR="0034060E" w:rsidRDefault="0034060E" w:rsidP="00453A36">
            <w:pPr>
              <w:pStyle w:val="Box"/>
            </w:pPr>
          </w:p>
        </w:tc>
      </w:tr>
      <w:tr w:rsidR="0034060E" w14:paraId="00BB2F3B" w14:textId="77777777" w:rsidTr="00453A36">
        <w:trPr>
          <w:cantSplit/>
        </w:trPr>
        <w:tc>
          <w:tcPr>
            <w:tcW w:w="8771" w:type="dxa"/>
            <w:tcBorders>
              <w:top w:val="nil"/>
              <w:left w:val="nil"/>
              <w:bottom w:val="nil"/>
              <w:right w:val="nil"/>
            </w:tcBorders>
            <w:shd w:val="clear" w:color="auto" w:fill="auto"/>
          </w:tcPr>
          <w:p w14:paraId="00BB2F3A" w14:textId="77777777" w:rsidR="0034060E" w:rsidRDefault="0034060E" w:rsidP="00453A36">
            <w:pPr>
              <w:pStyle w:val="Source"/>
            </w:pPr>
            <w:r>
              <w:rPr>
                <w:i/>
              </w:rPr>
              <w:t>Source</w:t>
            </w:r>
            <w:r w:rsidRPr="00167F06">
              <w:t xml:space="preserve">: </w:t>
            </w:r>
            <w:r>
              <w:t xml:space="preserve">Productivity Commission estimates based on the </w:t>
            </w:r>
            <w:proofErr w:type="spellStart"/>
            <w:r>
              <w:t>VUMR</w:t>
            </w:r>
            <w:r>
              <w:noBreakHyphen/>
              <w:t>WR</w:t>
            </w:r>
            <w:proofErr w:type="spellEnd"/>
            <w:r>
              <w:t xml:space="preserve"> model.</w:t>
            </w:r>
          </w:p>
        </w:tc>
      </w:tr>
      <w:tr w:rsidR="0034060E" w14:paraId="00BB2F3D" w14:textId="77777777" w:rsidTr="00453A36">
        <w:trPr>
          <w:cantSplit/>
        </w:trPr>
        <w:tc>
          <w:tcPr>
            <w:tcW w:w="8771" w:type="dxa"/>
            <w:tcBorders>
              <w:top w:val="nil"/>
              <w:left w:val="nil"/>
              <w:bottom w:val="single" w:sz="6" w:space="0" w:color="78A22F"/>
              <w:right w:val="nil"/>
            </w:tcBorders>
            <w:shd w:val="clear" w:color="auto" w:fill="auto"/>
          </w:tcPr>
          <w:p w14:paraId="00BB2F3C" w14:textId="77777777" w:rsidR="0034060E" w:rsidRDefault="0034060E" w:rsidP="00453A36">
            <w:pPr>
              <w:pStyle w:val="Box"/>
              <w:spacing w:before="0" w:line="120" w:lineRule="exact"/>
            </w:pPr>
          </w:p>
        </w:tc>
      </w:tr>
      <w:tr w:rsidR="0034060E" w:rsidRPr="000863A5" w14:paraId="00BB2F3F" w14:textId="77777777" w:rsidTr="00453A36">
        <w:tc>
          <w:tcPr>
            <w:tcW w:w="8771" w:type="dxa"/>
            <w:tcBorders>
              <w:top w:val="single" w:sz="6" w:space="0" w:color="78A22F"/>
              <w:left w:val="nil"/>
              <w:bottom w:val="nil"/>
              <w:right w:val="nil"/>
            </w:tcBorders>
          </w:tcPr>
          <w:p w14:paraId="00BB2F3E" w14:textId="67637978" w:rsidR="0034060E" w:rsidRPr="00626D32" w:rsidRDefault="0034060E" w:rsidP="00453A36">
            <w:pPr>
              <w:pStyle w:val="BoxSpaceBelow"/>
            </w:pPr>
          </w:p>
        </w:tc>
      </w:tr>
    </w:tbl>
    <w:p w14:paraId="00BB2F40" w14:textId="77777777" w:rsidR="0034060E" w:rsidRDefault="0034060E" w:rsidP="00453A36">
      <w:pPr>
        <w:pStyle w:val="BodyText"/>
      </w:pPr>
      <w:r>
        <w:lastRenderedPageBreak/>
        <w:t>However, the impact on those designated as award</w:t>
      </w:r>
      <w:r>
        <w:noBreakHyphen/>
        <w:t>reliant workers varies inversely with the footprint. The reason is that the larger the proportion of the workforce who are award</w:t>
      </w:r>
      <w:r>
        <w:noBreakHyphen/>
        <w:t>reliant, the less scope there is for substitution by employers towards award</w:t>
      </w:r>
      <w:r>
        <w:noBreakHyphen/>
        <w:t>reliant workers.</w:t>
      </w:r>
    </w:p>
    <w:p w14:paraId="00BB2F41" w14:textId="12015968" w:rsidR="0034060E" w:rsidRDefault="0034060E" w:rsidP="00453A36">
      <w:pPr>
        <w:pStyle w:val="Heading2"/>
      </w:pPr>
      <w:r>
        <w:t>4.</w:t>
      </w:r>
      <w:r>
        <w:rPr>
          <w:noProof/>
        </w:rPr>
        <w:t>2</w:t>
      </w:r>
      <w:r>
        <w:tab/>
        <w:t>Responsiveness of labour demand to a change in wage relative to the price of capital</w:t>
      </w:r>
    </w:p>
    <w:p w14:paraId="00BB2F42" w14:textId="77777777" w:rsidR="0034060E" w:rsidRDefault="0034060E" w:rsidP="00453A36">
      <w:pPr>
        <w:pStyle w:val="BodyText"/>
      </w:pPr>
      <w:r>
        <w:t xml:space="preserve">The primary factor substitution elasticity in the </w:t>
      </w:r>
      <w:proofErr w:type="spellStart"/>
      <w:r>
        <w:t>VUMR</w:t>
      </w:r>
      <w:proofErr w:type="spellEnd"/>
      <w:r>
        <w:t xml:space="preserve"> model determines the degree to which firms are projected to substitute between labour, capital and agricultural land in response to relative price changes. The default value of this elasticity for all industries and regions in the </w:t>
      </w:r>
      <w:proofErr w:type="spellStart"/>
      <w:r>
        <w:t>VUMR</w:t>
      </w:r>
      <w:proofErr w:type="spellEnd"/>
      <w:r>
        <w:t xml:space="preserve"> model is </w:t>
      </w:r>
      <w:r>
        <w:noBreakHyphen/>
        <w:t>0.5.</w:t>
      </w:r>
      <w:r w:rsidRPr="006C0913">
        <w:t xml:space="preserve"> </w:t>
      </w:r>
      <w:r>
        <w:t>This means that a one per cent increase in the relative cost of all labour will lead to a 0.5 per cent reduction in the demand for labour in the modelling (all other things being equal).</w:t>
      </w:r>
    </w:p>
    <w:p w14:paraId="00BB2F43" w14:textId="77777777" w:rsidR="0034060E" w:rsidRDefault="0034060E" w:rsidP="00453A36">
      <w:pPr>
        <w:pStyle w:val="BodyText"/>
      </w:pPr>
      <w:r>
        <w:t xml:space="preserve">The default elasticity lies in the middle of the Australian econometric estimates, which range from </w:t>
      </w:r>
      <w:r>
        <w:noBreakHyphen/>
        <w:t xml:space="preserve">0.3 to </w:t>
      </w:r>
      <w:r>
        <w:noBreakHyphen/>
        <w:t>0.7 for a time period greater than one year (appendix C of the inquiry report). The sensitivity analysis estimates the outcomes associated with these lower and upper bounds.</w:t>
      </w:r>
      <w:r>
        <w:rPr>
          <w:rStyle w:val="FootnoteReference"/>
        </w:rPr>
        <w:footnoteReference w:id="3"/>
      </w:r>
    </w:p>
    <w:p w14:paraId="00BB2F44" w14:textId="77777777" w:rsidR="0034060E" w:rsidRDefault="0034060E" w:rsidP="00453A36">
      <w:pPr>
        <w:pStyle w:val="BodyText"/>
      </w:pPr>
      <w:r>
        <w:t>The tests indicate that, while a higher substitution elasticity leads to greater employment, the difference between the projections is minimal. Greater substitution between labour and capital results in a modestly greater expansion in projected award</w:t>
      </w:r>
      <w:r>
        <w:noBreakHyphen/>
        <w:t xml:space="preserve">reliant employment and in marginally less expansion in capital. Because labour is the fixed factor in the long run, greater substitution results in a marginally lower projected impact on gross domestic product. This suggests that outcomes are not very sensitive to the alternative views concerning the degree of substitution between labour and capital in production (table 4.2). </w:t>
      </w:r>
    </w:p>
    <w:p w14:paraId="00BB2F45" w14:textId="57A151A5" w:rsidR="0034060E" w:rsidRDefault="0034060E" w:rsidP="00453A36">
      <w:pPr>
        <w:pStyle w:val="Heading2"/>
      </w:pPr>
      <w:r>
        <w:t>4.</w:t>
      </w:r>
      <w:r>
        <w:rPr>
          <w:noProof/>
        </w:rPr>
        <w:t>3</w:t>
      </w:r>
      <w:r>
        <w:tab/>
        <w:t>Employer responsiveness to award wage changes</w:t>
      </w:r>
    </w:p>
    <w:p w14:paraId="00BB2F46" w14:textId="1D7E265E" w:rsidR="0034060E" w:rsidRDefault="0034060E" w:rsidP="00453A36">
      <w:pPr>
        <w:pStyle w:val="BodyText"/>
      </w:pPr>
      <w:r>
        <w:t xml:space="preserve">The award wage substitution elasticity in the </w:t>
      </w:r>
      <w:proofErr w:type="spellStart"/>
      <w:r>
        <w:t>VUMR</w:t>
      </w:r>
      <w:r>
        <w:noBreakHyphen/>
        <w:t>WR</w:t>
      </w:r>
      <w:proofErr w:type="spellEnd"/>
      <w:r>
        <w:t xml:space="preserve"> model determines the extent to which employers can substitute between award</w:t>
      </w:r>
      <w:r>
        <w:noBreakHyphen/>
        <w:t xml:space="preserve">reliant and other workers in response to a change in award wages relative to other wages (appendix A, figure </w:t>
      </w:r>
      <w:proofErr w:type="spellStart"/>
      <w:r>
        <w:t>A.1</w:t>
      </w:r>
      <w:proofErr w:type="spellEnd"/>
      <w:r>
        <w:t>). The default elasticity value for year</w:t>
      </w:r>
      <w:r>
        <w:noBreakHyphen/>
        <w:t>to</w:t>
      </w:r>
      <w:r>
        <w:noBreakHyphen/>
        <w:t xml:space="preserve">year simulations is set at </w:t>
      </w:r>
      <w:r>
        <w:noBreakHyphen/>
      </w:r>
      <w:r w:rsidRPr="00147BB8">
        <w:t>2</w:t>
      </w:r>
      <w:r>
        <w:t xml:space="preserve">. This means, for example, that a one per cent increase in the award wage will lead to a two per cent </w:t>
      </w:r>
      <w:r w:rsidR="00E9331D">
        <w:rPr>
          <w:i/>
        </w:rPr>
        <w:t>decrease</w:t>
      </w:r>
      <w:r>
        <w:t xml:space="preserve"> in the projected demand for award</w:t>
      </w:r>
      <w:r>
        <w:noBreakHyphen/>
        <w:t>reliant workers in a given occupation (all other things being equal). This implies a relatively high degree of responsiveness, such that employers do not materially differentiate within a given occupational group between award</w:t>
      </w:r>
      <w:r>
        <w:noBreakHyphen/>
        <w:t xml:space="preserve">reliant and other workers. </w:t>
      </w:r>
    </w:p>
    <w:p w14:paraId="00BB2F47" w14:textId="6E37D48C"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2F4A" w14:textId="77777777" w:rsidTr="00453A36">
        <w:tc>
          <w:tcPr>
            <w:tcW w:w="8771" w:type="dxa"/>
            <w:tcBorders>
              <w:top w:val="single" w:sz="6" w:space="0" w:color="78A22F"/>
              <w:left w:val="nil"/>
              <w:bottom w:val="nil"/>
              <w:right w:val="nil"/>
            </w:tcBorders>
            <w:shd w:val="clear" w:color="auto" w:fill="auto"/>
          </w:tcPr>
          <w:p w14:paraId="00BB2F48" w14:textId="26BA7F7D" w:rsidR="0034060E" w:rsidRDefault="0034060E" w:rsidP="00453A36">
            <w:pPr>
              <w:pStyle w:val="TableTitle"/>
            </w:pPr>
            <w:r>
              <w:rPr>
                <w:b w:val="0"/>
              </w:rPr>
              <w:t>Table 4.</w:t>
            </w:r>
            <w:r>
              <w:rPr>
                <w:b w:val="0"/>
                <w:noProof/>
              </w:rPr>
              <w:t>2</w:t>
            </w:r>
            <w:r>
              <w:tab/>
              <w:t>Sensitivity of the effects of moderating the growth of award wages to alternative primary factor substitution elasticity assumptions</w:t>
            </w:r>
          </w:p>
          <w:p w14:paraId="00BB2F49" w14:textId="77777777" w:rsidR="0034060E" w:rsidRPr="00784A05" w:rsidRDefault="0034060E" w:rsidP="00453A36">
            <w:pPr>
              <w:pStyle w:val="Subtitle"/>
            </w:pPr>
            <w:r>
              <w:t>Percentage difference from scenario 1</w:t>
            </w:r>
          </w:p>
        </w:tc>
      </w:tr>
      <w:tr w:rsidR="0034060E" w14:paraId="00BB2F92"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316"/>
              <w:gridCol w:w="1669"/>
              <w:gridCol w:w="1502"/>
            </w:tblGrid>
            <w:tr w:rsidR="0034060E" w14:paraId="00BB2F4E" w14:textId="77777777" w:rsidTr="00453A36">
              <w:tc>
                <w:tcPr>
                  <w:tcW w:w="3132" w:type="pct"/>
                  <w:tcBorders>
                    <w:top w:val="single" w:sz="6" w:space="0" w:color="BFBFBF"/>
                    <w:bottom w:val="single" w:sz="6" w:space="0" w:color="BFBFBF"/>
                  </w:tcBorders>
                  <w:shd w:val="clear" w:color="auto" w:fill="auto"/>
                  <w:tcMar>
                    <w:top w:w="28" w:type="dxa"/>
                  </w:tcMar>
                </w:tcPr>
                <w:p w14:paraId="00BB2F4B" w14:textId="77777777" w:rsidR="0034060E" w:rsidRDefault="0034060E" w:rsidP="00453A36">
                  <w:pPr>
                    <w:pStyle w:val="TableColumnHeading"/>
                    <w:jc w:val="left"/>
                  </w:pPr>
                </w:p>
              </w:tc>
              <w:tc>
                <w:tcPr>
                  <w:tcW w:w="983" w:type="pct"/>
                  <w:tcBorders>
                    <w:top w:val="single" w:sz="6" w:space="0" w:color="BFBFBF"/>
                    <w:bottom w:val="single" w:sz="6" w:space="0" w:color="BFBFBF"/>
                  </w:tcBorders>
                  <w:shd w:val="clear" w:color="auto" w:fill="auto"/>
                  <w:tcMar>
                    <w:top w:w="28" w:type="dxa"/>
                  </w:tcMar>
                </w:tcPr>
                <w:p w14:paraId="00BB2F4C" w14:textId="77777777" w:rsidR="0034060E" w:rsidRDefault="0034060E" w:rsidP="00453A36">
                  <w:pPr>
                    <w:pStyle w:val="TableColumnHeading"/>
                  </w:pPr>
                  <w:r>
                    <w:t>2017</w:t>
                  </w:r>
                  <w:r>
                    <w:noBreakHyphen/>
                    <w:t>18</w:t>
                  </w:r>
                </w:p>
              </w:tc>
              <w:tc>
                <w:tcPr>
                  <w:tcW w:w="885" w:type="pct"/>
                  <w:tcBorders>
                    <w:top w:val="single" w:sz="6" w:space="0" w:color="BFBFBF"/>
                    <w:bottom w:val="single" w:sz="6" w:space="0" w:color="BFBFBF"/>
                  </w:tcBorders>
                  <w:shd w:val="clear" w:color="auto" w:fill="auto"/>
                  <w:tcMar>
                    <w:top w:w="28" w:type="dxa"/>
                  </w:tcMar>
                </w:tcPr>
                <w:p w14:paraId="00BB2F4D" w14:textId="77777777" w:rsidR="0034060E" w:rsidRDefault="0034060E" w:rsidP="00453A36">
                  <w:pPr>
                    <w:pStyle w:val="TableColumnHeading"/>
                    <w:ind w:right="28"/>
                  </w:pPr>
                  <w:r>
                    <w:t>2024</w:t>
                  </w:r>
                  <w:r>
                    <w:noBreakHyphen/>
                    <w:t>25</w:t>
                  </w:r>
                </w:p>
              </w:tc>
            </w:tr>
            <w:tr w:rsidR="0034060E" w14:paraId="00BB2F52" w14:textId="77777777" w:rsidTr="00453A36">
              <w:tc>
                <w:tcPr>
                  <w:tcW w:w="3132" w:type="pct"/>
                </w:tcPr>
                <w:p w14:paraId="00BB2F4F" w14:textId="77777777" w:rsidR="0034060E" w:rsidRDefault="0034060E" w:rsidP="00453A36">
                  <w:pPr>
                    <w:pStyle w:val="TableBodyText"/>
                    <w:jc w:val="left"/>
                  </w:pPr>
                </w:p>
              </w:tc>
              <w:tc>
                <w:tcPr>
                  <w:tcW w:w="983" w:type="pct"/>
                </w:tcPr>
                <w:p w14:paraId="00BB2F50" w14:textId="77777777" w:rsidR="0034060E" w:rsidRDefault="0034060E" w:rsidP="00D46F34">
                  <w:pPr>
                    <w:pStyle w:val="TableBodyText"/>
                    <w:spacing w:before="40"/>
                  </w:pPr>
                  <w:r>
                    <w:t>%</w:t>
                  </w:r>
                </w:p>
              </w:tc>
              <w:tc>
                <w:tcPr>
                  <w:tcW w:w="885" w:type="pct"/>
                </w:tcPr>
                <w:p w14:paraId="00BB2F51" w14:textId="77777777" w:rsidR="0034060E" w:rsidRDefault="0034060E" w:rsidP="00D46F34">
                  <w:pPr>
                    <w:pStyle w:val="TableBodyText"/>
                    <w:spacing w:before="40"/>
                    <w:ind w:right="28"/>
                  </w:pPr>
                  <w:r>
                    <w:t>%</w:t>
                  </w:r>
                </w:p>
              </w:tc>
            </w:tr>
            <w:tr w:rsidR="0034060E" w14:paraId="00BB2F54" w14:textId="77777777" w:rsidTr="00453A36">
              <w:tc>
                <w:tcPr>
                  <w:tcW w:w="5000" w:type="pct"/>
                  <w:gridSpan w:val="3"/>
                </w:tcPr>
                <w:p w14:paraId="00BB2F53" w14:textId="77777777" w:rsidR="0034060E" w:rsidRDefault="0034060E" w:rsidP="00453A36">
                  <w:pPr>
                    <w:pStyle w:val="TableBodyText"/>
                    <w:jc w:val="left"/>
                  </w:pPr>
                  <w:r>
                    <w:rPr>
                      <w:i/>
                    </w:rPr>
                    <w:t xml:space="preserve">Scenario 2: </w:t>
                  </w:r>
                  <w:r w:rsidRPr="001E197E">
                    <w:rPr>
                      <w:i/>
                    </w:rPr>
                    <w:t>Default primary factor substitution elasticity (0.5)</w:t>
                  </w:r>
                </w:p>
              </w:tc>
            </w:tr>
            <w:tr w:rsidR="0034060E" w14:paraId="00BB2F58" w14:textId="77777777" w:rsidTr="00453A36">
              <w:tc>
                <w:tcPr>
                  <w:tcW w:w="3132" w:type="pct"/>
                </w:tcPr>
                <w:p w14:paraId="00BB2F55" w14:textId="77777777" w:rsidR="0034060E" w:rsidRDefault="0034060E" w:rsidP="00453A36">
                  <w:pPr>
                    <w:pStyle w:val="TableBodyText"/>
                    <w:jc w:val="left"/>
                  </w:pPr>
                  <w:r>
                    <w:t>Real gross domestic product</w:t>
                  </w:r>
                </w:p>
              </w:tc>
              <w:tc>
                <w:tcPr>
                  <w:tcW w:w="983" w:type="pct"/>
                </w:tcPr>
                <w:p w14:paraId="00BB2F56" w14:textId="77777777" w:rsidR="0034060E" w:rsidRDefault="0034060E" w:rsidP="00453A36">
                  <w:pPr>
                    <w:pStyle w:val="TableBodyText"/>
                  </w:pPr>
                  <w:r>
                    <w:t>0.1</w:t>
                  </w:r>
                </w:p>
              </w:tc>
              <w:tc>
                <w:tcPr>
                  <w:tcW w:w="885" w:type="pct"/>
                </w:tcPr>
                <w:p w14:paraId="00BB2F57" w14:textId="77777777" w:rsidR="0034060E" w:rsidRDefault="0034060E" w:rsidP="00453A36">
                  <w:pPr>
                    <w:pStyle w:val="TableBodyText"/>
                    <w:ind w:right="28"/>
                  </w:pPr>
                  <w:r>
                    <w:t>0.8</w:t>
                  </w:r>
                </w:p>
              </w:tc>
            </w:tr>
            <w:tr w:rsidR="0034060E" w14:paraId="00BB2F5C" w14:textId="77777777" w:rsidTr="00453A36">
              <w:tc>
                <w:tcPr>
                  <w:tcW w:w="3132" w:type="pct"/>
                  <w:shd w:val="clear" w:color="auto" w:fill="auto"/>
                </w:tcPr>
                <w:p w14:paraId="00BB2F59" w14:textId="77777777" w:rsidR="0034060E" w:rsidRDefault="0034060E" w:rsidP="00453A36">
                  <w:pPr>
                    <w:pStyle w:val="TableBodyText"/>
                    <w:jc w:val="left"/>
                  </w:pPr>
                  <w:r>
                    <w:t>Aggregate hours worked</w:t>
                  </w:r>
                </w:p>
              </w:tc>
              <w:tc>
                <w:tcPr>
                  <w:tcW w:w="983" w:type="pct"/>
                  <w:shd w:val="clear" w:color="auto" w:fill="auto"/>
                </w:tcPr>
                <w:p w14:paraId="00BB2F5A" w14:textId="77777777" w:rsidR="0034060E" w:rsidRDefault="0034060E" w:rsidP="00453A36">
                  <w:pPr>
                    <w:pStyle w:val="TableBodyText"/>
                  </w:pPr>
                  <w:r>
                    <w:t>0.2</w:t>
                  </w:r>
                </w:p>
              </w:tc>
              <w:tc>
                <w:tcPr>
                  <w:tcW w:w="885" w:type="pct"/>
                  <w:shd w:val="clear" w:color="auto" w:fill="auto"/>
                </w:tcPr>
                <w:p w14:paraId="00BB2F5B" w14:textId="77777777" w:rsidR="0034060E" w:rsidRDefault="0034060E" w:rsidP="00453A36">
                  <w:pPr>
                    <w:pStyle w:val="TableBodyText"/>
                    <w:ind w:right="28"/>
                  </w:pPr>
                  <w:r>
                    <w:t>1.2</w:t>
                  </w:r>
                </w:p>
              </w:tc>
            </w:tr>
            <w:tr w:rsidR="0034060E" w14:paraId="00BB2F60" w14:textId="77777777" w:rsidTr="00453A36">
              <w:tc>
                <w:tcPr>
                  <w:tcW w:w="3132" w:type="pct"/>
                  <w:shd w:val="clear" w:color="auto" w:fill="auto"/>
                </w:tcPr>
                <w:p w14:paraId="00BB2F5D" w14:textId="77777777" w:rsidR="0034060E" w:rsidRDefault="0034060E" w:rsidP="00453A36">
                  <w:pPr>
                    <w:pStyle w:val="TableBodyText"/>
                    <w:jc w:val="left"/>
                  </w:pPr>
                  <w:r>
                    <w:t>Hours worked by award</w:t>
                  </w:r>
                  <w:r>
                    <w:noBreakHyphen/>
                    <w:t>reliant workers</w:t>
                  </w:r>
                </w:p>
              </w:tc>
              <w:tc>
                <w:tcPr>
                  <w:tcW w:w="983" w:type="pct"/>
                  <w:shd w:val="clear" w:color="auto" w:fill="auto"/>
                </w:tcPr>
                <w:p w14:paraId="00BB2F5E" w14:textId="77777777" w:rsidR="0034060E" w:rsidRDefault="0034060E" w:rsidP="00453A36">
                  <w:pPr>
                    <w:pStyle w:val="TableBodyText"/>
                  </w:pPr>
                  <w:r>
                    <w:t>1.5</w:t>
                  </w:r>
                </w:p>
              </w:tc>
              <w:tc>
                <w:tcPr>
                  <w:tcW w:w="885" w:type="pct"/>
                  <w:shd w:val="clear" w:color="auto" w:fill="auto"/>
                </w:tcPr>
                <w:p w14:paraId="00BB2F5F" w14:textId="77777777" w:rsidR="0034060E" w:rsidRDefault="0034060E" w:rsidP="00453A36">
                  <w:pPr>
                    <w:pStyle w:val="TableBodyText"/>
                    <w:ind w:right="28"/>
                  </w:pPr>
                  <w:r>
                    <w:t>8.2</w:t>
                  </w:r>
                </w:p>
              </w:tc>
            </w:tr>
            <w:tr w:rsidR="0034060E" w14:paraId="00BB2F64" w14:textId="77777777" w:rsidTr="00453A36">
              <w:tc>
                <w:tcPr>
                  <w:tcW w:w="3132" w:type="pct"/>
                  <w:shd w:val="clear" w:color="auto" w:fill="auto"/>
                </w:tcPr>
                <w:p w14:paraId="00BB2F61" w14:textId="77777777" w:rsidR="0034060E" w:rsidRDefault="0034060E" w:rsidP="00453A36">
                  <w:pPr>
                    <w:pStyle w:val="TableBodyText"/>
                    <w:jc w:val="left"/>
                  </w:pPr>
                  <w:r>
                    <w:t>Capital use</w:t>
                  </w:r>
                </w:p>
              </w:tc>
              <w:tc>
                <w:tcPr>
                  <w:tcW w:w="983" w:type="pct"/>
                  <w:shd w:val="clear" w:color="auto" w:fill="auto"/>
                </w:tcPr>
                <w:p w14:paraId="00BB2F62" w14:textId="0B929DC6" w:rsidR="0034060E" w:rsidRDefault="0034060E" w:rsidP="00453A36">
                  <w:pPr>
                    <w:pStyle w:val="TableBodyText"/>
                  </w:pPr>
                  <w:r>
                    <w:t>[+]</w:t>
                  </w:r>
                  <w:r w:rsidR="00E9331D" w:rsidRPr="00E9331D">
                    <w:rPr>
                      <w:rStyle w:val="NoteLabel"/>
                    </w:rPr>
                    <w:t>a</w:t>
                  </w:r>
                </w:p>
              </w:tc>
              <w:tc>
                <w:tcPr>
                  <w:tcW w:w="885" w:type="pct"/>
                  <w:shd w:val="clear" w:color="auto" w:fill="auto"/>
                </w:tcPr>
                <w:p w14:paraId="00BB2F63" w14:textId="77777777" w:rsidR="0034060E" w:rsidRDefault="0034060E" w:rsidP="00453A36">
                  <w:pPr>
                    <w:pStyle w:val="TableBodyText"/>
                    <w:ind w:right="28"/>
                  </w:pPr>
                  <w:r>
                    <w:t>0.5</w:t>
                  </w:r>
                </w:p>
              </w:tc>
            </w:tr>
            <w:tr w:rsidR="0034060E" w14:paraId="00BB2F6A" w14:textId="77777777" w:rsidTr="00453A36">
              <w:tc>
                <w:tcPr>
                  <w:tcW w:w="5000" w:type="pct"/>
                  <w:gridSpan w:val="3"/>
                  <w:shd w:val="clear" w:color="auto" w:fill="auto"/>
                </w:tcPr>
                <w:p w14:paraId="00BB2F69" w14:textId="77777777" w:rsidR="0034060E" w:rsidRDefault="0034060E" w:rsidP="00D46F34">
                  <w:pPr>
                    <w:pStyle w:val="TableBodyText"/>
                    <w:spacing w:before="80"/>
                    <w:ind w:right="28"/>
                    <w:jc w:val="left"/>
                  </w:pPr>
                  <w:r>
                    <w:rPr>
                      <w:i/>
                    </w:rPr>
                    <w:t>Sensitivity: Higher</w:t>
                  </w:r>
                  <w:r w:rsidRPr="001E197E">
                    <w:rPr>
                      <w:i/>
                    </w:rPr>
                    <w:t xml:space="preserve"> primary fac</w:t>
                  </w:r>
                  <w:r>
                    <w:rPr>
                      <w:i/>
                    </w:rPr>
                    <w:t>tor substitution elasticity (0.7</w:t>
                  </w:r>
                  <w:r w:rsidRPr="001E197E">
                    <w:rPr>
                      <w:i/>
                    </w:rPr>
                    <w:t>)</w:t>
                  </w:r>
                </w:p>
              </w:tc>
            </w:tr>
            <w:tr w:rsidR="0034060E" w14:paraId="00BB2F6E" w14:textId="77777777" w:rsidTr="00453A36">
              <w:tc>
                <w:tcPr>
                  <w:tcW w:w="3132" w:type="pct"/>
                  <w:shd w:val="clear" w:color="auto" w:fill="auto"/>
                </w:tcPr>
                <w:p w14:paraId="00BB2F6B" w14:textId="77777777" w:rsidR="0034060E" w:rsidRDefault="0034060E" w:rsidP="00453A36">
                  <w:pPr>
                    <w:pStyle w:val="TableBodyText"/>
                    <w:jc w:val="left"/>
                  </w:pPr>
                  <w:r>
                    <w:t>Real gross domestic product</w:t>
                  </w:r>
                </w:p>
              </w:tc>
              <w:tc>
                <w:tcPr>
                  <w:tcW w:w="983" w:type="pct"/>
                  <w:shd w:val="clear" w:color="auto" w:fill="auto"/>
                </w:tcPr>
                <w:p w14:paraId="00BB2F6C" w14:textId="77777777" w:rsidR="0034060E" w:rsidRDefault="0034060E" w:rsidP="00453A36">
                  <w:pPr>
                    <w:pStyle w:val="TableBodyText"/>
                  </w:pPr>
                  <w:r>
                    <w:t>0.1</w:t>
                  </w:r>
                </w:p>
              </w:tc>
              <w:tc>
                <w:tcPr>
                  <w:tcW w:w="885" w:type="pct"/>
                  <w:shd w:val="clear" w:color="auto" w:fill="auto"/>
                </w:tcPr>
                <w:p w14:paraId="00BB2F6D" w14:textId="77777777" w:rsidR="0034060E" w:rsidRDefault="0034060E" w:rsidP="00453A36">
                  <w:pPr>
                    <w:pStyle w:val="TableBodyText"/>
                    <w:ind w:right="28"/>
                  </w:pPr>
                  <w:r>
                    <w:t>0.7</w:t>
                  </w:r>
                </w:p>
              </w:tc>
            </w:tr>
            <w:tr w:rsidR="0034060E" w14:paraId="00BB2F72" w14:textId="77777777" w:rsidTr="00453A36">
              <w:tc>
                <w:tcPr>
                  <w:tcW w:w="3132" w:type="pct"/>
                  <w:shd w:val="clear" w:color="auto" w:fill="auto"/>
                </w:tcPr>
                <w:p w14:paraId="00BB2F6F" w14:textId="77777777" w:rsidR="0034060E" w:rsidRDefault="0034060E" w:rsidP="00453A36">
                  <w:pPr>
                    <w:pStyle w:val="TableBodyText"/>
                    <w:jc w:val="left"/>
                  </w:pPr>
                  <w:r>
                    <w:t>Aggregate hours worked</w:t>
                  </w:r>
                </w:p>
              </w:tc>
              <w:tc>
                <w:tcPr>
                  <w:tcW w:w="983" w:type="pct"/>
                  <w:shd w:val="clear" w:color="auto" w:fill="auto"/>
                </w:tcPr>
                <w:p w14:paraId="00BB2F70" w14:textId="77777777" w:rsidR="0034060E" w:rsidRDefault="0034060E" w:rsidP="00453A36">
                  <w:pPr>
                    <w:pStyle w:val="TableBodyText"/>
                  </w:pPr>
                  <w:r>
                    <w:t>0.2</w:t>
                  </w:r>
                </w:p>
              </w:tc>
              <w:tc>
                <w:tcPr>
                  <w:tcW w:w="885" w:type="pct"/>
                  <w:shd w:val="clear" w:color="auto" w:fill="auto"/>
                </w:tcPr>
                <w:p w14:paraId="00BB2F71" w14:textId="77777777" w:rsidR="0034060E" w:rsidRDefault="0034060E" w:rsidP="00453A36">
                  <w:pPr>
                    <w:pStyle w:val="TableBodyText"/>
                    <w:ind w:right="28"/>
                  </w:pPr>
                  <w:r>
                    <w:t>1.3</w:t>
                  </w:r>
                </w:p>
              </w:tc>
            </w:tr>
            <w:tr w:rsidR="0034060E" w14:paraId="00BB2F76" w14:textId="77777777" w:rsidTr="00453A36">
              <w:tc>
                <w:tcPr>
                  <w:tcW w:w="3132" w:type="pct"/>
                  <w:shd w:val="clear" w:color="auto" w:fill="auto"/>
                </w:tcPr>
                <w:p w14:paraId="00BB2F73" w14:textId="77777777" w:rsidR="0034060E" w:rsidRDefault="0034060E" w:rsidP="00453A36">
                  <w:pPr>
                    <w:pStyle w:val="TableBodyText"/>
                    <w:jc w:val="left"/>
                  </w:pPr>
                  <w:r>
                    <w:t>Hours worked by award</w:t>
                  </w:r>
                  <w:r>
                    <w:noBreakHyphen/>
                    <w:t>reliant workers</w:t>
                  </w:r>
                </w:p>
              </w:tc>
              <w:tc>
                <w:tcPr>
                  <w:tcW w:w="983" w:type="pct"/>
                  <w:shd w:val="clear" w:color="auto" w:fill="auto"/>
                </w:tcPr>
                <w:p w14:paraId="00BB2F74" w14:textId="77777777" w:rsidR="0034060E" w:rsidRDefault="0034060E" w:rsidP="00453A36">
                  <w:pPr>
                    <w:pStyle w:val="TableBodyText"/>
                  </w:pPr>
                  <w:r>
                    <w:t>1.5</w:t>
                  </w:r>
                </w:p>
              </w:tc>
              <w:tc>
                <w:tcPr>
                  <w:tcW w:w="885" w:type="pct"/>
                  <w:shd w:val="clear" w:color="auto" w:fill="auto"/>
                </w:tcPr>
                <w:p w14:paraId="00BB2F75" w14:textId="77777777" w:rsidR="0034060E" w:rsidRDefault="0034060E" w:rsidP="00453A36">
                  <w:pPr>
                    <w:pStyle w:val="TableBodyText"/>
                    <w:ind w:right="28"/>
                  </w:pPr>
                  <w:r>
                    <w:t>8.3</w:t>
                  </w:r>
                </w:p>
              </w:tc>
            </w:tr>
            <w:tr w:rsidR="0034060E" w14:paraId="00BB2F7A" w14:textId="77777777" w:rsidTr="00453A36">
              <w:tc>
                <w:tcPr>
                  <w:tcW w:w="3132" w:type="pct"/>
                  <w:shd w:val="clear" w:color="auto" w:fill="auto"/>
                </w:tcPr>
                <w:p w14:paraId="00BB2F77" w14:textId="77777777" w:rsidR="0034060E" w:rsidRDefault="0034060E" w:rsidP="00453A36">
                  <w:pPr>
                    <w:pStyle w:val="TableBodyText"/>
                    <w:jc w:val="left"/>
                  </w:pPr>
                  <w:r>
                    <w:t>Capital use</w:t>
                  </w:r>
                </w:p>
              </w:tc>
              <w:tc>
                <w:tcPr>
                  <w:tcW w:w="983" w:type="pct"/>
                  <w:shd w:val="clear" w:color="auto" w:fill="auto"/>
                </w:tcPr>
                <w:p w14:paraId="00BB2F78" w14:textId="1DD0E25B" w:rsidR="0034060E" w:rsidRDefault="0034060E" w:rsidP="00453A36">
                  <w:pPr>
                    <w:pStyle w:val="TableBodyText"/>
                  </w:pPr>
                  <w:r>
                    <w:t>[+]</w:t>
                  </w:r>
                  <w:r w:rsidR="00E9331D" w:rsidRPr="00E9331D">
                    <w:rPr>
                      <w:rStyle w:val="NoteLabel"/>
                    </w:rPr>
                    <w:t>a</w:t>
                  </w:r>
                </w:p>
              </w:tc>
              <w:tc>
                <w:tcPr>
                  <w:tcW w:w="885" w:type="pct"/>
                  <w:shd w:val="clear" w:color="auto" w:fill="auto"/>
                </w:tcPr>
                <w:p w14:paraId="00BB2F79" w14:textId="77777777" w:rsidR="0034060E" w:rsidRDefault="0034060E" w:rsidP="00453A36">
                  <w:pPr>
                    <w:pStyle w:val="TableBodyText"/>
                    <w:ind w:right="28"/>
                  </w:pPr>
                  <w:r>
                    <w:t>0.5</w:t>
                  </w:r>
                </w:p>
              </w:tc>
            </w:tr>
            <w:tr w:rsidR="0034060E" w14:paraId="00BB2F80" w14:textId="77777777" w:rsidTr="00453A36">
              <w:tc>
                <w:tcPr>
                  <w:tcW w:w="5000" w:type="pct"/>
                  <w:gridSpan w:val="3"/>
                  <w:shd w:val="clear" w:color="auto" w:fill="auto"/>
                </w:tcPr>
                <w:p w14:paraId="00BB2F7F" w14:textId="77777777" w:rsidR="0034060E" w:rsidRDefault="0034060E" w:rsidP="00D46F34">
                  <w:pPr>
                    <w:pStyle w:val="TableBodyText"/>
                    <w:spacing w:before="80"/>
                    <w:ind w:right="28"/>
                    <w:jc w:val="left"/>
                  </w:pPr>
                  <w:r>
                    <w:rPr>
                      <w:i/>
                    </w:rPr>
                    <w:t>Sensitivity: Lower</w:t>
                  </w:r>
                  <w:r w:rsidRPr="001E197E">
                    <w:rPr>
                      <w:i/>
                    </w:rPr>
                    <w:t xml:space="preserve"> primary factor substitution elasticity (0.</w:t>
                  </w:r>
                  <w:r>
                    <w:rPr>
                      <w:i/>
                    </w:rPr>
                    <w:t>3</w:t>
                  </w:r>
                  <w:r w:rsidRPr="001E197E">
                    <w:rPr>
                      <w:i/>
                    </w:rPr>
                    <w:t>)</w:t>
                  </w:r>
                </w:p>
              </w:tc>
            </w:tr>
            <w:tr w:rsidR="0034060E" w14:paraId="00BB2F84" w14:textId="77777777" w:rsidTr="00453A36">
              <w:tc>
                <w:tcPr>
                  <w:tcW w:w="3132" w:type="pct"/>
                  <w:shd w:val="clear" w:color="auto" w:fill="auto"/>
                </w:tcPr>
                <w:p w14:paraId="00BB2F81" w14:textId="77777777" w:rsidR="0034060E" w:rsidRDefault="0034060E" w:rsidP="00453A36">
                  <w:pPr>
                    <w:pStyle w:val="TableBodyText"/>
                    <w:jc w:val="left"/>
                  </w:pPr>
                  <w:r>
                    <w:t>Real gross domestic product</w:t>
                  </w:r>
                </w:p>
              </w:tc>
              <w:tc>
                <w:tcPr>
                  <w:tcW w:w="983" w:type="pct"/>
                  <w:shd w:val="clear" w:color="auto" w:fill="auto"/>
                </w:tcPr>
                <w:p w14:paraId="00BB2F82" w14:textId="77777777" w:rsidR="0034060E" w:rsidRDefault="0034060E" w:rsidP="00453A36">
                  <w:pPr>
                    <w:pStyle w:val="TableBodyText"/>
                  </w:pPr>
                  <w:r>
                    <w:t>0.1</w:t>
                  </w:r>
                </w:p>
              </w:tc>
              <w:tc>
                <w:tcPr>
                  <w:tcW w:w="885" w:type="pct"/>
                  <w:shd w:val="clear" w:color="auto" w:fill="auto"/>
                </w:tcPr>
                <w:p w14:paraId="00BB2F83" w14:textId="77777777" w:rsidR="0034060E" w:rsidRDefault="0034060E" w:rsidP="00453A36">
                  <w:pPr>
                    <w:pStyle w:val="TableBodyText"/>
                    <w:ind w:right="28"/>
                  </w:pPr>
                  <w:r>
                    <w:t>0.8</w:t>
                  </w:r>
                </w:p>
              </w:tc>
            </w:tr>
            <w:tr w:rsidR="0034060E" w14:paraId="00BB2F88" w14:textId="77777777" w:rsidTr="00453A36">
              <w:tc>
                <w:tcPr>
                  <w:tcW w:w="3132" w:type="pct"/>
                  <w:shd w:val="clear" w:color="auto" w:fill="auto"/>
                </w:tcPr>
                <w:p w14:paraId="00BB2F85" w14:textId="77777777" w:rsidR="0034060E" w:rsidRDefault="0034060E" w:rsidP="00453A36">
                  <w:pPr>
                    <w:pStyle w:val="TableBodyText"/>
                    <w:jc w:val="left"/>
                  </w:pPr>
                  <w:r>
                    <w:t>Aggregate hours worked</w:t>
                  </w:r>
                </w:p>
              </w:tc>
              <w:tc>
                <w:tcPr>
                  <w:tcW w:w="983" w:type="pct"/>
                  <w:shd w:val="clear" w:color="auto" w:fill="auto"/>
                </w:tcPr>
                <w:p w14:paraId="00BB2F86" w14:textId="77777777" w:rsidR="0034060E" w:rsidRDefault="0034060E" w:rsidP="00453A36">
                  <w:pPr>
                    <w:pStyle w:val="TableBodyText"/>
                  </w:pPr>
                  <w:r>
                    <w:t>0.2</w:t>
                  </w:r>
                </w:p>
              </w:tc>
              <w:tc>
                <w:tcPr>
                  <w:tcW w:w="885" w:type="pct"/>
                  <w:shd w:val="clear" w:color="auto" w:fill="auto"/>
                </w:tcPr>
                <w:p w14:paraId="00BB2F87" w14:textId="77777777" w:rsidR="0034060E" w:rsidRDefault="0034060E" w:rsidP="00453A36">
                  <w:pPr>
                    <w:pStyle w:val="TableBodyText"/>
                    <w:ind w:right="28"/>
                  </w:pPr>
                  <w:r>
                    <w:t>1.2</w:t>
                  </w:r>
                </w:p>
              </w:tc>
            </w:tr>
            <w:tr w:rsidR="0034060E" w14:paraId="00BB2F8C" w14:textId="77777777" w:rsidTr="00453A36">
              <w:tc>
                <w:tcPr>
                  <w:tcW w:w="3132" w:type="pct"/>
                  <w:shd w:val="clear" w:color="auto" w:fill="auto"/>
                </w:tcPr>
                <w:p w14:paraId="00BB2F89" w14:textId="77777777" w:rsidR="0034060E" w:rsidRDefault="0034060E" w:rsidP="00453A36">
                  <w:pPr>
                    <w:pStyle w:val="TableBodyText"/>
                    <w:jc w:val="left"/>
                  </w:pPr>
                  <w:r>
                    <w:t>Hours worked by award</w:t>
                  </w:r>
                  <w:r>
                    <w:noBreakHyphen/>
                    <w:t>reliant workers</w:t>
                  </w:r>
                </w:p>
              </w:tc>
              <w:tc>
                <w:tcPr>
                  <w:tcW w:w="983" w:type="pct"/>
                  <w:shd w:val="clear" w:color="auto" w:fill="auto"/>
                </w:tcPr>
                <w:p w14:paraId="00BB2F8A" w14:textId="77777777" w:rsidR="0034060E" w:rsidRDefault="0034060E" w:rsidP="00453A36">
                  <w:pPr>
                    <w:pStyle w:val="TableBodyText"/>
                  </w:pPr>
                  <w:r>
                    <w:t>1.4</w:t>
                  </w:r>
                </w:p>
              </w:tc>
              <w:tc>
                <w:tcPr>
                  <w:tcW w:w="885" w:type="pct"/>
                  <w:shd w:val="clear" w:color="auto" w:fill="auto"/>
                </w:tcPr>
                <w:p w14:paraId="00BB2F8B" w14:textId="77777777" w:rsidR="0034060E" w:rsidRDefault="0034060E" w:rsidP="00453A36">
                  <w:pPr>
                    <w:pStyle w:val="TableBodyText"/>
                    <w:ind w:right="28"/>
                  </w:pPr>
                  <w:r>
                    <w:t>8.0</w:t>
                  </w:r>
                </w:p>
              </w:tc>
            </w:tr>
            <w:tr w:rsidR="0034060E" w14:paraId="00BB2F90" w14:textId="77777777" w:rsidTr="00453A36">
              <w:tc>
                <w:tcPr>
                  <w:tcW w:w="3132" w:type="pct"/>
                  <w:tcBorders>
                    <w:bottom w:val="single" w:sz="6" w:space="0" w:color="BFBFBF"/>
                  </w:tcBorders>
                  <w:shd w:val="clear" w:color="auto" w:fill="auto"/>
                </w:tcPr>
                <w:p w14:paraId="00BB2F8D" w14:textId="77777777" w:rsidR="0034060E" w:rsidRDefault="0034060E" w:rsidP="00453A36">
                  <w:pPr>
                    <w:pStyle w:val="TableBodyText"/>
                    <w:jc w:val="left"/>
                  </w:pPr>
                  <w:r>
                    <w:t>Capital use</w:t>
                  </w:r>
                </w:p>
              </w:tc>
              <w:tc>
                <w:tcPr>
                  <w:tcW w:w="983" w:type="pct"/>
                  <w:tcBorders>
                    <w:bottom w:val="single" w:sz="6" w:space="0" w:color="BFBFBF"/>
                  </w:tcBorders>
                  <w:shd w:val="clear" w:color="auto" w:fill="auto"/>
                </w:tcPr>
                <w:p w14:paraId="00BB2F8E" w14:textId="1B1B638A" w:rsidR="0034060E" w:rsidRDefault="0034060E" w:rsidP="00453A36">
                  <w:pPr>
                    <w:pStyle w:val="TableBodyText"/>
                  </w:pPr>
                  <w:r>
                    <w:t>[+]</w:t>
                  </w:r>
                  <w:r w:rsidR="00E9331D" w:rsidRPr="00E9331D">
                    <w:rPr>
                      <w:rStyle w:val="NoteLabel"/>
                    </w:rPr>
                    <w:t>a</w:t>
                  </w:r>
                </w:p>
              </w:tc>
              <w:tc>
                <w:tcPr>
                  <w:tcW w:w="885" w:type="pct"/>
                  <w:tcBorders>
                    <w:bottom w:val="single" w:sz="6" w:space="0" w:color="BFBFBF"/>
                  </w:tcBorders>
                  <w:shd w:val="clear" w:color="auto" w:fill="auto"/>
                </w:tcPr>
                <w:p w14:paraId="00BB2F8F" w14:textId="77777777" w:rsidR="0034060E" w:rsidRDefault="0034060E" w:rsidP="00453A36">
                  <w:pPr>
                    <w:pStyle w:val="TableBodyText"/>
                    <w:ind w:right="28"/>
                  </w:pPr>
                  <w:r>
                    <w:t>0.6</w:t>
                  </w:r>
                </w:p>
              </w:tc>
            </w:tr>
          </w:tbl>
          <w:p w14:paraId="00BB2F91" w14:textId="77777777" w:rsidR="0034060E" w:rsidRDefault="0034060E" w:rsidP="00453A36">
            <w:pPr>
              <w:pStyle w:val="Box"/>
            </w:pPr>
          </w:p>
        </w:tc>
      </w:tr>
      <w:tr w:rsidR="0034060E" w14:paraId="00BB2F94" w14:textId="77777777" w:rsidTr="00453A36">
        <w:trPr>
          <w:cantSplit/>
        </w:trPr>
        <w:tc>
          <w:tcPr>
            <w:tcW w:w="8771" w:type="dxa"/>
            <w:tcBorders>
              <w:top w:val="nil"/>
              <w:left w:val="nil"/>
              <w:bottom w:val="nil"/>
              <w:right w:val="nil"/>
            </w:tcBorders>
            <w:shd w:val="clear" w:color="auto" w:fill="auto"/>
          </w:tcPr>
          <w:p w14:paraId="00BB2F93" w14:textId="2DA3A3E2" w:rsidR="0034060E" w:rsidRDefault="00E9331D" w:rsidP="00E9331D">
            <w:pPr>
              <w:pStyle w:val="Note"/>
              <w:rPr>
                <w:i/>
              </w:rPr>
            </w:pPr>
            <w:proofErr w:type="spellStart"/>
            <w:r w:rsidRPr="00E9331D">
              <w:rPr>
                <w:rStyle w:val="NoteLabel"/>
              </w:rPr>
              <w:t>a</w:t>
            </w:r>
            <w:proofErr w:type="spellEnd"/>
            <w:r w:rsidRPr="00E9331D">
              <w:rPr>
                <w:rStyle w:val="NoteLabel"/>
              </w:rPr>
              <w:t xml:space="preserve"> </w:t>
            </w:r>
            <w:r>
              <w:t>B</w:t>
            </w:r>
            <w:r w:rsidR="0034060E">
              <w:t>etween 0 and 0.05.</w:t>
            </w:r>
          </w:p>
        </w:tc>
      </w:tr>
      <w:tr w:rsidR="0034060E" w14:paraId="00BB2F96" w14:textId="77777777" w:rsidTr="00453A36">
        <w:trPr>
          <w:cantSplit/>
        </w:trPr>
        <w:tc>
          <w:tcPr>
            <w:tcW w:w="8771" w:type="dxa"/>
            <w:tcBorders>
              <w:top w:val="nil"/>
              <w:left w:val="nil"/>
              <w:bottom w:val="nil"/>
              <w:right w:val="nil"/>
            </w:tcBorders>
            <w:shd w:val="clear" w:color="auto" w:fill="auto"/>
          </w:tcPr>
          <w:p w14:paraId="00BB2F95" w14:textId="77777777" w:rsidR="0034060E" w:rsidRDefault="0034060E" w:rsidP="00453A36">
            <w:pPr>
              <w:pStyle w:val="Source"/>
            </w:pPr>
            <w:r>
              <w:rPr>
                <w:i/>
              </w:rPr>
              <w:t>Source</w:t>
            </w:r>
            <w:r w:rsidRPr="00167F06">
              <w:t xml:space="preserve">: </w:t>
            </w:r>
            <w:r>
              <w:t xml:space="preserve">Productivity Commission estimates based on the </w:t>
            </w:r>
            <w:proofErr w:type="spellStart"/>
            <w:r>
              <w:t>VUMR</w:t>
            </w:r>
            <w:r>
              <w:noBreakHyphen/>
              <w:t>WR</w:t>
            </w:r>
            <w:proofErr w:type="spellEnd"/>
            <w:r>
              <w:t xml:space="preserve"> model.</w:t>
            </w:r>
          </w:p>
        </w:tc>
      </w:tr>
      <w:tr w:rsidR="0034060E" w14:paraId="00BB2F98" w14:textId="77777777" w:rsidTr="00453A36">
        <w:trPr>
          <w:cantSplit/>
        </w:trPr>
        <w:tc>
          <w:tcPr>
            <w:tcW w:w="8771" w:type="dxa"/>
            <w:tcBorders>
              <w:top w:val="nil"/>
              <w:left w:val="nil"/>
              <w:bottom w:val="single" w:sz="6" w:space="0" w:color="78A22F"/>
              <w:right w:val="nil"/>
            </w:tcBorders>
            <w:shd w:val="clear" w:color="auto" w:fill="auto"/>
          </w:tcPr>
          <w:p w14:paraId="00BB2F97" w14:textId="77777777" w:rsidR="0034060E" w:rsidRDefault="0034060E" w:rsidP="00453A36">
            <w:pPr>
              <w:pStyle w:val="Box"/>
              <w:spacing w:before="0" w:line="120" w:lineRule="exact"/>
            </w:pPr>
          </w:p>
        </w:tc>
      </w:tr>
      <w:tr w:rsidR="0034060E" w:rsidRPr="000863A5" w14:paraId="00BB2F9A" w14:textId="77777777" w:rsidTr="00453A36">
        <w:tc>
          <w:tcPr>
            <w:tcW w:w="8771" w:type="dxa"/>
            <w:tcBorders>
              <w:top w:val="single" w:sz="6" w:space="0" w:color="78A22F"/>
              <w:left w:val="nil"/>
              <w:bottom w:val="nil"/>
              <w:right w:val="nil"/>
            </w:tcBorders>
          </w:tcPr>
          <w:p w14:paraId="00BB2F99" w14:textId="6EE1E489" w:rsidR="0034060E" w:rsidRPr="00626D32" w:rsidRDefault="0034060E" w:rsidP="00453A36">
            <w:pPr>
              <w:pStyle w:val="BoxSpaceBelow"/>
            </w:pPr>
          </w:p>
        </w:tc>
      </w:tr>
    </w:tbl>
    <w:p w14:paraId="00BB2F9B" w14:textId="0163473F" w:rsidR="0034060E" w:rsidRDefault="0034060E" w:rsidP="00453A36">
      <w:pPr>
        <w:pStyle w:val="BodyText"/>
      </w:pPr>
      <w:r>
        <w:t xml:space="preserve">The default value of </w:t>
      </w:r>
      <w:r>
        <w:noBreakHyphen/>
        <w:t xml:space="preserve">2 is the same as that assumed in the </w:t>
      </w:r>
      <w:proofErr w:type="spellStart"/>
      <w:r>
        <w:t>CGE</w:t>
      </w:r>
      <w:proofErr w:type="spellEnd"/>
      <w:r>
        <w:t xml:space="preserve"> modelling of Australian award wage policy by Dixon, Madden and </w:t>
      </w:r>
      <w:proofErr w:type="spellStart"/>
      <w:r>
        <w:t>Rimmer</w:t>
      </w:r>
      <w:proofErr w:type="spellEnd"/>
      <w:r>
        <w:t xml:space="preserve"> </w:t>
      </w:r>
      <w:r w:rsidRPr="009A7320">
        <w:t>(2010)</w:t>
      </w:r>
      <w:r>
        <w:t xml:space="preserve">, Dixon and </w:t>
      </w:r>
      <w:proofErr w:type="spellStart"/>
      <w:r>
        <w:t>Rimmer</w:t>
      </w:r>
      <w:proofErr w:type="spellEnd"/>
      <w:r>
        <w:t> </w:t>
      </w:r>
      <w:r w:rsidRPr="009C066C">
        <w:t>(2003)</w:t>
      </w:r>
      <w:r>
        <w:t xml:space="preserve"> and Dixon and </w:t>
      </w:r>
      <w:proofErr w:type="spellStart"/>
      <w:r>
        <w:t>Rimmer</w:t>
      </w:r>
      <w:proofErr w:type="spellEnd"/>
      <w:r>
        <w:t> </w:t>
      </w:r>
      <w:r w:rsidRPr="009A7320">
        <w:t>(2001)</w:t>
      </w:r>
      <w:r>
        <w:t xml:space="preserve">. On the other hand, Wheatley </w:t>
      </w:r>
      <w:r w:rsidRPr="009A7320">
        <w:t>(2009)</w:t>
      </w:r>
      <w:r>
        <w:t xml:space="preserve"> assumes a value of </w:t>
      </w:r>
      <w:r>
        <w:noBreakHyphen/>
        <w:t>1 for the elasticity of substitution between low</w:t>
      </w:r>
      <w:r>
        <w:noBreakHyphen/>
        <w:t>skilled and high</w:t>
      </w:r>
      <w:r>
        <w:noBreakHyphen/>
        <w:t>skilled workers in his analysis of the effect of minimum wages on the employment of low</w:t>
      </w:r>
      <w:r>
        <w:noBreakHyphen/>
        <w:t>skilled workers relative to high</w:t>
      </w:r>
      <w:r>
        <w:noBreakHyphen/>
        <w:t xml:space="preserve">skilled workers. Given the absence of clear empirical evidence about the appropriate value, the sensitivity of the modelling results is tested by assuming alternative elasticity values of </w:t>
      </w:r>
      <w:r>
        <w:noBreakHyphen/>
        <w:t xml:space="preserve">1 and </w:t>
      </w:r>
      <w:r>
        <w:noBreakHyphen/>
        <w:t>3.</w:t>
      </w:r>
      <w:r>
        <w:rPr>
          <w:rStyle w:val="FootnoteReference"/>
        </w:rPr>
        <w:footnoteReference w:id="4"/>
      </w:r>
      <w:r>
        <w:t xml:space="preserve"> </w:t>
      </w:r>
    </w:p>
    <w:p w14:paraId="00BB2F9C" w14:textId="4919D263" w:rsidR="0034060E" w:rsidRDefault="0034060E" w:rsidP="00453A36">
      <w:pPr>
        <w:pStyle w:val="BodyText"/>
      </w:pPr>
      <w:r>
        <w:t xml:space="preserve">The tests indicate that the projected effects of the moderate award wage growth scenario reported in chapter 3 </w:t>
      </w:r>
      <w:r w:rsidRPr="007F4709">
        <w:t xml:space="preserve">are sensitive to the value of the </w:t>
      </w:r>
      <w:r>
        <w:t>award</w:t>
      </w:r>
      <w:r w:rsidRPr="007F4709">
        <w:t xml:space="preserve"> wage substitution elasticity</w:t>
      </w:r>
      <w:r>
        <w:t xml:space="preserve"> (table 4.3)</w:t>
      </w:r>
      <w:r w:rsidRPr="007F4709">
        <w:t>.</w:t>
      </w:r>
      <w:r>
        <w:t xml:space="preserve"> The higher the absolute value of the elasticity, the greater the projected employment impacts of wage moderation (and the greater the aggregate output effects). </w:t>
      </w:r>
    </w:p>
    <w:p w14:paraId="00BB2F9D" w14:textId="5E291316"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2FA0" w14:textId="77777777" w:rsidTr="00453A36">
        <w:tc>
          <w:tcPr>
            <w:tcW w:w="8771" w:type="dxa"/>
            <w:tcBorders>
              <w:top w:val="single" w:sz="6" w:space="0" w:color="78A22F"/>
              <w:left w:val="nil"/>
              <w:bottom w:val="nil"/>
              <w:right w:val="nil"/>
            </w:tcBorders>
            <w:shd w:val="clear" w:color="auto" w:fill="auto"/>
          </w:tcPr>
          <w:p w14:paraId="00BB2F9E" w14:textId="620520AC" w:rsidR="0034060E" w:rsidRDefault="0034060E" w:rsidP="00453A36">
            <w:pPr>
              <w:pStyle w:val="TableTitle"/>
            </w:pPr>
            <w:r>
              <w:rPr>
                <w:b w:val="0"/>
              </w:rPr>
              <w:t>Table 4.</w:t>
            </w:r>
            <w:r>
              <w:rPr>
                <w:b w:val="0"/>
                <w:noProof/>
              </w:rPr>
              <w:t>3</w:t>
            </w:r>
            <w:r>
              <w:tab/>
              <w:t>Sensitivity of the effects of moderating the growth of award wages to alternative award wage substitution elasticity assumptions</w:t>
            </w:r>
          </w:p>
          <w:p w14:paraId="00BB2F9F" w14:textId="77777777" w:rsidR="0034060E" w:rsidRPr="00784A05" w:rsidRDefault="0034060E" w:rsidP="00453A36">
            <w:pPr>
              <w:pStyle w:val="Subtitle"/>
            </w:pPr>
            <w:r>
              <w:t>Percentage difference from scenario 1</w:t>
            </w:r>
          </w:p>
        </w:tc>
      </w:tr>
      <w:tr w:rsidR="0034060E" w14:paraId="00BB2FE8"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252"/>
              <w:gridCol w:w="1702"/>
              <w:gridCol w:w="1533"/>
            </w:tblGrid>
            <w:tr w:rsidR="0034060E" w14:paraId="00BB2FA4" w14:textId="77777777" w:rsidTr="00453A36">
              <w:tc>
                <w:tcPr>
                  <w:tcW w:w="3094" w:type="pct"/>
                  <w:tcBorders>
                    <w:top w:val="single" w:sz="6" w:space="0" w:color="BFBFBF"/>
                    <w:bottom w:val="single" w:sz="6" w:space="0" w:color="BFBFBF"/>
                  </w:tcBorders>
                  <w:shd w:val="clear" w:color="auto" w:fill="auto"/>
                  <w:tcMar>
                    <w:top w:w="28" w:type="dxa"/>
                  </w:tcMar>
                </w:tcPr>
                <w:p w14:paraId="00BB2FA1" w14:textId="77777777" w:rsidR="0034060E" w:rsidRDefault="0034060E" w:rsidP="00453A36">
                  <w:pPr>
                    <w:pStyle w:val="TableColumnHeading"/>
                    <w:jc w:val="left"/>
                  </w:pPr>
                </w:p>
              </w:tc>
              <w:tc>
                <w:tcPr>
                  <w:tcW w:w="1003" w:type="pct"/>
                  <w:tcBorders>
                    <w:top w:val="single" w:sz="6" w:space="0" w:color="BFBFBF"/>
                    <w:bottom w:val="single" w:sz="6" w:space="0" w:color="BFBFBF"/>
                  </w:tcBorders>
                  <w:shd w:val="clear" w:color="auto" w:fill="auto"/>
                  <w:tcMar>
                    <w:top w:w="28" w:type="dxa"/>
                  </w:tcMar>
                </w:tcPr>
                <w:p w14:paraId="00BB2FA2" w14:textId="77777777" w:rsidR="0034060E" w:rsidRDefault="0034060E" w:rsidP="00453A36">
                  <w:pPr>
                    <w:pStyle w:val="TableColumnHeading"/>
                  </w:pPr>
                  <w:r>
                    <w:t>2017</w:t>
                  </w:r>
                  <w:r>
                    <w:noBreakHyphen/>
                    <w:t>18</w:t>
                  </w:r>
                </w:p>
              </w:tc>
              <w:tc>
                <w:tcPr>
                  <w:tcW w:w="903" w:type="pct"/>
                  <w:tcBorders>
                    <w:top w:val="single" w:sz="6" w:space="0" w:color="BFBFBF"/>
                    <w:bottom w:val="single" w:sz="6" w:space="0" w:color="BFBFBF"/>
                  </w:tcBorders>
                  <w:shd w:val="clear" w:color="auto" w:fill="auto"/>
                  <w:tcMar>
                    <w:top w:w="28" w:type="dxa"/>
                  </w:tcMar>
                </w:tcPr>
                <w:p w14:paraId="00BB2FA3" w14:textId="77777777" w:rsidR="0034060E" w:rsidRDefault="0034060E" w:rsidP="00453A36">
                  <w:pPr>
                    <w:pStyle w:val="TableColumnHeading"/>
                    <w:ind w:right="28"/>
                  </w:pPr>
                  <w:r>
                    <w:t>2024</w:t>
                  </w:r>
                  <w:r>
                    <w:noBreakHyphen/>
                    <w:t>25</w:t>
                  </w:r>
                </w:p>
              </w:tc>
            </w:tr>
            <w:tr w:rsidR="0034060E" w14:paraId="00BB2FA8" w14:textId="77777777" w:rsidTr="00453A36">
              <w:tc>
                <w:tcPr>
                  <w:tcW w:w="3094" w:type="pct"/>
                </w:tcPr>
                <w:p w14:paraId="00BB2FA5" w14:textId="77777777" w:rsidR="0034060E" w:rsidRDefault="0034060E" w:rsidP="00D46F34">
                  <w:pPr>
                    <w:pStyle w:val="TableUnitsRow"/>
                    <w:spacing w:after="0"/>
                  </w:pPr>
                </w:p>
              </w:tc>
              <w:tc>
                <w:tcPr>
                  <w:tcW w:w="1003" w:type="pct"/>
                </w:tcPr>
                <w:p w14:paraId="00BB2FA6" w14:textId="77777777" w:rsidR="0034060E" w:rsidRDefault="0034060E" w:rsidP="00D46F34">
                  <w:pPr>
                    <w:pStyle w:val="TableUnitsRow"/>
                    <w:spacing w:after="0"/>
                  </w:pPr>
                  <w:r>
                    <w:t>%</w:t>
                  </w:r>
                </w:p>
              </w:tc>
              <w:tc>
                <w:tcPr>
                  <w:tcW w:w="903" w:type="pct"/>
                </w:tcPr>
                <w:p w14:paraId="00BB2FA7" w14:textId="77777777" w:rsidR="0034060E" w:rsidRDefault="0034060E" w:rsidP="00D46F34">
                  <w:pPr>
                    <w:pStyle w:val="TableUnitsRow"/>
                    <w:spacing w:after="0"/>
                  </w:pPr>
                  <w:r>
                    <w:t>%</w:t>
                  </w:r>
                </w:p>
              </w:tc>
            </w:tr>
            <w:tr w:rsidR="0034060E" w14:paraId="00BB2FAA" w14:textId="77777777" w:rsidTr="00453A36">
              <w:tc>
                <w:tcPr>
                  <w:tcW w:w="5000" w:type="pct"/>
                  <w:gridSpan w:val="3"/>
                </w:tcPr>
                <w:p w14:paraId="00BB2FA9" w14:textId="77777777" w:rsidR="0034060E" w:rsidRDefault="0034060E" w:rsidP="00453A36">
                  <w:pPr>
                    <w:pStyle w:val="TableBodyText"/>
                    <w:ind w:right="28"/>
                    <w:jc w:val="left"/>
                  </w:pPr>
                  <w:r>
                    <w:rPr>
                      <w:i/>
                    </w:rPr>
                    <w:t xml:space="preserve">Scenario 2: </w:t>
                  </w:r>
                  <w:r w:rsidRPr="001E197E">
                    <w:rPr>
                      <w:i/>
                    </w:rPr>
                    <w:t xml:space="preserve">Default </w:t>
                  </w:r>
                  <w:r>
                    <w:rPr>
                      <w:i/>
                    </w:rPr>
                    <w:t>award wage substitution elasticity (</w:t>
                  </w:r>
                  <w:r>
                    <w:rPr>
                      <w:i/>
                    </w:rPr>
                    <w:noBreakHyphen/>
                    <w:t>2</w:t>
                  </w:r>
                  <w:r w:rsidRPr="001E197E">
                    <w:rPr>
                      <w:i/>
                    </w:rPr>
                    <w:t>)</w:t>
                  </w:r>
                </w:p>
              </w:tc>
            </w:tr>
            <w:tr w:rsidR="0034060E" w14:paraId="00BB2FAE" w14:textId="77777777" w:rsidTr="00453A36">
              <w:tc>
                <w:tcPr>
                  <w:tcW w:w="3094" w:type="pct"/>
                </w:tcPr>
                <w:p w14:paraId="00BB2FAB" w14:textId="77777777" w:rsidR="0034060E" w:rsidRDefault="0034060E" w:rsidP="00453A36">
                  <w:pPr>
                    <w:pStyle w:val="TableBodyText"/>
                    <w:jc w:val="left"/>
                  </w:pPr>
                  <w:r>
                    <w:t>Real gross domestic product</w:t>
                  </w:r>
                </w:p>
              </w:tc>
              <w:tc>
                <w:tcPr>
                  <w:tcW w:w="1003" w:type="pct"/>
                </w:tcPr>
                <w:p w14:paraId="00BB2FAC" w14:textId="77777777" w:rsidR="0034060E" w:rsidRDefault="0034060E" w:rsidP="00453A36">
                  <w:pPr>
                    <w:pStyle w:val="TableBodyText"/>
                  </w:pPr>
                  <w:r>
                    <w:t>0.1</w:t>
                  </w:r>
                </w:p>
              </w:tc>
              <w:tc>
                <w:tcPr>
                  <w:tcW w:w="903" w:type="pct"/>
                </w:tcPr>
                <w:p w14:paraId="00BB2FAD" w14:textId="77777777" w:rsidR="0034060E" w:rsidRDefault="0034060E" w:rsidP="00453A36">
                  <w:pPr>
                    <w:pStyle w:val="TableBodyText"/>
                    <w:ind w:right="28"/>
                  </w:pPr>
                  <w:r>
                    <w:t>0.8</w:t>
                  </w:r>
                </w:p>
              </w:tc>
            </w:tr>
            <w:tr w:rsidR="0034060E" w14:paraId="00BB2FB2" w14:textId="77777777" w:rsidTr="00453A36">
              <w:tc>
                <w:tcPr>
                  <w:tcW w:w="3094" w:type="pct"/>
                </w:tcPr>
                <w:p w14:paraId="00BB2FAF" w14:textId="77777777" w:rsidR="0034060E" w:rsidRDefault="0034060E" w:rsidP="00453A36">
                  <w:pPr>
                    <w:pStyle w:val="TableBodyText"/>
                    <w:jc w:val="left"/>
                  </w:pPr>
                  <w:r>
                    <w:t>Aggregate hours worked</w:t>
                  </w:r>
                </w:p>
              </w:tc>
              <w:tc>
                <w:tcPr>
                  <w:tcW w:w="1003" w:type="pct"/>
                </w:tcPr>
                <w:p w14:paraId="00BB2FB0" w14:textId="77777777" w:rsidR="0034060E" w:rsidRDefault="0034060E" w:rsidP="00453A36">
                  <w:pPr>
                    <w:pStyle w:val="TableBodyText"/>
                  </w:pPr>
                  <w:r>
                    <w:t>0.2</w:t>
                  </w:r>
                </w:p>
              </w:tc>
              <w:tc>
                <w:tcPr>
                  <w:tcW w:w="903" w:type="pct"/>
                </w:tcPr>
                <w:p w14:paraId="00BB2FB1" w14:textId="77777777" w:rsidR="0034060E" w:rsidRDefault="0034060E" w:rsidP="00453A36">
                  <w:pPr>
                    <w:pStyle w:val="TableBodyText"/>
                    <w:ind w:right="28"/>
                  </w:pPr>
                  <w:r>
                    <w:t>1.2</w:t>
                  </w:r>
                </w:p>
              </w:tc>
            </w:tr>
            <w:tr w:rsidR="0034060E" w14:paraId="00BB2FB6" w14:textId="77777777" w:rsidTr="00453A36">
              <w:tc>
                <w:tcPr>
                  <w:tcW w:w="3094" w:type="pct"/>
                </w:tcPr>
                <w:p w14:paraId="00BB2FB3" w14:textId="77777777" w:rsidR="0034060E" w:rsidRDefault="0034060E" w:rsidP="00453A36">
                  <w:pPr>
                    <w:pStyle w:val="TableBodyText"/>
                    <w:jc w:val="left"/>
                  </w:pPr>
                  <w:r>
                    <w:t>Hours worked by award</w:t>
                  </w:r>
                  <w:r>
                    <w:noBreakHyphen/>
                    <w:t>reliant workers</w:t>
                  </w:r>
                </w:p>
              </w:tc>
              <w:tc>
                <w:tcPr>
                  <w:tcW w:w="1003" w:type="pct"/>
                </w:tcPr>
                <w:p w14:paraId="00BB2FB4" w14:textId="77777777" w:rsidR="0034060E" w:rsidRDefault="0034060E" w:rsidP="00453A36">
                  <w:pPr>
                    <w:pStyle w:val="TableBodyText"/>
                  </w:pPr>
                  <w:r>
                    <w:t>1.5</w:t>
                  </w:r>
                </w:p>
              </w:tc>
              <w:tc>
                <w:tcPr>
                  <w:tcW w:w="903" w:type="pct"/>
                </w:tcPr>
                <w:p w14:paraId="00BB2FB5" w14:textId="77777777" w:rsidR="0034060E" w:rsidRDefault="0034060E" w:rsidP="00453A36">
                  <w:pPr>
                    <w:pStyle w:val="TableBodyText"/>
                    <w:ind w:right="28"/>
                  </w:pPr>
                  <w:r>
                    <w:t>8.2</w:t>
                  </w:r>
                </w:p>
              </w:tc>
            </w:tr>
            <w:tr w:rsidR="0034060E" w14:paraId="00BB2FBA" w14:textId="77777777" w:rsidTr="00453A36">
              <w:tc>
                <w:tcPr>
                  <w:tcW w:w="3094" w:type="pct"/>
                </w:tcPr>
                <w:p w14:paraId="00BB2FB7" w14:textId="77777777" w:rsidR="0034060E" w:rsidRDefault="0034060E" w:rsidP="00453A36">
                  <w:pPr>
                    <w:pStyle w:val="TableBodyText"/>
                    <w:jc w:val="left"/>
                  </w:pPr>
                  <w:r>
                    <w:t>Hours worked by other workers</w:t>
                  </w:r>
                </w:p>
              </w:tc>
              <w:tc>
                <w:tcPr>
                  <w:tcW w:w="1003" w:type="pct"/>
                </w:tcPr>
                <w:p w14:paraId="00BB2FB8" w14:textId="5DE62F95" w:rsidR="0034060E" w:rsidRDefault="0034060E" w:rsidP="00453A36">
                  <w:pPr>
                    <w:pStyle w:val="TableBodyText"/>
                  </w:pPr>
                  <w:r>
                    <w:t>[+]</w:t>
                  </w:r>
                  <w:r w:rsidR="00E9331D" w:rsidRPr="00E9331D">
                    <w:rPr>
                      <w:rStyle w:val="NoteLabel"/>
                    </w:rPr>
                    <w:t>a</w:t>
                  </w:r>
                </w:p>
              </w:tc>
              <w:tc>
                <w:tcPr>
                  <w:tcW w:w="903" w:type="pct"/>
                </w:tcPr>
                <w:p w14:paraId="00BB2FB9" w14:textId="77777777" w:rsidR="0034060E" w:rsidRDefault="0034060E" w:rsidP="00453A36">
                  <w:pPr>
                    <w:pStyle w:val="TableBodyText"/>
                    <w:ind w:right="28"/>
                  </w:pPr>
                  <w:r>
                    <w:t>0.1</w:t>
                  </w:r>
                </w:p>
              </w:tc>
            </w:tr>
            <w:tr w:rsidR="0034060E" w14:paraId="00BB2FC0" w14:textId="77777777" w:rsidTr="00453A36">
              <w:tc>
                <w:tcPr>
                  <w:tcW w:w="5000" w:type="pct"/>
                  <w:gridSpan w:val="3"/>
                </w:tcPr>
                <w:p w14:paraId="00BB2FBF" w14:textId="77777777" w:rsidR="0034060E" w:rsidRDefault="0034060E" w:rsidP="00D46F34">
                  <w:pPr>
                    <w:pStyle w:val="TableBodyText"/>
                    <w:spacing w:before="80"/>
                    <w:ind w:right="28"/>
                    <w:jc w:val="left"/>
                  </w:pPr>
                  <w:r>
                    <w:rPr>
                      <w:i/>
                    </w:rPr>
                    <w:t>Sensitivity: Higher</w:t>
                  </w:r>
                  <w:r w:rsidRPr="001E197E">
                    <w:rPr>
                      <w:i/>
                    </w:rPr>
                    <w:t xml:space="preserve"> </w:t>
                  </w:r>
                  <w:r>
                    <w:rPr>
                      <w:i/>
                    </w:rPr>
                    <w:t>award wage substitution elasticity (</w:t>
                  </w:r>
                  <w:r>
                    <w:rPr>
                      <w:i/>
                    </w:rPr>
                    <w:noBreakHyphen/>
                    <w:t>3</w:t>
                  </w:r>
                  <w:r w:rsidRPr="001E197E">
                    <w:rPr>
                      <w:i/>
                    </w:rPr>
                    <w:t>)</w:t>
                  </w:r>
                </w:p>
              </w:tc>
            </w:tr>
            <w:tr w:rsidR="0034060E" w14:paraId="00BB2FC4" w14:textId="77777777" w:rsidTr="00453A36">
              <w:tc>
                <w:tcPr>
                  <w:tcW w:w="3094" w:type="pct"/>
                </w:tcPr>
                <w:p w14:paraId="00BB2FC1" w14:textId="77777777" w:rsidR="0034060E" w:rsidRDefault="0034060E" w:rsidP="00453A36">
                  <w:pPr>
                    <w:pStyle w:val="TableBodyText"/>
                    <w:jc w:val="left"/>
                  </w:pPr>
                  <w:r>
                    <w:t>Real gross domestic product</w:t>
                  </w:r>
                </w:p>
              </w:tc>
              <w:tc>
                <w:tcPr>
                  <w:tcW w:w="1003" w:type="pct"/>
                </w:tcPr>
                <w:p w14:paraId="00BB2FC2" w14:textId="77777777" w:rsidR="0034060E" w:rsidRDefault="0034060E" w:rsidP="00453A36">
                  <w:pPr>
                    <w:pStyle w:val="TableBodyText"/>
                  </w:pPr>
                  <w:r>
                    <w:t>0.1</w:t>
                  </w:r>
                </w:p>
              </w:tc>
              <w:tc>
                <w:tcPr>
                  <w:tcW w:w="903" w:type="pct"/>
                </w:tcPr>
                <w:p w14:paraId="00BB2FC3" w14:textId="77777777" w:rsidR="0034060E" w:rsidRDefault="0034060E" w:rsidP="00453A36">
                  <w:pPr>
                    <w:pStyle w:val="TableBodyText"/>
                    <w:ind w:right="28"/>
                  </w:pPr>
                  <w:r>
                    <w:t>1.0</w:t>
                  </w:r>
                </w:p>
              </w:tc>
            </w:tr>
            <w:tr w:rsidR="0034060E" w14:paraId="00BB2FC8" w14:textId="77777777" w:rsidTr="00453A36">
              <w:tc>
                <w:tcPr>
                  <w:tcW w:w="3094" w:type="pct"/>
                </w:tcPr>
                <w:p w14:paraId="00BB2FC5" w14:textId="77777777" w:rsidR="0034060E" w:rsidRDefault="0034060E" w:rsidP="00453A36">
                  <w:pPr>
                    <w:pStyle w:val="TableBodyText"/>
                    <w:jc w:val="left"/>
                  </w:pPr>
                  <w:r>
                    <w:t>Aggregate hours worked</w:t>
                  </w:r>
                </w:p>
              </w:tc>
              <w:tc>
                <w:tcPr>
                  <w:tcW w:w="1003" w:type="pct"/>
                </w:tcPr>
                <w:p w14:paraId="00BB2FC6" w14:textId="77777777" w:rsidR="0034060E" w:rsidRDefault="0034060E" w:rsidP="00453A36">
                  <w:pPr>
                    <w:pStyle w:val="TableBodyText"/>
                  </w:pPr>
                  <w:r>
                    <w:t>0.3</w:t>
                  </w:r>
                </w:p>
              </w:tc>
              <w:tc>
                <w:tcPr>
                  <w:tcW w:w="903" w:type="pct"/>
                </w:tcPr>
                <w:p w14:paraId="00BB2FC7" w14:textId="77777777" w:rsidR="0034060E" w:rsidRDefault="0034060E" w:rsidP="00453A36">
                  <w:pPr>
                    <w:pStyle w:val="TableBodyText"/>
                    <w:ind w:right="28"/>
                  </w:pPr>
                  <w:r>
                    <w:t>1.7</w:t>
                  </w:r>
                </w:p>
              </w:tc>
            </w:tr>
            <w:tr w:rsidR="0034060E" w14:paraId="00BB2FCC" w14:textId="77777777" w:rsidTr="00453A36">
              <w:tc>
                <w:tcPr>
                  <w:tcW w:w="3094" w:type="pct"/>
                </w:tcPr>
                <w:p w14:paraId="00BB2FC9" w14:textId="77777777" w:rsidR="0034060E" w:rsidRDefault="0034060E" w:rsidP="00453A36">
                  <w:pPr>
                    <w:pStyle w:val="TableBodyText"/>
                    <w:jc w:val="left"/>
                  </w:pPr>
                  <w:r>
                    <w:t>Hours worked by award</w:t>
                  </w:r>
                  <w:r>
                    <w:noBreakHyphen/>
                    <w:t>reliant workers</w:t>
                  </w:r>
                </w:p>
              </w:tc>
              <w:tc>
                <w:tcPr>
                  <w:tcW w:w="1003" w:type="pct"/>
                </w:tcPr>
                <w:p w14:paraId="00BB2FCA" w14:textId="77777777" w:rsidR="0034060E" w:rsidRDefault="0034060E" w:rsidP="00453A36">
                  <w:pPr>
                    <w:pStyle w:val="TableBodyText"/>
                  </w:pPr>
                  <w:r>
                    <w:t>2.0</w:t>
                  </w:r>
                </w:p>
              </w:tc>
              <w:tc>
                <w:tcPr>
                  <w:tcW w:w="903" w:type="pct"/>
                </w:tcPr>
                <w:p w14:paraId="00BB2FCB" w14:textId="77777777" w:rsidR="0034060E" w:rsidRDefault="0034060E" w:rsidP="00453A36">
                  <w:pPr>
                    <w:pStyle w:val="TableBodyText"/>
                    <w:ind w:right="28"/>
                  </w:pPr>
                  <w:r>
                    <w:t>11.1</w:t>
                  </w:r>
                </w:p>
              </w:tc>
            </w:tr>
            <w:tr w:rsidR="0034060E" w14:paraId="00BB2FD0" w14:textId="77777777" w:rsidTr="00453A36">
              <w:tc>
                <w:tcPr>
                  <w:tcW w:w="3094" w:type="pct"/>
                </w:tcPr>
                <w:p w14:paraId="00BB2FCD" w14:textId="77777777" w:rsidR="0034060E" w:rsidRDefault="0034060E" w:rsidP="00453A36">
                  <w:pPr>
                    <w:pStyle w:val="TableBodyText"/>
                    <w:jc w:val="left"/>
                  </w:pPr>
                  <w:r>
                    <w:t>Hours worked by other workers</w:t>
                  </w:r>
                </w:p>
              </w:tc>
              <w:tc>
                <w:tcPr>
                  <w:tcW w:w="1003" w:type="pct"/>
                </w:tcPr>
                <w:p w14:paraId="00BB2FCE" w14:textId="1AF513D4" w:rsidR="0034060E" w:rsidRDefault="0034060E" w:rsidP="00453A36">
                  <w:pPr>
                    <w:pStyle w:val="TableBodyText"/>
                  </w:pPr>
                  <w:r>
                    <w:t>[+]</w:t>
                  </w:r>
                  <w:r w:rsidR="00E9331D" w:rsidRPr="00E9331D">
                    <w:rPr>
                      <w:rStyle w:val="NoteLabel"/>
                    </w:rPr>
                    <w:t>a</w:t>
                  </w:r>
                </w:p>
              </w:tc>
              <w:tc>
                <w:tcPr>
                  <w:tcW w:w="903" w:type="pct"/>
                </w:tcPr>
                <w:p w14:paraId="00BB2FCF" w14:textId="77777777" w:rsidR="0034060E" w:rsidRDefault="0034060E" w:rsidP="00453A36">
                  <w:pPr>
                    <w:pStyle w:val="TableBodyText"/>
                    <w:ind w:right="28"/>
                  </w:pPr>
                  <w:r>
                    <w:t>0.1</w:t>
                  </w:r>
                </w:p>
              </w:tc>
            </w:tr>
            <w:tr w:rsidR="0034060E" w14:paraId="00BB2FD6" w14:textId="77777777" w:rsidTr="00453A36">
              <w:tc>
                <w:tcPr>
                  <w:tcW w:w="5000" w:type="pct"/>
                  <w:gridSpan w:val="3"/>
                </w:tcPr>
                <w:p w14:paraId="00BB2FD5" w14:textId="77777777" w:rsidR="0034060E" w:rsidRDefault="0034060E" w:rsidP="00D46F34">
                  <w:pPr>
                    <w:pStyle w:val="TableBodyText"/>
                    <w:spacing w:before="80"/>
                    <w:ind w:right="28"/>
                    <w:jc w:val="left"/>
                  </w:pPr>
                  <w:r>
                    <w:rPr>
                      <w:i/>
                    </w:rPr>
                    <w:t>Sensitivity: Lower</w:t>
                  </w:r>
                  <w:r w:rsidRPr="001E197E">
                    <w:rPr>
                      <w:i/>
                    </w:rPr>
                    <w:t xml:space="preserve"> </w:t>
                  </w:r>
                  <w:r>
                    <w:rPr>
                      <w:i/>
                    </w:rPr>
                    <w:t>award wage substitution elasticity (</w:t>
                  </w:r>
                  <w:r>
                    <w:rPr>
                      <w:i/>
                    </w:rPr>
                    <w:noBreakHyphen/>
                    <w:t>1</w:t>
                  </w:r>
                  <w:r w:rsidRPr="001E197E">
                    <w:rPr>
                      <w:i/>
                    </w:rPr>
                    <w:t>)</w:t>
                  </w:r>
                </w:p>
              </w:tc>
            </w:tr>
            <w:tr w:rsidR="0034060E" w14:paraId="00BB2FDA" w14:textId="77777777" w:rsidTr="00453A36">
              <w:tc>
                <w:tcPr>
                  <w:tcW w:w="3094" w:type="pct"/>
                </w:tcPr>
                <w:p w14:paraId="00BB2FD7" w14:textId="77777777" w:rsidR="0034060E" w:rsidRDefault="0034060E" w:rsidP="00453A36">
                  <w:pPr>
                    <w:pStyle w:val="TableBodyText"/>
                    <w:jc w:val="left"/>
                  </w:pPr>
                  <w:r>
                    <w:t>Real gross domestic product</w:t>
                  </w:r>
                </w:p>
              </w:tc>
              <w:tc>
                <w:tcPr>
                  <w:tcW w:w="1003" w:type="pct"/>
                </w:tcPr>
                <w:p w14:paraId="00BB2FD8" w14:textId="77777777" w:rsidR="0034060E" w:rsidRDefault="0034060E" w:rsidP="00453A36">
                  <w:pPr>
                    <w:pStyle w:val="TableBodyText"/>
                  </w:pPr>
                  <w:r>
                    <w:t>0.1</w:t>
                  </w:r>
                </w:p>
              </w:tc>
              <w:tc>
                <w:tcPr>
                  <w:tcW w:w="903" w:type="pct"/>
                </w:tcPr>
                <w:p w14:paraId="00BB2FD9" w14:textId="77777777" w:rsidR="0034060E" w:rsidRDefault="0034060E" w:rsidP="00453A36">
                  <w:pPr>
                    <w:pStyle w:val="TableBodyText"/>
                    <w:ind w:right="28"/>
                  </w:pPr>
                  <w:r>
                    <w:t>0.5</w:t>
                  </w:r>
                </w:p>
              </w:tc>
            </w:tr>
            <w:tr w:rsidR="0034060E" w14:paraId="00BB2FDE" w14:textId="77777777" w:rsidTr="00453A36">
              <w:tc>
                <w:tcPr>
                  <w:tcW w:w="3094" w:type="pct"/>
                </w:tcPr>
                <w:p w14:paraId="00BB2FDB" w14:textId="77777777" w:rsidR="0034060E" w:rsidRDefault="0034060E" w:rsidP="00453A36">
                  <w:pPr>
                    <w:pStyle w:val="TableBodyText"/>
                    <w:jc w:val="left"/>
                  </w:pPr>
                  <w:r>
                    <w:t>Aggregate hours worked</w:t>
                  </w:r>
                </w:p>
              </w:tc>
              <w:tc>
                <w:tcPr>
                  <w:tcW w:w="1003" w:type="pct"/>
                </w:tcPr>
                <w:p w14:paraId="00BB2FDC" w14:textId="77777777" w:rsidR="0034060E" w:rsidRDefault="0034060E" w:rsidP="00453A36">
                  <w:pPr>
                    <w:pStyle w:val="TableBodyText"/>
                  </w:pPr>
                  <w:r>
                    <w:t>0.1</w:t>
                  </w:r>
                </w:p>
              </w:tc>
              <w:tc>
                <w:tcPr>
                  <w:tcW w:w="903" w:type="pct"/>
                </w:tcPr>
                <w:p w14:paraId="00BB2FDD" w14:textId="77777777" w:rsidR="0034060E" w:rsidRDefault="0034060E" w:rsidP="00453A36">
                  <w:pPr>
                    <w:pStyle w:val="TableBodyText"/>
                    <w:ind w:right="28"/>
                  </w:pPr>
                  <w:r>
                    <w:t>0.8</w:t>
                  </w:r>
                </w:p>
              </w:tc>
            </w:tr>
            <w:tr w:rsidR="0034060E" w14:paraId="00BB2FE2" w14:textId="77777777" w:rsidTr="00453A36">
              <w:tc>
                <w:tcPr>
                  <w:tcW w:w="3094" w:type="pct"/>
                </w:tcPr>
                <w:p w14:paraId="00BB2FDF" w14:textId="77777777" w:rsidR="0034060E" w:rsidRDefault="0034060E" w:rsidP="00453A36">
                  <w:pPr>
                    <w:pStyle w:val="TableBodyText"/>
                    <w:jc w:val="left"/>
                  </w:pPr>
                  <w:r>
                    <w:t>Hours worked by award</w:t>
                  </w:r>
                  <w:r>
                    <w:noBreakHyphen/>
                    <w:t>reliant workers</w:t>
                  </w:r>
                </w:p>
              </w:tc>
              <w:tc>
                <w:tcPr>
                  <w:tcW w:w="1003" w:type="pct"/>
                </w:tcPr>
                <w:p w14:paraId="00BB2FE0" w14:textId="77777777" w:rsidR="0034060E" w:rsidRDefault="0034060E" w:rsidP="00453A36">
                  <w:pPr>
                    <w:pStyle w:val="TableBodyText"/>
                  </w:pPr>
                  <w:r>
                    <w:t>0.9</w:t>
                  </w:r>
                </w:p>
              </w:tc>
              <w:tc>
                <w:tcPr>
                  <w:tcW w:w="903" w:type="pct"/>
                </w:tcPr>
                <w:p w14:paraId="00BB2FE1" w14:textId="77777777" w:rsidR="0034060E" w:rsidRDefault="0034060E" w:rsidP="00453A36">
                  <w:pPr>
                    <w:pStyle w:val="TableBodyText"/>
                    <w:ind w:right="28"/>
                  </w:pPr>
                  <w:r>
                    <w:t>4.7</w:t>
                  </w:r>
                </w:p>
              </w:tc>
            </w:tr>
            <w:tr w:rsidR="0034060E" w14:paraId="00BB2FE6" w14:textId="77777777" w:rsidTr="00453A36">
              <w:tc>
                <w:tcPr>
                  <w:tcW w:w="3094" w:type="pct"/>
                  <w:tcBorders>
                    <w:bottom w:val="single" w:sz="6" w:space="0" w:color="BFBFBF"/>
                  </w:tcBorders>
                  <w:shd w:val="clear" w:color="auto" w:fill="auto"/>
                </w:tcPr>
                <w:p w14:paraId="00BB2FE3" w14:textId="77777777" w:rsidR="0034060E" w:rsidRDefault="0034060E" w:rsidP="00453A36">
                  <w:pPr>
                    <w:pStyle w:val="TableBodyText"/>
                    <w:jc w:val="left"/>
                  </w:pPr>
                  <w:r>
                    <w:t>Hours worked by other workers</w:t>
                  </w:r>
                </w:p>
              </w:tc>
              <w:tc>
                <w:tcPr>
                  <w:tcW w:w="1003" w:type="pct"/>
                  <w:tcBorders>
                    <w:bottom w:val="single" w:sz="6" w:space="0" w:color="BFBFBF"/>
                  </w:tcBorders>
                  <w:shd w:val="clear" w:color="auto" w:fill="auto"/>
                </w:tcPr>
                <w:p w14:paraId="00BB2FE4" w14:textId="072554EF" w:rsidR="0034060E" w:rsidRDefault="0034060E" w:rsidP="00453A36">
                  <w:pPr>
                    <w:pStyle w:val="TableBodyText"/>
                  </w:pPr>
                  <w:r>
                    <w:t>[+]</w:t>
                  </w:r>
                  <w:r w:rsidR="00E9331D" w:rsidRPr="00E9331D">
                    <w:rPr>
                      <w:rStyle w:val="NoteLabel"/>
                    </w:rPr>
                    <w:t>a</w:t>
                  </w:r>
                </w:p>
              </w:tc>
              <w:tc>
                <w:tcPr>
                  <w:tcW w:w="903" w:type="pct"/>
                  <w:tcBorders>
                    <w:bottom w:val="single" w:sz="6" w:space="0" w:color="BFBFBF"/>
                  </w:tcBorders>
                  <w:shd w:val="clear" w:color="auto" w:fill="auto"/>
                </w:tcPr>
                <w:p w14:paraId="00BB2FE5" w14:textId="77777777" w:rsidR="0034060E" w:rsidRDefault="0034060E" w:rsidP="00453A36">
                  <w:pPr>
                    <w:pStyle w:val="TableBodyText"/>
                    <w:ind w:right="28"/>
                  </w:pPr>
                  <w:r>
                    <w:t>0.1</w:t>
                  </w:r>
                </w:p>
              </w:tc>
            </w:tr>
          </w:tbl>
          <w:p w14:paraId="00BB2FE7" w14:textId="77777777" w:rsidR="0034060E" w:rsidRDefault="0034060E" w:rsidP="00453A36">
            <w:pPr>
              <w:pStyle w:val="Box"/>
            </w:pPr>
          </w:p>
        </w:tc>
      </w:tr>
      <w:tr w:rsidR="0034060E" w14:paraId="00BB2FEA" w14:textId="77777777" w:rsidTr="00453A36">
        <w:trPr>
          <w:cantSplit/>
        </w:trPr>
        <w:tc>
          <w:tcPr>
            <w:tcW w:w="8771" w:type="dxa"/>
            <w:tcBorders>
              <w:top w:val="nil"/>
              <w:left w:val="nil"/>
              <w:bottom w:val="nil"/>
              <w:right w:val="nil"/>
            </w:tcBorders>
            <w:shd w:val="clear" w:color="auto" w:fill="auto"/>
          </w:tcPr>
          <w:p w14:paraId="00BB2FE9" w14:textId="0E3D61F0" w:rsidR="0034060E" w:rsidRDefault="00E9331D" w:rsidP="00E9331D">
            <w:pPr>
              <w:pStyle w:val="Note"/>
              <w:rPr>
                <w:i/>
              </w:rPr>
            </w:pPr>
            <w:proofErr w:type="spellStart"/>
            <w:r w:rsidRPr="00E9331D">
              <w:rPr>
                <w:rStyle w:val="NoteLabel"/>
              </w:rPr>
              <w:t>a</w:t>
            </w:r>
            <w:proofErr w:type="spellEnd"/>
            <w:r>
              <w:t xml:space="preserve"> B</w:t>
            </w:r>
            <w:r w:rsidR="0034060E">
              <w:t>etween 0 and 0.05.</w:t>
            </w:r>
          </w:p>
        </w:tc>
      </w:tr>
      <w:tr w:rsidR="0034060E" w14:paraId="00BB2FEC" w14:textId="77777777" w:rsidTr="00453A36">
        <w:trPr>
          <w:cantSplit/>
        </w:trPr>
        <w:tc>
          <w:tcPr>
            <w:tcW w:w="8771" w:type="dxa"/>
            <w:tcBorders>
              <w:top w:val="nil"/>
              <w:left w:val="nil"/>
              <w:bottom w:val="nil"/>
              <w:right w:val="nil"/>
            </w:tcBorders>
            <w:shd w:val="clear" w:color="auto" w:fill="auto"/>
          </w:tcPr>
          <w:p w14:paraId="00BB2FEB" w14:textId="77777777" w:rsidR="0034060E" w:rsidRDefault="0034060E" w:rsidP="00453A36">
            <w:pPr>
              <w:pStyle w:val="Source"/>
            </w:pPr>
            <w:r>
              <w:rPr>
                <w:i/>
              </w:rPr>
              <w:t>Source</w:t>
            </w:r>
            <w:r w:rsidRPr="00167F06">
              <w:t xml:space="preserve">: </w:t>
            </w:r>
            <w:r>
              <w:t xml:space="preserve">Productivity Commission estimates based on the </w:t>
            </w:r>
            <w:proofErr w:type="spellStart"/>
            <w:r>
              <w:t>VUMR</w:t>
            </w:r>
            <w:r>
              <w:noBreakHyphen/>
              <w:t>WR</w:t>
            </w:r>
            <w:proofErr w:type="spellEnd"/>
            <w:r>
              <w:t xml:space="preserve"> model.</w:t>
            </w:r>
          </w:p>
        </w:tc>
      </w:tr>
      <w:tr w:rsidR="0034060E" w14:paraId="00BB2FEE" w14:textId="77777777" w:rsidTr="00453A36">
        <w:trPr>
          <w:cantSplit/>
        </w:trPr>
        <w:tc>
          <w:tcPr>
            <w:tcW w:w="8771" w:type="dxa"/>
            <w:tcBorders>
              <w:top w:val="nil"/>
              <w:left w:val="nil"/>
              <w:bottom w:val="single" w:sz="6" w:space="0" w:color="78A22F"/>
              <w:right w:val="nil"/>
            </w:tcBorders>
            <w:shd w:val="clear" w:color="auto" w:fill="auto"/>
          </w:tcPr>
          <w:p w14:paraId="00BB2FED" w14:textId="77777777" w:rsidR="0034060E" w:rsidRDefault="0034060E" w:rsidP="00453A36">
            <w:pPr>
              <w:pStyle w:val="Box"/>
              <w:spacing w:before="0" w:line="120" w:lineRule="exact"/>
            </w:pPr>
          </w:p>
        </w:tc>
      </w:tr>
      <w:tr w:rsidR="0034060E" w:rsidRPr="000863A5" w14:paraId="00BB2FF0" w14:textId="77777777" w:rsidTr="00453A36">
        <w:tc>
          <w:tcPr>
            <w:tcW w:w="8771" w:type="dxa"/>
            <w:tcBorders>
              <w:top w:val="single" w:sz="6" w:space="0" w:color="78A22F"/>
              <w:left w:val="nil"/>
              <w:bottom w:val="nil"/>
              <w:right w:val="nil"/>
            </w:tcBorders>
          </w:tcPr>
          <w:p w14:paraId="00BB2FEF" w14:textId="68CE18F8" w:rsidR="0034060E" w:rsidRPr="00626D32" w:rsidRDefault="0034060E" w:rsidP="00453A36">
            <w:pPr>
              <w:pStyle w:val="BoxSpaceBelow"/>
            </w:pPr>
          </w:p>
        </w:tc>
      </w:tr>
    </w:tbl>
    <w:p w14:paraId="00BB2FF1" w14:textId="064AA44D" w:rsidR="0034060E" w:rsidRDefault="0034060E" w:rsidP="00453A36">
      <w:pPr>
        <w:pStyle w:val="Heading2"/>
      </w:pPr>
      <w:r>
        <w:t>4.</w:t>
      </w:r>
      <w:r>
        <w:rPr>
          <w:noProof/>
        </w:rPr>
        <w:t>4</w:t>
      </w:r>
      <w:r>
        <w:tab/>
        <w:t>Employee responsiveness to award wage change</w:t>
      </w:r>
    </w:p>
    <w:p w14:paraId="00BB2FF2" w14:textId="77777777" w:rsidR="0034060E" w:rsidRDefault="0034060E" w:rsidP="00453A36">
      <w:pPr>
        <w:pStyle w:val="BodyText"/>
      </w:pPr>
      <w:r>
        <w:t xml:space="preserve">The award wage transformation elasticity in the </w:t>
      </w:r>
      <w:proofErr w:type="spellStart"/>
      <w:r>
        <w:t>VUMR</w:t>
      </w:r>
      <w:r>
        <w:noBreakHyphen/>
        <w:t>WR</w:t>
      </w:r>
      <w:proofErr w:type="spellEnd"/>
      <w:r>
        <w:t xml:space="preserve"> model determines the degree to which workers are projected to substitute between award</w:t>
      </w:r>
      <w:r>
        <w:noBreakHyphen/>
        <w:t xml:space="preserve">reliant employment and other employment in response to a change in award wages relative to other wages (appendix A, figure </w:t>
      </w:r>
      <w:proofErr w:type="spellStart"/>
      <w:r>
        <w:t>A.1</w:t>
      </w:r>
      <w:proofErr w:type="spellEnd"/>
      <w:r>
        <w:t>). The default value for year</w:t>
      </w:r>
      <w:r>
        <w:noBreakHyphen/>
        <w:t>to</w:t>
      </w:r>
      <w:r>
        <w:noBreakHyphen/>
        <w:t xml:space="preserve">year simulations is set at +0.2. This implies that a one per cent increase in the award wage, for example, will lead to a 0.2 per cent </w:t>
      </w:r>
      <w:r>
        <w:rPr>
          <w:i/>
        </w:rPr>
        <w:t xml:space="preserve">increase </w:t>
      </w:r>
      <w:r>
        <w:t>in the supply of award</w:t>
      </w:r>
      <w:r>
        <w:noBreakHyphen/>
        <w:t xml:space="preserve">reliant workers (all other things being equal). </w:t>
      </w:r>
    </w:p>
    <w:p w14:paraId="00BB2FF3" w14:textId="77777777" w:rsidR="0034060E" w:rsidRDefault="0034060E" w:rsidP="00453A36">
      <w:pPr>
        <w:pStyle w:val="BodyText"/>
      </w:pPr>
      <w:r>
        <w:t>A value of 0.2 represents an assumption that award</w:t>
      </w:r>
      <w:r>
        <w:noBreakHyphen/>
        <w:t>reliant employees have little scope to move between award</w:t>
      </w:r>
      <w:r>
        <w:noBreakHyphen/>
        <w:t>reliant and other employment in response to a change in the award wage relative to other wages. For example, award</w:t>
      </w:r>
      <w:r>
        <w:noBreakHyphen/>
        <w:t>reliant employees may need to upskill in order to shift out of an award</w:t>
      </w:r>
      <w:r>
        <w:noBreakHyphen/>
        <w:t>reliant job into a higher paid job in response to any relative wage change. On the other hand, non</w:t>
      </w:r>
      <w:r>
        <w:noBreakHyphen/>
        <w:t>award workers may be disinclined to move into award</w:t>
      </w:r>
      <w:r>
        <w:noBreakHyphen/>
        <w:t xml:space="preserve">reliant employment. </w:t>
      </w:r>
    </w:p>
    <w:p w14:paraId="00BB2FF4" w14:textId="0310896F" w:rsidR="0034060E" w:rsidRDefault="0034060E" w:rsidP="00453A36">
      <w:pPr>
        <w:pStyle w:val="BodyText"/>
      </w:pPr>
      <w:r>
        <w:t xml:space="preserve">The limited transformation parameter value is consistent with the Australian empirical literature. Empirical estimates of the labour supply elasticity for broad population groups </w:t>
      </w:r>
      <w:r>
        <w:lastRenderedPageBreak/>
        <w:t xml:space="preserve">range from 0.1 to 1.5, with most Australian studies falling in the range of 0.1 to 0.6 </w:t>
      </w:r>
      <w:r w:rsidRPr="00FD1DAE">
        <w:rPr>
          <w:szCs w:val="24"/>
        </w:rPr>
        <w:t>(</w:t>
      </w:r>
      <w:proofErr w:type="spellStart"/>
      <w:r w:rsidRPr="00FD1DAE">
        <w:rPr>
          <w:szCs w:val="24"/>
        </w:rPr>
        <w:t>Dandie</w:t>
      </w:r>
      <w:proofErr w:type="spellEnd"/>
      <w:r w:rsidRPr="00FD1DAE">
        <w:rPr>
          <w:szCs w:val="24"/>
        </w:rPr>
        <w:t xml:space="preserve"> and </w:t>
      </w:r>
      <w:proofErr w:type="spellStart"/>
      <w:r w:rsidRPr="00FD1DAE">
        <w:rPr>
          <w:szCs w:val="24"/>
        </w:rPr>
        <w:t>Mercante</w:t>
      </w:r>
      <w:proofErr w:type="spellEnd"/>
      <w:r w:rsidRPr="00FD1DAE">
        <w:rPr>
          <w:szCs w:val="24"/>
        </w:rPr>
        <w:t> 2007)</w:t>
      </w:r>
      <w:r>
        <w:t xml:space="preserve">. </w:t>
      </w:r>
      <w:proofErr w:type="spellStart"/>
      <w:r>
        <w:t>Buddelmeyer</w:t>
      </w:r>
      <w:proofErr w:type="spellEnd"/>
      <w:r>
        <w:t xml:space="preserve"> and </w:t>
      </w:r>
      <w:proofErr w:type="spellStart"/>
      <w:r>
        <w:t>Kalb</w:t>
      </w:r>
      <w:proofErr w:type="spellEnd"/>
      <w:r>
        <w:t xml:space="preserve"> </w:t>
      </w:r>
      <w:r w:rsidRPr="00FD1DAE">
        <w:t>(2008)</w:t>
      </w:r>
      <w:r>
        <w:t xml:space="preserve"> estimate that the labour supply elasticity of minimum wage workers with respect to minimum wage changes for broad population groups ranges from 0.1 to 0.7.</w:t>
      </w:r>
    </w:p>
    <w:p w14:paraId="00BB2FF5" w14:textId="67612979" w:rsidR="0034060E" w:rsidRDefault="0034060E" w:rsidP="00453A36">
      <w:pPr>
        <w:pStyle w:val="BodyText"/>
      </w:pPr>
      <w:r>
        <w:t xml:space="preserve">In contrast, other </w:t>
      </w:r>
      <w:proofErr w:type="spellStart"/>
      <w:r>
        <w:t>CGE</w:t>
      </w:r>
      <w:proofErr w:type="spellEnd"/>
      <w:r>
        <w:t xml:space="preserve"> modelling of Australian award wage policy have assumed that </w:t>
      </w:r>
      <w:r w:rsidR="00E9331D">
        <w:t>employees on awards</w:t>
      </w:r>
      <w:r>
        <w:t xml:space="preserve"> were able to move easily between award and non</w:t>
      </w:r>
      <w:r>
        <w:noBreakHyphen/>
        <w:t xml:space="preserve">award jobs </w:t>
      </w:r>
      <w:r w:rsidRPr="00E37E7B">
        <w:rPr>
          <w:szCs w:val="24"/>
        </w:rPr>
        <w:t xml:space="preserve">(Dixon, Madden and </w:t>
      </w:r>
      <w:proofErr w:type="spellStart"/>
      <w:r w:rsidRPr="00E37E7B">
        <w:rPr>
          <w:szCs w:val="24"/>
        </w:rPr>
        <w:t>Rimmer</w:t>
      </w:r>
      <w:proofErr w:type="spellEnd"/>
      <w:r w:rsidRPr="00E37E7B">
        <w:rPr>
          <w:szCs w:val="24"/>
        </w:rPr>
        <w:t xml:space="preserve"> 2010; Dixon and </w:t>
      </w:r>
      <w:proofErr w:type="spellStart"/>
      <w:r w:rsidRPr="00E37E7B">
        <w:rPr>
          <w:szCs w:val="24"/>
        </w:rPr>
        <w:t>Rimmer</w:t>
      </w:r>
      <w:proofErr w:type="spellEnd"/>
      <w:r w:rsidRPr="00E37E7B">
        <w:rPr>
          <w:szCs w:val="24"/>
        </w:rPr>
        <w:t> 2001, 2003)</w:t>
      </w:r>
      <w:r>
        <w:t xml:space="preserve">. </w:t>
      </w:r>
    </w:p>
    <w:p w14:paraId="00BB2FF6" w14:textId="023F8535" w:rsidR="0034060E" w:rsidRDefault="0034060E" w:rsidP="00453A36">
      <w:pPr>
        <w:pStyle w:val="BodyText"/>
      </w:pPr>
      <w:r>
        <w:t xml:space="preserve">Dixon and </w:t>
      </w:r>
      <w:proofErr w:type="spellStart"/>
      <w:r>
        <w:t>Rimmer</w:t>
      </w:r>
      <w:proofErr w:type="spellEnd"/>
      <w:r>
        <w:t xml:space="preserve"> </w:t>
      </w:r>
      <w:r w:rsidRPr="00A95AB1">
        <w:t>(2001)</w:t>
      </w:r>
      <w:r>
        <w:t xml:space="preserve"> assumed a value of 2 and Dixon and </w:t>
      </w:r>
      <w:proofErr w:type="spellStart"/>
      <w:r>
        <w:t>Rimmer</w:t>
      </w:r>
      <w:proofErr w:type="spellEnd"/>
      <w:r>
        <w:t xml:space="preserve"> </w:t>
      </w:r>
      <w:r w:rsidRPr="00A95AB1">
        <w:t>(2003)</w:t>
      </w:r>
      <w:r>
        <w:t xml:space="preserve"> assumed a value of 5. In later work, Dixon, Madden and </w:t>
      </w:r>
      <w:proofErr w:type="spellStart"/>
      <w:r>
        <w:t>Rimmer</w:t>
      </w:r>
      <w:proofErr w:type="spellEnd"/>
      <w:r>
        <w:t xml:space="preserve"> </w:t>
      </w:r>
      <w:r w:rsidRPr="00A95AB1">
        <w:t>(2010)</w:t>
      </w:r>
      <w:r>
        <w:t xml:space="preserve"> did not report their assumed value.</w:t>
      </w:r>
    </w:p>
    <w:p w14:paraId="00BB2FF7" w14:textId="77777777" w:rsidR="0034060E" w:rsidRDefault="0034060E" w:rsidP="00453A36">
      <w:pPr>
        <w:pStyle w:val="BodyText"/>
      </w:pPr>
      <w:r>
        <w:t xml:space="preserve">Given the uncertainty surrounding the likely parameter value, sensitivity testing has been undertaken around the range of labour supply estimates in the empirical literature, ranging from a low value of 0.1 to a high value of 0.7. Further, given the values used in other </w:t>
      </w:r>
      <w:proofErr w:type="spellStart"/>
      <w:r>
        <w:t>CGE</w:t>
      </w:r>
      <w:proofErr w:type="spellEnd"/>
      <w:r>
        <w:t xml:space="preserve"> analysis of award wage changes, an award wage transformation elasticity value of 5 was also tested.</w:t>
      </w:r>
      <w:r>
        <w:rPr>
          <w:rStyle w:val="FootnoteReference"/>
        </w:rPr>
        <w:footnoteReference w:id="5"/>
      </w:r>
    </w:p>
    <w:p w14:paraId="00BB2FF8" w14:textId="77777777" w:rsidR="0034060E" w:rsidRDefault="0034060E" w:rsidP="00453A36">
      <w:pPr>
        <w:pStyle w:val="BodyText"/>
      </w:pPr>
      <w:r>
        <w:t xml:space="preserve">The tests indicate that the projected results of the moderate award wage growth scenario </w:t>
      </w:r>
      <w:r w:rsidRPr="007F4709">
        <w:t xml:space="preserve">are sensitive to the assumed value of the </w:t>
      </w:r>
      <w:r>
        <w:t xml:space="preserve">award </w:t>
      </w:r>
      <w:r w:rsidRPr="007F4709">
        <w:t xml:space="preserve">wage </w:t>
      </w:r>
      <w:r>
        <w:t>transformation</w:t>
      </w:r>
      <w:r w:rsidRPr="007F4709">
        <w:t xml:space="preserve"> elasticity</w:t>
      </w:r>
      <w:r>
        <w:t xml:space="preserve"> (table 4.4)</w:t>
      </w:r>
      <w:r w:rsidRPr="007F4709">
        <w:t>.</w:t>
      </w:r>
    </w:p>
    <w:p w14:paraId="00BB2FF9" w14:textId="77777777" w:rsidR="0034060E" w:rsidRDefault="0034060E" w:rsidP="00453A36">
      <w:pPr>
        <w:pStyle w:val="BodyText"/>
      </w:pPr>
      <w:r>
        <w:t>Greater responsiveness of workers to award wage changes is found to have two opposing effects on the implications of the wage moderation scenario for employment. On the one hand, award</w:t>
      </w:r>
      <w:r>
        <w:noBreakHyphen/>
        <w:t>reliant workers are able to shift more easily into non</w:t>
      </w:r>
      <w:r>
        <w:noBreakHyphen/>
        <w:t>award wage employment and therefore the projected expansion in award</w:t>
      </w:r>
      <w:r>
        <w:noBreakHyphen/>
        <w:t>reliant employment is reduced relative to the scenario with the default parameter values. On the other hand, the increase in labour market flexibility, represented by the greater shift of award</w:t>
      </w:r>
      <w:r>
        <w:noBreakHyphen/>
        <w:t>reliant workers into non</w:t>
      </w:r>
      <w:r>
        <w:noBreakHyphen/>
        <w:t>award employment, contributes to a greater reduction in non</w:t>
      </w:r>
      <w:r>
        <w:noBreakHyphen/>
        <w:t>award wages, leading in turn to a larger projected expansion in employment more broadly. The net effect is a larger projected expansion in aggregate employment than when the default parameter value is used. Reflecting the greater expansion in aggregate employment, the projected expansion in real gross domestic product is greater when the value of the award wage transformation elasticity is higher.</w:t>
      </w:r>
    </w:p>
    <w:p w14:paraId="00BB2FFA" w14:textId="77777777" w:rsidR="0034060E" w:rsidRPr="00E55BCA" w:rsidRDefault="0034060E" w:rsidP="00453A36">
      <w:pPr>
        <w:pStyle w:val="BodyText"/>
      </w:pPr>
      <w:r>
        <w:t>Conversely, when the responsiveness of workers to relative award wage changes is reduced, the award wage moderation scenario has a larger projected effect on award</w:t>
      </w:r>
      <w:r>
        <w:noBreakHyphen/>
        <w:t xml:space="preserve">reliant employment, but a lower overall effect on projections of aggregate employment and gross domestic product than when the default parameter values are used. </w:t>
      </w:r>
    </w:p>
    <w:p w14:paraId="00BB2FFB" w14:textId="45A0C41A"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2FFE" w14:textId="77777777" w:rsidTr="00453A36">
        <w:tc>
          <w:tcPr>
            <w:tcW w:w="8771" w:type="dxa"/>
            <w:tcBorders>
              <w:top w:val="single" w:sz="6" w:space="0" w:color="78A22F"/>
              <w:left w:val="nil"/>
              <w:bottom w:val="nil"/>
              <w:right w:val="nil"/>
            </w:tcBorders>
            <w:shd w:val="clear" w:color="auto" w:fill="auto"/>
          </w:tcPr>
          <w:p w14:paraId="00BB2FFC" w14:textId="6F46F9C4" w:rsidR="0034060E" w:rsidRDefault="0034060E" w:rsidP="00453A36">
            <w:pPr>
              <w:pStyle w:val="TableTitle"/>
            </w:pPr>
            <w:r>
              <w:rPr>
                <w:b w:val="0"/>
              </w:rPr>
              <w:t>Table 4.</w:t>
            </w:r>
            <w:r>
              <w:rPr>
                <w:b w:val="0"/>
                <w:noProof/>
              </w:rPr>
              <w:t>4</w:t>
            </w:r>
            <w:r>
              <w:tab/>
              <w:t>Sensitivity of the effects of moderating the growth of award wages to alternative worker responsiveness to award wage changes</w:t>
            </w:r>
          </w:p>
          <w:p w14:paraId="00BB2FFD" w14:textId="77777777" w:rsidR="0034060E" w:rsidRPr="00784A05" w:rsidRDefault="0034060E" w:rsidP="00453A36">
            <w:pPr>
              <w:pStyle w:val="Subtitle"/>
            </w:pPr>
            <w:r>
              <w:t>Percentage difference from scenario 1</w:t>
            </w:r>
          </w:p>
        </w:tc>
      </w:tr>
      <w:tr w:rsidR="0034060E" w14:paraId="00BB305C"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119"/>
              <w:gridCol w:w="2409"/>
              <w:gridCol w:w="1959"/>
            </w:tblGrid>
            <w:tr w:rsidR="0034060E" w14:paraId="00BB3002" w14:textId="77777777" w:rsidTr="00D46F34">
              <w:tc>
                <w:tcPr>
                  <w:tcW w:w="2427" w:type="pct"/>
                  <w:tcBorders>
                    <w:top w:val="single" w:sz="6" w:space="0" w:color="BFBFBF"/>
                  </w:tcBorders>
                  <w:shd w:val="clear" w:color="auto" w:fill="auto"/>
                  <w:tcMar>
                    <w:top w:w="28" w:type="dxa"/>
                  </w:tcMar>
                </w:tcPr>
                <w:p w14:paraId="00BB2FFF" w14:textId="77777777" w:rsidR="0034060E" w:rsidRDefault="0034060E" w:rsidP="00D46F34">
                  <w:pPr>
                    <w:pStyle w:val="TableColumnHeading"/>
                    <w:spacing w:after="0"/>
                    <w:jc w:val="left"/>
                  </w:pPr>
                </w:p>
              </w:tc>
              <w:tc>
                <w:tcPr>
                  <w:tcW w:w="1419" w:type="pct"/>
                  <w:tcBorders>
                    <w:top w:val="single" w:sz="6" w:space="0" w:color="BFBFBF"/>
                  </w:tcBorders>
                  <w:shd w:val="clear" w:color="auto" w:fill="auto"/>
                  <w:tcMar>
                    <w:top w:w="28" w:type="dxa"/>
                  </w:tcMar>
                </w:tcPr>
                <w:p w14:paraId="00BB3000" w14:textId="77777777" w:rsidR="0034060E" w:rsidRDefault="0034060E" w:rsidP="00D46F34">
                  <w:pPr>
                    <w:pStyle w:val="TableColumnHeading"/>
                    <w:spacing w:after="0"/>
                  </w:pPr>
                  <w:r>
                    <w:t>2017</w:t>
                  </w:r>
                  <w:r>
                    <w:noBreakHyphen/>
                    <w:t>18</w:t>
                  </w:r>
                </w:p>
              </w:tc>
              <w:tc>
                <w:tcPr>
                  <w:tcW w:w="1154" w:type="pct"/>
                  <w:tcBorders>
                    <w:top w:val="single" w:sz="6" w:space="0" w:color="BFBFBF"/>
                  </w:tcBorders>
                  <w:shd w:val="clear" w:color="auto" w:fill="auto"/>
                  <w:tcMar>
                    <w:top w:w="28" w:type="dxa"/>
                  </w:tcMar>
                </w:tcPr>
                <w:p w14:paraId="00BB3001" w14:textId="77777777" w:rsidR="0034060E" w:rsidRDefault="0034060E" w:rsidP="00D46F34">
                  <w:pPr>
                    <w:pStyle w:val="TableColumnHeading"/>
                    <w:spacing w:after="0"/>
                    <w:ind w:right="28"/>
                  </w:pPr>
                  <w:r>
                    <w:t>2024</w:t>
                  </w:r>
                  <w:r>
                    <w:noBreakHyphen/>
                    <w:t>25</w:t>
                  </w:r>
                </w:p>
              </w:tc>
            </w:tr>
            <w:tr w:rsidR="0034060E" w14:paraId="00BB3006" w14:textId="77777777" w:rsidTr="00D46F34">
              <w:tc>
                <w:tcPr>
                  <w:tcW w:w="2427" w:type="pct"/>
                </w:tcPr>
                <w:p w14:paraId="00BB3003" w14:textId="77777777" w:rsidR="0034060E" w:rsidRDefault="0034060E" w:rsidP="00453A36">
                  <w:pPr>
                    <w:pStyle w:val="TableBodyText"/>
                    <w:jc w:val="left"/>
                  </w:pPr>
                </w:p>
              </w:tc>
              <w:tc>
                <w:tcPr>
                  <w:tcW w:w="1419" w:type="pct"/>
                </w:tcPr>
                <w:p w14:paraId="00BB3004" w14:textId="77777777" w:rsidR="0034060E" w:rsidRDefault="0034060E" w:rsidP="00453A36">
                  <w:pPr>
                    <w:pStyle w:val="TableBodyText"/>
                  </w:pPr>
                  <w:r>
                    <w:t>%</w:t>
                  </w:r>
                </w:p>
              </w:tc>
              <w:tc>
                <w:tcPr>
                  <w:tcW w:w="1154" w:type="pct"/>
                </w:tcPr>
                <w:p w14:paraId="00BB3005" w14:textId="77777777" w:rsidR="0034060E" w:rsidRDefault="0034060E" w:rsidP="00453A36">
                  <w:pPr>
                    <w:pStyle w:val="TableBodyText"/>
                    <w:ind w:right="28"/>
                  </w:pPr>
                  <w:r>
                    <w:t>%</w:t>
                  </w:r>
                </w:p>
              </w:tc>
            </w:tr>
            <w:tr w:rsidR="0034060E" w14:paraId="00BB3008" w14:textId="77777777" w:rsidTr="00453A36">
              <w:tc>
                <w:tcPr>
                  <w:tcW w:w="5000" w:type="pct"/>
                  <w:gridSpan w:val="3"/>
                  <w:tcBorders>
                    <w:top w:val="single" w:sz="6" w:space="0" w:color="BFBFBF"/>
                  </w:tcBorders>
                </w:tcPr>
                <w:p w14:paraId="00BB3007" w14:textId="77777777" w:rsidR="0034060E" w:rsidRDefault="0034060E" w:rsidP="00D46F34">
                  <w:pPr>
                    <w:pStyle w:val="TableUnitsRow"/>
                    <w:spacing w:before="80"/>
                    <w:ind w:right="28"/>
                    <w:jc w:val="left"/>
                  </w:pPr>
                  <w:r>
                    <w:rPr>
                      <w:i/>
                    </w:rPr>
                    <w:t xml:space="preserve">Scenario 2: </w:t>
                  </w:r>
                  <w:r w:rsidRPr="001E197E">
                    <w:rPr>
                      <w:i/>
                    </w:rPr>
                    <w:t xml:space="preserve">Default </w:t>
                  </w:r>
                  <w:r>
                    <w:rPr>
                      <w:i/>
                    </w:rPr>
                    <w:t>award wage transformation elasticity (0.2</w:t>
                  </w:r>
                  <w:r w:rsidRPr="001E197E">
                    <w:rPr>
                      <w:i/>
                    </w:rPr>
                    <w:t>)</w:t>
                  </w:r>
                </w:p>
              </w:tc>
            </w:tr>
            <w:tr w:rsidR="0034060E" w14:paraId="00BB300C" w14:textId="77777777" w:rsidTr="00453A36">
              <w:tc>
                <w:tcPr>
                  <w:tcW w:w="2427" w:type="pct"/>
                </w:tcPr>
                <w:p w14:paraId="00BB3009" w14:textId="77777777" w:rsidR="0034060E" w:rsidRDefault="0034060E" w:rsidP="00453A36">
                  <w:pPr>
                    <w:pStyle w:val="TableBodyText"/>
                    <w:jc w:val="left"/>
                  </w:pPr>
                  <w:r>
                    <w:t>Real gross domestic product</w:t>
                  </w:r>
                </w:p>
              </w:tc>
              <w:tc>
                <w:tcPr>
                  <w:tcW w:w="1419" w:type="pct"/>
                </w:tcPr>
                <w:p w14:paraId="00BB300A" w14:textId="77777777" w:rsidR="0034060E" w:rsidRDefault="0034060E" w:rsidP="00453A36">
                  <w:pPr>
                    <w:pStyle w:val="TableBodyText"/>
                  </w:pPr>
                  <w:r>
                    <w:t>0.1</w:t>
                  </w:r>
                </w:p>
              </w:tc>
              <w:tc>
                <w:tcPr>
                  <w:tcW w:w="1154" w:type="pct"/>
                </w:tcPr>
                <w:p w14:paraId="00BB300B" w14:textId="77777777" w:rsidR="0034060E" w:rsidRDefault="0034060E" w:rsidP="00453A36">
                  <w:pPr>
                    <w:pStyle w:val="TableBodyText"/>
                    <w:ind w:right="28"/>
                  </w:pPr>
                  <w:r>
                    <w:t>0.8</w:t>
                  </w:r>
                </w:p>
              </w:tc>
            </w:tr>
            <w:tr w:rsidR="0034060E" w14:paraId="00BB3010" w14:textId="77777777" w:rsidTr="00453A36">
              <w:tc>
                <w:tcPr>
                  <w:tcW w:w="2427" w:type="pct"/>
                </w:tcPr>
                <w:p w14:paraId="00BB300D" w14:textId="77777777" w:rsidR="0034060E" w:rsidRDefault="0034060E" w:rsidP="00453A36">
                  <w:pPr>
                    <w:pStyle w:val="TableBodyText"/>
                    <w:jc w:val="left"/>
                  </w:pPr>
                  <w:r>
                    <w:t>Aggregate hours worked</w:t>
                  </w:r>
                </w:p>
              </w:tc>
              <w:tc>
                <w:tcPr>
                  <w:tcW w:w="1419" w:type="pct"/>
                </w:tcPr>
                <w:p w14:paraId="00BB300E" w14:textId="77777777" w:rsidR="0034060E" w:rsidRDefault="0034060E" w:rsidP="00453A36">
                  <w:pPr>
                    <w:pStyle w:val="TableBodyText"/>
                  </w:pPr>
                  <w:r>
                    <w:t>0.2</w:t>
                  </w:r>
                </w:p>
              </w:tc>
              <w:tc>
                <w:tcPr>
                  <w:tcW w:w="1154" w:type="pct"/>
                </w:tcPr>
                <w:p w14:paraId="00BB300F" w14:textId="77777777" w:rsidR="0034060E" w:rsidRDefault="0034060E" w:rsidP="00453A36">
                  <w:pPr>
                    <w:pStyle w:val="TableBodyText"/>
                    <w:ind w:right="28"/>
                  </w:pPr>
                  <w:r>
                    <w:t>1.2</w:t>
                  </w:r>
                </w:p>
              </w:tc>
            </w:tr>
            <w:tr w:rsidR="0034060E" w14:paraId="00BB3014" w14:textId="77777777" w:rsidTr="00453A36">
              <w:tc>
                <w:tcPr>
                  <w:tcW w:w="2427" w:type="pct"/>
                </w:tcPr>
                <w:p w14:paraId="00BB3011" w14:textId="77777777" w:rsidR="0034060E" w:rsidRDefault="0034060E" w:rsidP="00453A36">
                  <w:pPr>
                    <w:pStyle w:val="TableBodyText"/>
                    <w:jc w:val="left"/>
                  </w:pPr>
                  <w:r>
                    <w:t>Hours worked by award</w:t>
                  </w:r>
                  <w:r>
                    <w:noBreakHyphen/>
                    <w:t>reliant workers</w:t>
                  </w:r>
                </w:p>
              </w:tc>
              <w:tc>
                <w:tcPr>
                  <w:tcW w:w="1419" w:type="pct"/>
                </w:tcPr>
                <w:p w14:paraId="00BB3012" w14:textId="77777777" w:rsidR="0034060E" w:rsidRDefault="0034060E" w:rsidP="00453A36">
                  <w:pPr>
                    <w:pStyle w:val="TableBodyText"/>
                  </w:pPr>
                  <w:r>
                    <w:t>1.5</w:t>
                  </w:r>
                </w:p>
              </w:tc>
              <w:tc>
                <w:tcPr>
                  <w:tcW w:w="1154" w:type="pct"/>
                </w:tcPr>
                <w:p w14:paraId="00BB3013" w14:textId="77777777" w:rsidR="0034060E" w:rsidRDefault="0034060E" w:rsidP="00453A36">
                  <w:pPr>
                    <w:pStyle w:val="TableBodyText"/>
                    <w:ind w:right="28"/>
                  </w:pPr>
                  <w:r>
                    <w:t>8.2</w:t>
                  </w:r>
                </w:p>
              </w:tc>
            </w:tr>
            <w:tr w:rsidR="0034060E" w14:paraId="00BB3018" w14:textId="77777777" w:rsidTr="00453A36">
              <w:tc>
                <w:tcPr>
                  <w:tcW w:w="2427" w:type="pct"/>
                </w:tcPr>
                <w:p w14:paraId="00BB3015" w14:textId="77777777" w:rsidR="0034060E" w:rsidRDefault="0034060E" w:rsidP="00453A36">
                  <w:pPr>
                    <w:pStyle w:val="TableBodyText"/>
                    <w:jc w:val="left"/>
                  </w:pPr>
                  <w:r>
                    <w:t>Hours worked by other workers</w:t>
                  </w:r>
                </w:p>
              </w:tc>
              <w:tc>
                <w:tcPr>
                  <w:tcW w:w="1419" w:type="pct"/>
                </w:tcPr>
                <w:p w14:paraId="00BB3016" w14:textId="7684A8D4" w:rsidR="0034060E" w:rsidRDefault="0034060E" w:rsidP="00453A36">
                  <w:pPr>
                    <w:pStyle w:val="TableBodyText"/>
                  </w:pPr>
                  <w:r>
                    <w:t>[+]</w:t>
                  </w:r>
                  <w:r w:rsidR="00E9331D" w:rsidRPr="00E9331D">
                    <w:rPr>
                      <w:rStyle w:val="NoteLabel"/>
                    </w:rPr>
                    <w:t>a</w:t>
                  </w:r>
                </w:p>
              </w:tc>
              <w:tc>
                <w:tcPr>
                  <w:tcW w:w="1154" w:type="pct"/>
                </w:tcPr>
                <w:p w14:paraId="00BB3017" w14:textId="77777777" w:rsidR="0034060E" w:rsidRDefault="0034060E" w:rsidP="00453A36">
                  <w:pPr>
                    <w:pStyle w:val="TableBodyText"/>
                    <w:ind w:right="28"/>
                  </w:pPr>
                  <w:r>
                    <w:t>0.1</w:t>
                  </w:r>
                </w:p>
              </w:tc>
            </w:tr>
            <w:tr w:rsidR="0034060E" w14:paraId="00BB301E" w14:textId="77777777" w:rsidTr="00453A36">
              <w:tc>
                <w:tcPr>
                  <w:tcW w:w="5000" w:type="pct"/>
                  <w:gridSpan w:val="3"/>
                </w:tcPr>
                <w:p w14:paraId="00BB301D" w14:textId="77777777" w:rsidR="0034060E" w:rsidRDefault="0034060E" w:rsidP="00D46F34">
                  <w:pPr>
                    <w:pStyle w:val="TableBodyText"/>
                    <w:spacing w:before="80"/>
                    <w:ind w:right="28"/>
                    <w:jc w:val="left"/>
                  </w:pPr>
                  <w:r>
                    <w:rPr>
                      <w:i/>
                    </w:rPr>
                    <w:t>Sensitivity: Higher</w:t>
                  </w:r>
                  <w:r w:rsidRPr="001E197E">
                    <w:rPr>
                      <w:i/>
                    </w:rPr>
                    <w:t xml:space="preserve"> </w:t>
                  </w:r>
                  <w:r>
                    <w:rPr>
                      <w:i/>
                    </w:rPr>
                    <w:t>award wage transformation elasticity (0.7</w:t>
                  </w:r>
                  <w:r w:rsidRPr="001E197E">
                    <w:rPr>
                      <w:i/>
                    </w:rPr>
                    <w:t>)</w:t>
                  </w:r>
                </w:p>
              </w:tc>
            </w:tr>
            <w:tr w:rsidR="0034060E" w14:paraId="00BB3022" w14:textId="77777777" w:rsidTr="00453A36">
              <w:tc>
                <w:tcPr>
                  <w:tcW w:w="2427" w:type="pct"/>
                </w:tcPr>
                <w:p w14:paraId="00BB301F" w14:textId="77777777" w:rsidR="0034060E" w:rsidRDefault="0034060E" w:rsidP="00453A36">
                  <w:pPr>
                    <w:pStyle w:val="TableBodyText"/>
                    <w:jc w:val="left"/>
                  </w:pPr>
                  <w:r>
                    <w:t>Real gross domestic product</w:t>
                  </w:r>
                </w:p>
              </w:tc>
              <w:tc>
                <w:tcPr>
                  <w:tcW w:w="1419" w:type="pct"/>
                </w:tcPr>
                <w:p w14:paraId="00BB3020" w14:textId="77777777" w:rsidR="0034060E" w:rsidRDefault="0034060E" w:rsidP="00453A36">
                  <w:pPr>
                    <w:pStyle w:val="TableBodyText"/>
                  </w:pPr>
                  <w:r>
                    <w:t>0.1</w:t>
                  </w:r>
                </w:p>
              </w:tc>
              <w:tc>
                <w:tcPr>
                  <w:tcW w:w="1154" w:type="pct"/>
                </w:tcPr>
                <w:p w14:paraId="00BB3021" w14:textId="77777777" w:rsidR="0034060E" w:rsidRDefault="0034060E" w:rsidP="00453A36">
                  <w:pPr>
                    <w:pStyle w:val="TableBodyText"/>
                    <w:ind w:right="28"/>
                  </w:pPr>
                  <w:r>
                    <w:t>0.9</w:t>
                  </w:r>
                </w:p>
              </w:tc>
            </w:tr>
            <w:tr w:rsidR="0034060E" w14:paraId="00BB3026" w14:textId="77777777" w:rsidTr="00453A36">
              <w:tc>
                <w:tcPr>
                  <w:tcW w:w="2427" w:type="pct"/>
                </w:tcPr>
                <w:p w14:paraId="00BB3023" w14:textId="77777777" w:rsidR="0034060E" w:rsidRDefault="0034060E" w:rsidP="00453A36">
                  <w:pPr>
                    <w:pStyle w:val="TableBodyText"/>
                    <w:jc w:val="left"/>
                  </w:pPr>
                  <w:r>
                    <w:t>Aggregate hours worked</w:t>
                  </w:r>
                </w:p>
              </w:tc>
              <w:tc>
                <w:tcPr>
                  <w:tcW w:w="1419" w:type="pct"/>
                </w:tcPr>
                <w:p w14:paraId="00BB3024" w14:textId="77777777" w:rsidR="0034060E" w:rsidRDefault="0034060E" w:rsidP="00453A36">
                  <w:pPr>
                    <w:pStyle w:val="TableBodyText"/>
                  </w:pPr>
                  <w:r>
                    <w:t>0.3</w:t>
                  </w:r>
                </w:p>
              </w:tc>
              <w:tc>
                <w:tcPr>
                  <w:tcW w:w="1154" w:type="pct"/>
                </w:tcPr>
                <w:p w14:paraId="00BB3025" w14:textId="77777777" w:rsidR="0034060E" w:rsidRDefault="0034060E" w:rsidP="00453A36">
                  <w:pPr>
                    <w:pStyle w:val="TableBodyText"/>
                    <w:ind w:right="28"/>
                  </w:pPr>
                  <w:r>
                    <w:t>1.4</w:t>
                  </w:r>
                </w:p>
              </w:tc>
            </w:tr>
            <w:tr w:rsidR="0034060E" w14:paraId="00BB302A" w14:textId="77777777" w:rsidTr="00453A36">
              <w:tc>
                <w:tcPr>
                  <w:tcW w:w="2427" w:type="pct"/>
                </w:tcPr>
                <w:p w14:paraId="00BB3027" w14:textId="77777777" w:rsidR="0034060E" w:rsidRDefault="0034060E" w:rsidP="00453A36">
                  <w:pPr>
                    <w:pStyle w:val="TableBodyText"/>
                    <w:jc w:val="left"/>
                  </w:pPr>
                  <w:r>
                    <w:t>Hours worked by award</w:t>
                  </w:r>
                  <w:r>
                    <w:noBreakHyphen/>
                    <w:t>reliant workers</w:t>
                  </w:r>
                </w:p>
              </w:tc>
              <w:tc>
                <w:tcPr>
                  <w:tcW w:w="1419" w:type="pct"/>
                </w:tcPr>
                <w:p w14:paraId="00BB3028" w14:textId="77777777" w:rsidR="0034060E" w:rsidRDefault="0034060E" w:rsidP="00453A36">
                  <w:pPr>
                    <w:pStyle w:val="TableBodyText"/>
                  </w:pPr>
                  <w:r>
                    <w:t>1.5</w:t>
                  </w:r>
                </w:p>
              </w:tc>
              <w:tc>
                <w:tcPr>
                  <w:tcW w:w="1154" w:type="pct"/>
                </w:tcPr>
                <w:p w14:paraId="00BB3029" w14:textId="77777777" w:rsidR="0034060E" w:rsidRDefault="0034060E" w:rsidP="00453A36">
                  <w:pPr>
                    <w:pStyle w:val="TableBodyText"/>
                    <w:ind w:right="28"/>
                  </w:pPr>
                  <w:r>
                    <w:t>8.0</w:t>
                  </w:r>
                </w:p>
              </w:tc>
            </w:tr>
            <w:tr w:rsidR="0034060E" w14:paraId="00BB302E" w14:textId="77777777" w:rsidTr="00453A36">
              <w:tc>
                <w:tcPr>
                  <w:tcW w:w="2427" w:type="pct"/>
                </w:tcPr>
                <w:p w14:paraId="00BB302B" w14:textId="77777777" w:rsidR="0034060E" w:rsidRDefault="0034060E" w:rsidP="00453A36">
                  <w:pPr>
                    <w:pStyle w:val="TableBodyText"/>
                    <w:jc w:val="left"/>
                  </w:pPr>
                  <w:r>
                    <w:t>Hours worked by other workers</w:t>
                  </w:r>
                </w:p>
              </w:tc>
              <w:tc>
                <w:tcPr>
                  <w:tcW w:w="1419" w:type="pct"/>
                </w:tcPr>
                <w:p w14:paraId="00BB302C" w14:textId="77777777" w:rsidR="0034060E" w:rsidRDefault="0034060E" w:rsidP="00453A36">
                  <w:pPr>
                    <w:pStyle w:val="TableBodyText"/>
                  </w:pPr>
                  <w:r>
                    <w:t>0.1</w:t>
                  </w:r>
                </w:p>
              </w:tc>
              <w:tc>
                <w:tcPr>
                  <w:tcW w:w="1154" w:type="pct"/>
                </w:tcPr>
                <w:p w14:paraId="00BB302D" w14:textId="77777777" w:rsidR="0034060E" w:rsidRDefault="0034060E" w:rsidP="00453A36">
                  <w:pPr>
                    <w:pStyle w:val="TableBodyText"/>
                    <w:ind w:right="28"/>
                  </w:pPr>
                  <w:r>
                    <w:t>0.3</w:t>
                  </w:r>
                </w:p>
              </w:tc>
            </w:tr>
            <w:tr w:rsidR="0034060E" w14:paraId="00BB3034" w14:textId="77777777" w:rsidTr="00453A36">
              <w:tc>
                <w:tcPr>
                  <w:tcW w:w="5000" w:type="pct"/>
                  <w:gridSpan w:val="3"/>
                </w:tcPr>
                <w:p w14:paraId="00BB3033" w14:textId="77777777" w:rsidR="0034060E" w:rsidRDefault="0034060E" w:rsidP="00D46F34">
                  <w:pPr>
                    <w:pStyle w:val="TableBodyText"/>
                    <w:spacing w:before="80"/>
                    <w:ind w:right="28"/>
                    <w:jc w:val="left"/>
                  </w:pPr>
                  <w:r>
                    <w:rPr>
                      <w:i/>
                    </w:rPr>
                    <w:t>Sensitivity: Lower</w:t>
                  </w:r>
                  <w:r w:rsidRPr="001E197E">
                    <w:rPr>
                      <w:i/>
                    </w:rPr>
                    <w:t xml:space="preserve"> </w:t>
                  </w:r>
                  <w:r>
                    <w:rPr>
                      <w:i/>
                    </w:rPr>
                    <w:t>award wage transformation elasticity (0.1</w:t>
                  </w:r>
                  <w:r w:rsidRPr="001E197E">
                    <w:rPr>
                      <w:i/>
                    </w:rPr>
                    <w:t>)</w:t>
                  </w:r>
                </w:p>
              </w:tc>
            </w:tr>
            <w:tr w:rsidR="0034060E" w14:paraId="00BB3038" w14:textId="77777777" w:rsidTr="00453A36">
              <w:tc>
                <w:tcPr>
                  <w:tcW w:w="2427" w:type="pct"/>
                </w:tcPr>
                <w:p w14:paraId="00BB3035" w14:textId="77777777" w:rsidR="0034060E" w:rsidRDefault="0034060E" w:rsidP="00453A36">
                  <w:pPr>
                    <w:pStyle w:val="TableBodyText"/>
                    <w:jc w:val="left"/>
                  </w:pPr>
                  <w:r>
                    <w:t>Real gross domestic product</w:t>
                  </w:r>
                </w:p>
              </w:tc>
              <w:tc>
                <w:tcPr>
                  <w:tcW w:w="1419" w:type="pct"/>
                </w:tcPr>
                <w:p w14:paraId="00BB3036" w14:textId="77777777" w:rsidR="0034060E" w:rsidRDefault="0034060E" w:rsidP="00453A36">
                  <w:pPr>
                    <w:pStyle w:val="TableBodyText"/>
                  </w:pPr>
                  <w:r>
                    <w:t>0.1</w:t>
                  </w:r>
                </w:p>
              </w:tc>
              <w:tc>
                <w:tcPr>
                  <w:tcW w:w="1154" w:type="pct"/>
                </w:tcPr>
                <w:p w14:paraId="00BB3037" w14:textId="77777777" w:rsidR="0034060E" w:rsidRDefault="0034060E" w:rsidP="00453A36">
                  <w:pPr>
                    <w:pStyle w:val="TableBodyText"/>
                    <w:ind w:right="28"/>
                  </w:pPr>
                  <w:r>
                    <w:t>0.7</w:t>
                  </w:r>
                </w:p>
              </w:tc>
            </w:tr>
            <w:tr w:rsidR="0034060E" w14:paraId="00BB303C" w14:textId="77777777" w:rsidTr="00453A36">
              <w:tc>
                <w:tcPr>
                  <w:tcW w:w="2427" w:type="pct"/>
                </w:tcPr>
                <w:p w14:paraId="00BB3039" w14:textId="77777777" w:rsidR="0034060E" w:rsidRDefault="0034060E" w:rsidP="00453A36">
                  <w:pPr>
                    <w:pStyle w:val="TableBodyText"/>
                    <w:jc w:val="left"/>
                  </w:pPr>
                  <w:r>
                    <w:t>Aggregate hours worked</w:t>
                  </w:r>
                </w:p>
              </w:tc>
              <w:tc>
                <w:tcPr>
                  <w:tcW w:w="1419" w:type="pct"/>
                </w:tcPr>
                <w:p w14:paraId="00BB303A" w14:textId="77777777" w:rsidR="0034060E" w:rsidRDefault="0034060E" w:rsidP="00453A36">
                  <w:pPr>
                    <w:pStyle w:val="TableBodyText"/>
                  </w:pPr>
                  <w:r>
                    <w:t>0.2</w:t>
                  </w:r>
                </w:p>
              </w:tc>
              <w:tc>
                <w:tcPr>
                  <w:tcW w:w="1154" w:type="pct"/>
                </w:tcPr>
                <w:p w14:paraId="00BB303B" w14:textId="77777777" w:rsidR="0034060E" w:rsidRDefault="0034060E" w:rsidP="00453A36">
                  <w:pPr>
                    <w:pStyle w:val="TableBodyText"/>
                    <w:ind w:right="28"/>
                  </w:pPr>
                  <w:r>
                    <w:t>1.2</w:t>
                  </w:r>
                </w:p>
              </w:tc>
            </w:tr>
            <w:tr w:rsidR="0034060E" w14:paraId="00BB3040" w14:textId="77777777" w:rsidTr="00453A36">
              <w:tc>
                <w:tcPr>
                  <w:tcW w:w="2427" w:type="pct"/>
                </w:tcPr>
                <w:p w14:paraId="00BB303D" w14:textId="77777777" w:rsidR="0034060E" w:rsidRDefault="0034060E" w:rsidP="00453A36">
                  <w:pPr>
                    <w:pStyle w:val="TableBodyText"/>
                    <w:jc w:val="left"/>
                  </w:pPr>
                  <w:r>
                    <w:t>Hours worked by award</w:t>
                  </w:r>
                  <w:r>
                    <w:noBreakHyphen/>
                    <w:t>reliant workers</w:t>
                  </w:r>
                </w:p>
              </w:tc>
              <w:tc>
                <w:tcPr>
                  <w:tcW w:w="1419" w:type="pct"/>
                </w:tcPr>
                <w:p w14:paraId="00BB303E" w14:textId="77777777" w:rsidR="0034060E" w:rsidRDefault="0034060E" w:rsidP="00453A36">
                  <w:pPr>
                    <w:pStyle w:val="TableBodyText"/>
                  </w:pPr>
                  <w:r>
                    <w:t>1.5</w:t>
                  </w:r>
                </w:p>
              </w:tc>
              <w:tc>
                <w:tcPr>
                  <w:tcW w:w="1154" w:type="pct"/>
                </w:tcPr>
                <w:p w14:paraId="00BB303F" w14:textId="77777777" w:rsidR="0034060E" w:rsidRDefault="0034060E" w:rsidP="00453A36">
                  <w:pPr>
                    <w:pStyle w:val="TableBodyText"/>
                    <w:ind w:right="28"/>
                  </w:pPr>
                  <w:r>
                    <w:t>8.2</w:t>
                  </w:r>
                </w:p>
              </w:tc>
            </w:tr>
            <w:tr w:rsidR="0034060E" w14:paraId="00BB3044" w14:textId="77777777" w:rsidTr="00453A36">
              <w:tc>
                <w:tcPr>
                  <w:tcW w:w="2427" w:type="pct"/>
                </w:tcPr>
                <w:p w14:paraId="00BB3041" w14:textId="77777777" w:rsidR="0034060E" w:rsidRDefault="0034060E" w:rsidP="00453A36">
                  <w:pPr>
                    <w:pStyle w:val="TableBodyText"/>
                    <w:jc w:val="left"/>
                  </w:pPr>
                  <w:r>
                    <w:t>Hours worked by other workers</w:t>
                  </w:r>
                </w:p>
              </w:tc>
              <w:tc>
                <w:tcPr>
                  <w:tcW w:w="1419" w:type="pct"/>
                </w:tcPr>
                <w:p w14:paraId="00BB3042" w14:textId="71EB7AA6" w:rsidR="0034060E" w:rsidRDefault="0034060E" w:rsidP="00453A36">
                  <w:pPr>
                    <w:pStyle w:val="TableBodyText"/>
                  </w:pPr>
                  <w:r>
                    <w:t>[+]</w:t>
                  </w:r>
                  <w:r w:rsidR="00E9331D" w:rsidRPr="00E9331D">
                    <w:rPr>
                      <w:rStyle w:val="NoteLabel"/>
                    </w:rPr>
                    <w:t>a</w:t>
                  </w:r>
                </w:p>
              </w:tc>
              <w:tc>
                <w:tcPr>
                  <w:tcW w:w="1154" w:type="pct"/>
                </w:tcPr>
                <w:p w14:paraId="00BB3043" w14:textId="1C74FAD4" w:rsidR="0034060E" w:rsidRPr="00E9331D" w:rsidRDefault="0034060E" w:rsidP="00453A36">
                  <w:pPr>
                    <w:pStyle w:val="TableBodyText"/>
                    <w:ind w:right="28"/>
                    <w:rPr>
                      <w:b/>
                    </w:rPr>
                  </w:pPr>
                  <w:r>
                    <w:t>[+]</w:t>
                  </w:r>
                  <w:r w:rsidR="00E9331D" w:rsidRPr="00E9331D">
                    <w:rPr>
                      <w:rStyle w:val="NoteLabel"/>
                    </w:rPr>
                    <w:t>a</w:t>
                  </w:r>
                </w:p>
              </w:tc>
            </w:tr>
            <w:tr w:rsidR="0034060E" w14:paraId="00BB304A" w14:textId="77777777" w:rsidTr="00453A36">
              <w:tc>
                <w:tcPr>
                  <w:tcW w:w="5000" w:type="pct"/>
                  <w:gridSpan w:val="3"/>
                </w:tcPr>
                <w:p w14:paraId="00BB3049" w14:textId="77777777" w:rsidR="0034060E" w:rsidRDefault="0034060E" w:rsidP="00D46F34">
                  <w:pPr>
                    <w:pStyle w:val="TableBodyText"/>
                    <w:spacing w:before="80"/>
                    <w:ind w:right="28"/>
                    <w:jc w:val="left"/>
                  </w:pPr>
                  <w:r>
                    <w:rPr>
                      <w:i/>
                    </w:rPr>
                    <w:t>Sensitivity: Award wage transformation elasticity of 5</w:t>
                  </w:r>
                </w:p>
              </w:tc>
            </w:tr>
            <w:tr w:rsidR="0034060E" w14:paraId="00BB304E" w14:textId="77777777" w:rsidTr="00453A36">
              <w:tc>
                <w:tcPr>
                  <w:tcW w:w="2427" w:type="pct"/>
                </w:tcPr>
                <w:p w14:paraId="00BB304B" w14:textId="77777777" w:rsidR="0034060E" w:rsidRDefault="0034060E" w:rsidP="00453A36">
                  <w:pPr>
                    <w:pStyle w:val="TableBodyText"/>
                    <w:jc w:val="left"/>
                  </w:pPr>
                  <w:r>
                    <w:t>Real gross domestic product</w:t>
                  </w:r>
                </w:p>
              </w:tc>
              <w:tc>
                <w:tcPr>
                  <w:tcW w:w="1419" w:type="pct"/>
                </w:tcPr>
                <w:p w14:paraId="00BB304C" w14:textId="77777777" w:rsidR="0034060E" w:rsidRDefault="0034060E" w:rsidP="00453A36">
                  <w:pPr>
                    <w:pStyle w:val="TableBodyText"/>
                  </w:pPr>
                  <w:r>
                    <w:t>0.2</w:t>
                  </w:r>
                </w:p>
              </w:tc>
              <w:tc>
                <w:tcPr>
                  <w:tcW w:w="1154" w:type="pct"/>
                </w:tcPr>
                <w:p w14:paraId="00BB304D" w14:textId="77777777" w:rsidR="0034060E" w:rsidRDefault="0034060E" w:rsidP="00453A36">
                  <w:pPr>
                    <w:pStyle w:val="TableBodyText"/>
                    <w:ind w:right="28"/>
                  </w:pPr>
                  <w:r>
                    <w:t>1.8</w:t>
                  </w:r>
                </w:p>
              </w:tc>
            </w:tr>
            <w:tr w:rsidR="0034060E" w14:paraId="00BB3052" w14:textId="77777777" w:rsidTr="00453A36">
              <w:tc>
                <w:tcPr>
                  <w:tcW w:w="2427" w:type="pct"/>
                </w:tcPr>
                <w:p w14:paraId="00BB304F" w14:textId="77777777" w:rsidR="0034060E" w:rsidRDefault="0034060E" w:rsidP="00453A36">
                  <w:pPr>
                    <w:pStyle w:val="TableBodyText"/>
                    <w:jc w:val="left"/>
                  </w:pPr>
                  <w:r>
                    <w:t>Aggregate hours worked</w:t>
                  </w:r>
                </w:p>
              </w:tc>
              <w:tc>
                <w:tcPr>
                  <w:tcW w:w="1419" w:type="pct"/>
                </w:tcPr>
                <w:p w14:paraId="00BB3050" w14:textId="77777777" w:rsidR="0034060E" w:rsidRDefault="0034060E" w:rsidP="00453A36">
                  <w:pPr>
                    <w:pStyle w:val="TableBodyText"/>
                  </w:pPr>
                  <w:r>
                    <w:t>0.4</w:t>
                  </w:r>
                </w:p>
              </w:tc>
              <w:tc>
                <w:tcPr>
                  <w:tcW w:w="1154" w:type="pct"/>
                </w:tcPr>
                <w:p w14:paraId="00BB3051" w14:textId="77777777" w:rsidR="0034060E" w:rsidRDefault="0034060E" w:rsidP="00453A36">
                  <w:pPr>
                    <w:pStyle w:val="TableBodyText"/>
                    <w:ind w:right="28"/>
                  </w:pPr>
                  <w:r>
                    <w:t>2.3</w:t>
                  </w:r>
                </w:p>
              </w:tc>
            </w:tr>
            <w:tr w:rsidR="0034060E" w14:paraId="00BB3056" w14:textId="77777777" w:rsidTr="00453A36">
              <w:tc>
                <w:tcPr>
                  <w:tcW w:w="2427" w:type="pct"/>
                </w:tcPr>
                <w:p w14:paraId="00BB3053" w14:textId="77777777" w:rsidR="0034060E" w:rsidRDefault="0034060E" w:rsidP="00453A36">
                  <w:pPr>
                    <w:pStyle w:val="TableBodyText"/>
                    <w:jc w:val="left"/>
                  </w:pPr>
                  <w:r>
                    <w:t>Hours worked by award</w:t>
                  </w:r>
                  <w:r>
                    <w:noBreakHyphen/>
                    <w:t>reliant workers</w:t>
                  </w:r>
                </w:p>
              </w:tc>
              <w:tc>
                <w:tcPr>
                  <w:tcW w:w="1419" w:type="pct"/>
                </w:tcPr>
                <w:p w14:paraId="00BB3054" w14:textId="77777777" w:rsidR="0034060E" w:rsidRDefault="0034060E" w:rsidP="00453A36">
                  <w:pPr>
                    <w:pStyle w:val="TableBodyText"/>
                  </w:pPr>
                  <w:r>
                    <w:t>1.3</w:t>
                  </w:r>
                </w:p>
              </w:tc>
              <w:tc>
                <w:tcPr>
                  <w:tcW w:w="1154" w:type="pct"/>
                </w:tcPr>
                <w:p w14:paraId="00BB3055" w14:textId="77777777" w:rsidR="0034060E" w:rsidRDefault="0034060E" w:rsidP="00453A36">
                  <w:pPr>
                    <w:pStyle w:val="TableBodyText"/>
                    <w:ind w:right="28"/>
                  </w:pPr>
                  <w:r>
                    <w:t>7.4</w:t>
                  </w:r>
                </w:p>
              </w:tc>
            </w:tr>
            <w:tr w:rsidR="0034060E" w14:paraId="00BB305A" w14:textId="77777777" w:rsidTr="00453A36">
              <w:tc>
                <w:tcPr>
                  <w:tcW w:w="2427" w:type="pct"/>
                  <w:tcBorders>
                    <w:bottom w:val="single" w:sz="6" w:space="0" w:color="BFBFBF"/>
                  </w:tcBorders>
                  <w:shd w:val="clear" w:color="auto" w:fill="auto"/>
                </w:tcPr>
                <w:p w14:paraId="00BB3057" w14:textId="77777777" w:rsidR="0034060E" w:rsidRDefault="0034060E" w:rsidP="00453A36">
                  <w:pPr>
                    <w:pStyle w:val="TableBodyText"/>
                    <w:jc w:val="left"/>
                  </w:pPr>
                  <w:r>
                    <w:t>Hours worked by other workers</w:t>
                  </w:r>
                </w:p>
              </w:tc>
              <w:tc>
                <w:tcPr>
                  <w:tcW w:w="1419" w:type="pct"/>
                  <w:tcBorders>
                    <w:bottom w:val="single" w:sz="6" w:space="0" w:color="BFBFBF"/>
                  </w:tcBorders>
                  <w:shd w:val="clear" w:color="auto" w:fill="auto"/>
                </w:tcPr>
                <w:p w14:paraId="00BB3058" w14:textId="77777777" w:rsidR="0034060E" w:rsidRDefault="0034060E" w:rsidP="00453A36">
                  <w:pPr>
                    <w:pStyle w:val="TableBodyText"/>
                  </w:pPr>
                  <w:r>
                    <w:t>0.3</w:t>
                  </w:r>
                </w:p>
              </w:tc>
              <w:tc>
                <w:tcPr>
                  <w:tcW w:w="1154" w:type="pct"/>
                  <w:tcBorders>
                    <w:bottom w:val="single" w:sz="6" w:space="0" w:color="BFBFBF"/>
                  </w:tcBorders>
                  <w:shd w:val="clear" w:color="auto" w:fill="auto"/>
                </w:tcPr>
                <w:p w14:paraId="00BB3059" w14:textId="77777777" w:rsidR="0034060E" w:rsidRDefault="0034060E" w:rsidP="00453A36">
                  <w:pPr>
                    <w:pStyle w:val="TableBodyText"/>
                    <w:ind w:right="28"/>
                  </w:pPr>
                  <w:r>
                    <w:t>1.5</w:t>
                  </w:r>
                </w:p>
              </w:tc>
            </w:tr>
          </w:tbl>
          <w:p w14:paraId="00BB305B" w14:textId="77777777" w:rsidR="0034060E" w:rsidRDefault="0034060E" w:rsidP="00453A36">
            <w:pPr>
              <w:pStyle w:val="Box"/>
            </w:pPr>
          </w:p>
        </w:tc>
      </w:tr>
      <w:tr w:rsidR="0034060E" w14:paraId="00BB305E" w14:textId="77777777" w:rsidTr="00453A36">
        <w:trPr>
          <w:cantSplit/>
        </w:trPr>
        <w:tc>
          <w:tcPr>
            <w:tcW w:w="8771" w:type="dxa"/>
            <w:tcBorders>
              <w:top w:val="nil"/>
              <w:left w:val="nil"/>
              <w:bottom w:val="nil"/>
              <w:right w:val="nil"/>
            </w:tcBorders>
            <w:shd w:val="clear" w:color="auto" w:fill="auto"/>
          </w:tcPr>
          <w:p w14:paraId="00BB305D" w14:textId="2C1D1485" w:rsidR="0034060E" w:rsidRDefault="00E9331D" w:rsidP="00E9331D">
            <w:pPr>
              <w:pStyle w:val="Note"/>
              <w:rPr>
                <w:i/>
              </w:rPr>
            </w:pPr>
            <w:proofErr w:type="spellStart"/>
            <w:r w:rsidRPr="00E9331D">
              <w:rPr>
                <w:rStyle w:val="NoteLabel"/>
              </w:rPr>
              <w:t>a</w:t>
            </w:r>
            <w:proofErr w:type="spellEnd"/>
            <w:r>
              <w:t xml:space="preserve"> B</w:t>
            </w:r>
            <w:r w:rsidR="0034060E">
              <w:t>etween 0 and 0.05.</w:t>
            </w:r>
          </w:p>
        </w:tc>
      </w:tr>
      <w:tr w:rsidR="0034060E" w14:paraId="00BB3060" w14:textId="77777777" w:rsidTr="00453A36">
        <w:trPr>
          <w:cantSplit/>
        </w:trPr>
        <w:tc>
          <w:tcPr>
            <w:tcW w:w="8771" w:type="dxa"/>
            <w:tcBorders>
              <w:top w:val="nil"/>
              <w:left w:val="nil"/>
              <w:bottom w:val="nil"/>
              <w:right w:val="nil"/>
            </w:tcBorders>
            <w:shd w:val="clear" w:color="auto" w:fill="auto"/>
          </w:tcPr>
          <w:p w14:paraId="00BB305F" w14:textId="77777777" w:rsidR="0034060E" w:rsidRDefault="0034060E" w:rsidP="00453A36">
            <w:pPr>
              <w:pStyle w:val="Source"/>
            </w:pPr>
            <w:r>
              <w:rPr>
                <w:i/>
              </w:rPr>
              <w:t>Source</w:t>
            </w:r>
            <w:r w:rsidRPr="00167F06">
              <w:t xml:space="preserve">: </w:t>
            </w:r>
            <w:r>
              <w:t xml:space="preserve">Productivity Commission estimates based on the </w:t>
            </w:r>
            <w:proofErr w:type="spellStart"/>
            <w:r>
              <w:t>VUMR</w:t>
            </w:r>
            <w:r>
              <w:noBreakHyphen/>
              <w:t>WR</w:t>
            </w:r>
            <w:proofErr w:type="spellEnd"/>
            <w:r>
              <w:t xml:space="preserve"> model.</w:t>
            </w:r>
          </w:p>
        </w:tc>
      </w:tr>
      <w:tr w:rsidR="0034060E" w14:paraId="00BB3062" w14:textId="77777777" w:rsidTr="00453A36">
        <w:trPr>
          <w:cantSplit/>
        </w:trPr>
        <w:tc>
          <w:tcPr>
            <w:tcW w:w="8771" w:type="dxa"/>
            <w:tcBorders>
              <w:top w:val="nil"/>
              <w:left w:val="nil"/>
              <w:bottom w:val="single" w:sz="6" w:space="0" w:color="78A22F"/>
              <w:right w:val="nil"/>
            </w:tcBorders>
            <w:shd w:val="clear" w:color="auto" w:fill="auto"/>
          </w:tcPr>
          <w:p w14:paraId="00BB3061" w14:textId="77777777" w:rsidR="0034060E" w:rsidRDefault="0034060E" w:rsidP="00453A36">
            <w:pPr>
              <w:pStyle w:val="Box"/>
              <w:spacing w:before="0" w:line="120" w:lineRule="exact"/>
            </w:pPr>
          </w:p>
        </w:tc>
      </w:tr>
      <w:tr w:rsidR="0034060E" w:rsidRPr="000863A5" w14:paraId="00BB3064" w14:textId="77777777" w:rsidTr="00453A36">
        <w:tc>
          <w:tcPr>
            <w:tcW w:w="8771" w:type="dxa"/>
            <w:tcBorders>
              <w:top w:val="single" w:sz="6" w:space="0" w:color="78A22F"/>
              <w:left w:val="nil"/>
              <w:bottom w:val="nil"/>
              <w:right w:val="nil"/>
            </w:tcBorders>
          </w:tcPr>
          <w:p w14:paraId="00BB3063" w14:textId="438FE366" w:rsidR="0034060E" w:rsidRPr="00626D32" w:rsidRDefault="0034060E" w:rsidP="00453A36">
            <w:pPr>
              <w:pStyle w:val="BoxSpaceBelow"/>
            </w:pPr>
          </w:p>
        </w:tc>
      </w:tr>
    </w:tbl>
    <w:p w14:paraId="00BB3065" w14:textId="77777777" w:rsidR="0034060E" w:rsidRPr="00E55BCA" w:rsidRDefault="0034060E" w:rsidP="00453A36">
      <w:pPr>
        <w:pStyle w:val="BodyText"/>
      </w:pPr>
    </w:p>
    <w:p w14:paraId="00BB3066" w14:textId="77777777" w:rsidR="0034060E" w:rsidRDefault="0034060E" w:rsidP="0034060E">
      <w:pPr>
        <w:sectPr w:rsidR="0034060E" w:rsidSect="0034060E">
          <w:headerReference w:type="even" r:id="rId48"/>
          <w:headerReference w:type="default" r:id="rId49"/>
          <w:footerReference w:type="even" r:id="rId50"/>
          <w:footerReference w:type="default" r:id="rId51"/>
          <w:type w:val="oddPage"/>
          <w:pgSz w:w="11907" w:h="16840" w:code="9"/>
          <w:pgMar w:top="1985" w:right="1304" w:bottom="1247" w:left="1814" w:header="1701" w:footer="397" w:gutter="0"/>
          <w:pgNumType w:chapSep="period"/>
          <w:cols w:space="720"/>
          <w:docGrid w:linePitch="326"/>
        </w:sectPr>
      </w:pPr>
    </w:p>
    <w:p w14:paraId="00BB3067" w14:textId="77777777" w:rsidR="0034060E" w:rsidRDefault="0034060E" w:rsidP="00D46F34">
      <w:pPr>
        <w:pStyle w:val="Heading1"/>
      </w:pPr>
      <w:bookmarkStart w:id="14" w:name="_AppendixNotByChapter"/>
      <w:bookmarkEnd w:id="14"/>
      <w:r>
        <w:lastRenderedPageBreak/>
        <w:t>A</w:t>
      </w:r>
      <w:r>
        <w:tab/>
        <w:t xml:space="preserve">The </w:t>
      </w:r>
      <w:proofErr w:type="spellStart"/>
      <w:r>
        <w:t>VUMR</w:t>
      </w:r>
      <w:r>
        <w:rPr>
          <w:rFonts w:ascii="MS Mincho" w:eastAsia="MS Mincho" w:hAnsi="MS Mincho" w:cs="MS Mincho" w:hint="eastAsia"/>
        </w:rPr>
        <w:t>‑</w:t>
      </w:r>
      <w:r>
        <w:t>WR</w:t>
      </w:r>
      <w:proofErr w:type="spellEnd"/>
      <w:r>
        <w:t xml:space="preserve"> model</w:t>
      </w:r>
    </w:p>
    <w:p w14:paraId="00BB3068" w14:textId="77777777" w:rsidR="0034060E" w:rsidRDefault="0034060E" w:rsidP="00453A36">
      <w:pPr>
        <w:pStyle w:val="BodyText"/>
      </w:pPr>
      <w:r>
        <w:t>This appendix provides an overview of the Victoria University Multi</w:t>
      </w:r>
      <w:r>
        <w:noBreakHyphen/>
        <w:t>Regional Workplace Relations (</w:t>
      </w:r>
      <w:proofErr w:type="spellStart"/>
      <w:r>
        <w:t>VUMR</w:t>
      </w:r>
      <w:r>
        <w:noBreakHyphen/>
        <w:t>WR</w:t>
      </w:r>
      <w:proofErr w:type="spellEnd"/>
      <w:r>
        <w:t xml:space="preserve">) model used in this inquiry to assess the economywide effects of alternative policy approaches in the workplace relations system. It is based on the </w:t>
      </w:r>
      <w:proofErr w:type="spellStart"/>
      <w:r>
        <w:t>VUMR</w:t>
      </w:r>
      <w:proofErr w:type="spellEnd"/>
      <w:r>
        <w:t xml:space="preserve"> model, which was formerly known as the Monash Multi</w:t>
      </w:r>
      <w:r>
        <w:noBreakHyphen/>
        <w:t>Regional Forecasting (</w:t>
      </w:r>
      <w:proofErr w:type="spellStart"/>
      <w:r>
        <w:t>MMRF</w:t>
      </w:r>
      <w:proofErr w:type="spellEnd"/>
      <w:r>
        <w:t xml:space="preserve">) model. The </w:t>
      </w:r>
      <w:proofErr w:type="spellStart"/>
      <w:r>
        <w:t>VUMR</w:t>
      </w:r>
      <w:proofErr w:type="spellEnd"/>
      <w:r>
        <w:t>/</w:t>
      </w:r>
      <w:proofErr w:type="spellStart"/>
      <w:r>
        <w:t>MMRF</w:t>
      </w:r>
      <w:proofErr w:type="spellEnd"/>
      <w:r>
        <w:t xml:space="preserve"> model has been used widely by the Commission and others to analyse the effects of public policy in Australia, and is suited to examining the economywide effects of some types of labour market policies.</w:t>
      </w:r>
    </w:p>
    <w:p w14:paraId="00BB3069" w14:textId="3583AF2F" w:rsidR="0034060E" w:rsidRDefault="0034060E" w:rsidP="00453A36">
      <w:pPr>
        <w:pStyle w:val="Heading2"/>
      </w:pPr>
      <w:proofErr w:type="spellStart"/>
      <w:r>
        <w:t>A.</w:t>
      </w:r>
      <w:r>
        <w:rPr>
          <w:noProof/>
        </w:rPr>
        <w:t>1</w:t>
      </w:r>
      <w:proofErr w:type="spellEnd"/>
      <w:r>
        <w:tab/>
        <w:t xml:space="preserve">An overview of the </w:t>
      </w:r>
      <w:proofErr w:type="spellStart"/>
      <w:r>
        <w:t>VUMR</w:t>
      </w:r>
      <w:proofErr w:type="spellEnd"/>
      <w:r>
        <w:t xml:space="preserve"> model</w:t>
      </w:r>
    </w:p>
    <w:p w14:paraId="00BB306A" w14:textId="77777777" w:rsidR="0034060E" w:rsidRDefault="0034060E" w:rsidP="00453A36">
      <w:pPr>
        <w:pStyle w:val="BodyText"/>
      </w:pPr>
      <w:r>
        <w:t xml:space="preserve">The </w:t>
      </w:r>
      <w:proofErr w:type="spellStart"/>
      <w:r>
        <w:t>VUMR</w:t>
      </w:r>
      <w:proofErr w:type="spellEnd"/>
      <w:r>
        <w:t xml:space="preserve"> model is a ‘bottom</w:t>
      </w:r>
      <w:r>
        <w:noBreakHyphen/>
        <w:t>up’ model that treats each state and territory as a separate economy. It includes:</w:t>
      </w:r>
    </w:p>
    <w:p w14:paraId="00BB306B" w14:textId="77777777" w:rsidR="0034060E" w:rsidRDefault="0034060E" w:rsidP="0034060E">
      <w:pPr>
        <w:pStyle w:val="ListBullet"/>
      </w:pPr>
      <w:r>
        <w:t>79 industries and 83 commodities in each state, and the inter</w:t>
      </w:r>
      <w:r>
        <w:noBreakHyphen/>
        <w:t>linkages between these contained in the input</w:t>
      </w:r>
      <w:r>
        <w:noBreakHyphen/>
        <w:t>output tables</w:t>
      </w:r>
    </w:p>
    <w:p w14:paraId="00BB306C" w14:textId="77777777" w:rsidR="0034060E" w:rsidRDefault="0034060E" w:rsidP="0034060E">
      <w:pPr>
        <w:pStyle w:val="ListBullet"/>
      </w:pPr>
      <w:r>
        <w:t>state labour markets, comprised of eight occupations, with the supply of labour moving between states in response to differences in occupational</w:t>
      </w:r>
      <w:r>
        <w:noBreakHyphen/>
        <w:t>specific real wages across states</w:t>
      </w:r>
    </w:p>
    <w:p w14:paraId="00BB306D" w14:textId="77777777" w:rsidR="0034060E" w:rsidRDefault="0034060E" w:rsidP="0034060E">
      <w:pPr>
        <w:pStyle w:val="ListBullet"/>
      </w:pPr>
      <w:r>
        <w:t>eight state</w:t>
      </w:r>
      <w:r>
        <w:noBreakHyphen/>
        <w:t>specific household sectors, which supply domestic factors of production (labour, capital and agricultural land), consume goods and services, and pay income and commodity taxes</w:t>
      </w:r>
    </w:p>
    <w:p w14:paraId="00BB306E" w14:textId="77777777" w:rsidR="0034060E" w:rsidRDefault="0034060E" w:rsidP="0034060E">
      <w:pPr>
        <w:pStyle w:val="ListBullet"/>
      </w:pPr>
      <w:r>
        <w:t>eight state and territory governments</w:t>
      </w:r>
    </w:p>
    <w:p w14:paraId="00BB306F" w14:textId="77777777" w:rsidR="0034060E" w:rsidRDefault="0034060E" w:rsidP="0034060E">
      <w:pPr>
        <w:pStyle w:val="ListBullet"/>
      </w:pPr>
      <w:r>
        <w:t>the Australian Government.</w:t>
      </w:r>
    </w:p>
    <w:p w14:paraId="00BB3070" w14:textId="77777777" w:rsidR="0034060E" w:rsidRDefault="0034060E" w:rsidP="00453A36">
      <w:pPr>
        <w:pStyle w:val="BodyText"/>
      </w:pPr>
      <w:r>
        <w:t>Important elements of the theoretical structure of the model used in this project include:</w:t>
      </w:r>
    </w:p>
    <w:p w14:paraId="00BB3071" w14:textId="77777777" w:rsidR="0034060E" w:rsidRDefault="0034060E" w:rsidP="0034060E">
      <w:pPr>
        <w:pStyle w:val="ListBullet"/>
      </w:pPr>
      <w:r>
        <w:t>households change their consumption bundles in response to changes in aggregate expenditure and relative prices</w:t>
      </w:r>
    </w:p>
    <w:p w14:paraId="00BB3072" w14:textId="77777777" w:rsidR="0034060E" w:rsidRDefault="0034060E" w:rsidP="0034060E">
      <w:pPr>
        <w:pStyle w:val="ListBullet"/>
      </w:pPr>
      <w:r>
        <w:t>producers adapt their output and their relative use of labour, capital and agricultural land in response to changes in relative prices</w:t>
      </w:r>
    </w:p>
    <w:p w14:paraId="00BB3073" w14:textId="77777777" w:rsidR="0034060E" w:rsidRDefault="0034060E" w:rsidP="0034060E">
      <w:pPr>
        <w:pStyle w:val="ListBullet"/>
      </w:pPr>
      <w:r>
        <w:t>foreign demand for Australian exports responds to the export price of Australian products, and exporters can accrue short</w:t>
      </w:r>
      <w:r>
        <w:noBreakHyphen/>
        <w:t>term returns in response to price changes.</w:t>
      </w:r>
    </w:p>
    <w:p w14:paraId="00BB3074" w14:textId="24330E2B" w:rsidR="0034060E" w:rsidRDefault="0034060E" w:rsidP="00453A36">
      <w:pPr>
        <w:pStyle w:val="BodyText"/>
      </w:pPr>
      <w:r>
        <w:t xml:space="preserve">The standard version of the </w:t>
      </w:r>
      <w:proofErr w:type="spellStart"/>
      <w:r>
        <w:t>VUMR</w:t>
      </w:r>
      <w:proofErr w:type="spellEnd"/>
      <w:r>
        <w:t xml:space="preserve"> model is documented in more detail in </w:t>
      </w:r>
      <w:proofErr w:type="spellStart"/>
      <w:r>
        <w:t>CoPS</w:t>
      </w:r>
      <w:proofErr w:type="spellEnd"/>
      <w:r>
        <w:t> </w:t>
      </w:r>
      <w:r w:rsidRPr="00861061">
        <w:t>(2014)</w:t>
      </w:r>
      <w:r>
        <w:t>.</w:t>
      </w:r>
    </w:p>
    <w:p w14:paraId="00BB3075" w14:textId="727AC950" w:rsidR="0034060E" w:rsidRDefault="0034060E" w:rsidP="00453A36">
      <w:pPr>
        <w:pStyle w:val="Heading2"/>
      </w:pPr>
      <w:proofErr w:type="spellStart"/>
      <w:r>
        <w:lastRenderedPageBreak/>
        <w:t>A.</w:t>
      </w:r>
      <w:r>
        <w:rPr>
          <w:noProof/>
        </w:rPr>
        <w:t>2</w:t>
      </w:r>
      <w:proofErr w:type="spellEnd"/>
      <w:r>
        <w:tab/>
        <w:t xml:space="preserve">Modifications to the </w:t>
      </w:r>
      <w:proofErr w:type="spellStart"/>
      <w:r>
        <w:t>VUMR</w:t>
      </w:r>
      <w:proofErr w:type="spellEnd"/>
      <w:r>
        <w:t xml:space="preserve"> model for this inquiry</w:t>
      </w:r>
    </w:p>
    <w:p w14:paraId="00BB3076" w14:textId="77777777" w:rsidR="0034060E" w:rsidRDefault="0034060E" w:rsidP="00453A36">
      <w:pPr>
        <w:pStyle w:val="BodyText"/>
      </w:pPr>
      <w:r>
        <w:t xml:space="preserve">In order to make the </w:t>
      </w:r>
      <w:proofErr w:type="spellStart"/>
      <w:r>
        <w:t>VUMR</w:t>
      </w:r>
      <w:proofErr w:type="spellEnd"/>
      <w:r>
        <w:t xml:space="preserve"> model better suited to exploring issues associated with changes in award wages, the </w:t>
      </w:r>
      <w:proofErr w:type="spellStart"/>
      <w:r>
        <w:t>VUMR</w:t>
      </w:r>
      <w:proofErr w:type="spellEnd"/>
      <w:r>
        <w:t xml:space="preserve"> model has been extended for the purposes of this inquiry to include:</w:t>
      </w:r>
    </w:p>
    <w:p w14:paraId="00BB3077" w14:textId="77777777" w:rsidR="0034060E" w:rsidRDefault="0034060E" w:rsidP="0034060E">
      <w:pPr>
        <w:pStyle w:val="ListBullet"/>
      </w:pPr>
      <w:r>
        <w:t>award</w:t>
      </w:r>
      <w:r>
        <w:noBreakHyphen/>
        <w:t>reliant and non</w:t>
      </w:r>
      <w:r>
        <w:noBreakHyphen/>
        <w:t>award (‘other’) workers for each of the eight occupations in each state, with the supply and demand for award</w:t>
      </w:r>
      <w:r>
        <w:noBreakHyphen/>
        <w:t>reliant labour responding to differences in state and occupation specific real wages. Other workers include all other employed people, not just employees</w:t>
      </w:r>
    </w:p>
    <w:p w14:paraId="00BB3078" w14:textId="77777777" w:rsidR="0034060E" w:rsidRDefault="0034060E" w:rsidP="0034060E">
      <w:pPr>
        <w:pStyle w:val="ListBullet"/>
      </w:pPr>
      <w:r>
        <w:t xml:space="preserve">partial adjustment of both real wages and employment in the short to medium run to gradually eliminate any difference in employment between the scenario under examination and a baseline scenario. </w:t>
      </w:r>
    </w:p>
    <w:p w14:paraId="00BB3079" w14:textId="77777777" w:rsidR="0034060E" w:rsidRDefault="0034060E" w:rsidP="00453A36">
      <w:pPr>
        <w:pStyle w:val="BodyText"/>
      </w:pPr>
      <w:r>
        <w:t xml:space="preserve">These extensions involved modifications to the theory of the standard </w:t>
      </w:r>
      <w:proofErr w:type="spellStart"/>
      <w:r>
        <w:t>VUMR</w:t>
      </w:r>
      <w:proofErr w:type="spellEnd"/>
      <w:r>
        <w:t xml:space="preserve"> model and its database. </w:t>
      </w:r>
    </w:p>
    <w:p w14:paraId="00BB307A" w14:textId="77777777" w:rsidR="0034060E" w:rsidRDefault="0034060E" w:rsidP="00453A36">
      <w:pPr>
        <w:pStyle w:val="Heading3"/>
      </w:pPr>
      <w:r>
        <w:t>Modifications to the model theory</w:t>
      </w:r>
    </w:p>
    <w:p w14:paraId="00BB307B" w14:textId="77777777" w:rsidR="0034060E" w:rsidRDefault="0034060E" w:rsidP="00453A36">
      <w:pPr>
        <w:pStyle w:val="Heading4"/>
      </w:pPr>
      <w:r>
        <w:t>Demand for and supply of award</w:t>
      </w:r>
      <w:r>
        <w:noBreakHyphen/>
        <w:t>reliant labour</w:t>
      </w:r>
    </w:p>
    <w:p w14:paraId="00BB307C" w14:textId="03178586" w:rsidR="0034060E" w:rsidRDefault="0034060E" w:rsidP="00453A36">
      <w:pPr>
        <w:pStyle w:val="BodyText"/>
      </w:pPr>
      <w:r>
        <w:t xml:space="preserve">In the standard </w:t>
      </w:r>
      <w:proofErr w:type="spellStart"/>
      <w:r>
        <w:t>VUMR</w:t>
      </w:r>
      <w:proofErr w:type="spellEnd"/>
      <w:r>
        <w:t xml:space="preserve"> model, the production technology includes a labour composite based on eight occupational categories </w:t>
      </w:r>
      <w:r>
        <w:rPr>
          <w:szCs w:val="24"/>
        </w:rPr>
        <w:t xml:space="preserve">(for further details, see </w:t>
      </w:r>
      <w:proofErr w:type="spellStart"/>
      <w:r>
        <w:rPr>
          <w:szCs w:val="24"/>
        </w:rPr>
        <w:t>CoPS</w:t>
      </w:r>
      <w:proofErr w:type="spellEnd"/>
      <w:r>
        <w:rPr>
          <w:szCs w:val="24"/>
        </w:rPr>
        <w:t> 2014, sec. 3.3)</w:t>
      </w:r>
      <w:r>
        <w:t>. For the purposes of this inquiry, each occupational input is modelled as a constant elasticity of substitution (</w:t>
      </w:r>
      <w:proofErr w:type="spellStart"/>
      <w:r>
        <w:t>CES</w:t>
      </w:r>
      <w:proofErr w:type="spellEnd"/>
      <w:r>
        <w:t>) bundle of award</w:t>
      </w:r>
      <w:r>
        <w:noBreakHyphen/>
        <w:t xml:space="preserve">reliant and other workers (figure </w:t>
      </w:r>
      <w:proofErr w:type="spellStart"/>
      <w:r>
        <w:t>A.1</w:t>
      </w:r>
      <w:proofErr w:type="spellEnd"/>
      <w:r>
        <w:t xml:space="preserve">). </w:t>
      </w:r>
    </w:p>
    <w:p w14:paraId="00BB307D" w14:textId="5F20A4C9" w:rsidR="0034060E" w:rsidRDefault="0034060E" w:rsidP="00453A36">
      <w:pPr>
        <w:pStyle w:val="BodyText"/>
      </w:pPr>
      <w:r>
        <w:t xml:space="preserve">In the standard </w:t>
      </w:r>
      <w:proofErr w:type="spellStart"/>
      <w:r>
        <w:t>VUMR</w:t>
      </w:r>
      <w:proofErr w:type="spellEnd"/>
      <w:r>
        <w:t xml:space="preserve"> model, labour supply is assumed to move between occupations and regions in response to changes in relative real wages </w:t>
      </w:r>
      <w:r>
        <w:rPr>
          <w:szCs w:val="24"/>
        </w:rPr>
        <w:t xml:space="preserve">(for further details, see </w:t>
      </w:r>
      <w:proofErr w:type="spellStart"/>
      <w:r>
        <w:rPr>
          <w:szCs w:val="24"/>
        </w:rPr>
        <w:t>CoPS</w:t>
      </w:r>
      <w:proofErr w:type="spellEnd"/>
      <w:r>
        <w:rPr>
          <w:szCs w:val="24"/>
        </w:rPr>
        <w:t> 2014, sec. 7.3)</w:t>
      </w:r>
      <w:r>
        <w:t>. For the purposes of this inquiry, labour supply is modelled to also move out of or into award</w:t>
      </w:r>
      <w:r>
        <w:noBreakHyphen/>
        <w:t xml:space="preserve">reliant employment in response to changes in award wages relative to the average wage (figure </w:t>
      </w:r>
      <w:proofErr w:type="spellStart"/>
      <w:r>
        <w:t>A.2</w:t>
      </w:r>
      <w:proofErr w:type="spellEnd"/>
      <w:r>
        <w:t>).</w:t>
      </w:r>
    </w:p>
    <w:p w14:paraId="00BB307E" w14:textId="77777777" w:rsidR="0034060E" w:rsidRDefault="0034060E" w:rsidP="00453A36">
      <w:pPr>
        <w:pStyle w:val="Heading4"/>
      </w:pPr>
      <w:r>
        <w:t>Partial adjustment of real wages and employment</w:t>
      </w:r>
    </w:p>
    <w:p w14:paraId="00BB307F" w14:textId="64003CCB" w:rsidR="0034060E" w:rsidRDefault="0034060E" w:rsidP="00453A36">
      <w:pPr>
        <w:pStyle w:val="BodyText"/>
      </w:pPr>
      <w:r>
        <w:t xml:space="preserve">The standard </w:t>
      </w:r>
      <w:proofErr w:type="spellStart"/>
      <w:r>
        <w:t>VUMR</w:t>
      </w:r>
      <w:proofErr w:type="spellEnd"/>
      <w:r>
        <w:t xml:space="preserve"> model includes the capacity to model sticky wages in a policy simulation at a national level. In this approach, the deviation from the baseline of the average national wage (deflated by consumer prices) in a policy simulation varies proportionately with the deviation from the baseline of national employment so as to gradually return the level of employment back to the baseline level </w:t>
      </w:r>
      <w:r>
        <w:rPr>
          <w:szCs w:val="24"/>
        </w:rPr>
        <w:t xml:space="preserve">(for further details, see </w:t>
      </w:r>
      <w:proofErr w:type="spellStart"/>
      <w:r>
        <w:rPr>
          <w:szCs w:val="24"/>
        </w:rPr>
        <w:t>CoPS</w:t>
      </w:r>
      <w:proofErr w:type="spellEnd"/>
      <w:r>
        <w:rPr>
          <w:szCs w:val="24"/>
        </w:rPr>
        <w:t> 2014)</w:t>
      </w:r>
      <w:r>
        <w:t>. The equation is parameterised so that employment returns to the baseline level after about five years. For the purpose</w:t>
      </w:r>
      <w:r w:rsidR="009E47BC">
        <w:t>s</w:t>
      </w:r>
      <w:r>
        <w:t xml:space="preserve"> of this inquiry, the standard national labour market approach has been extended to also apply to award</w:t>
      </w:r>
      <w:r>
        <w:noBreakHyphen/>
        <w:t>reliant and other workers.</w:t>
      </w:r>
    </w:p>
    <w:p w14:paraId="00BB3080" w14:textId="77777777" w:rsidR="0034060E" w:rsidRDefault="0034060E" w:rsidP="00453A36">
      <w:pPr>
        <w:pStyle w:val="BodyText"/>
      </w:pPr>
      <w:r>
        <w:lastRenderedPageBreak/>
        <w:t xml:space="preserve">The modifications made to the </w:t>
      </w:r>
      <w:proofErr w:type="spellStart"/>
      <w:r>
        <w:t>VUMR</w:t>
      </w:r>
      <w:r>
        <w:noBreakHyphen/>
        <w:t>WR</w:t>
      </w:r>
      <w:proofErr w:type="spellEnd"/>
      <w:r>
        <w:t xml:space="preserve"> model code to implement the above extensions are reported in box </w:t>
      </w:r>
      <w:proofErr w:type="spellStart"/>
      <w:r>
        <w:t>A.1</w:t>
      </w:r>
      <w:proofErr w:type="spellEnd"/>
      <w:r>
        <w:t>.</w:t>
      </w:r>
    </w:p>
    <w:p w14:paraId="00BB3081" w14:textId="0213A49D"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3083" w14:textId="77777777" w:rsidTr="00453A36">
        <w:tc>
          <w:tcPr>
            <w:tcW w:w="8771" w:type="dxa"/>
            <w:tcBorders>
              <w:top w:val="single" w:sz="6" w:space="0" w:color="78A22F"/>
              <w:left w:val="nil"/>
              <w:bottom w:val="nil"/>
              <w:right w:val="nil"/>
            </w:tcBorders>
            <w:shd w:val="clear" w:color="auto" w:fill="auto"/>
          </w:tcPr>
          <w:p w14:paraId="00BB3082" w14:textId="5D763CB7" w:rsidR="0034060E" w:rsidRPr="00176D3F" w:rsidRDefault="0034060E" w:rsidP="00453A36">
            <w:pPr>
              <w:pStyle w:val="FigureTitle"/>
            </w:pPr>
            <w:r w:rsidRPr="00784A05">
              <w:rPr>
                <w:b w:val="0"/>
              </w:rPr>
              <w:t xml:space="preserve">Figure </w:t>
            </w:r>
            <w:proofErr w:type="spellStart"/>
            <w:r>
              <w:rPr>
                <w:b w:val="0"/>
              </w:rPr>
              <w:t>A.</w:t>
            </w:r>
            <w:r>
              <w:rPr>
                <w:b w:val="0"/>
                <w:noProof/>
              </w:rPr>
              <w:t>1</w:t>
            </w:r>
            <w:proofErr w:type="spellEnd"/>
            <w:r>
              <w:tab/>
              <w:t xml:space="preserve">Demand for labour in the </w:t>
            </w:r>
            <w:proofErr w:type="spellStart"/>
            <w:r>
              <w:t>VUMR</w:t>
            </w:r>
            <w:r>
              <w:noBreakHyphen/>
              <w:t>WR</w:t>
            </w:r>
            <w:proofErr w:type="spellEnd"/>
            <w:r>
              <w:t xml:space="preserve"> model</w:t>
            </w:r>
          </w:p>
        </w:tc>
      </w:tr>
      <w:tr w:rsidR="0034060E" w14:paraId="00BB3087" w14:textId="77777777" w:rsidTr="00453A3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4060E" w14:paraId="00BB3085" w14:textId="77777777" w:rsidTr="00453A36">
              <w:trPr>
                <w:jc w:val="center"/>
              </w:trPr>
              <w:tc>
                <w:tcPr>
                  <w:tcW w:w="5000" w:type="pct"/>
                  <w:tcBorders>
                    <w:top w:val="nil"/>
                    <w:bottom w:val="nil"/>
                  </w:tcBorders>
                </w:tcPr>
                <w:p w14:paraId="00BB3084" w14:textId="482FCA68" w:rsidR="0034060E" w:rsidRDefault="003B09CF" w:rsidP="00453A36">
                  <w:pPr>
                    <w:pStyle w:val="Figure"/>
                    <w:spacing w:before="60" w:after="60"/>
                  </w:pPr>
                  <w:r>
                    <w:rPr>
                      <w:noProof/>
                    </w:rPr>
                    <w:drawing>
                      <wp:inline distT="0" distB="0" distL="0" distR="0" wp14:anchorId="351FB649" wp14:editId="5B9D2BA1">
                        <wp:extent cx="5398770" cy="3906520"/>
                        <wp:effectExtent l="0" t="0" r="0" b="0"/>
                        <wp:docPr id="13" name="Picture 13" descr="Figure A.1 Demand for labour in the VUMR-WR model. The chart illustrates that an employer’s choice between award reliant and other workers is made after deciding on the occupational mix of lab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98770" cy="3906520"/>
                                </a:xfrm>
                                <a:prstGeom prst="rect">
                                  <a:avLst/>
                                </a:prstGeom>
                                <a:noFill/>
                                <a:ln>
                                  <a:noFill/>
                                </a:ln>
                              </pic:spPr>
                            </pic:pic>
                          </a:graphicData>
                        </a:graphic>
                      </wp:inline>
                    </w:drawing>
                  </w:r>
                </w:p>
              </w:tc>
            </w:tr>
          </w:tbl>
          <w:p w14:paraId="00BB3086" w14:textId="77777777" w:rsidR="0034060E" w:rsidRDefault="0034060E" w:rsidP="00453A36">
            <w:pPr>
              <w:pStyle w:val="Figure"/>
            </w:pPr>
          </w:p>
        </w:tc>
      </w:tr>
      <w:tr w:rsidR="0034060E" w14:paraId="00BB3089" w14:textId="77777777" w:rsidTr="00453A36">
        <w:tc>
          <w:tcPr>
            <w:tcW w:w="8771" w:type="dxa"/>
            <w:tcBorders>
              <w:top w:val="nil"/>
              <w:left w:val="nil"/>
              <w:bottom w:val="single" w:sz="6" w:space="0" w:color="78A22F"/>
              <w:right w:val="nil"/>
            </w:tcBorders>
            <w:shd w:val="clear" w:color="auto" w:fill="auto"/>
          </w:tcPr>
          <w:p w14:paraId="00BB3088" w14:textId="77777777" w:rsidR="0034060E" w:rsidRDefault="0034060E" w:rsidP="00453A36">
            <w:pPr>
              <w:pStyle w:val="Figurespace"/>
            </w:pPr>
          </w:p>
        </w:tc>
      </w:tr>
      <w:tr w:rsidR="0034060E" w:rsidRPr="000863A5" w14:paraId="00BB308B" w14:textId="77777777" w:rsidTr="00453A36">
        <w:tc>
          <w:tcPr>
            <w:tcW w:w="8771" w:type="dxa"/>
            <w:tcBorders>
              <w:top w:val="single" w:sz="6" w:space="0" w:color="78A22F"/>
              <w:left w:val="nil"/>
              <w:bottom w:val="nil"/>
              <w:right w:val="nil"/>
            </w:tcBorders>
          </w:tcPr>
          <w:p w14:paraId="00BB308A" w14:textId="469EC55F" w:rsidR="0034060E" w:rsidRPr="00626D32" w:rsidRDefault="0034060E" w:rsidP="00453A36">
            <w:pPr>
              <w:pStyle w:val="BoxSpaceBelow"/>
            </w:pPr>
          </w:p>
        </w:tc>
      </w:tr>
    </w:tbl>
    <w:p w14:paraId="00BB308C" w14:textId="77777777" w:rsidR="0034060E" w:rsidRDefault="0034060E" w:rsidP="00453A36">
      <w:pPr>
        <w:pStyle w:val="BodyText"/>
      </w:pPr>
    </w:p>
    <w:p w14:paraId="00BB308D" w14:textId="5406990A"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308F" w14:textId="77777777" w:rsidTr="00453A36">
        <w:tc>
          <w:tcPr>
            <w:tcW w:w="8771" w:type="dxa"/>
            <w:tcBorders>
              <w:top w:val="single" w:sz="6" w:space="0" w:color="78A22F"/>
              <w:left w:val="nil"/>
              <w:bottom w:val="nil"/>
              <w:right w:val="nil"/>
            </w:tcBorders>
            <w:shd w:val="clear" w:color="auto" w:fill="auto"/>
          </w:tcPr>
          <w:p w14:paraId="00BB308E" w14:textId="0C5974BB" w:rsidR="0034060E" w:rsidRPr="00176D3F" w:rsidRDefault="0034060E" w:rsidP="00453A36">
            <w:pPr>
              <w:pStyle w:val="FigureTitle"/>
            </w:pPr>
            <w:r w:rsidRPr="00784A05">
              <w:rPr>
                <w:b w:val="0"/>
              </w:rPr>
              <w:t xml:space="preserve">Figure </w:t>
            </w:r>
            <w:proofErr w:type="spellStart"/>
            <w:r>
              <w:rPr>
                <w:b w:val="0"/>
              </w:rPr>
              <w:t>A.</w:t>
            </w:r>
            <w:r>
              <w:rPr>
                <w:b w:val="0"/>
                <w:noProof/>
              </w:rPr>
              <w:t>2</w:t>
            </w:r>
            <w:proofErr w:type="spellEnd"/>
            <w:r>
              <w:tab/>
              <w:t xml:space="preserve">Supply of labour in the </w:t>
            </w:r>
            <w:proofErr w:type="spellStart"/>
            <w:r>
              <w:t>VUMR</w:t>
            </w:r>
            <w:r>
              <w:noBreakHyphen/>
              <w:t>WR</w:t>
            </w:r>
            <w:proofErr w:type="spellEnd"/>
            <w:r>
              <w:t xml:space="preserve"> model</w:t>
            </w:r>
          </w:p>
        </w:tc>
      </w:tr>
      <w:tr w:rsidR="0034060E" w14:paraId="00BB3093" w14:textId="77777777" w:rsidTr="00453A3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4060E" w14:paraId="00BB3091" w14:textId="77777777" w:rsidTr="00453A36">
              <w:trPr>
                <w:jc w:val="center"/>
              </w:trPr>
              <w:tc>
                <w:tcPr>
                  <w:tcW w:w="5000" w:type="pct"/>
                  <w:tcBorders>
                    <w:top w:val="nil"/>
                    <w:bottom w:val="nil"/>
                  </w:tcBorders>
                </w:tcPr>
                <w:p w14:paraId="00BB3090" w14:textId="399ED090" w:rsidR="0034060E" w:rsidRDefault="003B09CF" w:rsidP="00453A36">
                  <w:pPr>
                    <w:pStyle w:val="Figure"/>
                    <w:spacing w:before="60" w:after="60"/>
                  </w:pPr>
                  <w:r>
                    <w:rPr>
                      <w:noProof/>
                    </w:rPr>
                    <w:drawing>
                      <wp:inline distT="0" distB="0" distL="0" distR="0" wp14:anchorId="3832A7C6" wp14:editId="550D6FFD">
                        <wp:extent cx="5398770" cy="4630420"/>
                        <wp:effectExtent l="0" t="0" r="0" b="0"/>
                        <wp:docPr id="14" name="Picture 14" descr="Figure A.2 Supply of labour in the VUMR-WR model. The chart illustrates that the workers’ choice between award and non-award employment is made after choosing between occupations and before choosing between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98770" cy="4630420"/>
                                </a:xfrm>
                                <a:prstGeom prst="rect">
                                  <a:avLst/>
                                </a:prstGeom>
                                <a:noFill/>
                                <a:ln>
                                  <a:noFill/>
                                </a:ln>
                              </pic:spPr>
                            </pic:pic>
                          </a:graphicData>
                        </a:graphic>
                      </wp:inline>
                    </w:drawing>
                  </w:r>
                </w:p>
              </w:tc>
            </w:tr>
          </w:tbl>
          <w:p w14:paraId="00BB3092" w14:textId="77777777" w:rsidR="0034060E" w:rsidRDefault="0034060E" w:rsidP="00453A36">
            <w:pPr>
              <w:pStyle w:val="Figure"/>
            </w:pPr>
          </w:p>
        </w:tc>
      </w:tr>
      <w:tr w:rsidR="0034060E" w14:paraId="00BB3095" w14:textId="77777777" w:rsidTr="00453A36">
        <w:tc>
          <w:tcPr>
            <w:tcW w:w="8771" w:type="dxa"/>
            <w:tcBorders>
              <w:top w:val="nil"/>
              <w:left w:val="nil"/>
              <w:bottom w:val="single" w:sz="6" w:space="0" w:color="78A22F"/>
              <w:right w:val="nil"/>
            </w:tcBorders>
            <w:shd w:val="clear" w:color="auto" w:fill="auto"/>
          </w:tcPr>
          <w:p w14:paraId="00BB3094" w14:textId="77777777" w:rsidR="0034060E" w:rsidRDefault="0034060E" w:rsidP="00453A36">
            <w:pPr>
              <w:pStyle w:val="Figurespace"/>
            </w:pPr>
          </w:p>
        </w:tc>
      </w:tr>
      <w:tr w:rsidR="0034060E" w:rsidRPr="000863A5" w14:paraId="00BB3097" w14:textId="77777777" w:rsidTr="00453A36">
        <w:tc>
          <w:tcPr>
            <w:tcW w:w="8771" w:type="dxa"/>
            <w:tcBorders>
              <w:top w:val="single" w:sz="6" w:space="0" w:color="78A22F"/>
              <w:left w:val="nil"/>
              <w:bottom w:val="nil"/>
              <w:right w:val="nil"/>
            </w:tcBorders>
          </w:tcPr>
          <w:p w14:paraId="00BB3096" w14:textId="1C2A0913" w:rsidR="0034060E" w:rsidRPr="00626D32" w:rsidRDefault="0034060E" w:rsidP="00453A36">
            <w:pPr>
              <w:pStyle w:val="BoxSpaceBelow"/>
            </w:pPr>
          </w:p>
        </w:tc>
      </w:tr>
    </w:tbl>
    <w:p w14:paraId="00BB3098" w14:textId="77777777" w:rsidR="0034060E" w:rsidRDefault="0034060E" w:rsidP="00453A36">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4A0" w:firstRow="1" w:lastRow="0" w:firstColumn="1" w:lastColumn="0" w:noHBand="0" w:noVBand="1"/>
      </w:tblPr>
      <w:tblGrid>
        <w:gridCol w:w="8771"/>
      </w:tblGrid>
      <w:tr w:rsidR="0034060E" w14:paraId="00BB309A" w14:textId="77777777" w:rsidTr="00453A36">
        <w:tc>
          <w:tcPr>
            <w:tcW w:w="8771" w:type="dxa"/>
            <w:tcBorders>
              <w:top w:val="single" w:sz="6" w:space="0" w:color="auto"/>
              <w:left w:val="single" w:sz="6" w:space="0" w:color="auto"/>
              <w:bottom w:val="nil"/>
              <w:right w:val="single" w:sz="6" w:space="0" w:color="auto"/>
            </w:tcBorders>
            <w:hideMark/>
          </w:tcPr>
          <w:p w14:paraId="00BB3099" w14:textId="77777777" w:rsidR="0034060E" w:rsidRDefault="0034060E">
            <w:pPr>
              <w:pStyle w:val="BoxTitle"/>
            </w:pPr>
            <w:r>
              <w:rPr>
                <w:b w:val="0"/>
              </w:rPr>
              <w:t xml:space="preserve">Box </w:t>
            </w:r>
            <w:proofErr w:type="spellStart"/>
            <w:r>
              <w:rPr>
                <w:b w:val="0"/>
              </w:rPr>
              <w:t>A.1</w:t>
            </w:r>
            <w:proofErr w:type="spellEnd"/>
            <w:r>
              <w:tab/>
              <w:t xml:space="preserve">Equations added to the </w:t>
            </w:r>
            <w:proofErr w:type="spellStart"/>
            <w:r>
              <w:t>VUMR</w:t>
            </w:r>
            <w:r>
              <w:noBreakHyphen/>
              <w:t>WR</w:t>
            </w:r>
            <w:proofErr w:type="spellEnd"/>
            <w:r>
              <w:t xml:space="preserve"> model for this inquiry</w:t>
            </w:r>
          </w:p>
        </w:tc>
      </w:tr>
      <w:tr w:rsidR="0034060E" w14:paraId="00BB30A2" w14:textId="77777777" w:rsidTr="00453A36">
        <w:trPr>
          <w:cantSplit/>
        </w:trPr>
        <w:tc>
          <w:tcPr>
            <w:tcW w:w="8771" w:type="dxa"/>
            <w:tcBorders>
              <w:top w:val="nil"/>
              <w:left w:val="single" w:sz="6" w:space="0" w:color="auto"/>
              <w:bottom w:val="nil"/>
              <w:right w:val="single" w:sz="6" w:space="0" w:color="auto"/>
            </w:tcBorders>
            <w:hideMark/>
          </w:tcPr>
          <w:p w14:paraId="00BB309B" w14:textId="77777777" w:rsidR="0034060E" w:rsidRDefault="0034060E">
            <w:pPr>
              <w:pStyle w:val="Box"/>
              <w:rPr>
                <w:i/>
              </w:rPr>
            </w:pPr>
            <w:r>
              <w:rPr>
                <w:i/>
              </w:rPr>
              <w:t xml:space="preserve">Summary of </w:t>
            </w:r>
            <w:proofErr w:type="spellStart"/>
            <w:r>
              <w:rPr>
                <w:i/>
              </w:rPr>
              <w:t>CES</w:t>
            </w:r>
            <w:proofErr w:type="spellEnd"/>
            <w:r>
              <w:rPr>
                <w:i/>
              </w:rPr>
              <w:t xml:space="preserve"> substitution between award</w:t>
            </w:r>
            <w:r>
              <w:rPr>
                <w:i/>
              </w:rPr>
              <w:noBreakHyphen/>
              <w:t>reliant and other workers – labour supply</w:t>
            </w:r>
          </w:p>
          <w:p w14:paraId="00BB309C"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E_natlab</w:t>
            </w:r>
            <w:proofErr w:type="spellEnd"/>
            <w:r>
              <w:rPr>
                <w:rFonts w:ascii="Consolas" w:hAnsi="Consolas" w:cs="Consolas"/>
                <w:color w:val="000000"/>
              </w:rPr>
              <w:t xml:space="preserve"> </w:t>
            </w:r>
            <w:r>
              <w:rPr>
                <w:rFonts w:ascii="Consolas" w:hAnsi="Consolas" w:cs="Consolas"/>
                <w:i/>
                <w:iCs/>
                <w:color w:val="000000"/>
              </w:rPr>
              <w:t># National supply of labour by occupation &amp; labour type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natlab</w:t>
            </w:r>
            <w:proofErr w:type="spellEnd"/>
            <w:r>
              <w:rPr>
                <w:rFonts w:ascii="Consolas" w:hAnsi="Consolas" w:cs="Consolas"/>
                <w:color w:val="000000"/>
              </w:rPr>
              <w:t>(</w:t>
            </w:r>
            <w:proofErr w:type="spellStart"/>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natlab_c</w:t>
            </w:r>
            <w:proofErr w:type="spellEnd"/>
            <w:r>
              <w:rPr>
                <w:rFonts w:ascii="Consolas" w:hAnsi="Consolas" w:cs="Consolas"/>
                <w:color w:val="000000"/>
              </w:rPr>
              <w:t>(</w:t>
            </w:r>
            <w:r>
              <w:rPr>
                <w:rFonts w:ascii="Consolas" w:hAnsi="Consolas" w:cs="Consolas"/>
                <w:color w:val="008000"/>
              </w:rPr>
              <w:t>o</w:t>
            </w:r>
            <w:r>
              <w:rPr>
                <w:rFonts w:ascii="Consolas" w:hAnsi="Consolas" w:cs="Consolas"/>
                <w:color w:val="000000"/>
              </w:rPr>
              <w:t xml:space="preserve">) + </w:t>
            </w:r>
            <w:proofErr w:type="spellStart"/>
            <w:r>
              <w:rPr>
                <w:rFonts w:ascii="Consolas" w:hAnsi="Consolas" w:cs="Consolas"/>
                <w:color w:val="008000"/>
              </w:rPr>
              <w:t>SIGMALABSC</w:t>
            </w:r>
            <w:proofErr w:type="spellEnd"/>
            <w:r>
              <w:rPr>
                <w:rFonts w:ascii="Consolas" w:hAnsi="Consolas" w:cs="Consolas"/>
                <w:color w:val="000000"/>
              </w:rPr>
              <w:t>*</w:t>
            </w:r>
            <w:r>
              <w:rPr>
                <w:rFonts w:ascii="Consolas" w:hAnsi="Consolas" w:cs="Consolas"/>
                <w:b/>
                <w:bCs/>
                <w:color w:val="000000"/>
              </w:rPr>
              <w:t>[</w:t>
            </w:r>
            <w:proofErr w:type="spellStart"/>
            <w:r>
              <w:rPr>
                <w:rFonts w:ascii="Consolas" w:hAnsi="Consolas" w:cs="Consolas"/>
                <w:color w:val="008000"/>
              </w:rPr>
              <w:t>natpwage_i</w:t>
            </w:r>
            <w:proofErr w:type="spellEnd"/>
            <w:r>
              <w:rPr>
                <w:rFonts w:ascii="Consolas" w:hAnsi="Consolas" w:cs="Consolas"/>
                <w:color w:val="000000"/>
              </w:rPr>
              <w:t>(</w:t>
            </w:r>
            <w:proofErr w:type="spellStart"/>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natpwage_ic</w:t>
            </w:r>
            <w:proofErr w:type="spellEnd"/>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b/>
                <w:bCs/>
                <w:color w:val="000000"/>
              </w:rPr>
              <w:t>]</w:t>
            </w:r>
            <w:r>
              <w:rPr>
                <w:rFonts w:ascii="Consolas" w:hAnsi="Consolas" w:cs="Consolas"/>
                <w:color w:val="000000"/>
              </w:rPr>
              <w:t>;</w:t>
            </w:r>
          </w:p>
          <w:p w14:paraId="00BB309D" w14:textId="77777777" w:rsidR="0034060E" w:rsidRDefault="0034060E">
            <w:pPr>
              <w:pStyle w:val="Box"/>
              <w:jc w:val="left"/>
              <w:rPr>
                <w:rFonts w:ascii="Consolas" w:hAnsi="Consolas" w:cs="Consolas"/>
                <w:b/>
                <w:bC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natlab</w:t>
            </w:r>
            <w:proofErr w:type="spellEnd"/>
            <w:r>
              <w:rPr>
                <w:rFonts w:ascii="Consolas" w:hAnsi="Consolas" w:cs="Consolas"/>
                <w:color w:val="000000"/>
              </w:rPr>
              <w:t>(</w:t>
            </w:r>
            <w:proofErr w:type="spellStart"/>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r>
              <w:rPr>
                <w:rFonts w:ascii="Consolas" w:hAnsi="Consolas" w:cs="Consolas"/>
                <w:i/>
                <w:iCs/>
                <w:color w:val="000000"/>
              </w:rPr>
              <w:t># National labour supply by occupation &amp; labour type (persons) #</w:t>
            </w:r>
            <w:r>
              <w:rPr>
                <w:rFonts w:ascii="Consolas" w:hAnsi="Consolas" w:cs="Consolas"/>
                <w:color w:val="000000"/>
              </w:rPr>
              <w:t>;</w:t>
            </w:r>
          </w:p>
          <w:p w14:paraId="00BB30A1" w14:textId="55224051" w:rsidR="0034060E" w:rsidRPr="00DB489C" w:rsidRDefault="0034060E">
            <w:pPr>
              <w:pStyle w:val="Box"/>
              <w:jc w:val="left"/>
              <w:rPr>
                <w:rFonts w:ascii="Consolas" w:hAnsi="Consolas" w:cs="Consolas"/>
                <w:b/>
                <w:bC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natlab_o</w:t>
            </w:r>
            <w:proofErr w:type="spellEnd"/>
            <w:r>
              <w:rPr>
                <w:rFonts w:ascii="Consolas" w:hAnsi="Consolas" w:cs="Consolas"/>
                <w:color w:val="000000"/>
              </w:rPr>
              <w:t>(</w:t>
            </w:r>
            <w:r>
              <w:rPr>
                <w:rFonts w:ascii="Consolas" w:hAnsi="Consolas" w:cs="Consolas"/>
                <w:color w:val="008000"/>
              </w:rPr>
              <w:t>c</w:t>
            </w:r>
            <w:r>
              <w:rPr>
                <w:rFonts w:ascii="Consolas" w:hAnsi="Consolas" w:cs="Consolas"/>
                <w:color w:val="000000"/>
              </w:rPr>
              <w:t xml:space="preserve">) </w:t>
            </w:r>
            <w:r>
              <w:rPr>
                <w:rFonts w:ascii="Consolas" w:hAnsi="Consolas" w:cs="Consolas"/>
                <w:i/>
                <w:iCs/>
                <w:color w:val="000000"/>
              </w:rPr>
              <w:t># National labour supply by occupation (persons) #</w:t>
            </w:r>
            <w:r>
              <w:rPr>
                <w:rFonts w:ascii="Consolas" w:hAnsi="Consolas" w:cs="Consolas"/>
                <w:color w:val="000000"/>
              </w:rPr>
              <w:t>;</w:t>
            </w:r>
          </w:p>
        </w:tc>
      </w:tr>
      <w:tr w:rsidR="0034060E" w14:paraId="00BB30A4" w14:textId="77777777" w:rsidTr="00453A36">
        <w:trPr>
          <w:cantSplit/>
          <w:trHeight w:val="220"/>
        </w:trPr>
        <w:tc>
          <w:tcPr>
            <w:tcW w:w="8771" w:type="dxa"/>
            <w:tcBorders>
              <w:top w:val="nil"/>
              <w:left w:val="single" w:sz="6" w:space="0" w:color="auto"/>
              <w:bottom w:val="single" w:sz="6" w:space="0" w:color="auto"/>
              <w:right w:val="single" w:sz="6" w:space="0" w:color="auto"/>
            </w:tcBorders>
            <w:hideMark/>
          </w:tcPr>
          <w:p w14:paraId="00BB30A3" w14:textId="77777777" w:rsidR="0034060E" w:rsidRDefault="0034060E">
            <w:pPr>
              <w:pStyle w:val="Continued"/>
            </w:pPr>
            <w:r>
              <w:t>(Continued next page)</w:t>
            </w:r>
          </w:p>
        </w:tc>
      </w:tr>
      <w:tr w:rsidR="0034060E" w14:paraId="00BB30A6" w14:textId="77777777" w:rsidTr="00453A36">
        <w:tc>
          <w:tcPr>
            <w:tcW w:w="8771" w:type="dxa"/>
            <w:tcBorders>
              <w:top w:val="nil"/>
              <w:left w:val="nil"/>
              <w:bottom w:val="nil"/>
              <w:right w:val="nil"/>
            </w:tcBorders>
          </w:tcPr>
          <w:p w14:paraId="00BB30A5" w14:textId="77777777" w:rsidR="0034060E" w:rsidRDefault="0034060E">
            <w:pPr>
              <w:pStyle w:val="BoxSpaceBelow"/>
            </w:pPr>
          </w:p>
        </w:tc>
      </w:tr>
    </w:tbl>
    <w:p w14:paraId="00BB30A7" w14:textId="77777777"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4A0" w:firstRow="1" w:lastRow="0" w:firstColumn="1" w:lastColumn="0" w:noHBand="0" w:noVBand="1"/>
      </w:tblPr>
      <w:tblGrid>
        <w:gridCol w:w="8771"/>
      </w:tblGrid>
      <w:tr w:rsidR="0034060E" w14:paraId="00BB30A9" w14:textId="77777777" w:rsidTr="00D46F34">
        <w:tc>
          <w:tcPr>
            <w:tcW w:w="8771" w:type="dxa"/>
            <w:tcBorders>
              <w:top w:val="single" w:sz="6" w:space="0" w:color="78A22F" w:themeColor="accent1"/>
              <w:left w:val="single" w:sz="6" w:space="0" w:color="78A22F" w:themeColor="accent1"/>
              <w:bottom w:val="nil"/>
              <w:right w:val="single" w:sz="6" w:space="0" w:color="78A22F" w:themeColor="accent1"/>
            </w:tcBorders>
            <w:shd w:val="clear" w:color="auto" w:fill="F2F2F2" w:themeFill="accent4"/>
            <w:hideMark/>
          </w:tcPr>
          <w:p w14:paraId="00BB30A8" w14:textId="77777777" w:rsidR="0034060E" w:rsidRDefault="0034060E">
            <w:pPr>
              <w:pStyle w:val="BoxTitle"/>
              <w:rPr>
                <w:i/>
              </w:rPr>
            </w:pPr>
            <w:r>
              <w:rPr>
                <w:b w:val="0"/>
              </w:rPr>
              <w:t xml:space="preserve">Box </w:t>
            </w:r>
            <w:proofErr w:type="spellStart"/>
            <w:r>
              <w:rPr>
                <w:b w:val="0"/>
              </w:rPr>
              <w:t>A.1</w:t>
            </w:r>
            <w:proofErr w:type="spellEnd"/>
            <w:r>
              <w:tab/>
            </w:r>
            <w:r>
              <w:rPr>
                <w:b w:val="0"/>
                <w:sz w:val="18"/>
                <w:szCs w:val="18"/>
              </w:rPr>
              <w:t>(continued)</w:t>
            </w:r>
          </w:p>
        </w:tc>
      </w:tr>
      <w:tr w:rsidR="0034060E" w14:paraId="00BB30B6" w14:textId="77777777" w:rsidTr="00D46F34">
        <w:trPr>
          <w:cantSplit/>
        </w:trPr>
        <w:tc>
          <w:tcPr>
            <w:tcW w:w="8771" w:type="dxa"/>
            <w:tcBorders>
              <w:top w:val="nil"/>
              <w:left w:val="single" w:sz="6" w:space="0" w:color="78A22F" w:themeColor="accent1"/>
              <w:bottom w:val="nil"/>
              <w:right w:val="single" w:sz="6" w:space="0" w:color="78A22F" w:themeColor="accent1"/>
            </w:tcBorders>
            <w:shd w:val="clear" w:color="auto" w:fill="F2F2F2" w:themeFill="accent4"/>
            <w:hideMark/>
          </w:tcPr>
          <w:p w14:paraId="3438FC91" w14:textId="77777777" w:rsidR="00DB489C" w:rsidRDefault="00DB489C" w:rsidP="00DB489C">
            <w:pPr>
              <w:pStyle w:val="Box"/>
              <w:jc w:val="left"/>
              <w:rPr>
                <w:rFonts w:ascii="Consolas" w:hAnsi="Consolas" w:cs="Consolas"/>
                <w:color w:val="000000"/>
              </w:rPr>
            </w:pPr>
            <w:r>
              <w:rPr>
                <w:rFonts w:ascii="Consolas" w:hAnsi="Consolas" w:cs="Consolas"/>
                <w:b/>
                <w:bCs/>
                <w:color w:val="000000"/>
              </w:rPr>
              <w:t>Coefficient</w:t>
            </w:r>
            <w:r>
              <w:rPr>
                <w:rFonts w:ascii="Consolas" w:hAnsi="Consolas" w:cs="Consolas"/>
                <w:color w:val="000000"/>
              </w:rPr>
              <w:t xml:space="preserve"> (</w:t>
            </w:r>
            <w:r>
              <w:rPr>
                <w:rFonts w:ascii="Consolas" w:hAnsi="Consolas" w:cs="Consolas"/>
                <w:b/>
                <w:bCs/>
                <w:color w:val="000000"/>
              </w:rPr>
              <w:t>parameter</w:t>
            </w:r>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SIGMALABSC</w:t>
            </w:r>
            <w:proofErr w:type="spellEnd"/>
            <w:r>
              <w:rPr>
                <w:rFonts w:ascii="Consolas" w:hAnsi="Consolas" w:cs="Consolas"/>
                <w:color w:val="000000"/>
              </w:rPr>
              <w:t xml:space="preserve"> </w:t>
            </w:r>
            <w:r>
              <w:rPr>
                <w:rFonts w:ascii="Consolas" w:hAnsi="Consolas" w:cs="Consolas"/>
                <w:i/>
                <w:iCs/>
                <w:color w:val="000000"/>
              </w:rPr>
              <w:t xml:space="preserve"># </w:t>
            </w:r>
            <w:proofErr w:type="spellStart"/>
            <w:r>
              <w:rPr>
                <w:rFonts w:ascii="Consolas" w:hAnsi="Consolas" w:cs="Consolas"/>
                <w:i/>
                <w:iCs/>
                <w:color w:val="000000"/>
              </w:rPr>
              <w:t>CET</w:t>
            </w:r>
            <w:proofErr w:type="spellEnd"/>
            <w:r>
              <w:rPr>
                <w:rFonts w:ascii="Consolas" w:hAnsi="Consolas" w:cs="Consolas"/>
                <w:i/>
                <w:iCs/>
                <w:color w:val="000000"/>
              </w:rPr>
              <w:t xml:space="preserve"> elasticity of labour supply across labour types #</w:t>
            </w:r>
            <w:r>
              <w:rPr>
                <w:rFonts w:ascii="Consolas" w:hAnsi="Consolas" w:cs="Consolas"/>
                <w:color w:val="000000"/>
              </w:rPr>
              <w:t>;</w:t>
            </w:r>
            <w:r>
              <w:rPr>
                <w:rFonts w:ascii="Consolas" w:hAnsi="Consolas" w:cs="Consolas"/>
                <w:color w:val="000000"/>
              </w:rPr>
              <w:br/>
            </w:r>
            <w:r>
              <w:rPr>
                <w:rFonts w:ascii="Consolas" w:hAnsi="Consolas" w:cs="Consolas"/>
                <w:b/>
                <w:bCs/>
                <w:color w:val="000000"/>
              </w:rPr>
              <w:t>Read</w:t>
            </w:r>
            <w:r>
              <w:rPr>
                <w:rFonts w:ascii="Consolas" w:hAnsi="Consolas" w:cs="Consolas"/>
                <w:color w:val="000000"/>
              </w:rPr>
              <w:t xml:space="preserve"> </w:t>
            </w:r>
            <w:proofErr w:type="spellStart"/>
            <w:r>
              <w:rPr>
                <w:rFonts w:ascii="Consolas" w:hAnsi="Consolas" w:cs="Consolas"/>
                <w:color w:val="008000"/>
              </w:rPr>
              <w:t>SIGMALABSC</w:t>
            </w:r>
            <w:proofErr w:type="spellEnd"/>
            <w:r>
              <w:rPr>
                <w:rFonts w:ascii="Consolas" w:hAnsi="Consolas" w:cs="Consolas"/>
                <w:color w:val="000000"/>
              </w:rPr>
              <w:t xml:space="preserve"> </w:t>
            </w:r>
            <w:r>
              <w:rPr>
                <w:rFonts w:ascii="Consolas" w:hAnsi="Consolas" w:cs="Consolas"/>
                <w:b/>
                <w:bCs/>
                <w:color w:val="000000"/>
              </w:rPr>
              <w:t>from</w:t>
            </w:r>
            <w:r>
              <w:rPr>
                <w:rFonts w:ascii="Consolas" w:hAnsi="Consolas" w:cs="Consolas"/>
                <w:color w:val="000000"/>
              </w:rPr>
              <w:t xml:space="preserve"> </w:t>
            </w:r>
            <w:r>
              <w:rPr>
                <w:rFonts w:ascii="Consolas" w:hAnsi="Consolas" w:cs="Consolas"/>
                <w:b/>
                <w:bCs/>
                <w:color w:val="000000"/>
              </w:rPr>
              <w:t>file</w:t>
            </w:r>
            <w:r>
              <w:rPr>
                <w:rFonts w:ascii="Consolas" w:hAnsi="Consolas" w:cs="Consolas"/>
                <w:color w:val="000000"/>
              </w:rPr>
              <w:t xml:space="preserve"> </w:t>
            </w:r>
            <w:proofErr w:type="spellStart"/>
            <w:r>
              <w:rPr>
                <w:rFonts w:ascii="Consolas" w:hAnsi="Consolas" w:cs="Consolas"/>
                <w:color w:val="008000"/>
              </w:rPr>
              <w:t>COHORTDATA</w:t>
            </w:r>
            <w:proofErr w:type="spellEnd"/>
            <w:r>
              <w:rPr>
                <w:rFonts w:ascii="Consolas" w:hAnsi="Consolas" w:cs="Consolas"/>
                <w:color w:val="000000"/>
              </w:rPr>
              <w:t xml:space="preserve"> </w:t>
            </w:r>
            <w:r>
              <w:rPr>
                <w:rFonts w:ascii="Consolas" w:hAnsi="Consolas" w:cs="Consolas"/>
                <w:b/>
                <w:bCs/>
                <w:color w:val="000000"/>
              </w:rPr>
              <w:t>header</w:t>
            </w:r>
            <w:r>
              <w:rPr>
                <w:rFonts w:ascii="Consolas" w:hAnsi="Consolas" w:cs="Consolas"/>
                <w:color w:val="000000"/>
              </w:rPr>
              <w:t xml:space="preserve"> </w:t>
            </w:r>
            <w:r>
              <w:rPr>
                <w:rFonts w:ascii="Consolas" w:hAnsi="Consolas" w:cs="Consolas"/>
                <w:i/>
                <w:iCs/>
                <w:color w:val="800000"/>
              </w:rPr>
              <w:t>"</w:t>
            </w:r>
            <w:proofErr w:type="spellStart"/>
            <w:r>
              <w:rPr>
                <w:rFonts w:ascii="Consolas" w:hAnsi="Consolas" w:cs="Consolas"/>
                <w:i/>
                <w:iCs/>
                <w:color w:val="800000"/>
              </w:rPr>
              <w:t>SLTY</w:t>
            </w:r>
            <w:proofErr w:type="spellEnd"/>
            <w:r>
              <w:rPr>
                <w:rFonts w:ascii="Consolas" w:hAnsi="Consolas" w:cs="Consolas"/>
                <w:i/>
                <w:iCs/>
                <w:color w:val="800000"/>
              </w:rPr>
              <w:t>"</w:t>
            </w:r>
            <w:r>
              <w:rPr>
                <w:rFonts w:ascii="Consolas" w:hAnsi="Consolas" w:cs="Consolas"/>
                <w:color w:val="000000"/>
              </w:rPr>
              <w:t>;</w:t>
            </w:r>
          </w:p>
          <w:p w14:paraId="093E15A7" w14:textId="77777777" w:rsidR="00DB489C" w:rsidRDefault="00DB489C" w:rsidP="00DB489C">
            <w:pPr>
              <w:pStyle w:val="Box"/>
              <w:jc w:val="left"/>
              <w:rPr>
                <w:rFonts w:ascii="Consolas" w:hAnsi="Consolas" w:cs="Consola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natpwage_i</w:t>
            </w:r>
            <w:proofErr w:type="spellEnd"/>
            <w:r>
              <w:rPr>
                <w:rFonts w:ascii="Consolas" w:hAnsi="Consolas" w:cs="Consolas"/>
                <w:color w:val="000000"/>
              </w:rPr>
              <w:t>(</w:t>
            </w:r>
            <w:proofErr w:type="spellStart"/>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r>
              <w:rPr>
                <w:rFonts w:ascii="Consolas" w:hAnsi="Consolas" w:cs="Consolas"/>
                <w:i/>
                <w:iCs/>
                <w:color w:val="000000"/>
              </w:rPr>
              <w:t xml:space="preserve"># Nominal wage rate for occupation </w:t>
            </w:r>
            <w:proofErr w:type="spellStart"/>
            <w:r>
              <w:rPr>
                <w:rFonts w:ascii="Consolas" w:hAnsi="Consolas" w:cs="Consolas"/>
                <w:i/>
                <w:iCs/>
                <w:color w:val="000000"/>
              </w:rPr>
              <w:t>o</w:t>
            </w:r>
            <w:proofErr w:type="spellEnd"/>
            <w:r>
              <w:rPr>
                <w:rFonts w:ascii="Consolas" w:hAnsi="Consolas" w:cs="Consolas"/>
                <w:i/>
                <w:iCs/>
                <w:color w:val="000000"/>
              </w:rPr>
              <w:t xml:space="preserve"> #</w:t>
            </w:r>
            <w:r>
              <w:rPr>
                <w:rFonts w:ascii="Consolas" w:hAnsi="Consolas" w:cs="Consolas"/>
                <w:color w:val="000000"/>
              </w:rPr>
              <w:t>;</w:t>
            </w:r>
          </w:p>
          <w:p w14:paraId="26D26ED5" w14:textId="65DA44F5" w:rsidR="00DB489C" w:rsidRDefault="00DB489C" w:rsidP="00DB489C">
            <w:pPr>
              <w:pStyle w:val="Box"/>
              <w:rPr>
                <w:rFonts w:ascii="Consolas" w:hAnsi="Consolas" w:cs="Consolas"/>
                <w:color w:val="000000"/>
              </w:rPr>
            </w:pPr>
            <w:r>
              <w:rPr>
                <w:rFonts w:ascii="Consolas" w:hAnsi="Consolas" w:cs="Consolas"/>
                <w:b/>
                <w:bCs/>
                <w:color w:val="000000"/>
              </w:rPr>
              <w:t>Variable</w:t>
            </w:r>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natpwage_ic</w:t>
            </w:r>
            <w:proofErr w:type="spellEnd"/>
            <w:r>
              <w:rPr>
                <w:rFonts w:ascii="Consolas" w:hAnsi="Consolas" w:cs="Consolas"/>
                <w:color w:val="000000"/>
              </w:rPr>
              <w:t>(</w:t>
            </w:r>
            <w:r>
              <w:rPr>
                <w:rFonts w:ascii="Consolas" w:hAnsi="Consolas" w:cs="Consolas"/>
                <w:color w:val="008000"/>
              </w:rPr>
              <w:t>o</w:t>
            </w:r>
            <w:r>
              <w:rPr>
                <w:rFonts w:ascii="Consolas" w:hAnsi="Consolas" w:cs="Consolas"/>
                <w:color w:val="000000"/>
              </w:rPr>
              <w:t xml:space="preserve">) </w:t>
            </w:r>
            <w:r>
              <w:rPr>
                <w:rFonts w:ascii="Consolas" w:hAnsi="Consolas" w:cs="Consolas"/>
                <w:i/>
                <w:iCs/>
                <w:color w:val="000000"/>
              </w:rPr>
              <w:t xml:space="preserve"># Nominal wage rate for occupation </w:t>
            </w:r>
            <w:proofErr w:type="spellStart"/>
            <w:r>
              <w:rPr>
                <w:rFonts w:ascii="Consolas" w:hAnsi="Consolas" w:cs="Consolas"/>
                <w:i/>
                <w:iCs/>
                <w:color w:val="000000"/>
              </w:rPr>
              <w:t>o</w:t>
            </w:r>
            <w:proofErr w:type="spellEnd"/>
            <w:r>
              <w:rPr>
                <w:rFonts w:ascii="Consolas" w:hAnsi="Consolas" w:cs="Consolas"/>
                <w:i/>
                <w:iCs/>
                <w:color w:val="000000"/>
              </w:rPr>
              <w:t xml:space="preserve"> #</w:t>
            </w:r>
            <w:r>
              <w:rPr>
                <w:rFonts w:ascii="Consolas" w:hAnsi="Consolas" w:cs="Consolas"/>
                <w:color w:val="000000"/>
              </w:rPr>
              <w:t>;</w:t>
            </w:r>
          </w:p>
          <w:p w14:paraId="00BB30AA" w14:textId="71F2A410" w:rsidR="0034060E" w:rsidRDefault="0034060E" w:rsidP="00DB489C">
            <w:pPr>
              <w:pStyle w:val="Box"/>
              <w:rPr>
                <w:i/>
              </w:rPr>
            </w:pPr>
            <w:r>
              <w:rPr>
                <w:i/>
              </w:rPr>
              <w:t xml:space="preserve">Summary of </w:t>
            </w:r>
            <w:proofErr w:type="spellStart"/>
            <w:r>
              <w:rPr>
                <w:i/>
              </w:rPr>
              <w:t>CES</w:t>
            </w:r>
            <w:proofErr w:type="spellEnd"/>
            <w:r>
              <w:rPr>
                <w:i/>
              </w:rPr>
              <w:t xml:space="preserve"> substitution between award</w:t>
            </w:r>
            <w:r>
              <w:rPr>
                <w:i/>
              </w:rPr>
              <w:noBreakHyphen/>
              <w:t>reliant and other workers – labour demand</w:t>
            </w:r>
          </w:p>
          <w:p w14:paraId="00BB30AB"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E_x1lab</w:t>
            </w:r>
            <w:proofErr w:type="spellEnd"/>
            <w:r>
              <w:rPr>
                <w:rFonts w:ascii="Consolas" w:hAnsi="Consolas" w:cs="Consolas"/>
                <w:color w:val="000000"/>
              </w:rPr>
              <w:t xml:space="preserve"> </w:t>
            </w:r>
            <w:r>
              <w:rPr>
                <w:rFonts w:ascii="Consolas" w:hAnsi="Consolas" w:cs="Consolas"/>
                <w:i/>
                <w:iCs/>
                <w:color w:val="000000"/>
              </w:rPr>
              <w:t># Industry demand for effective labour by state, occupation &amp; skill type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x1lab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w:t>
            </w:r>
            <w:r>
              <w:rPr>
                <w:rFonts w:ascii="Consolas" w:hAnsi="Consolas" w:cs="Consolas"/>
                <w:color w:val="000000"/>
              </w:rPr>
              <w:br/>
              <w:t xml:space="preserve">    </w:t>
            </w:r>
            <w:proofErr w:type="spellStart"/>
            <w:r>
              <w:rPr>
                <w:rFonts w:ascii="Consolas" w:hAnsi="Consolas" w:cs="Consolas"/>
                <w:color w:val="008000"/>
              </w:rPr>
              <w:t>x1lab_c</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 xml:space="preserve">) + ... - </w:t>
            </w:r>
            <w:proofErr w:type="spellStart"/>
            <w:r>
              <w:rPr>
                <w:rFonts w:ascii="Consolas" w:hAnsi="Consolas" w:cs="Consolas"/>
                <w:color w:val="008000"/>
              </w:rPr>
              <w:t>SIGMA1LABC</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w:t>
            </w:r>
            <w:r>
              <w:rPr>
                <w:rFonts w:ascii="Consolas" w:hAnsi="Consolas" w:cs="Consolas"/>
                <w:b/>
                <w:bCs/>
                <w:color w:val="000000"/>
              </w:rPr>
              <w:t>[</w:t>
            </w:r>
            <w:proofErr w:type="spellStart"/>
            <w:r>
              <w:rPr>
                <w:rFonts w:ascii="Consolas" w:hAnsi="Consolas" w:cs="Consolas"/>
                <w:color w:val="008000"/>
              </w:rPr>
              <w:t>p1lab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r>
              <w:rPr>
                <w:rFonts w:ascii="Consolas" w:hAnsi="Consolas" w:cs="Consolas"/>
                <w:color w:val="008000"/>
              </w:rPr>
              <w:t>...</w:t>
            </w:r>
            <w:r>
              <w:rPr>
                <w:rFonts w:ascii="Consolas" w:hAnsi="Consolas" w:cs="Consolas"/>
                <w:color w:val="000000"/>
              </w:rPr>
              <w:t xml:space="preserve"> - </w:t>
            </w:r>
            <w:proofErr w:type="spellStart"/>
            <w:r>
              <w:rPr>
                <w:rFonts w:ascii="Consolas" w:hAnsi="Consolas" w:cs="Consolas"/>
                <w:color w:val="008000"/>
              </w:rPr>
              <w:t>p1lab_c</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p>
          <w:p w14:paraId="00BB30AC" w14:textId="77777777" w:rsidR="0034060E" w:rsidRDefault="0034060E">
            <w:pPr>
              <w:pStyle w:val="Box"/>
              <w:jc w:val="left"/>
              <w:rPr>
                <w:rFonts w:ascii="Consolas" w:hAnsi="Consolas" w:cs="Consolas"/>
                <w:b/>
                <w:bC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x1lab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color w:val="000000"/>
              </w:rPr>
              <w:br/>
            </w:r>
            <w:r>
              <w:rPr>
                <w:rFonts w:ascii="Consolas" w:hAnsi="Consolas" w:cs="Consolas"/>
                <w:i/>
                <w:iCs/>
                <w:color w:val="000000"/>
              </w:rPr>
              <w:t xml:space="preserve"># Employment (hours) of skill type c, occupation o in industry </w:t>
            </w:r>
            <w:proofErr w:type="spellStart"/>
            <w:r>
              <w:rPr>
                <w:rFonts w:ascii="Consolas" w:hAnsi="Consolas" w:cs="Consolas"/>
                <w:i/>
                <w:iCs/>
                <w:color w:val="000000"/>
              </w:rPr>
              <w:t>i</w:t>
            </w:r>
            <w:proofErr w:type="spellEnd"/>
            <w:r>
              <w:rPr>
                <w:rFonts w:ascii="Consolas" w:hAnsi="Consolas" w:cs="Consolas"/>
                <w:i/>
                <w:iCs/>
                <w:color w:val="000000"/>
              </w:rPr>
              <w:t xml:space="preserve"> in state q #</w:t>
            </w:r>
            <w:r>
              <w:rPr>
                <w:rFonts w:ascii="Consolas" w:hAnsi="Consolas" w:cs="Consolas"/>
                <w:color w:val="000000"/>
              </w:rPr>
              <w:t>;</w:t>
            </w:r>
          </w:p>
          <w:p w14:paraId="00BB30AD" w14:textId="77777777" w:rsidR="0034060E" w:rsidRDefault="0034060E">
            <w:pPr>
              <w:pStyle w:val="Box"/>
              <w:rPr>
                <w:i/>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 xml:space="preserve">) </w:t>
            </w:r>
            <w:proofErr w:type="spellStart"/>
            <w:r>
              <w:rPr>
                <w:rFonts w:ascii="Consolas" w:hAnsi="Consolas" w:cs="Consolas"/>
                <w:color w:val="008000"/>
              </w:rPr>
              <w:t>x1lab_c</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w:t>
            </w:r>
            <w:r>
              <w:rPr>
                <w:rFonts w:ascii="Consolas" w:hAnsi="Consolas" w:cs="Consolas"/>
                <w:color w:val="000000"/>
              </w:rPr>
              <w:br/>
            </w:r>
            <w:r>
              <w:rPr>
                <w:rFonts w:ascii="Consolas" w:hAnsi="Consolas" w:cs="Consolas"/>
                <w:i/>
                <w:iCs/>
                <w:color w:val="000000"/>
              </w:rPr>
              <w:t xml:space="preserve"># Employment (hours) of occupation type o in industry </w:t>
            </w:r>
            <w:proofErr w:type="spellStart"/>
            <w:r>
              <w:rPr>
                <w:rFonts w:ascii="Consolas" w:hAnsi="Consolas" w:cs="Consolas"/>
                <w:i/>
                <w:iCs/>
                <w:color w:val="000000"/>
              </w:rPr>
              <w:t>i</w:t>
            </w:r>
            <w:proofErr w:type="spellEnd"/>
            <w:r>
              <w:rPr>
                <w:rFonts w:ascii="Consolas" w:hAnsi="Consolas" w:cs="Consolas"/>
                <w:i/>
                <w:iCs/>
                <w:color w:val="000000"/>
              </w:rPr>
              <w:t xml:space="preserve"> in state q #</w:t>
            </w:r>
            <w:r>
              <w:rPr>
                <w:rFonts w:ascii="Consolas" w:hAnsi="Consolas" w:cs="Consolas"/>
                <w:color w:val="000000"/>
              </w:rPr>
              <w:t>;</w:t>
            </w:r>
          </w:p>
          <w:p w14:paraId="00BB30AE" w14:textId="77777777" w:rsidR="0034060E" w:rsidRDefault="0034060E">
            <w:pPr>
              <w:pStyle w:val="Box"/>
              <w:rPr>
                <w:i/>
              </w:rPr>
            </w:pPr>
            <w:r>
              <w:rPr>
                <w:i/>
              </w:rPr>
              <w:t xml:space="preserve">Summary of </w:t>
            </w:r>
            <w:proofErr w:type="spellStart"/>
            <w:r>
              <w:rPr>
                <w:i/>
              </w:rPr>
              <w:t>CES</w:t>
            </w:r>
            <w:proofErr w:type="spellEnd"/>
            <w:r>
              <w:rPr>
                <w:i/>
              </w:rPr>
              <w:t xml:space="preserve"> substitution between award</w:t>
            </w:r>
            <w:r>
              <w:rPr>
                <w:i/>
              </w:rPr>
              <w:noBreakHyphen/>
              <w:t>reliant and other workers – labour demand continued ...</w:t>
            </w:r>
          </w:p>
          <w:p w14:paraId="00BB30AF" w14:textId="77777777" w:rsidR="0034060E" w:rsidRDefault="0034060E">
            <w:pPr>
              <w:pStyle w:val="Box"/>
              <w:jc w:val="left"/>
              <w:rPr>
                <w:rFonts w:ascii="Consolas" w:hAnsi="Consolas" w:cs="Consolas"/>
                <w:color w:val="000000"/>
              </w:rPr>
            </w:pPr>
            <w:r>
              <w:rPr>
                <w:rFonts w:ascii="Consolas" w:hAnsi="Consolas" w:cs="Consolas"/>
                <w:b/>
                <w:bCs/>
                <w:color w:val="000000"/>
              </w:rPr>
              <w:t>Coefficient</w:t>
            </w:r>
            <w:r>
              <w:rPr>
                <w:rFonts w:ascii="Consolas" w:hAnsi="Consolas" w:cs="Consolas"/>
                <w:color w:val="000000"/>
              </w:rPr>
              <w:t xml:space="preserve"> (</w:t>
            </w:r>
            <w:r>
              <w:rPr>
                <w:rFonts w:ascii="Consolas" w:hAnsi="Consolas" w:cs="Consolas"/>
                <w:b/>
                <w:bCs/>
                <w:color w:val="000000"/>
              </w:rPr>
              <w:t>parameter</w:t>
            </w:r>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SIGMA1LABC</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 xml:space="preserve">) </w:t>
            </w:r>
            <w:r>
              <w:rPr>
                <w:rFonts w:ascii="Consolas" w:hAnsi="Consolas" w:cs="Consolas"/>
                <w:i/>
                <w:iCs/>
                <w:color w:val="000000"/>
              </w:rPr>
              <w:t xml:space="preserve"># </w:t>
            </w:r>
            <w:proofErr w:type="spellStart"/>
            <w:r>
              <w:rPr>
                <w:rFonts w:ascii="Consolas" w:hAnsi="Consolas" w:cs="Consolas"/>
                <w:i/>
                <w:iCs/>
                <w:color w:val="000000"/>
              </w:rPr>
              <w:t>CES</w:t>
            </w:r>
            <w:proofErr w:type="spellEnd"/>
            <w:r>
              <w:rPr>
                <w:rFonts w:ascii="Consolas" w:hAnsi="Consolas" w:cs="Consolas"/>
                <w:i/>
                <w:iCs/>
                <w:color w:val="000000"/>
              </w:rPr>
              <w:t xml:space="preserve"> substitution </w:t>
            </w:r>
            <w:proofErr w:type="spellStart"/>
            <w:r>
              <w:rPr>
                <w:rFonts w:ascii="Consolas" w:hAnsi="Consolas" w:cs="Consolas"/>
                <w:i/>
                <w:iCs/>
                <w:color w:val="000000"/>
              </w:rPr>
              <w:t>elasticities</w:t>
            </w:r>
            <w:proofErr w:type="spellEnd"/>
            <w:r>
              <w:rPr>
                <w:rFonts w:ascii="Consolas" w:hAnsi="Consolas" w:cs="Consolas"/>
                <w:i/>
                <w:iCs/>
                <w:color w:val="000000"/>
              </w:rPr>
              <w:t xml:space="preserve"> between labour types #</w:t>
            </w:r>
            <w:r>
              <w:rPr>
                <w:rFonts w:ascii="Consolas" w:hAnsi="Consolas" w:cs="Consolas"/>
                <w:color w:val="000000"/>
              </w:rPr>
              <w:t>;</w:t>
            </w:r>
            <w:r>
              <w:rPr>
                <w:rFonts w:ascii="Consolas" w:hAnsi="Consolas" w:cs="Consolas"/>
                <w:color w:val="000000"/>
              </w:rPr>
              <w:br/>
            </w:r>
            <w:r>
              <w:rPr>
                <w:rFonts w:ascii="Consolas" w:hAnsi="Consolas" w:cs="Consolas"/>
                <w:b/>
                <w:bCs/>
                <w:color w:val="000000"/>
              </w:rPr>
              <w:t>Read</w:t>
            </w:r>
            <w:r>
              <w:rPr>
                <w:rFonts w:ascii="Consolas" w:hAnsi="Consolas" w:cs="Consolas"/>
                <w:color w:val="000000"/>
              </w:rPr>
              <w:t xml:space="preserve"> </w:t>
            </w:r>
            <w:proofErr w:type="spellStart"/>
            <w:r>
              <w:rPr>
                <w:rFonts w:ascii="Consolas" w:hAnsi="Consolas" w:cs="Consolas"/>
                <w:color w:val="008000"/>
              </w:rPr>
              <w:t>SIGMA1LABC</w:t>
            </w:r>
            <w:proofErr w:type="spellEnd"/>
            <w:r>
              <w:rPr>
                <w:rFonts w:ascii="Consolas" w:hAnsi="Consolas" w:cs="Consolas"/>
                <w:color w:val="000000"/>
              </w:rPr>
              <w:t xml:space="preserve"> </w:t>
            </w:r>
            <w:r>
              <w:rPr>
                <w:rFonts w:ascii="Consolas" w:hAnsi="Consolas" w:cs="Consolas"/>
                <w:b/>
                <w:bCs/>
                <w:color w:val="000000"/>
              </w:rPr>
              <w:t>from</w:t>
            </w:r>
            <w:r>
              <w:rPr>
                <w:rFonts w:ascii="Consolas" w:hAnsi="Consolas" w:cs="Consolas"/>
                <w:color w:val="000000"/>
              </w:rPr>
              <w:t xml:space="preserve"> </w:t>
            </w:r>
            <w:r>
              <w:rPr>
                <w:rFonts w:ascii="Consolas" w:hAnsi="Consolas" w:cs="Consolas"/>
                <w:b/>
                <w:bCs/>
                <w:color w:val="000000"/>
              </w:rPr>
              <w:t>file</w:t>
            </w:r>
            <w:r>
              <w:rPr>
                <w:rFonts w:ascii="Consolas" w:hAnsi="Consolas" w:cs="Consolas"/>
                <w:color w:val="000000"/>
              </w:rPr>
              <w:t xml:space="preserve"> </w:t>
            </w:r>
            <w:proofErr w:type="spellStart"/>
            <w:r>
              <w:rPr>
                <w:rFonts w:ascii="Consolas" w:hAnsi="Consolas" w:cs="Consolas"/>
                <w:color w:val="008000"/>
              </w:rPr>
              <w:t>MDATA</w:t>
            </w:r>
            <w:proofErr w:type="spellEnd"/>
            <w:r>
              <w:rPr>
                <w:rFonts w:ascii="Consolas" w:hAnsi="Consolas" w:cs="Consolas"/>
                <w:color w:val="000000"/>
              </w:rPr>
              <w:t xml:space="preserve"> </w:t>
            </w:r>
            <w:r>
              <w:rPr>
                <w:rFonts w:ascii="Consolas" w:hAnsi="Consolas" w:cs="Consolas"/>
                <w:b/>
                <w:bCs/>
                <w:color w:val="000000"/>
              </w:rPr>
              <w:t>header</w:t>
            </w:r>
            <w:r>
              <w:rPr>
                <w:rFonts w:ascii="Consolas" w:hAnsi="Consolas" w:cs="Consolas"/>
                <w:color w:val="000000"/>
              </w:rPr>
              <w:t xml:space="preserve"> </w:t>
            </w:r>
            <w:r>
              <w:rPr>
                <w:rFonts w:ascii="Consolas" w:hAnsi="Consolas" w:cs="Consolas"/>
                <w:i/>
                <w:iCs/>
                <w:color w:val="800000"/>
              </w:rPr>
              <w:t>"</w:t>
            </w:r>
            <w:proofErr w:type="spellStart"/>
            <w:r>
              <w:rPr>
                <w:rFonts w:ascii="Consolas" w:hAnsi="Consolas" w:cs="Consolas"/>
                <w:i/>
                <w:iCs/>
                <w:color w:val="800000"/>
              </w:rPr>
              <w:t>SLOC</w:t>
            </w:r>
            <w:proofErr w:type="spellEnd"/>
            <w:r>
              <w:rPr>
                <w:rFonts w:ascii="Consolas" w:hAnsi="Consolas" w:cs="Consolas"/>
                <w:i/>
                <w:iCs/>
                <w:color w:val="800000"/>
              </w:rPr>
              <w:t>"</w:t>
            </w:r>
            <w:r>
              <w:rPr>
                <w:rFonts w:ascii="Consolas" w:hAnsi="Consolas" w:cs="Consolas"/>
                <w:color w:val="000000"/>
              </w:rPr>
              <w:t>;</w:t>
            </w:r>
          </w:p>
          <w:p w14:paraId="00BB30B0" w14:textId="77777777" w:rsidR="0034060E" w:rsidRDefault="0034060E">
            <w:pPr>
              <w:pStyle w:val="Box"/>
              <w:jc w:val="left"/>
              <w:rPr>
                <w:rFonts w:ascii="Consolas" w:hAnsi="Consolas" w:cs="Consola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p1lab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r>
              <w:rPr>
                <w:rFonts w:ascii="Consolas" w:hAnsi="Consolas" w:cs="Consolas"/>
                <w:i/>
                <w:iCs/>
                <w:color w:val="000000"/>
              </w:rPr>
              <w:t># Unit cost of labour by industry, state, occupation &amp; labour type #</w:t>
            </w:r>
            <w:r>
              <w:rPr>
                <w:rFonts w:ascii="Consolas" w:hAnsi="Consolas" w:cs="Consolas"/>
                <w:color w:val="000000"/>
              </w:rPr>
              <w:t>;</w:t>
            </w:r>
          </w:p>
          <w:p w14:paraId="00BB30B1" w14:textId="77777777" w:rsidR="0034060E" w:rsidRDefault="0034060E">
            <w:pPr>
              <w:pStyle w:val="Box"/>
              <w:jc w:val="left"/>
              <w:rPr>
                <w:rFonts w:ascii="Consolas" w:hAnsi="Consolas" w:cs="Consolas"/>
                <w:b/>
                <w:bCs/>
                <w:color w:val="000000"/>
              </w:rPr>
            </w:pPr>
            <w:r>
              <w:rPr>
                <w:rFonts w:ascii="Consolas" w:hAnsi="Consolas" w:cs="Consolas"/>
                <w:b/>
                <w:bCs/>
                <w:color w:val="000000"/>
              </w:rPr>
              <w:t>Variable</w:t>
            </w:r>
            <w:r>
              <w:rPr>
                <w:rFonts w:ascii="Consolas" w:hAnsi="Consolas" w:cs="Consolas"/>
                <w:color w:val="000000"/>
              </w:rPr>
              <w:t xml:space="preserve">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p1lab_c</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proofErr w:type="spellEnd"/>
            <w:r>
              <w:rPr>
                <w:rFonts w:ascii="Consolas" w:hAnsi="Consolas" w:cs="Consolas"/>
                <w:color w:val="000000"/>
              </w:rPr>
              <w:t xml:space="preserve">) </w:t>
            </w:r>
            <w:r>
              <w:rPr>
                <w:rFonts w:ascii="Consolas" w:hAnsi="Consolas" w:cs="Consolas"/>
                <w:i/>
                <w:iCs/>
                <w:color w:val="000000"/>
              </w:rPr>
              <w:t xml:space="preserve"># Unit cost of occupation o in industry </w:t>
            </w:r>
            <w:proofErr w:type="spellStart"/>
            <w:r>
              <w:rPr>
                <w:rFonts w:ascii="Consolas" w:hAnsi="Consolas" w:cs="Consolas"/>
                <w:i/>
                <w:iCs/>
                <w:color w:val="000000"/>
              </w:rPr>
              <w:t>i</w:t>
            </w:r>
            <w:proofErr w:type="spellEnd"/>
            <w:r>
              <w:rPr>
                <w:rFonts w:ascii="Consolas" w:hAnsi="Consolas" w:cs="Consolas"/>
                <w:i/>
                <w:iCs/>
                <w:color w:val="000000"/>
              </w:rPr>
              <w:t xml:space="preserve"> in state q #</w:t>
            </w:r>
            <w:r>
              <w:rPr>
                <w:rFonts w:ascii="Consolas" w:hAnsi="Consolas" w:cs="Consolas"/>
                <w:color w:val="000000"/>
              </w:rPr>
              <w:t>;</w:t>
            </w:r>
          </w:p>
          <w:p w14:paraId="00BB30B5" w14:textId="4FCAEACE"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E_p1lab</w:t>
            </w:r>
            <w:proofErr w:type="spellEnd"/>
            <w:r>
              <w:rPr>
                <w:rFonts w:ascii="Consolas" w:hAnsi="Consolas" w:cs="Consolas"/>
                <w:color w:val="000000"/>
              </w:rPr>
              <w:br/>
            </w:r>
            <w:r>
              <w:rPr>
                <w:rFonts w:ascii="Consolas" w:hAnsi="Consolas" w:cs="Consolas"/>
                <w:i/>
                <w:iCs/>
                <w:color w:val="000000"/>
              </w:rPr>
              <w:t># Effective price of labour (</w:t>
            </w:r>
            <w:proofErr w:type="spellStart"/>
            <w:r>
              <w:rPr>
                <w:rFonts w:ascii="Consolas" w:hAnsi="Consolas" w:cs="Consolas"/>
                <w:i/>
                <w:iCs/>
                <w:color w:val="000000"/>
              </w:rPr>
              <w:t>p1lab</w:t>
            </w:r>
            <w:proofErr w:type="spellEnd"/>
            <w:r>
              <w:rPr>
                <w:rFonts w:ascii="Consolas" w:hAnsi="Consolas" w:cs="Consolas"/>
                <w:i/>
                <w:iCs/>
                <w:color w:val="000000"/>
              </w:rPr>
              <w:t>) related to the wage rate (</w:t>
            </w:r>
            <w:proofErr w:type="spellStart"/>
            <w:r>
              <w:rPr>
                <w:rFonts w:ascii="Consolas" w:hAnsi="Consolas" w:cs="Consolas"/>
                <w:i/>
                <w:iCs/>
                <w:color w:val="000000"/>
              </w:rPr>
              <w:t>pwage</w:t>
            </w:r>
            <w:proofErr w:type="spellEnd"/>
            <w:r>
              <w:rPr>
                <w:rFonts w:ascii="Consolas" w:hAnsi="Consolas" w:cs="Consolas"/>
                <w:i/>
                <w:iCs/>
                <w:color w:val="000000"/>
              </w:rPr>
              <w:t>)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i</w:t>
            </w:r>
            <w:r>
              <w:rPr>
                <w:rFonts w:ascii="Consolas" w:hAnsi="Consolas" w:cs="Consolas"/>
                <w:color w:val="000000"/>
              </w:rPr>
              <w:t>,</w:t>
            </w:r>
            <w:r>
              <w:rPr>
                <w:rFonts w:ascii="Consolas" w:hAnsi="Consolas" w:cs="Consolas"/>
                <w:color w:val="008000"/>
              </w:rPr>
              <w:t>IND</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p1lab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pwage</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r>
              <w:rPr>
                <w:rFonts w:ascii="Consolas" w:hAnsi="Consolas" w:cs="Consolas"/>
                <w:b/>
                <w:bCs/>
                <w:color w:val="000000"/>
              </w:rPr>
              <w:t>IF{</w:t>
            </w:r>
            <w:proofErr w:type="spellStart"/>
            <w:r>
              <w:rPr>
                <w:rFonts w:ascii="Consolas" w:hAnsi="Consolas" w:cs="Consolas"/>
                <w:color w:val="008000"/>
              </w:rPr>
              <w:t>V1LAB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r>
              <w:rPr>
                <w:rFonts w:ascii="Consolas" w:hAnsi="Consolas" w:cs="Consolas"/>
                <w:b/>
                <w:bCs/>
                <w:color w:val="000000"/>
              </w:rPr>
              <w:t>ne</w:t>
            </w:r>
            <w:r>
              <w:rPr>
                <w:rFonts w:ascii="Consolas" w:hAnsi="Consolas" w:cs="Consolas"/>
                <w:color w:val="000000"/>
              </w:rPr>
              <w:t xml:space="preserve"> 0,</w:t>
            </w:r>
            <w:r>
              <w:rPr>
                <w:rFonts w:ascii="Consolas" w:hAnsi="Consolas" w:cs="Consolas"/>
                <w:color w:val="000000"/>
              </w:rPr>
              <w:br/>
              <w:t xml:space="preserve">        </w:t>
            </w:r>
            <w:r>
              <w:rPr>
                <w:rFonts w:ascii="Consolas" w:hAnsi="Consolas" w:cs="Consolas"/>
                <w:b/>
                <w:bCs/>
                <w:color w:val="000000"/>
              </w:rPr>
              <w:t>[</w:t>
            </w:r>
            <w:proofErr w:type="spellStart"/>
            <w:r>
              <w:rPr>
                <w:rFonts w:ascii="Consolas" w:hAnsi="Consolas" w:cs="Consolas"/>
                <w:color w:val="008000"/>
              </w:rPr>
              <w:t>V1LABINC</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roofErr w:type="spellStart"/>
            <w:r>
              <w:rPr>
                <w:rFonts w:ascii="Consolas" w:hAnsi="Consolas" w:cs="Consolas"/>
                <w:color w:val="008000"/>
              </w:rPr>
              <w:t>V1LAB</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proofErr w:type="spellStart"/>
            <w:r>
              <w:rPr>
                <w:rFonts w:ascii="Consolas" w:hAnsi="Consolas" w:cs="Consolas"/>
                <w:color w:val="008000"/>
              </w:rPr>
              <w:t>d_t1labF</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xml:space="preserve">) + </w:t>
            </w:r>
            <w:proofErr w:type="spellStart"/>
            <w:r>
              <w:rPr>
                <w:rFonts w:ascii="Consolas" w:hAnsi="Consolas" w:cs="Consolas"/>
                <w:color w:val="008000"/>
              </w:rPr>
              <w:t>d_t1labS</w:t>
            </w:r>
            <w:proofErr w:type="spellEnd"/>
            <w:r>
              <w:rPr>
                <w:rFonts w:ascii="Consolas" w:hAnsi="Consolas" w:cs="Consolas"/>
                <w:color w:val="000000"/>
              </w:rPr>
              <w:t>(</w:t>
            </w:r>
            <w:proofErr w:type="spellStart"/>
            <w:r>
              <w:rPr>
                <w:rFonts w:ascii="Consolas" w:hAnsi="Consolas" w:cs="Consolas"/>
                <w:color w:val="008000"/>
              </w:rPr>
              <w:t>i</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sidR="00DB489C">
              <w:rPr>
                <w:rFonts w:ascii="Consolas" w:hAnsi="Consolas" w:cs="Consolas"/>
                <w:color w:val="000000"/>
              </w:rPr>
              <w:t>;</w:t>
            </w:r>
          </w:p>
        </w:tc>
      </w:tr>
      <w:tr w:rsidR="0034060E" w14:paraId="00BB30B8" w14:textId="77777777" w:rsidTr="00D46F34">
        <w:trPr>
          <w:cantSplit/>
          <w:trHeight w:val="220"/>
        </w:trPr>
        <w:tc>
          <w:tcPr>
            <w:tcW w:w="8771" w:type="dxa"/>
            <w:tcBorders>
              <w:top w:val="nil"/>
              <w:left w:val="single" w:sz="6" w:space="0" w:color="78A22F" w:themeColor="accent1"/>
              <w:bottom w:val="single" w:sz="6" w:space="0" w:color="78A22F" w:themeColor="accent1"/>
              <w:right w:val="single" w:sz="6" w:space="0" w:color="78A22F" w:themeColor="accent1"/>
            </w:tcBorders>
            <w:shd w:val="clear" w:color="auto" w:fill="F2F2F2" w:themeFill="accent4"/>
            <w:hideMark/>
          </w:tcPr>
          <w:p w14:paraId="00BB30B7" w14:textId="77777777" w:rsidR="0034060E" w:rsidRDefault="0034060E">
            <w:pPr>
              <w:pStyle w:val="Continued"/>
            </w:pPr>
            <w:r>
              <w:t>(Continued next page)</w:t>
            </w:r>
          </w:p>
        </w:tc>
      </w:tr>
      <w:tr w:rsidR="0034060E" w14:paraId="00BB30BA" w14:textId="77777777" w:rsidTr="00D46F34">
        <w:tc>
          <w:tcPr>
            <w:tcW w:w="8771" w:type="dxa"/>
            <w:tcBorders>
              <w:top w:val="single" w:sz="6" w:space="0" w:color="78A22F" w:themeColor="accent1"/>
              <w:left w:val="nil"/>
              <w:bottom w:val="nil"/>
              <w:right w:val="nil"/>
            </w:tcBorders>
          </w:tcPr>
          <w:p w14:paraId="00BB30B9" w14:textId="77777777" w:rsidR="0034060E" w:rsidRDefault="0034060E">
            <w:pPr>
              <w:pStyle w:val="BoxSpaceBelow"/>
            </w:pPr>
          </w:p>
        </w:tc>
      </w:tr>
    </w:tbl>
    <w:p w14:paraId="00BB30BB" w14:textId="77777777"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4A0" w:firstRow="1" w:lastRow="0" w:firstColumn="1" w:lastColumn="0" w:noHBand="0" w:noVBand="1"/>
      </w:tblPr>
      <w:tblGrid>
        <w:gridCol w:w="8771"/>
      </w:tblGrid>
      <w:tr w:rsidR="0034060E" w14:paraId="00BB30BD" w14:textId="77777777" w:rsidTr="00D46F34">
        <w:tc>
          <w:tcPr>
            <w:tcW w:w="8771" w:type="dxa"/>
            <w:tcBorders>
              <w:top w:val="single" w:sz="6" w:space="0" w:color="78A22F" w:themeColor="accent1"/>
              <w:left w:val="single" w:sz="6" w:space="0" w:color="78A22F" w:themeColor="accent1"/>
              <w:bottom w:val="nil"/>
              <w:right w:val="single" w:sz="6" w:space="0" w:color="78A22F" w:themeColor="accent1"/>
            </w:tcBorders>
            <w:shd w:val="clear" w:color="auto" w:fill="F2F2F2" w:themeFill="accent4"/>
            <w:hideMark/>
          </w:tcPr>
          <w:p w14:paraId="00BB30BC" w14:textId="77777777" w:rsidR="0034060E" w:rsidRDefault="0034060E">
            <w:pPr>
              <w:pStyle w:val="BoxTitle"/>
              <w:rPr>
                <w:i/>
              </w:rPr>
            </w:pPr>
            <w:r>
              <w:rPr>
                <w:b w:val="0"/>
              </w:rPr>
              <w:t xml:space="preserve">Box </w:t>
            </w:r>
            <w:proofErr w:type="spellStart"/>
            <w:r>
              <w:rPr>
                <w:b w:val="0"/>
              </w:rPr>
              <w:t>A.1</w:t>
            </w:r>
            <w:proofErr w:type="spellEnd"/>
            <w:r>
              <w:tab/>
            </w:r>
            <w:r>
              <w:rPr>
                <w:b w:val="0"/>
                <w:sz w:val="18"/>
                <w:szCs w:val="18"/>
              </w:rPr>
              <w:t>(continued)</w:t>
            </w:r>
          </w:p>
        </w:tc>
      </w:tr>
      <w:tr w:rsidR="0034060E" w14:paraId="00BB30C5" w14:textId="77777777" w:rsidTr="00D46F34">
        <w:trPr>
          <w:cantSplit/>
        </w:trPr>
        <w:tc>
          <w:tcPr>
            <w:tcW w:w="8771" w:type="dxa"/>
            <w:tcBorders>
              <w:top w:val="nil"/>
              <w:left w:val="single" w:sz="6" w:space="0" w:color="78A22F" w:themeColor="accent1"/>
              <w:bottom w:val="single" w:sz="6" w:space="0" w:color="78A22F" w:themeColor="accent1"/>
              <w:right w:val="single" w:sz="6" w:space="0" w:color="78A22F" w:themeColor="accent1"/>
            </w:tcBorders>
            <w:shd w:val="clear" w:color="auto" w:fill="F2F2F2" w:themeFill="accent4"/>
            <w:hideMark/>
          </w:tcPr>
          <w:p w14:paraId="07E2489B" w14:textId="77777777" w:rsidR="00DB489C" w:rsidRDefault="00DB489C" w:rsidP="00DB489C">
            <w:pPr>
              <w:pStyle w:val="Box"/>
              <w:rPr>
                <w:i/>
              </w:rPr>
            </w:pPr>
            <w:r>
              <w:rPr>
                <w:i/>
              </w:rPr>
              <w:t xml:space="preserve">Summary of wage-employment </w:t>
            </w:r>
            <w:proofErr w:type="spellStart"/>
            <w:r>
              <w:rPr>
                <w:i/>
              </w:rPr>
              <w:t>trade</w:t>
            </w:r>
            <w:r>
              <w:rPr>
                <w:i/>
              </w:rPr>
              <w:noBreakHyphen/>
              <w:t>off</w:t>
            </w:r>
            <w:proofErr w:type="spellEnd"/>
            <w:r>
              <w:rPr>
                <w:i/>
              </w:rPr>
              <w:t xml:space="preserve"> for award</w:t>
            </w:r>
            <w:r>
              <w:rPr>
                <w:i/>
              </w:rPr>
              <w:noBreakHyphen/>
              <w:t>reliant workers</w:t>
            </w:r>
          </w:p>
          <w:p w14:paraId="0F0805AE" w14:textId="77777777" w:rsidR="00DB489C" w:rsidRDefault="00DB489C" w:rsidP="00DB489C">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E_d_frwage_ct_i</w:t>
            </w:r>
            <w:proofErr w:type="spellEnd"/>
            <w:r>
              <w:rPr>
                <w:rFonts w:ascii="Consolas" w:hAnsi="Consolas" w:cs="Consolas"/>
                <w:color w:val="000000"/>
              </w:rPr>
              <w:t xml:space="preserve"> </w:t>
            </w:r>
            <w:r>
              <w:rPr>
                <w:rFonts w:ascii="Consolas" w:hAnsi="Consolas" w:cs="Consolas"/>
                <w:i/>
                <w:iCs/>
                <w:color w:val="000000"/>
              </w:rPr>
              <w:t># Relates %</w:t>
            </w:r>
            <w:proofErr w:type="spellStart"/>
            <w:r>
              <w:rPr>
                <w:rFonts w:ascii="Consolas" w:hAnsi="Consolas" w:cs="Consolas"/>
                <w:i/>
                <w:iCs/>
                <w:color w:val="000000"/>
              </w:rPr>
              <w:t>devrw</w:t>
            </w:r>
            <w:proofErr w:type="spellEnd"/>
            <w:r>
              <w:rPr>
                <w:rFonts w:ascii="Consolas" w:hAnsi="Consolas" w:cs="Consolas"/>
                <w:i/>
                <w:iCs/>
                <w:color w:val="000000"/>
              </w:rPr>
              <w:t xml:space="preserve"> to %</w:t>
            </w:r>
            <w:proofErr w:type="spellStart"/>
            <w:r>
              <w:rPr>
                <w:rFonts w:ascii="Consolas" w:hAnsi="Consolas" w:cs="Consolas"/>
                <w:i/>
                <w:iCs/>
                <w:color w:val="000000"/>
              </w:rPr>
              <w:t>devemp</w:t>
            </w:r>
            <w:proofErr w:type="spellEnd"/>
            <w:r>
              <w:rPr>
                <w:rFonts w:ascii="Consolas" w:hAnsi="Consolas" w:cs="Consolas"/>
                <w:i/>
                <w:iCs/>
                <w:color w:val="000000"/>
              </w:rPr>
              <w:t xml:space="preserve"> in year-to-year sims.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t>(</w:t>
            </w:r>
            <w:proofErr w:type="spellStart"/>
            <w:r>
              <w:rPr>
                <w:rFonts w:ascii="Consolas" w:hAnsi="Consolas" w:cs="Consolas"/>
                <w:color w:val="008000"/>
              </w:rPr>
              <w:t>C_RWDEV_I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roofErr w:type="spellStart"/>
            <w:r>
              <w:rPr>
                <w:rFonts w:ascii="Consolas" w:hAnsi="Consolas" w:cs="Consolas"/>
                <w:color w:val="008000"/>
              </w:rPr>
              <w:t>C_RWFOR_I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proofErr w:type="spellStart"/>
            <w:r>
              <w:rPr>
                <w:rFonts w:ascii="Consolas" w:hAnsi="Consolas" w:cs="Consolas"/>
                <w:color w:val="008000"/>
              </w:rPr>
              <w:t>rwdev_i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rwfor_i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 xml:space="preserve"> = </w:t>
            </w:r>
            <w:r>
              <w:rPr>
                <w:rFonts w:ascii="Consolas" w:hAnsi="Consolas" w:cs="Consolas"/>
                <w:color w:val="000000"/>
              </w:rPr>
              <w:br/>
              <w:t xml:space="preserve">    (</w:t>
            </w:r>
            <w:proofErr w:type="spellStart"/>
            <w:r>
              <w:rPr>
                <w:rFonts w:ascii="Consolas" w:hAnsi="Consolas" w:cs="Consolas"/>
                <w:color w:val="008000"/>
              </w:rPr>
              <w:t>C_RWD_L_I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roofErr w:type="spellStart"/>
            <w:r>
              <w:rPr>
                <w:rFonts w:ascii="Consolas" w:hAnsi="Consolas" w:cs="Consolas"/>
                <w:color w:val="008000"/>
              </w:rPr>
              <w:t>C_RWF_L_I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proofErr w:type="spellStart"/>
            <w:r>
              <w:rPr>
                <w:rFonts w:ascii="Consolas" w:hAnsi="Consolas" w:cs="Consolas"/>
                <w:color w:val="008000"/>
              </w:rPr>
              <w:t>rwdev_l_i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rwfor_l_i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 xml:space="preserve"> +</w:t>
            </w:r>
            <w:r>
              <w:rPr>
                <w:rFonts w:ascii="Consolas" w:hAnsi="Consolas" w:cs="Consolas"/>
                <w:color w:val="000000"/>
              </w:rPr>
              <w:br/>
              <w:t xml:space="preserve">     </w:t>
            </w:r>
            <w:proofErr w:type="spellStart"/>
            <w:r>
              <w:rPr>
                <w:rFonts w:ascii="Consolas" w:hAnsi="Consolas" w:cs="Consolas"/>
                <w:color w:val="008000"/>
              </w:rPr>
              <w:t>LAB_SLOPE</w:t>
            </w:r>
            <w:proofErr w:type="spellEnd"/>
            <w:r>
              <w:rPr>
                <w:rFonts w:ascii="Consolas" w:hAnsi="Consolas" w:cs="Consolas"/>
                <w:color w:val="000000"/>
              </w:rPr>
              <w:t>*(</w:t>
            </w:r>
            <w:proofErr w:type="spellStart"/>
            <w:r>
              <w:rPr>
                <w:rFonts w:ascii="Consolas" w:hAnsi="Consolas" w:cs="Consolas"/>
                <w:color w:val="008000"/>
              </w:rPr>
              <w:t>C_EMPDEV_I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roofErr w:type="spellStart"/>
            <w:r>
              <w:rPr>
                <w:rFonts w:ascii="Consolas" w:hAnsi="Consolas" w:cs="Consolas"/>
                <w:color w:val="008000"/>
              </w:rPr>
              <w:t>C_EMPFOR_I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w:t>
            </w:r>
            <w:proofErr w:type="spellStart"/>
            <w:r>
              <w:rPr>
                <w:rFonts w:ascii="Consolas" w:hAnsi="Consolas" w:cs="Consolas"/>
                <w:color w:val="008000"/>
              </w:rPr>
              <w:t>empdev_i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empfor_i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 xml:space="preserve"> </w:t>
            </w:r>
            <w:r>
              <w:rPr>
                <w:rFonts w:ascii="Consolas" w:hAnsi="Consolas" w:cs="Consolas"/>
                <w:color w:val="000000"/>
              </w:rPr>
              <w:br/>
              <w:t xml:space="preserve">     + 100*</w:t>
            </w:r>
            <w:proofErr w:type="spellStart"/>
            <w:r>
              <w:rPr>
                <w:rFonts w:ascii="Consolas" w:hAnsi="Consolas" w:cs="Consolas"/>
                <w:color w:val="008000"/>
              </w:rPr>
              <w:t>d_frwage_ct_i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
          <w:p w14:paraId="285E114E" w14:textId="77777777" w:rsidR="00DB489C" w:rsidRDefault="00DB489C" w:rsidP="00DB489C">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E_rwdev_i</w:t>
            </w:r>
            <w:proofErr w:type="spellEnd"/>
            <w:r>
              <w:rPr>
                <w:rFonts w:ascii="Consolas" w:hAnsi="Consolas" w:cs="Consolas"/>
                <w:color w:val="000000"/>
              </w:rPr>
              <w:t xml:space="preserve"> </w:t>
            </w:r>
            <w:r>
              <w:rPr>
                <w:rFonts w:ascii="Consolas" w:hAnsi="Consolas" w:cs="Consolas"/>
                <w:i/>
                <w:iCs/>
                <w:color w:val="000000"/>
              </w:rPr>
              <w:t xml:space="preserve"># Equates </w:t>
            </w:r>
            <w:proofErr w:type="spellStart"/>
            <w:r>
              <w:rPr>
                <w:rFonts w:ascii="Consolas" w:hAnsi="Consolas" w:cs="Consolas"/>
                <w:i/>
                <w:iCs/>
                <w:color w:val="000000"/>
              </w:rPr>
              <w:t>rwdev</w:t>
            </w:r>
            <w:proofErr w:type="spellEnd"/>
            <w:r>
              <w:rPr>
                <w:rFonts w:ascii="Consolas" w:hAnsi="Consolas" w:cs="Consolas"/>
                <w:i/>
                <w:iCs/>
                <w:color w:val="000000"/>
              </w:rPr>
              <w:t xml:space="preserve"> with </w:t>
            </w:r>
            <w:proofErr w:type="spellStart"/>
            <w:r>
              <w:rPr>
                <w:rFonts w:ascii="Consolas" w:hAnsi="Consolas" w:cs="Consolas"/>
                <w:i/>
                <w:iCs/>
                <w:color w:val="000000"/>
              </w:rPr>
              <w:t>natrwage_ct</w:t>
            </w:r>
            <w:proofErr w:type="spellEnd"/>
            <w:r>
              <w:rPr>
                <w:rFonts w:ascii="Consolas" w:hAnsi="Consolas" w:cs="Consolas"/>
                <w:i/>
                <w:iCs/>
                <w:color w:val="000000"/>
              </w:rPr>
              <w:t xml:space="preserve">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rwdev_i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rwage_ct_i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p>
          <w:p w14:paraId="00BB30BE" w14:textId="3BCA959C" w:rsidR="0034060E" w:rsidRDefault="0034060E" w:rsidP="00DB489C">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E_f_rw_i</w:t>
            </w:r>
            <w:proofErr w:type="spellEnd"/>
            <w:r>
              <w:rPr>
                <w:rFonts w:ascii="Consolas" w:hAnsi="Consolas" w:cs="Consolas"/>
                <w:color w:val="000000"/>
              </w:rPr>
              <w:t xml:space="preserve"> </w:t>
            </w:r>
            <w:r>
              <w:rPr>
                <w:rFonts w:ascii="Consolas" w:hAnsi="Consolas" w:cs="Consolas"/>
                <w:i/>
                <w:iCs/>
                <w:color w:val="000000"/>
              </w:rPr>
              <w:t># Introduces real wage rate (after tax) into deviation sims.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rwfor_i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rwage_ct_i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f_rw_i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
          <w:p w14:paraId="00BB30BF"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E_rwdev_l_i</w:t>
            </w:r>
            <w:proofErr w:type="spellEnd"/>
            <w:r>
              <w:rPr>
                <w:rFonts w:ascii="Consolas" w:hAnsi="Consolas" w:cs="Consolas"/>
                <w:color w:val="000000"/>
              </w:rPr>
              <w:t xml:space="preserve"> </w:t>
            </w:r>
            <w:r>
              <w:rPr>
                <w:rFonts w:ascii="Consolas" w:hAnsi="Consolas" w:cs="Consolas"/>
                <w:i/>
                <w:iCs/>
                <w:color w:val="000000"/>
              </w:rPr>
              <w:t xml:space="preserve"># Equation explaining </w:t>
            </w:r>
            <w:proofErr w:type="spellStart"/>
            <w:r>
              <w:rPr>
                <w:rFonts w:ascii="Consolas" w:hAnsi="Consolas" w:cs="Consolas"/>
                <w:i/>
                <w:iCs/>
                <w:color w:val="000000"/>
              </w:rPr>
              <w:t>rwdev</w:t>
            </w:r>
            <w:proofErr w:type="spellEnd"/>
            <w:r>
              <w:rPr>
                <w:rFonts w:ascii="Consolas" w:hAnsi="Consolas" w:cs="Consolas"/>
                <w:i/>
                <w:iCs/>
                <w:color w:val="000000"/>
              </w:rPr>
              <w:t xml:space="preserve"> lagged one year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rwdev_l_i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r>
              <w:rPr>
                <w:rFonts w:ascii="Consolas" w:hAnsi="Consolas" w:cs="Consolas"/>
                <w:color w:val="000000"/>
              </w:rPr>
              <w:br/>
              <w:t xml:space="preserve">    100*(</w:t>
            </w:r>
            <w:r>
              <w:rPr>
                <w:rFonts w:ascii="Consolas" w:hAnsi="Consolas" w:cs="Consolas"/>
                <w:color w:val="008000"/>
              </w:rPr>
              <w:t>C_RWDEV_I@1</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C_RWD_L_I@1</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C_RWD_L_I</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d_unity</w:t>
            </w:r>
            <w:r>
              <w:rPr>
                <w:rFonts w:ascii="Consolas" w:hAnsi="Consolas" w:cs="Consolas"/>
                <w:color w:val="000000"/>
              </w:rPr>
              <w:t>;</w:t>
            </w:r>
          </w:p>
          <w:p w14:paraId="00BB30C0"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E_rwfor_l_i</w:t>
            </w:r>
            <w:proofErr w:type="spellEnd"/>
            <w:r>
              <w:rPr>
                <w:rFonts w:ascii="Consolas" w:hAnsi="Consolas" w:cs="Consolas"/>
                <w:color w:val="000000"/>
              </w:rPr>
              <w:t xml:space="preserve"> </w:t>
            </w:r>
            <w:r>
              <w:rPr>
                <w:rFonts w:ascii="Consolas" w:hAnsi="Consolas" w:cs="Consolas"/>
                <w:i/>
                <w:iCs/>
                <w:color w:val="000000"/>
              </w:rPr>
              <w:t xml:space="preserve"># Equation explaining </w:t>
            </w:r>
            <w:proofErr w:type="spellStart"/>
            <w:r>
              <w:rPr>
                <w:rFonts w:ascii="Consolas" w:hAnsi="Consolas" w:cs="Consolas"/>
                <w:i/>
                <w:iCs/>
                <w:color w:val="000000"/>
              </w:rPr>
              <w:t>rwfor</w:t>
            </w:r>
            <w:proofErr w:type="spellEnd"/>
            <w:r>
              <w:rPr>
                <w:rFonts w:ascii="Consolas" w:hAnsi="Consolas" w:cs="Consolas"/>
                <w:i/>
                <w:iCs/>
                <w:color w:val="000000"/>
              </w:rPr>
              <w:t xml:space="preserve"> lagged one year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rwfor_l_i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 100*(</w:t>
            </w:r>
            <w:proofErr w:type="spellStart"/>
            <w:r>
              <w:rPr>
                <w:rFonts w:ascii="Consolas" w:hAnsi="Consolas" w:cs="Consolas"/>
                <w:color w:val="008000"/>
              </w:rPr>
              <w:t>C_RWFOR_I@1</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roofErr w:type="spellStart"/>
            <w:r>
              <w:rPr>
                <w:rFonts w:ascii="Consolas" w:hAnsi="Consolas" w:cs="Consolas"/>
                <w:color w:val="008000"/>
              </w:rPr>
              <w:t>C_RWF_L_I@1</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)- 1)*</w:t>
            </w:r>
            <w:proofErr w:type="spellStart"/>
            <w:r>
              <w:rPr>
                <w:rFonts w:ascii="Consolas" w:hAnsi="Consolas" w:cs="Consolas"/>
                <w:color w:val="008000"/>
              </w:rPr>
              <w:t>d_unity</w:t>
            </w:r>
            <w:proofErr w:type="spellEnd"/>
            <w:r>
              <w:rPr>
                <w:rFonts w:ascii="Consolas" w:hAnsi="Consolas" w:cs="Consolas"/>
                <w:color w:val="000000"/>
              </w:rPr>
              <w:t>;</w:t>
            </w:r>
          </w:p>
          <w:p w14:paraId="00BB30C1"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E_f_emp_i</w:t>
            </w:r>
            <w:proofErr w:type="spellEnd"/>
            <w:r>
              <w:rPr>
                <w:rFonts w:ascii="Consolas" w:hAnsi="Consolas" w:cs="Consolas"/>
                <w:color w:val="000000"/>
              </w:rPr>
              <w:t xml:space="preserve"> </w:t>
            </w:r>
            <w:r>
              <w:rPr>
                <w:rFonts w:ascii="Consolas" w:hAnsi="Consolas" w:cs="Consolas"/>
                <w:i/>
                <w:iCs/>
                <w:color w:val="000000"/>
              </w:rPr>
              <w:t># Introduces forecast employment into deviation simulation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empfor_i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x1lab_i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f_emp_i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
          <w:p w14:paraId="00BB30C2"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E_empdev_i</w:t>
            </w:r>
            <w:proofErr w:type="spellEnd"/>
            <w:r>
              <w:rPr>
                <w:rFonts w:ascii="Consolas" w:hAnsi="Consolas" w:cs="Consolas"/>
                <w:color w:val="000000"/>
              </w:rPr>
              <w:t xml:space="preserve"> </w:t>
            </w:r>
            <w:r>
              <w:rPr>
                <w:rFonts w:ascii="Consolas" w:hAnsi="Consolas" w:cs="Consolas"/>
                <w:i/>
                <w:iCs/>
                <w:color w:val="000000"/>
              </w:rPr>
              <w:t xml:space="preserve"># Equates </w:t>
            </w:r>
            <w:proofErr w:type="spellStart"/>
            <w:r>
              <w:rPr>
                <w:rFonts w:ascii="Consolas" w:hAnsi="Consolas" w:cs="Consolas"/>
                <w:i/>
                <w:iCs/>
                <w:color w:val="000000"/>
              </w:rPr>
              <w:t>empdev_i</w:t>
            </w:r>
            <w:proofErr w:type="spellEnd"/>
            <w:r>
              <w:rPr>
                <w:rFonts w:ascii="Consolas" w:hAnsi="Consolas" w:cs="Consolas"/>
                <w:i/>
                <w:iCs/>
                <w:color w:val="000000"/>
              </w:rPr>
              <w:t xml:space="preserve"> with </w:t>
            </w:r>
            <w:proofErr w:type="spellStart"/>
            <w:r>
              <w:rPr>
                <w:rFonts w:ascii="Consolas" w:hAnsi="Consolas" w:cs="Consolas"/>
                <w:i/>
                <w:iCs/>
                <w:color w:val="000000"/>
              </w:rPr>
              <w:t>x1lab_i</w:t>
            </w:r>
            <w:proofErr w:type="spellEnd"/>
            <w:r>
              <w:rPr>
                <w:rFonts w:ascii="Consolas" w:hAnsi="Consolas" w:cs="Consolas"/>
                <w:i/>
                <w:iCs/>
                <w:color w:val="000000"/>
              </w:rPr>
              <w:t xml:space="preserve">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empdev_i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x1lab_i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
          <w:p w14:paraId="00BB30C3" w14:textId="77777777" w:rsidR="0034060E" w:rsidRDefault="0034060E">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E_f_emp_i</w:t>
            </w:r>
            <w:proofErr w:type="spellEnd"/>
            <w:r>
              <w:rPr>
                <w:rFonts w:ascii="Consolas" w:hAnsi="Consolas" w:cs="Consolas"/>
                <w:color w:val="000000"/>
              </w:rPr>
              <w:t xml:space="preserve"> </w:t>
            </w:r>
            <w:r>
              <w:rPr>
                <w:rFonts w:ascii="Consolas" w:hAnsi="Consolas" w:cs="Consolas"/>
                <w:i/>
                <w:iCs/>
                <w:color w:val="000000"/>
              </w:rPr>
              <w:t># Introduces forecast employment into deviation simulation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empfor_i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x1lab_i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 </w:t>
            </w:r>
            <w:proofErr w:type="spellStart"/>
            <w:r>
              <w:rPr>
                <w:rFonts w:ascii="Consolas" w:hAnsi="Consolas" w:cs="Consolas"/>
                <w:color w:val="008000"/>
              </w:rPr>
              <w:t>f_emp_i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w:t>
            </w:r>
          </w:p>
          <w:p w14:paraId="00BB30C4" w14:textId="77777777" w:rsidR="0034060E" w:rsidRDefault="0034060E">
            <w:pPr>
              <w:pStyle w:val="Box"/>
              <w:jc w:val="left"/>
              <w:rPr>
                <w:rFonts w:ascii="Consolas" w:hAnsi="Consolas" w:cs="Consolas"/>
                <w:color w:val="000000"/>
              </w:rPr>
            </w:pPr>
            <w:r>
              <w:rPr>
                <w:rFonts w:ascii="Consolas" w:hAnsi="Consolas" w:cs="Consolas"/>
                <w:b/>
                <w:bCs/>
                <w:color w:val="000000"/>
              </w:rPr>
              <w:t>Variable</w:t>
            </w:r>
            <w:r>
              <w:rPr>
                <w:rFonts w:ascii="Consolas" w:hAnsi="Consolas" w:cs="Consolas"/>
                <w:color w:val="000000"/>
              </w:rPr>
              <w:t xml:space="preserve"> (</w:t>
            </w:r>
            <w:r>
              <w:rPr>
                <w:rFonts w:ascii="Consolas" w:hAnsi="Consolas" w:cs="Consolas"/>
                <w:b/>
                <w:bCs/>
                <w:color w:val="000000"/>
              </w:rPr>
              <w:t>change</w:t>
            </w:r>
            <w:r>
              <w:rPr>
                <w:rFonts w:ascii="Consolas" w:hAnsi="Consolas" w:cs="Consolas"/>
                <w:color w:val="000000"/>
              </w:rPr>
              <w:t>) (</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OCC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LABCAT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d_frwage_ct_i</w:t>
            </w:r>
            <w:proofErr w:type="spellEnd"/>
            <w:r>
              <w:rPr>
                <w:rFonts w:ascii="Consolas" w:hAnsi="Consolas" w:cs="Consolas"/>
                <w:color w:val="000000"/>
              </w:rPr>
              <w:t>(</w:t>
            </w:r>
            <w:proofErr w:type="spellStart"/>
            <w:r>
              <w:rPr>
                <w:rFonts w:ascii="Consolas" w:hAnsi="Consolas" w:cs="Consolas"/>
                <w:color w:val="008000"/>
              </w:rPr>
              <w:t>q</w:t>
            </w:r>
            <w:r>
              <w:rPr>
                <w:rFonts w:ascii="Consolas" w:hAnsi="Consolas" w:cs="Consolas"/>
                <w:color w:val="000000"/>
              </w:rPr>
              <w:t>,</w:t>
            </w:r>
            <w:r>
              <w:rPr>
                <w:rFonts w:ascii="Consolas" w:hAnsi="Consolas" w:cs="Consolas"/>
                <w:color w:val="008000"/>
              </w:rPr>
              <w:t>o</w:t>
            </w:r>
            <w:r>
              <w:rPr>
                <w:rFonts w:ascii="Consolas" w:hAnsi="Consolas" w:cs="Consolas"/>
                <w:color w:val="000000"/>
              </w:rPr>
              <w:t>,</w:t>
            </w:r>
            <w:r>
              <w:rPr>
                <w:rFonts w:ascii="Consolas" w:hAnsi="Consolas" w:cs="Consolas"/>
                <w:color w:val="008000"/>
              </w:rPr>
              <w:t>c</w:t>
            </w:r>
            <w:proofErr w:type="spellEnd"/>
            <w:r>
              <w:rPr>
                <w:rFonts w:ascii="Consolas" w:hAnsi="Consolas" w:cs="Consolas"/>
                <w:color w:val="000000"/>
              </w:rPr>
              <w:t xml:space="preserve">) </w:t>
            </w:r>
            <w:r>
              <w:rPr>
                <w:rFonts w:ascii="Consolas" w:hAnsi="Consolas" w:cs="Consolas"/>
                <w:i/>
                <w:iCs/>
                <w:color w:val="000000"/>
              </w:rPr>
              <w:t># Shift variable in employment-wage deviation equation #</w:t>
            </w:r>
            <w:r>
              <w:rPr>
                <w:rFonts w:ascii="Consolas" w:hAnsi="Consolas" w:cs="Consolas"/>
                <w:color w:val="000000"/>
              </w:rPr>
              <w:t>;</w:t>
            </w:r>
          </w:p>
        </w:tc>
      </w:tr>
      <w:tr w:rsidR="0034060E" w14:paraId="00BB30C9" w14:textId="77777777" w:rsidTr="00D46F34">
        <w:tc>
          <w:tcPr>
            <w:tcW w:w="8771" w:type="dxa"/>
            <w:tcBorders>
              <w:top w:val="single" w:sz="6" w:space="0" w:color="78A22F" w:themeColor="accent1"/>
              <w:left w:val="nil"/>
              <w:bottom w:val="nil"/>
              <w:right w:val="nil"/>
            </w:tcBorders>
          </w:tcPr>
          <w:p w14:paraId="00BB30C8" w14:textId="77777777" w:rsidR="0034060E" w:rsidRDefault="0034060E">
            <w:pPr>
              <w:pStyle w:val="BoxSpaceBelow"/>
            </w:pPr>
          </w:p>
        </w:tc>
      </w:tr>
    </w:tbl>
    <w:p w14:paraId="00BB30CA" w14:textId="77777777" w:rsidR="0034060E" w:rsidRDefault="0034060E" w:rsidP="00453A36">
      <w:pPr>
        <w:pStyle w:val="Heading3"/>
      </w:pPr>
      <w:r>
        <w:t xml:space="preserve">Modifications to the </w:t>
      </w:r>
      <w:proofErr w:type="spellStart"/>
      <w:r>
        <w:t>VUMR</w:t>
      </w:r>
      <w:r>
        <w:noBreakHyphen/>
        <w:t>WR</w:t>
      </w:r>
      <w:proofErr w:type="spellEnd"/>
      <w:r>
        <w:t xml:space="preserve"> model database</w:t>
      </w:r>
    </w:p>
    <w:p w14:paraId="00BB30CB" w14:textId="6B5E5FE7" w:rsidR="0034060E" w:rsidRDefault="0034060E" w:rsidP="00453A36">
      <w:pPr>
        <w:pStyle w:val="BodyText"/>
      </w:pPr>
      <w:r>
        <w:t xml:space="preserve">The standard </w:t>
      </w:r>
      <w:proofErr w:type="spellStart"/>
      <w:r>
        <w:t>VUMR</w:t>
      </w:r>
      <w:proofErr w:type="spellEnd"/>
      <w:r>
        <w:t xml:space="preserve"> model database is described in detail in </w:t>
      </w:r>
      <w:proofErr w:type="spellStart"/>
      <w:r>
        <w:t>CoPs</w:t>
      </w:r>
      <w:proofErr w:type="spellEnd"/>
      <w:r>
        <w:t> </w:t>
      </w:r>
      <w:r w:rsidRPr="003D4053">
        <w:t>(forthcoming)</w:t>
      </w:r>
      <w:r>
        <w:t xml:space="preserve"> and summarised in appendix B. Of particular relevance of this inquiry, labour is specified in </w:t>
      </w:r>
      <w:r>
        <w:lastRenderedPageBreak/>
        <w:t>terms of eight occupations that correspond to the one</w:t>
      </w:r>
      <w:r>
        <w:noBreakHyphen/>
        <w:t xml:space="preserve">digit categories in the ABS </w:t>
      </w:r>
      <w:r>
        <w:rPr>
          <w:i/>
        </w:rPr>
        <w:t xml:space="preserve">Australian and New Zealand Standard Occupational Classification </w:t>
      </w:r>
      <w:r>
        <w:t>(table </w:t>
      </w:r>
      <w:proofErr w:type="spellStart"/>
      <w:r>
        <w:t>A.1</w:t>
      </w:r>
      <w:proofErr w:type="spellEnd"/>
      <w:r>
        <w:t>). Labour supply is specified for each of these eight occupations in each state. Labour demand is specified for each occupation in each of the 79 industries in each state.</w:t>
      </w:r>
    </w:p>
    <w:p w14:paraId="00BB30CC" w14:textId="13AADBB9"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909"/>
      </w:tblGrid>
      <w:tr w:rsidR="0034060E" w14:paraId="00BB30CE" w14:textId="77777777" w:rsidTr="00453A36">
        <w:tc>
          <w:tcPr>
            <w:tcW w:w="0" w:type="auto"/>
            <w:tcBorders>
              <w:top w:val="single" w:sz="6" w:space="0" w:color="78A22F"/>
              <w:left w:val="nil"/>
              <w:bottom w:val="nil"/>
              <w:right w:val="nil"/>
            </w:tcBorders>
            <w:hideMark/>
          </w:tcPr>
          <w:p w14:paraId="00BB30CD" w14:textId="087FF5BA" w:rsidR="0034060E" w:rsidRDefault="0034060E">
            <w:pPr>
              <w:pStyle w:val="TableTitle"/>
            </w:pPr>
            <w:r>
              <w:rPr>
                <w:b w:val="0"/>
              </w:rPr>
              <w:t xml:space="preserve">Table </w:t>
            </w:r>
            <w:proofErr w:type="spellStart"/>
            <w:r>
              <w:rPr>
                <w:b w:val="0"/>
              </w:rPr>
              <w:t>A.</w:t>
            </w:r>
            <w:r>
              <w:rPr>
                <w:b w:val="0"/>
                <w:noProof/>
              </w:rPr>
              <w:t>1</w:t>
            </w:r>
            <w:proofErr w:type="spellEnd"/>
            <w:r>
              <w:tab/>
            </w:r>
            <w:r>
              <w:rPr>
                <w:i/>
              </w:rPr>
              <w:t xml:space="preserve">Occupations in the </w:t>
            </w:r>
            <w:proofErr w:type="spellStart"/>
            <w:r>
              <w:rPr>
                <w:i/>
              </w:rPr>
              <w:t>VUMR</w:t>
            </w:r>
            <w:proofErr w:type="spellEnd"/>
            <w:r>
              <w:rPr>
                <w:i/>
              </w:rPr>
              <w:t xml:space="preserve"> model</w:t>
            </w:r>
          </w:p>
        </w:tc>
      </w:tr>
      <w:tr w:rsidR="0034060E" w14:paraId="00BB30F5" w14:textId="77777777" w:rsidTr="00453A36">
        <w:trPr>
          <w:cantSplit/>
        </w:trPr>
        <w:tc>
          <w:tcPr>
            <w:tcW w:w="0" w:type="auto"/>
            <w:tcBorders>
              <w:top w:val="nil"/>
              <w:left w:val="nil"/>
              <w:bottom w:val="nil"/>
              <w:right w:val="nil"/>
            </w:tcBorders>
            <w:hideMark/>
          </w:tcPr>
          <w:tbl>
            <w:tblPr>
              <w:tblW w:w="0" w:type="auto"/>
              <w:tblCellMar>
                <w:top w:w="28" w:type="dxa"/>
                <w:left w:w="0" w:type="dxa"/>
                <w:right w:w="0" w:type="dxa"/>
              </w:tblCellMar>
              <w:tblLook w:val="04A0" w:firstRow="1" w:lastRow="0" w:firstColumn="1" w:lastColumn="0" w:noHBand="0" w:noVBand="1"/>
            </w:tblPr>
            <w:tblGrid>
              <w:gridCol w:w="1537"/>
              <w:gridCol w:w="4803"/>
              <w:gridCol w:w="2285"/>
            </w:tblGrid>
            <w:tr w:rsidR="0034060E" w14:paraId="00BB30D2" w14:textId="77777777" w:rsidTr="00DB489C">
              <w:tc>
                <w:tcPr>
                  <w:tcW w:w="1537" w:type="dxa"/>
                  <w:tcBorders>
                    <w:top w:val="single" w:sz="6" w:space="0" w:color="BFBFBF"/>
                    <w:left w:val="nil"/>
                    <w:bottom w:val="single" w:sz="6" w:space="0" w:color="BFBFBF"/>
                    <w:right w:val="nil"/>
                  </w:tcBorders>
                  <w:hideMark/>
                </w:tcPr>
                <w:p w14:paraId="00BB30CF" w14:textId="77777777" w:rsidR="0034060E" w:rsidRDefault="0034060E">
                  <w:pPr>
                    <w:pStyle w:val="TableColumnHeading"/>
                    <w:jc w:val="left"/>
                  </w:pPr>
                  <w:proofErr w:type="spellStart"/>
                  <w:r>
                    <w:t>ANZSCO</w:t>
                  </w:r>
                  <w:proofErr w:type="spellEnd"/>
                  <w:r>
                    <w:t xml:space="preserve"> major occupations (one</w:t>
                  </w:r>
                  <w:r>
                    <w:noBreakHyphen/>
                    <w:t>digit)</w:t>
                  </w:r>
                </w:p>
              </w:tc>
              <w:tc>
                <w:tcPr>
                  <w:tcW w:w="4803" w:type="dxa"/>
                  <w:tcBorders>
                    <w:top w:val="single" w:sz="6" w:space="0" w:color="BFBFBF"/>
                    <w:left w:val="nil"/>
                    <w:bottom w:val="single" w:sz="6" w:space="0" w:color="BFBFBF"/>
                    <w:right w:val="nil"/>
                  </w:tcBorders>
                  <w:hideMark/>
                </w:tcPr>
                <w:p w14:paraId="00BB30D0" w14:textId="77777777" w:rsidR="0034060E" w:rsidRDefault="0034060E">
                  <w:pPr>
                    <w:pStyle w:val="TableColumnHeading"/>
                    <w:jc w:val="left"/>
                  </w:pPr>
                  <w:r>
                    <w:t>ABS description</w:t>
                  </w:r>
                </w:p>
              </w:tc>
              <w:tc>
                <w:tcPr>
                  <w:tcW w:w="0" w:type="auto"/>
                  <w:tcBorders>
                    <w:top w:val="single" w:sz="6" w:space="0" w:color="BFBFBF"/>
                    <w:left w:val="nil"/>
                    <w:bottom w:val="single" w:sz="6" w:space="0" w:color="BFBFBF"/>
                    <w:right w:val="nil"/>
                  </w:tcBorders>
                  <w:hideMark/>
                </w:tcPr>
                <w:p w14:paraId="00BB30D1" w14:textId="77777777" w:rsidR="0034060E" w:rsidRDefault="0034060E" w:rsidP="00453A36">
                  <w:pPr>
                    <w:pStyle w:val="TableColumnHeading"/>
                    <w:jc w:val="left"/>
                  </w:pPr>
                  <w:r>
                    <w:t>Minimum indicative skill level</w:t>
                  </w:r>
                  <w:r>
                    <w:rPr>
                      <w:rStyle w:val="NoteLabel"/>
                    </w:rPr>
                    <w:t> </w:t>
                  </w:r>
                  <w:r w:rsidRPr="008E77FE">
                    <w:rPr>
                      <w:rStyle w:val="NoteLabel"/>
                    </w:rPr>
                    <w:t>a</w:t>
                  </w:r>
                </w:p>
              </w:tc>
            </w:tr>
            <w:tr w:rsidR="0034060E" w14:paraId="00BB30D7" w14:textId="77777777" w:rsidTr="00DB489C">
              <w:tc>
                <w:tcPr>
                  <w:tcW w:w="1537" w:type="dxa"/>
                  <w:tcBorders>
                    <w:top w:val="single" w:sz="6" w:space="0" w:color="BFBFBF"/>
                    <w:left w:val="nil"/>
                    <w:bottom w:val="nil"/>
                    <w:right w:val="nil"/>
                  </w:tcBorders>
                  <w:hideMark/>
                </w:tcPr>
                <w:p w14:paraId="00BB30D3" w14:textId="77777777" w:rsidR="0034060E" w:rsidRDefault="0034060E" w:rsidP="00DB489C">
                  <w:pPr>
                    <w:pStyle w:val="TableBodyText"/>
                    <w:jc w:val="left"/>
                  </w:pPr>
                  <w:r>
                    <w:t>Managers</w:t>
                  </w:r>
                </w:p>
              </w:tc>
              <w:tc>
                <w:tcPr>
                  <w:tcW w:w="4803" w:type="dxa"/>
                  <w:tcBorders>
                    <w:top w:val="single" w:sz="6" w:space="0" w:color="BFBFBF"/>
                    <w:left w:val="nil"/>
                    <w:bottom w:val="nil"/>
                    <w:right w:val="nil"/>
                  </w:tcBorders>
                  <w:hideMark/>
                </w:tcPr>
                <w:p w14:paraId="00BB30D4" w14:textId="77777777" w:rsidR="0034060E" w:rsidRDefault="0034060E" w:rsidP="00DB489C">
                  <w:pPr>
                    <w:pStyle w:val="TableBodyText"/>
                    <w:jc w:val="left"/>
                  </w:pPr>
                  <w:r>
                    <w:t xml:space="preserve">Managers plan, organise, direct, control, coordinate and review the operations of government, commercial, agricultural, industrial, </w:t>
                  </w:r>
                  <w:proofErr w:type="spellStart"/>
                  <w:r>
                    <w:t>non</w:t>
                  </w:r>
                  <w:r>
                    <w:noBreakHyphen/>
                    <w:t>profit</w:t>
                  </w:r>
                  <w:proofErr w:type="spellEnd"/>
                  <w:r>
                    <w:t xml:space="preserve"> and other organisations, and departments.</w:t>
                  </w:r>
                </w:p>
              </w:tc>
              <w:tc>
                <w:tcPr>
                  <w:tcW w:w="0" w:type="auto"/>
                  <w:tcBorders>
                    <w:top w:val="single" w:sz="6" w:space="0" w:color="BFBFBF"/>
                    <w:left w:val="nil"/>
                    <w:bottom w:val="nil"/>
                    <w:right w:val="nil"/>
                  </w:tcBorders>
                </w:tcPr>
                <w:p w14:paraId="00BB30D6" w14:textId="19782F9E" w:rsidR="0034060E" w:rsidRDefault="0034060E" w:rsidP="00DB489C">
                  <w:pPr>
                    <w:pStyle w:val="TableBodyText"/>
                    <w:jc w:val="left"/>
                  </w:pPr>
                  <w:r>
                    <w:t>Diploma or at least three years of relevant ex</w:t>
                  </w:r>
                  <w:r w:rsidR="00DB489C">
                    <w:t>perience (</w:t>
                  </w:r>
                  <w:proofErr w:type="spellStart"/>
                  <w:r w:rsidR="00DB489C">
                    <w:t>ANZSCO</w:t>
                  </w:r>
                  <w:proofErr w:type="spellEnd"/>
                  <w:r w:rsidR="00DB489C">
                    <w:t xml:space="preserve"> Skill Level 2)</w:t>
                  </w:r>
                </w:p>
              </w:tc>
            </w:tr>
            <w:tr w:rsidR="0034060E" w14:paraId="00BB30DB" w14:textId="77777777" w:rsidTr="00DB489C">
              <w:tc>
                <w:tcPr>
                  <w:tcW w:w="1537" w:type="dxa"/>
                  <w:hideMark/>
                </w:tcPr>
                <w:p w14:paraId="00BB30D8" w14:textId="77777777" w:rsidR="0034060E" w:rsidRDefault="0034060E">
                  <w:pPr>
                    <w:pStyle w:val="TableBodyText"/>
                    <w:jc w:val="left"/>
                  </w:pPr>
                  <w:r>
                    <w:t>Professionals</w:t>
                  </w:r>
                </w:p>
              </w:tc>
              <w:tc>
                <w:tcPr>
                  <w:tcW w:w="4803" w:type="dxa"/>
                  <w:hideMark/>
                </w:tcPr>
                <w:p w14:paraId="00BB30D9" w14:textId="77777777" w:rsidR="0034060E" w:rsidRDefault="0034060E">
                  <w:pPr>
                    <w:pStyle w:val="TableBodyText"/>
                    <w:jc w:val="left"/>
                  </w:pPr>
                  <w:r>
                    <w:t>Professionals perform analytical, conceptual and creative tasks through the application of theoretical knowledge and experience in the fields of the arts, media, business, design, engineering, the physical and life sciences, transport, education, health, information and communication technology, the law, social sciences and social welfare.</w:t>
                  </w:r>
                </w:p>
              </w:tc>
              <w:tc>
                <w:tcPr>
                  <w:tcW w:w="0" w:type="auto"/>
                </w:tcPr>
                <w:p w14:paraId="00BB30DA" w14:textId="77777777" w:rsidR="0034060E" w:rsidRDefault="0034060E">
                  <w:pPr>
                    <w:pStyle w:val="TableBodyText"/>
                    <w:jc w:val="left"/>
                  </w:pPr>
                  <w:r>
                    <w:t>Diploma or at least three years of relevant experience (</w:t>
                  </w:r>
                  <w:proofErr w:type="spellStart"/>
                  <w:r>
                    <w:t>ANZSCO</w:t>
                  </w:r>
                  <w:proofErr w:type="spellEnd"/>
                  <w:r>
                    <w:t xml:space="preserve"> Skill Level 2)</w:t>
                  </w:r>
                </w:p>
              </w:tc>
            </w:tr>
            <w:tr w:rsidR="0034060E" w14:paraId="00BB30DF" w14:textId="77777777" w:rsidTr="00DB489C">
              <w:tc>
                <w:tcPr>
                  <w:tcW w:w="1537" w:type="dxa"/>
                  <w:hideMark/>
                </w:tcPr>
                <w:p w14:paraId="00BB30DC" w14:textId="77777777" w:rsidR="0034060E" w:rsidRDefault="0034060E">
                  <w:pPr>
                    <w:pStyle w:val="TableBodyText"/>
                    <w:jc w:val="left"/>
                  </w:pPr>
                  <w:r>
                    <w:t>Technicians and Trades Workers</w:t>
                  </w:r>
                </w:p>
              </w:tc>
              <w:tc>
                <w:tcPr>
                  <w:tcW w:w="4803" w:type="dxa"/>
                  <w:hideMark/>
                </w:tcPr>
                <w:p w14:paraId="00BB30DD" w14:textId="77777777" w:rsidR="0034060E" w:rsidRDefault="0034060E">
                  <w:pPr>
                    <w:pStyle w:val="TableBodyText"/>
                    <w:jc w:val="left"/>
                  </w:pPr>
                  <w:r>
                    <w:t>Technicians and trades workers perform a variety of skilled tasks, applying broad or in</w:t>
                  </w:r>
                  <w:r>
                    <w:noBreakHyphen/>
                    <w:t>depth technical, trade or industry specific knowledge, often in support of scientific, engineering, building and manufacturing activities.</w:t>
                  </w:r>
                </w:p>
              </w:tc>
              <w:tc>
                <w:tcPr>
                  <w:tcW w:w="0" w:type="auto"/>
                  <w:hideMark/>
                </w:tcPr>
                <w:p w14:paraId="00BB30DE" w14:textId="77777777" w:rsidR="0034060E" w:rsidRDefault="0034060E" w:rsidP="00453A36">
                  <w:pPr>
                    <w:pStyle w:val="TableBodyText"/>
                    <w:jc w:val="left"/>
                  </w:pPr>
                  <w:proofErr w:type="spellStart"/>
                  <w:r>
                    <w:t>AQF</w:t>
                  </w:r>
                  <w:proofErr w:type="spellEnd"/>
                  <w:r>
                    <w:t xml:space="preserve"> Certificate IV or at least three years of relevant experience (</w:t>
                  </w:r>
                  <w:proofErr w:type="spellStart"/>
                  <w:r>
                    <w:t>ANZSCO</w:t>
                  </w:r>
                  <w:proofErr w:type="spellEnd"/>
                  <w:r>
                    <w:t xml:space="preserve"> Skill Level 3)</w:t>
                  </w:r>
                </w:p>
              </w:tc>
            </w:tr>
            <w:tr w:rsidR="0034060E" w14:paraId="00BB30E3" w14:textId="77777777" w:rsidTr="00DB489C">
              <w:tc>
                <w:tcPr>
                  <w:tcW w:w="1537" w:type="dxa"/>
                  <w:hideMark/>
                </w:tcPr>
                <w:p w14:paraId="00BB30E0" w14:textId="77777777" w:rsidR="0034060E" w:rsidRDefault="0034060E">
                  <w:pPr>
                    <w:pStyle w:val="TableBodyText"/>
                    <w:jc w:val="left"/>
                  </w:pPr>
                  <w:r>
                    <w:t>Community and Personal Service Workers</w:t>
                  </w:r>
                </w:p>
              </w:tc>
              <w:tc>
                <w:tcPr>
                  <w:tcW w:w="4803" w:type="dxa"/>
                  <w:hideMark/>
                </w:tcPr>
                <w:p w14:paraId="00BB30E1" w14:textId="77777777" w:rsidR="0034060E" w:rsidRDefault="0034060E">
                  <w:pPr>
                    <w:pStyle w:val="TableBodyText"/>
                    <w:jc w:val="left"/>
                  </w:pPr>
                  <w:r>
                    <w:t>Community and personal service workers assist Health Professionals in the provision of patient care, provide information and support on a range of social welfare matters, and provide other services in the areas of aged care and childcare, education support, hospitality, defence, policing and emergency services, security, travel and tourism, fitness, sports and personal services</w:t>
                  </w:r>
                </w:p>
              </w:tc>
              <w:tc>
                <w:tcPr>
                  <w:tcW w:w="0" w:type="auto"/>
                  <w:hideMark/>
                </w:tcPr>
                <w:p w14:paraId="00BB30E2" w14:textId="77777777" w:rsidR="0034060E" w:rsidRDefault="0034060E" w:rsidP="00453A36">
                  <w:pPr>
                    <w:pStyle w:val="TableBodyText"/>
                    <w:jc w:val="left"/>
                  </w:pPr>
                  <w:proofErr w:type="spellStart"/>
                  <w:r>
                    <w:t>AQF</w:t>
                  </w:r>
                  <w:proofErr w:type="spellEnd"/>
                  <w:r>
                    <w:t xml:space="preserve"> Certificate I or compulsory secondary education (</w:t>
                  </w:r>
                  <w:proofErr w:type="spellStart"/>
                  <w:r>
                    <w:t>ANZSCO</w:t>
                  </w:r>
                  <w:proofErr w:type="spellEnd"/>
                  <w:r>
                    <w:t xml:space="preserve"> Skill Level 5)</w:t>
                  </w:r>
                </w:p>
              </w:tc>
            </w:tr>
            <w:tr w:rsidR="0034060E" w14:paraId="00BB30E7" w14:textId="77777777" w:rsidTr="00DB489C">
              <w:tc>
                <w:tcPr>
                  <w:tcW w:w="1537" w:type="dxa"/>
                  <w:hideMark/>
                </w:tcPr>
                <w:p w14:paraId="00BB30E4" w14:textId="77777777" w:rsidR="0034060E" w:rsidRDefault="0034060E">
                  <w:pPr>
                    <w:pStyle w:val="TableBodyText"/>
                    <w:jc w:val="left"/>
                  </w:pPr>
                  <w:r>
                    <w:t>Clerical and Administrative Workers</w:t>
                  </w:r>
                </w:p>
              </w:tc>
              <w:tc>
                <w:tcPr>
                  <w:tcW w:w="4803" w:type="dxa"/>
                  <w:hideMark/>
                </w:tcPr>
                <w:p w14:paraId="00BB30E5" w14:textId="77777777" w:rsidR="0034060E" w:rsidRDefault="0034060E">
                  <w:pPr>
                    <w:pStyle w:val="TableBodyText"/>
                    <w:jc w:val="left"/>
                  </w:pPr>
                  <w:r>
                    <w:t>Clerical and administrative workers provide support to Managers, Professionals and organisations by organising, storing, manipulating and retrieving information.</w:t>
                  </w:r>
                </w:p>
              </w:tc>
              <w:tc>
                <w:tcPr>
                  <w:tcW w:w="0" w:type="auto"/>
                  <w:hideMark/>
                </w:tcPr>
                <w:p w14:paraId="00BB30E6" w14:textId="77777777" w:rsidR="0034060E" w:rsidRDefault="0034060E">
                  <w:pPr>
                    <w:pStyle w:val="TableBodyText"/>
                    <w:jc w:val="left"/>
                  </w:pPr>
                  <w:proofErr w:type="spellStart"/>
                  <w:r>
                    <w:t>AQF</w:t>
                  </w:r>
                  <w:proofErr w:type="spellEnd"/>
                  <w:r>
                    <w:t xml:space="preserve"> Certificate I or compulsory secondary education (</w:t>
                  </w:r>
                  <w:proofErr w:type="spellStart"/>
                  <w:r>
                    <w:t>ANZSCO</w:t>
                  </w:r>
                  <w:proofErr w:type="spellEnd"/>
                  <w:r>
                    <w:t xml:space="preserve"> Skill Level 5)</w:t>
                  </w:r>
                </w:p>
              </w:tc>
            </w:tr>
            <w:tr w:rsidR="0034060E" w14:paraId="00BB30EB" w14:textId="77777777" w:rsidTr="00DB489C">
              <w:tc>
                <w:tcPr>
                  <w:tcW w:w="1537" w:type="dxa"/>
                  <w:hideMark/>
                </w:tcPr>
                <w:p w14:paraId="00BB30E8" w14:textId="77777777" w:rsidR="0034060E" w:rsidRDefault="0034060E">
                  <w:pPr>
                    <w:pStyle w:val="TableBodyText"/>
                    <w:jc w:val="left"/>
                  </w:pPr>
                  <w:r>
                    <w:t>Sales Workers</w:t>
                  </w:r>
                </w:p>
              </w:tc>
              <w:tc>
                <w:tcPr>
                  <w:tcW w:w="4803" w:type="dxa"/>
                  <w:hideMark/>
                </w:tcPr>
                <w:p w14:paraId="00BB30E9" w14:textId="77777777" w:rsidR="0034060E" w:rsidRDefault="0034060E">
                  <w:pPr>
                    <w:pStyle w:val="TableBodyText"/>
                    <w:jc w:val="left"/>
                  </w:pPr>
                  <w:r>
                    <w:t>Sales workers sell goods, services and property, and provide sales support in areas such as operating cash registers and displaying and demonstrating goods. This category excludes ICT and technical sales representatives who are included in Professional and Technicians occupations respectively.</w:t>
                  </w:r>
                </w:p>
              </w:tc>
              <w:tc>
                <w:tcPr>
                  <w:tcW w:w="0" w:type="auto"/>
                  <w:hideMark/>
                </w:tcPr>
                <w:p w14:paraId="00BB30EA" w14:textId="77777777" w:rsidR="0034060E" w:rsidRDefault="0034060E">
                  <w:pPr>
                    <w:pStyle w:val="TableBodyText"/>
                    <w:jc w:val="left"/>
                  </w:pPr>
                  <w:proofErr w:type="spellStart"/>
                  <w:r>
                    <w:t>AQF</w:t>
                  </w:r>
                  <w:proofErr w:type="spellEnd"/>
                  <w:r>
                    <w:t xml:space="preserve"> Certificate I or compulsory secondary education (</w:t>
                  </w:r>
                  <w:proofErr w:type="spellStart"/>
                  <w:r>
                    <w:t>ANZSCO</w:t>
                  </w:r>
                  <w:proofErr w:type="spellEnd"/>
                  <w:r>
                    <w:t xml:space="preserve"> Skill Level 5)</w:t>
                  </w:r>
                </w:p>
              </w:tc>
            </w:tr>
            <w:tr w:rsidR="0034060E" w14:paraId="00BB30EF" w14:textId="77777777" w:rsidTr="00DB489C">
              <w:tc>
                <w:tcPr>
                  <w:tcW w:w="1537" w:type="dxa"/>
                  <w:hideMark/>
                </w:tcPr>
                <w:p w14:paraId="00BB30EC" w14:textId="77777777" w:rsidR="0034060E" w:rsidRDefault="0034060E">
                  <w:pPr>
                    <w:pStyle w:val="TableBodyText"/>
                    <w:jc w:val="left"/>
                  </w:pPr>
                  <w:r>
                    <w:t>Machinery Operators and Drivers</w:t>
                  </w:r>
                </w:p>
              </w:tc>
              <w:tc>
                <w:tcPr>
                  <w:tcW w:w="4803" w:type="dxa"/>
                  <w:hideMark/>
                </w:tcPr>
                <w:p w14:paraId="00BB30ED" w14:textId="77777777" w:rsidR="0034060E" w:rsidRDefault="0034060E">
                  <w:pPr>
                    <w:pStyle w:val="TableBodyText"/>
                    <w:jc w:val="left"/>
                  </w:pPr>
                  <w:r>
                    <w:t>Machinery operators and drivers operate machines, plant, vehicles and other equipment to perform a range of agricultural, manufacturing and construction functions, move materials, and transport passengers and freight.</w:t>
                  </w:r>
                </w:p>
              </w:tc>
              <w:tc>
                <w:tcPr>
                  <w:tcW w:w="0" w:type="auto"/>
                  <w:hideMark/>
                </w:tcPr>
                <w:p w14:paraId="00BB30EE" w14:textId="77777777" w:rsidR="0034060E" w:rsidRDefault="0034060E">
                  <w:pPr>
                    <w:pStyle w:val="TableBodyText"/>
                    <w:jc w:val="left"/>
                  </w:pPr>
                  <w:proofErr w:type="spellStart"/>
                  <w:r>
                    <w:t>AQF</w:t>
                  </w:r>
                  <w:proofErr w:type="spellEnd"/>
                  <w:r>
                    <w:t xml:space="preserve"> Certificate II or III (</w:t>
                  </w:r>
                  <w:proofErr w:type="spellStart"/>
                  <w:r>
                    <w:t>ANZSCO</w:t>
                  </w:r>
                  <w:proofErr w:type="spellEnd"/>
                  <w:r>
                    <w:t xml:space="preserve"> Skill Level 4)</w:t>
                  </w:r>
                </w:p>
              </w:tc>
            </w:tr>
            <w:tr w:rsidR="0034060E" w14:paraId="00BB30F3" w14:textId="77777777" w:rsidTr="00DB489C">
              <w:tc>
                <w:tcPr>
                  <w:tcW w:w="1537" w:type="dxa"/>
                  <w:tcBorders>
                    <w:top w:val="nil"/>
                    <w:left w:val="nil"/>
                    <w:bottom w:val="single" w:sz="6" w:space="0" w:color="BFBFBF"/>
                    <w:right w:val="nil"/>
                  </w:tcBorders>
                  <w:hideMark/>
                </w:tcPr>
                <w:p w14:paraId="00BB30F0" w14:textId="77777777" w:rsidR="0034060E" w:rsidRDefault="0034060E">
                  <w:pPr>
                    <w:pStyle w:val="TableBodyText"/>
                    <w:jc w:val="left"/>
                  </w:pPr>
                  <w:r>
                    <w:t>Labourers</w:t>
                  </w:r>
                </w:p>
              </w:tc>
              <w:tc>
                <w:tcPr>
                  <w:tcW w:w="4803" w:type="dxa"/>
                  <w:tcBorders>
                    <w:top w:val="nil"/>
                    <w:left w:val="nil"/>
                    <w:bottom w:val="single" w:sz="6" w:space="0" w:color="BFBFBF"/>
                    <w:right w:val="nil"/>
                  </w:tcBorders>
                  <w:hideMark/>
                </w:tcPr>
                <w:p w14:paraId="00BB30F1" w14:textId="77777777" w:rsidR="0034060E" w:rsidRDefault="0034060E">
                  <w:pPr>
                    <w:pStyle w:val="TableBodyText"/>
                    <w:jc w:val="left"/>
                  </w:pPr>
                  <w:r>
                    <w:t>Labourers perform a variety of routine and repetitive physical tasks using hand and power tools, and machines either as an individual or as part of a team assisting more skilled workers such as Trades Workers, and Machinery Operators and Drivers.</w:t>
                  </w:r>
                </w:p>
              </w:tc>
              <w:tc>
                <w:tcPr>
                  <w:tcW w:w="0" w:type="auto"/>
                  <w:tcBorders>
                    <w:top w:val="nil"/>
                    <w:left w:val="nil"/>
                    <w:bottom w:val="single" w:sz="6" w:space="0" w:color="BFBFBF"/>
                    <w:right w:val="nil"/>
                  </w:tcBorders>
                  <w:hideMark/>
                </w:tcPr>
                <w:p w14:paraId="00BB30F2" w14:textId="77777777" w:rsidR="0034060E" w:rsidRDefault="0034060E">
                  <w:pPr>
                    <w:pStyle w:val="TableBodyText"/>
                    <w:jc w:val="left"/>
                  </w:pPr>
                  <w:proofErr w:type="spellStart"/>
                  <w:r>
                    <w:t>AQF</w:t>
                  </w:r>
                  <w:proofErr w:type="spellEnd"/>
                  <w:r>
                    <w:t xml:space="preserve"> Certificate I or compulsory secondary education (</w:t>
                  </w:r>
                  <w:proofErr w:type="spellStart"/>
                  <w:r>
                    <w:t>ANZSCO</w:t>
                  </w:r>
                  <w:proofErr w:type="spellEnd"/>
                  <w:r>
                    <w:t xml:space="preserve"> Skill Level 5)</w:t>
                  </w:r>
                </w:p>
              </w:tc>
            </w:tr>
          </w:tbl>
          <w:p w14:paraId="00BB30F4" w14:textId="77777777" w:rsidR="0034060E" w:rsidRDefault="0034060E">
            <w:pPr>
              <w:pStyle w:val="Box"/>
            </w:pPr>
          </w:p>
        </w:tc>
      </w:tr>
      <w:tr w:rsidR="0034060E" w14:paraId="00BB30F7" w14:textId="77777777" w:rsidTr="00453A36">
        <w:trPr>
          <w:cantSplit/>
        </w:trPr>
        <w:tc>
          <w:tcPr>
            <w:tcW w:w="0" w:type="auto"/>
            <w:tcBorders>
              <w:top w:val="nil"/>
              <w:left w:val="nil"/>
              <w:bottom w:val="nil"/>
              <w:right w:val="nil"/>
            </w:tcBorders>
          </w:tcPr>
          <w:p w14:paraId="00BB30F6" w14:textId="77777777" w:rsidR="0034060E" w:rsidRDefault="0034060E" w:rsidP="00453A36">
            <w:pPr>
              <w:pStyle w:val="Source"/>
              <w:rPr>
                <w:i/>
              </w:rPr>
            </w:pPr>
            <w:r w:rsidRPr="008E77FE">
              <w:rPr>
                <w:rStyle w:val="NoteLabel"/>
              </w:rPr>
              <w:t>a</w:t>
            </w:r>
            <w:r>
              <w:t xml:space="preserve"> While indicative skill levels vary for the occupations within each major occupation group, shown here is the minimum indicative skill level for most occupations within the major occupation group. </w:t>
            </w:r>
          </w:p>
        </w:tc>
      </w:tr>
      <w:tr w:rsidR="0034060E" w14:paraId="00BB30F9" w14:textId="77777777" w:rsidTr="00453A36">
        <w:trPr>
          <w:cantSplit/>
        </w:trPr>
        <w:tc>
          <w:tcPr>
            <w:tcW w:w="0" w:type="auto"/>
            <w:tcBorders>
              <w:top w:val="nil"/>
              <w:left w:val="nil"/>
              <w:bottom w:val="nil"/>
              <w:right w:val="nil"/>
            </w:tcBorders>
            <w:hideMark/>
          </w:tcPr>
          <w:p w14:paraId="00BB30F8" w14:textId="77777777" w:rsidR="0034060E" w:rsidRDefault="0034060E">
            <w:pPr>
              <w:pStyle w:val="Source"/>
            </w:pPr>
            <w:r>
              <w:rPr>
                <w:i/>
              </w:rPr>
              <w:t>Source</w:t>
            </w:r>
            <w:r>
              <w:t>: ABS (</w:t>
            </w:r>
            <w:proofErr w:type="spellStart"/>
            <w:r>
              <w:t>ANZSCO</w:t>
            </w:r>
            <w:proofErr w:type="spellEnd"/>
            <w:r>
              <w:t xml:space="preserve"> – Australian and New Zealand Standard Classification of Occupations, Version 1.2, 26 June 2013, Cat. no. 1220.0).</w:t>
            </w:r>
          </w:p>
        </w:tc>
      </w:tr>
      <w:tr w:rsidR="0034060E" w14:paraId="00BB30FB" w14:textId="77777777" w:rsidTr="00453A36">
        <w:trPr>
          <w:cantSplit/>
        </w:trPr>
        <w:tc>
          <w:tcPr>
            <w:tcW w:w="0" w:type="auto"/>
            <w:tcBorders>
              <w:top w:val="nil"/>
              <w:left w:val="nil"/>
              <w:bottom w:val="single" w:sz="6" w:space="0" w:color="78A22F"/>
              <w:right w:val="nil"/>
            </w:tcBorders>
          </w:tcPr>
          <w:p w14:paraId="00BB30FA" w14:textId="77777777" w:rsidR="0034060E" w:rsidRDefault="0034060E">
            <w:pPr>
              <w:pStyle w:val="Box"/>
              <w:spacing w:before="0" w:line="120" w:lineRule="exact"/>
            </w:pPr>
          </w:p>
        </w:tc>
      </w:tr>
      <w:tr w:rsidR="0034060E" w14:paraId="00BB30FD" w14:textId="77777777" w:rsidTr="00453A36">
        <w:tc>
          <w:tcPr>
            <w:tcW w:w="0" w:type="auto"/>
            <w:tcBorders>
              <w:top w:val="single" w:sz="6" w:space="0" w:color="78A22F"/>
              <w:left w:val="nil"/>
              <w:bottom w:val="nil"/>
              <w:right w:val="nil"/>
            </w:tcBorders>
            <w:hideMark/>
          </w:tcPr>
          <w:p w14:paraId="00BB30FC" w14:textId="1CBBF611" w:rsidR="0034060E" w:rsidRDefault="0034060E">
            <w:pPr>
              <w:pStyle w:val="BoxSpaceBelow"/>
            </w:pPr>
          </w:p>
        </w:tc>
      </w:tr>
    </w:tbl>
    <w:p w14:paraId="00BB30FE" w14:textId="4ABC0A0E" w:rsidR="0034060E" w:rsidRDefault="0034060E" w:rsidP="00453A36">
      <w:pPr>
        <w:pStyle w:val="BodyText"/>
      </w:pPr>
      <w:r>
        <w:lastRenderedPageBreak/>
        <w:t>For the purpose</w:t>
      </w:r>
      <w:r w:rsidR="00DB489C">
        <w:t>s</w:t>
      </w:r>
      <w:r>
        <w:t xml:space="preserve"> of the current study, this labour market data has been further disaggregated into two components:</w:t>
      </w:r>
    </w:p>
    <w:p w14:paraId="00BB30FF" w14:textId="77777777" w:rsidR="0034060E" w:rsidRDefault="0034060E" w:rsidP="0034060E">
      <w:pPr>
        <w:pStyle w:val="ListBullet"/>
      </w:pPr>
      <w:r>
        <w:rPr>
          <w:i/>
        </w:rPr>
        <w:t>award</w:t>
      </w:r>
      <w:r>
        <w:rPr>
          <w:i/>
        </w:rPr>
        <w:noBreakHyphen/>
        <w:t>reliant</w:t>
      </w:r>
      <w:r>
        <w:t xml:space="preserve"> workers</w:t>
      </w:r>
    </w:p>
    <w:p w14:paraId="00BB3100" w14:textId="77777777" w:rsidR="0034060E" w:rsidRDefault="0034060E" w:rsidP="0034060E">
      <w:pPr>
        <w:pStyle w:val="ListBullet"/>
      </w:pPr>
      <w:r>
        <w:t>other employed people.</w:t>
      </w:r>
    </w:p>
    <w:p w14:paraId="00BB3101" w14:textId="77777777" w:rsidR="0034060E" w:rsidRDefault="0034060E" w:rsidP="00453A36">
      <w:pPr>
        <w:pStyle w:val="BodyText"/>
      </w:pPr>
      <w:r>
        <w:t xml:space="preserve">The disaggregation of the labour force was based on detailed labour market information in the ABS </w:t>
      </w:r>
      <w:r>
        <w:rPr>
          <w:i/>
        </w:rPr>
        <w:t>Survey of Employee Earnings and Hours</w:t>
      </w:r>
      <w:r>
        <w:t xml:space="preserve"> (appendix B).</w:t>
      </w:r>
    </w:p>
    <w:p w14:paraId="00BB3102" w14:textId="3E4070F8" w:rsidR="0034060E" w:rsidRDefault="0034060E" w:rsidP="00453A36">
      <w:pPr>
        <w:pStyle w:val="Heading2"/>
      </w:pPr>
      <w:proofErr w:type="spellStart"/>
      <w:r>
        <w:t>A.</w:t>
      </w:r>
      <w:r>
        <w:rPr>
          <w:noProof/>
        </w:rPr>
        <w:t>3</w:t>
      </w:r>
      <w:proofErr w:type="spellEnd"/>
      <w:r w:rsidR="00E379FC">
        <w:tab/>
      </w:r>
      <w:r>
        <w:t>The economic environment (model closure</w:t>
      </w:r>
      <w:r w:rsidRPr="00042C3F">
        <w:rPr>
          <w:rStyle w:val="FootnoteReference"/>
          <w:b w:val="0"/>
        </w:rPr>
        <w:footnoteReference w:id="6"/>
      </w:r>
      <w:r>
        <w:t>)</w:t>
      </w:r>
    </w:p>
    <w:p w14:paraId="00BB3103" w14:textId="77777777" w:rsidR="0034060E" w:rsidRDefault="0034060E" w:rsidP="00453A36">
      <w:pPr>
        <w:pStyle w:val="BodyText"/>
      </w:pPr>
      <w:r>
        <w:t xml:space="preserve">The primary focus of this modelling supplement is on the possible impacts on the Australian economy of constraining the growth in award wages under certain labour market conditions. More specifically, the supplement asks the question ‘how might the Australian economy differ if the award wage grows by one/two per cent less each year than average wages for a period of five years?’. </w:t>
      </w:r>
    </w:p>
    <w:p w14:paraId="00BB3104" w14:textId="7A5FC00D" w:rsidR="0034060E" w:rsidRDefault="0034060E" w:rsidP="00453A36">
      <w:pPr>
        <w:pStyle w:val="BodyText"/>
      </w:pPr>
      <w:r>
        <w:t>The study examines the transition path of adjustments over time, u</w:t>
      </w:r>
      <w:r w:rsidR="00E379FC">
        <w:t>sing a dynamic, or year</w:t>
      </w:r>
      <w:r w:rsidR="00E379FC">
        <w:noBreakHyphen/>
        <w:t>to</w:t>
      </w:r>
      <w:r w:rsidR="00E379FC">
        <w:noBreakHyphen/>
        <w:t>year</w:t>
      </w:r>
      <w:r>
        <w:t xml:space="preserve"> modelling environment.</w:t>
      </w:r>
    </w:p>
    <w:p w14:paraId="00BB3105" w14:textId="77777777" w:rsidR="0034060E" w:rsidRDefault="0034060E" w:rsidP="00453A36">
      <w:pPr>
        <w:pStyle w:val="Heading3"/>
      </w:pPr>
      <w:r>
        <w:t>Scenario 1 modelling environment</w:t>
      </w:r>
    </w:p>
    <w:p w14:paraId="00BB3106" w14:textId="21B309C7" w:rsidR="0034060E" w:rsidRDefault="0034060E" w:rsidP="00453A36">
      <w:pPr>
        <w:pStyle w:val="BodyText"/>
        <w:rPr>
          <w:lang w:eastAsia="en-US"/>
        </w:rPr>
      </w:pPr>
      <w:r>
        <w:t xml:space="preserve">The </w:t>
      </w:r>
      <w:r>
        <w:rPr>
          <w:lang w:eastAsia="en-US"/>
        </w:rPr>
        <w:t xml:space="preserve">dynamic modelling undertaken in this study follows the approach used in the Commission’s previous dynamic modelling of the economywide effects of future automotive assistance arrangements </w:t>
      </w:r>
      <w:r w:rsidRPr="00790D11">
        <w:rPr>
          <w:szCs w:val="24"/>
        </w:rPr>
        <w:t>(PC 2014)</w:t>
      </w:r>
      <w:r>
        <w:rPr>
          <w:lang w:eastAsia="en-US"/>
        </w:rPr>
        <w:t xml:space="preserve"> and in its dynamic modelling of the impacts of </w:t>
      </w:r>
      <w:proofErr w:type="spellStart"/>
      <w:r>
        <w:rPr>
          <w:lang w:eastAsia="en-US"/>
        </w:rPr>
        <w:t>COAG</w:t>
      </w:r>
      <w:proofErr w:type="spellEnd"/>
      <w:r>
        <w:rPr>
          <w:lang w:eastAsia="en-US"/>
        </w:rPr>
        <w:t xml:space="preserve"> reforms </w:t>
      </w:r>
      <w:r w:rsidRPr="008206FF">
        <w:rPr>
          <w:szCs w:val="24"/>
        </w:rPr>
        <w:t>(PC 2012)</w:t>
      </w:r>
      <w:r>
        <w:rPr>
          <w:lang w:eastAsia="en-US"/>
        </w:rPr>
        <w:t xml:space="preserve">. </w:t>
      </w:r>
    </w:p>
    <w:p w14:paraId="00BB3107" w14:textId="77777777" w:rsidR="0034060E" w:rsidRDefault="0034060E" w:rsidP="00453A36">
      <w:pPr>
        <w:pStyle w:val="BodyText"/>
        <w:rPr>
          <w:lang w:eastAsia="en-US"/>
        </w:rPr>
      </w:pPr>
      <w:r>
        <w:rPr>
          <w:lang w:eastAsia="en-US"/>
        </w:rPr>
        <w:t>Each step in the recursive</w:t>
      </w:r>
      <w:r>
        <w:rPr>
          <w:lang w:eastAsia="en-US"/>
        </w:rPr>
        <w:noBreakHyphen/>
        <w:t>dynamic modelling is similar to a short</w:t>
      </w:r>
      <w:r>
        <w:rPr>
          <w:lang w:eastAsia="en-US"/>
        </w:rPr>
        <w:noBreakHyphen/>
        <w:t>run comparative</w:t>
      </w:r>
      <w:r>
        <w:rPr>
          <w:lang w:eastAsia="en-US"/>
        </w:rPr>
        <w:noBreakHyphen/>
        <w:t>static simulation, but with gradual adjustment in capital and labour markets. The initial model database for 2009</w:t>
      </w:r>
      <w:r>
        <w:rPr>
          <w:lang w:eastAsia="en-US"/>
        </w:rPr>
        <w:noBreakHyphen/>
        <w:t>10 is updated at each annual step (collectively referred to as the ‘reference case’, or in this inquiry, as the ‘business</w:t>
      </w:r>
      <w:r>
        <w:rPr>
          <w:lang w:eastAsia="en-US"/>
        </w:rPr>
        <w:noBreakHyphen/>
        <w:t>as</w:t>
      </w:r>
      <w:r>
        <w:rPr>
          <w:lang w:eastAsia="en-US"/>
        </w:rPr>
        <w:noBreakHyphen/>
        <w:t>usual’ scenario).</w:t>
      </w:r>
    </w:p>
    <w:p w14:paraId="00BB3108" w14:textId="26A4AF3A" w:rsidR="0034060E" w:rsidRDefault="0034060E" w:rsidP="00453A36">
      <w:pPr>
        <w:pStyle w:val="BodyText"/>
      </w:pPr>
      <w:r>
        <w:t>The key elements of the year</w:t>
      </w:r>
      <w:r>
        <w:noBreakHyphen/>
        <w:t>to</w:t>
      </w:r>
      <w:r>
        <w:noBreakHyphen/>
        <w:t xml:space="preserve">year economic environment used in </w:t>
      </w:r>
      <w:r>
        <w:rPr>
          <w:lang w:eastAsia="en-US"/>
        </w:rPr>
        <w:t>scenario 1</w:t>
      </w:r>
      <w:r>
        <w:t xml:space="preserve"> in this study are as follows</w:t>
      </w:r>
      <w:r w:rsidR="00E379FC">
        <w:t>:</w:t>
      </w:r>
    </w:p>
    <w:p w14:paraId="00BB3109" w14:textId="77777777" w:rsidR="0034060E" w:rsidRDefault="0034060E" w:rsidP="0034060E">
      <w:pPr>
        <w:pStyle w:val="ListBullet"/>
        <w:spacing w:after="200"/>
      </w:pPr>
      <w:r>
        <w:t xml:space="preserve">The model index of consumer prices is the </w:t>
      </w:r>
      <w:proofErr w:type="spellStart"/>
      <w:r>
        <w:t>numeraire</w:t>
      </w:r>
      <w:proofErr w:type="spellEnd"/>
      <w:r>
        <w:t>. That is, changes in domestic prices in the model can be interpreted as changes relative to the general level of prices in the economy. In all simulations, the nominal exchange rate is flexible.</w:t>
      </w:r>
    </w:p>
    <w:p w14:paraId="00BB310A" w14:textId="7B40B767" w:rsidR="0034060E" w:rsidRDefault="0034060E" w:rsidP="0034060E">
      <w:pPr>
        <w:pStyle w:val="ListBullet"/>
      </w:pPr>
      <w:r>
        <w:lastRenderedPageBreak/>
        <w:t xml:space="preserve">Population growth and the aggregate supply of labour are determined by the demographic module outlined in the Productivity Commission paper </w:t>
      </w:r>
      <w:r>
        <w:rPr>
          <w:i/>
        </w:rPr>
        <w:t>Economy</w:t>
      </w:r>
      <w:r>
        <w:rPr>
          <w:i/>
        </w:rPr>
        <w:noBreakHyphen/>
        <w:t xml:space="preserve">wide Modelling of the Impacts of </w:t>
      </w:r>
      <w:proofErr w:type="spellStart"/>
      <w:r>
        <w:rPr>
          <w:i/>
        </w:rPr>
        <w:t>COAG</w:t>
      </w:r>
      <w:proofErr w:type="spellEnd"/>
      <w:r>
        <w:rPr>
          <w:i/>
        </w:rPr>
        <w:t xml:space="preserve"> Reforms</w:t>
      </w:r>
      <w:r>
        <w:t xml:space="preserve"> </w:t>
      </w:r>
      <w:r w:rsidRPr="008206FF">
        <w:rPr>
          <w:szCs w:val="24"/>
        </w:rPr>
        <w:t>(PC 2012)</w:t>
      </w:r>
      <w:r>
        <w:t>.</w:t>
      </w:r>
    </w:p>
    <w:p w14:paraId="00BB310B" w14:textId="4108CA27" w:rsidR="0034060E" w:rsidRDefault="0034060E" w:rsidP="0034060E">
      <w:pPr>
        <w:pStyle w:val="ListBullet"/>
        <w:spacing w:after="200"/>
      </w:pPr>
      <w:r>
        <w:t xml:space="preserve">Investment, and with it the capital stock, in each industry gradually responds to differences between the expected and actual rates of return on capital. The expected rates of return are determined by values in the standard </w:t>
      </w:r>
      <w:proofErr w:type="spellStart"/>
      <w:r>
        <w:t>VUMR</w:t>
      </w:r>
      <w:proofErr w:type="spellEnd"/>
      <w:r>
        <w:t xml:space="preserve"> model database. The adjustment process is outlined in </w:t>
      </w:r>
      <w:r w:rsidRPr="00D858CC">
        <w:rPr>
          <w:szCs w:val="24"/>
        </w:rPr>
        <w:t>(</w:t>
      </w:r>
      <w:proofErr w:type="spellStart"/>
      <w:r w:rsidRPr="00D858CC">
        <w:rPr>
          <w:szCs w:val="24"/>
        </w:rPr>
        <w:t>CoPS</w:t>
      </w:r>
      <w:proofErr w:type="spellEnd"/>
      <w:r w:rsidRPr="00D858CC">
        <w:rPr>
          <w:szCs w:val="24"/>
        </w:rPr>
        <w:t> 2014)</w:t>
      </w:r>
      <w:r>
        <w:t>.</w:t>
      </w:r>
    </w:p>
    <w:p w14:paraId="00BB310C" w14:textId="77777777" w:rsidR="0034060E" w:rsidRDefault="0034060E" w:rsidP="0034060E">
      <w:pPr>
        <w:pStyle w:val="ListBullet"/>
        <w:spacing w:after="200"/>
      </w:pPr>
      <w:r>
        <w:t>Nominal government expenditure (including government consumption and other outlays) moves in line with the underlying drivers of economic activity in the model (such as population, unemployment, aggregate economic activity and prices).</w:t>
      </w:r>
      <w:r>
        <w:rPr>
          <w:rStyle w:val="FootnoteReference"/>
        </w:rPr>
        <w:footnoteReference w:id="7"/>
      </w:r>
    </w:p>
    <w:p w14:paraId="00BB310D" w14:textId="5D7C677A" w:rsidR="0034060E" w:rsidRDefault="0034060E" w:rsidP="0034060E">
      <w:pPr>
        <w:pStyle w:val="ListBullet"/>
        <w:spacing w:after="200"/>
      </w:pPr>
      <w:r>
        <w:t>The budget position is held fixed as a share of GDP or gross state product through the use of lump</w:t>
      </w:r>
      <w:r>
        <w:noBreakHyphen/>
        <w:t>sum transfers to, or from, households.</w:t>
      </w:r>
    </w:p>
    <w:p w14:paraId="00BB310E" w14:textId="77777777" w:rsidR="0034060E" w:rsidRDefault="0034060E" w:rsidP="0034060E">
      <w:pPr>
        <w:pStyle w:val="ListBullet"/>
        <w:spacing w:after="200"/>
      </w:pPr>
      <w:r>
        <w:t>Government tax rates are assumed to remain fixed so that revenue moves in line with the various tax bases.</w:t>
      </w:r>
    </w:p>
    <w:p w14:paraId="00BB310F" w14:textId="77777777" w:rsidR="0034060E" w:rsidRDefault="0034060E" w:rsidP="0034060E">
      <w:pPr>
        <w:pStyle w:val="ListBullet"/>
        <w:spacing w:after="200"/>
      </w:pPr>
      <w:r>
        <w:t>Nominal household consumption is determined by post</w:t>
      </w:r>
      <w:r>
        <w:noBreakHyphen/>
        <w:t>tax household disposable income, while the balance of trade as a ratio of GDP in local currency prices is allowed to vary. Regional household consumption is determined by regional post</w:t>
      </w:r>
      <w:r>
        <w:noBreakHyphen/>
        <w:t>tax household disposable income.</w:t>
      </w:r>
    </w:p>
    <w:p w14:paraId="00BB3110" w14:textId="1BB90968" w:rsidR="0034060E" w:rsidRDefault="0034060E" w:rsidP="00453A36">
      <w:pPr>
        <w:pStyle w:val="BodyText"/>
      </w:pPr>
      <w:r>
        <w:t>These closure settings align with those used in the dynamic modelling undertaken in PC </w:t>
      </w:r>
      <w:r w:rsidRPr="00790D11">
        <w:t>(2014)</w:t>
      </w:r>
      <w:r>
        <w:t xml:space="preserve"> and PC </w:t>
      </w:r>
      <w:r w:rsidRPr="008206FF">
        <w:t>(2012)</w:t>
      </w:r>
      <w:r>
        <w:t xml:space="preserve"> and will be detailed in PC </w:t>
      </w:r>
      <w:r w:rsidRPr="00D858CC">
        <w:t>(forthcoming)</w:t>
      </w:r>
      <w:r>
        <w:t>.</w:t>
      </w:r>
    </w:p>
    <w:p w14:paraId="00BB3111" w14:textId="77777777" w:rsidR="0034060E" w:rsidRDefault="0034060E" w:rsidP="00453A36">
      <w:pPr>
        <w:pStyle w:val="Heading3"/>
      </w:pPr>
      <w:r>
        <w:t>The moderate wage growth scenario modelling environment (scenario 2)</w:t>
      </w:r>
    </w:p>
    <w:p w14:paraId="00BB3112" w14:textId="77777777" w:rsidR="0034060E" w:rsidRDefault="0034060E" w:rsidP="00453A36">
      <w:pPr>
        <w:pStyle w:val="BodyText"/>
      </w:pPr>
      <w:r>
        <w:t>The modelling environment used for the moderate wage growth scenario is aligned to that used for scenario 1, except for closure changes required to model the slower growth in award wages (appendix C).</w:t>
      </w:r>
    </w:p>
    <w:p w14:paraId="00BB3113" w14:textId="77777777" w:rsidR="0034060E" w:rsidRDefault="0034060E" w:rsidP="00120072">
      <w:pPr>
        <w:pStyle w:val="BodyText"/>
      </w:pPr>
    </w:p>
    <w:p w14:paraId="00BB3114" w14:textId="77777777" w:rsidR="0034060E" w:rsidRDefault="0034060E" w:rsidP="0034060E">
      <w:pPr>
        <w:sectPr w:rsidR="0034060E" w:rsidSect="0034060E">
          <w:headerReference w:type="even" r:id="rId54"/>
          <w:headerReference w:type="default" r:id="rId55"/>
          <w:footerReference w:type="even" r:id="rId56"/>
          <w:footerReference w:type="default" r:id="rId57"/>
          <w:type w:val="oddPage"/>
          <w:pgSz w:w="11907" w:h="16840" w:code="9"/>
          <w:pgMar w:top="1985" w:right="1304" w:bottom="1247" w:left="1814" w:header="1701" w:footer="397" w:gutter="0"/>
          <w:pgNumType w:chapSep="period"/>
          <w:cols w:space="720"/>
          <w:docGrid w:linePitch="326"/>
        </w:sectPr>
      </w:pPr>
    </w:p>
    <w:p w14:paraId="00BB3115" w14:textId="77777777" w:rsidR="0034060E" w:rsidRDefault="0034060E" w:rsidP="00D46F34">
      <w:pPr>
        <w:pStyle w:val="Heading1"/>
      </w:pPr>
      <w:r>
        <w:lastRenderedPageBreak/>
        <w:t>B</w:t>
      </w:r>
      <w:r>
        <w:tab/>
        <w:t xml:space="preserve">The </w:t>
      </w:r>
      <w:proofErr w:type="spellStart"/>
      <w:r>
        <w:t>VUMR</w:t>
      </w:r>
      <w:r>
        <w:rPr>
          <w:rFonts w:ascii="MS Mincho" w:eastAsia="MS Mincho" w:hAnsi="MS Mincho" w:cs="MS Mincho" w:hint="eastAsia"/>
        </w:rPr>
        <w:t>‑</w:t>
      </w:r>
      <w:r>
        <w:t>WR</w:t>
      </w:r>
      <w:proofErr w:type="spellEnd"/>
      <w:r>
        <w:t xml:space="preserve"> model database</w:t>
      </w:r>
    </w:p>
    <w:p w14:paraId="00BB3116" w14:textId="77777777" w:rsidR="0034060E" w:rsidRDefault="0034060E" w:rsidP="00120072">
      <w:pPr>
        <w:pStyle w:val="BodyText"/>
      </w:pPr>
      <w:r>
        <w:t>T</w:t>
      </w:r>
      <w:r w:rsidRPr="000300B2">
        <w:t xml:space="preserve">his </w:t>
      </w:r>
      <w:r>
        <w:t>appendix outlines</w:t>
      </w:r>
      <w:r w:rsidRPr="000300B2">
        <w:t xml:space="preserve"> the </w:t>
      </w:r>
      <w:proofErr w:type="spellStart"/>
      <w:r>
        <w:t>VUMR</w:t>
      </w:r>
      <w:r>
        <w:noBreakHyphen/>
        <w:t>WR</w:t>
      </w:r>
      <w:proofErr w:type="spellEnd"/>
      <w:r>
        <w:t xml:space="preserve"> model </w:t>
      </w:r>
      <w:r w:rsidRPr="000300B2">
        <w:t xml:space="preserve">database </w:t>
      </w:r>
      <w:r>
        <w:t>used for this inquiry and how it was produced.</w:t>
      </w:r>
    </w:p>
    <w:p w14:paraId="00BB3117" w14:textId="2125BCDC" w:rsidR="0034060E" w:rsidRDefault="0034060E" w:rsidP="00453A36">
      <w:pPr>
        <w:pStyle w:val="Heading2"/>
      </w:pPr>
      <w:proofErr w:type="spellStart"/>
      <w:r>
        <w:t>B.</w:t>
      </w:r>
      <w:r>
        <w:rPr>
          <w:noProof/>
        </w:rPr>
        <w:t>1</w:t>
      </w:r>
      <w:proofErr w:type="spellEnd"/>
      <w:r>
        <w:tab/>
        <w:t xml:space="preserve">An overview of the </w:t>
      </w:r>
      <w:proofErr w:type="spellStart"/>
      <w:r>
        <w:t>VUMR</w:t>
      </w:r>
      <w:r>
        <w:noBreakHyphen/>
        <w:t>WR</w:t>
      </w:r>
      <w:proofErr w:type="spellEnd"/>
      <w:r>
        <w:t xml:space="preserve"> model database</w:t>
      </w:r>
    </w:p>
    <w:p w14:paraId="00BB3118" w14:textId="77777777" w:rsidR="0034060E" w:rsidRDefault="0034060E" w:rsidP="00453A36">
      <w:pPr>
        <w:pStyle w:val="BodyText"/>
      </w:pPr>
      <w:r>
        <w:t xml:space="preserve">The </w:t>
      </w:r>
      <w:proofErr w:type="spellStart"/>
      <w:r>
        <w:t>VUMR</w:t>
      </w:r>
      <w:r>
        <w:noBreakHyphen/>
        <w:t>WR</w:t>
      </w:r>
      <w:proofErr w:type="spellEnd"/>
      <w:r>
        <w:t xml:space="preserve"> model database is composed of:</w:t>
      </w:r>
    </w:p>
    <w:p w14:paraId="00BB3119" w14:textId="77777777" w:rsidR="0034060E" w:rsidRDefault="0034060E" w:rsidP="00453A36">
      <w:pPr>
        <w:pStyle w:val="ListBullet"/>
        <w:numPr>
          <w:ilvl w:val="0"/>
          <w:numId w:val="22"/>
        </w:numPr>
        <w:overflowPunct w:val="0"/>
        <w:autoSpaceDE w:val="0"/>
        <w:autoSpaceDN w:val="0"/>
        <w:adjustRightInd w:val="0"/>
        <w:spacing w:line="320" w:lineRule="exact"/>
        <w:textAlignment w:val="baseline"/>
      </w:pPr>
      <w:r>
        <w:t>a production core, comprised of eight input</w:t>
      </w:r>
      <w:r>
        <w:noBreakHyphen/>
        <w:t>output tables (one for each state and territory) that are linked through interstate trade</w:t>
      </w:r>
    </w:p>
    <w:p w14:paraId="00BB311A" w14:textId="77777777" w:rsidR="0034060E" w:rsidRDefault="0034060E" w:rsidP="00453A36">
      <w:pPr>
        <w:pStyle w:val="ListBullet"/>
        <w:numPr>
          <w:ilvl w:val="0"/>
          <w:numId w:val="22"/>
        </w:numPr>
        <w:overflowPunct w:val="0"/>
        <w:autoSpaceDE w:val="0"/>
        <w:autoSpaceDN w:val="0"/>
        <w:adjustRightInd w:val="0"/>
        <w:spacing w:line="320" w:lineRule="exact"/>
        <w:textAlignment w:val="baseline"/>
      </w:pPr>
      <w:r>
        <w:t>fiscal accounts for the Australian government and the eight state and territory governments</w:t>
      </w:r>
    </w:p>
    <w:p w14:paraId="00BB311B" w14:textId="77777777" w:rsidR="0034060E" w:rsidRDefault="0034060E" w:rsidP="00453A36">
      <w:pPr>
        <w:pStyle w:val="ListBullet"/>
        <w:numPr>
          <w:ilvl w:val="0"/>
          <w:numId w:val="22"/>
        </w:numPr>
        <w:overflowPunct w:val="0"/>
        <w:autoSpaceDE w:val="0"/>
        <w:autoSpaceDN w:val="0"/>
        <w:adjustRightInd w:val="0"/>
        <w:spacing w:line="320" w:lineRule="exact"/>
        <w:textAlignment w:val="baseline"/>
      </w:pPr>
      <w:r>
        <w:t>cohort</w:t>
      </w:r>
      <w:r>
        <w:noBreakHyphen/>
        <w:t>based population and demographic accounting.</w:t>
      </w:r>
    </w:p>
    <w:p w14:paraId="00BB311C" w14:textId="5D504A2B" w:rsidR="0034060E" w:rsidRDefault="0034060E" w:rsidP="00453A36">
      <w:pPr>
        <w:pStyle w:val="BodyText"/>
      </w:pPr>
      <w:r>
        <w:t>In the production core of t</w:t>
      </w:r>
      <w:r w:rsidRPr="002371B8">
        <w:t xml:space="preserve">he database </w:t>
      </w:r>
      <w:r>
        <w:t>there are</w:t>
      </w:r>
      <w:r w:rsidRPr="002371B8">
        <w:t xml:space="preserve"> 79 industries, of which there are: 8 agricultural and related industries; 8 mining industries; 21 manufacturing industries; 9 utility industries; 3 construction industries</w:t>
      </w:r>
      <w:r w:rsidRPr="00C40E2D">
        <w:t>; 5 trade, repair</w:t>
      </w:r>
      <w:r w:rsidR="00E379FC">
        <w:t>,</w:t>
      </w:r>
      <w:r w:rsidRPr="00C40E2D">
        <w:t xml:space="preserve"> and food and accommodation industries; 8 transport industries; and 17 finance, government and other service industries.</w:t>
      </w:r>
      <w:r>
        <w:t xml:space="preserve"> The production core of the database shows how each industry in each state and territory economy is linked to other industries within that state and in other states. It is based on 2009</w:t>
      </w:r>
      <w:r>
        <w:noBreakHyphen/>
        <w:t xml:space="preserve">10 </w:t>
      </w:r>
      <w:r w:rsidRPr="006A6F42">
        <w:rPr>
          <w:i/>
        </w:rPr>
        <w:t>Input</w:t>
      </w:r>
      <w:r w:rsidRPr="006A6F42">
        <w:rPr>
          <w:i/>
        </w:rPr>
        <w:noBreakHyphen/>
        <w:t xml:space="preserve">Output Tables </w:t>
      </w:r>
      <w:r>
        <w:t>prepared by the ABS, complemented by various ABS national and state publications. It provides a detailed description of the structure of production according to a constant returns to scale production technology and demand f</w:t>
      </w:r>
      <w:r w:rsidR="00E379FC">
        <w:t>or industry outputs and imports</w:t>
      </w:r>
      <w:r>
        <w:t xml:space="preserve"> in each state and territory. Within this framework, it shows:</w:t>
      </w:r>
    </w:p>
    <w:p w14:paraId="00BB311D" w14:textId="77777777" w:rsidR="0034060E" w:rsidRDefault="0034060E" w:rsidP="00453A36">
      <w:pPr>
        <w:pStyle w:val="ListBullet"/>
        <w:numPr>
          <w:ilvl w:val="0"/>
          <w:numId w:val="22"/>
        </w:numPr>
        <w:overflowPunct w:val="0"/>
        <w:autoSpaceDE w:val="0"/>
        <w:autoSpaceDN w:val="0"/>
        <w:adjustRightInd w:val="0"/>
        <w:spacing w:line="320" w:lineRule="exact"/>
        <w:textAlignment w:val="baseline"/>
      </w:pPr>
      <w:r>
        <w:t>the flow of industry outputs to other industries (termed ‘intermediate inputs’), final demands by households (consumption), government, investment (for capital formation purposes) and exports</w:t>
      </w:r>
    </w:p>
    <w:p w14:paraId="00BB311E" w14:textId="77777777" w:rsidR="0034060E" w:rsidRDefault="0034060E" w:rsidP="00453A36">
      <w:pPr>
        <w:pStyle w:val="ListBullet"/>
        <w:numPr>
          <w:ilvl w:val="0"/>
          <w:numId w:val="22"/>
        </w:numPr>
        <w:overflowPunct w:val="0"/>
        <w:autoSpaceDE w:val="0"/>
        <w:autoSpaceDN w:val="0"/>
        <w:adjustRightInd w:val="0"/>
        <w:spacing w:line="320" w:lineRule="exact"/>
        <w:textAlignment w:val="baseline"/>
      </w:pPr>
      <w:r>
        <w:t>the transport and distribution costs associated with transferring products from the producer (or the port of entry in the case of imports) to final consumers and other users, as well as product taxes and subsidies pertaining to product flows (including the GST, import duties and excise taxes)</w:t>
      </w:r>
    </w:p>
    <w:p w14:paraId="00BB311F" w14:textId="1319ECFD" w:rsidR="0034060E" w:rsidRDefault="0034060E" w:rsidP="00453A36">
      <w:pPr>
        <w:pStyle w:val="ListBullet"/>
        <w:numPr>
          <w:ilvl w:val="0"/>
          <w:numId w:val="22"/>
        </w:numPr>
        <w:overflowPunct w:val="0"/>
        <w:autoSpaceDE w:val="0"/>
        <w:autoSpaceDN w:val="0"/>
        <w:adjustRightInd w:val="0"/>
        <w:spacing w:line="320" w:lineRule="exact"/>
        <w:textAlignment w:val="baseline"/>
      </w:pPr>
      <w:r>
        <w:t>the cost structure of industries in terms of intermediate inputs of commodities (goods and services supplied by domestic industries and by imports), primary factors of production (labour, capital and agricultural land), other costs to production</w:t>
      </w:r>
      <w:r w:rsidR="00E379FC">
        <w:t>,</w:t>
      </w:r>
      <w:r>
        <w:t xml:space="preserve"> and indirect taxes and subsidies not elsewhere classified (such as payroll taxes).</w:t>
      </w:r>
    </w:p>
    <w:p w14:paraId="00BB3120" w14:textId="77777777" w:rsidR="0034060E" w:rsidRDefault="0034060E" w:rsidP="00453A36">
      <w:pPr>
        <w:pStyle w:val="BodyText"/>
      </w:pPr>
      <w:r>
        <w:lastRenderedPageBreak/>
        <w:t xml:space="preserve">The fiscal accounts detail revenue and expenditure </w:t>
      </w:r>
      <w:r w:rsidRPr="000279D4">
        <w:t>for</w:t>
      </w:r>
      <w:r>
        <w:t xml:space="preserve"> the nine state, territory and Australian governments and align with the ABS </w:t>
      </w:r>
      <w:r w:rsidRPr="00CE27A9">
        <w:rPr>
          <w:i/>
        </w:rPr>
        <w:t>Government Financial Statistics</w:t>
      </w:r>
      <w:r>
        <w:t>. The accounts include a range of:</w:t>
      </w:r>
    </w:p>
    <w:p w14:paraId="00BB3121" w14:textId="45B5961A" w:rsidR="0034060E" w:rsidRDefault="0034060E" w:rsidP="00453A36">
      <w:pPr>
        <w:pStyle w:val="ListBullet"/>
      </w:pPr>
      <w:r>
        <w:t>government revenue sources, such as income tax, payroll tax, the GST, excise duties</w:t>
      </w:r>
      <w:r w:rsidR="00E379FC">
        <w:t>,</w:t>
      </w:r>
      <w:r>
        <w:t xml:space="preserve"> and other commodity taxes and tariffs</w:t>
      </w:r>
    </w:p>
    <w:p w14:paraId="00BB3122" w14:textId="77777777" w:rsidR="0034060E" w:rsidRDefault="0034060E" w:rsidP="00453A36">
      <w:pPr>
        <w:pStyle w:val="ListBullet"/>
      </w:pPr>
      <w:r>
        <w:t>government expenditure, including operating expenses, welfare payments and government grants.</w:t>
      </w:r>
    </w:p>
    <w:p w14:paraId="00BB3123" w14:textId="77777777" w:rsidR="0034060E" w:rsidRDefault="0034060E" w:rsidP="00453A36">
      <w:pPr>
        <w:pStyle w:val="BodyText"/>
      </w:pPr>
      <w:r>
        <w:t>The fiscal accounts for each state and territory government also include, where relevant, those for local government.</w:t>
      </w:r>
    </w:p>
    <w:p w14:paraId="00BB3124" w14:textId="77777777" w:rsidR="0034060E" w:rsidRDefault="0034060E" w:rsidP="00453A36">
      <w:pPr>
        <w:pStyle w:val="BodyText"/>
      </w:pPr>
      <w:r>
        <w:t>The cohort</w:t>
      </w:r>
      <w:r>
        <w:noBreakHyphen/>
        <w:t>based population and demographic module supports the modelling of the population over time. The demographic module models population change for age and gender</w:t>
      </w:r>
      <w:r>
        <w:noBreakHyphen/>
        <w:t>specific subsets, or cohorts using a ‘stock</w:t>
      </w:r>
      <w:r>
        <w:noBreakHyphen/>
        <w:t>flow’ approach, and determines labour supply by applying age, gender and state</w:t>
      </w:r>
      <w:r>
        <w:noBreakHyphen/>
        <w:t>specific participation rates to the number of people in each cohort. The module also allows for people to move between states in response to changes in labour demand by state industries.</w:t>
      </w:r>
      <w:r w:rsidRPr="00CF34BE">
        <w:t xml:space="preserve"> </w:t>
      </w:r>
    </w:p>
    <w:p w14:paraId="00BB3125" w14:textId="18192277" w:rsidR="0034060E" w:rsidRPr="00922161" w:rsidRDefault="0034060E" w:rsidP="00453A36">
      <w:pPr>
        <w:pStyle w:val="Heading2"/>
        <w:rPr>
          <w:b w:val="0"/>
          <w:i/>
        </w:rPr>
      </w:pPr>
      <w:proofErr w:type="spellStart"/>
      <w:r>
        <w:t>B.</w:t>
      </w:r>
      <w:r>
        <w:rPr>
          <w:noProof/>
        </w:rPr>
        <w:t>2</w:t>
      </w:r>
      <w:proofErr w:type="spellEnd"/>
      <w:r>
        <w:tab/>
      </w:r>
      <w:r w:rsidRPr="00922161">
        <w:t xml:space="preserve">Creating the </w:t>
      </w:r>
      <w:r>
        <w:t xml:space="preserve">initial model </w:t>
      </w:r>
      <w:r w:rsidRPr="00922161">
        <w:t>database</w:t>
      </w:r>
    </w:p>
    <w:p w14:paraId="00BB3126" w14:textId="1FD3CA8B" w:rsidR="0034060E" w:rsidRDefault="0034060E" w:rsidP="00453A36">
      <w:pPr>
        <w:pStyle w:val="BodyText"/>
      </w:pPr>
      <w:r w:rsidRPr="00B7414A">
        <w:t xml:space="preserve">The database </w:t>
      </w:r>
      <w:r>
        <w:t xml:space="preserve">used for this inquiry </w:t>
      </w:r>
      <w:r w:rsidRPr="00B7414A">
        <w:t>was created f</w:t>
      </w:r>
      <w:r>
        <w:t xml:space="preserve">rom the standard </w:t>
      </w:r>
      <w:proofErr w:type="spellStart"/>
      <w:r>
        <w:t>VUMR</w:t>
      </w:r>
      <w:proofErr w:type="spellEnd"/>
      <w:r>
        <w:t xml:space="preserve"> model database. for 2009</w:t>
      </w:r>
      <w:r>
        <w:noBreakHyphen/>
        <w:t xml:space="preserve">10, which was produced by the Centre of Policy Studies at Victoria University for the Productivity Commission and The Treasury. It aligns with the </w:t>
      </w:r>
      <w:r w:rsidRPr="00B7414A">
        <w:t>200</w:t>
      </w:r>
      <w:r>
        <w:t>9</w:t>
      </w:r>
      <w:r w:rsidRPr="00B7414A">
        <w:noBreakHyphen/>
      </w:r>
      <w:r>
        <w:t>1</w:t>
      </w:r>
      <w:r w:rsidRPr="00B7414A">
        <w:t>0</w:t>
      </w:r>
      <w:r>
        <w:t xml:space="preserve"> ABS </w:t>
      </w:r>
      <w:r w:rsidRPr="0023097E">
        <w:rPr>
          <w:i/>
        </w:rPr>
        <w:t>Input</w:t>
      </w:r>
      <w:r>
        <w:rPr>
          <w:i/>
        </w:rPr>
        <w:noBreakHyphen/>
      </w:r>
      <w:r w:rsidRPr="0023097E">
        <w:rPr>
          <w:i/>
        </w:rPr>
        <w:t>Output Tables</w:t>
      </w:r>
      <w:r>
        <w:t xml:space="preserve">. The database, and how it was produced, is documented in </w:t>
      </w:r>
      <w:proofErr w:type="spellStart"/>
      <w:r>
        <w:t>CoPS</w:t>
      </w:r>
      <w:proofErr w:type="spellEnd"/>
      <w:r>
        <w:t> </w:t>
      </w:r>
      <w:r w:rsidRPr="004F0171">
        <w:t>(forthcoming)</w:t>
      </w:r>
      <w:r>
        <w:t xml:space="preserve">. </w:t>
      </w:r>
    </w:p>
    <w:p w14:paraId="00BB3127" w14:textId="77777777" w:rsidR="0034060E" w:rsidRDefault="0034060E" w:rsidP="00453A36">
      <w:pPr>
        <w:pStyle w:val="BodyText"/>
      </w:pPr>
      <w:r>
        <w:t xml:space="preserve">Construction of the standard database involves </w:t>
      </w:r>
      <w:r w:rsidRPr="00B7414A">
        <w:t xml:space="preserve">three broad steps to suit model </w:t>
      </w:r>
      <w:r>
        <w:t xml:space="preserve">data and classification requirements </w:t>
      </w:r>
      <w:r w:rsidRPr="00B7414A">
        <w:t>(</w:t>
      </w:r>
      <w:r>
        <w:t>table </w:t>
      </w:r>
      <w:proofErr w:type="spellStart"/>
      <w:r>
        <w:t>B.1</w:t>
      </w:r>
      <w:proofErr w:type="spellEnd"/>
      <w:r w:rsidRPr="00B7414A">
        <w:t>).</w:t>
      </w:r>
      <w:r w:rsidRPr="00885F8D">
        <w:rPr>
          <w:rStyle w:val="FootnoteReference"/>
        </w:rPr>
        <w:footnoteReference w:id="8"/>
      </w:r>
    </w:p>
    <w:p w14:paraId="00BB3128" w14:textId="77777777" w:rsidR="0034060E" w:rsidRDefault="0034060E" w:rsidP="00453A36">
      <w:pPr>
        <w:pStyle w:val="BodyText"/>
      </w:pPr>
      <w:r w:rsidRPr="00B7414A">
        <w:t>In the first step, the 200</w:t>
      </w:r>
      <w:r>
        <w:t>9</w:t>
      </w:r>
      <w:r w:rsidRPr="00B7414A">
        <w:noBreakHyphen/>
      </w:r>
      <w:r>
        <w:t>1</w:t>
      </w:r>
      <w:r w:rsidRPr="00B7414A">
        <w:t>0</w:t>
      </w:r>
      <w:r>
        <w:t xml:space="preserve"> </w:t>
      </w:r>
      <w:r w:rsidRPr="00B7414A">
        <w:t>ABS nati</w:t>
      </w:r>
      <w:r>
        <w:t>onal input–output tables for 114 </w:t>
      </w:r>
      <w:r w:rsidRPr="00B7414A">
        <w:t>industries were converted to a 1</w:t>
      </w:r>
      <w:r>
        <w:t>90</w:t>
      </w:r>
      <w:r w:rsidRPr="00B7414A">
        <w:noBreakHyphen/>
      </w:r>
      <w:r>
        <w:t>industry</w:t>
      </w:r>
      <w:r w:rsidRPr="00B7414A">
        <w:t xml:space="preserve"> database to be consistent with </w:t>
      </w:r>
      <w:r>
        <w:t xml:space="preserve">another </w:t>
      </w:r>
      <w:r w:rsidRPr="00B7414A">
        <w:t xml:space="preserve">general equilibrium model of the Australian </w:t>
      </w:r>
      <w:r w:rsidRPr="003831F2">
        <w:t>economy (VU</w:t>
      </w:r>
      <w:r>
        <w:noBreakHyphen/>
      </w:r>
      <w:r w:rsidRPr="003831F2">
        <w:t xml:space="preserve">NAT). This </w:t>
      </w:r>
      <w:r>
        <w:t>conversion was informed by the detailed product information in the 2009</w:t>
      </w:r>
      <w:r>
        <w:noBreakHyphen/>
        <w:t xml:space="preserve">10 ABS </w:t>
      </w:r>
      <w:r w:rsidRPr="00315E30">
        <w:rPr>
          <w:i/>
        </w:rPr>
        <w:t>Input</w:t>
      </w:r>
      <w:r>
        <w:rPr>
          <w:i/>
        </w:rPr>
        <w:noBreakHyphen/>
      </w:r>
      <w:r w:rsidRPr="00315E30">
        <w:rPr>
          <w:i/>
        </w:rPr>
        <w:t>Output Tables (Product Details)</w:t>
      </w:r>
      <w:r>
        <w:t xml:space="preserve">. </w:t>
      </w:r>
      <w:r w:rsidRPr="00B7414A">
        <w:t xml:space="preserve">This produced a national database with a structure that is broadly consistent with that of the regional database used in the </w:t>
      </w:r>
      <w:proofErr w:type="spellStart"/>
      <w:r>
        <w:t>VUMR</w:t>
      </w:r>
      <w:proofErr w:type="spellEnd"/>
      <w:r w:rsidRPr="00B7414A">
        <w:t xml:space="preserve"> model.</w:t>
      </w:r>
    </w:p>
    <w:p w14:paraId="00BB3129" w14:textId="77777777" w:rsidR="0034060E" w:rsidRPr="00B7414A" w:rsidRDefault="0034060E" w:rsidP="00453A36">
      <w:pPr>
        <w:pStyle w:val="BodyText"/>
      </w:pPr>
      <w:r>
        <w:t>In the s</w:t>
      </w:r>
      <w:r w:rsidRPr="00B7414A">
        <w:t>econd</w:t>
      </w:r>
      <w:r>
        <w:t xml:space="preserve"> step</w:t>
      </w:r>
      <w:r w:rsidRPr="00B7414A">
        <w:t xml:space="preserve">, the national database was disaggregated to </w:t>
      </w:r>
      <w:r>
        <w:t>205 sub</w:t>
      </w:r>
      <w:r>
        <w:noBreakHyphen/>
        <w:t>state regions (based on ABS local government areas)</w:t>
      </w:r>
      <w:r w:rsidRPr="00B7414A">
        <w:t xml:space="preserve">, to form what is known as </w:t>
      </w:r>
      <w:r>
        <w:t>the</w:t>
      </w:r>
      <w:r w:rsidRPr="00B7414A">
        <w:t xml:space="preserve"> </w:t>
      </w:r>
      <w:r>
        <w:t>VU</w:t>
      </w:r>
      <w:r>
        <w:noBreakHyphen/>
      </w:r>
      <w:r w:rsidRPr="00B7414A">
        <w:t xml:space="preserve">TERM </w:t>
      </w:r>
      <w:r>
        <w:t>database</w:t>
      </w:r>
      <w:r w:rsidRPr="00B7414A">
        <w:t xml:space="preserve">. This was </w:t>
      </w:r>
      <w:r>
        <w:t>undertaken</w:t>
      </w:r>
      <w:r w:rsidRPr="00B7414A">
        <w:t xml:space="preserve"> using:</w:t>
      </w:r>
    </w:p>
    <w:p w14:paraId="00BB312A" w14:textId="4F960CA6" w:rsidR="0034060E" w:rsidRDefault="0034060E" w:rsidP="00453A36">
      <w:pPr>
        <w:pStyle w:val="ListBullet"/>
        <w:spacing w:line="320" w:lineRule="atLeast"/>
      </w:pPr>
      <w:r>
        <w:lastRenderedPageBreak/>
        <w:t xml:space="preserve">the ABS </w:t>
      </w:r>
      <w:r w:rsidRPr="00136E26">
        <w:rPr>
          <w:i/>
        </w:rPr>
        <w:t>Census of Population and Housing</w:t>
      </w:r>
      <w:r w:rsidRPr="003C1020">
        <w:rPr>
          <w:i/>
        </w:rPr>
        <w:t xml:space="preserve">, </w:t>
      </w:r>
      <w:r w:rsidRPr="00D21574">
        <w:t>2011</w:t>
      </w:r>
      <w:r w:rsidRPr="00B7414A">
        <w:t xml:space="preserve"> data on employment by industry to define </w:t>
      </w:r>
      <w:r>
        <w:t xml:space="preserve">regional production </w:t>
      </w:r>
      <w:r w:rsidRPr="00B7414A">
        <w:t>of the 1</w:t>
      </w:r>
      <w:r>
        <w:t>90</w:t>
      </w:r>
      <w:r w:rsidRPr="00B7414A">
        <w:t xml:space="preserve"> industries </w:t>
      </w:r>
      <w:r>
        <w:t>at the local government area level</w:t>
      </w:r>
    </w:p>
    <w:p w14:paraId="00BB312B" w14:textId="77777777" w:rsidR="0034060E" w:rsidRDefault="0034060E" w:rsidP="00453A36">
      <w:pPr>
        <w:pStyle w:val="ListBullet"/>
        <w:spacing w:line="320" w:lineRule="atLeast"/>
      </w:pPr>
      <w:r>
        <w:t xml:space="preserve">the </w:t>
      </w:r>
      <w:r w:rsidRPr="00B7414A">
        <w:t xml:space="preserve">ABS </w:t>
      </w:r>
      <w:r>
        <w:rPr>
          <w:i/>
        </w:rPr>
        <w:t>Agricultural Census</w:t>
      </w:r>
      <w:r w:rsidRPr="003C1020">
        <w:rPr>
          <w:i/>
        </w:rPr>
        <w:t>, 2010</w:t>
      </w:r>
      <w:r w:rsidRPr="003C1020">
        <w:rPr>
          <w:i/>
        </w:rPr>
        <w:noBreakHyphen/>
        <w:t>11</w:t>
      </w:r>
      <w:r w:rsidRPr="00B7414A">
        <w:t xml:space="preserve"> </w:t>
      </w:r>
      <w:r>
        <w:t>data on production and land use in agricultural industries, including at the statistical local area level</w:t>
      </w:r>
    </w:p>
    <w:p w14:paraId="00BB312C" w14:textId="77777777" w:rsidR="0034060E" w:rsidRDefault="0034060E" w:rsidP="00453A36">
      <w:pPr>
        <w:pStyle w:val="ListBullet"/>
        <w:spacing w:line="320" w:lineRule="atLeast"/>
      </w:pPr>
      <w:r>
        <w:t xml:space="preserve">unpublished </w:t>
      </w:r>
      <w:r w:rsidRPr="00B7414A">
        <w:t>trade data from 49</w:t>
      </w:r>
      <w:r>
        <w:t> </w:t>
      </w:r>
      <w:r w:rsidRPr="00B7414A">
        <w:t>ports to estimate international trade flows in</w:t>
      </w:r>
      <w:r>
        <w:t>to,</w:t>
      </w:r>
      <w:r w:rsidRPr="00B7414A">
        <w:t xml:space="preserve"> and out of</w:t>
      </w:r>
      <w:r>
        <w:t>,</w:t>
      </w:r>
      <w:r w:rsidRPr="00B7414A">
        <w:t xml:space="preserve"> each statistical division.</w:t>
      </w:r>
    </w:p>
    <w:p w14:paraId="00BB312D" w14:textId="71DBA3F1"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12F" w14:textId="77777777" w:rsidTr="00453A36">
        <w:tc>
          <w:tcPr>
            <w:tcW w:w="8771" w:type="dxa"/>
            <w:tcBorders>
              <w:top w:val="single" w:sz="6" w:space="0" w:color="78A22F"/>
              <w:left w:val="nil"/>
              <w:bottom w:val="nil"/>
              <w:right w:val="nil"/>
            </w:tcBorders>
            <w:shd w:val="clear" w:color="auto" w:fill="auto"/>
          </w:tcPr>
          <w:p w14:paraId="00BB312E" w14:textId="7079980D" w:rsidR="0034060E" w:rsidRPr="00784A05" w:rsidRDefault="0034060E" w:rsidP="00453A36">
            <w:pPr>
              <w:pStyle w:val="TableTitle"/>
            </w:pPr>
            <w:r>
              <w:rPr>
                <w:b w:val="0"/>
              </w:rPr>
              <w:t xml:space="preserve">Table </w:t>
            </w:r>
            <w:proofErr w:type="spellStart"/>
            <w:r>
              <w:rPr>
                <w:b w:val="0"/>
              </w:rPr>
              <w:t>B.</w:t>
            </w:r>
            <w:r>
              <w:rPr>
                <w:b w:val="0"/>
                <w:noProof/>
              </w:rPr>
              <w:t>1</w:t>
            </w:r>
            <w:proofErr w:type="spellEnd"/>
            <w:r>
              <w:tab/>
              <w:t xml:space="preserve">Stages in creating the initial </w:t>
            </w:r>
            <w:proofErr w:type="spellStart"/>
            <w:r>
              <w:t>VUMR</w:t>
            </w:r>
            <w:proofErr w:type="spellEnd"/>
            <w:r>
              <w:t xml:space="preserve"> database used for this inquiry</w:t>
            </w:r>
          </w:p>
        </w:tc>
      </w:tr>
      <w:tr w:rsidR="0034060E" w14:paraId="00BB315B" w14:textId="77777777" w:rsidTr="00453A36">
        <w:trPr>
          <w:cantSplit/>
        </w:trPr>
        <w:tc>
          <w:tcPr>
            <w:tcW w:w="8771"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2389"/>
              <w:gridCol w:w="2832"/>
              <w:gridCol w:w="3263"/>
            </w:tblGrid>
            <w:tr w:rsidR="0034060E" w14:paraId="00BB3133" w14:textId="77777777" w:rsidTr="00453A36">
              <w:tc>
                <w:tcPr>
                  <w:tcW w:w="1408" w:type="pct"/>
                  <w:tcBorders>
                    <w:top w:val="single" w:sz="6" w:space="0" w:color="BFBFBF"/>
                    <w:bottom w:val="single" w:sz="6" w:space="0" w:color="BFBFBF"/>
                  </w:tcBorders>
                  <w:shd w:val="clear" w:color="auto" w:fill="auto"/>
                  <w:tcMar>
                    <w:top w:w="28" w:type="dxa"/>
                  </w:tcMar>
                </w:tcPr>
                <w:p w14:paraId="00BB3130" w14:textId="77777777" w:rsidR="0034060E" w:rsidRDefault="0034060E" w:rsidP="00453A36">
                  <w:pPr>
                    <w:pStyle w:val="TableColumnHeading"/>
                    <w:jc w:val="center"/>
                  </w:pPr>
                  <w:r w:rsidRPr="00900EFF">
                    <w:t>Stage</w:t>
                  </w:r>
                </w:p>
              </w:tc>
              <w:tc>
                <w:tcPr>
                  <w:tcW w:w="1669" w:type="pct"/>
                  <w:tcBorders>
                    <w:top w:val="single" w:sz="6" w:space="0" w:color="BFBFBF"/>
                    <w:bottom w:val="single" w:sz="6" w:space="0" w:color="BFBFBF"/>
                  </w:tcBorders>
                  <w:shd w:val="clear" w:color="auto" w:fill="auto"/>
                  <w:tcMar>
                    <w:top w:w="28" w:type="dxa"/>
                  </w:tcMar>
                </w:tcPr>
                <w:p w14:paraId="00BB3131" w14:textId="77777777" w:rsidR="0034060E" w:rsidRDefault="0034060E" w:rsidP="00453A36">
                  <w:pPr>
                    <w:pStyle w:val="TableColumnHeading"/>
                    <w:jc w:val="center"/>
                  </w:pPr>
                  <w:r w:rsidRPr="00900EFF">
                    <w:t>Regions</w:t>
                  </w:r>
                </w:p>
              </w:tc>
              <w:tc>
                <w:tcPr>
                  <w:tcW w:w="1923" w:type="pct"/>
                  <w:tcBorders>
                    <w:top w:val="single" w:sz="6" w:space="0" w:color="BFBFBF"/>
                    <w:bottom w:val="single" w:sz="6" w:space="0" w:color="BFBFBF"/>
                  </w:tcBorders>
                  <w:shd w:val="clear" w:color="auto" w:fill="auto"/>
                  <w:tcMar>
                    <w:top w:w="28" w:type="dxa"/>
                  </w:tcMar>
                </w:tcPr>
                <w:p w14:paraId="00BB3132" w14:textId="77777777" w:rsidR="0034060E" w:rsidRDefault="0034060E" w:rsidP="00453A36">
                  <w:pPr>
                    <w:pStyle w:val="TableColumnHeading"/>
                    <w:ind w:right="28"/>
                    <w:jc w:val="center"/>
                  </w:pPr>
                  <w:r w:rsidRPr="00900EFF">
                    <w:t>Industries</w:t>
                  </w:r>
                </w:p>
              </w:tc>
            </w:tr>
            <w:tr w:rsidR="0034060E" w14:paraId="00BB3137" w14:textId="77777777" w:rsidTr="00453A36">
              <w:tc>
                <w:tcPr>
                  <w:tcW w:w="1408" w:type="pct"/>
                  <w:tcBorders>
                    <w:top w:val="single" w:sz="6" w:space="0" w:color="BFBFBF"/>
                  </w:tcBorders>
                  <w:shd w:val="clear" w:color="auto" w:fill="B2D673"/>
                </w:tcPr>
                <w:p w14:paraId="00BB3134" w14:textId="77777777" w:rsidR="0034060E" w:rsidRDefault="0034060E" w:rsidP="00D46F34">
                  <w:pPr>
                    <w:pStyle w:val="TableBodyText"/>
                    <w:spacing w:before="40"/>
                    <w:jc w:val="center"/>
                  </w:pPr>
                  <w:r>
                    <w:t>ABS 2009</w:t>
                  </w:r>
                  <w:r>
                    <w:noBreakHyphen/>
                    <w:t>10 Input Output Tables</w:t>
                  </w:r>
                </w:p>
              </w:tc>
              <w:tc>
                <w:tcPr>
                  <w:tcW w:w="1669" w:type="pct"/>
                  <w:tcBorders>
                    <w:top w:val="single" w:sz="6" w:space="0" w:color="BFBFBF"/>
                  </w:tcBorders>
                  <w:shd w:val="clear" w:color="auto" w:fill="B2D673"/>
                </w:tcPr>
                <w:p w14:paraId="00BB3135" w14:textId="77777777" w:rsidR="0034060E" w:rsidRDefault="0034060E" w:rsidP="00D46F34">
                  <w:pPr>
                    <w:pStyle w:val="TableBodyText"/>
                    <w:spacing w:before="40"/>
                    <w:jc w:val="center"/>
                  </w:pPr>
                  <w:r w:rsidRPr="0060485B">
                    <w:t>1</w:t>
                  </w:r>
                </w:p>
              </w:tc>
              <w:tc>
                <w:tcPr>
                  <w:tcW w:w="1923" w:type="pct"/>
                  <w:tcBorders>
                    <w:top w:val="single" w:sz="6" w:space="0" w:color="BFBFBF"/>
                  </w:tcBorders>
                  <w:shd w:val="clear" w:color="auto" w:fill="B2D673"/>
                </w:tcPr>
                <w:p w14:paraId="00BB3136" w14:textId="77777777" w:rsidR="0034060E" w:rsidRDefault="0034060E" w:rsidP="00D46F34">
                  <w:pPr>
                    <w:pStyle w:val="TableBodyText"/>
                    <w:spacing w:before="40"/>
                    <w:ind w:right="28"/>
                    <w:jc w:val="center"/>
                  </w:pPr>
                  <w:r w:rsidRPr="0060485B">
                    <w:t>114</w:t>
                  </w:r>
                </w:p>
              </w:tc>
            </w:tr>
            <w:tr w:rsidR="0034060E" w14:paraId="00BB313B" w14:textId="77777777" w:rsidTr="00453A36">
              <w:tc>
                <w:tcPr>
                  <w:tcW w:w="1408" w:type="pct"/>
                </w:tcPr>
                <w:p w14:paraId="00BB3138" w14:textId="77777777" w:rsidR="0034060E" w:rsidRDefault="0034060E" w:rsidP="00453A36">
                  <w:pPr>
                    <w:pStyle w:val="TableBodyText"/>
                    <w:jc w:val="center"/>
                  </w:pPr>
                  <w:r>
                    <w:rPr>
                      <w:noProof/>
                    </w:rPr>
                    <w:drawing>
                      <wp:inline distT="0" distB="0" distL="0" distR="0" wp14:anchorId="00BB39D0" wp14:editId="203B929A">
                        <wp:extent cx="131445" cy="387985"/>
                        <wp:effectExtent l="0" t="0" r="1905" b="0"/>
                        <wp:docPr id="17" name="Picture 17" descr="Arrow pointing down to VU-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1445" cy="387985"/>
                                </a:xfrm>
                                <a:prstGeom prst="rect">
                                  <a:avLst/>
                                </a:prstGeom>
                                <a:noFill/>
                                <a:ln>
                                  <a:noFill/>
                                </a:ln>
                              </pic:spPr>
                            </pic:pic>
                          </a:graphicData>
                        </a:graphic>
                      </wp:inline>
                    </w:drawing>
                  </w:r>
                </w:p>
              </w:tc>
              <w:tc>
                <w:tcPr>
                  <w:tcW w:w="1669" w:type="pct"/>
                </w:tcPr>
                <w:p w14:paraId="00BB3139" w14:textId="77777777" w:rsidR="0034060E" w:rsidRDefault="0034060E" w:rsidP="00453A36">
                  <w:pPr>
                    <w:pStyle w:val="TableBodyText"/>
                    <w:jc w:val="center"/>
                  </w:pPr>
                  <w:r w:rsidRPr="00F13843">
                    <w:t>Australia</w:t>
                  </w:r>
                </w:p>
              </w:tc>
              <w:tc>
                <w:tcPr>
                  <w:tcW w:w="1923" w:type="pct"/>
                </w:tcPr>
                <w:p w14:paraId="00BB313A" w14:textId="77777777" w:rsidR="0034060E" w:rsidRDefault="0034060E" w:rsidP="00453A36">
                  <w:pPr>
                    <w:pStyle w:val="TableBodyText"/>
                    <w:ind w:right="28"/>
                    <w:jc w:val="center"/>
                  </w:pPr>
                  <w:r w:rsidRPr="00F13843">
                    <w:t>Agriculture, mining, manufacturing and service industries disaggregated</w:t>
                  </w:r>
                </w:p>
              </w:tc>
            </w:tr>
            <w:tr w:rsidR="0034060E" w14:paraId="00BB313F" w14:textId="77777777" w:rsidTr="00453A36">
              <w:tc>
                <w:tcPr>
                  <w:tcW w:w="1408" w:type="pct"/>
                  <w:shd w:val="clear" w:color="auto" w:fill="B2D673"/>
                </w:tcPr>
                <w:p w14:paraId="00BB313C" w14:textId="77777777" w:rsidR="0034060E" w:rsidRDefault="0034060E" w:rsidP="00453A36">
                  <w:pPr>
                    <w:pStyle w:val="TableBodyText"/>
                    <w:jc w:val="center"/>
                  </w:pPr>
                  <w:r>
                    <w:t>VU</w:t>
                  </w:r>
                  <w:r>
                    <w:noBreakHyphen/>
                    <w:t>NAT</w:t>
                  </w:r>
                </w:p>
              </w:tc>
              <w:tc>
                <w:tcPr>
                  <w:tcW w:w="1669" w:type="pct"/>
                  <w:shd w:val="clear" w:color="auto" w:fill="B2D673"/>
                </w:tcPr>
                <w:p w14:paraId="00BB313D" w14:textId="77777777" w:rsidR="0034060E" w:rsidRDefault="0034060E" w:rsidP="00453A36">
                  <w:pPr>
                    <w:pStyle w:val="TableBodyText"/>
                    <w:jc w:val="center"/>
                  </w:pPr>
                  <w:r w:rsidRPr="00F13843">
                    <w:t>1</w:t>
                  </w:r>
                </w:p>
              </w:tc>
              <w:tc>
                <w:tcPr>
                  <w:tcW w:w="1923" w:type="pct"/>
                  <w:shd w:val="clear" w:color="auto" w:fill="B2D673"/>
                </w:tcPr>
                <w:p w14:paraId="00BB313E" w14:textId="77777777" w:rsidR="0034060E" w:rsidRDefault="0034060E" w:rsidP="00453A36">
                  <w:pPr>
                    <w:pStyle w:val="TableBodyText"/>
                    <w:ind w:right="28"/>
                    <w:jc w:val="center"/>
                  </w:pPr>
                  <w:r w:rsidRPr="00F13843">
                    <w:t>190</w:t>
                  </w:r>
                </w:p>
              </w:tc>
            </w:tr>
            <w:tr w:rsidR="0034060E" w14:paraId="00BB3143" w14:textId="77777777" w:rsidTr="00453A36">
              <w:tc>
                <w:tcPr>
                  <w:tcW w:w="1408" w:type="pct"/>
                </w:tcPr>
                <w:p w14:paraId="00BB3140" w14:textId="77777777" w:rsidR="0034060E" w:rsidRDefault="0034060E" w:rsidP="00453A36">
                  <w:pPr>
                    <w:pStyle w:val="TableBodyText"/>
                    <w:jc w:val="center"/>
                  </w:pPr>
                  <w:r>
                    <w:rPr>
                      <w:noProof/>
                    </w:rPr>
                    <w:drawing>
                      <wp:inline distT="0" distB="0" distL="0" distR="0" wp14:anchorId="00BB39D2" wp14:editId="73EC337A">
                        <wp:extent cx="131445" cy="387985"/>
                        <wp:effectExtent l="0" t="0" r="1905" b="0"/>
                        <wp:docPr id="18" name="Picture 18" descr="Arrow pointing down to VU-TE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1445" cy="387985"/>
                                </a:xfrm>
                                <a:prstGeom prst="rect">
                                  <a:avLst/>
                                </a:prstGeom>
                                <a:noFill/>
                                <a:ln>
                                  <a:noFill/>
                                </a:ln>
                              </pic:spPr>
                            </pic:pic>
                          </a:graphicData>
                        </a:graphic>
                      </wp:inline>
                    </w:drawing>
                  </w:r>
                </w:p>
              </w:tc>
              <w:tc>
                <w:tcPr>
                  <w:tcW w:w="1669" w:type="pct"/>
                </w:tcPr>
                <w:p w14:paraId="00BB3141" w14:textId="77777777" w:rsidR="0034060E" w:rsidRDefault="0034060E" w:rsidP="00453A36">
                  <w:pPr>
                    <w:pStyle w:val="TableBodyText"/>
                    <w:jc w:val="center"/>
                  </w:pPr>
                  <w:r w:rsidRPr="004E05EC">
                    <w:t>Sub state local government areas</w:t>
                  </w:r>
                </w:p>
              </w:tc>
              <w:tc>
                <w:tcPr>
                  <w:tcW w:w="1923" w:type="pct"/>
                </w:tcPr>
                <w:p w14:paraId="00BB3142" w14:textId="77777777" w:rsidR="0034060E" w:rsidRDefault="0034060E" w:rsidP="00453A36">
                  <w:pPr>
                    <w:pStyle w:val="TableBodyText"/>
                    <w:ind w:right="28"/>
                    <w:jc w:val="center"/>
                  </w:pPr>
                  <w:r w:rsidRPr="004E05EC">
                    <w:t>Agriculture, mining, manufacturing and service industries aggregated</w:t>
                  </w:r>
                </w:p>
              </w:tc>
            </w:tr>
            <w:tr w:rsidR="0034060E" w14:paraId="00BB3147" w14:textId="77777777" w:rsidTr="00453A36">
              <w:tc>
                <w:tcPr>
                  <w:tcW w:w="1408" w:type="pct"/>
                  <w:shd w:val="clear" w:color="auto" w:fill="B2D673"/>
                </w:tcPr>
                <w:p w14:paraId="00BB3144" w14:textId="77777777" w:rsidR="0034060E" w:rsidRDefault="0034060E" w:rsidP="00453A36">
                  <w:pPr>
                    <w:pStyle w:val="TableBodyText"/>
                    <w:jc w:val="center"/>
                  </w:pPr>
                  <w:r>
                    <w:t>VU</w:t>
                  </w:r>
                  <w:r>
                    <w:noBreakHyphen/>
                    <w:t>TERM</w:t>
                  </w:r>
                </w:p>
              </w:tc>
              <w:tc>
                <w:tcPr>
                  <w:tcW w:w="1669" w:type="pct"/>
                  <w:shd w:val="clear" w:color="auto" w:fill="B2D673"/>
                </w:tcPr>
                <w:p w14:paraId="00BB3145" w14:textId="77777777" w:rsidR="0034060E" w:rsidRDefault="0034060E" w:rsidP="00453A36">
                  <w:pPr>
                    <w:pStyle w:val="TableBodyText"/>
                    <w:jc w:val="center"/>
                  </w:pPr>
                  <w:r w:rsidRPr="004E05EC">
                    <w:t>205</w:t>
                  </w:r>
                </w:p>
              </w:tc>
              <w:tc>
                <w:tcPr>
                  <w:tcW w:w="1923" w:type="pct"/>
                  <w:shd w:val="clear" w:color="auto" w:fill="B2D673"/>
                </w:tcPr>
                <w:p w14:paraId="00BB3146" w14:textId="77777777" w:rsidR="0034060E" w:rsidRDefault="0034060E" w:rsidP="00453A36">
                  <w:pPr>
                    <w:pStyle w:val="TableBodyText"/>
                    <w:ind w:right="28"/>
                    <w:jc w:val="center"/>
                  </w:pPr>
                  <w:r w:rsidRPr="004E05EC">
                    <w:t>190</w:t>
                  </w:r>
                </w:p>
              </w:tc>
            </w:tr>
            <w:tr w:rsidR="0034060E" w14:paraId="00BB314B" w14:textId="77777777" w:rsidTr="00453A36">
              <w:tc>
                <w:tcPr>
                  <w:tcW w:w="1408" w:type="pct"/>
                  <w:vMerge w:val="restart"/>
                  <w:shd w:val="clear" w:color="auto" w:fill="auto"/>
                </w:tcPr>
                <w:p w14:paraId="00BB3148" w14:textId="77777777" w:rsidR="0034060E" w:rsidRDefault="0034060E" w:rsidP="00453A36">
                  <w:pPr>
                    <w:pStyle w:val="TableBodyText"/>
                    <w:jc w:val="center"/>
                  </w:pPr>
                  <w:r>
                    <w:rPr>
                      <w:noProof/>
                    </w:rPr>
                    <w:drawing>
                      <wp:inline distT="0" distB="0" distL="0" distR="0" wp14:anchorId="00BB39D4" wp14:editId="3BC34CD2">
                        <wp:extent cx="131445" cy="673100"/>
                        <wp:effectExtent l="0" t="0" r="1905" b="0"/>
                        <wp:docPr id="16" name="Picture 16" descr="Arrow pointing down to VU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1445" cy="673100"/>
                                </a:xfrm>
                                <a:prstGeom prst="rect">
                                  <a:avLst/>
                                </a:prstGeom>
                                <a:noFill/>
                                <a:ln>
                                  <a:noFill/>
                                </a:ln>
                              </pic:spPr>
                            </pic:pic>
                          </a:graphicData>
                        </a:graphic>
                      </wp:inline>
                    </w:drawing>
                  </w:r>
                </w:p>
              </w:tc>
              <w:tc>
                <w:tcPr>
                  <w:tcW w:w="1669" w:type="pct"/>
                  <w:tcBorders>
                    <w:bottom w:val="single" w:sz="6" w:space="0" w:color="BFBFBF"/>
                  </w:tcBorders>
                  <w:shd w:val="clear" w:color="auto" w:fill="auto"/>
                </w:tcPr>
                <w:p w14:paraId="00BB3149" w14:textId="77777777" w:rsidR="0034060E" w:rsidRPr="004E05EC" w:rsidRDefault="0034060E" w:rsidP="00453A36">
                  <w:pPr>
                    <w:pStyle w:val="TableBodyText"/>
                    <w:jc w:val="center"/>
                  </w:pPr>
                  <w:r>
                    <w:t>States and Territories</w:t>
                  </w:r>
                </w:p>
              </w:tc>
              <w:tc>
                <w:tcPr>
                  <w:tcW w:w="1923" w:type="pct"/>
                  <w:tcBorders>
                    <w:bottom w:val="single" w:sz="6" w:space="0" w:color="BFBFBF"/>
                  </w:tcBorders>
                  <w:shd w:val="clear" w:color="auto" w:fill="auto"/>
                </w:tcPr>
                <w:p w14:paraId="00BB314A" w14:textId="77777777" w:rsidR="0034060E" w:rsidRPr="004E05EC" w:rsidRDefault="0034060E" w:rsidP="00453A36">
                  <w:pPr>
                    <w:pStyle w:val="TableBodyText"/>
                    <w:ind w:right="28"/>
                    <w:jc w:val="center"/>
                  </w:pPr>
                  <w:r>
                    <w:t>Industries aggregated</w:t>
                  </w:r>
                </w:p>
              </w:tc>
            </w:tr>
            <w:tr w:rsidR="0034060E" w14:paraId="00BB314F" w14:textId="77777777" w:rsidTr="00453A36">
              <w:tc>
                <w:tcPr>
                  <w:tcW w:w="1408" w:type="pct"/>
                  <w:vMerge/>
                  <w:shd w:val="clear" w:color="auto" w:fill="auto"/>
                </w:tcPr>
                <w:p w14:paraId="00BB314C" w14:textId="77777777" w:rsidR="0034060E" w:rsidRDefault="0034060E" w:rsidP="00453A36">
                  <w:pPr>
                    <w:pStyle w:val="TableBodyText"/>
                    <w:jc w:val="center"/>
                  </w:pPr>
                </w:p>
              </w:tc>
              <w:tc>
                <w:tcPr>
                  <w:tcW w:w="1669" w:type="pct"/>
                  <w:tcBorders>
                    <w:bottom w:val="single" w:sz="6" w:space="0" w:color="BFBFBF"/>
                  </w:tcBorders>
                  <w:shd w:val="clear" w:color="auto" w:fill="auto"/>
                </w:tcPr>
                <w:p w14:paraId="00BB314D" w14:textId="77777777" w:rsidR="0034060E" w:rsidRPr="004E05EC" w:rsidRDefault="0034060E" w:rsidP="00453A36">
                  <w:pPr>
                    <w:pStyle w:val="TableBodyText"/>
                    <w:jc w:val="center"/>
                  </w:pPr>
                  <w:r>
                    <w:t>8</w:t>
                  </w:r>
                </w:p>
              </w:tc>
              <w:tc>
                <w:tcPr>
                  <w:tcW w:w="1923" w:type="pct"/>
                  <w:tcBorders>
                    <w:bottom w:val="single" w:sz="6" w:space="0" w:color="BFBFBF"/>
                  </w:tcBorders>
                  <w:shd w:val="clear" w:color="auto" w:fill="auto"/>
                </w:tcPr>
                <w:p w14:paraId="00BB314E" w14:textId="77777777" w:rsidR="0034060E" w:rsidRPr="004E05EC" w:rsidRDefault="0034060E" w:rsidP="00453A36">
                  <w:pPr>
                    <w:pStyle w:val="TableBodyText"/>
                    <w:ind w:right="28"/>
                    <w:jc w:val="center"/>
                  </w:pPr>
                  <w:r>
                    <w:t>79</w:t>
                  </w:r>
                </w:p>
              </w:tc>
            </w:tr>
            <w:tr w:rsidR="0034060E" w14:paraId="00BB3155" w14:textId="77777777" w:rsidTr="00D46F34">
              <w:tc>
                <w:tcPr>
                  <w:tcW w:w="1408" w:type="pct"/>
                  <w:vMerge/>
                  <w:shd w:val="clear" w:color="auto" w:fill="auto"/>
                </w:tcPr>
                <w:p w14:paraId="00BB3150" w14:textId="77777777" w:rsidR="0034060E" w:rsidRDefault="0034060E" w:rsidP="00453A36">
                  <w:pPr>
                    <w:pStyle w:val="TableBodyText"/>
                    <w:jc w:val="center"/>
                  </w:pPr>
                </w:p>
              </w:tc>
              <w:tc>
                <w:tcPr>
                  <w:tcW w:w="1669" w:type="pct"/>
                  <w:shd w:val="clear" w:color="auto" w:fill="auto"/>
                </w:tcPr>
                <w:p w14:paraId="00BB3151" w14:textId="77777777" w:rsidR="0034060E" w:rsidRPr="004E05EC" w:rsidRDefault="0034060E" w:rsidP="00453A36">
                  <w:pPr>
                    <w:pStyle w:val="TableBodyText"/>
                    <w:jc w:val="center"/>
                  </w:pPr>
                </w:p>
              </w:tc>
              <w:tc>
                <w:tcPr>
                  <w:tcW w:w="1923" w:type="pct"/>
                  <w:shd w:val="clear" w:color="auto" w:fill="auto"/>
                </w:tcPr>
                <w:p w14:paraId="00BB3152" w14:textId="77777777" w:rsidR="0034060E" w:rsidRDefault="0034060E" w:rsidP="00453A36">
                  <w:pPr>
                    <w:pStyle w:val="TableBodyText"/>
                    <w:ind w:right="28"/>
                    <w:jc w:val="center"/>
                  </w:pPr>
                  <w:r>
                    <w:t>Database ‘hammered’</w:t>
                  </w:r>
                </w:p>
                <w:p w14:paraId="00BB3153" w14:textId="77777777" w:rsidR="0034060E" w:rsidRDefault="0034060E" w:rsidP="00453A36">
                  <w:pPr>
                    <w:pStyle w:val="TableBodyText"/>
                    <w:ind w:right="28"/>
                    <w:jc w:val="center"/>
                  </w:pPr>
                  <w:r>
                    <w:t>to align as best as possible</w:t>
                  </w:r>
                </w:p>
                <w:p w14:paraId="00BB3154" w14:textId="77777777" w:rsidR="0034060E" w:rsidRPr="004E05EC" w:rsidRDefault="0034060E" w:rsidP="00453A36">
                  <w:pPr>
                    <w:pStyle w:val="TableBodyText"/>
                    <w:ind w:right="28"/>
                    <w:jc w:val="center"/>
                  </w:pPr>
                  <w:r>
                    <w:t>to control targets provided</w:t>
                  </w:r>
                </w:p>
              </w:tc>
            </w:tr>
            <w:tr w:rsidR="0034060E" w14:paraId="00BB3159" w14:textId="77777777" w:rsidTr="00453A36">
              <w:tc>
                <w:tcPr>
                  <w:tcW w:w="1408" w:type="pct"/>
                  <w:tcBorders>
                    <w:bottom w:val="single" w:sz="6" w:space="0" w:color="BFBFBF"/>
                  </w:tcBorders>
                  <w:shd w:val="clear" w:color="auto" w:fill="B2D673"/>
                </w:tcPr>
                <w:p w14:paraId="00BB3156" w14:textId="77777777" w:rsidR="0034060E" w:rsidRDefault="0034060E" w:rsidP="00453A36">
                  <w:pPr>
                    <w:pStyle w:val="TableBodyText"/>
                    <w:jc w:val="center"/>
                  </w:pPr>
                  <w:proofErr w:type="spellStart"/>
                  <w:r w:rsidRPr="00CE0E39">
                    <w:t>VUMR</w:t>
                  </w:r>
                  <w:proofErr w:type="spellEnd"/>
                </w:p>
              </w:tc>
              <w:tc>
                <w:tcPr>
                  <w:tcW w:w="1669" w:type="pct"/>
                  <w:tcBorders>
                    <w:bottom w:val="single" w:sz="6" w:space="0" w:color="BFBFBF"/>
                  </w:tcBorders>
                  <w:shd w:val="clear" w:color="auto" w:fill="B2D673"/>
                </w:tcPr>
                <w:p w14:paraId="00BB3157" w14:textId="77777777" w:rsidR="0034060E" w:rsidRDefault="0034060E" w:rsidP="00453A36">
                  <w:pPr>
                    <w:pStyle w:val="TableBodyText"/>
                    <w:jc w:val="center"/>
                  </w:pPr>
                  <w:r w:rsidRPr="00CE0E39">
                    <w:t>8</w:t>
                  </w:r>
                </w:p>
              </w:tc>
              <w:tc>
                <w:tcPr>
                  <w:tcW w:w="1923" w:type="pct"/>
                  <w:tcBorders>
                    <w:bottom w:val="single" w:sz="6" w:space="0" w:color="BFBFBF"/>
                  </w:tcBorders>
                  <w:shd w:val="clear" w:color="auto" w:fill="B2D673"/>
                </w:tcPr>
                <w:p w14:paraId="00BB3158" w14:textId="77777777" w:rsidR="0034060E" w:rsidRDefault="0034060E" w:rsidP="00453A36">
                  <w:pPr>
                    <w:pStyle w:val="TableBodyText"/>
                    <w:ind w:right="28"/>
                    <w:jc w:val="center"/>
                  </w:pPr>
                  <w:r w:rsidRPr="00CE0E39">
                    <w:t>79</w:t>
                  </w:r>
                </w:p>
              </w:tc>
            </w:tr>
          </w:tbl>
          <w:p w14:paraId="00BB315A" w14:textId="77777777" w:rsidR="0034060E" w:rsidRDefault="0034060E" w:rsidP="00453A36">
            <w:pPr>
              <w:pStyle w:val="Box"/>
            </w:pPr>
          </w:p>
        </w:tc>
      </w:tr>
      <w:tr w:rsidR="0034060E" w:rsidRPr="00176D3F" w14:paraId="00BB315D" w14:textId="77777777" w:rsidTr="00453A36">
        <w:tblPrEx>
          <w:tblBorders>
            <w:top w:val="single" w:sz="6" w:space="0" w:color="78A22F"/>
            <w:left w:val="single" w:sz="6" w:space="0" w:color="78A22F"/>
            <w:bottom w:val="single" w:sz="6" w:space="0" w:color="78A22F"/>
            <w:right w:val="single" w:sz="6" w:space="0" w:color="78A22F"/>
          </w:tblBorders>
        </w:tblPrEx>
        <w:tc>
          <w:tcPr>
            <w:tcW w:w="8771" w:type="dxa"/>
            <w:tcBorders>
              <w:top w:val="nil"/>
              <w:left w:val="nil"/>
              <w:bottom w:val="nil"/>
              <w:right w:val="nil"/>
            </w:tcBorders>
            <w:shd w:val="clear" w:color="auto" w:fill="auto"/>
          </w:tcPr>
          <w:p w14:paraId="00BB315C" w14:textId="1E80FE18" w:rsidR="0034060E" w:rsidRPr="00176D3F" w:rsidRDefault="0034060E" w:rsidP="00082925">
            <w:pPr>
              <w:pStyle w:val="Source"/>
            </w:pPr>
            <w:r w:rsidRPr="00082925">
              <w:rPr>
                <w:rStyle w:val="SourceChar"/>
                <w:i/>
              </w:rPr>
              <w:t>Sources</w:t>
            </w:r>
            <w:r w:rsidRPr="00082925">
              <w:rPr>
                <w:rStyle w:val="SourceChar"/>
              </w:rPr>
              <w:t xml:space="preserve">: </w:t>
            </w:r>
            <w:proofErr w:type="spellStart"/>
            <w:r w:rsidRPr="00082925">
              <w:rPr>
                <w:rStyle w:val="SourceChar"/>
              </w:rPr>
              <w:t>CoPS</w:t>
            </w:r>
            <w:proofErr w:type="spellEnd"/>
            <w:r w:rsidRPr="00082925">
              <w:rPr>
                <w:rStyle w:val="SourceChar"/>
              </w:rPr>
              <w:t xml:space="preserve"> (2014) and </w:t>
            </w:r>
            <w:proofErr w:type="spellStart"/>
            <w:r w:rsidRPr="00082925">
              <w:rPr>
                <w:rStyle w:val="SourceChar"/>
              </w:rPr>
              <w:t>CoPS</w:t>
            </w:r>
            <w:proofErr w:type="spellEnd"/>
            <w:r w:rsidRPr="00082925">
              <w:rPr>
                <w:rStyle w:val="SourceChar"/>
              </w:rPr>
              <w:t> (forthcoming).</w:t>
            </w:r>
          </w:p>
        </w:tc>
      </w:tr>
      <w:tr w:rsidR="0034060E" w14:paraId="00BB315F" w14:textId="77777777" w:rsidTr="00453A36">
        <w:trPr>
          <w:cantSplit/>
        </w:trPr>
        <w:tc>
          <w:tcPr>
            <w:tcW w:w="8771" w:type="dxa"/>
            <w:tcBorders>
              <w:top w:val="nil"/>
              <w:left w:val="nil"/>
              <w:bottom w:val="single" w:sz="6" w:space="0" w:color="78A22F"/>
              <w:right w:val="nil"/>
            </w:tcBorders>
            <w:shd w:val="clear" w:color="auto" w:fill="auto"/>
          </w:tcPr>
          <w:p w14:paraId="00BB315E" w14:textId="77777777" w:rsidR="0034060E" w:rsidRDefault="0034060E" w:rsidP="00453A36">
            <w:pPr>
              <w:pStyle w:val="Box"/>
              <w:spacing w:before="0" w:line="120" w:lineRule="exact"/>
            </w:pPr>
          </w:p>
        </w:tc>
      </w:tr>
      <w:tr w:rsidR="0034060E" w:rsidRPr="000863A5" w14:paraId="00BB3161" w14:textId="77777777" w:rsidTr="00453A36">
        <w:tc>
          <w:tcPr>
            <w:tcW w:w="8771" w:type="dxa"/>
            <w:tcBorders>
              <w:top w:val="single" w:sz="6" w:space="0" w:color="78A22F"/>
              <w:left w:val="nil"/>
              <w:bottom w:val="nil"/>
              <w:right w:val="nil"/>
            </w:tcBorders>
          </w:tcPr>
          <w:p w14:paraId="00BB3160" w14:textId="122D567B" w:rsidR="0034060E" w:rsidRPr="00626D32" w:rsidRDefault="0034060E" w:rsidP="00453A36">
            <w:pPr>
              <w:pStyle w:val="BoxSpaceBelow"/>
            </w:pPr>
          </w:p>
        </w:tc>
      </w:tr>
    </w:tbl>
    <w:p w14:paraId="00BB3162" w14:textId="77777777" w:rsidR="0034060E" w:rsidRDefault="0034060E" w:rsidP="00453A36">
      <w:pPr>
        <w:pStyle w:val="BodyText"/>
      </w:pPr>
      <w:r w:rsidRPr="00B7414A">
        <w:t>Interregional trade flows were then estimated within the constraints provided by the basic data using a gravity modelling approach.</w:t>
      </w:r>
    </w:p>
    <w:p w14:paraId="00BB3163" w14:textId="77777777" w:rsidR="0034060E" w:rsidRDefault="0034060E" w:rsidP="00453A36">
      <w:pPr>
        <w:pStyle w:val="BodyText"/>
      </w:pPr>
      <w:r>
        <w:t>In the third step</w:t>
      </w:r>
      <w:r w:rsidRPr="00B7414A">
        <w:t xml:space="preserve">, </w:t>
      </w:r>
      <w:r>
        <w:t xml:space="preserve">data for the </w:t>
      </w:r>
      <w:r w:rsidRPr="00B7414A">
        <w:t xml:space="preserve">regions and industries in the </w:t>
      </w:r>
      <w:r>
        <w:t>VU</w:t>
      </w:r>
      <w:r>
        <w:noBreakHyphen/>
      </w:r>
      <w:r w:rsidRPr="00B7414A">
        <w:t xml:space="preserve">TERM database was aggregated to the </w:t>
      </w:r>
      <w:r>
        <w:t>s</w:t>
      </w:r>
      <w:r w:rsidRPr="00B7414A">
        <w:t>tate</w:t>
      </w:r>
      <w:r>
        <w:t xml:space="preserve"> and t</w:t>
      </w:r>
      <w:r w:rsidRPr="00B7414A">
        <w:t xml:space="preserve">erritory level to generate the </w:t>
      </w:r>
      <w:r>
        <w:t xml:space="preserve">standard </w:t>
      </w:r>
      <w:r w:rsidRPr="00B7414A">
        <w:t>eight</w:t>
      </w:r>
      <w:r>
        <w:noBreakHyphen/>
      </w:r>
      <w:r w:rsidRPr="00B7414A">
        <w:t xml:space="preserve">region </w:t>
      </w:r>
      <w:proofErr w:type="spellStart"/>
      <w:r>
        <w:t>VUMR</w:t>
      </w:r>
      <w:proofErr w:type="spellEnd"/>
      <w:r>
        <w:t xml:space="preserve"> model database for 2009</w:t>
      </w:r>
      <w:r>
        <w:noBreakHyphen/>
        <w:t>10. The resulting database has 79 </w:t>
      </w:r>
      <w:r w:rsidRPr="00B7414A">
        <w:t>industries</w:t>
      </w:r>
      <w:r>
        <w:t xml:space="preserve"> and 83 commodities</w:t>
      </w:r>
      <w:r w:rsidRPr="00B7414A">
        <w:t xml:space="preserve"> (table</w:t>
      </w:r>
      <w:r>
        <w:t>s </w:t>
      </w:r>
      <w:proofErr w:type="spellStart"/>
      <w:r>
        <w:t>B.2</w:t>
      </w:r>
      <w:proofErr w:type="spellEnd"/>
      <w:r>
        <w:t xml:space="preserve"> and </w:t>
      </w:r>
      <w:proofErr w:type="spellStart"/>
      <w:r>
        <w:t>B.3</w:t>
      </w:r>
      <w:proofErr w:type="spellEnd"/>
      <w:r w:rsidRPr="00B7414A">
        <w:t>).</w:t>
      </w:r>
    </w:p>
    <w:p w14:paraId="00BB3164" w14:textId="705B5ECF"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34060E" w14:paraId="00BB3166" w14:textId="77777777" w:rsidTr="00D46F34">
        <w:tc>
          <w:tcPr>
            <w:tcW w:w="8796" w:type="dxa"/>
            <w:tcBorders>
              <w:top w:val="single" w:sz="6" w:space="0" w:color="78A22F"/>
              <w:left w:val="nil"/>
              <w:bottom w:val="nil"/>
              <w:right w:val="nil"/>
            </w:tcBorders>
            <w:shd w:val="clear" w:color="auto" w:fill="auto"/>
          </w:tcPr>
          <w:p w14:paraId="00BB3165" w14:textId="0F917DAC" w:rsidR="0034060E" w:rsidRPr="00784A05" w:rsidRDefault="0034060E" w:rsidP="00453A36">
            <w:pPr>
              <w:pStyle w:val="TableTitle"/>
            </w:pPr>
            <w:r>
              <w:rPr>
                <w:b w:val="0"/>
              </w:rPr>
              <w:t xml:space="preserve">Table </w:t>
            </w:r>
            <w:proofErr w:type="spellStart"/>
            <w:r>
              <w:rPr>
                <w:b w:val="0"/>
              </w:rPr>
              <w:t>B.</w:t>
            </w:r>
            <w:r>
              <w:rPr>
                <w:b w:val="0"/>
                <w:noProof/>
              </w:rPr>
              <w:t>2</w:t>
            </w:r>
            <w:proofErr w:type="spellEnd"/>
            <w:r>
              <w:tab/>
            </w:r>
            <w:r w:rsidRPr="00534471">
              <w:t xml:space="preserve">Concordance between </w:t>
            </w:r>
            <w:r>
              <w:t xml:space="preserve">industries in </w:t>
            </w:r>
            <w:r w:rsidRPr="00534471">
              <w:t xml:space="preserve">the </w:t>
            </w:r>
            <w:proofErr w:type="spellStart"/>
            <w:r>
              <w:t>VUMR</w:t>
            </w:r>
            <w:proofErr w:type="spellEnd"/>
            <w:r w:rsidRPr="00534471">
              <w:t xml:space="preserve"> </w:t>
            </w:r>
            <w:r>
              <w:t xml:space="preserve">database </w:t>
            </w:r>
            <w:r w:rsidRPr="00534471">
              <w:t>and the 200</w:t>
            </w:r>
            <w:r>
              <w:t>9</w:t>
            </w:r>
            <w:r w:rsidRPr="00534471">
              <w:noBreakHyphen/>
            </w:r>
            <w:r>
              <w:t>1</w:t>
            </w:r>
            <w:r w:rsidRPr="00534471">
              <w:t>0 ABS input</w:t>
            </w:r>
            <w:r w:rsidRPr="00534471">
              <w:noBreakHyphen/>
              <w:t xml:space="preserve">output </w:t>
            </w:r>
            <w:r>
              <w:t xml:space="preserve">industry </w:t>
            </w:r>
            <w:r w:rsidRPr="00534471">
              <w:t>groups</w:t>
            </w:r>
          </w:p>
        </w:tc>
      </w:tr>
      <w:tr w:rsidR="0034060E" w14:paraId="00BB3287" w14:textId="77777777" w:rsidTr="00D46F34">
        <w:trPr>
          <w:cantSplit/>
        </w:trPr>
        <w:tc>
          <w:tcPr>
            <w:tcW w:w="8796"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73"/>
              <w:gridCol w:w="5674"/>
              <w:gridCol w:w="2065"/>
            </w:tblGrid>
            <w:tr w:rsidR="006B24A7" w14:paraId="00BB316D" w14:textId="77777777" w:rsidTr="00D46F34">
              <w:tc>
                <w:tcPr>
                  <w:tcW w:w="454" w:type="pct"/>
                  <w:tcBorders>
                    <w:top w:val="single" w:sz="6" w:space="0" w:color="BFBFBF"/>
                    <w:bottom w:val="single" w:sz="6" w:space="0" w:color="BFBFBF"/>
                  </w:tcBorders>
                </w:tcPr>
                <w:p w14:paraId="00BB3167" w14:textId="77777777" w:rsidR="006B24A7" w:rsidRPr="00192818" w:rsidRDefault="006B24A7" w:rsidP="00453A36">
                  <w:pPr>
                    <w:pStyle w:val="TableColumnHeading"/>
                    <w:jc w:val="left"/>
                  </w:pPr>
                  <w:r w:rsidRPr="00192818">
                    <w:t>No.</w:t>
                  </w:r>
                </w:p>
              </w:tc>
              <w:tc>
                <w:tcPr>
                  <w:tcW w:w="3333" w:type="pct"/>
                  <w:tcBorders>
                    <w:top w:val="single" w:sz="6" w:space="0" w:color="BFBFBF"/>
                    <w:bottom w:val="single" w:sz="6" w:space="0" w:color="BFBFBF"/>
                  </w:tcBorders>
                </w:tcPr>
                <w:p w14:paraId="00BB3168" w14:textId="77777777" w:rsidR="006B24A7" w:rsidRPr="00723237" w:rsidRDefault="006B24A7" w:rsidP="00453A36">
                  <w:pPr>
                    <w:pStyle w:val="TableColumnHeading"/>
                    <w:jc w:val="left"/>
                  </w:pPr>
                  <w:proofErr w:type="spellStart"/>
                  <w:r w:rsidRPr="00723237">
                    <w:t>VUMR</w:t>
                  </w:r>
                  <w:proofErr w:type="spellEnd"/>
                  <w:r w:rsidRPr="00723237">
                    <w:t xml:space="preserve"> industry</w:t>
                  </w:r>
                </w:p>
              </w:tc>
              <w:tc>
                <w:tcPr>
                  <w:tcW w:w="1213" w:type="pct"/>
                  <w:tcBorders>
                    <w:top w:val="single" w:sz="6" w:space="0" w:color="BFBFBF"/>
                    <w:bottom w:val="single" w:sz="6" w:space="0" w:color="BFBFBF"/>
                  </w:tcBorders>
                </w:tcPr>
                <w:p w14:paraId="00BB3169" w14:textId="77777777" w:rsidR="006B24A7" w:rsidRPr="00723237" w:rsidRDefault="006B24A7" w:rsidP="00453A36">
                  <w:pPr>
                    <w:pStyle w:val="TableColumnHeading"/>
                  </w:pPr>
                  <w:proofErr w:type="spellStart"/>
                  <w:r w:rsidRPr="00723237">
                    <w:t>IOIG</w:t>
                  </w:r>
                  <w:proofErr w:type="spellEnd"/>
                  <w:r w:rsidRPr="00723237">
                    <w:t xml:space="preserve"> number</w:t>
                  </w:r>
                </w:p>
              </w:tc>
            </w:tr>
            <w:tr w:rsidR="006B24A7" w14:paraId="00BB3174" w14:textId="77777777" w:rsidTr="00D46F34">
              <w:tc>
                <w:tcPr>
                  <w:tcW w:w="454" w:type="pct"/>
                  <w:tcBorders>
                    <w:top w:val="single" w:sz="6" w:space="0" w:color="BFBFBF"/>
                  </w:tcBorders>
                  <w:vAlign w:val="bottom"/>
                </w:tcPr>
                <w:p w14:paraId="00BB316E" w14:textId="77777777" w:rsidR="006B24A7" w:rsidRPr="006F1364" w:rsidRDefault="006B24A7" w:rsidP="00453A36">
                  <w:pPr>
                    <w:pStyle w:val="TableBodyText"/>
                    <w:jc w:val="left"/>
                  </w:pPr>
                  <w:r w:rsidRPr="006F1364">
                    <w:t>1</w:t>
                  </w:r>
                </w:p>
              </w:tc>
              <w:tc>
                <w:tcPr>
                  <w:tcW w:w="3333" w:type="pct"/>
                  <w:tcBorders>
                    <w:top w:val="single" w:sz="6" w:space="0" w:color="BFBFBF"/>
                  </w:tcBorders>
                  <w:vAlign w:val="center"/>
                </w:tcPr>
                <w:p w14:paraId="00BB316F" w14:textId="77777777" w:rsidR="006B24A7" w:rsidRPr="007029F1" w:rsidRDefault="006B24A7" w:rsidP="00453A36">
                  <w:pPr>
                    <w:pStyle w:val="TableBodyText"/>
                    <w:jc w:val="left"/>
                  </w:pPr>
                  <w:r>
                    <w:t>Sheep and beef cattle</w:t>
                  </w:r>
                </w:p>
              </w:tc>
              <w:tc>
                <w:tcPr>
                  <w:tcW w:w="1213" w:type="pct"/>
                  <w:tcBorders>
                    <w:top w:val="single" w:sz="6" w:space="0" w:color="BFBFBF"/>
                  </w:tcBorders>
                </w:tcPr>
                <w:p w14:paraId="00BB3170" w14:textId="77777777" w:rsidR="006B24A7" w:rsidRDefault="006B24A7" w:rsidP="00453A36">
                  <w:pPr>
                    <w:pStyle w:val="TableBodyText"/>
                  </w:pPr>
                  <w:r>
                    <w:t>0101 (part)</w:t>
                  </w:r>
                </w:p>
              </w:tc>
            </w:tr>
            <w:tr w:rsidR="006B24A7" w14:paraId="00BB317B" w14:textId="77777777" w:rsidTr="00D46F34">
              <w:tc>
                <w:tcPr>
                  <w:tcW w:w="454" w:type="pct"/>
                  <w:vAlign w:val="bottom"/>
                </w:tcPr>
                <w:p w14:paraId="00BB3175" w14:textId="77777777" w:rsidR="006B24A7" w:rsidRPr="006F1364" w:rsidRDefault="006B24A7" w:rsidP="00453A36">
                  <w:pPr>
                    <w:pStyle w:val="TableBodyText"/>
                    <w:jc w:val="left"/>
                  </w:pPr>
                  <w:r w:rsidRPr="006F1364">
                    <w:t>2</w:t>
                  </w:r>
                </w:p>
              </w:tc>
              <w:tc>
                <w:tcPr>
                  <w:tcW w:w="3333" w:type="pct"/>
                  <w:vAlign w:val="center"/>
                </w:tcPr>
                <w:p w14:paraId="00BB3176" w14:textId="77777777" w:rsidR="006B24A7" w:rsidRPr="007029F1" w:rsidRDefault="006B24A7" w:rsidP="00453A36">
                  <w:pPr>
                    <w:pStyle w:val="TableBodyText"/>
                    <w:jc w:val="left"/>
                  </w:pPr>
                  <w:r>
                    <w:t>Whole milk and dairy cattle</w:t>
                  </w:r>
                </w:p>
              </w:tc>
              <w:tc>
                <w:tcPr>
                  <w:tcW w:w="1213" w:type="pct"/>
                </w:tcPr>
                <w:p w14:paraId="00BB3177" w14:textId="77777777" w:rsidR="006B24A7" w:rsidRDefault="006B24A7" w:rsidP="00453A36">
                  <w:pPr>
                    <w:pStyle w:val="TableBodyText"/>
                  </w:pPr>
                  <w:r>
                    <w:t>0101 (part)</w:t>
                  </w:r>
                </w:p>
              </w:tc>
            </w:tr>
            <w:tr w:rsidR="006B24A7" w14:paraId="00BB3182" w14:textId="77777777" w:rsidTr="00D46F34">
              <w:tc>
                <w:tcPr>
                  <w:tcW w:w="454" w:type="pct"/>
                  <w:vAlign w:val="bottom"/>
                </w:tcPr>
                <w:p w14:paraId="00BB317C" w14:textId="77777777" w:rsidR="006B24A7" w:rsidRPr="006F1364" w:rsidRDefault="006B24A7" w:rsidP="00453A36">
                  <w:pPr>
                    <w:pStyle w:val="TableBodyText"/>
                    <w:jc w:val="left"/>
                  </w:pPr>
                  <w:r w:rsidRPr="006F1364">
                    <w:t>3</w:t>
                  </w:r>
                </w:p>
              </w:tc>
              <w:tc>
                <w:tcPr>
                  <w:tcW w:w="3333" w:type="pct"/>
                  <w:vAlign w:val="center"/>
                </w:tcPr>
                <w:p w14:paraId="00BB317D" w14:textId="77777777" w:rsidR="006B24A7" w:rsidRPr="007029F1" w:rsidRDefault="006B24A7" w:rsidP="00453A36">
                  <w:pPr>
                    <w:pStyle w:val="TableBodyText"/>
                    <w:jc w:val="left"/>
                  </w:pPr>
                  <w:r>
                    <w:t>Animals other than cattle and sheep</w:t>
                  </w:r>
                </w:p>
              </w:tc>
              <w:tc>
                <w:tcPr>
                  <w:tcW w:w="1213" w:type="pct"/>
                </w:tcPr>
                <w:p w14:paraId="00BB317E" w14:textId="77777777" w:rsidR="006B24A7" w:rsidRDefault="006B24A7" w:rsidP="00453A36">
                  <w:pPr>
                    <w:pStyle w:val="TableBodyText"/>
                  </w:pPr>
                  <w:r>
                    <w:t>0101 (part), 0102</w:t>
                  </w:r>
                </w:p>
              </w:tc>
            </w:tr>
            <w:tr w:rsidR="006B24A7" w14:paraId="00BB3189" w14:textId="77777777" w:rsidTr="00D46F34">
              <w:tc>
                <w:tcPr>
                  <w:tcW w:w="454" w:type="pct"/>
                  <w:vAlign w:val="bottom"/>
                </w:tcPr>
                <w:p w14:paraId="00BB3183" w14:textId="77777777" w:rsidR="006B24A7" w:rsidRPr="006F1364" w:rsidRDefault="006B24A7" w:rsidP="00453A36">
                  <w:pPr>
                    <w:pStyle w:val="TableBodyText"/>
                    <w:jc w:val="left"/>
                  </w:pPr>
                  <w:r w:rsidRPr="006F1364">
                    <w:t>4</w:t>
                  </w:r>
                </w:p>
              </w:tc>
              <w:tc>
                <w:tcPr>
                  <w:tcW w:w="3333" w:type="pct"/>
                  <w:vAlign w:val="center"/>
                </w:tcPr>
                <w:p w14:paraId="00BB3184" w14:textId="77777777" w:rsidR="006B24A7" w:rsidRPr="007029F1" w:rsidRDefault="006B24A7" w:rsidP="00453A36">
                  <w:pPr>
                    <w:pStyle w:val="TableBodyText"/>
                    <w:jc w:val="left"/>
                  </w:pPr>
                  <w:r>
                    <w:t>Crops and grains</w:t>
                  </w:r>
                </w:p>
              </w:tc>
              <w:tc>
                <w:tcPr>
                  <w:tcW w:w="1213" w:type="pct"/>
                </w:tcPr>
                <w:p w14:paraId="00BB3185" w14:textId="77777777" w:rsidR="006B24A7" w:rsidRDefault="006B24A7" w:rsidP="00453A36">
                  <w:pPr>
                    <w:pStyle w:val="TableBodyText"/>
                  </w:pPr>
                  <w:r>
                    <w:t>0101 (part)</w:t>
                  </w:r>
                </w:p>
              </w:tc>
            </w:tr>
            <w:tr w:rsidR="006B24A7" w14:paraId="00BB3190" w14:textId="77777777" w:rsidTr="00D46F34">
              <w:tc>
                <w:tcPr>
                  <w:tcW w:w="454" w:type="pct"/>
                  <w:vAlign w:val="bottom"/>
                </w:tcPr>
                <w:p w14:paraId="00BB318A" w14:textId="77777777" w:rsidR="006B24A7" w:rsidRPr="006F1364" w:rsidRDefault="006B24A7" w:rsidP="00453A36">
                  <w:pPr>
                    <w:pStyle w:val="TableBodyText"/>
                    <w:jc w:val="left"/>
                  </w:pPr>
                  <w:r w:rsidRPr="006F1364">
                    <w:t>5</w:t>
                  </w:r>
                </w:p>
              </w:tc>
              <w:tc>
                <w:tcPr>
                  <w:tcW w:w="3333" w:type="pct"/>
                  <w:vAlign w:val="center"/>
                </w:tcPr>
                <w:p w14:paraId="00BB318B" w14:textId="77777777" w:rsidR="006B24A7" w:rsidRPr="007029F1" w:rsidRDefault="006B24A7" w:rsidP="00453A36">
                  <w:pPr>
                    <w:pStyle w:val="TableBodyText"/>
                    <w:jc w:val="left"/>
                  </w:pPr>
                  <w:r>
                    <w:t>Other agriculture</w:t>
                  </w:r>
                </w:p>
              </w:tc>
              <w:tc>
                <w:tcPr>
                  <w:tcW w:w="1213" w:type="pct"/>
                </w:tcPr>
                <w:p w14:paraId="00BB318C" w14:textId="77777777" w:rsidR="006B24A7" w:rsidRDefault="006B24A7" w:rsidP="00453A36">
                  <w:pPr>
                    <w:pStyle w:val="TableBodyText"/>
                  </w:pPr>
                  <w:r>
                    <w:t>0103</w:t>
                  </w:r>
                </w:p>
              </w:tc>
            </w:tr>
            <w:tr w:rsidR="006B24A7" w14:paraId="00BB3197" w14:textId="77777777" w:rsidTr="00D46F34">
              <w:tc>
                <w:tcPr>
                  <w:tcW w:w="454" w:type="pct"/>
                  <w:vAlign w:val="bottom"/>
                </w:tcPr>
                <w:p w14:paraId="00BB3191" w14:textId="77777777" w:rsidR="006B24A7" w:rsidRPr="006F1364" w:rsidRDefault="006B24A7" w:rsidP="00453A36">
                  <w:pPr>
                    <w:pStyle w:val="TableBodyText"/>
                    <w:jc w:val="left"/>
                  </w:pPr>
                  <w:r w:rsidRPr="006F1364">
                    <w:t>6</w:t>
                  </w:r>
                </w:p>
              </w:tc>
              <w:tc>
                <w:tcPr>
                  <w:tcW w:w="3333" w:type="pct"/>
                  <w:vAlign w:val="center"/>
                </w:tcPr>
                <w:p w14:paraId="00BB3192" w14:textId="77777777" w:rsidR="006B24A7" w:rsidRPr="007029F1" w:rsidRDefault="006B24A7" w:rsidP="00453A36">
                  <w:pPr>
                    <w:pStyle w:val="TableBodyText"/>
                    <w:jc w:val="left"/>
                  </w:pPr>
                  <w:r>
                    <w:t>Fishing, hunting and aquaculture</w:t>
                  </w:r>
                </w:p>
              </w:tc>
              <w:tc>
                <w:tcPr>
                  <w:tcW w:w="1213" w:type="pct"/>
                </w:tcPr>
                <w:p w14:paraId="00BB3193" w14:textId="77777777" w:rsidR="006B24A7" w:rsidRDefault="006B24A7" w:rsidP="00453A36">
                  <w:pPr>
                    <w:pStyle w:val="TableBodyText"/>
                  </w:pPr>
                  <w:r>
                    <w:t>0201, 0401</w:t>
                  </w:r>
                </w:p>
              </w:tc>
            </w:tr>
            <w:tr w:rsidR="006B24A7" w14:paraId="00BB319E" w14:textId="77777777" w:rsidTr="00D46F34">
              <w:tc>
                <w:tcPr>
                  <w:tcW w:w="454" w:type="pct"/>
                  <w:vAlign w:val="bottom"/>
                </w:tcPr>
                <w:p w14:paraId="00BB3198" w14:textId="77777777" w:rsidR="006B24A7" w:rsidRPr="006F1364" w:rsidRDefault="006B24A7" w:rsidP="00453A36">
                  <w:pPr>
                    <w:pStyle w:val="TableBodyText"/>
                    <w:jc w:val="left"/>
                  </w:pPr>
                  <w:r w:rsidRPr="006F1364">
                    <w:t>7</w:t>
                  </w:r>
                </w:p>
              </w:tc>
              <w:tc>
                <w:tcPr>
                  <w:tcW w:w="3333" w:type="pct"/>
                  <w:vAlign w:val="center"/>
                </w:tcPr>
                <w:p w14:paraId="00BB3199" w14:textId="77777777" w:rsidR="006B24A7" w:rsidRPr="007029F1" w:rsidRDefault="006B24A7" w:rsidP="00453A36">
                  <w:pPr>
                    <w:pStyle w:val="TableBodyText"/>
                    <w:jc w:val="left"/>
                  </w:pPr>
                  <w:r>
                    <w:t>Forestry and logging</w:t>
                  </w:r>
                </w:p>
              </w:tc>
              <w:tc>
                <w:tcPr>
                  <w:tcW w:w="1213" w:type="pct"/>
                </w:tcPr>
                <w:p w14:paraId="00BB319A" w14:textId="77777777" w:rsidR="006B24A7" w:rsidRDefault="006B24A7" w:rsidP="00453A36">
                  <w:pPr>
                    <w:pStyle w:val="TableBodyText"/>
                  </w:pPr>
                  <w:r>
                    <w:t>0301</w:t>
                  </w:r>
                </w:p>
              </w:tc>
            </w:tr>
            <w:tr w:rsidR="006B24A7" w14:paraId="00BB31A5" w14:textId="77777777" w:rsidTr="00D46F34">
              <w:tc>
                <w:tcPr>
                  <w:tcW w:w="454" w:type="pct"/>
                  <w:vAlign w:val="bottom"/>
                </w:tcPr>
                <w:p w14:paraId="00BB319F" w14:textId="77777777" w:rsidR="006B24A7" w:rsidRPr="006F1364" w:rsidRDefault="006B24A7" w:rsidP="00453A36">
                  <w:pPr>
                    <w:pStyle w:val="TableBodyText"/>
                    <w:jc w:val="left"/>
                  </w:pPr>
                  <w:r w:rsidRPr="006F1364">
                    <w:t>8</w:t>
                  </w:r>
                </w:p>
              </w:tc>
              <w:tc>
                <w:tcPr>
                  <w:tcW w:w="3333" w:type="pct"/>
                  <w:vAlign w:val="center"/>
                </w:tcPr>
                <w:p w14:paraId="00BB31A0" w14:textId="77777777" w:rsidR="006B24A7" w:rsidRPr="007029F1" w:rsidRDefault="006B24A7" w:rsidP="00453A36">
                  <w:pPr>
                    <w:pStyle w:val="TableBodyText"/>
                    <w:jc w:val="left"/>
                  </w:pPr>
                  <w:r>
                    <w:t>Agriculture, forestry, fishing support services</w:t>
                  </w:r>
                </w:p>
              </w:tc>
              <w:tc>
                <w:tcPr>
                  <w:tcW w:w="1213" w:type="pct"/>
                </w:tcPr>
                <w:p w14:paraId="00BB31A1" w14:textId="77777777" w:rsidR="006B24A7" w:rsidRDefault="006B24A7" w:rsidP="00453A36">
                  <w:pPr>
                    <w:pStyle w:val="TableBodyText"/>
                  </w:pPr>
                  <w:r>
                    <w:t>0501</w:t>
                  </w:r>
                </w:p>
              </w:tc>
            </w:tr>
            <w:tr w:rsidR="006B24A7" w14:paraId="00BB31AC" w14:textId="77777777" w:rsidTr="00D46F34">
              <w:tc>
                <w:tcPr>
                  <w:tcW w:w="454" w:type="pct"/>
                  <w:vAlign w:val="bottom"/>
                </w:tcPr>
                <w:p w14:paraId="00BB31A6" w14:textId="77777777" w:rsidR="006B24A7" w:rsidRPr="006F1364" w:rsidRDefault="006B24A7" w:rsidP="00453A36">
                  <w:pPr>
                    <w:pStyle w:val="TableBodyText"/>
                    <w:jc w:val="left"/>
                  </w:pPr>
                  <w:r w:rsidRPr="006F1364">
                    <w:t>9</w:t>
                  </w:r>
                </w:p>
              </w:tc>
              <w:tc>
                <w:tcPr>
                  <w:tcW w:w="3333" w:type="pct"/>
                  <w:vAlign w:val="center"/>
                </w:tcPr>
                <w:p w14:paraId="00BB31A7" w14:textId="77777777" w:rsidR="006B24A7" w:rsidRPr="007029F1" w:rsidRDefault="006B24A7" w:rsidP="00453A36">
                  <w:pPr>
                    <w:pStyle w:val="TableBodyText"/>
                    <w:jc w:val="left"/>
                  </w:pPr>
                  <w:r>
                    <w:t>Coal mining</w:t>
                  </w:r>
                </w:p>
              </w:tc>
              <w:tc>
                <w:tcPr>
                  <w:tcW w:w="1213" w:type="pct"/>
                </w:tcPr>
                <w:p w14:paraId="00BB31A8" w14:textId="77777777" w:rsidR="006B24A7" w:rsidRDefault="006B24A7" w:rsidP="00453A36">
                  <w:pPr>
                    <w:pStyle w:val="TableBodyText"/>
                  </w:pPr>
                  <w:r>
                    <w:t>0601</w:t>
                  </w:r>
                </w:p>
              </w:tc>
            </w:tr>
            <w:tr w:rsidR="006B24A7" w14:paraId="00BB31B3" w14:textId="77777777" w:rsidTr="00D46F34">
              <w:tc>
                <w:tcPr>
                  <w:tcW w:w="454" w:type="pct"/>
                  <w:vAlign w:val="bottom"/>
                </w:tcPr>
                <w:p w14:paraId="00BB31AD" w14:textId="77777777" w:rsidR="006B24A7" w:rsidRPr="006F1364" w:rsidRDefault="006B24A7" w:rsidP="00453A36">
                  <w:pPr>
                    <w:pStyle w:val="TableBodyText"/>
                    <w:jc w:val="left"/>
                  </w:pPr>
                  <w:r w:rsidRPr="006F1364">
                    <w:t>10</w:t>
                  </w:r>
                </w:p>
              </w:tc>
              <w:tc>
                <w:tcPr>
                  <w:tcW w:w="3333" w:type="pct"/>
                  <w:vAlign w:val="center"/>
                </w:tcPr>
                <w:p w14:paraId="00BB31AE" w14:textId="77777777" w:rsidR="006B24A7" w:rsidRPr="007029F1" w:rsidRDefault="006B24A7" w:rsidP="00453A36">
                  <w:pPr>
                    <w:pStyle w:val="TableBodyText"/>
                    <w:jc w:val="left"/>
                  </w:pPr>
                  <w:r>
                    <w:t>Oil extraction (includes condensate)</w:t>
                  </w:r>
                </w:p>
              </w:tc>
              <w:tc>
                <w:tcPr>
                  <w:tcW w:w="1213" w:type="pct"/>
                </w:tcPr>
                <w:p w14:paraId="00BB31AF" w14:textId="77777777" w:rsidR="006B24A7" w:rsidRDefault="006B24A7" w:rsidP="00453A36">
                  <w:pPr>
                    <w:pStyle w:val="TableBodyText"/>
                  </w:pPr>
                  <w:r>
                    <w:t>0701 (part)</w:t>
                  </w:r>
                </w:p>
              </w:tc>
            </w:tr>
            <w:tr w:rsidR="006B24A7" w14:paraId="00BB31BA" w14:textId="77777777" w:rsidTr="00D46F34">
              <w:tc>
                <w:tcPr>
                  <w:tcW w:w="454" w:type="pct"/>
                  <w:vAlign w:val="bottom"/>
                </w:tcPr>
                <w:p w14:paraId="00BB31B4" w14:textId="77777777" w:rsidR="006B24A7" w:rsidRPr="006F1364" w:rsidRDefault="006B24A7" w:rsidP="00453A36">
                  <w:pPr>
                    <w:pStyle w:val="TableBodyText"/>
                    <w:jc w:val="left"/>
                  </w:pPr>
                  <w:r w:rsidRPr="006F1364">
                    <w:t>11</w:t>
                  </w:r>
                </w:p>
              </w:tc>
              <w:tc>
                <w:tcPr>
                  <w:tcW w:w="3333" w:type="pct"/>
                  <w:vAlign w:val="center"/>
                </w:tcPr>
                <w:p w14:paraId="00BB31B5" w14:textId="77777777" w:rsidR="006B24A7" w:rsidRPr="007029F1" w:rsidRDefault="006B24A7" w:rsidP="00453A36">
                  <w:pPr>
                    <w:pStyle w:val="TableBodyText"/>
                    <w:jc w:val="left"/>
                  </w:pPr>
                  <w:r>
                    <w:t>Gas extraction</w:t>
                  </w:r>
                </w:p>
              </w:tc>
              <w:tc>
                <w:tcPr>
                  <w:tcW w:w="1213" w:type="pct"/>
                </w:tcPr>
                <w:p w14:paraId="00BB31B6" w14:textId="77777777" w:rsidR="006B24A7" w:rsidRDefault="006B24A7" w:rsidP="00453A36">
                  <w:pPr>
                    <w:pStyle w:val="TableBodyText"/>
                  </w:pPr>
                  <w:r>
                    <w:t>0701 (part)</w:t>
                  </w:r>
                </w:p>
              </w:tc>
            </w:tr>
            <w:tr w:rsidR="006B24A7" w14:paraId="00BB31C1" w14:textId="77777777" w:rsidTr="00D46F34">
              <w:tc>
                <w:tcPr>
                  <w:tcW w:w="454" w:type="pct"/>
                  <w:vAlign w:val="bottom"/>
                </w:tcPr>
                <w:p w14:paraId="00BB31BB" w14:textId="77777777" w:rsidR="006B24A7" w:rsidRPr="006F1364" w:rsidRDefault="006B24A7" w:rsidP="00453A36">
                  <w:pPr>
                    <w:pStyle w:val="TableBodyText"/>
                    <w:jc w:val="left"/>
                  </w:pPr>
                  <w:r w:rsidRPr="006F1364">
                    <w:t>12</w:t>
                  </w:r>
                </w:p>
              </w:tc>
              <w:tc>
                <w:tcPr>
                  <w:tcW w:w="3333" w:type="pct"/>
                  <w:vAlign w:val="center"/>
                </w:tcPr>
                <w:p w14:paraId="00BB31BC" w14:textId="77777777" w:rsidR="006B24A7" w:rsidRPr="007029F1" w:rsidRDefault="006B24A7" w:rsidP="00453A36">
                  <w:pPr>
                    <w:pStyle w:val="TableBodyText"/>
                    <w:jc w:val="left"/>
                  </w:pPr>
                  <w:r>
                    <w:t>Liquefied natural gas production</w:t>
                  </w:r>
                </w:p>
              </w:tc>
              <w:tc>
                <w:tcPr>
                  <w:tcW w:w="1213" w:type="pct"/>
                </w:tcPr>
                <w:p w14:paraId="00BB31BD" w14:textId="77777777" w:rsidR="006B24A7" w:rsidRDefault="006B24A7" w:rsidP="00453A36">
                  <w:pPr>
                    <w:pStyle w:val="TableBodyText"/>
                  </w:pPr>
                  <w:r>
                    <w:t>0701 (part)</w:t>
                  </w:r>
                </w:p>
              </w:tc>
            </w:tr>
            <w:tr w:rsidR="006B24A7" w14:paraId="00BB31C8" w14:textId="77777777" w:rsidTr="00D46F34">
              <w:tc>
                <w:tcPr>
                  <w:tcW w:w="454" w:type="pct"/>
                  <w:vAlign w:val="bottom"/>
                </w:tcPr>
                <w:p w14:paraId="00BB31C2" w14:textId="77777777" w:rsidR="006B24A7" w:rsidRPr="006F1364" w:rsidRDefault="006B24A7" w:rsidP="00453A36">
                  <w:pPr>
                    <w:pStyle w:val="TableBodyText"/>
                    <w:jc w:val="left"/>
                  </w:pPr>
                  <w:r w:rsidRPr="006F1364">
                    <w:t>13</w:t>
                  </w:r>
                </w:p>
              </w:tc>
              <w:tc>
                <w:tcPr>
                  <w:tcW w:w="3333" w:type="pct"/>
                  <w:vAlign w:val="center"/>
                </w:tcPr>
                <w:p w14:paraId="00BB31C3" w14:textId="77777777" w:rsidR="006B24A7" w:rsidRPr="007029F1" w:rsidRDefault="006B24A7" w:rsidP="00453A36">
                  <w:pPr>
                    <w:pStyle w:val="TableBodyText"/>
                    <w:jc w:val="left"/>
                  </w:pPr>
                  <w:r>
                    <w:t>Iron ore mining</w:t>
                  </w:r>
                </w:p>
              </w:tc>
              <w:tc>
                <w:tcPr>
                  <w:tcW w:w="1213" w:type="pct"/>
                </w:tcPr>
                <w:p w14:paraId="00BB31C4" w14:textId="77777777" w:rsidR="006B24A7" w:rsidRDefault="006B24A7" w:rsidP="00453A36">
                  <w:pPr>
                    <w:pStyle w:val="TableBodyText"/>
                  </w:pPr>
                  <w:r>
                    <w:t>0801</w:t>
                  </w:r>
                </w:p>
              </w:tc>
            </w:tr>
            <w:tr w:rsidR="006B24A7" w14:paraId="00BB31CF" w14:textId="77777777" w:rsidTr="00D46F34">
              <w:tc>
                <w:tcPr>
                  <w:tcW w:w="454" w:type="pct"/>
                  <w:vAlign w:val="bottom"/>
                </w:tcPr>
                <w:p w14:paraId="00BB31C9" w14:textId="77777777" w:rsidR="006B24A7" w:rsidRPr="006F1364" w:rsidRDefault="006B24A7" w:rsidP="00453A36">
                  <w:pPr>
                    <w:pStyle w:val="TableBodyText"/>
                    <w:jc w:val="left"/>
                  </w:pPr>
                  <w:r w:rsidRPr="006F1364">
                    <w:t>14</w:t>
                  </w:r>
                </w:p>
              </w:tc>
              <w:tc>
                <w:tcPr>
                  <w:tcW w:w="3333" w:type="pct"/>
                  <w:vAlign w:val="center"/>
                </w:tcPr>
                <w:p w14:paraId="00BB31CA" w14:textId="77777777" w:rsidR="006B24A7" w:rsidRPr="007029F1" w:rsidRDefault="006B24A7" w:rsidP="00453A36">
                  <w:pPr>
                    <w:pStyle w:val="TableBodyText"/>
                    <w:jc w:val="left"/>
                  </w:pPr>
                  <w:r>
                    <w:t>Non</w:t>
                  </w:r>
                  <w:r>
                    <w:noBreakHyphen/>
                    <w:t>ferrous metal ores</w:t>
                  </w:r>
                </w:p>
              </w:tc>
              <w:tc>
                <w:tcPr>
                  <w:tcW w:w="1213" w:type="pct"/>
                </w:tcPr>
                <w:p w14:paraId="00BB31CB" w14:textId="77777777" w:rsidR="006B24A7" w:rsidRDefault="006B24A7" w:rsidP="00453A36">
                  <w:pPr>
                    <w:pStyle w:val="TableBodyText"/>
                  </w:pPr>
                  <w:r>
                    <w:t>0802</w:t>
                  </w:r>
                </w:p>
              </w:tc>
            </w:tr>
            <w:tr w:rsidR="006B24A7" w14:paraId="00BB31D6" w14:textId="77777777" w:rsidTr="00D46F34">
              <w:tc>
                <w:tcPr>
                  <w:tcW w:w="454" w:type="pct"/>
                  <w:vAlign w:val="bottom"/>
                </w:tcPr>
                <w:p w14:paraId="00BB31D0" w14:textId="77777777" w:rsidR="006B24A7" w:rsidRPr="006F1364" w:rsidRDefault="006B24A7" w:rsidP="00453A36">
                  <w:pPr>
                    <w:pStyle w:val="TableBodyText"/>
                    <w:jc w:val="left"/>
                  </w:pPr>
                  <w:r w:rsidRPr="006F1364">
                    <w:t>15</w:t>
                  </w:r>
                </w:p>
              </w:tc>
              <w:tc>
                <w:tcPr>
                  <w:tcW w:w="3333" w:type="pct"/>
                  <w:vAlign w:val="center"/>
                </w:tcPr>
                <w:p w14:paraId="00BB31D1" w14:textId="77777777" w:rsidR="006B24A7" w:rsidRPr="007029F1" w:rsidRDefault="006B24A7" w:rsidP="00453A36">
                  <w:pPr>
                    <w:pStyle w:val="TableBodyText"/>
                    <w:jc w:val="left"/>
                  </w:pPr>
                  <w:r>
                    <w:t>Non</w:t>
                  </w:r>
                  <w:r>
                    <w:noBreakHyphen/>
                    <w:t>metallic mineral mining</w:t>
                  </w:r>
                </w:p>
              </w:tc>
              <w:tc>
                <w:tcPr>
                  <w:tcW w:w="1213" w:type="pct"/>
                </w:tcPr>
                <w:p w14:paraId="00BB31D2" w14:textId="77777777" w:rsidR="006B24A7" w:rsidRDefault="006B24A7" w:rsidP="00453A36">
                  <w:pPr>
                    <w:pStyle w:val="TableBodyText"/>
                  </w:pPr>
                  <w:r>
                    <w:t>0901</w:t>
                  </w:r>
                </w:p>
              </w:tc>
            </w:tr>
            <w:tr w:rsidR="006B24A7" w14:paraId="00BB31DD" w14:textId="77777777" w:rsidTr="00D46F34">
              <w:tc>
                <w:tcPr>
                  <w:tcW w:w="454" w:type="pct"/>
                  <w:vAlign w:val="bottom"/>
                </w:tcPr>
                <w:p w14:paraId="00BB31D7" w14:textId="77777777" w:rsidR="006B24A7" w:rsidRPr="006F1364" w:rsidRDefault="006B24A7" w:rsidP="00453A36">
                  <w:pPr>
                    <w:pStyle w:val="TableBodyText"/>
                    <w:jc w:val="left"/>
                  </w:pPr>
                  <w:r w:rsidRPr="006F1364">
                    <w:t>16</w:t>
                  </w:r>
                </w:p>
              </w:tc>
              <w:tc>
                <w:tcPr>
                  <w:tcW w:w="3333" w:type="pct"/>
                  <w:vAlign w:val="center"/>
                </w:tcPr>
                <w:p w14:paraId="00BB31D8" w14:textId="77777777" w:rsidR="006B24A7" w:rsidRPr="007029F1" w:rsidRDefault="006B24A7" w:rsidP="00453A36">
                  <w:pPr>
                    <w:pStyle w:val="TableBodyText"/>
                    <w:jc w:val="left"/>
                  </w:pPr>
                  <w:r>
                    <w:t>Exploration and mining support services</w:t>
                  </w:r>
                </w:p>
              </w:tc>
              <w:tc>
                <w:tcPr>
                  <w:tcW w:w="1213" w:type="pct"/>
                </w:tcPr>
                <w:p w14:paraId="00BB31D9" w14:textId="77777777" w:rsidR="006B24A7" w:rsidRDefault="006B24A7" w:rsidP="00453A36">
                  <w:pPr>
                    <w:pStyle w:val="TableBodyText"/>
                  </w:pPr>
                  <w:r>
                    <w:t>1001</w:t>
                  </w:r>
                </w:p>
              </w:tc>
            </w:tr>
            <w:tr w:rsidR="006B24A7" w14:paraId="00BB31E4" w14:textId="77777777" w:rsidTr="00D46F34">
              <w:tc>
                <w:tcPr>
                  <w:tcW w:w="454" w:type="pct"/>
                  <w:vAlign w:val="bottom"/>
                </w:tcPr>
                <w:p w14:paraId="00BB31DE" w14:textId="77777777" w:rsidR="006B24A7" w:rsidRPr="006F1364" w:rsidRDefault="006B24A7" w:rsidP="00453A36">
                  <w:pPr>
                    <w:pStyle w:val="TableBodyText"/>
                    <w:jc w:val="left"/>
                  </w:pPr>
                  <w:r w:rsidRPr="006F1364">
                    <w:t>17</w:t>
                  </w:r>
                </w:p>
              </w:tc>
              <w:tc>
                <w:tcPr>
                  <w:tcW w:w="3333" w:type="pct"/>
                  <w:vAlign w:val="center"/>
                </w:tcPr>
                <w:p w14:paraId="00BB31DF" w14:textId="77777777" w:rsidR="006B24A7" w:rsidRPr="007029F1" w:rsidRDefault="006B24A7" w:rsidP="00453A36">
                  <w:pPr>
                    <w:pStyle w:val="TableBodyText"/>
                    <w:jc w:val="left"/>
                  </w:pPr>
                  <w:r>
                    <w:t>Meat products</w:t>
                  </w:r>
                </w:p>
              </w:tc>
              <w:tc>
                <w:tcPr>
                  <w:tcW w:w="1213" w:type="pct"/>
                </w:tcPr>
                <w:p w14:paraId="00BB31E0" w14:textId="77777777" w:rsidR="006B24A7" w:rsidRDefault="006B24A7" w:rsidP="00453A36">
                  <w:pPr>
                    <w:pStyle w:val="TableBodyText"/>
                  </w:pPr>
                  <w:r>
                    <w:t>1101</w:t>
                  </w:r>
                </w:p>
              </w:tc>
            </w:tr>
            <w:tr w:rsidR="006B24A7" w14:paraId="00BB31EB" w14:textId="77777777" w:rsidTr="00D46F34">
              <w:tc>
                <w:tcPr>
                  <w:tcW w:w="454" w:type="pct"/>
                  <w:vAlign w:val="bottom"/>
                </w:tcPr>
                <w:p w14:paraId="00BB31E5" w14:textId="77777777" w:rsidR="006B24A7" w:rsidRPr="006F1364" w:rsidRDefault="006B24A7" w:rsidP="00453A36">
                  <w:pPr>
                    <w:pStyle w:val="TableBodyText"/>
                    <w:jc w:val="left"/>
                  </w:pPr>
                  <w:r w:rsidRPr="006F1364">
                    <w:t>18</w:t>
                  </w:r>
                </w:p>
              </w:tc>
              <w:tc>
                <w:tcPr>
                  <w:tcW w:w="3333" w:type="pct"/>
                  <w:vAlign w:val="center"/>
                </w:tcPr>
                <w:p w14:paraId="00BB31E6" w14:textId="77777777" w:rsidR="006B24A7" w:rsidRPr="007029F1" w:rsidRDefault="006B24A7" w:rsidP="00453A36">
                  <w:pPr>
                    <w:pStyle w:val="TableBodyText"/>
                    <w:jc w:val="left"/>
                  </w:pPr>
                  <w:r>
                    <w:t>Dairy products</w:t>
                  </w:r>
                </w:p>
              </w:tc>
              <w:tc>
                <w:tcPr>
                  <w:tcW w:w="1213" w:type="pct"/>
                </w:tcPr>
                <w:p w14:paraId="00BB31E7" w14:textId="77777777" w:rsidR="006B24A7" w:rsidRDefault="006B24A7" w:rsidP="00453A36">
                  <w:pPr>
                    <w:pStyle w:val="TableBodyText"/>
                  </w:pPr>
                  <w:r>
                    <w:t>1103</w:t>
                  </w:r>
                </w:p>
              </w:tc>
            </w:tr>
            <w:tr w:rsidR="006B24A7" w14:paraId="00BB31F2" w14:textId="77777777" w:rsidTr="00D46F34">
              <w:tc>
                <w:tcPr>
                  <w:tcW w:w="454" w:type="pct"/>
                  <w:vAlign w:val="bottom"/>
                </w:tcPr>
                <w:p w14:paraId="00BB31EC" w14:textId="77777777" w:rsidR="006B24A7" w:rsidRPr="006F1364" w:rsidRDefault="006B24A7" w:rsidP="00453A36">
                  <w:pPr>
                    <w:pStyle w:val="TableBodyText"/>
                    <w:jc w:val="left"/>
                  </w:pPr>
                  <w:r w:rsidRPr="006F1364">
                    <w:t>19</w:t>
                  </w:r>
                </w:p>
              </w:tc>
              <w:tc>
                <w:tcPr>
                  <w:tcW w:w="3333" w:type="pct"/>
                  <w:vAlign w:val="center"/>
                </w:tcPr>
                <w:p w14:paraId="00BB31ED" w14:textId="77777777" w:rsidR="006B24A7" w:rsidRPr="007029F1" w:rsidRDefault="006B24A7" w:rsidP="00453A36">
                  <w:pPr>
                    <w:pStyle w:val="TableBodyText"/>
                    <w:jc w:val="left"/>
                  </w:pPr>
                  <w:r>
                    <w:t>Other food products</w:t>
                  </w:r>
                </w:p>
              </w:tc>
              <w:tc>
                <w:tcPr>
                  <w:tcW w:w="1213" w:type="pct"/>
                </w:tcPr>
                <w:p w14:paraId="00BB31EE" w14:textId="77777777" w:rsidR="006B24A7" w:rsidRDefault="006B24A7" w:rsidP="00453A36">
                  <w:pPr>
                    <w:pStyle w:val="TableBodyText"/>
                  </w:pPr>
                  <w:r>
                    <w:t>1102, 1104</w:t>
                  </w:r>
                  <w:r>
                    <w:noBreakHyphen/>
                    <w:t>09</w:t>
                  </w:r>
                </w:p>
              </w:tc>
            </w:tr>
            <w:tr w:rsidR="006B24A7" w14:paraId="00BB31F9" w14:textId="77777777" w:rsidTr="00D46F34">
              <w:tc>
                <w:tcPr>
                  <w:tcW w:w="454" w:type="pct"/>
                  <w:vAlign w:val="bottom"/>
                </w:tcPr>
                <w:p w14:paraId="00BB31F3" w14:textId="77777777" w:rsidR="006B24A7" w:rsidRPr="006F1364" w:rsidRDefault="006B24A7" w:rsidP="00453A36">
                  <w:pPr>
                    <w:pStyle w:val="TableBodyText"/>
                    <w:jc w:val="left"/>
                  </w:pPr>
                  <w:r w:rsidRPr="006F1364">
                    <w:t>20</w:t>
                  </w:r>
                </w:p>
              </w:tc>
              <w:tc>
                <w:tcPr>
                  <w:tcW w:w="3333" w:type="pct"/>
                  <w:vAlign w:val="center"/>
                </w:tcPr>
                <w:p w14:paraId="00BB31F4" w14:textId="77777777" w:rsidR="006B24A7" w:rsidRPr="007029F1" w:rsidRDefault="006B24A7" w:rsidP="00453A36">
                  <w:pPr>
                    <w:pStyle w:val="TableBodyText"/>
                    <w:jc w:val="left"/>
                  </w:pPr>
                  <w:r>
                    <w:t>Beverages</w:t>
                  </w:r>
                </w:p>
              </w:tc>
              <w:tc>
                <w:tcPr>
                  <w:tcW w:w="1213" w:type="pct"/>
                </w:tcPr>
                <w:p w14:paraId="00BB31F5" w14:textId="77777777" w:rsidR="006B24A7" w:rsidRDefault="006B24A7" w:rsidP="00453A36">
                  <w:pPr>
                    <w:pStyle w:val="TableBodyText"/>
                  </w:pPr>
                  <w:r>
                    <w:t>1201</w:t>
                  </w:r>
                  <w:r>
                    <w:noBreakHyphen/>
                    <w:t>05</w:t>
                  </w:r>
                </w:p>
              </w:tc>
            </w:tr>
            <w:tr w:rsidR="006B24A7" w14:paraId="00BB3200" w14:textId="77777777" w:rsidTr="00D46F34">
              <w:tc>
                <w:tcPr>
                  <w:tcW w:w="454" w:type="pct"/>
                  <w:vAlign w:val="bottom"/>
                </w:tcPr>
                <w:p w14:paraId="00BB31FA" w14:textId="77777777" w:rsidR="006B24A7" w:rsidRPr="006F1364" w:rsidRDefault="006B24A7" w:rsidP="00453A36">
                  <w:pPr>
                    <w:pStyle w:val="TableBodyText"/>
                    <w:jc w:val="left"/>
                  </w:pPr>
                  <w:r w:rsidRPr="006F1364">
                    <w:t>21</w:t>
                  </w:r>
                </w:p>
              </w:tc>
              <w:tc>
                <w:tcPr>
                  <w:tcW w:w="3333" w:type="pct"/>
                  <w:vAlign w:val="center"/>
                </w:tcPr>
                <w:p w14:paraId="00BB31FB" w14:textId="77777777" w:rsidR="006B24A7" w:rsidRPr="007029F1" w:rsidRDefault="006B24A7" w:rsidP="00453A36">
                  <w:pPr>
                    <w:pStyle w:val="TableBodyText"/>
                    <w:jc w:val="left"/>
                  </w:pPr>
                  <w:r>
                    <w:t>Textiles, Clothing and footwear</w:t>
                  </w:r>
                </w:p>
              </w:tc>
              <w:tc>
                <w:tcPr>
                  <w:tcW w:w="1213" w:type="pct"/>
                </w:tcPr>
                <w:p w14:paraId="00BB31FC" w14:textId="77777777" w:rsidR="006B24A7" w:rsidRDefault="006B24A7" w:rsidP="00453A36">
                  <w:pPr>
                    <w:pStyle w:val="TableBodyText"/>
                  </w:pPr>
                  <w:r>
                    <w:t>1301</w:t>
                  </w:r>
                  <w:r>
                    <w:noBreakHyphen/>
                    <w:t>06</w:t>
                  </w:r>
                </w:p>
              </w:tc>
            </w:tr>
            <w:tr w:rsidR="006B24A7" w14:paraId="00BB3207" w14:textId="77777777" w:rsidTr="00D46F34">
              <w:tc>
                <w:tcPr>
                  <w:tcW w:w="454" w:type="pct"/>
                  <w:vAlign w:val="bottom"/>
                </w:tcPr>
                <w:p w14:paraId="00BB3201" w14:textId="77777777" w:rsidR="006B24A7" w:rsidRPr="006F1364" w:rsidRDefault="006B24A7" w:rsidP="00453A36">
                  <w:pPr>
                    <w:pStyle w:val="TableBodyText"/>
                    <w:jc w:val="left"/>
                  </w:pPr>
                  <w:r w:rsidRPr="006F1364">
                    <w:t>22</w:t>
                  </w:r>
                </w:p>
              </w:tc>
              <w:tc>
                <w:tcPr>
                  <w:tcW w:w="3333" w:type="pct"/>
                  <w:vAlign w:val="center"/>
                </w:tcPr>
                <w:p w14:paraId="00BB3202" w14:textId="77777777" w:rsidR="006B24A7" w:rsidRPr="007029F1" w:rsidRDefault="006B24A7" w:rsidP="00453A36">
                  <w:pPr>
                    <w:pStyle w:val="TableBodyText"/>
                    <w:jc w:val="left"/>
                  </w:pPr>
                  <w:r>
                    <w:t>Sawmill and other wood products</w:t>
                  </w:r>
                </w:p>
              </w:tc>
              <w:tc>
                <w:tcPr>
                  <w:tcW w:w="1213" w:type="pct"/>
                </w:tcPr>
                <w:p w14:paraId="00BB3203" w14:textId="77777777" w:rsidR="006B24A7" w:rsidRDefault="006B24A7" w:rsidP="00453A36">
                  <w:pPr>
                    <w:pStyle w:val="TableBodyText"/>
                  </w:pPr>
                  <w:r>
                    <w:t>1401, 1402</w:t>
                  </w:r>
                </w:p>
              </w:tc>
            </w:tr>
            <w:tr w:rsidR="006B24A7" w14:paraId="00BB320E" w14:textId="77777777" w:rsidTr="00D46F34">
              <w:tc>
                <w:tcPr>
                  <w:tcW w:w="454" w:type="pct"/>
                  <w:vAlign w:val="bottom"/>
                </w:tcPr>
                <w:p w14:paraId="00BB3208" w14:textId="77777777" w:rsidR="006B24A7" w:rsidRPr="006F1364" w:rsidRDefault="006B24A7" w:rsidP="00453A36">
                  <w:pPr>
                    <w:pStyle w:val="TableBodyText"/>
                    <w:jc w:val="left"/>
                  </w:pPr>
                  <w:r w:rsidRPr="006F1364">
                    <w:t>23</w:t>
                  </w:r>
                </w:p>
              </w:tc>
              <w:tc>
                <w:tcPr>
                  <w:tcW w:w="3333" w:type="pct"/>
                  <w:vAlign w:val="center"/>
                </w:tcPr>
                <w:p w14:paraId="00BB3209" w14:textId="77777777" w:rsidR="006B24A7" w:rsidRPr="007029F1" w:rsidRDefault="006B24A7" w:rsidP="00453A36">
                  <w:pPr>
                    <w:pStyle w:val="TableBodyText"/>
                    <w:jc w:val="left"/>
                  </w:pPr>
                  <w:r>
                    <w:t>Pulp, paper and paper products</w:t>
                  </w:r>
                </w:p>
              </w:tc>
              <w:tc>
                <w:tcPr>
                  <w:tcW w:w="1213" w:type="pct"/>
                </w:tcPr>
                <w:p w14:paraId="00BB320A" w14:textId="77777777" w:rsidR="006B24A7" w:rsidRDefault="006B24A7" w:rsidP="00453A36">
                  <w:pPr>
                    <w:pStyle w:val="TableBodyText"/>
                  </w:pPr>
                  <w:r>
                    <w:t>1501, 1502</w:t>
                  </w:r>
                </w:p>
              </w:tc>
            </w:tr>
            <w:tr w:rsidR="006B24A7" w14:paraId="00BB3215" w14:textId="77777777" w:rsidTr="00D46F34">
              <w:tc>
                <w:tcPr>
                  <w:tcW w:w="454" w:type="pct"/>
                  <w:vAlign w:val="bottom"/>
                </w:tcPr>
                <w:p w14:paraId="00BB320F" w14:textId="77777777" w:rsidR="006B24A7" w:rsidRPr="006F1364" w:rsidRDefault="006B24A7" w:rsidP="00453A36">
                  <w:pPr>
                    <w:pStyle w:val="TableBodyText"/>
                    <w:jc w:val="left"/>
                  </w:pPr>
                  <w:r w:rsidRPr="006F1364">
                    <w:t>24</w:t>
                  </w:r>
                </w:p>
              </w:tc>
              <w:tc>
                <w:tcPr>
                  <w:tcW w:w="3333" w:type="pct"/>
                  <w:vAlign w:val="center"/>
                </w:tcPr>
                <w:p w14:paraId="00BB3210" w14:textId="77777777" w:rsidR="006B24A7" w:rsidRPr="007029F1" w:rsidRDefault="006B24A7" w:rsidP="00453A36">
                  <w:pPr>
                    <w:pStyle w:val="TableBodyText"/>
                    <w:jc w:val="left"/>
                  </w:pPr>
                  <w:r>
                    <w:t>Printing and recorded media</w:t>
                  </w:r>
                </w:p>
              </w:tc>
              <w:tc>
                <w:tcPr>
                  <w:tcW w:w="1213" w:type="pct"/>
                </w:tcPr>
                <w:p w14:paraId="00BB3211" w14:textId="77777777" w:rsidR="006B24A7" w:rsidRDefault="006B24A7" w:rsidP="00453A36">
                  <w:pPr>
                    <w:pStyle w:val="TableBodyText"/>
                  </w:pPr>
                  <w:r>
                    <w:t>1601</w:t>
                  </w:r>
                </w:p>
              </w:tc>
            </w:tr>
            <w:tr w:rsidR="006B24A7" w14:paraId="00BB321C" w14:textId="77777777" w:rsidTr="00D46F34">
              <w:tc>
                <w:tcPr>
                  <w:tcW w:w="454" w:type="pct"/>
                  <w:vAlign w:val="bottom"/>
                </w:tcPr>
                <w:p w14:paraId="00BB3216" w14:textId="77777777" w:rsidR="006B24A7" w:rsidRPr="006F1364" w:rsidRDefault="006B24A7" w:rsidP="00453A36">
                  <w:pPr>
                    <w:pStyle w:val="TableBodyText"/>
                    <w:jc w:val="left"/>
                  </w:pPr>
                  <w:r w:rsidRPr="006F1364">
                    <w:t>25</w:t>
                  </w:r>
                </w:p>
              </w:tc>
              <w:tc>
                <w:tcPr>
                  <w:tcW w:w="3333" w:type="pct"/>
                  <w:vAlign w:val="center"/>
                </w:tcPr>
                <w:p w14:paraId="00BB3217" w14:textId="77777777" w:rsidR="006B24A7" w:rsidRPr="007029F1" w:rsidRDefault="006B24A7" w:rsidP="00453A36">
                  <w:pPr>
                    <w:pStyle w:val="TableBodyText"/>
                    <w:jc w:val="left"/>
                  </w:pPr>
                  <w:r>
                    <w:t>Petroleum and coal products</w:t>
                  </w:r>
                </w:p>
              </w:tc>
              <w:tc>
                <w:tcPr>
                  <w:tcW w:w="1213" w:type="pct"/>
                </w:tcPr>
                <w:p w14:paraId="00BB3218" w14:textId="77777777" w:rsidR="006B24A7" w:rsidRDefault="006B24A7" w:rsidP="00453A36">
                  <w:pPr>
                    <w:pStyle w:val="TableBodyText"/>
                  </w:pPr>
                  <w:r>
                    <w:t>1701</w:t>
                  </w:r>
                </w:p>
              </w:tc>
            </w:tr>
            <w:tr w:rsidR="006B24A7" w14:paraId="00BB3223" w14:textId="77777777" w:rsidTr="00D46F34">
              <w:tc>
                <w:tcPr>
                  <w:tcW w:w="454" w:type="pct"/>
                  <w:vAlign w:val="bottom"/>
                </w:tcPr>
                <w:p w14:paraId="00BB321D" w14:textId="77777777" w:rsidR="006B24A7" w:rsidRPr="006F1364" w:rsidRDefault="006B24A7" w:rsidP="00453A36">
                  <w:pPr>
                    <w:pStyle w:val="TableBodyText"/>
                    <w:jc w:val="left"/>
                  </w:pPr>
                  <w:r w:rsidRPr="006F1364">
                    <w:t>26</w:t>
                  </w:r>
                </w:p>
              </w:tc>
              <w:tc>
                <w:tcPr>
                  <w:tcW w:w="3333" w:type="pct"/>
                  <w:vAlign w:val="center"/>
                </w:tcPr>
                <w:p w14:paraId="00BB321E" w14:textId="77777777" w:rsidR="006B24A7" w:rsidRPr="007029F1" w:rsidRDefault="006B24A7" w:rsidP="00453A36">
                  <w:pPr>
                    <w:pStyle w:val="TableBodyText"/>
                    <w:jc w:val="left"/>
                  </w:pPr>
                  <w:r>
                    <w:t>Basic chemicals and products</w:t>
                  </w:r>
                </w:p>
              </w:tc>
              <w:tc>
                <w:tcPr>
                  <w:tcW w:w="1213" w:type="pct"/>
                </w:tcPr>
                <w:p w14:paraId="00BB321F" w14:textId="77777777" w:rsidR="006B24A7" w:rsidRDefault="006B24A7" w:rsidP="00453A36">
                  <w:pPr>
                    <w:pStyle w:val="TableBodyText"/>
                  </w:pPr>
                  <w:r>
                    <w:t>1801</w:t>
                  </w:r>
                  <w:r>
                    <w:noBreakHyphen/>
                    <w:t>04</w:t>
                  </w:r>
                </w:p>
              </w:tc>
            </w:tr>
            <w:tr w:rsidR="006B24A7" w14:paraId="00BB322A" w14:textId="77777777" w:rsidTr="00D46F34">
              <w:tc>
                <w:tcPr>
                  <w:tcW w:w="454" w:type="pct"/>
                  <w:vAlign w:val="bottom"/>
                </w:tcPr>
                <w:p w14:paraId="00BB3224" w14:textId="77777777" w:rsidR="006B24A7" w:rsidRPr="006F1364" w:rsidRDefault="006B24A7" w:rsidP="00453A36">
                  <w:pPr>
                    <w:pStyle w:val="TableBodyText"/>
                    <w:jc w:val="left"/>
                  </w:pPr>
                  <w:r w:rsidRPr="006F1364">
                    <w:t>27</w:t>
                  </w:r>
                </w:p>
              </w:tc>
              <w:tc>
                <w:tcPr>
                  <w:tcW w:w="3333" w:type="pct"/>
                  <w:vAlign w:val="center"/>
                </w:tcPr>
                <w:p w14:paraId="00BB3225" w14:textId="77777777" w:rsidR="006B24A7" w:rsidRPr="007029F1" w:rsidRDefault="006B24A7" w:rsidP="00453A36">
                  <w:pPr>
                    <w:pStyle w:val="TableBodyText"/>
                    <w:jc w:val="left"/>
                  </w:pPr>
                  <w:r>
                    <w:t>Polymer and rubber products</w:t>
                  </w:r>
                </w:p>
              </w:tc>
              <w:tc>
                <w:tcPr>
                  <w:tcW w:w="1213" w:type="pct"/>
                </w:tcPr>
                <w:p w14:paraId="00BB3226" w14:textId="77777777" w:rsidR="006B24A7" w:rsidRDefault="006B24A7" w:rsidP="00453A36">
                  <w:pPr>
                    <w:pStyle w:val="TableBodyText"/>
                  </w:pPr>
                  <w:r>
                    <w:t>1901</w:t>
                  </w:r>
                  <w:r>
                    <w:noBreakHyphen/>
                    <w:t>2004</w:t>
                  </w:r>
                </w:p>
              </w:tc>
            </w:tr>
            <w:tr w:rsidR="006B24A7" w14:paraId="00BB3231" w14:textId="77777777" w:rsidTr="00D46F34">
              <w:tc>
                <w:tcPr>
                  <w:tcW w:w="454" w:type="pct"/>
                  <w:vAlign w:val="bottom"/>
                </w:tcPr>
                <w:p w14:paraId="00BB322B" w14:textId="77777777" w:rsidR="006B24A7" w:rsidRPr="006F1364" w:rsidRDefault="006B24A7" w:rsidP="00453A36">
                  <w:pPr>
                    <w:pStyle w:val="TableBodyText"/>
                    <w:jc w:val="left"/>
                  </w:pPr>
                  <w:r w:rsidRPr="006F1364">
                    <w:t>28</w:t>
                  </w:r>
                </w:p>
              </w:tc>
              <w:tc>
                <w:tcPr>
                  <w:tcW w:w="3333" w:type="pct"/>
                  <w:vAlign w:val="center"/>
                </w:tcPr>
                <w:p w14:paraId="00BB322C" w14:textId="77777777" w:rsidR="006B24A7" w:rsidRPr="007029F1" w:rsidRDefault="006B24A7" w:rsidP="00453A36">
                  <w:pPr>
                    <w:pStyle w:val="TableBodyText"/>
                    <w:jc w:val="left"/>
                  </w:pPr>
                  <w:r>
                    <w:t>Non</w:t>
                  </w:r>
                  <w:r>
                    <w:noBreakHyphen/>
                    <w:t>metallic mineral products</w:t>
                  </w:r>
                </w:p>
              </w:tc>
              <w:tc>
                <w:tcPr>
                  <w:tcW w:w="1213" w:type="pct"/>
                </w:tcPr>
                <w:p w14:paraId="00BB322D" w14:textId="77777777" w:rsidR="006B24A7" w:rsidRDefault="006B24A7" w:rsidP="00453A36">
                  <w:pPr>
                    <w:pStyle w:val="TableBodyText"/>
                  </w:pPr>
                  <w:r>
                    <w:t>2001</w:t>
                  </w:r>
                  <w:r>
                    <w:noBreakHyphen/>
                    <w:t>05 (not 03)</w:t>
                  </w:r>
                </w:p>
              </w:tc>
            </w:tr>
            <w:tr w:rsidR="006B24A7" w14:paraId="00BB3238" w14:textId="77777777" w:rsidTr="00D46F34">
              <w:tc>
                <w:tcPr>
                  <w:tcW w:w="454" w:type="pct"/>
                  <w:vAlign w:val="bottom"/>
                </w:tcPr>
                <w:p w14:paraId="00BB3232" w14:textId="77777777" w:rsidR="006B24A7" w:rsidRPr="006F1364" w:rsidRDefault="006B24A7" w:rsidP="00453A36">
                  <w:pPr>
                    <w:pStyle w:val="TableBodyText"/>
                    <w:jc w:val="left"/>
                  </w:pPr>
                  <w:r w:rsidRPr="006F1364">
                    <w:t>29</w:t>
                  </w:r>
                </w:p>
              </w:tc>
              <w:tc>
                <w:tcPr>
                  <w:tcW w:w="3333" w:type="pct"/>
                  <w:vAlign w:val="center"/>
                </w:tcPr>
                <w:p w14:paraId="00BB3233" w14:textId="77777777" w:rsidR="006B24A7" w:rsidRPr="007029F1" w:rsidRDefault="006B24A7" w:rsidP="00453A36">
                  <w:pPr>
                    <w:pStyle w:val="TableBodyText"/>
                    <w:jc w:val="left"/>
                  </w:pPr>
                  <w:r>
                    <w:t>Cement, lime and concrete</w:t>
                  </w:r>
                </w:p>
              </w:tc>
              <w:tc>
                <w:tcPr>
                  <w:tcW w:w="1213" w:type="pct"/>
                </w:tcPr>
                <w:p w14:paraId="00BB3234" w14:textId="77777777" w:rsidR="006B24A7" w:rsidRDefault="006B24A7" w:rsidP="00453A36">
                  <w:pPr>
                    <w:pStyle w:val="TableBodyText"/>
                  </w:pPr>
                  <w:r>
                    <w:t>2003</w:t>
                  </w:r>
                </w:p>
              </w:tc>
            </w:tr>
            <w:tr w:rsidR="006B24A7" w14:paraId="00BB323F" w14:textId="77777777" w:rsidTr="00D46F34">
              <w:tc>
                <w:tcPr>
                  <w:tcW w:w="454" w:type="pct"/>
                  <w:vAlign w:val="bottom"/>
                </w:tcPr>
                <w:p w14:paraId="00BB3239" w14:textId="77777777" w:rsidR="006B24A7" w:rsidRPr="006F1364" w:rsidRDefault="006B24A7" w:rsidP="00453A36">
                  <w:pPr>
                    <w:pStyle w:val="TableBodyText"/>
                    <w:jc w:val="left"/>
                  </w:pPr>
                  <w:r w:rsidRPr="006F1364">
                    <w:t>30</w:t>
                  </w:r>
                </w:p>
              </w:tc>
              <w:tc>
                <w:tcPr>
                  <w:tcW w:w="3333" w:type="pct"/>
                  <w:vAlign w:val="center"/>
                </w:tcPr>
                <w:p w14:paraId="00BB323A" w14:textId="77777777" w:rsidR="006B24A7" w:rsidRPr="007029F1" w:rsidRDefault="006B24A7" w:rsidP="00453A36">
                  <w:pPr>
                    <w:pStyle w:val="TableBodyText"/>
                    <w:jc w:val="left"/>
                  </w:pPr>
                  <w:r>
                    <w:t>Iron and steel</w:t>
                  </w:r>
                </w:p>
              </w:tc>
              <w:tc>
                <w:tcPr>
                  <w:tcW w:w="1213" w:type="pct"/>
                </w:tcPr>
                <w:p w14:paraId="00BB323B" w14:textId="77777777" w:rsidR="006B24A7" w:rsidRDefault="006B24A7" w:rsidP="00453A36">
                  <w:pPr>
                    <w:pStyle w:val="TableBodyText"/>
                  </w:pPr>
                  <w:r>
                    <w:t>2101</w:t>
                  </w:r>
                </w:p>
              </w:tc>
            </w:tr>
            <w:tr w:rsidR="006B24A7" w14:paraId="00BB3246" w14:textId="77777777" w:rsidTr="00D46F34">
              <w:tc>
                <w:tcPr>
                  <w:tcW w:w="454" w:type="pct"/>
                  <w:vAlign w:val="bottom"/>
                </w:tcPr>
                <w:p w14:paraId="00BB3240" w14:textId="77777777" w:rsidR="006B24A7" w:rsidRPr="006F1364" w:rsidRDefault="006B24A7" w:rsidP="00453A36">
                  <w:pPr>
                    <w:pStyle w:val="TableBodyText"/>
                    <w:jc w:val="left"/>
                  </w:pPr>
                  <w:r w:rsidRPr="006F1364">
                    <w:t>31</w:t>
                  </w:r>
                </w:p>
              </w:tc>
              <w:tc>
                <w:tcPr>
                  <w:tcW w:w="3333" w:type="pct"/>
                  <w:vAlign w:val="center"/>
                </w:tcPr>
                <w:p w14:paraId="00BB3241" w14:textId="77777777" w:rsidR="006B24A7" w:rsidRPr="007029F1" w:rsidRDefault="006B24A7" w:rsidP="00453A36">
                  <w:pPr>
                    <w:pStyle w:val="TableBodyText"/>
                    <w:jc w:val="left"/>
                  </w:pPr>
                  <w:r>
                    <w:t>Alumina</w:t>
                  </w:r>
                </w:p>
              </w:tc>
              <w:tc>
                <w:tcPr>
                  <w:tcW w:w="1213" w:type="pct"/>
                </w:tcPr>
                <w:p w14:paraId="00BB3242" w14:textId="77777777" w:rsidR="006B24A7" w:rsidRDefault="006B24A7" w:rsidP="00453A36">
                  <w:pPr>
                    <w:pStyle w:val="TableBodyText"/>
                  </w:pPr>
                  <w:r>
                    <w:t>2102 (part)</w:t>
                  </w:r>
                </w:p>
              </w:tc>
            </w:tr>
            <w:tr w:rsidR="006B24A7" w14:paraId="00BB324D" w14:textId="77777777" w:rsidTr="00D46F34">
              <w:tc>
                <w:tcPr>
                  <w:tcW w:w="454" w:type="pct"/>
                  <w:vAlign w:val="bottom"/>
                </w:tcPr>
                <w:p w14:paraId="00BB3247" w14:textId="77777777" w:rsidR="006B24A7" w:rsidRPr="006F1364" w:rsidRDefault="006B24A7" w:rsidP="00453A36">
                  <w:pPr>
                    <w:pStyle w:val="TableBodyText"/>
                    <w:jc w:val="left"/>
                  </w:pPr>
                  <w:r w:rsidRPr="006F1364">
                    <w:t>32</w:t>
                  </w:r>
                </w:p>
              </w:tc>
              <w:tc>
                <w:tcPr>
                  <w:tcW w:w="3333" w:type="pct"/>
                  <w:vAlign w:val="center"/>
                </w:tcPr>
                <w:p w14:paraId="00BB3248" w14:textId="77777777" w:rsidR="006B24A7" w:rsidRPr="007029F1" w:rsidRDefault="006B24A7" w:rsidP="00453A36">
                  <w:pPr>
                    <w:pStyle w:val="TableBodyText"/>
                    <w:jc w:val="left"/>
                  </w:pPr>
                  <w:r>
                    <w:t>Aluminium</w:t>
                  </w:r>
                </w:p>
              </w:tc>
              <w:tc>
                <w:tcPr>
                  <w:tcW w:w="1213" w:type="pct"/>
                </w:tcPr>
                <w:p w14:paraId="00BB3249" w14:textId="77777777" w:rsidR="006B24A7" w:rsidRDefault="006B24A7" w:rsidP="00453A36">
                  <w:pPr>
                    <w:pStyle w:val="TableBodyText"/>
                  </w:pPr>
                  <w:r>
                    <w:t>2102 (part)</w:t>
                  </w:r>
                </w:p>
              </w:tc>
            </w:tr>
            <w:tr w:rsidR="006B24A7" w14:paraId="00BB3254" w14:textId="77777777" w:rsidTr="00D46F34">
              <w:tc>
                <w:tcPr>
                  <w:tcW w:w="454" w:type="pct"/>
                  <w:vAlign w:val="bottom"/>
                </w:tcPr>
                <w:p w14:paraId="00BB324E" w14:textId="77777777" w:rsidR="006B24A7" w:rsidRPr="006F1364" w:rsidRDefault="006B24A7" w:rsidP="00453A36">
                  <w:pPr>
                    <w:pStyle w:val="TableBodyText"/>
                    <w:jc w:val="left"/>
                  </w:pPr>
                  <w:r w:rsidRPr="006F1364">
                    <w:t>33</w:t>
                  </w:r>
                </w:p>
              </w:tc>
              <w:tc>
                <w:tcPr>
                  <w:tcW w:w="3333" w:type="pct"/>
                  <w:vAlign w:val="center"/>
                </w:tcPr>
                <w:p w14:paraId="00BB324F" w14:textId="77777777" w:rsidR="006B24A7" w:rsidRPr="007029F1" w:rsidRDefault="006B24A7" w:rsidP="00453A36">
                  <w:pPr>
                    <w:pStyle w:val="TableBodyText"/>
                    <w:jc w:val="left"/>
                  </w:pPr>
                  <w:r>
                    <w:t>Other non</w:t>
                  </w:r>
                  <w:r>
                    <w:noBreakHyphen/>
                    <w:t>ferrous metals</w:t>
                  </w:r>
                </w:p>
              </w:tc>
              <w:tc>
                <w:tcPr>
                  <w:tcW w:w="1213" w:type="pct"/>
                </w:tcPr>
                <w:p w14:paraId="00BB3250" w14:textId="77777777" w:rsidR="006B24A7" w:rsidRDefault="006B24A7" w:rsidP="00453A36">
                  <w:pPr>
                    <w:pStyle w:val="TableBodyText"/>
                  </w:pPr>
                  <w:r>
                    <w:t>2102 (part)</w:t>
                  </w:r>
                </w:p>
              </w:tc>
            </w:tr>
            <w:tr w:rsidR="006B24A7" w14:paraId="00BB325B" w14:textId="77777777" w:rsidTr="00D46F34">
              <w:tc>
                <w:tcPr>
                  <w:tcW w:w="454" w:type="pct"/>
                  <w:vAlign w:val="bottom"/>
                </w:tcPr>
                <w:p w14:paraId="00BB3255" w14:textId="77777777" w:rsidR="006B24A7" w:rsidRPr="006F1364" w:rsidRDefault="006B24A7" w:rsidP="00453A36">
                  <w:pPr>
                    <w:pStyle w:val="TableBodyText"/>
                    <w:jc w:val="left"/>
                  </w:pPr>
                  <w:r w:rsidRPr="006F1364">
                    <w:t>34</w:t>
                  </w:r>
                </w:p>
              </w:tc>
              <w:tc>
                <w:tcPr>
                  <w:tcW w:w="3333" w:type="pct"/>
                  <w:vAlign w:val="center"/>
                </w:tcPr>
                <w:p w14:paraId="00BB3256" w14:textId="77777777" w:rsidR="006B24A7" w:rsidRPr="007029F1" w:rsidRDefault="006B24A7" w:rsidP="00453A36">
                  <w:pPr>
                    <w:pStyle w:val="TableBodyText"/>
                    <w:jc w:val="left"/>
                  </w:pPr>
                  <w:r>
                    <w:t>Metal products</w:t>
                  </w:r>
                </w:p>
              </w:tc>
              <w:tc>
                <w:tcPr>
                  <w:tcW w:w="1213" w:type="pct"/>
                </w:tcPr>
                <w:p w14:paraId="00BB3257" w14:textId="77777777" w:rsidR="006B24A7" w:rsidRDefault="006B24A7" w:rsidP="00453A36">
                  <w:pPr>
                    <w:pStyle w:val="TableBodyText"/>
                  </w:pPr>
                  <w:r>
                    <w:t>2201</w:t>
                  </w:r>
                  <w:r>
                    <w:noBreakHyphen/>
                    <w:t>04</w:t>
                  </w:r>
                </w:p>
              </w:tc>
            </w:tr>
            <w:tr w:rsidR="006B24A7" w14:paraId="00BB3262" w14:textId="77777777" w:rsidTr="00D46F34">
              <w:tc>
                <w:tcPr>
                  <w:tcW w:w="454" w:type="pct"/>
                  <w:vAlign w:val="bottom"/>
                </w:tcPr>
                <w:p w14:paraId="00BB325C" w14:textId="77777777" w:rsidR="006B24A7" w:rsidRPr="006F1364" w:rsidRDefault="006B24A7" w:rsidP="00453A36">
                  <w:pPr>
                    <w:pStyle w:val="TableBodyText"/>
                    <w:jc w:val="left"/>
                  </w:pPr>
                  <w:r w:rsidRPr="006F1364">
                    <w:t>35</w:t>
                  </w:r>
                </w:p>
              </w:tc>
              <w:tc>
                <w:tcPr>
                  <w:tcW w:w="3333" w:type="pct"/>
                  <w:vAlign w:val="center"/>
                </w:tcPr>
                <w:p w14:paraId="00BB325D" w14:textId="77777777" w:rsidR="006B24A7" w:rsidRPr="007029F1" w:rsidRDefault="006B24A7" w:rsidP="00453A36">
                  <w:pPr>
                    <w:pStyle w:val="TableBodyText"/>
                    <w:jc w:val="left"/>
                  </w:pPr>
                  <w:r>
                    <w:t>Motor vehicles and parts</w:t>
                  </w:r>
                </w:p>
              </w:tc>
              <w:tc>
                <w:tcPr>
                  <w:tcW w:w="1213" w:type="pct"/>
                </w:tcPr>
                <w:p w14:paraId="00BB325E" w14:textId="77777777" w:rsidR="006B24A7" w:rsidRDefault="006B24A7" w:rsidP="00453A36">
                  <w:pPr>
                    <w:pStyle w:val="TableBodyText"/>
                  </w:pPr>
                  <w:r>
                    <w:t>2301</w:t>
                  </w:r>
                </w:p>
              </w:tc>
            </w:tr>
            <w:tr w:rsidR="006B24A7" w14:paraId="00BB3269" w14:textId="77777777" w:rsidTr="00D46F34">
              <w:tc>
                <w:tcPr>
                  <w:tcW w:w="454" w:type="pct"/>
                  <w:vAlign w:val="bottom"/>
                </w:tcPr>
                <w:p w14:paraId="00BB3263" w14:textId="77777777" w:rsidR="006B24A7" w:rsidRPr="006F1364" w:rsidRDefault="006B24A7" w:rsidP="00453A36">
                  <w:pPr>
                    <w:pStyle w:val="TableBodyText"/>
                    <w:jc w:val="left"/>
                  </w:pPr>
                  <w:r w:rsidRPr="006F1364">
                    <w:t>36</w:t>
                  </w:r>
                </w:p>
              </w:tc>
              <w:tc>
                <w:tcPr>
                  <w:tcW w:w="3333" w:type="pct"/>
                  <w:vAlign w:val="center"/>
                </w:tcPr>
                <w:p w14:paraId="00BB3264" w14:textId="77777777" w:rsidR="006B24A7" w:rsidRPr="007029F1" w:rsidRDefault="006B24A7" w:rsidP="00453A36">
                  <w:pPr>
                    <w:pStyle w:val="TableBodyText"/>
                    <w:jc w:val="left"/>
                  </w:pPr>
                  <w:r>
                    <w:t>Other equipment</w:t>
                  </w:r>
                </w:p>
              </w:tc>
              <w:tc>
                <w:tcPr>
                  <w:tcW w:w="1213" w:type="pct"/>
                </w:tcPr>
                <w:p w14:paraId="00BB3265" w14:textId="77777777" w:rsidR="006B24A7" w:rsidRDefault="006B24A7" w:rsidP="00453A36">
                  <w:pPr>
                    <w:pStyle w:val="TableBodyText"/>
                  </w:pPr>
                  <w:r>
                    <w:t>2302</w:t>
                  </w:r>
                  <w:r>
                    <w:noBreakHyphen/>
                    <w:t>2405</w:t>
                  </w:r>
                </w:p>
              </w:tc>
            </w:tr>
            <w:tr w:rsidR="006B24A7" w14:paraId="00BB3270" w14:textId="77777777" w:rsidTr="00D46F34">
              <w:tc>
                <w:tcPr>
                  <w:tcW w:w="454" w:type="pct"/>
                  <w:vAlign w:val="bottom"/>
                </w:tcPr>
                <w:p w14:paraId="00BB326A" w14:textId="77777777" w:rsidR="006B24A7" w:rsidRPr="006F1364" w:rsidRDefault="006B24A7" w:rsidP="00453A36">
                  <w:pPr>
                    <w:pStyle w:val="TableBodyText"/>
                    <w:jc w:val="left"/>
                  </w:pPr>
                  <w:r w:rsidRPr="006F1364">
                    <w:t>37</w:t>
                  </w:r>
                </w:p>
              </w:tc>
              <w:tc>
                <w:tcPr>
                  <w:tcW w:w="3333" w:type="pct"/>
                  <w:vAlign w:val="center"/>
                </w:tcPr>
                <w:p w14:paraId="00BB326B" w14:textId="77777777" w:rsidR="006B24A7" w:rsidRPr="007029F1" w:rsidRDefault="006B24A7" w:rsidP="00453A36">
                  <w:pPr>
                    <w:pStyle w:val="TableBodyText"/>
                    <w:jc w:val="left"/>
                  </w:pPr>
                  <w:r>
                    <w:t>Furniture and other manufactured products</w:t>
                  </w:r>
                </w:p>
              </w:tc>
              <w:tc>
                <w:tcPr>
                  <w:tcW w:w="1213" w:type="pct"/>
                </w:tcPr>
                <w:p w14:paraId="00BB326C" w14:textId="77777777" w:rsidR="006B24A7" w:rsidRDefault="006B24A7" w:rsidP="00453A36">
                  <w:pPr>
                    <w:pStyle w:val="TableBodyText"/>
                  </w:pPr>
                  <w:r>
                    <w:t>2501, 2502</w:t>
                  </w:r>
                </w:p>
              </w:tc>
            </w:tr>
            <w:tr w:rsidR="006B24A7" w14:paraId="00BB3277" w14:textId="77777777" w:rsidTr="00D46F34">
              <w:tc>
                <w:tcPr>
                  <w:tcW w:w="454" w:type="pct"/>
                  <w:vAlign w:val="bottom"/>
                </w:tcPr>
                <w:p w14:paraId="00BB3271" w14:textId="77777777" w:rsidR="006B24A7" w:rsidRPr="006F1364" w:rsidRDefault="006B24A7" w:rsidP="00453A36">
                  <w:pPr>
                    <w:pStyle w:val="TableBodyText"/>
                    <w:jc w:val="left"/>
                  </w:pPr>
                  <w:r w:rsidRPr="006F1364">
                    <w:t>38</w:t>
                  </w:r>
                </w:p>
              </w:tc>
              <w:tc>
                <w:tcPr>
                  <w:tcW w:w="3333" w:type="pct"/>
                  <w:vAlign w:val="center"/>
                </w:tcPr>
                <w:p w14:paraId="00BB3272" w14:textId="77777777" w:rsidR="006B24A7" w:rsidRPr="007029F1" w:rsidRDefault="006B24A7" w:rsidP="00453A36">
                  <w:pPr>
                    <w:pStyle w:val="TableBodyText"/>
                    <w:jc w:val="left"/>
                  </w:pPr>
                  <w:r>
                    <w:t>Electricity generation from coal</w:t>
                  </w:r>
                </w:p>
              </w:tc>
              <w:tc>
                <w:tcPr>
                  <w:tcW w:w="1213" w:type="pct"/>
                </w:tcPr>
                <w:p w14:paraId="00BB3273" w14:textId="77777777" w:rsidR="006B24A7" w:rsidRDefault="006B24A7" w:rsidP="00453A36">
                  <w:pPr>
                    <w:pStyle w:val="TableBodyText"/>
                  </w:pPr>
                  <w:r>
                    <w:t>2601 (part)</w:t>
                  </w:r>
                </w:p>
              </w:tc>
            </w:tr>
            <w:tr w:rsidR="006B24A7" w14:paraId="00BB327E" w14:textId="77777777" w:rsidTr="00D46F34">
              <w:tc>
                <w:tcPr>
                  <w:tcW w:w="454" w:type="pct"/>
                  <w:vAlign w:val="bottom"/>
                </w:tcPr>
                <w:p w14:paraId="00BB3278" w14:textId="77777777" w:rsidR="006B24A7" w:rsidRPr="006F1364" w:rsidRDefault="006B24A7" w:rsidP="00453A36">
                  <w:pPr>
                    <w:pStyle w:val="TableBodyText"/>
                    <w:jc w:val="left"/>
                  </w:pPr>
                  <w:r w:rsidRPr="006F1364">
                    <w:t>39</w:t>
                  </w:r>
                </w:p>
              </w:tc>
              <w:tc>
                <w:tcPr>
                  <w:tcW w:w="3333" w:type="pct"/>
                  <w:vAlign w:val="center"/>
                </w:tcPr>
                <w:p w14:paraId="00BB3279" w14:textId="77777777" w:rsidR="006B24A7" w:rsidRPr="007029F1" w:rsidRDefault="006B24A7" w:rsidP="00453A36">
                  <w:pPr>
                    <w:pStyle w:val="TableBodyText"/>
                    <w:jc w:val="left"/>
                  </w:pPr>
                  <w:r>
                    <w:t>Electricity generation from gas</w:t>
                  </w:r>
                </w:p>
              </w:tc>
              <w:tc>
                <w:tcPr>
                  <w:tcW w:w="1213" w:type="pct"/>
                </w:tcPr>
                <w:p w14:paraId="00BB327A" w14:textId="77777777" w:rsidR="006B24A7" w:rsidRDefault="006B24A7" w:rsidP="00453A36">
                  <w:pPr>
                    <w:pStyle w:val="TableBodyText"/>
                  </w:pPr>
                  <w:r>
                    <w:t>2601 (part)</w:t>
                  </w:r>
                </w:p>
              </w:tc>
            </w:tr>
            <w:tr w:rsidR="006B24A7" w14:paraId="00BB3285" w14:textId="77777777" w:rsidTr="00D46F34">
              <w:tc>
                <w:tcPr>
                  <w:tcW w:w="454" w:type="pct"/>
                  <w:tcBorders>
                    <w:bottom w:val="single" w:sz="6" w:space="0" w:color="BFBFBF"/>
                  </w:tcBorders>
                  <w:vAlign w:val="bottom"/>
                </w:tcPr>
                <w:p w14:paraId="00BB327F" w14:textId="77777777" w:rsidR="006B24A7" w:rsidRPr="006F1364" w:rsidRDefault="006B24A7" w:rsidP="00453A36">
                  <w:pPr>
                    <w:pStyle w:val="TableBodyText"/>
                    <w:jc w:val="left"/>
                  </w:pPr>
                  <w:r w:rsidRPr="006F1364">
                    <w:t>40</w:t>
                  </w:r>
                </w:p>
              </w:tc>
              <w:tc>
                <w:tcPr>
                  <w:tcW w:w="3333" w:type="pct"/>
                  <w:tcBorders>
                    <w:bottom w:val="single" w:sz="6" w:space="0" w:color="BFBFBF"/>
                  </w:tcBorders>
                  <w:vAlign w:val="center"/>
                </w:tcPr>
                <w:p w14:paraId="00BB3280" w14:textId="77777777" w:rsidR="006B24A7" w:rsidRPr="007029F1" w:rsidRDefault="006B24A7" w:rsidP="00453A36">
                  <w:pPr>
                    <w:pStyle w:val="TableBodyText"/>
                    <w:jc w:val="left"/>
                  </w:pPr>
                  <w:r>
                    <w:t>Electricity generation from hydro</w:t>
                  </w:r>
                </w:p>
              </w:tc>
              <w:tc>
                <w:tcPr>
                  <w:tcW w:w="1213" w:type="pct"/>
                  <w:tcBorders>
                    <w:bottom w:val="single" w:sz="6" w:space="0" w:color="BFBFBF"/>
                  </w:tcBorders>
                </w:tcPr>
                <w:p w14:paraId="00BB3281" w14:textId="77777777" w:rsidR="006B24A7" w:rsidRDefault="006B24A7" w:rsidP="00453A36">
                  <w:pPr>
                    <w:pStyle w:val="TableBodyText"/>
                  </w:pPr>
                  <w:r>
                    <w:t>2601 (part)</w:t>
                  </w:r>
                </w:p>
              </w:tc>
            </w:tr>
          </w:tbl>
          <w:p w14:paraId="00BB3286" w14:textId="77777777" w:rsidR="0034060E" w:rsidRDefault="0034060E" w:rsidP="00453A36">
            <w:pPr>
              <w:pStyle w:val="Box"/>
            </w:pPr>
          </w:p>
        </w:tc>
      </w:tr>
      <w:tr w:rsidR="0034060E" w14:paraId="00BB3289" w14:textId="77777777" w:rsidTr="00D46F34">
        <w:trPr>
          <w:cantSplit/>
        </w:trPr>
        <w:tc>
          <w:tcPr>
            <w:tcW w:w="8796" w:type="dxa"/>
            <w:tcBorders>
              <w:top w:val="nil"/>
              <w:left w:val="nil"/>
              <w:bottom w:val="single" w:sz="6" w:space="0" w:color="78A22F"/>
              <w:right w:val="nil"/>
            </w:tcBorders>
            <w:shd w:val="clear" w:color="auto" w:fill="auto"/>
          </w:tcPr>
          <w:p w14:paraId="00BB3288" w14:textId="77777777" w:rsidR="0034060E" w:rsidRDefault="0034060E" w:rsidP="00453A36">
            <w:pPr>
              <w:pStyle w:val="Box"/>
              <w:spacing w:before="0" w:line="120" w:lineRule="exact"/>
            </w:pPr>
          </w:p>
        </w:tc>
      </w:tr>
      <w:tr w:rsidR="0034060E" w:rsidRPr="000863A5" w14:paraId="00BB328B" w14:textId="77777777" w:rsidTr="00D46F34">
        <w:tc>
          <w:tcPr>
            <w:tcW w:w="8796" w:type="dxa"/>
            <w:tcBorders>
              <w:top w:val="single" w:sz="6" w:space="0" w:color="78A22F"/>
              <w:left w:val="nil"/>
              <w:bottom w:val="nil"/>
              <w:right w:val="nil"/>
            </w:tcBorders>
          </w:tcPr>
          <w:p w14:paraId="00BB328A" w14:textId="7C5118E4" w:rsidR="0034060E" w:rsidRPr="00626D32" w:rsidRDefault="0034060E" w:rsidP="00453A36">
            <w:pPr>
              <w:pStyle w:val="BoxSpaceBelow"/>
            </w:pPr>
          </w:p>
        </w:tc>
      </w:tr>
    </w:tbl>
    <w:p w14:paraId="00BB328C" w14:textId="77777777" w:rsidR="0034060E" w:rsidRPr="00192818" w:rsidRDefault="0034060E" w:rsidP="00453A36">
      <w:pPr>
        <w:pStyle w:val="Continued"/>
      </w:pPr>
      <w:r w:rsidRPr="00105CB8">
        <w:t xml:space="preserve"> </w:t>
      </w:r>
      <w:r w:rsidRPr="00192818">
        <w:t>(c</w:t>
      </w:r>
      <w:r w:rsidRPr="00723237">
        <w:t>ontinued next page)</w:t>
      </w:r>
    </w:p>
    <w:p w14:paraId="00BB328D" w14:textId="77777777" w:rsidR="0034060E" w:rsidRDefault="0034060E" w:rsidP="00453A36">
      <w:pPr>
        <w:rPr>
          <w:b/>
        </w:rPr>
      </w:pPr>
      <w:r>
        <w:rPr>
          <w:b/>
        </w:rPr>
        <w:br w:type="page"/>
      </w:r>
    </w:p>
    <w:p w14:paraId="00BB328E" w14:textId="4E34E008"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67"/>
      </w:tblGrid>
      <w:tr w:rsidR="0034060E" w14:paraId="00BB3290" w14:textId="77777777" w:rsidTr="00D46F34">
        <w:tc>
          <w:tcPr>
            <w:tcW w:w="8767" w:type="dxa"/>
            <w:tcBorders>
              <w:top w:val="single" w:sz="6" w:space="0" w:color="78A22F"/>
              <w:left w:val="nil"/>
              <w:bottom w:val="nil"/>
              <w:right w:val="nil"/>
            </w:tcBorders>
            <w:shd w:val="clear" w:color="auto" w:fill="auto"/>
          </w:tcPr>
          <w:p w14:paraId="00BB328F" w14:textId="77777777" w:rsidR="0034060E" w:rsidRPr="00784A05" w:rsidRDefault="0034060E" w:rsidP="00453A36">
            <w:pPr>
              <w:pStyle w:val="TableTitle"/>
            </w:pPr>
            <w:r w:rsidRPr="004F0171">
              <w:rPr>
                <w:b w:val="0"/>
              </w:rPr>
              <w:t xml:space="preserve">Table </w:t>
            </w:r>
            <w:proofErr w:type="spellStart"/>
            <w:r w:rsidRPr="004F0171">
              <w:rPr>
                <w:b w:val="0"/>
              </w:rPr>
              <w:t>B.</w:t>
            </w:r>
            <w:r>
              <w:rPr>
                <w:b w:val="0"/>
              </w:rPr>
              <w:t>2</w:t>
            </w:r>
            <w:proofErr w:type="spellEnd"/>
            <w:r>
              <w:tab/>
            </w:r>
            <w:r w:rsidRPr="0019151F">
              <w:rPr>
                <w:b w:val="0"/>
                <w:sz w:val="18"/>
                <w:szCs w:val="18"/>
              </w:rPr>
              <w:t>(continued)</w:t>
            </w:r>
          </w:p>
        </w:tc>
      </w:tr>
      <w:tr w:rsidR="0034060E" w14:paraId="00BB33AA" w14:textId="77777777" w:rsidTr="00D46F34">
        <w:trPr>
          <w:cantSplit/>
        </w:trPr>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687"/>
              <w:gridCol w:w="5811"/>
              <w:gridCol w:w="1985"/>
            </w:tblGrid>
            <w:tr w:rsidR="006B24A7" w14:paraId="00BB3297" w14:textId="77777777" w:rsidTr="00D46F34">
              <w:tc>
                <w:tcPr>
                  <w:tcW w:w="405" w:type="pct"/>
                  <w:tcBorders>
                    <w:top w:val="single" w:sz="6" w:space="0" w:color="BFBFBF"/>
                    <w:bottom w:val="single" w:sz="6" w:space="0" w:color="BFBFBF"/>
                  </w:tcBorders>
                </w:tcPr>
                <w:p w14:paraId="00BB3291" w14:textId="77777777" w:rsidR="006B24A7" w:rsidRPr="00192818" w:rsidRDefault="006B24A7" w:rsidP="00453A36">
                  <w:pPr>
                    <w:pStyle w:val="TableColumnHeading"/>
                    <w:jc w:val="left"/>
                  </w:pPr>
                  <w:r w:rsidRPr="00192818">
                    <w:t>No.</w:t>
                  </w:r>
                </w:p>
              </w:tc>
              <w:tc>
                <w:tcPr>
                  <w:tcW w:w="3425" w:type="pct"/>
                  <w:tcBorders>
                    <w:top w:val="single" w:sz="6" w:space="0" w:color="BFBFBF"/>
                    <w:bottom w:val="single" w:sz="6" w:space="0" w:color="BFBFBF"/>
                  </w:tcBorders>
                </w:tcPr>
                <w:p w14:paraId="00BB3292" w14:textId="77777777" w:rsidR="006B24A7" w:rsidRPr="00723237" w:rsidRDefault="006B24A7" w:rsidP="00453A36">
                  <w:pPr>
                    <w:pStyle w:val="TableColumnHeading"/>
                    <w:jc w:val="left"/>
                  </w:pPr>
                  <w:proofErr w:type="spellStart"/>
                  <w:r w:rsidRPr="00723237">
                    <w:t>VUMR</w:t>
                  </w:r>
                  <w:proofErr w:type="spellEnd"/>
                  <w:r w:rsidRPr="00723237">
                    <w:t xml:space="preserve"> industry</w:t>
                  </w:r>
                </w:p>
              </w:tc>
              <w:tc>
                <w:tcPr>
                  <w:tcW w:w="1170" w:type="pct"/>
                  <w:tcBorders>
                    <w:top w:val="single" w:sz="6" w:space="0" w:color="BFBFBF"/>
                    <w:bottom w:val="single" w:sz="6" w:space="0" w:color="BFBFBF"/>
                  </w:tcBorders>
                </w:tcPr>
                <w:p w14:paraId="00BB3293" w14:textId="77777777" w:rsidR="006B24A7" w:rsidRPr="00723237" w:rsidRDefault="006B24A7" w:rsidP="00453A36">
                  <w:pPr>
                    <w:pStyle w:val="TableColumnHeading"/>
                  </w:pPr>
                  <w:proofErr w:type="spellStart"/>
                  <w:r w:rsidRPr="00723237">
                    <w:t>IOIG</w:t>
                  </w:r>
                  <w:proofErr w:type="spellEnd"/>
                  <w:r w:rsidRPr="00723237">
                    <w:t xml:space="preserve"> number</w:t>
                  </w:r>
                </w:p>
              </w:tc>
            </w:tr>
            <w:tr w:rsidR="006B24A7" w14:paraId="00BB329E" w14:textId="77777777" w:rsidTr="00D46F34">
              <w:tc>
                <w:tcPr>
                  <w:tcW w:w="405" w:type="pct"/>
                  <w:tcBorders>
                    <w:top w:val="single" w:sz="6" w:space="0" w:color="BFBFBF"/>
                  </w:tcBorders>
                  <w:vAlign w:val="bottom"/>
                </w:tcPr>
                <w:p w14:paraId="00BB3298" w14:textId="77777777" w:rsidR="006B24A7" w:rsidRPr="006F1364" w:rsidRDefault="006B24A7" w:rsidP="00453A36">
                  <w:pPr>
                    <w:pStyle w:val="TableBodyText"/>
                    <w:jc w:val="left"/>
                  </w:pPr>
                  <w:r>
                    <w:t>41</w:t>
                  </w:r>
                </w:p>
              </w:tc>
              <w:tc>
                <w:tcPr>
                  <w:tcW w:w="3425" w:type="pct"/>
                  <w:tcBorders>
                    <w:top w:val="single" w:sz="6" w:space="0" w:color="BFBFBF"/>
                  </w:tcBorders>
                  <w:vAlign w:val="bottom"/>
                </w:tcPr>
                <w:p w14:paraId="00BB3299" w14:textId="77777777" w:rsidR="006B24A7" w:rsidRDefault="006B24A7" w:rsidP="00453A36">
                  <w:pPr>
                    <w:pStyle w:val="TableBodyText"/>
                    <w:jc w:val="left"/>
                  </w:pPr>
                  <w:r>
                    <w:t>Electricity generation from non</w:t>
                  </w:r>
                  <w:r>
                    <w:noBreakHyphen/>
                    <w:t>hydro renewables</w:t>
                  </w:r>
                </w:p>
              </w:tc>
              <w:tc>
                <w:tcPr>
                  <w:tcW w:w="1170" w:type="pct"/>
                  <w:tcBorders>
                    <w:top w:val="single" w:sz="6" w:space="0" w:color="BFBFBF"/>
                  </w:tcBorders>
                </w:tcPr>
                <w:p w14:paraId="00BB329A" w14:textId="77777777" w:rsidR="006B24A7" w:rsidRDefault="006B24A7" w:rsidP="00453A36">
                  <w:pPr>
                    <w:pStyle w:val="TableBodyText"/>
                  </w:pPr>
                  <w:r>
                    <w:t>2601 (part)</w:t>
                  </w:r>
                </w:p>
              </w:tc>
            </w:tr>
            <w:tr w:rsidR="006B24A7" w14:paraId="00BB32A5" w14:textId="77777777" w:rsidTr="00D46F34">
              <w:tc>
                <w:tcPr>
                  <w:tcW w:w="405" w:type="pct"/>
                  <w:vAlign w:val="bottom"/>
                </w:tcPr>
                <w:p w14:paraId="00BB329F" w14:textId="77777777" w:rsidR="006B24A7" w:rsidRPr="006F1364" w:rsidRDefault="006B24A7" w:rsidP="00453A36">
                  <w:pPr>
                    <w:pStyle w:val="TableBodyText"/>
                    <w:jc w:val="left"/>
                  </w:pPr>
                  <w:r>
                    <w:t>42</w:t>
                  </w:r>
                </w:p>
              </w:tc>
              <w:tc>
                <w:tcPr>
                  <w:tcW w:w="3425" w:type="pct"/>
                  <w:vAlign w:val="bottom"/>
                </w:tcPr>
                <w:p w14:paraId="00BB32A0" w14:textId="77777777" w:rsidR="006B24A7" w:rsidRDefault="006B24A7" w:rsidP="00453A36">
                  <w:pPr>
                    <w:pStyle w:val="TableBodyText"/>
                    <w:jc w:val="left"/>
                  </w:pPr>
                  <w:r>
                    <w:t>Electricity generation from alternative source</w:t>
                  </w:r>
                </w:p>
              </w:tc>
              <w:tc>
                <w:tcPr>
                  <w:tcW w:w="1170" w:type="pct"/>
                </w:tcPr>
                <w:p w14:paraId="00BB32A1" w14:textId="77777777" w:rsidR="006B24A7" w:rsidRDefault="006B24A7" w:rsidP="00453A36">
                  <w:pPr>
                    <w:pStyle w:val="TableBodyText"/>
                  </w:pPr>
                  <w:r>
                    <w:t>2601 (part)</w:t>
                  </w:r>
                </w:p>
              </w:tc>
            </w:tr>
            <w:tr w:rsidR="006B24A7" w14:paraId="00BB32AC" w14:textId="77777777" w:rsidTr="00D46F34">
              <w:tc>
                <w:tcPr>
                  <w:tcW w:w="405" w:type="pct"/>
                  <w:vAlign w:val="bottom"/>
                </w:tcPr>
                <w:p w14:paraId="00BB32A6" w14:textId="77777777" w:rsidR="006B24A7" w:rsidRPr="006F1364" w:rsidRDefault="006B24A7" w:rsidP="00453A36">
                  <w:pPr>
                    <w:pStyle w:val="TableBodyText"/>
                    <w:jc w:val="left"/>
                  </w:pPr>
                  <w:r w:rsidRPr="006F1364">
                    <w:t>43</w:t>
                  </w:r>
                </w:p>
              </w:tc>
              <w:tc>
                <w:tcPr>
                  <w:tcW w:w="3425" w:type="pct"/>
                  <w:vAlign w:val="bottom"/>
                </w:tcPr>
                <w:p w14:paraId="00BB32A7" w14:textId="77777777" w:rsidR="006B24A7" w:rsidRPr="007029F1" w:rsidRDefault="006B24A7" w:rsidP="00453A36">
                  <w:pPr>
                    <w:pStyle w:val="TableBodyText"/>
                    <w:jc w:val="left"/>
                  </w:pPr>
                  <w:r>
                    <w:t>Electricity supply (retail and wholesale)</w:t>
                  </w:r>
                </w:p>
              </w:tc>
              <w:tc>
                <w:tcPr>
                  <w:tcW w:w="1170" w:type="pct"/>
                </w:tcPr>
                <w:p w14:paraId="00BB32A8" w14:textId="77777777" w:rsidR="006B24A7" w:rsidRDefault="006B24A7" w:rsidP="00453A36">
                  <w:pPr>
                    <w:pStyle w:val="TableBodyText"/>
                  </w:pPr>
                  <w:r>
                    <w:t>2605</w:t>
                  </w:r>
                </w:p>
              </w:tc>
            </w:tr>
            <w:tr w:rsidR="006B24A7" w14:paraId="00BB32B3" w14:textId="77777777" w:rsidTr="00D46F34">
              <w:tc>
                <w:tcPr>
                  <w:tcW w:w="405" w:type="pct"/>
                  <w:vAlign w:val="bottom"/>
                </w:tcPr>
                <w:p w14:paraId="00BB32AD" w14:textId="77777777" w:rsidR="006B24A7" w:rsidRPr="006F1364" w:rsidRDefault="006B24A7" w:rsidP="00453A36">
                  <w:pPr>
                    <w:pStyle w:val="TableBodyText"/>
                    <w:jc w:val="left"/>
                  </w:pPr>
                  <w:r w:rsidRPr="006F1364">
                    <w:t>44</w:t>
                  </w:r>
                </w:p>
              </w:tc>
              <w:tc>
                <w:tcPr>
                  <w:tcW w:w="3425" w:type="pct"/>
                  <w:vAlign w:val="bottom"/>
                </w:tcPr>
                <w:p w14:paraId="00BB32AE" w14:textId="77777777" w:rsidR="006B24A7" w:rsidRPr="007029F1" w:rsidRDefault="006B24A7" w:rsidP="00453A36">
                  <w:pPr>
                    <w:pStyle w:val="TableBodyText"/>
                    <w:jc w:val="left"/>
                  </w:pPr>
                  <w:r>
                    <w:t>Gas supply</w:t>
                  </w:r>
                </w:p>
              </w:tc>
              <w:tc>
                <w:tcPr>
                  <w:tcW w:w="1170" w:type="pct"/>
                </w:tcPr>
                <w:p w14:paraId="00BB32AF" w14:textId="77777777" w:rsidR="006B24A7" w:rsidRDefault="006B24A7" w:rsidP="00453A36">
                  <w:pPr>
                    <w:pStyle w:val="TableBodyText"/>
                  </w:pPr>
                  <w:r>
                    <w:t>2701</w:t>
                  </w:r>
                </w:p>
              </w:tc>
            </w:tr>
            <w:tr w:rsidR="006B24A7" w14:paraId="00BB32BA" w14:textId="77777777" w:rsidTr="00D46F34">
              <w:tc>
                <w:tcPr>
                  <w:tcW w:w="405" w:type="pct"/>
                  <w:vAlign w:val="bottom"/>
                </w:tcPr>
                <w:p w14:paraId="00BB32B4" w14:textId="77777777" w:rsidR="006B24A7" w:rsidRPr="006F1364" w:rsidRDefault="006B24A7" w:rsidP="00453A36">
                  <w:pPr>
                    <w:pStyle w:val="TableBodyText"/>
                    <w:jc w:val="left"/>
                  </w:pPr>
                  <w:r w:rsidRPr="006F1364">
                    <w:t>45</w:t>
                  </w:r>
                </w:p>
              </w:tc>
              <w:tc>
                <w:tcPr>
                  <w:tcW w:w="3425" w:type="pct"/>
                  <w:vAlign w:val="bottom"/>
                </w:tcPr>
                <w:p w14:paraId="00BB32B5" w14:textId="77777777" w:rsidR="006B24A7" w:rsidRPr="007029F1" w:rsidRDefault="006B24A7" w:rsidP="00453A36">
                  <w:pPr>
                    <w:pStyle w:val="TableBodyText"/>
                    <w:jc w:val="left"/>
                  </w:pPr>
                  <w:r>
                    <w:t>Water and drainage services</w:t>
                  </w:r>
                </w:p>
              </w:tc>
              <w:tc>
                <w:tcPr>
                  <w:tcW w:w="1170" w:type="pct"/>
                </w:tcPr>
                <w:p w14:paraId="00BB32B6" w14:textId="77777777" w:rsidR="006B24A7" w:rsidRDefault="006B24A7" w:rsidP="00453A36">
                  <w:pPr>
                    <w:pStyle w:val="TableBodyText"/>
                  </w:pPr>
                  <w:r>
                    <w:t>2801</w:t>
                  </w:r>
                </w:p>
              </w:tc>
            </w:tr>
            <w:tr w:rsidR="006B24A7" w14:paraId="00BB32C1" w14:textId="77777777" w:rsidTr="00D46F34">
              <w:tc>
                <w:tcPr>
                  <w:tcW w:w="405" w:type="pct"/>
                  <w:vAlign w:val="bottom"/>
                </w:tcPr>
                <w:p w14:paraId="00BB32BB" w14:textId="77777777" w:rsidR="006B24A7" w:rsidRPr="006F1364" w:rsidRDefault="006B24A7" w:rsidP="00453A36">
                  <w:pPr>
                    <w:pStyle w:val="TableBodyText"/>
                    <w:jc w:val="left"/>
                  </w:pPr>
                  <w:r w:rsidRPr="006F1364">
                    <w:t>46</w:t>
                  </w:r>
                </w:p>
              </w:tc>
              <w:tc>
                <w:tcPr>
                  <w:tcW w:w="3425" w:type="pct"/>
                  <w:vAlign w:val="bottom"/>
                </w:tcPr>
                <w:p w14:paraId="00BB32BC" w14:textId="77777777" w:rsidR="006B24A7" w:rsidRPr="007029F1" w:rsidRDefault="006B24A7" w:rsidP="00453A36">
                  <w:pPr>
                    <w:pStyle w:val="TableBodyText"/>
                    <w:jc w:val="left"/>
                  </w:pPr>
                  <w:r>
                    <w:t>Waste collection and treatment</w:t>
                  </w:r>
                </w:p>
              </w:tc>
              <w:tc>
                <w:tcPr>
                  <w:tcW w:w="1170" w:type="pct"/>
                </w:tcPr>
                <w:p w14:paraId="00BB32BD" w14:textId="77777777" w:rsidR="006B24A7" w:rsidRDefault="006B24A7" w:rsidP="00453A36">
                  <w:pPr>
                    <w:pStyle w:val="TableBodyText"/>
                  </w:pPr>
                  <w:r>
                    <w:t>2901</w:t>
                  </w:r>
                </w:p>
              </w:tc>
            </w:tr>
            <w:tr w:rsidR="006B24A7" w14:paraId="00BB32C8" w14:textId="77777777" w:rsidTr="00D46F34">
              <w:tc>
                <w:tcPr>
                  <w:tcW w:w="405" w:type="pct"/>
                  <w:vAlign w:val="bottom"/>
                </w:tcPr>
                <w:p w14:paraId="00BB32C2" w14:textId="77777777" w:rsidR="006B24A7" w:rsidRPr="006F1364" w:rsidRDefault="006B24A7" w:rsidP="00453A36">
                  <w:pPr>
                    <w:pStyle w:val="TableBodyText"/>
                    <w:jc w:val="left"/>
                  </w:pPr>
                  <w:r w:rsidRPr="006F1364">
                    <w:t>47</w:t>
                  </w:r>
                </w:p>
              </w:tc>
              <w:tc>
                <w:tcPr>
                  <w:tcW w:w="3425" w:type="pct"/>
                  <w:vAlign w:val="bottom"/>
                </w:tcPr>
                <w:p w14:paraId="00BB32C3" w14:textId="77777777" w:rsidR="006B24A7" w:rsidRPr="007029F1" w:rsidRDefault="006B24A7" w:rsidP="00453A36">
                  <w:pPr>
                    <w:pStyle w:val="TableBodyText"/>
                    <w:jc w:val="left"/>
                  </w:pPr>
                  <w:r>
                    <w:t>Residential building construction</w:t>
                  </w:r>
                </w:p>
              </w:tc>
              <w:tc>
                <w:tcPr>
                  <w:tcW w:w="1170" w:type="pct"/>
                </w:tcPr>
                <w:p w14:paraId="00BB32C4" w14:textId="77777777" w:rsidR="006B24A7" w:rsidRDefault="006B24A7" w:rsidP="00453A36">
                  <w:pPr>
                    <w:pStyle w:val="TableBodyText"/>
                  </w:pPr>
                  <w:r>
                    <w:t>3001</w:t>
                  </w:r>
                </w:p>
              </w:tc>
            </w:tr>
            <w:tr w:rsidR="006B24A7" w14:paraId="00BB32CF" w14:textId="77777777" w:rsidTr="00D46F34">
              <w:tc>
                <w:tcPr>
                  <w:tcW w:w="405" w:type="pct"/>
                  <w:vAlign w:val="bottom"/>
                </w:tcPr>
                <w:p w14:paraId="00BB32C9" w14:textId="77777777" w:rsidR="006B24A7" w:rsidRPr="006F1364" w:rsidRDefault="006B24A7" w:rsidP="00453A36">
                  <w:pPr>
                    <w:pStyle w:val="TableBodyText"/>
                    <w:jc w:val="left"/>
                  </w:pPr>
                  <w:r w:rsidRPr="006F1364">
                    <w:t>48</w:t>
                  </w:r>
                </w:p>
              </w:tc>
              <w:tc>
                <w:tcPr>
                  <w:tcW w:w="3425" w:type="pct"/>
                  <w:vAlign w:val="bottom"/>
                </w:tcPr>
                <w:p w14:paraId="00BB32CA" w14:textId="77777777" w:rsidR="006B24A7" w:rsidRPr="007029F1" w:rsidRDefault="006B24A7" w:rsidP="00453A36">
                  <w:pPr>
                    <w:pStyle w:val="TableBodyText"/>
                    <w:jc w:val="left"/>
                  </w:pPr>
                  <w:r>
                    <w:t>Non</w:t>
                  </w:r>
                  <w:r>
                    <w:noBreakHyphen/>
                    <w:t>residential building construction</w:t>
                  </w:r>
                </w:p>
              </w:tc>
              <w:tc>
                <w:tcPr>
                  <w:tcW w:w="1170" w:type="pct"/>
                </w:tcPr>
                <w:p w14:paraId="00BB32CB" w14:textId="77777777" w:rsidR="006B24A7" w:rsidRDefault="006B24A7" w:rsidP="00453A36">
                  <w:pPr>
                    <w:pStyle w:val="TableBodyText"/>
                  </w:pPr>
                  <w:r>
                    <w:t>3002, 3101</w:t>
                  </w:r>
                </w:p>
              </w:tc>
            </w:tr>
            <w:tr w:rsidR="006B24A7" w14:paraId="00BB32D6" w14:textId="77777777" w:rsidTr="00D46F34">
              <w:tc>
                <w:tcPr>
                  <w:tcW w:w="405" w:type="pct"/>
                  <w:vAlign w:val="bottom"/>
                </w:tcPr>
                <w:p w14:paraId="00BB32D0" w14:textId="77777777" w:rsidR="006B24A7" w:rsidRPr="006F1364" w:rsidRDefault="006B24A7" w:rsidP="00453A36">
                  <w:pPr>
                    <w:pStyle w:val="TableBodyText"/>
                    <w:jc w:val="left"/>
                  </w:pPr>
                  <w:r w:rsidRPr="006F1364">
                    <w:t>49</w:t>
                  </w:r>
                </w:p>
              </w:tc>
              <w:tc>
                <w:tcPr>
                  <w:tcW w:w="3425" w:type="pct"/>
                  <w:vAlign w:val="bottom"/>
                </w:tcPr>
                <w:p w14:paraId="00BB32D1" w14:textId="77777777" w:rsidR="006B24A7" w:rsidRPr="007029F1" w:rsidRDefault="006B24A7" w:rsidP="00453A36">
                  <w:pPr>
                    <w:pStyle w:val="TableBodyText"/>
                    <w:jc w:val="left"/>
                  </w:pPr>
                  <w:r>
                    <w:t>Construction services</w:t>
                  </w:r>
                </w:p>
              </w:tc>
              <w:tc>
                <w:tcPr>
                  <w:tcW w:w="1170" w:type="pct"/>
                </w:tcPr>
                <w:p w14:paraId="00BB32D2" w14:textId="77777777" w:rsidR="006B24A7" w:rsidRDefault="006B24A7" w:rsidP="00453A36">
                  <w:pPr>
                    <w:pStyle w:val="TableBodyText"/>
                  </w:pPr>
                  <w:r>
                    <w:t>3201</w:t>
                  </w:r>
                </w:p>
              </w:tc>
            </w:tr>
            <w:tr w:rsidR="006B24A7" w14:paraId="00BB32DD" w14:textId="77777777" w:rsidTr="00D46F34">
              <w:tc>
                <w:tcPr>
                  <w:tcW w:w="405" w:type="pct"/>
                  <w:vAlign w:val="bottom"/>
                </w:tcPr>
                <w:p w14:paraId="00BB32D7" w14:textId="77777777" w:rsidR="006B24A7" w:rsidRPr="006F1364" w:rsidRDefault="006B24A7" w:rsidP="00453A36">
                  <w:pPr>
                    <w:pStyle w:val="TableBodyText"/>
                    <w:jc w:val="left"/>
                  </w:pPr>
                  <w:r w:rsidRPr="006F1364">
                    <w:t>50</w:t>
                  </w:r>
                </w:p>
              </w:tc>
              <w:tc>
                <w:tcPr>
                  <w:tcW w:w="3425" w:type="pct"/>
                  <w:vAlign w:val="bottom"/>
                </w:tcPr>
                <w:p w14:paraId="00BB32D8" w14:textId="77777777" w:rsidR="006B24A7" w:rsidRPr="007029F1" w:rsidRDefault="006B24A7" w:rsidP="00453A36">
                  <w:pPr>
                    <w:pStyle w:val="TableBodyText"/>
                    <w:jc w:val="left"/>
                  </w:pPr>
                  <w:r>
                    <w:t>Wholesale trade</w:t>
                  </w:r>
                </w:p>
              </w:tc>
              <w:tc>
                <w:tcPr>
                  <w:tcW w:w="1170" w:type="pct"/>
                </w:tcPr>
                <w:p w14:paraId="00BB32D9" w14:textId="77777777" w:rsidR="006B24A7" w:rsidRDefault="006B24A7" w:rsidP="00453A36">
                  <w:pPr>
                    <w:pStyle w:val="TableBodyText"/>
                  </w:pPr>
                  <w:r>
                    <w:t>3301</w:t>
                  </w:r>
                </w:p>
              </w:tc>
            </w:tr>
            <w:tr w:rsidR="006B24A7" w14:paraId="00BB32E4" w14:textId="77777777" w:rsidTr="00D46F34">
              <w:tc>
                <w:tcPr>
                  <w:tcW w:w="405" w:type="pct"/>
                  <w:vAlign w:val="bottom"/>
                </w:tcPr>
                <w:p w14:paraId="00BB32DE" w14:textId="77777777" w:rsidR="006B24A7" w:rsidRPr="006F1364" w:rsidRDefault="006B24A7" w:rsidP="00453A36">
                  <w:pPr>
                    <w:pStyle w:val="TableBodyText"/>
                    <w:jc w:val="left"/>
                  </w:pPr>
                  <w:r w:rsidRPr="006F1364">
                    <w:t>51</w:t>
                  </w:r>
                </w:p>
              </w:tc>
              <w:tc>
                <w:tcPr>
                  <w:tcW w:w="3425" w:type="pct"/>
                  <w:vAlign w:val="bottom"/>
                </w:tcPr>
                <w:p w14:paraId="00BB32DF" w14:textId="77777777" w:rsidR="006B24A7" w:rsidRPr="007029F1" w:rsidRDefault="006B24A7" w:rsidP="00453A36">
                  <w:pPr>
                    <w:pStyle w:val="TableBodyText"/>
                    <w:jc w:val="left"/>
                  </w:pPr>
                  <w:r>
                    <w:t>Retail trade</w:t>
                  </w:r>
                </w:p>
              </w:tc>
              <w:tc>
                <w:tcPr>
                  <w:tcW w:w="1170" w:type="pct"/>
                </w:tcPr>
                <w:p w14:paraId="00BB32E0" w14:textId="77777777" w:rsidR="006B24A7" w:rsidRDefault="006B24A7" w:rsidP="00453A36">
                  <w:pPr>
                    <w:pStyle w:val="TableBodyText"/>
                  </w:pPr>
                  <w:r>
                    <w:t>3901</w:t>
                  </w:r>
                </w:p>
              </w:tc>
            </w:tr>
            <w:tr w:rsidR="006B24A7" w14:paraId="00BB32EB" w14:textId="77777777" w:rsidTr="00D46F34">
              <w:tc>
                <w:tcPr>
                  <w:tcW w:w="405" w:type="pct"/>
                  <w:vAlign w:val="bottom"/>
                </w:tcPr>
                <w:p w14:paraId="00BB32E5" w14:textId="77777777" w:rsidR="006B24A7" w:rsidRPr="006F1364" w:rsidRDefault="006B24A7" w:rsidP="00453A36">
                  <w:pPr>
                    <w:pStyle w:val="TableBodyText"/>
                    <w:jc w:val="left"/>
                  </w:pPr>
                  <w:r w:rsidRPr="006F1364">
                    <w:t>52</w:t>
                  </w:r>
                </w:p>
              </w:tc>
              <w:tc>
                <w:tcPr>
                  <w:tcW w:w="3425" w:type="pct"/>
                  <w:vAlign w:val="bottom"/>
                </w:tcPr>
                <w:p w14:paraId="00BB32E6" w14:textId="77777777" w:rsidR="006B24A7" w:rsidRPr="007029F1" w:rsidRDefault="006B24A7" w:rsidP="00453A36">
                  <w:pPr>
                    <w:pStyle w:val="TableBodyText"/>
                    <w:jc w:val="left"/>
                  </w:pPr>
                  <w:r>
                    <w:t>Accommodation and food services</w:t>
                  </w:r>
                </w:p>
              </w:tc>
              <w:tc>
                <w:tcPr>
                  <w:tcW w:w="1170" w:type="pct"/>
                </w:tcPr>
                <w:p w14:paraId="00BB32E7" w14:textId="77777777" w:rsidR="006B24A7" w:rsidRDefault="006B24A7" w:rsidP="00453A36">
                  <w:pPr>
                    <w:pStyle w:val="TableBodyText"/>
                  </w:pPr>
                  <w:r>
                    <w:t>4401, 4501</w:t>
                  </w:r>
                </w:p>
              </w:tc>
            </w:tr>
            <w:tr w:rsidR="006B24A7" w14:paraId="00BB32F2" w14:textId="77777777" w:rsidTr="00D46F34">
              <w:tc>
                <w:tcPr>
                  <w:tcW w:w="405" w:type="pct"/>
                  <w:vAlign w:val="bottom"/>
                </w:tcPr>
                <w:p w14:paraId="00BB32EC" w14:textId="77777777" w:rsidR="006B24A7" w:rsidRPr="006F1364" w:rsidRDefault="006B24A7" w:rsidP="00453A36">
                  <w:pPr>
                    <w:pStyle w:val="TableBodyText"/>
                    <w:jc w:val="left"/>
                  </w:pPr>
                  <w:r w:rsidRPr="006F1364">
                    <w:t>53</w:t>
                  </w:r>
                </w:p>
              </w:tc>
              <w:tc>
                <w:tcPr>
                  <w:tcW w:w="3425" w:type="pct"/>
                  <w:vAlign w:val="bottom"/>
                </w:tcPr>
                <w:p w14:paraId="00BB32ED" w14:textId="77777777" w:rsidR="006B24A7" w:rsidRPr="007029F1" w:rsidRDefault="006B24A7" w:rsidP="00453A36">
                  <w:pPr>
                    <w:pStyle w:val="TableBodyText"/>
                    <w:jc w:val="left"/>
                  </w:pPr>
                  <w:r>
                    <w:t>Road freight services</w:t>
                  </w:r>
                </w:p>
              </w:tc>
              <w:tc>
                <w:tcPr>
                  <w:tcW w:w="1170" w:type="pct"/>
                </w:tcPr>
                <w:p w14:paraId="00BB32EE" w14:textId="77777777" w:rsidR="006B24A7" w:rsidRDefault="006B24A7" w:rsidP="00453A36">
                  <w:pPr>
                    <w:pStyle w:val="TableBodyText"/>
                  </w:pPr>
                  <w:r>
                    <w:t>4601 (part)</w:t>
                  </w:r>
                </w:p>
              </w:tc>
            </w:tr>
            <w:tr w:rsidR="006B24A7" w14:paraId="00BB32F9" w14:textId="77777777" w:rsidTr="00D46F34">
              <w:tc>
                <w:tcPr>
                  <w:tcW w:w="405" w:type="pct"/>
                  <w:vAlign w:val="bottom"/>
                </w:tcPr>
                <w:p w14:paraId="00BB32F3" w14:textId="77777777" w:rsidR="006B24A7" w:rsidRPr="006F1364" w:rsidRDefault="006B24A7" w:rsidP="00453A36">
                  <w:pPr>
                    <w:pStyle w:val="TableBodyText"/>
                    <w:jc w:val="left"/>
                  </w:pPr>
                  <w:r w:rsidRPr="006F1364">
                    <w:t>54</w:t>
                  </w:r>
                </w:p>
              </w:tc>
              <w:tc>
                <w:tcPr>
                  <w:tcW w:w="3425" w:type="pct"/>
                  <w:vAlign w:val="bottom"/>
                </w:tcPr>
                <w:p w14:paraId="00BB32F4" w14:textId="77777777" w:rsidR="006B24A7" w:rsidRPr="007029F1" w:rsidRDefault="006B24A7" w:rsidP="00453A36">
                  <w:pPr>
                    <w:pStyle w:val="TableBodyText"/>
                    <w:jc w:val="left"/>
                  </w:pPr>
                  <w:r>
                    <w:t>Road passenger services</w:t>
                  </w:r>
                </w:p>
              </w:tc>
              <w:tc>
                <w:tcPr>
                  <w:tcW w:w="1170" w:type="pct"/>
                </w:tcPr>
                <w:p w14:paraId="00BB32F5" w14:textId="77777777" w:rsidR="006B24A7" w:rsidRDefault="006B24A7" w:rsidP="00453A36">
                  <w:pPr>
                    <w:pStyle w:val="TableBodyText"/>
                  </w:pPr>
                  <w:r>
                    <w:t>4601 (part)</w:t>
                  </w:r>
                </w:p>
              </w:tc>
            </w:tr>
            <w:tr w:rsidR="006B24A7" w14:paraId="00BB3300" w14:textId="77777777" w:rsidTr="00D46F34">
              <w:tc>
                <w:tcPr>
                  <w:tcW w:w="405" w:type="pct"/>
                  <w:vAlign w:val="bottom"/>
                </w:tcPr>
                <w:p w14:paraId="00BB32FA" w14:textId="77777777" w:rsidR="006B24A7" w:rsidRPr="006F1364" w:rsidRDefault="006B24A7" w:rsidP="00453A36">
                  <w:pPr>
                    <w:pStyle w:val="TableBodyText"/>
                    <w:jc w:val="left"/>
                  </w:pPr>
                  <w:r w:rsidRPr="006F1364">
                    <w:t>55</w:t>
                  </w:r>
                </w:p>
              </w:tc>
              <w:tc>
                <w:tcPr>
                  <w:tcW w:w="3425" w:type="pct"/>
                  <w:vAlign w:val="bottom"/>
                </w:tcPr>
                <w:p w14:paraId="00BB32FB" w14:textId="77777777" w:rsidR="006B24A7" w:rsidRPr="007029F1" w:rsidRDefault="006B24A7" w:rsidP="00453A36">
                  <w:pPr>
                    <w:pStyle w:val="TableBodyText"/>
                    <w:jc w:val="left"/>
                  </w:pPr>
                  <w:r>
                    <w:t>Rail freight services</w:t>
                  </w:r>
                </w:p>
              </w:tc>
              <w:tc>
                <w:tcPr>
                  <w:tcW w:w="1170" w:type="pct"/>
                </w:tcPr>
                <w:p w14:paraId="00BB32FC" w14:textId="77777777" w:rsidR="006B24A7" w:rsidRDefault="006B24A7" w:rsidP="00453A36">
                  <w:pPr>
                    <w:pStyle w:val="TableBodyText"/>
                  </w:pPr>
                  <w:r>
                    <w:t>4602 (part)</w:t>
                  </w:r>
                </w:p>
              </w:tc>
            </w:tr>
            <w:tr w:rsidR="006B24A7" w14:paraId="00BB3307" w14:textId="77777777" w:rsidTr="00D46F34">
              <w:tc>
                <w:tcPr>
                  <w:tcW w:w="405" w:type="pct"/>
                  <w:vAlign w:val="bottom"/>
                </w:tcPr>
                <w:p w14:paraId="00BB3301" w14:textId="77777777" w:rsidR="006B24A7" w:rsidRPr="006F1364" w:rsidRDefault="006B24A7" w:rsidP="00453A36">
                  <w:pPr>
                    <w:pStyle w:val="TableBodyText"/>
                    <w:jc w:val="left"/>
                  </w:pPr>
                  <w:r w:rsidRPr="006F1364">
                    <w:t>56</w:t>
                  </w:r>
                </w:p>
              </w:tc>
              <w:tc>
                <w:tcPr>
                  <w:tcW w:w="3425" w:type="pct"/>
                  <w:vAlign w:val="bottom"/>
                </w:tcPr>
                <w:p w14:paraId="00BB3302" w14:textId="77777777" w:rsidR="006B24A7" w:rsidRPr="007029F1" w:rsidRDefault="006B24A7" w:rsidP="00453A36">
                  <w:pPr>
                    <w:pStyle w:val="TableBodyText"/>
                    <w:jc w:val="left"/>
                  </w:pPr>
                  <w:r>
                    <w:t>Rail passenger services</w:t>
                  </w:r>
                </w:p>
              </w:tc>
              <w:tc>
                <w:tcPr>
                  <w:tcW w:w="1170" w:type="pct"/>
                </w:tcPr>
                <w:p w14:paraId="00BB3303" w14:textId="77777777" w:rsidR="006B24A7" w:rsidRDefault="006B24A7" w:rsidP="00453A36">
                  <w:pPr>
                    <w:pStyle w:val="TableBodyText"/>
                  </w:pPr>
                  <w:r>
                    <w:t>4602 (part)</w:t>
                  </w:r>
                </w:p>
              </w:tc>
            </w:tr>
            <w:tr w:rsidR="006B24A7" w14:paraId="00BB330E" w14:textId="77777777" w:rsidTr="00D46F34">
              <w:tc>
                <w:tcPr>
                  <w:tcW w:w="405" w:type="pct"/>
                  <w:vAlign w:val="bottom"/>
                </w:tcPr>
                <w:p w14:paraId="00BB3308" w14:textId="77777777" w:rsidR="006B24A7" w:rsidRPr="006F1364" w:rsidRDefault="006B24A7" w:rsidP="00453A36">
                  <w:pPr>
                    <w:pStyle w:val="TableBodyText"/>
                    <w:jc w:val="left"/>
                  </w:pPr>
                  <w:r w:rsidRPr="006F1364">
                    <w:t>57</w:t>
                  </w:r>
                </w:p>
              </w:tc>
              <w:tc>
                <w:tcPr>
                  <w:tcW w:w="3425" w:type="pct"/>
                  <w:vAlign w:val="bottom"/>
                </w:tcPr>
                <w:p w14:paraId="00BB3309" w14:textId="77777777" w:rsidR="006B24A7" w:rsidRPr="007029F1" w:rsidRDefault="006B24A7" w:rsidP="00453A36">
                  <w:pPr>
                    <w:pStyle w:val="TableBodyText"/>
                    <w:jc w:val="left"/>
                  </w:pPr>
                  <w:r>
                    <w:t>Pipeline services</w:t>
                  </w:r>
                </w:p>
              </w:tc>
              <w:tc>
                <w:tcPr>
                  <w:tcW w:w="1170" w:type="pct"/>
                </w:tcPr>
                <w:p w14:paraId="00BB330A" w14:textId="77777777" w:rsidR="006B24A7" w:rsidRDefault="006B24A7" w:rsidP="00453A36">
                  <w:pPr>
                    <w:pStyle w:val="TableBodyText"/>
                  </w:pPr>
                  <w:r>
                    <w:t>4801 (part)</w:t>
                  </w:r>
                </w:p>
              </w:tc>
            </w:tr>
            <w:tr w:rsidR="006B24A7" w14:paraId="00BB3315" w14:textId="77777777" w:rsidTr="00D46F34">
              <w:tc>
                <w:tcPr>
                  <w:tcW w:w="405" w:type="pct"/>
                  <w:vAlign w:val="bottom"/>
                </w:tcPr>
                <w:p w14:paraId="00BB330F" w14:textId="77777777" w:rsidR="006B24A7" w:rsidRPr="006F1364" w:rsidRDefault="006B24A7" w:rsidP="00453A36">
                  <w:pPr>
                    <w:pStyle w:val="TableBodyText"/>
                    <w:jc w:val="left"/>
                  </w:pPr>
                  <w:r w:rsidRPr="006F1364">
                    <w:t>58</w:t>
                  </w:r>
                </w:p>
              </w:tc>
              <w:tc>
                <w:tcPr>
                  <w:tcW w:w="3425" w:type="pct"/>
                  <w:vAlign w:val="bottom"/>
                </w:tcPr>
                <w:p w14:paraId="00BB3310" w14:textId="77777777" w:rsidR="006B24A7" w:rsidRPr="007029F1" w:rsidRDefault="006B24A7" w:rsidP="00453A36">
                  <w:pPr>
                    <w:pStyle w:val="TableBodyText"/>
                    <w:jc w:val="left"/>
                  </w:pPr>
                  <w:r>
                    <w:t>Water transport services</w:t>
                  </w:r>
                </w:p>
              </w:tc>
              <w:tc>
                <w:tcPr>
                  <w:tcW w:w="1170" w:type="pct"/>
                </w:tcPr>
                <w:p w14:paraId="00BB3311" w14:textId="77777777" w:rsidR="006B24A7" w:rsidRDefault="006B24A7" w:rsidP="00453A36">
                  <w:pPr>
                    <w:pStyle w:val="TableBodyText"/>
                  </w:pPr>
                  <w:r>
                    <w:t>4801 (part)</w:t>
                  </w:r>
                </w:p>
              </w:tc>
            </w:tr>
            <w:tr w:rsidR="006B24A7" w14:paraId="00BB331C" w14:textId="77777777" w:rsidTr="00D46F34">
              <w:tc>
                <w:tcPr>
                  <w:tcW w:w="405" w:type="pct"/>
                  <w:vAlign w:val="bottom"/>
                </w:tcPr>
                <w:p w14:paraId="00BB3316" w14:textId="77777777" w:rsidR="006B24A7" w:rsidRPr="006F1364" w:rsidRDefault="006B24A7" w:rsidP="00453A36">
                  <w:pPr>
                    <w:pStyle w:val="TableBodyText"/>
                    <w:jc w:val="left"/>
                  </w:pPr>
                  <w:r w:rsidRPr="006F1364">
                    <w:t>59</w:t>
                  </w:r>
                </w:p>
              </w:tc>
              <w:tc>
                <w:tcPr>
                  <w:tcW w:w="3425" w:type="pct"/>
                  <w:vAlign w:val="bottom"/>
                </w:tcPr>
                <w:p w14:paraId="00BB3317" w14:textId="77777777" w:rsidR="006B24A7" w:rsidRPr="007029F1" w:rsidRDefault="006B24A7" w:rsidP="00453A36">
                  <w:pPr>
                    <w:pStyle w:val="TableBodyText"/>
                    <w:jc w:val="left"/>
                  </w:pPr>
                  <w:r>
                    <w:t>Air transport services</w:t>
                  </w:r>
                </w:p>
              </w:tc>
              <w:tc>
                <w:tcPr>
                  <w:tcW w:w="1170" w:type="pct"/>
                </w:tcPr>
                <w:p w14:paraId="00BB3318" w14:textId="77777777" w:rsidR="006B24A7" w:rsidRDefault="006B24A7" w:rsidP="00453A36">
                  <w:pPr>
                    <w:pStyle w:val="TableBodyText"/>
                  </w:pPr>
                  <w:r>
                    <w:t>4901</w:t>
                  </w:r>
                </w:p>
              </w:tc>
            </w:tr>
            <w:tr w:rsidR="006B24A7" w14:paraId="00BB3323" w14:textId="77777777" w:rsidTr="00D46F34">
              <w:tc>
                <w:tcPr>
                  <w:tcW w:w="405" w:type="pct"/>
                  <w:vAlign w:val="bottom"/>
                </w:tcPr>
                <w:p w14:paraId="00BB331D" w14:textId="77777777" w:rsidR="006B24A7" w:rsidRPr="006F1364" w:rsidRDefault="006B24A7" w:rsidP="00453A36">
                  <w:pPr>
                    <w:pStyle w:val="TableBodyText"/>
                    <w:jc w:val="left"/>
                  </w:pPr>
                  <w:r w:rsidRPr="006F1364">
                    <w:t>60</w:t>
                  </w:r>
                </w:p>
              </w:tc>
              <w:tc>
                <w:tcPr>
                  <w:tcW w:w="3425" w:type="pct"/>
                  <w:vAlign w:val="bottom"/>
                </w:tcPr>
                <w:p w14:paraId="00BB331E" w14:textId="77777777" w:rsidR="006B24A7" w:rsidRPr="007029F1" w:rsidRDefault="006B24A7" w:rsidP="00453A36">
                  <w:pPr>
                    <w:pStyle w:val="TableBodyText"/>
                    <w:jc w:val="left"/>
                  </w:pPr>
                  <w:r>
                    <w:t>Courier and other transport services</w:t>
                  </w:r>
                </w:p>
              </w:tc>
              <w:tc>
                <w:tcPr>
                  <w:tcW w:w="1170" w:type="pct"/>
                </w:tcPr>
                <w:p w14:paraId="00BB331F" w14:textId="77777777" w:rsidR="006B24A7" w:rsidRDefault="006B24A7" w:rsidP="00453A36">
                  <w:pPr>
                    <w:pStyle w:val="TableBodyText"/>
                  </w:pPr>
                  <w:r>
                    <w:t>5101, 5201</w:t>
                  </w:r>
                </w:p>
              </w:tc>
            </w:tr>
            <w:tr w:rsidR="006B24A7" w14:paraId="00BB332A" w14:textId="77777777" w:rsidTr="00D46F34">
              <w:tc>
                <w:tcPr>
                  <w:tcW w:w="405" w:type="pct"/>
                  <w:vAlign w:val="bottom"/>
                </w:tcPr>
                <w:p w14:paraId="00BB3324" w14:textId="77777777" w:rsidR="006B24A7" w:rsidRPr="006F1364" w:rsidRDefault="006B24A7" w:rsidP="00453A36">
                  <w:pPr>
                    <w:pStyle w:val="TableBodyText"/>
                    <w:jc w:val="left"/>
                  </w:pPr>
                  <w:r w:rsidRPr="006F1364">
                    <w:t>61</w:t>
                  </w:r>
                </w:p>
              </w:tc>
              <w:tc>
                <w:tcPr>
                  <w:tcW w:w="3425" w:type="pct"/>
                  <w:vAlign w:val="bottom"/>
                </w:tcPr>
                <w:p w14:paraId="00BB3325" w14:textId="77777777" w:rsidR="006B24A7" w:rsidRPr="007029F1" w:rsidRDefault="006B24A7" w:rsidP="00453A36">
                  <w:pPr>
                    <w:pStyle w:val="TableBodyText"/>
                    <w:jc w:val="left"/>
                  </w:pPr>
                  <w:r>
                    <w:t>Publishing, information and media</w:t>
                  </w:r>
                </w:p>
              </w:tc>
              <w:tc>
                <w:tcPr>
                  <w:tcW w:w="1170" w:type="pct"/>
                </w:tcPr>
                <w:p w14:paraId="00BB3326" w14:textId="77777777" w:rsidR="006B24A7" w:rsidRDefault="006B24A7" w:rsidP="00453A36">
                  <w:pPr>
                    <w:pStyle w:val="TableBodyText"/>
                  </w:pPr>
                  <w:r>
                    <w:t>5401</w:t>
                  </w:r>
                  <w:r>
                    <w:noBreakHyphen/>
                    <w:t>5701, 6001</w:t>
                  </w:r>
                </w:p>
              </w:tc>
            </w:tr>
            <w:tr w:rsidR="006B24A7" w14:paraId="00BB3331" w14:textId="77777777" w:rsidTr="00D46F34">
              <w:tc>
                <w:tcPr>
                  <w:tcW w:w="405" w:type="pct"/>
                  <w:vAlign w:val="bottom"/>
                </w:tcPr>
                <w:p w14:paraId="00BB332B" w14:textId="77777777" w:rsidR="006B24A7" w:rsidRPr="006F1364" w:rsidRDefault="006B24A7" w:rsidP="00453A36">
                  <w:pPr>
                    <w:pStyle w:val="TableBodyText"/>
                    <w:jc w:val="left"/>
                  </w:pPr>
                  <w:r w:rsidRPr="006F1364">
                    <w:t>62</w:t>
                  </w:r>
                </w:p>
              </w:tc>
              <w:tc>
                <w:tcPr>
                  <w:tcW w:w="3425" w:type="pct"/>
                  <w:vAlign w:val="bottom"/>
                </w:tcPr>
                <w:p w14:paraId="00BB332C" w14:textId="77777777" w:rsidR="006B24A7" w:rsidRPr="007029F1" w:rsidRDefault="006B24A7" w:rsidP="00453A36">
                  <w:pPr>
                    <w:pStyle w:val="TableBodyText"/>
                    <w:jc w:val="left"/>
                  </w:pPr>
                  <w:r>
                    <w:t>Telecommunication services</w:t>
                  </w:r>
                </w:p>
              </w:tc>
              <w:tc>
                <w:tcPr>
                  <w:tcW w:w="1170" w:type="pct"/>
                </w:tcPr>
                <w:p w14:paraId="00BB332D" w14:textId="77777777" w:rsidR="006B24A7" w:rsidRDefault="006B24A7" w:rsidP="00453A36">
                  <w:pPr>
                    <w:pStyle w:val="TableBodyText"/>
                  </w:pPr>
                  <w:r>
                    <w:t>5801</w:t>
                  </w:r>
                </w:p>
              </w:tc>
            </w:tr>
            <w:tr w:rsidR="006B24A7" w14:paraId="00BB3338" w14:textId="77777777" w:rsidTr="00D46F34">
              <w:tc>
                <w:tcPr>
                  <w:tcW w:w="405" w:type="pct"/>
                  <w:vAlign w:val="bottom"/>
                </w:tcPr>
                <w:p w14:paraId="00BB3332" w14:textId="77777777" w:rsidR="006B24A7" w:rsidRPr="006F1364" w:rsidRDefault="006B24A7" w:rsidP="00453A36">
                  <w:pPr>
                    <w:pStyle w:val="TableBodyText"/>
                    <w:jc w:val="left"/>
                  </w:pPr>
                  <w:r w:rsidRPr="006F1364">
                    <w:t>63</w:t>
                  </w:r>
                </w:p>
              </w:tc>
              <w:tc>
                <w:tcPr>
                  <w:tcW w:w="3425" w:type="pct"/>
                  <w:vAlign w:val="bottom"/>
                </w:tcPr>
                <w:p w14:paraId="00BB3333" w14:textId="77777777" w:rsidR="006B24A7" w:rsidRPr="007029F1" w:rsidRDefault="006B24A7" w:rsidP="00453A36">
                  <w:pPr>
                    <w:pStyle w:val="TableBodyText"/>
                    <w:jc w:val="left"/>
                  </w:pPr>
                  <w:r>
                    <w:t>Banking services</w:t>
                  </w:r>
                </w:p>
              </w:tc>
              <w:tc>
                <w:tcPr>
                  <w:tcW w:w="1170" w:type="pct"/>
                </w:tcPr>
                <w:p w14:paraId="00BB3334" w14:textId="77777777" w:rsidR="006B24A7" w:rsidRDefault="006B24A7" w:rsidP="00453A36">
                  <w:pPr>
                    <w:pStyle w:val="TableBodyText"/>
                  </w:pPr>
                  <w:r>
                    <w:t>6201 (part)</w:t>
                  </w:r>
                </w:p>
              </w:tc>
            </w:tr>
            <w:tr w:rsidR="006B24A7" w14:paraId="00BB333F" w14:textId="77777777" w:rsidTr="00D46F34">
              <w:tc>
                <w:tcPr>
                  <w:tcW w:w="405" w:type="pct"/>
                  <w:vAlign w:val="bottom"/>
                </w:tcPr>
                <w:p w14:paraId="00BB3339" w14:textId="77777777" w:rsidR="006B24A7" w:rsidRPr="006F1364" w:rsidRDefault="006B24A7" w:rsidP="00453A36">
                  <w:pPr>
                    <w:pStyle w:val="TableBodyText"/>
                    <w:jc w:val="left"/>
                  </w:pPr>
                  <w:r w:rsidRPr="006F1364">
                    <w:t>64</w:t>
                  </w:r>
                </w:p>
              </w:tc>
              <w:tc>
                <w:tcPr>
                  <w:tcW w:w="3425" w:type="pct"/>
                  <w:vAlign w:val="bottom"/>
                </w:tcPr>
                <w:p w14:paraId="00BB333A" w14:textId="77777777" w:rsidR="006B24A7" w:rsidRPr="007029F1" w:rsidRDefault="006B24A7" w:rsidP="00453A36">
                  <w:pPr>
                    <w:pStyle w:val="TableBodyText"/>
                    <w:jc w:val="left"/>
                  </w:pPr>
                  <w:r>
                    <w:t>Finance services other than banking</w:t>
                  </w:r>
                </w:p>
              </w:tc>
              <w:tc>
                <w:tcPr>
                  <w:tcW w:w="1170" w:type="pct"/>
                </w:tcPr>
                <w:p w14:paraId="00BB333B" w14:textId="77777777" w:rsidR="006B24A7" w:rsidRDefault="006B24A7" w:rsidP="00453A36">
                  <w:pPr>
                    <w:pStyle w:val="TableBodyText"/>
                  </w:pPr>
                  <w:r>
                    <w:t>6201 (part)</w:t>
                  </w:r>
                </w:p>
              </w:tc>
            </w:tr>
            <w:tr w:rsidR="006B24A7" w14:paraId="00BB3346" w14:textId="77777777" w:rsidTr="00D46F34">
              <w:tc>
                <w:tcPr>
                  <w:tcW w:w="405" w:type="pct"/>
                  <w:vAlign w:val="bottom"/>
                </w:tcPr>
                <w:p w14:paraId="00BB3340" w14:textId="77777777" w:rsidR="006B24A7" w:rsidRPr="006F1364" w:rsidRDefault="006B24A7" w:rsidP="00453A36">
                  <w:pPr>
                    <w:pStyle w:val="TableBodyText"/>
                    <w:jc w:val="left"/>
                  </w:pPr>
                  <w:r w:rsidRPr="006F1364">
                    <w:t>65</w:t>
                  </w:r>
                </w:p>
              </w:tc>
              <w:tc>
                <w:tcPr>
                  <w:tcW w:w="3425" w:type="pct"/>
                  <w:vAlign w:val="bottom"/>
                </w:tcPr>
                <w:p w14:paraId="00BB3341" w14:textId="77777777" w:rsidR="006B24A7" w:rsidRPr="007029F1" w:rsidRDefault="006B24A7" w:rsidP="00453A36">
                  <w:pPr>
                    <w:pStyle w:val="TableBodyText"/>
                    <w:jc w:val="left"/>
                  </w:pPr>
                  <w:r>
                    <w:t>Insurance services</w:t>
                  </w:r>
                </w:p>
              </w:tc>
              <w:tc>
                <w:tcPr>
                  <w:tcW w:w="1170" w:type="pct"/>
                </w:tcPr>
                <w:p w14:paraId="00BB3342" w14:textId="77777777" w:rsidR="006B24A7" w:rsidRDefault="006B24A7" w:rsidP="00453A36">
                  <w:pPr>
                    <w:pStyle w:val="TableBodyText"/>
                  </w:pPr>
                  <w:r>
                    <w:t>6301 (part)</w:t>
                  </w:r>
                </w:p>
              </w:tc>
            </w:tr>
            <w:tr w:rsidR="006B24A7" w14:paraId="00BB334D" w14:textId="77777777" w:rsidTr="00D46F34">
              <w:tc>
                <w:tcPr>
                  <w:tcW w:w="405" w:type="pct"/>
                  <w:vAlign w:val="bottom"/>
                </w:tcPr>
                <w:p w14:paraId="00BB3347" w14:textId="77777777" w:rsidR="006B24A7" w:rsidRPr="006F1364" w:rsidRDefault="006B24A7" w:rsidP="00453A36">
                  <w:pPr>
                    <w:pStyle w:val="TableBodyText"/>
                    <w:jc w:val="left"/>
                  </w:pPr>
                  <w:r w:rsidRPr="006F1364">
                    <w:t>66</w:t>
                  </w:r>
                </w:p>
              </w:tc>
              <w:tc>
                <w:tcPr>
                  <w:tcW w:w="3425" w:type="pct"/>
                  <w:vAlign w:val="bottom"/>
                </w:tcPr>
                <w:p w14:paraId="00BB3348" w14:textId="77777777" w:rsidR="006B24A7" w:rsidRPr="007029F1" w:rsidRDefault="006B24A7" w:rsidP="00453A36">
                  <w:pPr>
                    <w:pStyle w:val="TableBodyText"/>
                    <w:jc w:val="left"/>
                  </w:pPr>
                  <w:r>
                    <w:t>Superannuation fund services</w:t>
                  </w:r>
                </w:p>
              </w:tc>
              <w:tc>
                <w:tcPr>
                  <w:tcW w:w="1170" w:type="pct"/>
                </w:tcPr>
                <w:p w14:paraId="00BB3349" w14:textId="77777777" w:rsidR="006B24A7" w:rsidRDefault="006B24A7" w:rsidP="00453A36">
                  <w:pPr>
                    <w:pStyle w:val="TableBodyText"/>
                  </w:pPr>
                  <w:r>
                    <w:t>6301 (part)</w:t>
                  </w:r>
                </w:p>
              </w:tc>
            </w:tr>
            <w:tr w:rsidR="006B24A7" w14:paraId="00BB3354" w14:textId="77777777" w:rsidTr="00D46F34">
              <w:tc>
                <w:tcPr>
                  <w:tcW w:w="405" w:type="pct"/>
                  <w:vAlign w:val="bottom"/>
                </w:tcPr>
                <w:p w14:paraId="00BB334E" w14:textId="77777777" w:rsidR="006B24A7" w:rsidRPr="006F1364" w:rsidRDefault="006B24A7" w:rsidP="00453A36">
                  <w:pPr>
                    <w:pStyle w:val="TableBodyText"/>
                    <w:jc w:val="left"/>
                  </w:pPr>
                  <w:r w:rsidRPr="006F1364">
                    <w:t>67</w:t>
                  </w:r>
                </w:p>
              </w:tc>
              <w:tc>
                <w:tcPr>
                  <w:tcW w:w="3425" w:type="pct"/>
                  <w:vAlign w:val="bottom"/>
                </w:tcPr>
                <w:p w14:paraId="00BB334F" w14:textId="77777777" w:rsidR="006B24A7" w:rsidRPr="007029F1" w:rsidRDefault="006B24A7" w:rsidP="00453A36">
                  <w:pPr>
                    <w:pStyle w:val="TableBodyText"/>
                    <w:jc w:val="left"/>
                  </w:pPr>
                  <w:r>
                    <w:t>Other financial services</w:t>
                  </w:r>
                </w:p>
              </w:tc>
              <w:tc>
                <w:tcPr>
                  <w:tcW w:w="1170" w:type="pct"/>
                </w:tcPr>
                <w:p w14:paraId="00BB3350" w14:textId="77777777" w:rsidR="006B24A7" w:rsidRDefault="006B24A7" w:rsidP="00453A36">
                  <w:pPr>
                    <w:pStyle w:val="TableBodyText"/>
                  </w:pPr>
                  <w:r>
                    <w:t>6401</w:t>
                  </w:r>
                </w:p>
              </w:tc>
            </w:tr>
            <w:tr w:rsidR="006B24A7" w14:paraId="00BB335B" w14:textId="77777777" w:rsidTr="00D46F34">
              <w:tc>
                <w:tcPr>
                  <w:tcW w:w="405" w:type="pct"/>
                  <w:vAlign w:val="bottom"/>
                </w:tcPr>
                <w:p w14:paraId="00BB3355" w14:textId="77777777" w:rsidR="006B24A7" w:rsidRPr="006F1364" w:rsidRDefault="006B24A7" w:rsidP="00453A36">
                  <w:pPr>
                    <w:pStyle w:val="TableBodyText"/>
                    <w:jc w:val="left"/>
                  </w:pPr>
                  <w:r w:rsidRPr="006F1364">
                    <w:t>68</w:t>
                  </w:r>
                </w:p>
              </w:tc>
              <w:tc>
                <w:tcPr>
                  <w:tcW w:w="3425" w:type="pct"/>
                  <w:vAlign w:val="bottom"/>
                </w:tcPr>
                <w:p w14:paraId="00BB3356" w14:textId="77777777" w:rsidR="006B24A7" w:rsidRPr="007029F1" w:rsidRDefault="006B24A7" w:rsidP="00453A36">
                  <w:pPr>
                    <w:pStyle w:val="TableBodyText"/>
                    <w:jc w:val="left"/>
                  </w:pPr>
                  <w:r>
                    <w:t>Ownership of dwellings</w:t>
                  </w:r>
                </w:p>
              </w:tc>
              <w:tc>
                <w:tcPr>
                  <w:tcW w:w="1170" w:type="pct"/>
                </w:tcPr>
                <w:p w14:paraId="00BB3357" w14:textId="77777777" w:rsidR="006B24A7" w:rsidRDefault="006B24A7" w:rsidP="00453A36">
                  <w:pPr>
                    <w:pStyle w:val="TableBodyText"/>
                  </w:pPr>
                  <w:r>
                    <w:t>6701, 7310</w:t>
                  </w:r>
                </w:p>
              </w:tc>
            </w:tr>
            <w:tr w:rsidR="006B24A7" w14:paraId="00BB3362" w14:textId="77777777" w:rsidTr="00D46F34">
              <w:tc>
                <w:tcPr>
                  <w:tcW w:w="405" w:type="pct"/>
                  <w:vAlign w:val="bottom"/>
                </w:tcPr>
                <w:p w14:paraId="00BB335C" w14:textId="77777777" w:rsidR="006B24A7" w:rsidRPr="006F1364" w:rsidRDefault="006B24A7" w:rsidP="00453A36">
                  <w:pPr>
                    <w:pStyle w:val="TableBodyText"/>
                    <w:jc w:val="left"/>
                  </w:pPr>
                  <w:r w:rsidRPr="006F1364">
                    <w:t>69</w:t>
                  </w:r>
                </w:p>
              </w:tc>
              <w:tc>
                <w:tcPr>
                  <w:tcW w:w="3425" w:type="pct"/>
                  <w:vAlign w:val="bottom"/>
                </w:tcPr>
                <w:p w14:paraId="00BB335D" w14:textId="77777777" w:rsidR="006B24A7" w:rsidRPr="007029F1" w:rsidRDefault="006B24A7" w:rsidP="00453A36">
                  <w:pPr>
                    <w:pStyle w:val="TableBodyText"/>
                    <w:jc w:val="left"/>
                  </w:pPr>
                  <w:r>
                    <w:t>Business services</w:t>
                  </w:r>
                </w:p>
              </w:tc>
              <w:tc>
                <w:tcPr>
                  <w:tcW w:w="1170" w:type="pct"/>
                </w:tcPr>
                <w:p w14:paraId="00BB335E" w14:textId="77777777" w:rsidR="006B24A7" w:rsidRDefault="006B24A7" w:rsidP="00453A36">
                  <w:pPr>
                    <w:pStyle w:val="TableBodyText"/>
                  </w:pPr>
                  <w:r>
                    <w:t>6601, 6702</w:t>
                  </w:r>
                  <w:r>
                    <w:noBreakHyphen/>
                    <w:t>7310</w:t>
                  </w:r>
                </w:p>
              </w:tc>
            </w:tr>
            <w:tr w:rsidR="006B24A7" w14:paraId="00BB3369" w14:textId="77777777" w:rsidTr="00D46F34">
              <w:tc>
                <w:tcPr>
                  <w:tcW w:w="405" w:type="pct"/>
                  <w:vAlign w:val="bottom"/>
                </w:tcPr>
                <w:p w14:paraId="00BB3363" w14:textId="77777777" w:rsidR="006B24A7" w:rsidRPr="006F1364" w:rsidRDefault="006B24A7" w:rsidP="00453A36">
                  <w:pPr>
                    <w:pStyle w:val="TableBodyText"/>
                    <w:jc w:val="left"/>
                  </w:pPr>
                  <w:r w:rsidRPr="006F1364">
                    <w:t>70</w:t>
                  </w:r>
                </w:p>
              </w:tc>
              <w:tc>
                <w:tcPr>
                  <w:tcW w:w="3425" w:type="pct"/>
                  <w:vAlign w:val="bottom"/>
                </w:tcPr>
                <w:p w14:paraId="00BB3364" w14:textId="77777777" w:rsidR="006B24A7" w:rsidRPr="007029F1" w:rsidRDefault="006B24A7" w:rsidP="00453A36">
                  <w:pPr>
                    <w:pStyle w:val="TableBodyText"/>
                    <w:jc w:val="left"/>
                  </w:pPr>
                  <w:r>
                    <w:t>Public administration and public order and safety</w:t>
                  </w:r>
                </w:p>
              </w:tc>
              <w:tc>
                <w:tcPr>
                  <w:tcW w:w="1170" w:type="pct"/>
                </w:tcPr>
                <w:p w14:paraId="00BB3365" w14:textId="77777777" w:rsidR="006B24A7" w:rsidRDefault="006B24A7" w:rsidP="00453A36">
                  <w:pPr>
                    <w:pStyle w:val="TableBodyText"/>
                  </w:pPr>
                  <w:r>
                    <w:t>7501, 7701</w:t>
                  </w:r>
                </w:p>
              </w:tc>
            </w:tr>
            <w:tr w:rsidR="006B24A7" w14:paraId="00BB3370" w14:textId="77777777" w:rsidTr="00D46F34">
              <w:tc>
                <w:tcPr>
                  <w:tcW w:w="405" w:type="pct"/>
                  <w:vAlign w:val="bottom"/>
                </w:tcPr>
                <w:p w14:paraId="00BB336A" w14:textId="77777777" w:rsidR="006B24A7" w:rsidRPr="006F1364" w:rsidRDefault="006B24A7" w:rsidP="00453A36">
                  <w:pPr>
                    <w:pStyle w:val="TableBodyText"/>
                    <w:jc w:val="left"/>
                  </w:pPr>
                  <w:r w:rsidRPr="006F1364">
                    <w:t>71</w:t>
                  </w:r>
                </w:p>
              </w:tc>
              <w:tc>
                <w:tcPr>
                  <w:tcW w:w="3425" w:type="pct"/>
                  <w:vAlign w:val="bottom"/>
                </w:tcPr>
                <w:p w14:paraId="00BB336B" w14:textId="77777777" w:rsidR="006B24A7" w:rsidRPr="007029F1" w:rsidRDefault="006B24A7" w:rsidP="00453A36">
                  <w:pPr>
                    <w:pStyle w:val="TableBodyText"/>
                    <w:jc w:val="left"/>
                  </w:pPr>
                  <w:r>
                    <w:t>Defence</w:t>
                  </w:r>
                </w:p>
              </w:tc>
              <w:tc>
                <w:tcPr>
                  <w:tcW w:w="1170" w:type="pct"/>
                </w:tcPr>
                <w:p w14:paraId="00BB336C" w14:textId="77777777" w:rsidR="006B24A7" w:rsidRDefault="006B24A7" w:rsidP="00453A36">
                  <w:pPr>
                    <w:pStyle w:val="TableBodyText"/>
                  </w:pPr>
                  <w:r>
                    <w:t>7601</w:t>
                  </w:r>
                </w:p>
              </w:tc>
            </w:tr>
            <w:tr w:rsidR="006B24A7" w14:paraId="00BB3377" w14:textId="77777777" w:rsidTr="00D46F34">
              <w:tc>
                <w:tcPr>
                  <w:tcW w:w="405" w:type="pct"/>
                  <w:vAlign w:val="bottom"/>
                </w:tcPr>
                <w:p w14:paraId="00BB3371" w14:textId="77777777" w:rsidR="006B24A7" w:rsidRPr="006F1364" w:rsidRDefault="006B24A7" w:rsidP="00453A36">
                  <w:pPr>
                    <w:pStyle w:val="TableBodyText"/>
                    <w:jc w:val="left"/>
                  </w:pPr>
                  <w:r w:rsidRPr="006F1364">
                    <w:t>72</w:t>
                  </w:r>
                </w:p>
              </w:tc>
              <w:tc>
                <w:tcPr>
                  <w:tcW w:w="3425" w:type="pct"/>
                  <w:vAlign w:val="bottom"/>
                </w:tcPr>
                <w:p w14:paraId="00BB3372" w14:textId="77777777" w:rsidR="006B24A7" w:rsidRPr="007029F1" w:rsidRDefault="006B24A7" w:rsidP="00453A36">
                  <w:pPr>
                    <w:pStyle w:val="TableBodyText"/>
                    <w:jc w:val="left"/>
                  </w:pPr>
                  <w:r>
                    <w:t>Primary and secondary education</w:t>
                  </w:r>
                </w:p>
              </w:tc>
              <w:tc>
                <w:tcPr>
                  <w:tcW w:w="1170" w:type="pct"/>
                </w:tcPr>
                <w:p w14:paraId="00BB3373" w14:textId="77777777" w:rsidR="006B24A7" w:rsidRDefault="006B24A7" w:rsidP="00453A36">
                  <w:pPr>
                    <w:pStyle w:val="TableBodyText"/>
                  </w:pPr>
                  <w:r>
                    <w:t>8010</w:t>
                  </w:r>
                </w:p>
              </w:tc>
            </w:tr>
            <w:tr w:rsidR="006B24A7" w14:paraId="00BB337E" w14:textId="77777777" w:rsidTr="00D46F34">
              <w:tc>
                <w:tcPr>
                  <w:tcW w:w="405" w:type="pct"/>
                  <w:vAlign w:val="bottom"/>
                </w:tcPr>
                <w:p w14:paraId="00BB3378" w14:textId="77777777" w:rsidR="006B24A7" w:rsidRPr="006F1364" w:rsidRDefault="006B24A7" w:rsidP="00453A36">
                  <w:pPr>
                    <w:pStyle w:val="TableBodyText"/>
                    <w:jc w:val="left"/>
                  </w:pPr>
                  <w:r w:rsidRPr="006F1364">
                    <w:t>73</w:t>
                  </w:r>
                </w:p>
              </w:tc>
              <w:tc>
                <w:tcPr>
                  <w:tcW w:w="3425" w:type="pct"/>
                  <w:vAlign w:val="bottom"/>
                </w:tcPr>
                <w:p w14:paraId="00BB3379" w14:textId="77777777" w:rsidR="006B24A7" w:rsidRPr="007029F1" w:rsidRDefault="006B24A7" w:rsidP="00453A36">
                  <w:pPr>
                    <w:pStyle w:val="TableBodyText"/>
                    <w:jc w:val="left"/>
                  </w:pPr>
                  <w:r>
                    <w:t>Technical, vocational and tertiary education</w:t>
                  </w:r>
                </w:p>
              </w:tc>
              <w:tc>
                <w:tcPr>
                  <w:tcW w:w="1170" w:type="pct"/>
                </w:tcPr>
                <w:p w14:paraId="00BB337A" w14:textId="77777777" w:rsidR="006B24A7" w:rsidRDefault="006B24A7" w:rsidP="00453A36">
                  <w:pPr>
                    <w:pStyle w:val="TableBodyText"/>
                  </w:pPr>
                  <w:r>
                    <w:t>8110</w:t>
                  </w:r>
                </w:p>
              </w:tc>
            </w:tr>
            <w:tr w:rsidR="006B24A7" w14:paraId="00BB3385" w14:textId="77777777" w:rsidTr="00D46F34">
              <w:tc>
                <w:tcPr>
                  <w:tcW w:w="405" w:type="pct"/>
                  <w:vAlign w:val="bottom"/>
                </w:tcPr>
                <w:p w14:paraId="00BB337F" w14:textId="77777777" w:rsidR="006B24A7" w:rsidRPr="006F1364" w:rsidRDefault="006B24A7" w:rsidP="00453A36">
                  <w:pPr>
                    <w:pStyle w:val="TableBodyText"/>
                    <w:jc w:val="left"/>
                  </w:pPr>
                  <w:r w:rsidRPr="006F1364">
                    <w:t>74</w:t>
                  </w:r>
                </w:p>
              </w:tc>
              <w:tc>
                <w:tcPr>
                  <w:tcW w:w="3425" w:type="pct"/>
                  <w:vAlign w:val="bottom"/>
                </w:tcPr>
                <w:p w14:paraId="00BB3380" w14:textId="77777777" w:rsidR="006B24A7" w:rsidRPr="007029F1" w:rsidRDefault="006B24A7" w:rsidP="00453A36">
                  <w:pPr>
                    <w:pStyle w:val="TableBodyText"/>
                    <w:jc w:val="left"/>
                  </w:pPr>
                  <w:r>
                    <w:t>Health care services</w:t>
                  </w:r>
                </w:p>
              </w:tc>
              <w:tc>
                <w:tcPr>
                  <w:tcW w:w="1170" w:type="pct"/>
                </w:tcPr>
                <w:p w14:paraId="00BB3381" w14:textId="77777777" w:rsidR="006B24A7" w:rsidRDefault="006B24A7" w:rsidP="00453A36">
                  <w:pPr>
                    <w:pStyle w:val="TableBodyText"/>
                  </w:pPr>
                  <w:r>
                    <w:t>8401</w:t>
                  </w:r>
                </w:p>
              </w:tc>
            </w:tr>
            <w:tr w:rsidR="006B24A7" w14:paraId="00BB338C" w14:textId="77777777" w:rsidTr="00D46F34">
              <w:tc>
                <w:tcPr>
                  <w:tcW w:w="405" w:type="pct"/>
                  <w:vAlign w:val="bottom"/>
                </w:tcPr>
                <w:p w14:paraId="00BB3386" w14:textId="77777777" w:rsidR="006B24A7" w:rsidRPr="006F1364" w:rsidRDefault="006B24A7" w:rsidP="00453A36">
                  <w:pPr>
                    <w:pStyle w:val="TableBodyText"/>
                    <w:jc w:val="left"/>
                  </w:pPr>
                  <w:r w:rsidRPr="006F1364">
                    <w:t>75</w:t>
                  </w:r>
                </w:p>
              </w:tc>
              <w:tc>
                <w:tcPr>
                  <w:tcW w:w="3425" w:type="pct"/>
                  <w:vAlign w:val="bottom"/>
                </w:tcPr>
                <w:p w14:paraId="00BB3387" w14:textId="77777777" w:rsidR="006B24A7" w:rsidRPr="007029F1" w:rsidRDefault="006B24A7" w:rsidP="00453A36">
                  <w:pPr>
                    <w:pStyle w:val="TableBodyText"/>
                    <w:jc w:val="left"/>
                  </w:pPr>
                  <w:r>
                    <w:t>Residential care and social assistance services</w:t>
                  </w:r>
                </w:p>
              </w:tc>
              <w:tc>
                <w:tcPr>
                  <w:tcW w:w="1170" w:type="pct"/>
                </w:tcPr>
                <w:p w14:paraId="00BB3388" w14:textId="77777777" w:rsidR="006B24A7" w:rsidRDefault="006B24A7" w:rsidP="00453A36">
                  <w:pPr>
                    <w:pStyle w:val="TableBodyText"/>
                  </w:pPr>
                  <w:r>
                    <w:t>8601</w:t>
                  </w:r>
                </w:p>
              </w:tc>
            </w:tr>
            <w:tr w:rsidR="006B24A7" w14:paraId="00BB3393" w14:textId="77777777" w:rsidTr="00D46F34">
              <w:tc>
                <w:tcPr>
                  <w:tcW w:w="405" w:type="pct"/>
                  <w:vAlign w:val="bottom"/>
                </w:tcPr>
                <w:p w14:paraId="00BB338D" w14:textId="77777777" w:rsidR="006B24A7" w:rsidRPr="006F1364" w:rsidRDefault="006B24A7" w:rsidP="00453A36">
                  <w:pPr>
                    <w:pStyle w:val="TableBodyText"/>
                    <w:jc w:val="left"/>
                  </w:pPr>
                  <w:r w:rsidRPr="006F1364">
                    <w:t>76</w:t>
                  </w:r>
                </w:p>
              </w:tc>
              <w:tc>
                <w:tcPr>
                  <w:tcW w:w="3425" w:type="pct"/>
                  <w:vAlign w:val="bottom"/>
                </w:tcPr>
                <w:p w14:paraId="00BB338E" w14:textId="77777777" w:rsidR="006B24A7" w:rsidRPr="007029F1" w:rsidRDefault="006B24A7" w:rsidP="00453A36">
                  <w:pPr>
                    <w:pStyle w:val="TableBodyText"/>
                    <w:jc w:val="left"/>
                  </w:pPr>
                  <w:r>
                    <w:t>Arts and recreation services</w:t>
                  </w:r>
                </w:p>
              </w:tc>
              <w:tc>
                <w:tcPr>
                  <w:tcW w:w="1170" w:type="pct"/>
                </w:tcPr>
                <w:p w14:paraId="00BB338F" w14:textId="77777777" w:rsidR="006B24A7" w:rsidRDefault="006B24A7" w:rsidP="00453A36">
                  <w:pPr>
                    <w:pStyle w:val="TableBodyText"/>
                  </w:pPr>
                  <w:r>
                    <w:t>8210</w:t>
                  </w:r>
                  <w:r>
                    <w:noBreakHyphen/>
                    <w:t>9201</w:t>
                  </w:r>
                </w:p>
              </w:tc>
            </w:tr>
            <w:tr w:rsidR="006B24A7" w14:paraId="00BB339A" w14:textId="77777777" w:rsidTr="00D46F34">
              <w:tc>
                <w:tcPr>
                  <w:tcW w:w="405" w:type="pct"/>
                  <w:vAlign w:val="bottom"/>
                </w:tcPr>
                <w:p w14:paraId="00BB3394" w14:textId="77777777" w:rsidR="006B24A7" w:rsidRPr="006F1364" w:rsidRDefault="006B24A7" w:rsidP="00453A36">
                  <w:pPr>
                    <w:pStyle w:val="TableBodyText"/>
                    <w:jc w:val="left"/>
                  </w:pPr>
                  <w:r w:rsidRPr="006F1364">
                    <w:t>77</w:t>
                  </w:r>
                </w:p>
              </w:tc>
              <w:tc>
                <w:tcPr>
                  <w:tcW w:w="3425" w:type="pct"/>
                  <w:vAlign w:val="bottom"/>
                </w:tcPr>
                <w:p w14:paraId="00BB3395" w14:textId="77777777" w:rsidR="006B24A7" w:rsidRPr="007029F1" w:rsidRDefault="006B24A7" w:rsidP="00453A36">
                  <w:pPr>
                    <w:pStyle w:val="TableBodyText"/>
                    <w:jc w:val="left"/>
                  </w:pPr>
                  <w:r>
                    <w:t>Automotive repair and maintenance</w:t>
                  </w:r>
                </w:p>
              </w:tc>
              <w:tc>
                <w:tcPr>
                  <w:tcW w:w="1170" w:type="pct"/>
                </w:tcPr>
                <w:p w14:paraId="00BB3396" w14:textId="77777777" w:rsidR="006B24A7" w:rsidRDefault="006B24A7" w:rsidP="00453A36">
                  <w:pPr>
                    <w:pStyle w:val="TableBodyText"/>
                  </w:pPr>
                  <w:r>
                    <w:t>9401</w:t>
                  </w:r>
                </w:p>
              </w:tc>
            </w:tr>
            <w:tr w:rsidR="006B24A7" w14:paraId="00BB33A1" w14:textId="77777777" w:rsidTr="00D46F34">
              <w:tc>
                <w:tcPr>
                  <w:tcW w:w="405" w:type="pct"/>
                  <w:vAlign w:val="bottom"/>
                </w:tcPr>
                <w:p w14:paraId="00BB339B" w14:textId="77777777" w:rsidR="006B24A7" w:rsidRPr="006F1364" w:rsidRDefault="006B24A7" w:rsidP="00453A36">
                  <w:pPr>
                    <w:pStyle w:val="TableBodyText"/>
                    <w:jc w:val="left"/>
                  </w:pPr>
                  <w:r w:rsidRPr="006F1364">
                    <w:t>78</w:t>
                  </w:r>
                </w:p>
              </w:tc>
              <w:tc>
                <w:tcPr>
                  <w:tcW w:w="3425" w:type="pct"/>
                  <w:vAlign w:val="bottom"/>
                </w:tcPr>
                <w:p w14:paraId="00BB339C" w14:textId="77777777" w:rsidR="006B24A7" w:rsidRPr="007029F1" w:rsidRDefault="006B24A7" w:rsidP="00453A36">
                  <w:pPr>
                    <w:pStyle w:val="TableBodyText"/>
                    <w:jc w:val="left"/>
                  </w:pPr>
                  <w:r>
                    <w:t>Other repair and maintenance</w:t>
                  </w:r>
                </w:p>
              </w:tc>
              <w:tc>
                <w:tcPr>
                  <w:tcW w:w="1170" w:type="pct"/>
                </w:tcPr>
                <w:p w14:paraId="00BB339D" w14:textId="77777777" w:rsidR="006B24A7" w:rsidRDefault="006B24A7" w:rsidP="00453A36">
                  <w:pPr>
                    <w:pStyle w:val="TableBodyText"/>
                  </w:pPr>
                  <w:r>
                    <w:t>9402</w:t>
                  </w:r>
                </w:p>
              </w:tc>
            </w:tr>
            <w:tr w:rsidR="006B24A7" w14:paraId="00BB33A8" w14:textId="77777777" w:rsidTr="00D46F34">
              <w:tc>
                <w:tcPr>
                  <w:tcW w:w="405" w:type="pct"/>
                  <w:tcBorders>
                    <w:bottom w:val="single" w:sz="6" w:space="0" w:color="BFBFBF"/>
                  </w:tcBorders>
                  <w:vAlign w:val="bottom"/>
                </w:tcPr>
                <w:p w14:paraId="00BB33A2" w14:textId="77777777" w:rsidR="006B24A7" w:rsidRPr="006F1364" w:rsidRDefault="006B24A7" w:rsidP="00453A36">
                  <w:pPr>
                    <w:pStyle w:val="TableBodyText"/>
                    <w:jc w:val="left"/>
                  </w:pPr>
                  <w:r>
                    <w:t>79</w:t>
                  </w:r>
                </w:p>
              </w:tc>
              <w:tc>
                <w:tcPr>
                  <w:tcW w:w="3425" w:type="pct"/>
                  <w:tcBorders>
                    <w:bottom w:val="single" w:sz="6" w:space="0" w:color="BFBFBF"/>
                  </w:tcBorders>
                  <w:vAlign w:val="bottom"/>
                </w:tcPr>
                <w:p w14:paraId="00BB33A3" w14:textId="77777777" w:rsidR="006B24A7" w:rsidRPr="007029F1" w:rsidRDefault="006B24A7" w:rsidP="00453A36">
                  <w:pPr>
                    <w:pStyle w:val="TableBodyText"/>
                    <w:jc w:val="left"/>
                  </w:pPr>
                  <w:r>
                    <w:t>Personal and other services</w:t>
                  </w:r>
                </w:p>
              </w:tc>
              <w:tc>
                <w:tcPr>
                  <w:tcW w:w="1170" w:type="pct"/>
                  <w:tcBorders>
                    <w:bottom w:val="single" w:sz="6" w:space="0" w:color="BFBFBF"/>
                  </w:tcBorders>
                </w:tcPr>
                <w:p w14:paraId="00BB33A4" w14:textId="77777777" w:rsidR="006B24A7" w:rsidRDefault="006B24A7" w:rsidP="00453A36">
                  <w:pPr>
                    <w:pStyle w:val="TableBodyText"/>
                  </w:pPr>
                  <w:r>
                    <w:t>9501, 9502</w:t>
                  </w:r>
                </w:p>
              </w:tc>
            </w:tr>
          </w:tbl>
          <w:p w14:paraId="00BB33A9" w14:textId="77777777" w:rsidR="0034060E" w:rsidRDefault="0034060E" w:rsidP="00453A36">
            <w:pPr>
              <w:pStyle w:val="Box"/>
            </w:pPr>
          </w:p>
        </w:tc>
      </w:tr>
      <w:tr w:rsidR="00E379FC" w:rsidRPr="00176D3F" w14:paraId="63C5D2D8" w14:textId="77777777" w:rsidTr="00D46F34">
        <w:tblPrEx>
          <w:tblBorders>
            <w:top w:val="single" w:sz="6" w:space="0" w:color="78A22F"/>
            <w:left w:val="single" w:sz="6" w:space="0" w:color="78A22F"/>
            <w:bottom w:val="single" w:sz="6" w:space="0" w:color="78A22F"/>
            <w:right w:val="single" w:sz="6" w:space="0" w:color="78A22F"/>
          </w:tblBorders>
        </w:tblPrEx>
        <w:tc>
          <w:tcPr>
            <w:tcW w:w="8767" w:type="dxa"/>
            <w:tcBorders>
              <w:top w:val="nil"/>
              <w:left w:val="nil"/>
              <w:bottom w:val="nil"/>
              <w:right w:val="nil"/>
            </w:tcBorders>
            <w:shd w:val="clear" w:color="auto" w:fill="auto"/>
          </w:tcPr>
          <w:p w14:paraId="7890BD94" w14:textId="6B6BDE18" w:rsidR="00E379FC" w:rsidRPr="00176D3F" w:rsidRDefault="00E379FC" w:rsidP="00D46F34">
            <w:pPr>
              <w:pStyle w:val="Source"/>
            </w:pPr>
            <w:r>
              <w:rPr>
                <w:i/>
              </w:rPr>
              <w:t>S</w:t>
            </w:r>
            <w:r w:rsidRPr="00784A05">
              <w:rPr>
                <w:i/>
              </w:rPr>
              <w:t>ource</w:t>
            </w:r>
            <w:r w:rsidRPr="00176D3F">
              <w:t>:</w:t>
            </w:r>
            <w:r>
              <w:t xml:space="preserve"> </w:t>
            </w:r>
            <w:proofErr w:type="spellStart"/>
            <w:r>
              <w:t>CoPS</w:t>
            </w:r>
            <w:proofErr w:type="spellEnd"/>
            <w:r>
              <w:t> </w:t>
            </w:r>
            <w:r w:rsidRPr="004F0171">
              <w:rPr>
                <w:rFonts w:cs="Arial"/>
              </w:rPr>
              <w:t>(forthcoming)</w:t>
            </w:r>
            <w:r>
              <w:t>.</w:t>
            </w:r>
          </w:p>
        </w:tc>
      </w:tr>
      <w:tr w:rsidR="0034060E" w14:paraId="00BB33AC" w14:textId="77777777" w:rsidTr="00D46F34">
        <w:trPr>
          <w:cantSplit/>
        </w:trPr>
        <w:tc>
          <w:tcPr>
            <w:tcW w:w="8767" w:type="dxa"/>
            <w:tcBorders>
              <w:top w:val="nil"/>
              <w:left w:val="nil"/>
              <w:bottom w:val="single" w:sz="6" w:space="0" w:color="78A22F"/>
              <w:right w:val="nil"/>
            </w:tcBorders>
            <w:shd w:val="clear" w:color="auto" w:fill="auto"/>
          </w:tcPr>
          <w:p w14:paraId="00BB33AB" w14:textId="77777777" w:rsidR="0034060E" w:rsidRDefault="0034060E" w:rsidP="00453A36">
            <w:pPr>
              <w:pStyle w:val="Box"/>
              <w:spacing w:before="0" w:line="120" w:lineRule="exact"/>
            </w:pPr>
          </w:p>
        </w:tc>
      </w:tr>
      <w:tr w:rsidR="0034060E" w:rsidRPr="000863A5" w14:paraId="00BB33AE" w14:textId="77777777" w:rsidTr="00D46F34">
        <w:tc>
          <w:tcPr>
            <w:tcW w:w="8767" w:type="dxa"/>
            <w:tcBorders>
              <w:top w:val="single" w:sz="6" w:space="0" w:color="78A22F"/>
              <w:left w:val="nil"/>
              <w:bottom w:val="nil"/>
              <w:right w:val="nil"/>
            </w:tcBorders>
          </w:tcPr>
          <w:p w14:paraId="00BB33AD" w14:textId="5D8380D3" w:rsidR="0034060E" w:rsidRPr="00626D32" w:rsidRDefault="0034060E" w:rsidP="00453A36">
            <w:pPr>
              <w:pStyle w:val="BoxSpaceBelow"/>
            </w:pPr>
          </w:p>
        </w:tc>
      </w:tr>
    </w:tbl>
    <w:p w14:paraId="00BB33B1" w14:textId="18F20A67"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34060E" w14:paraId="00BB33B3" w14:textId="77777777" w:rsidTr="00D46F34">
        <w:tc>
          <w:tcPr>
            <w:tcW w:w="8796" w:type="dxa"/>
            <w:tcBorders>
              <w:top w:val="single" w:sz="6" w:space="0" w:color="78A22F"/>
              <w:left w:val="nil"/>
              <w:bottom w:val="nil"/>
              <w:right w:val="nil"/>
            </w:tcBorders>
            <w:shd w:val="clear" w:color="auto" w:fill="auto"/>
          </w:tcPr>
          <w:p w14:paraId="00BB33B2" w14:textId="61CBF4FC" w:rsidR="0034060E" w:rsidRPr="00784A05" w:rsidRDefault="0034060E" w:rsidP="00453A36">
            <w:pPr>
              <w:pStyle w:val="TableTitle"/>
            </w:pPr>
            <w:r>
              <w:rPr>
                <w:b w:val="0"/>
              </w:rPr>
              <w:t xml:space="preserve">Table </w:t>
            </w:r>
            <w:proofErr w:type="spellStart"/>
            <w:r>
              <w:rPr>
                <w:b w:val="0"/>
              </w:rPr>
              <w:t>B.</w:t>
            </w:r>
            <w:r>
              <w:rPr>
                <w:b w:val="0"/>
                <w:noProof/>
              </w:rPr>
              <w:t>3</w:t>
            </w:r>
            <w:proofErr w:type="spellEnd"/>
            <w:r>
              <w:tab/>
            </w:r>
            <w:r w:rsidRPr="00534471">
              <w:t xml:space="preserve">Concordance between </w:t>
            </w:r>
            <w:r>
              <w:t xml:space="preserve">commodities in </w:t>
            </w:r>
            <w:r w:rsidRPr="00534471">
              <w:t xml:space="preserve">the </w:t>
            </w:r>
            <w:proofErr w:type="spellStart"/>
            <w:r>
              <w:t>VUMR</w:t>
            </w:r>
            <w:proofErr w:type="spellEnd"/>
            <w:r w:rsidRPr="00534471">
              <w:t xml:space="preserve"> </w:t>
            </w:r>
            <w:r>
              <w:t xml:space="preserve">database </w:t>
            </w:r>
            <w:r w:rsidRPr="00534471">
              <w:t>and the 200</w:t>
            </w:r>
            <w:r>
              <w:t>9</w:t>
            </w:r>
            <w:r w:rsidRPr="00534471">
              <w:noBreakHyphen/>
            </w:r>
            <w:r>
              <w:t>1</w:t>
            </w:r>
            <w:r w:rsidRPr="00534471">
              <w:t>0 ABS input</w:t>
            </w:r>
            <w:r w:rsidRPr="00534471">
              <w:noBreakHyphen/>
              <w:t xml:space="preserve">output </w:t>
            </w:r>
            <w:r>
              <w:t xml:space="preserve">industry </w:t>
            </w:r>
            <w:r w:rsidRPr="00534471">
              <w:t>groups</w:t>
            </w:r>
          </w:p>
        </w:tc>
      </w:tr>
      <w:tr w:rsidR="0034060E" w14:paraId="00BB34CD" w14:textId="77777777" w:rsidTr="00D46F34">
        <w:trPr>
          <w:cantSplit/>
        </w:trPr>
        <w:tc>
          <w:tcPr>
            <w:tcW w:w="8796"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71"/>
              <w:gridCol w:w="5676"/>
              <w:gridCol w:w="2065"/>
            </w:tblGrid>
            <w:tr w:rsidR="006B24A7" w14:paraId="00BB33BA" w14:textId="77777777" w:rsidTr="00D46F34">
              <w:tc>
                <w:tcPr>
                  <w:tcW w:w="453" w:type="pct"/>
                  <w:tcBorders>
                    <w:top w:val="single" w:sz="6" w:space="0" w:color="BFBFBF"/>
                    <w:bottom w:val="single" w:sz="6" w:space="0" w:color="BFBFBF"/>
                  </w:tcBorders>
                </w:tcPr>
                <w:p w14:paraId="00BB33B4" w14:textId="77777777" w:rsidR="006B24A7" w:rsidRPr="00192818" w:rsidRDefault="006B24A7" w:rsidP="00453A36">
                  <w:pPr>
                    <w:pStyle w:val="TableColumnHeading"/>
                    <w:jc w:val="left"/>
                  </w:pPr>
                  <w:r w:rsidRPr="00192818">
                    <w:t>No.</w:t>
                  </w:r>
                </w:p>
              </w:tc>
              <w:tc>
                <w:tcPr>
                  <w:tcW w:w="3333" w:type="pct"/>
                  <w:tcBorders>
                    <w:top w:val="single" w:sz="6" w:space="0" w:color="BFBFBF"/>
                    <w:bottom w:val="single" w:sz="6" w:space="0" w:color="BFBFBF"/>
                  </w:tcBorders>
                </w:tcPr>
                <w:p w14:paraId="00BB33B5" w14:textId="77777777" w:rsidR="006B24A7" w:rsidRPr="00723237" w:rsidRDefault="006B24A7" w:rsidP="00453A36">
                  <w:pPr>
                    <w:pStyle w:val="TableColumnHeading"/>
                    <w:jc w:val="left"/>
                  </w:pPr>
                  <w:proofErr w:type="spellStart"/>
                  <w:r w:rsidRPr="00723237">
                    <w:t>VUMR</w:t>
                  </w:r>
                  <w:proofErr w:type="spellEnd"/>
                  <w:r w:rsidRPr="00723237">
                    <w:t xml:space="preserve"> commodity</w:t>
                  </w:r>
                </w:p>
              </w:tc>
              <w:tc>
                <w:tcPr>
                  <w:tcW w:w="1213" w:type="pct"/>
                  <w:tcBorders>
                    <w:top w:val="single" w:sz="6" w:space="0" w:color="BFBFBF"/>
                    <w:bottom w:val="single" w:sz="6" w:space="0" w:color="BFBFBF"/>
                  </w:tcBorders>
                </w:tcPr>
                <w:p w14:paraId="00BB33B6" w14:textId="77777777" w:rsidR="006B24A7" w:rsidRPr="00723237" w:rsidRDefault="006B24A7" w:rsidP="00453A36">
                  <w:pPr>
                    <w:pStyle w:val="TableColumnHeading"/>
                  </w:pPr>
                  <w:proofErr w:type="spellStart"/>
                  <w:r w:rsidRPr="00723237">
                    <w:t>IOIG</w:t>
                  </w:r>
                  <w:proofErr w:type="spellEnd"/>
                  <w:r w:rsidRPr="00723237">
                    <w:t xml:space="preserve"> number</w:t>
                  </w:r>
                </w:p>
              </w:tc>
            </w:tr>
            <w:tr w:rsidR="006B24A7" w14:paraId="00BB33C1" w14:textId="77777777" w:rsidTr="00D46F34">
              <w:tc>
                <w:tcPr>
                  <w:tcW w:w="453" w:type="pct"/>
                  <w:tcBorders>
                    <w:top w:val="single" w:sz="6" w:space="0" w:color="BFBFBF"/>
                  </w:tcBorders>
                  <w:vAlign w:val="bottom"/>
                </w:tcPr>
                <w:p w14:paraId="00BB33BB" w14:textId="77777777" w:rsidR="006B24A7" w:rsidRPr="006F1364" w:rsidRDefault="006B24A7" w:rsidP="00453A36">
                  <w:pPr>
                    <w:pStyle w:val="TableBodyText"/>
                    <w:jc w:val="left"/>
                  </w:pPr>
                  <w:r w:rsidRPr="006F1364">
                    <w:t>1</w:t>
                  </w:r>
                </w:p>
              </w:tc>
              <w:tc>
                <w:tcPr>
                  <w:tcW w:w="3333" w:type="pct"/>
                  <w:tcBorders>
                    <w:top w:val="single" w:sz="6" w:space="0" w:color="BFBFBF"/>
                  </w:tcBorders>
                  <w:vAlign w:val="bottom"/>
                </w:tcPr>
                <w:p w14:paraId="00BB33BC" w14:textId="77777777" w:rsidR="006B24A7" w:rsidRPr="007029F1" w:rsidRDefault="006B24A7" w:rsidP="00453A36">
                  <w:pPr>
                    <w:pStyle w:val="TableBodyText"/>
                    <w:jc w:val="left"/>
                  </w:pPr>
                  <w:r>
                    <w:t>Sheep and beef cattle</w:t>
                  </w:r>
                </w:p>
              </w:tc>
              <w:tc>
                <w:tcPr>
                  <w:tcW w:w="1213" w:type="pct"/>
                  <w:tcBorders>
                    <w:top w:val="single" w:sz="6" w:space="0" w:color="BFBFBF"/>
                  </w:tcBorders>
                </w:tcPr>
                <w:p w14:paraId="00BB33BD" w14:textId="77777777" w:rsidR="006B24A7" w:rsidRDefault="006B24A7" w:rsidP="00453A36">
                  <w:pPr>
                    <w:pStyle w:val="TableBodyText"/>
                  </w:pPr>
                  <w:r>
                    <w:t>0101 (part)</w:t>
                  </w:r>
                </w:p>
              </w:tc>
            </w:tr>
            <w:tr w:rsidR="006B24A7" w14:paraId="00BB33C8" w14:textId="77777777" w:rsidTr="00D46F34">
              <w:tc>
                <w:tcPr>
                  <w:tcW w:w="453" w:type="pct"/>
                  <w:vAlign w:val="bottom"/>
                </w:tcPr>
                <w:p w14:paraId="00BB33C2" w14:textId="77777777" w:rsidR="006B24A7" w:rsidRPr="006F1364" w:rsidRDefault="006B24A7" w:rsidP="00453A36">
                  <w:pPr>
                    <w:pStyle w:val="TableBodyText"/>
                    <w:jc w:val="left"/>
                  </w:pPr>
                  <w:r w:rsidRPr="006F1364">
                    <w:t>2</w:t>
                  </w:r>
                </w:p>
              </w:tc>
              <w:tc>
                <w:tcPr>
                  <w:tcW w:w="3333" w:type="pct"/>
                  <w:vAlign w:val="bottom"/>
                </w:tcPr>
                <w:p w14:paraId="00BB33C3" w14:textId="77777777" w:rsidR="006B24A7" w:rsidRPr="007029F1" w:rsidRDefault="006B24A7" w:rsidP="00453A36">
                  <w:pPr>
                    <w:pStyle w:val="TableBodyText"/>
                    <w:jc w:val="left"/>
                  </w:pPr>
                  <w:r>
                    <w:t>Whole milk and dairy cattle</w:t>
                  </w:r>
                </w:p>
              </w:tc>
              <w:tc>
                <w:tcPr>
                  <w:tcW w:w="1213" w:type="pct"/>
                </w:tcPr>
                <w:p w14:paraId="00BB33C4" w14:textId="77777777" w:rsidR="006B24A7" w:rsidRDefault="006B24A7" w:rsidP="00453A36">
                  <w:pPr>
                    <w:pStyle w:val="TableBodyText"/>
                  </w:pPr>
                  <w:r>
                    <w:t>0101 (part)</w:t>
                  </w:r>
                </w:p>
              </w:tc>
            </w:tr>
            <w:tr w:rsidR="006B24A7" w14:paraId="00BB33CF" w14:textId="77777777" w:rsidTr="00D46F34">
              <w:tc>
                <w:tcPr>
                  <w:tcW w:w="453" w:type="pct"/>
                  <w:vAlign w:val="bottom"/>
                </w:tcPr>
                <w:p w14:paraId="00BB33C9" w14:textId="77777777" w:rsidR="006B24A7" w:rsidRPr="006F1364" w:rsidRDefault="006B24A7" w:rsidP="00453A36">
                  <w:pPr>
                    <w:pStyle w:val="TableBodyText"/>
                    <w:jc w:val="left"/>
                  </w:pPr>
                  <w:r w:rsidRPr="006F1364">
                    <w:t>3</w:t>
                  </w:r>
                </w:p>
              </w:tc>
              <w:tc>
                <w:tcPr>
                  <w:tcW w:w="3333" w:type="pct"/>
                  <w:vAlign w:val="bottom"/>
                </w:tcPr>
                <w:p w14:paraId="00BB33CA" w14:textId="77777777" w:rsidR="006B24A7" w:rsidRPr="007029F1" w:rsidRDefault="006B24A7" w:rsidP="00453A36">
                  <w:pPr>
                    <w:pStyle w:val="TableBodyText"/>
                    <w:jc w:val="left"/>
                  </w:pPr>
                  <w:r>
                    <w:t>Animals other than cattle and sheep</w:t>
                  </w:r>
                </w:p>
              </w:tc>
              <w:tc>
                <w:tcPr>
                  <w:tcW w:w="1213" w:type="pct"/>
                </w:tcPr>
                <w:p w14:paraId="00BB33CB" w14:textId="77777777" w:rsidR="006B24A7" w:rsidRDefault="006B24A7" w:rsidP="00453A36">
                  <w:pPr>
                    <w:pStyle w:val="TableBodyText"/>
                  </w:pPr>
                  <w:r>
                    <w:t>0101 (part), 0102</w:t>
                  </w:r>
                </w:p>
              </w:tc>
            </w:tr>
            <w:tr w:rsidR="006B24A7" w14:paraId="00BB33D6" w14:textId="77777777" w:rsidTr="00D46F34">
              <w:tc>
                <w:tcPr>
                  <w:tcW w:w="453" w:type="pct"/>
                  <w:vAlign w:val="bottom"/>
                </w:tcPr>
                <w:p w14:paraId="00BB33D0" w14:textId="77777777" w:rsidR="006B24A7" w:rsidRPr="006F1364" w:rsidRDefault="006B24A7" w:rsidP="00453A36">
                  <w:pPr>
                    <w:pStyle w:val="TableBodyText"/>
                    <w:jc w:val="left"/>
                  </w:pPr>
                  <w:r w:rsidRPr="006F1364">
                    <w:t>4</w:t>
                  </w:r>
                </w:p>
              </w:tc>
              <w:tc>
                <w:tcPr>
                  <w:tcW w:w="3333" w:type="pct"/>
                  <w:vAlign w:val="bottom"/>
                </w:tcPr>
                <w:p w14:paraId="00BB33D1" w14:textId="77777777" w:rsidR="006B24A7" w:rsidRPr="007029F1" w:rsidRDefault="006B24A7" w:rsidP="00453A36">
                  <w:pPr>
                    <w:pStyle w:val="TableBodyText"/>
                    <w:jc w:val="left"/>
                  </w:pPr>
                  <w:r>
                    <w:t>Crops and grains</w:t>
                  </w:r>
                </w:p>
              </w:tc>
              <w:tc>
                <w:tcPr>
                  <w:tcW w:w="1213" w:type="pct"/>
                </w:tcPr>
                <w:p w14:paraId="00BB33D2" w14:textId="77777777" w:rsidR="006B24A7" w:rsidRDefault="006B24A7" w:rsidP="00453A36">
                  <w:pPr>
                    <w:pStyle w:val="TableBodyText"/>
                  </w:pPr>
                  <w:r>
                    <w:t>0101 (part)</w:t>
                  </w:r>
                </w:p>
              </w:tc>
            </w:tr>
            <w:tr w:rsidR="006B24A7" w14:paraId="00BB33DD" w14:textId="77777777" w:rsidTr="00D46F34">
              <w:tc>
                <w:tcPr>
                  <w:tcW w:w="453" w:type="pct"/>
                  <w:vAlign w:val="bottom"/>
                </w:tcPr>
                <w:p w14:paraId="00BB33D7" w14:textId="77777777" w:rsidR="006B24A7" w:rsidRPr="006F1364" w:rsidRDefault="006B24A7" w:rsidP="00453A36">
                  <w:pPr>
                    <w:pStyle w:val="TableBodyText"/>
                    <w:jc w:val="left"/>
                  </w:pPr>
                  <w:r w:rsidRPr="006F1364">
                    <w:t>5</w:t>
                  </w:r>
                </w:p>
              </w:tc>
              <w:tc>
                <w:tcPr>
                  <w:tcW w:w="3333" w:type="pct"/>
                  <w:vAlign w:val="bottom"/>
                </w:tcPr>
                <w:p w14:paraId="00BB33D8" w14:textId="77777777" w:rsidR="006B24A7" w:rsidRPr="007029F1" w:rsidRDefault="006B24A7" w:rsidP="00453A36">
                  <w:pPr>
                    <w:pStyle w:val="TableBodyText"/>
                    <w:jc w:val="left"/>
                  </w:pPr>
                  <w:r>
                    <w:t>Other agriculture</w:t>
                  </w:r>
                </w:p>
              </w:tc>
              <w:tc>
                <w:tcPr>
                  <w:tcW w:w="1213" w:type="pct"/>
                </w:tcPr>
                <w:p w14:paraId="00BB33D9" w14:textId="77777777" w:rsidR="006B24A7" w:rsidRDefault="006B24A7" w:rsidP="00453A36">
                  <w:pPr>
                    <w:pStyle w:val="TableBodyText"/>
                  </w:pPr>
                  <w:r>
                    <w:t>0103</w:t>
                  </w:r>
                </w:p>
              </w:tc>
            </w:tr>
            <w:tr w:rsidR="006B24A7" w14:paraId="00BB33E4" w14:textId="77777777" w:rsidTr="00D46F34">
              <w:tc>
                <w:tcPr>
                  <w:tcW w:w="453" w:type="pct"/>
                  <w:vAlign w:val="bottom"/>
                </w:tcPr>
                <w:p w14:paraId="00BB33DE" w14:textId="77777777" w:rsidR="006B24A7" w:rsidRPr="006F1364" w:rsidRDefault="006B24A7" w:rsidP="00453A36">
                  <w:pPr>
                    <w:pStyle w:val="TableBodyText"/>
                    <w:jc w:val="left"/>
                  </w:pPr>
                  <w:r w:rsidRPr="006F1364">
                    <w:t>6</w:t>
                  </w:r>
                </w:p>
              </w:tc>
              <w:tc>
                <w:tcPr>
                  <w:tcW w:w="3333" w:type="pct"/>
                  <w:vAlign w:val="bottom"/>
                </w:tcPr>
                <w:p w14:paraId="00BB33DF" w14:textId="77777777" w:rsidR="006B24A7" w:rsidRPr="007029F1" w:rsidRDefault="006B24A7" w:rsidP="00453A36">
                  <w:pPr>
                    <w:pStyle w:val="TableBodyText"/>
                    <w:jc w:val="left"/>
                  </w:pPr>
                  <w:r>
                    <w:t>Fishing, hunting and aquaculture</w:t>
                  </w:r>
                </w:p>
              </w:tc>
              <w:tc>
                <w:tcPr>
                  <w:tcW w:w="1213" w:type="pct"/>
                </w:tcPr>
                <w:p w14:paraId="00BB33E0" w14:textId="77777777" w:rsidR="006B24A7" w:rsidRDefault="006B24A7" w:rsidP="00453A36">
                  <w:pPr>
                    <w:pStyle w:val="TableBodyText"/>
                  </w:pPr>
                  <w:r>
                    <w:t>0201, 0401</w:t>
                  </w:r>
                </w:p>
              </w:tc>
            </w:tr>
            <w:tr w:rsidR="006B24A7" w14:paraId="00BB33EB" w14:textId="77777777" w:rsidTr="00D46F34">
              <w:tc>
                <w:tcPr>
                  <w:tcW w:w="453" w:type="pct"/>
                  <w:vAlign w:val="bottom"/>
                </w:tcPr>
                <w:p w14:paraId="00BB33E5" w14:textId="77777777" w:rsidR="006B24A7" w:rsidRPr="006F1364" w:rsidRDefault="006B24A7" w:rsidP="00453A36">
                  <w:pPr>
                    <w:pStyle w:val="TableBodyText"/>
                    <w:jc w:val="left"/>
                  </w:pPr>
                  <w:r w:rsidRPr="006F1364">
                    <w:t>7</w:t>
                  </w:r>
                </w:p>
              </w:tc>
              <w:tc>
                <w:tcPr>
                  <w:tcW w:w="3333" w:type="pct"/>
                  <w:vAlign w:val="bottom"/>
                </w:tcPr>
                <w:p w14:paraId="00BB33E6" w14:textId="77777777" w:rsidR="006B24A7" w:rsidRPr="007029F1" w:rsidRDefault="006B24A7" w:rsidP="00453A36">
                  <w:pPr>
                    <w:pStyle w:val="TableBodyText"/>
                    <w:jc w:val="left"/>
                  </w:pPr>
                  <w:r>
                    <w:t>Forestry and logging</w:t>
                  </w:r>
                </w:p>
              </w:tc>
              <w:tc>
                <w:tcPr>
                  <w:tcW w:w="1213" w:type="pct"/>
                </w:tcPr>
                <w:p w14:paraId="00BB33E7" w14:textId="77777777" w:rsidR="006B24A7" w:rsidRDefault="006B24A7" w:rsidP="00453A36">
                  <w:pPr>
                    <w:pStyle w:val="TableBodyText"/>
                  </w:pPr>
                  <w:r>
                    <w:t>0301</w:t>
                  </w:r>
                </w:p>
              </w:tc>
            </w:tr>
            <w:tr w:rsidR="006B24A7" w14:paraId="00BB33F2" w14:textId="77777777" w:rsidTr="00D46F34">
              <w:tc>
                <w:tcPr>
                  <w:tcW w:w="453" w:type="pct"/>
                  <w:vAlign w:val="bottom"/>
                </w:tcPr>
                <w:p w14:paraId="00BB33EC" w14:textId="77777777" w:rsidR="006B24A7" w:rsidRPr="006F1364" w:rsidRDefault="006B24A7" w:rsidP="00453A36">
                  <w:pPr>
                    <w:pStyle w:val="TableBodyText"/>
                    <w:jc w:val="left"/>
                  </w:pPr>
                  <w:r w:rsidRPr="006F1364">
                    <w:t>8</w:t>
                  </w:r>
                </w:p>
              </w:tc>
              <w:tc>
                <w:tcPr>
                  <w:tcW w:w="3333" w:type="pct"/>
                  <w:vAlign w:val="bottom"/>
                </w:tcPr>
                <w:p w14:paraId="00BB33ED" w14:textId="77777777" w:rsidR="006B24A7" w:rsidRPr="007029F1" w:rsidRDefault="006B24A7" w:rsidP="00453A36">
                  <w:pPr>
                    <w:pStyle w:val="TableBodyText"/>
                    <w:jc w:val="left"/>
                  </w:pPr>
                  <w:r>
                    <w:t>Agriculture, forestry, fishing support services</w:t>
                  </w:r>
                </w:p>
              </w:tc>
              <w:tc>
                <w:tcPr>
                  <w:tcW w:w="1213" w:type="pct"/>
                </w:tcPr>
                <w:p w14:paraId="00BB33EE" w14:textId="77777777" w:rsidR="006B24A7" w:rsidRDefault="006B24A7" w:rsidP="00453A36">
                  <w:pPr>
                    <w:pStyle w:val="TableBodyText"/>
                  </w:pPr>
                  <w:r>
                    <w:t>0501</w:t>
                  </w:r>
                </w:p>
              </w:tc>
            </w:tr>
            <w:tr w:rsidR="006B24A7" w14:paraId="00BB33F9" w14:textId="77777777" w:rsidTr="00D46F34">
              <w:tc>
                <w:tcPr>
                  <w:tcW w:w="453" w:type="pct"/>
                  <w:vAlign w:val="bottom"/>
                </w:tcPr>
                <w:p w14:paraId="00BB33F3" w14:textId="77777777" w:rsidR="006B24A7" w:rsidRPr="006F1364" w:rsidRDefault="006B24A7" w:rsidP="00453A36">
                  <w:pPr>
                    <w:pStyle w:val="TableBodyText"/>
                    <w:jc w:val="left"/>
                  </w:pPr>
                  <w:r w:rsidRPr="006F1364">
                    <w:t>9</w:t>
                  </w:r>
                </w:p>
              </w:tc>
              <w:tc>
                <w:tcPr>
                  <w:tcW w:w="3333" w:type="pct"/>
                  <w:vAlign w:val="bottom"/>
                </w:tcPr>
                <w:p w14:paraId="00BB33F4" w14:textId="77777777" w:rsidR="006B24A7" w:rsidRPr="007029F1" w:rsidRDefault="006B24A7" w:rsidP="00453A36">
                  <w:pPr>
                    <w:pStyle w:val="TableBodyText"/>
                    <w:jc w:val="left"/>
                  </w:pPr>
                  <w:r>
                    <w:t>Coal mining</w:t>
                  </w:r>
                </w:p>
              </w:tc>
              <w:tc>
                <w:tcPr>
                  <w:tcW w:w="1213" w:type="pct"/>
                </w:tcPr>
                <w:p w14:paraId="00BB33F5" w14:textId="77777777" w:rsidR="006B24A7" w:rsidRDefault="006B24A7" w:rsidP="00453A36">
                  <w:pPr>
                    <w:pStyle w:val="TableBodyText"/>
                  </w:pPr>
                  <w:r>
                    <w:t>0601</w:t>
                  </w:r>
                </w:p>
              </w:tc>
            </w:tr>
            <w:tr w:rsidR="006B24A7" w14:paraId="00BB3400" w14:textId="77777777" w:rsidTr="00D46F34">
              <w:tc>
                <w:tcPr>
                  <w:tcW w:w="453" w:type="pct"/>
                  <w:vAlign w:val="bottom"/>
                </w:tcPr>
                <w:p w14:paraId="00BB33FA" w14:textId="77777777" w:rsidR="006B24A7" w:rsidRPr="006F1364" w:rsidRDefault="006B24A7" w:rsidP="00453A36">
                  <w:pPr>
                    <w:pStyle w:val="TableBodyText"/>
                    <w:jc w:val="left"/>
                  </w:pPr>
                  <w:r w:rsidRPr="006F1364">
                    <w:t>10</w:t>
                  </w:r>
                </w:p>
              </w:tc>
              <w:tc>
                <w:tcPr>
                  <w:tcW w:w="3333" w:type="pct"/>
                  <w:vAlign w:val="bottom"/>
                </w:tcPr>
                <w:p w14:paraId="00BB33FB" w14:textId="77777777" w:rsidR="006B24A7" w:rsidRPr="007029F1" w:rsidRDefault="006B24A7" w:rsidP="00453A36">
                  <w:pPr>
                    <w:pStyle w:val="TableBodyText"/>
                    <w:jc w:val="left"/>
                  </w:pPr>
                  <w:r>
                    <w:t>Oil extraction (includes condensate)</w:t>
                  </w:r>
                </w:p>
              </w:tc>
              <w:tc>
                <w:tcPr>
                  <w:tcW w:w="1213" w:type="pct"/>
                </w:tcPr>
                <w:p w14:paraId="00BB33FC" w14:textId="77777777" w:rsidR="006B24A7" w:rsidRDefault="006B24A7" w:rsidP="00453A36">
                  <w:pPr>
                    <w:pStyle w:val="TableBodyText"/>
                  </w:pPr>
                  <w:r>
                    <w:t>0701 (part)</w:t>
                  </w:r>
                </w:p>
              </w:tc>
            </w:tr>
            <w:tr w:rsidR="006B24A7" w14:paraId="00BB3407" w14:textId="77777777" w:rsidTr="00D46F34">
              <w:tc>
                <w:tcPr>
                  <w:tcW w:w="453" w:type="pct"/>
                  <w:vAlign w:val="bottom"/>
                </w:tcPr>
                <w:p w14:paraId="00BB3401" w14:textId="77777777" w:rsidR="006B24A7" w:rsidRPr="006F1364" w:rsidRDefault="006B24A7" w:rsidP="00453A36">
                  <w:pPr>
                    <w:pStyle w:val="TableBodyText"/>
                    <w:jc w:val="left"/>
                  </w:pPr>
                  <w:r w:rsidRPr="006F1364">
                    <w:t>11</w:t>
                  </w:r>
                </w:p>
              </w:tc>
              <w:tc>
                <w:tcPr>
                  <w:tcW w:w="3333" w:type="pct"/>
                  <w:vAlign w:val="bottom"/>
                </w:tcPr>
                <w:p w14:paraId="00BB3402" w14:textId="77777777" w:rsidR="006B24A7" w:rsidRPr="007029F1" w:rsidRDefault="006B24A7" w:rsidP="00453A36">
                  <w:pPr>
                    <w:pStyle w:val="TableBodyText"/>
                    <w:jc w:val="left"/>
                  </w:pPr>
                  <w:r>
                    <w:t>Gas extraction</w:t>
                  </w:r>
                </w:p>
              </w:tc>
              <w:tc>
                <w:tcPr>
                  <w:tcW w:w="1213" w:type="pct"/>
                </w:tcPr>
                <w:p w14:paraId="00BB3403" w14:textId="77777777" w:rsidR="006B24A7" w:rsidRDefault="006B24A7" w:rsidP="00453A36">
                  <w:pPr>
                    <w:pStyle w:val="TableBodyText"/>
                  </w:pPr>
                  <w:r>
                    <w:t>0701 (part)</w:t>
                  </w:r>
                </w:p>
              </w:tc>
            </w:tr>
            <w:tr w:rsidR="006B24A7" w14:paraId="00BB340E" w14:textId="77777777" w:rsidTr="00D46F34">
              <w:tc>
                <w:tcPr>
                  <w:tcW w:w="453" w:type="pct"/>
                  <w:vAlign w:val="bottom"/>
                </w:tcPr>
                <w:p w14:paraId="00BB3408" w14:textId="77777777" w:rsidR="006B24A7" w:rsidRPr="006F1364" w:rsidRDefault="006B24A7" w:rsidP="00453A36">
                  <w:pPr>
                    <w:pStyle w:val="TableBodyText"/>
                    <w:jc w:val="left"/>
                  </w:pPr>
                  <w:r w:rsidRPr="006F1364">
                    <w:t>12</w:t>
                  </w:r>
                </w:p>
              </w:tc>
              <w:tc>
                <w:tcPr>
                  <w:tcW w:w="3333" w:type="pct"/>
                  <w:vAlign w:val="bottom"/>
                </w:tcPr>
                <w:p w14:paraId="00BB3409" w14:textId="77777777" w:rsidR="006B24A7" w:rsidRPr="007029F1" w:rsidRDefault="006B24A7" w:rsidP="00453A36">
                  <w:pPr>
                    <w:pStyle w:val="TableBodyText"/>
                    <w:jc w:val="left"/>
                  </w:pPr>
                  <w:r>
                    <w:t>Liquefied natural gas production</w:t>
                  </w:r>
                </w:p>
              </w:tc>
              <w:tc>
                <w:tcPr>
                  <w:tcW w:w="1213" w:type="pct"/>
                </w:tcPr>
                <w:p w14:paraId="00BB340A" w14:textId="77777777" w:rsidR="006B24A7" w:rsidRDefault="006B24A7" w:rsidP="00453A36">
                  <w:pPr>
                    <w:pStyle w:val="TableBodyText"/>
                  </w:pPr>
                  <w:r>
                    <w:t>0701 (part)</w:t>
                  </w:r>
                </w:p>
              </w:tc>
            </w:tr>
            <w:tr w:rsidR="006B24A7" w14:paraId="00BB3415" w14:textId="77777777" w:rsidTr="00D46F34">
              <w:tc>
                <w:tcPr>
                  <w:tcW w:w="453" w:type="pct"/>
                  <w:vAlign w:val="bottom"/>
                </w:tcPr>
                <w:p w14:paraId="00BB340F" w14:textId="77777777" w:rsidR="006B24A7" w:rsidRPr="006F1364" w:rsidRDefault="006B24A7" w:rsidP="00453A36">
                  <w:pPr>
                    <w:pStyle w:val="TableBodyText"/>
                    <w:jc w:val="left"/>
                  </w:pPr>
                  <w:r w:rsidRPr="006F1364">
                    <w:t>13</w:t>
                  </w:r>
                </w:p>
              </w:tc>
              <w:tc>
                <w:tcPr>
                  <w:tcW w:w="3333" w:type="pct"/>
                  <w:vAlign w:val="bottom"/>
                </w:tcPr>
                <w:p w14:paraId="00BB3410" w14:textId="77777777" w:rsidR="006B24A7" w:rsidRPr="007029F1" w:rsidRDefault="006B24A7" w:rsidP="00453A36">
                  <w:pPr>
                    <w:pStyle w:val="TableBodyText"/>
                    <w:jc w:val="left"/>
                  </w:pPr>
                  <w:r>
                    <w:t>Iron ore mining</w:t>
                  </w:r>
                </w:p>
              </w:tc>
              <w:tc>
                <w:tcPr>
                  <w:tcW w:w="1213" w:type="pct"/>
                </w:tcPr>
                <w:p w14:paraId="00BB3411" w14:textId="77777777" w:rsidR="006B24A7" w:rsidRDefault="006B24A7" w:rsidP="00453A36">
                  <w:pPr>
                    <w:pStyle w:val="TableBodyText"/>
                  </w:pPr>
                  <w:r>
                    <w:t>0801</w:t>
                  </w:r>
                </w:p>
              </w:tc>
            </w:tr>
            <w:tr w:rsidR="006B24A7" w14:paraId="00BB341C" w14:textId="77777777" w:rsidTr="00D46F34">
              <w:tc>
                <w:tcPr>
                  <w:tcW w:w="453" w:type="pct"/>
                  <w:vAlign w:val="bottom"/>
                </w:tcPr>
                <w:p w14:paraId="00BB3416" w14:textId="77777777" w:rsidR="006B24A7" w:rsidRPr="006F1364" w:rsidRDefault="006B24A7" w:rsidP="00453A36">
                  <w:pPr>
                    <w:pStyle w:val="TableBodyText"/>
                    <w:jc w:val="left"/>
                  </w:pPr>
                  <w:r w:rsidRPr="006F1364">
                    <w:t>14</w:t>
                  </w:r>
                </w:p>
              </w:tc>
              <w:tc>
                <w:tcPr>
                  <w:tcW w:w="3333" w:type="pct"/>
                  <w:vAlign w:val="bottom"/>
                </w:tcPr>
                <w:p w14:paraId="00BB3417" w14:textId="77777777" w:rsidR="006B24A7" w:rsidRPr="007029F1" w:rsidRDefault="006B24A7" w:rsidP="00453A36">
                  <w:pPr>
                    <w:pStyle w:val="TableBodyText"/>
                    <w:jc w:val="left"/>
                  </w:pPr>
                  <w:r>
                    <w:t>Non</w:t>
                  </w:r>
                  <w:r>
                    <w:noBreakHyphen/>
                    <w:t>ferrous metal ores</w:t>
                  </w:r>
                </w:p>
              </w:tc>
              <w:tc>
                <w:tcPr>
                  <w:tcW w:w="1213" w:type="pct"/>
                </w:tcPr>
                <w:p w14:paraId="00BB3418" w14:textId="77777777" w:rsidR="006B24A7" w:rsidRDefault="006B24A7" w:rsidP="00453A36">
                  <w:pPr>
                    <w:pStyle w:val="TableBodyText"/>
                  </w:pPr>
                  <w:r>
                    <w:t>0802</w:t>
                  </w:r>
                </w:p>
              </w:tc>
            </w:tr>
            <w:tr w:rsidR="006B24A7" w14:paraId="00BB3423" w14:textId="77777777" w:rsidTr="00D46F34">
              <w:tc>
                <w:tcPr>
                  <w:tcW w:w="453" w:type="pct"/>
                  <w:vAlign w:val="bottom"/>
                </w:tcPr>
                <w:p w14:paraId="00BB341D" w14:textId="77777777" w:rsidR="006B24A7" w:rsidRPr="006F1364" w:rsidRDefault="006B24A7" w:rsidP="00453A36">
                  <w:pPr>
                    <w:pStyle w:val="TableBodyText"/>
                    <w:jc w:val="left"/>
                  </w:pPr>
                  <w:r w:rsidRPr="006F1364">
                    <w:t>15</w:t>
                  </w:r>
                </w:p>
              </w:tc>
              <w:tc>
                <w:tcPr>
                  <w:tcW w:w="3333" w:type="pct"/>
                  <w:vAlign w:val="bottom"/>
                </w:tcPr>
                <w:p w14:paraId="00BB341E" w14:textId="77777777" w:rsidR="006B24A7" w:rsidRPr="007029F1" w:rsidRDefault="006B24A7" w:rsidP="00453A36">
                  <w:pPr>
                    <w:pStyle w:val="TableBodyText"/>
                    <w:jc w:val="left"/>
                  </w:pPr>
                  <w:r>
                    <w:t>Non</w:t>
                  </w:r>
                  <w:r>
                    <w:noBreakHyphen/>
                    <w:t>metallic mineral mining</w:t>
                  </w:r>
                </w:p>
              </w:tc>
              <w:tc>
                <w:tcPr>
                  <w:tcW w:w="1213" w:type="pct"/>
                </w:tcPr>
                <w:p w14:paraId="00BB341F" w14:textId="77777777" w:rsidR="006B24A7" w:rsidRDefault="006B24A7" w:rsidP="00453A36">
                  <w:pPr>
                    <w:pStyle w:val="TableBodyText"/>
                  </w:pPr>
                  <w:r>
                    <w:t>0901</w:t>
                  </w:r>
                </w:p>
              </w:tc>
            </w:tr>
            <w:tr w:rsidR="006B24A7" w14:paraId="00BB342A" w14:textId="77777777" w:rsidTr="00D46F34">
              <w:tc>
                <w:tcPr>
                  <w:tcW w:w="453" w:type="pct"/>
                  <w:vAlign w:val="bottom"/>
                </w:tcPr>
                <w:p w14:paraId="00BB3424" w14:textId="77777777" w:rsidR="006B24A7" w:rsidRPr="006F1364" w:rsidRDefault="006B24A7" w:rsidP="00453A36">
                  <w:pPr>
                    <w:pStyle w:val="TableBodyText"/>
                    <w:jc w:val="left"/>
                  </w:pPr>
                  <w:r w:rsidRPr="006F1364">
                    <w:t>16</w:t>
                  </w:r>
                </w:p>
              </w:tc>
              <w:tc>
                <w:tcPr>
                  <w:tcW w:w="3333" w:type="pct"/>
                  <w:vAlign w:val="bottom"/>
                </w:tcPr>
                <w:p w14:paraId="00BB3425" w14:textId="77777777" w:rsidR="006B24A7" w:rsidRPr="007029F1" w:rsidRDefault="006B24A7" w:rsidP="00453A36">
                  <w:pPr>
                    <w:pStyle w:val="TableBodyText"/>
                    <w:jc w:val="left"/>
                  </w:pPr>
                  <w:r>
                    <w:t>Exploration and mining support services</w:t>
                  </w:r>
                </w:p>
              </w:tc>
              <w:tc>
                <w:tcPr>
                  <w:tcW w:w="1213" w:type="pct"/>
                </w:tcPr>
                <w:p w14:paraId="00BB3426" w14:textId="77777777" w:rsidR="006B24A7" w:rsidRDefault="006B24A7" w:rsidP="00453A36">
                  <w:pPr>
                    <w:pStyle w:val="TableBodyText"/>
                  </w:pPr>
                  <w:r>
                    <w:t>1001</w:t>
                  </w:r>
                </w:p>
              </w:tc>
            </w:tr>
            <w:tr w:rsidR="006B24A7" w14:paraId="00BB3431" w14:textId="77777777" w:rsidTr="00D46F34">
              <w:tc>
                <w:tcPr>
                  <w:tcW w:w="453" w:type="pct"/>
                  <w:vAlign w:val="bottom"/>
                </w:tcPr>
                <w:p w14:paraId="00BB342B" w14:textId="77777777" w:rsidR="006B24A7" w:rsidRPr="006F1364" w:rsidRDefault="006B24A7" w:rsidP="00453A36">
                  <w:pPr>
                    <w:pStyle w:val="TableBodyText"/>
                    <w:jc w:val="left"/>
                  </w:pPr>
                  <w:r w:rsidRPr="006F1364">
                    <w:t>17</w:t>
                  </w:r>
                </w:p>
              </w:tc>
              <w:tc>
                <w:tcPr>
                  <w:tcW w:w="3333" w:type="pct"/>
                  <w:vAlign w:val="bottom"/>
                </w:tcPr>
                <w:p w14:paraId="00BB342C" w14:textId="77777777" w:rsidR="006B24A7" w:rsidRPr="007029F1" w:rsidRDefault="006B24A7" w:rsidP="00453A36">
                  <w:pPr>
                    <w:pStyle w:val="TableBodyText"/>
                    <w:jc w:val="left"/>
                  </w:pPr>
                  <w:r>
                    <w:t>Meat products</w:t>
                  </w:r>
                </w:p>
              </w:tc>
              <w:tc>
                <w:tcPr>
                  <w:tcW w:w="1213" w:type="pct"/>
                </w:tcPr>
                <w:p w14:paraId="00BB342D" w14:textId="77777777" w:rsidR="006B24A7" w:rsidRDefault="006B24A7" w:rsidP="00453A36">
                  <w:pPr>
                    <w:pStyle w:val="TableBodyText"/>
                  </w:pPr>
                  <w:r>
                    <w:t>1101</w:t>
                  </w:r>
                </w:p>
              </w:tc>
            </w:tr>
            <w:tr w:rsidR="006B24A7" w14:paraId="00BB3438" w14:textId="77777777" w:rsidTr="00D46F34">
              <w:tc>
                <w:tcPr>
                  <w:tcW w:w="453" w:type="pct"/>
                  <w:vAlign w:val="bottom"/>
                </w:tcPr>
                <w:p w14:paraId="00BB3432" w14:textId="77777777" w:rsidR="006B24A7" w:rsidRPr="006F1364" w:rsidRDefault="006B24A7" w:rsidP="00453A36">
                  <w:pPr>
                    <w:pStyle w:val="TableBodyText"/>
                    <w:jc w:val="left"/>
                  </w:pPr>
                  <w:r w:rsidRPr="006F1364">
                    <w:t>18</w:t>
                  </w:r>
                </w:p>
              </w:tc>
              <w:tc>
                <w:tcPr>
                  <w:tcW w:w="3333" w:type="pct"/>
                  <w:vAlign w:val="bottom"/>
                </w:tcPr>
                <w:p w14:paraId="00BB3433" w14:textId="77777777" w:rsidR="006B24A7" w:rsidRPr="007029F1" w:rsidRDefault="006B24A7" w:rsidP="00453A36">
                  <w:pPr>
                    <w:pStyle w:val="TableBodyText"/>
                    <w:jc w:val="left"/>
                  </w:pPr>
                  <w:r>
                    <w:t>Dairy products</w:t>
                  </w:r>
                </w:p>
              </w:tc>
              <w:tc>
                <w:tcPr>
                  <w:tcW w:w="1213" w:type="pct"/>
                </w:tcPr>
                <w:p w14:paraId="00BB3434" w14:textId="77777777" w:rsidR="006B24A7" w:rsidRDefault="006B24A7" w:rsidP="00453A36">
                  <w:pPr>
                    <w:pStyle w:val="TableBodyText"/>
                  </w:pPr>
                  <w:r>
                    <w:t>1103</w:t>
                  </w:r>
                </w:p>
              </w:tc>
            </w:tr>
            <w:tr w:rsidR="006B24A7" w14:paraId="00BB343F" w14:textId="77777777" w:rsidTr="00D46F34">
              <w:tc>
                <w:tcPr>
                  <w:tcW w:w="453" w:type="pct"/>
                  <w:vAlign w:val="bottom"/>
                </w:tcPr>
                <w:p w14:paraId="00BB3439" w14:textId="77777777" w:rsidR="006B24A7" w:rsidRPr="006F1364" w:rsidRDefault="006B24A7" w:rsidP="00453A36">
                  <w:pPr>
                    <w:pStyle w:val="TableBodyText"/>
                    <w:jc w:val="left"/>
                  </w:pPr>
                  <w:r w:rsidRPr="006F1364">
                    <w:t>19</w:t>
                  </w:r>
                </w:p>
              </w:tc>
              <w:tc>
                <w:tcPr>
                  <w:tcW w:w="3333" w:type="pct"/>
                  <w:vAlign w:val="bottom"/>
                </w:tcPr>
                <w:p w14:paraId="00BB343A" w14:textId="77777777" w:rsidR="006B24A7" w:rsidRPr="007029F1" w:rsidRDefault="006B24A7" w:rsidP="00453A36">
                  <w:pPr>
                    <w:pStyle w:val="TableBodyText"/>
                    <w:jc w:val="left"/>
                  </w:pPr>
                  <w:r>
                    <w:t>Other food products</w:t>
                  </w:r>
                </w:p>
              </w:tc>
              <w:tc>
                <w:tcPr>
                  <w:tcW w:w="1213" w:type="pct"/>
                </w:tcPr>
                <w:p w14:paraId="00BB343B" w14:textId="77777777" w:rsidR="006B24A7" w:rsidRDefault="006B24A7" w:rsidP="00453A36">
                  <w:pPr>
                    <w:pStyle w:val="TableBodyText"/>
                  </w:pPr>
                  <w:r>
                    <w:t>1102, 1104</w:t>
                  </w:r>
                  <w:r>
                    <w:noBreakHyphen/>
                    <w:t>09</w:t>
                  </w:r>
                </w:p>
              </w:tc>
            </w:tr>
            <w:tr w:rsidR="006B24A7" w14:paraId="00BB3446" w14:textId="77777777" w:rsidTr="00D46F34">
              <w:tc>
                <w:tcPr>
                  <w:tcW w:w="453" w:type="pct"/>
                  <w:vAlign w:val="bottom"/>
                </w:tcPr>
                <w:p w14:paraId="00BB3440" w14:textId="77777777" w:rsidR="006B24A7" w:rsidRPr="006F1364" w:rsidRDefault="006B24A7" w:rsidP="00453A36">
                  <w:pPr>
                    <w:pStyle w:val="TableBodyText"/>
                    <w:jc w:val="left"/>
                  </w:pPr>
                  <w:r w:rsidRPr="006F1364">
                    <w:t>20</w:t>
                  </w:r>
                </w:p>
              </w:tc>
              <w:tc>
                <w:tcPr>
                  <w:tcW w:w="3333" w:type="pct"/>
                  <w:vAlign w:val="bottom"/>
                </w:tcPr>
                <w:p w14:paraId="00BB3441" w14:textId="77777777" w:rsidR="006B24A7" w:rsidRPr="007029F1" w:rsidRDefault="006B24A7" w:rsidP="00453A36">
                  <w:pPr>
                    <w:pStyle w:val="TableBodyText"/>
                    <w:jc w:val="left"/>
                  </w:pPr>
                  <w:r>
                    <w:t>Beverages</w:t>
                  </w:r>
                </w:p>
              </w:tc>
              <w:tc>
                <w:tcPr>
                  <w:tcW w:w="1213" w:type="pct"/>
                </w:tcPr>
                <w:p w14:paraId="00BB3442" w14:textId="77777777" w:rsidR="006B24A7" w:rsidRDefault="006B24A7" w:rsidP="00453A36">
                  <w:pPr>
                    <w:pStyle w:val="TableBodyText"/>
                  </w:pPr>
                  <w:r>
                    <w:t>1201</w:t>
                  </w:r>
                  <w:r>
                    <w:noBreakHyphen/>
                    <w:t>05</w:t>
                  </w:r>
                </w:p>
              </w:tc>
            </w:tr>
            <w:tr w:rsidR="006B24A7" w14:paraId="00BB344D" w14:textId="77777777" w:rsidTr="00D46F34">
              <w:tc>
                <w:tcPr>
                  <w:tcW w:w="453" w:type="pct"/>
                  <w:vAlign w:val="bottom"/>
                </w:tcPr>
                <w:p w14:paraId="00BB3447" w14:textId="77777777" w:rsidR="006B24A7" w:rsidRPr="006F1364" w:rsidRDefault="006B24A7" w:rsidP="00453A36">
                  <w:pPr>
                    <w:pStyle w:val="TableBodyText"/>
                    <w:jc w:val="left"/>
                  </w:pPr>
                  <w:r w:rsidRPr="006F1364">
                    <w:t>21</w:t>
                  </w:r>
                </w:p>
              </w:tc>
              <w:tc>
                <w:tcPr>
                  <w:tcW w:w="3333" w:type="pct"/>
                  <w:vAlign w:val="bottom"/>
                </w:tcPr>
                <w:p w14:paraId="00BB3448" w14:textId="77777777" w:rsidR="006B24A7" w:rsidRPr="007029F1" w:rsidRDefault="006B24A7" w:rsidP="00453A36">
                  <w:pPr>
                    <w:pStyle w:val="TableBodyText"/>
                    <w:jc w:val="left"/>
                  </w:pPr>
                  <w:r>
                    <w:t>Textiles, Clothing and footwear</w:t>
                  </w:r>
                </w:p>
              </w:tc>
              <w:tc>
                <w:tcPr>
                  <w:tcW w:w="1213" w:type="pct"/>
                </w:tcPr>
                <w:p w14:paraId="00BB3449" w14:textId="77777777" w:rsidR="006B24A7" w:rsidRDefault="006B24A7" w:rsidP="00453A36">
                  <w:pPr>
                    <w:pStyle w:val="TableBodyText"/>
                  </w:pPr>
                  <w:r>
                    <w:t>1301</w:t>
                  </w:r>
                  <w:r>
                    <w:noBreakHyphen/>
                    <w:t>06</w:t>
                  </w:r>
                </w:p>
              </w:tc>
            </w:tr>
            <w:tr w:rsidR="006B24A7" w14:paraId="00BB3454" w14:textId="77777777" w:rsidTr="00D46F34">
              <w:tc>
                <w:tcPr>
                  <w:tcW w:w="453" w:type="pct"/>
                  <w:vAlign w:val="bottom"/>
                </w:tcPr>
                <w:p w14:paraId="00BB344E" w14:textId="77777777" w:rsidR="006B24A7" w:rsidRPr="006F1364" w:rsidRDefault="006B24A7" w:rsidP="00453A36">
                  <w:pPr>
                    <w:pStyle w:val="TableBodyText"/>
                    <w:jc w:val="left"/>
                  </w:pPr>
                  <w:r w:rsidRPr="006F1364">
                    <w:t>22</w:t>
                  </w:r>
                </w:p>
              </w:tc>
              <w:tc>
                <w:tcPr>
                  <w:tcW w:w="3333" w:type="pct"/>
                  <w:vAlign w:val="bottom"/>
                </w:tcPr>
                <w:p w14:paraId="00BB344F" w14:textId="77777777" w:rsidR="006B24A7" w:rsidRPr="007029F1" w:rsidRDefault="006B24A7" w:rsidP="00453A36">
                  <w:pPr>
                    <w:pStyle w:val="TableBodyText"/>
                    <w:jc w:val="left"/>
                  </w:pPr>
                  <w:r>
                    <w:t>Sawmill and other wood products</w:t>
                  </w:r>
                </w:p>
              </w:tc>
              <w:tc>
                <w:tcPr>
                  <w:tcW w:w="1213" w:type="pct"/>
                </w:tcPr>
                <w:p w14:paraId="00BB3450" w14:textId="77777777" w:rsidR="006B24A7" w:rsidRDefault="006B24A7" w:rsidP="00453A36">
                  <w:pPr>
                    <w:pStyle w:val="TableBodyText"/>
                  </w:pPr>
                  <w:r>
                    <w:t>1401, 1402</w:t>
                  </w:r>
                </w:p>
              </w:tc>
            </w:tr>
            <w:tr w:rsidR="006B24A7" w14:paraId="00BB345B" w14:textId="77777777" w:rsidTr="00D46F34">
              <w:tc>
                <w:tcPr>
                  <w:tcW w:w="453" w:type="pct"/>
                  <w:vAlign w:val="bottom"/>
                </w:tcPr>
                <w:p w14:paraId="00BB3455" w14:textId="77777777" w:rsidR="006B24A7" w:rsidRPr="006F1364" w:rsidRDefault="006B24A7" w:rsidP="00453A36">
                  <w:pPr>
                    <w:pStyle w:val="TableBodyText"/>
                    <w:jc w:val="left"/>
                  </w:pPr>
                  <w:r w:rsidRPr="006F1364">
                    <w:t>23</w:t>
                  </w:r>
                </w:p>
              </w:tc>
              <w:tc>
                <w:tcPr>
                  <w:tcW w:w="3333" w:type="pct"/>
                  <w:vAlign w:val="bottom"/>
                </w:tcPr>
                <w:p w14:paraId="00BB3456" w14:textId="77777777" w:rsidR="006B24A7" w:rsidRPr="007029F1" w:rsidRDefault="006B24A7" w:rsidP="00453A36">
                  <w:pPr>
                    <w:pStyle w:val="TableBodyText"/>
                    <w:jc w:val="left"/>
                  </w:pPr>
                  <w:r>
                    <w:t>Pulp, paper and paper products</w:t>
                  </w:r>
                </w:p>
              </w:tc>
              <w:tc>
                <w:tcPr>
                  <w:tcW w:w="1213" w:type="pct"/>
                </w:tcPr>
                <w:p w14:paraId="00BB3457" w14:textId="77777777" w:rsidR="006B24A7" w:rsidRDefault="006B24A7" w:rsidP="00453A36">
                  <w:pPr>
                    <w:pStyle w:val="TableBodyText"/>
                  </w:pPr>
                  <w:r>
                    <w:t>1501, 1502</w:t>
                  </w:r>
                </w:p>
              </w:tc>
            </w:tr>
            <w:tr w:rsidR="006B24A7" w14:paraId="00BB3462" w14:textId="77777777" w:rsidTr="00D46F34">
              <w:tc>
                <w:tcPr>
                  <w:tcW w:w="453" w:type="pct"/>
                  <w:vAlign w:val="bottom"/>
                </w:tcPr>
                <w:p w14:paraId="00BB345C" w14:textId="77777777" w:rsidR="006B24A7" w:rsidRPr="006F1364" w:rsidRDefault="006B24A7" w:rsidP="00453A36">
                  <w:pPr>
                    <w:pStyle w:val="TableBodyText"/>
                    <w:jc w:val="left"/>
                  </w:pPr>
                  <w:r w:rsidRPr="006F1364">
                    <w:t>24</w:t>
                  </w:r>
                </w:p>
              </w:tc>
              <w:tc>
                <w:tcPr>
                  <w:tcW w:w="3333" w:type="pct"/>
                  <w:vAlign w:val="bottom"/>
                </w:tcPr>
                <w:p w14:paraId="00BB345D" w14:textId="77777777" w:rsidR="006B24A7" w:rsidRPr="007029F1" w:rsidRDefault="006B24A7" w:rsidP="00453A36">
                  <w:pPr>
                    <w:pStyle w:val="TableBodyText"/>
                    <w:jc w:val="left"/>
                  </w:pPr>
                  <w:r>
                    <w:t>Printing and recorded media</w:t>
                  </w:r>
                </w:p>
              </w:tc>
              <w:tc>
                <w:tcPr>
                  <w:tcW w:w="1213" w:type="pct"/>
                </w:tcPr>
                <w:p w14:paraId="00BB345E" w14:textId="77777777" w:rsidR="006B24A7" w:rsidRDefault="006B24A7" w:rsidP="00453A36">
                  <w:pPr>
                    <w:pStyle w:val="TableBodyText"/>
                  </w:pPr>
                  <w:r>
                    <w:t>1601</w:t>
                  </w:r>
                </w:p>
              </w:tc>
            </w:tr>
            <w:tr w:rsidR="006B24A7" w14:paraId="00BB3469" w14:textId="77777777" w:rsidTr="00D46F34">
              <w:tc>
                <w:tcPr>
                  <w:tcW w:w="453" w:type="pct"/>
                  <w:vAlign w:val="bottom"/>
                </w:tcPr>
                <w:p w14:paraId="00BB3463" w14:textId="77777777" w:rsidR="006B24A7" w:rsidRPr="006F1364" w:rsidRDefault="006B24A7" w:rsidP="00453A36">
                  <w:pPr>
                    <w:pStyle w:val="TableBodyText"/>
                    <w:jc w:val="left"/>
                  </w:pPr>
                  <w:r w:rsidRPr="006F1364">
                    <w:t>25</w:t>
                  </w:r>
                </w:p>
              </w:tc>
              <w:tc>
                <w:tcPr>
                  <w:tcW w:w="3333" w:type="pct"/>
                  <w:vAlign w:val="bottom"/>
                </w:tcPr>
                <w:p w14:paraId="00BB3464" w14:textId="77777777" w:rsidR="006B24A7" w:rsidRPr="004D0FF3" w:rsidRDefault="006B24A7" w:rsidP="00453A36">
                  <w:pPr>
                    <w:pStyle w:val="TableBodyText"/>
                    <w:jc w:val="left"/>
                  </w:pPr>
                  <w:r w:rsidRPr="004D0FF3">
                    <w:t>Petroleum and petroleum blends</w:t>
                  </w:r>
                </w:p>
              </w:tc>
              <w:tc>
                <w:tcPr>
                  <w:tcW w:w="1213" w:type="pct"/>
                </w:tcPr>
                <w:p w14:paraId="00BB3465" w14:textId="77777777" w:rsidR="006B24A7" w:rsidRPr="004D0FF3" w:rsidRDefault="006B24A7" w:rsidP="00453A36">
                  <w:pPr>
                    <w:pStyle w:val="TableBodyText"/>
                  </w:pPr>
                  <w:r w:rsidRPr="004D0FF3">
                    <w:t>1701 (part)</w:t>
                  </w:r>
                </w:p>
              </w:tc>
            </w:tr>
            <w:tr w:rsidR="006B24A7" w14:paraId="00BB3470" w14:textId="77777777" w:rsidTr="00D46F34">
              <w:tc>
                <w:tcPr>
                  <w:tcW w:w="453" w:type="pct"/>
                  <w:vAlign w:val="bottom"/>
                </w:tcPr>
                <w:p w14:paraId="00BB346A" w14:textId="77777777" w:rsidR="006B24A7" w:rsidRPr="006F1364" w:rsidRDefault="006B24A7" w:rsidP="00453A36">
                  <w:pPr>
                    <w:pStyle w:val="TableBodyText"/>
                    <w:jc w:val="left"/>
                  </w:pPr>
                  <w:r w:rsidRPr="006F1364">
                    <w:t>26</w:t>
                  </w:r>
                </w:p>
              </w:tc>
              <w:tc>
                <w:tcPr>
                  <w:tcW w:w="3333" w:type="pct"/>
                  <w:vAlign w:val="bottom"/>
                </w:tcPr>
                <w:p w14:paraId="00BB346B" w14:textId="77777777" w:rsidR="006B24A7" w:rsidRPr="004D0FF3" w:rsidRDefault="006B24A7" w:rsidP="00453A36">
                  <w:pPr>
                    <w:pStyle w:val="TableBodyText"/>
                    <w:jc w:val="left"/>
                  </w:pPr>
                  <w:proofErr w:type="spellStart"/>
                  <w:r w:rsidRPr="004D0FF3">
                    <w:t>AvGas</w:t>
                  </w:r>
                  <w:proofErr w:type="spellEnd"/>
                  <w:r w:rsidRPr="004D0FF3">
                    <w:t xml:space="preserve"> and other fuels for air transport</w:t>
                  </w:r>
                </w:p>
              </w:tc>
              <w:tc>
                <w:tcPr>
                  <w:tcW w:w="1213" w:type="pct"/>
                </w:tcPr>
                <w:p w14:paraId="00BB346C" w14:textId="77777777" w:rsidR="006B24A7" w:rsidRPr="004D0FF3" w:rsidRDefault="006B24A7" w:rsidP="00453A36">
                  <w:pPr>
                    <w:pStyle w:val="TableBodyText"/>
                  </w:pPr>
                  <w:r w:rsidRPr="004D0FF3">
                    <w:t>1701 (part)</w:t>
                  </w:r>
                </w:p>
              </w:tc>
            </w:tr>
            <w:tr w:rsidR="006B24A7" w14:paraId="00BB3477" w14:textId="77777777" w:rsidTr="00D46F34">
              <w:tc>
                <w:tcPr>
                  <w:tcW w:w="453" w:type="pct"/>
                  <w:vAlign w:val="bottom"/>
                </w:tcPr>
                <w:p w14:paraId="00BB3471" w14:textId="77777777" w:rsidR="006B24A7" w:rsidRPr="006F1364" w:rsidRDefault="006B24A7" w:rsidP="00453A36">
                  <w:pPr>
                    <w:pStyle w:val="TableBodyText"/>
                    <w:jc w:val="left"/>
                  </w:pPr>
                  <w:r w:rsidRPr="006F1364">
                    <w:t>27</w:t>
                  </w:r>
                </w:p>
              </w:tc>
              <w:tc>
                <w:tcPr>
                  <w:tcW w:w="3333" w:type="pct"/>
                  <w:vAlign w:val="bottom"/>
                </w:tcPr>
                <w:p w14:paraId="00BB3472" w14:textId="77777777" w:rsidR="006B24A7" w:rsidRPr="004D0FF3" w:rsidRDefault="006B24A7" w:rsidP="00453A36">
                  <w:pPr>
                    <w:pStyle w:val="TableBodyText"/>
                    <w:jc w:val="left"/>
                  </w:pPr>
                  <w:r w:rsidRPr="004D0FF3">
                    <w:t>Other petroleum products</w:t>
                  </w:r>
                </w:p>
              </w:tc>
              <w:tc>
                <w:tcPr>
                  <w:tcW w:w="1213" w:type="pct"/>
                </w:tcPr>
                <w:p w14:paraId="00BB3473" w14:textId="77777777" w:rsidR="006B24A7" w:rsidRPr="004D0FF3" w:rsidRDefault="006B24A7" w:rsidP="00453A36">
                  <w:pPr>
                    <w:pStyle w:val="TableBodyText"/>
                  </w:pPr>
                  <w:r w:rsidRPr="004D0FF3">
                    <w:t>1701 (part)</w:t>
                  </w:r>
                </w:p>
              </w:tc>
            </w:tr>
            <w:tr w:rsidR="006B24A7" w14:paraId="00BB347E" w14:textId="77777777" w:rsidTr="00D46F34">
              <w:tc>
                <w:tcPr>
                  <w:tcW w:w="453" w:type="pct"/>
                  <w:vAlign w:val="bottom"/>
                </w:tcPr>
                <w:p w14:paraId="00BB3478" w14:textId="77777777" w:rsidR="006B24A7" w:rsidRPr="006F1364" w:rsidRDefault="006B24A7" w:rsidP="00453A36">
                  <w:pPr>
                    <w:pStyle w:val="TableBodyText"/>
                    <w:jc w:val="left"/>
                  </w:pPr>
                  <w:r w:rsidRPr="006F1364">
                    <w:t>28</w:t>
                  </w:r>
                </w:p>
              </w:tc>
              <w:tc>
                <w:tcPr>
                  <w:tcW w:w="3333" w:type="pct"/>
                  <w:vAlign w:val="bottom"/>
                </w:tcPr>
                <w:p w14:paraId="00BB3479" w14:textId="77777777" w:rsidR="006B24A7" w:rsidRPr="004D0FF3" w:rsidRDefault="006B24A7" w:rsidP="00453A36">
                  <w:pPr>
                    <w:pStyle w:val="TableBodyText"/>
                    <w:jc w:val="left"/>
                  </w:pPr>
                  <w:r w:rsidRPr="004D0FF3">
                    <w:t>Diesel and diesel blends</w:t>
                  </w:r>
                </w:p>
              </w:tc>
              <w:tc>
                <w:tcPr>
                  <w:tcW w:w="1213" w:type="pct"/>
                </w:tcPr>
                <w:p w14:paraId="00BB347A" w14:textId="77777777" w:rsidR="006B24A7" w:rsidRPr="004D0FF3" w:rsidRDefault="006B24A7" w:rsidP="00453A36">
                  <w:pPr>
                    <w:pStyle w:val="TableBodyText"/>
                  </w:pPr>
                  <w:r w:rsidRPr="004D0FF3">
                    <w:t>1701 (part)</w:t>
                  </w:r>
                </w:p>
              </w:tc>
            </w:tr>
            <w:tr w:rsidR="006B24A7" w14:paraId="00BB3485" w14:textId="77777777" w:rsidTr="00D46F34">
              <w:tc>
                <w:tcPr>
                  <w:tcW w:w="453" w:type="pct"/>
                  <w:vAlign w:val="bottom"/>
                </w:tcPr>
                <w:p w14:paraId="00BB347F" w14:textId="77777777" w:rsidR="006B24A7" w:rsidRPr="006F1364" w:rsidRDefault="006B24A7" w:rsidP="00453A36">
                  <w:pPr>
                    <w:pStyle w:val="TableBodyText"/>
                    <w:jc w:val="left"/>
                  </w:pPr>
                  <w:r w:rsidRPr="006F1364">
                    <w:t>29</w:t>
                  </w:r>
                </w:p>
              </w:tc>
              <w:tc>
                <w:tcPr>
                  <w:tcW w:w="3333" w:type="pct"/>
                  <w:vAlign w:val="bottom"/>
                </w:tcPr>
                <w:p w14:paraId="00BB3480" w14:textId="77777777" w:rsidR="006B24A7" w:rsidRPr="004D0FF3" w:rsidRDefault="006B24A7" w:rsidP="00453A36">
                  <w:pPr>
                    <w:pStyle w:val="TableBodyText"/>
                    <w:jc w:val="left"/>
                  </w:pPr>
                  <w:r w:rsidRPr="004D0FF3">
                    <w:t>Refined liquefied petroleum gas</w:t>
                  </w:r>
                </w:p>
              </w:tc>
              <w:tc>
                <w:tcPr>
                  <w:tcW w:w="1213" w:type="pct"/>
                </w:tcPr>
                <w:p w14:paraId="00BB3481" w14:textId="77777777" w:rsidR="006B24A7" w:rsidRPr="004D0FF3" w:rsidRDefault="006B24A7" w:rsidP="00453A36">
                  <w:pPr>
                    <w:pStyle w:val="TableBodyText"/>
                  </w:pPr>
                  <w:r w:rsidRPr="004D0FF3">
                    <w:t>1701 (part)</w:t>
                  </w:r>
                </w:p>
              </w:tc>
            </w:tr>
            <w:tr w:rsidR="006B24A7" w14:paraId="00BB348C" w14:textId="77777777" w:rsidTr="00D46F34">
              <w:tc>
                <w:tcPr>
                  <w:tcW w:w="453" w:type="pct"/>
                  <w:vAlign w:val="bottom"/>
                </w:tcPr>
                <w:p w14:paraId="00BB3486" w14:textId="77777777" w:rsidR="006B24A7" w:rsidRPr="006F1364" w:rsidRDefault="006B24A7" w:rsidP="00453A36">
                  <w:pPr>
                    <w:pStyle w:val="TableBodyText"/>
                    <w:jc w:val="left"/>
                  </w:pPr>
                  <w:r w:rsidRPr="006F1364">
                    <w:t>30</w:t>
                  </w:r>
                </w:p>
              </w:tc>
              <w:tc>
                <w:tcPr>
                  <w:tcW w:w="3333" w:type="pct"/>
                  <w:vAlign w:val="bottom"/>
                </w:tcPr>
                <w:p w14:paraId="00BB3487" w14:textId="77777777" w:rsidR="006B24A7" w:rsidRPr="007029F1" w:rsidRDefault="006B24A7" w:rsidP="00453A36">
                  <w:pPr>
                    <w:pStyle w:val="TableBodyText"/>
                    <w:jc w:val="left"/>
                  </w:pPr>
                  <w:r>
                    <w:t>Basic chemicals and products</w:t>
                  </w:r>
                </w:p>
              </w:tc>
              <w:tc>
                <w:tcPr>
                  <w:tcW w:w="1213" w:type="pct"/>
                </w:tcPr>
                <w:p w14:paraId="00BB3488" w14:textId="77777777" w:rsidR="006B24A7" w:rsidRDefault="006B24A7" w:rsidP="00453A36">
                  <w:pPr>
                    <w:pStyle w:val="TableBodyText"/>
                  </w:pPr>
                  <w:r>
                    <w:t>1801</w:t>
                  </w:r>
                  <w:r>
                    <w:noBreakHyphen/>
                    <w:t>04</w:t>
                  </w:r>
                </w:p>
              </w:tc>
            </w:tr>
            <w:tr w:rsidR="006B24A7" w14:paraId="00BB3493" w14:textId="77777777" w:rsidTr="00D46F34">
              <w:tc>
                <w:tcPr>
                  <w:tcW w:w="453" w:type="pct"/>
                  <w:vAlign w:val="bottom"/>
                </w:tcPr>
                <w:p w14:paraId="00BB348D" w14:textId="77777777" w:rsidR="006B24A7" w:rsidRPr="006F1364" w:rsidRDefault="006B24A7" w:rsidP="00453A36">
                  <w:pPr>
                    <w:pStyle w:val="TableBodyText"/>
                    <w:jc w:val="left"/>
                  </w:pPr>
                  <w:r>
                    <w:t>31</w:t>
                  </w:r>
                </w:p>
              </w:tc>
              <w:tc>
                <w:tcPr>
                  <w:tcW w:w="3333" w:type="pct"/>
                  <w:vAlign w:val="bottom"/>
                </w:tcPr>
                <w:p w14:paraId="00BB348E" w14:textId="77777777" w:rsidR="006B24A7" w:rsidRPr="007029F1" w:rsidRDefault="006B24A7" w:rsidP="00453A36">
                  <w:pPr>
                    <w:pStyle w:val="TableBodyText"/>
                    <w:jc w:val="left"/>
                  </w:pPr>
                  <w:r>
                    <w:t>Polymer and rubber products</w:t>
                  </w:r>
                </w:p>
              </w:tc>
              <w:tc>
                <w:tcPr>
                  <w:tcW w:w="1213" w:type="pct"/>
                </w:tcPr>
                <w:p w14:paraId="00BB348F" w14:textId="77777777" w:rsidR="006B24A7" w:rsidRDefault="006B24A7" w:rsidP="00453A36">
                  <w:pPr>
                    <w:pStyle w:val="TableBodyText"/>
                  </w:pPr>
                  <w:r>
                    <w:t>1901</w:t>
                  </w:r>
                  <w:r>
                    <w:noBreakHyphen/>
                    <w:t>2004</w:t>
                  </w:r>
                </w:p>
              </w:tc>
            </w:tr>
            <w:tr w:rsidR="006B24A7" w14:paraId="00BB349A" w14:textId="77777777" w:rsidTr="00D46F34">
              <w:tc>
                <w:tcPr>
                  <w:tcW w:w="453" w:type="pct"/>
                  <w:vAlign w:val="bottom"/>
                </w:tcPr>
                <w:p w14:paraId="00BB3494" w14:textId="77777777" w:rsidR="006B24A7" w:rsidRPr="006F1364" w:rsidRDefault="006B24A7" w:rsidP="00453A36">
                  <w:pPr>
                    <w:pStyle w:val="TableBodyText"/>
                    <w:jc w:val="left"/>
                  </w:pPr>
                  <w:r w:rsidRPr="006F1364">
                    <w:t>32</w:t>
                  </w:r>
                </w:p>
              </w:tc>
              <w:tc>
                <w:tcPr>
                  <w:tcW w:w="3333" w:type="pct"/>
                  <w:vAlign w:val="bottom"/>
                </w:tcPr>
                <w:p w14:paraId="00BB3495" w14:textId="77777777" w:rsidR="006B24A7" w:rsidRPr="007029F1" w:rsidRDefault="006B24A7" w:rsidP="00453A36">
                  <w:pPr>
                    <w:pStyle w:val="TableBodyText"/>
                    <w:jc w:val="left"/>
                  </w:pPr>
                  <w:r>
                    <w:t>Non</w:t>
                  </w:r>
                  <w:r>
                    <w:noBreakHyphen/>
                    <w:t>metallic mineral products</w:t>
                  </w:r>
                </w:p>
              </w:tc>
              <w:tc>
                <w:tcPr>
                  <w:tcW w:w="1213" w:type="pct"/>
                </w:tcPr>
                <w:p w14:paraId="00BB3496" w14:textId="77777777" w:rsidR="006B24A7" w:rsidRDefault="006B24A7" w:rsidP="00453A36">
                  <w:pPr>
                    <w:pStyle w:val="TableBodyText"/>
                  </w:pPr>
                  <w:r>
                    <w:t>2001</w:t>
                  </w:r>
                  <w:r>
                    <w:noBreakHyphen/>
                    <w:t>05 (not 03)</w:t>
                  </w:r>
                </w:p>
              </w:tc>
            </w:tr>
            <w:tr w:rsidR="006B24A7" w14:paraId="00BB34A1" w14:textId="77777777" w:rsidTr="00D46F34">
              <w:tc>
                <w:tcPr>
                  <w:tcW w:w="453" w:type="pct"/>
                  <w:vAlign w:val="bottom"/>
                </w:tcPr>
                <w:p w14:paraId="00BB349B" w14:textId="77777777" w:rsidR="006B24A7" w:rsidRPr="006F1364" w:rsidRDefault="006B24A7" w:rsidP="00453A36">
                  <w:pPr>
                    <w:pStyle w:val="TableBodyText"/>
                    <w:jc w:val="left"/>
                  </w:pPr>
                  <w:r w:rsidRPr="006F1364">
                    <w:t>33</w:t>
                  </w:r>
                </w:p>
              </w:tc>
              <w:tc>
                <w:tcPr>
                  <w:tcW w:w="3333" w:type="pct"/>
                  <w:vAlign w:val="bottom"/>
                </w:tcPr>
                <w:p w14:paraId="00BB349C" w14:textId="77777777" w:rsidR="006B24A7" w:rsidRPr="007029F1" w:rsidRDefault="006B24A7" w:rsidP="00453A36">
                  <w:pPr>
                    <w:pStyle w:val="TableBodyText"/>
                    <w:jc w:val="left"/>
                  </w:pPr>
                  <w:r>
                    <w:t>Cement, lime and concrete</w:t>
                  </w:r>
                </w:p>
              </w:tc>
              <w:tc>
                <w:tcPr>
                  <w:tcW w:w="1213" w:type="pct"/>
                </w:tcPr>
                <w:p w14:paraId="00BB349D" w14:textId="77777777" w:rsidR="006B24A7" w:rsidRDefault="006B24A7" w:rsidP="00453A36">
                  <w:pPr>
                    <w:pStyle w:val="TableBodyText"/>
                  </w:pPr>
                  <w:r>
                    <w:t>2003</w:t>
                  </w:r>
                </w:p>
              </w:tc>
            </w:tr>
            <w:tr w:rsidR="006B24A7" w14:paraId="00BB34A8" w14:textId="77777777" w:rsidTr="00D46F34">
              <w:tc>
                <w:tcPr>
                  <w:tcW w:w="453" w:type="pct"/>
                  <w:vAlign w:val="bottom"/>
                </w:tcPr>
                <w:p w14:paraId="00BB34A2" w14:textId="77777777" w:rsidR="006B24A7" w:rsidRPr="006F1364" w:rsidRDefault="006B24A7" w:rsidP="00453A36">
                  <w:pPr>
                    <w:pStyle w:val="TableBodyText"/>
                    <w:jc w:val="left"/>
                  </w:pPr>
                  <w:r w:rsidRPr="006F1364">
                    <w:t>34</w:t>
                  </w:r>
                </w:p>
              </w:tc>
              <w:tc>
                <w:tcPr>
                  <w:tcW w:w="3333" w:type="pct"/>
                  <w:vAlign w:val="bottom"/>
                </w:tcPr>
                <w:p w14:paraId="00BB34A3" w14:textId="77777777" w:rsidR="006B24A7" w:rsidRPr="007029F1" w:rsidRDefault="006B24A7" w:rsidP="00453A36">
                  <w:pPr>
                    <w:pStyle w:val="TableBodyText"/>
                    <w:jc w:val="left"/>
                  </w:pPr>
                  <w:r>
                    <w:t>Iron and steel</w:t>
                  </w:r>
                </w:p>
              </w:tc>
              <w:tc>
                <w:tcPr>
                  <w:tcW w:w="1213" w:type="pct"/>
                </w:tcPr>
                <w:p w14:paraId="00BB34A4" w14:textId="77777777" w:rsidR="006B24A7" w:rsidRDefault="006B24A7" w:rsidP="00453A36">
                  <w:pPr>
                    <w:pStyle w:val="TableBodyText"/>
                  </w:pPr>
                  <w:r>
                    <w:t>2101</w:t>
                  </w:r>
                </w:p>
              </w:tc>
            </w:tr>
            <w:tr w:rsidR="006B24A7" w14:paraId="00BB34AF" w14:textId="77777777" w:rsidTr="00D46F34">
              <w:tc>
                <w:tcPr>
                  <w:tcW w:w="453" w:type="pct"/>
                  <w:vAlign w:val="bottom"/>
                </w:tcPr>
                <w:p w14:paraId="00BB34A9" w14:textId="77777777" w:rsidR="006B24A7" w:rsidRPr="006F1364" w:rsidRDefault="006B24A7" w:rsidP="00453A36">
                  <w:pPr>
                    <w:pStyle w:val="TableBodyText"/>
                    <w:jc w:val="left"/>
                  </w:pPr>
                  <w:r w:rsidRPr="006F1364">
                    <w:t>35</w:t>
                  </w:r>
                </w:p>
              </w:tc>
              <w:tc>
                <w:tcPr>
                  <w:tcW w:w="3333" w:type="pct"/>
                  <w:vAlign w:val="bottom"/>
                </w:tcPr>
                <w:p w14:paraId="00BB34AA" w14:textId="77777777" w:rsidR="006B24A7" w:rsidRPr="007029F1" w:rsidRDefault="006B24A7" w:rsidP="00453A36">
                  <w:pPr>
                    <w:pStyle w:val="TableBodyText"/>
                    <w:jc w:val="left"/>
                  </w:pPr>
                  <w:r>
                    <w:t>Alumina</w:t>
                  </w:r>
                </w:p>
              </w:tc>
              <w:tc>
                <w:tcPr>
                  <w:tcW w:w="1213" w:type="pct"/>
                </w:tcPr>
                <w:p w14:paraId="00BB34AB" w14:textId="77777777" w:rsidR="006B24A7" w:rsidRDefault="006B24A7" w:rsidP="00453A36">
                  <w:pPr>
                    <w:pStyle w:val="TableBodyText"/>
                  </w:pPr>
                  <w:r>
                    <w:t>2102 (part)</w:t>
                  </w:r>
                </w:p>
              </w:tc>
            </w:tr>
            <w:tr w:rsidR="006B24A7" w14:paraId="00BB34B6" w14:textId="77777777" w:rsidTr="00D46F34">
              <w:tc>
                <w:tcPr>
                  <w:tcW w:w="453" w:type="pct"/>
                  <w:vAlign w:val="bottom"/>
                </w:tcPr>
                <w:p w14:paraId="00BB34B0" w14:textId="77777777" w:rsidR="006B24A7" w:rsidRPr="006F1364" w:rsidRDefault="006B24A7" w:rsidP="00453A36">
                  <w:pPr>
                    <w:pStyle w:val="TableBodyText"/>
                    <w:jc w:val="left"/>
                  </w:pPr>
                  <w:r w:rsidRPr="006F1364">
                    <w:t>36</w:t>
                  </w:r>
                </w:p>
              </w:tc>
              <w:tc>
                <w:tcPr>
                  <w:tcW w:w="3333" w:type="pct"/>
                  <w:vAlign w:val="bottom"/>
                </w:tcPr>
                <w:p w14:paraId="00BB34B1" w14:textId="77777777" w:rsidR="006B24A7" w:rsidRPr="007029F1" w:rsidRDefault="006B24A7" w:rsidP="00453A36">
                  <w:pPr>
                    <w:pStyle w:val="TableBodyText"/>
                    <w:jc w:val="left"/>
                  </w:pPr>
                  <w:r>
                    <w:t>Aluminium</w:t>
                  </w:r>
                </w:p>
              </w:tc>
              <w:tc>
                <w:tcPr>
                  <w:tcW w:w="1213" w:type="pct"/>
                </w:tcPr>
                <w:p w14:paraId="00BB34B2" w14:textId="77777777" w:rsidR="006B24A7" w:rsidRDefault="006B24A7" w:rsidP="00453A36">
                  <w:pPr>
                    <w:pStyle w:val="TableBodyText"/>
                  </w:pPr>
                  <w:r>
                    <w:t>2102 (part)</w:t>
                  </w:r>
                </w:p>
              </w:tc>
            </w:tr>
            <w:tr w:rsidR="006B24A7" w14:paraId="00BB34BD" w14:textId="77777777" w:rsidTr="00D46F34">
              <w:tc>
                <w:tcPr>
                  <w:tcW w:w="453" w:type="pct"/>
                  <w:vAlign w:val="bottom"/>
                </w:tcPr>
                <w:p w14:paraId="00BB34B7" w14:textId="77777777" w:rsidR="006B24A7" w:rsidRPr="006F1364" w:rsidRDefault="006B24A7" w:rsidP="00453A36">
                  <w:pPr>
                    <w:pStyle w:val="TableBodyText"/>
                    <w:jc w:val="left"/>
                  </w:pPr>
                  <w:r w:rsidRPr="006F1364">
                    <w:t>37</w:t>
                  </w:r>
                </w:p>
              </w:tc>
              <w:tc>
                <w:tcPr>
                  <w:tcW w:w="3333" w:type="pct"/>
                  <w:vAlign w:val="bottom"/>
                </w:tcPr>
                <w:p w14:paraId="00BB34B8" w14:textId="77777777" w:rsidR="006B24A7" w:rsidRPr="007029F1" w:rsidRDefault="006B24A7" w:rsidP="00453A36">
                  <w:pPr>
                    <w:pStyle w:val="TableBodyText"/>
                    <w:jc w:val="left"/>
                  </w:pPr>
                  <w:r>
                    <w:t>Other non</w:t>
                  </w:r>
                  <w:r>
                    <w:noBreakHyphen/>
                    <w:t>ferrous metals</w:t>
                  </w:r>
                </w:p>
              </w:tc>
              <w:tc>
                <w:tcPr>
                  <w:tcW w:w="1213" w:type="pct"/>
                </w:tcPr>
                <w:p w14:paraId="00BB34B9" w14:textId="77777777" w:rsidR="006B24A7" w:rsidRDefault="006B24A7" w:rsidP="00453A36">
                  <w:pPr>
                    <w:pStyle w:val="TableBodyText"/>
                  </w:pPr>
                  <w:r>
                    <w:t>2102 (part)</w:t>
                  </w:r>
                </w:p>
              </w:tc>
            </w:tr>
            <w:tr w:rsidR="006B24A7" w14:paraId="00BB34C4" w14:textId="77777777" w:rsidTr="00D46F34">
              <w:tc>
                <w:tcPr>
                  <w:tcW w:w="453" w:type="pct"/>
                  <w:vAlign w:val="bottom"/>
                </w:tcPr>
                <w:p w14:paraId="00BB34BE" w14:textId="77777777" w:rsidR="006B24A7" w:rsidRPr="006F1364" w:rsidRDefault="006B24A7" w:rsidP="00453A36">
                  <w:pPr>
                    <w:pStyle w:val="TableBodyText"/>
                    <w:jc w:val="left"/>
                  </w:pPr>
                  <w:r w:rsidRPr="006F1364">
                    <w:t>38</w:t>
                  </w:r>
                </w:p>
              </w:tc>
              <w:tc>
                <w:tcPr>
                  <w:tcW w:w="3333" w:type="pct"/>
                  <w:vAlign w:val="bottom"/>
                </w:tcPr>
                <w:p w14:paraId="00BB34BF" w14:textId="77777777" w:rsidR="006B24A7" w:rsidRPr="007029F1" w:rsidRDefault="006B24A7" w:rsidP="00453A36">
                  <w:pPr>
                    <w:pStyle w:val="TableBodyText"/>
                    <w:jc w:val="left"/>
                  </w:pPr>
                  <w:r>
                    <w:t>Metal products</w:t>
                  </w:r>
                </w:p>
              </w:tc>
              <w:tc>
                <w:tcPr>
                  <w:tcW w:w="1213" w:type="pct"/>
                </w:tcPr>
                <w:p w14:paraId="00BB34C0" w14:textId="77777777" w:rsidR="006B24A7" w:rsidRDefault="006B24A7" w:rsidP="00453A36">
                  <w:pPr>
                    <w:pStyle w:val="TableBodyText"/>
                  </w:pPr>
                  <w:r>
                    <w:t>2201</w:t>
                  </w:r>
                  <w:r>
                    <w:noBreakHyphen/>
                    <w:t>04</w:t>
                  </w:r>
                </w:p>
              </w:tc>
            </w:tr>
            <w:tr w:rsidR="006B24A7" w14:paraId="00BB34CB" w14:textId="77777777" w:rsidTr="00D46F34">
              <w:tc>
                <w:tcPr>
                  <w:tcW w:w="453" w:type="pct"/>
                  <w:tcBorders>
                    <w:bottom w:val="single" w:sz="6" w:space="0" w:color="BFBFBF"/>
                  </w:tcBorders>
                  <w:vAlign w:val="bottom"/>
                </w:tcPr>
                <w:p w14:paraId="00BB34C5" w14:textId="77777777" w:rsidR="006B24A7" w:rsidRPr="006F1364" w:rsidRDefault="006B24A7" w:rsidP="00453A36">
                  <w:pPr>
                    <w:pStyle w:val="TableBodyText"/>
                    <w:jc w:val="left"/>
                  </w:pPr>
                  <w:r w:rsidRPr="006F1364">
                    <w:t>39</w:t>
                  </w:r>
                </w:p>
              </w:tc>
              <w:tc>
                <w:tcPr>
                  <w:tcW w:w="3333" w:type="pct"/>
                  <w:tcBorders>
                    <w:bottom w:val="single" w:sz="6" w:space="0" w:color="BFBFBF"/>
                  </w:tcBorders>
                  <w:vAlign w:val="bottom"/>
                </w:tcPr>
                <w:p w14:paraId="00BB34C6" w14:textId="77777777" w:rsidR="006B24A7" w:rsidRPr="007029F1" w:rsidRDefault="006B24A7" w:rsidP="00453A36">
                  <w:pPr>
                    <w:pStyle w:val="TableBodyText"/>
                    <w:jc w:val="left"/>
                  </w:pPr>
                  <w:r>
                    <w:t>Motor vehicles and parts</w:t>
                  </w:r>
                </w:p>
              </w:tc>
              <w:tc>
                <w:tcPr>
                  <w:tcW w:w="1213" w:type="pct"/>
                  <w:tcBorders>
                    <w:bottom w:val="single" w:sz="6" w:space="0" w:color="BFBFBF"/>
                  </w:tcBorders>
                </w:tcPr>
                <w:p w14:paraId="00BB34C7" w14:textId="77777777" w:rsidR="006B24A7" w:rsidRDefault="006B24A7" w:rsidP="00453A36">
                  <w:pPr>
                    <w:pStyle w:val="TableBodyText"/>
                  </w:pPr>
                  <w:r>
                    <w:t>2301</w:t>
                  </w:r>
                </w:p>
              </w:tc>
            </w:tr>
          </w:tbl>
          <w:p w14:paraId="00BB34CC" w14:textId="77777777" w:rsidR="0034060E" w:rsidRDefault="0034060E" w:rsidP="00453A36">
            <w:pPr>
              <w:pStyle w:val="Box"/>
            </w:pPr>
          </w:p>
        </w:tc>
      </w:tr>
      <w:tr w:rsidR="0034060E" w14:paraId="00BB34CF" w14:textId="77777777" w:rsidTr="00D46F34">
        <w:trPr>
          <w:cantSplit/>
        </w:trPr>
        <w:tc>
          <w:tcPr>
            <w:tcW w:w="8796" w:type="dxa"/>
            <w:tcBorders>
              <w:top w:val="nil"/>
              <w:left w:val="nil"/>
              <w:bottom w:val="single" w:sz="6" w:space="0" w:color="78A22F"/>
              <w:right w:val="nil"/>
            </w:tcBorders>
            <w:shd w:val="clear" w:color="auto" w:fill="auto"/>
          </w:tcPr>
          <w:p w14:paraId="00BB34CE" w14:textId="77777777" w:rsidR="0034060E" w:rsidRDefault="0034060E" w:rsidP="00453A36">
            <w:pPr>
              <w:pStyle w:val="Box"/>
              <w:spacing w:before="0" w:line="120" w:lineRule="exact"/>
            </w:pPr>
          </w:p>
        </w:tc>
      </w:tr>
      <w:tr w:rsidR="0034060E" w:rsidRPr="000863A5" w14:paraId="00BB34D1" w14:textId="77777777" w:rsidTr="00D46F34">
        <w:tc>
          <w:tcPr>
            <w:tcW w:w="8796" w:type="dxa"/>
            <w:tcBorders>
              <w:top w:val="single" w:sz="6" w:space="0" w:color="78A22F"/>
              <w:left w:val="nil"/>
              <w:bottom w:val="nil"/>
              <w:right w:val="nil"/>
            </w:tcBorders>
          </w:tcPr>
          <w:p w14:paraId="00BB34D0" w14:textId="1885CC8A" w:rsidR="0034060E" w:rsidRPr="00626D32" w:rsidRDefault="0034060E" w:rsidP="00453A36">
            <w:pPr>
              <w:pStyle w:val="BoxSpaceBelow"/>
            </w:pPr>
          </w:p>
        </w:tc>
      </w:tr>
    </w:tbl>
    <w:p w14:paraId="00BB34D2" w14:textId="77777777" w:rsidR="0034060E" w:rsidRPr="00192818" w:rsidRDefault="0034060E" w:rsidP="00453A36">
      <w:pPr>
        <w:pStyle w:val="Continued"/>
      </w:pPr>
      <w:r w:rsidRPr="00105CB8">
        <w:t xml:space="preserve"> </w:t>
      </w:r>
      <w:r w:rsidRPr="00192818">
        <w:t>(c</w:t>
      </w:r>
      <w:r w:rsidRPr="00723237">
        <w:t>ontinued next page)</w:t>
      </w:r>
    </w:p>
    <w:p w14:paraId="00BB34D3" w14:textId="77777777" w:rsidR="0034060E" w:rsidRDefault="0034060E" w:rsidP="00453A36">
      <w:pPr>
        <w:rPr>
          <w:b/>
        </w:rPr>
      </w:pPr>
      <w:r>
        <w:rPr>
          <w:b/>
        </w:rPr>
        <w:br w:type="page"/>
      </w:r>
    </w:p>
    <w:p w14:paraId="00BB34D4" w14:textId="600489AC"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67"/>
      </w:tblGrid>
      <w:tr w:rsidR="0034060E" w14:paraId="00BB34D6" w14:textId="77777777" w:rsidTr="00D46F34">
        <w:tc>
          <w:tcPr>
            <w:tcW w:w="8767" w:type="dxa"/>
            <w:tcBorders>
              <w:top w:val="single" w:sz="6" w:space="0" w:color="78A22F"/>
              <w:left w:val="nil"/>
              <w:bottom w:val="nil"/>
              <w:right w:val="nil"/>
            </w:tcBorders>
            <w:shd w:val="clear" w:color="auto" w:fill="auto"/>
          </w:tcPr>
          <w:p w14:paraId="00BB34D5" w14:textId="77777777" w:rsidR="0034060E" w:rsidRPr="00784A05" w:rsidRDefault="0034060E" w:rsidP="00453A36">
            <w:pPr>
              <w:pStyle w:val="TableTitle"/>
            </w:pPr>
            <w:r w:rsidRPr="004F0171">
              <w:rPr>
                <w:b w:val="0"/>
              </w:rPr>
              <w:t xml:space="preserve">Table </w:t>
            </w:r>
            <w:proofErr w:type="spellStart"/>
            <w:r w:rsidRPr="004F0171">
              <w:rPr>
                <w:b w:val="0"/>
              </w:rPr>
              <w:t>B.</w:t>
            </w:r>
            <w:r>
              <w:rPr>
                <w:b w:val="0"/>
              </w:rPr>
              <w:t>3</w:t>
            </w:r>
            <w:proofErr w:type="spellEnd"/>
            <w:r>
              <w:tab/>
            </w:r>
            <w:r w:rsidRPr="0019151F">
              <w:rPr>
                <w:b w:val="0"/>
                <w:sz w:val="18"/>
                <w:szCs w:val="18"/>
              </w:rPr>
              <w:t>(continued)</w:t>
            </w:r>
          </w:p>
        </w:tc>
      </w:tr>
      <w:tr w:rsidR="0034060E" w14:paraId="00BB35F7" w14:textId="77777777" w:rsidTr="00D46F34">
        <w:trPr>
          <w:cantSplit/>
        </w:trPr>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687"/>
              <w:gridCol w:w="5811"/>
              <w:gridCol w:w="1985"/>
            </w:tblGrid>
            <w:tr w:rsidR="007E5C7F" w14:paraId="00BB34DD" w14:textId="77777777" w:rsidTr="00D46F34">
              <w:tc>
                <w:tcPr>
                  <w:tcW w:w="405" w:type="pct"/>
                  <w:tcBorders>
                    <w:top w:val="single" w:sz="6" w:space="0" w:color="BFBFBF"/>
                    <w:bottom w:val="single" w:sz="6" w:space="0" w:color="BFBFBF"/>
                  </w:tcBorders>
                </w:tcPr>
                <w:p w14:paraId="00BB34D7" w14:textId="77777777" w:rsidR="007E5C7F" w:rsidRPr="00192818" w:rsidRDefault="007E5C7F" w:rsidP="00453A36">
                  <w:pPr>
                    <w:pStyle w:val="TableColumnHeading"/>
                    <w:jc w:val="left"/>
                  </w:pPr>
                  <w:r w:rsidRPr="00192818">
                    <w:t>No.</w:t>
                  </w:r>
                </w:p>
              </w:tc>
              <w:tc>
                <w:tcPr>
                  <w:tcW w:w="3425" w:type="pct"/>
                  <w:tcBorders>
                    <w:top w:val="single" w:sz="6" w:space="0" w:color="BFBFBF"/>
                    <w:bottom w:val="single" w:sz="6" w:space="0" w:color="BFBFBF"/>
                  </w:tcBorders>
                </w:tcPr>
                <w:p w14:paraId="00BB34D8" w14:textId="77777777" w:rsidR="007E5C7F" w:rsidRPr="00723237" w:rsidRDefault="007E5C7F" w:rsidP="00453A36">
                  <w:pPr>
                    <w:pStyle w:val="TableColumnHeading"/>
                    <w:jc w:val="left"/>
                  </w:pPr>
                  <w:proofErr w:type="spellStart"/>
                  <w:r w:rsidRPr="00723237">
                    <w:t>VUMR</w:t>
                  </w:r>
                  <w:proofErr w:type="spellEnd"/>
                  <w:r w:rsidRPr="00723237">
                    <w:t xml:space="preserve"> industry</w:t>
                  </w:r>
                </w:p>
              </w:tc>
              <w:tc>
                <w:tcPr>
                  <w:tcW w:w="1170" w:type="pct"/>
                  <w:tcBorders>
                    <w:top w:val="single" w:sz="6" w:space="0" w:color="BFBFBF"/>
                    <w:bottom w:val="single" w:sz="6" w:space="0" w:color="BFBFBF"/>
                  </w:tcBorders>
                </w:tcPr>
                <w:p w14:paraId="00BB34D9" w14:textId="77777777" w:rsidR="007E5C7F" w:rsidRPr="00723237" w:rsidRDefault="007E5C7F" w:rsidP="00453A36">
                  <w:pPr>
                    <w:pStyle w:val="TableColumnHeading"/>
                  </w:pPr>
                  <w:proofErr w:type="spellStart"/>
                  <w:r w:rsidRPr="00723237">
                    <w:t>IOIG</w:t>
                  </w:r>
                  <w:proofErr w:type="spellEnd"/>
                  <w:r w:rsidRPr="00723237">
                    <w:t xml:space="preserve"> number</w:t>
                  </w:r>
                </w:p>
              </w:tc>
            </w:tr>
            <w:tr w:rsidR="007E5C7F" w14:paraId="00BB34E4" w14:textId="77777777" w:rsidTr="00D46F34">
              <w:tc>
                <w:tcPr>
                  <w:tcW w:w="405" w:type="pct"/>
                  <w:tcBorders>
                    <w:top w:val="single" w:sz="6" w:space="0" w:color="BFBFBF"/>
                  </w:tcBorders>
                  <w:vAlign w:val="bottom"/>
                </w:tcPr>
                <w:p w14:paraId="00BB34DE" w14:textId="77777777" w:rsidR="007E5C7F" w:rsidRPr="006F1364" w:rsidRDefault="007E5C7F" w:rsidP="00453A36">
                  <w:pPr>
                    <w:pStyle w:val="TableBodyText"/>
                    <w:jc w:val="left"/>
                  </w:pPr>
                  <w:r w:rsidRPr="006F1364">
                    <w:t>40</w:t>
                  </w:r>
                </w:p>
              </w:tc>
              <w:tc>
                <w:tcPr>
                  <w:tcW w:w="3425" w:type="pct"/>
                  <w:tcBorders>
                    <w:top w:val="single" w:sz="6" w:space="0" w:color="BFBFBF"/>
                  </w:tcBorders>
                  <w:vAlign w:val="bottom"/>
                </w:tcPr>
                <w:p w14:paraId="00BB34DF" w14:textId="77777777" w:rsidR="007E5C7F" w:rsidRPr="007029F1" w:rsidRDefault="007E5C7F" w:rsidP="00453A36">
                  <w:pPr>
                    <w:pStyle w:val="TableBodyText"/>
                    <w:jc w:val="left"/>
                  </w:pPr>
                  <w:r>
                    <w:t>Other equipment</w:t>
                  </w:r>
                </w:p>
              </w:tc>
              <w:tc>
                <w:tcPr>
                  <w:tcW w:w="1170" w:type="pct"/>
                  <w:tcBorders>
                    <w:top w:val="single" w:sz="6" w:space="0" w:color="BFBFBF"/>
                  </w:tcBorders>
                </w:tcPr>
                <w:p w14:paraId="00BB34E0" w14:textId="77777777" w:rsidR="007E5C7F" w:rsidRDefault="007E5C7F" w:rsidP="00453A36">
                  <w:pPr>
                    <w:pStyle w:val="TableBodyText"/>
                  </w:pPr>
                  <w:r>
                    <w:t>2302</w:t>
                  </w:r>
                  <w:r>
                    <w:noBreakHyphen/>
                    <w:t>2405</w:t>
                  </w:r>
                </w:p>
              </w:tc>
            </w:tr>
            <w:tr w:rsidR="007E5C7F" w14:paraId="00BB34EB" w14:textId="77777777" w:rsidTr="00D46F34">
              <w:tc>
                <w:tcPr>
                  <w:tcW w:w="405" w:type="pct"/>
                  <w:vAlign w:val="bottom"/>
                </w:tcPr>
                <w:p w14:paraId="00BB34E5" w14:textId="77777777" w:rsidR="007E5C7F" w:rsidRPr="006F1364" w:rsidRDefault="007E5C7F" w:rsidP="00453A36">
                  <w:pPr>
                    <w:pStyle w:val="TableBodyText"/>
                    <w:jc w:val="left"/>
                  </w:pPr>
                  <w:r>
                    <w:t>41</w:t>
                  </w:r>
                </w:p>
              </w:tc>
              <w:tc>
                <w:tcPr>
                  <w:tcW w:w="3425" w:type="pct"/>
                  <w:vAlign w:val="bottom"/>
                </w:tcPr>
                <w:p w14:paraId="00BB34E6" w14:textId="77777777" w:rsidR="007E5C7F" w:rsidRDefault="007E5C7F" w:rsidP="00453A36">
                  <w:pPr>
                    <w:pStyle w:val="TableBodyText"/>
                    <w:jc w:val="left"/>
                  </w:pPr>
                  <w:r>
                    <w:t>Furniture and other manufactured products</w:t>
                  </w:r>
                </w:p>
              </w:tc>
              <w:tc>
                <w:tcPr>
                  <w:tcW w:w="1170" w:type="pct"/>
                </w:tcPr>
                <w:p w14:paraId="00BB34E7" w14:textId="77777777" w:rsidR="007E5C7F" w:rsidRDefault="007E5C7F" w:rsidP="00453A36">
                  <w:pPr>
                    <w:pStyle w:val="TableBodyText"/>
                  </w:pPr>
                  <w:r>
                    <w:t>2501, 2502</w:t>
                  </w:r>
                </w:p>
              </w:tc>
            </w:tr>
            <w:tr w:rsidR="007E5C7F" w14:paraId="00BB34F2" w14:textId="77777777" w:rsidTr="00D46F34">
              <w:tc>
                <w:tcPr>
                  <w:tcW w:w="405" w:type="pct"/>
                  <w:vAlign w:val="bottom"/>
                </w:tcPr>
                <w:p w14:paraId="00BB34EC" w14:textId="77777777" w:rsidR="007E5C7F" w:rsidRPr="006F1364" w:rsidRDefault="007E5C7F" w:rsidP="00453A36">
                  <w:pPr>
                    <w:pStyle w:val="TableBodyText"/>
                    <w:jc w:val="left"/>
                  </w:pPr>
                  <w:r w:rsidRPr="006F1364">
                    <w:t>42</w:t>
                  </w:r>
                </w:p>
              </w:tc>
              <w:tc>
                <w:tcPr>
                  <w:tcW w:w="3425" w:type="pct"/>
                  <w:vAlign w:val="bottom"/>
                </w:tcPr>
                <w:p w14:paraId="00BB34ED" w14:textId="77777777" w:rsidR="007E5C7F" w:rsidRPr="007029F1" w:rsidRDefault="007E5C7F" w:rsidP="00453A36">
                  <w:pPr>
                    <w:pStyle w:val="TableBodyText"/>
                    <w:jc w:val="left"/>
                  </w:pPr>
                  <w:r>
                    <w:t>Electricity generation from coal</w:t>
                  </w:r>
                </w:p>
              </w:tc>
              <w:tc>
                <w:tcPr>
                  <w:tcW w:w="1170" w:type="pct"/>
                </w:tcPr>
                <w:p w14:paraId="00BB34EE" w14:textId="77777777" w:rsidR="007E5C7F" w:rsidRDefault="007E5C7F" w:rsidP="00453A36">
                  <w:pPr>
                    <w:pStyle w:val="TableBodyText"/>
                  </w:pPr>
                  <w:r>
                    <w:t>2601 (part)</w:t>
                  </w:r>
                </w:p>
              </w:tc>
            </w:tr>
            <w:tr w:rsidR="007E5C7F" w14:paraId="00BB34F9" w14:textId="77777777" w:rsidTr="00D46F34">
              <w:tc>
                <w:tcPr>
                  <w:tcW w:w="405" w:type="pct"/>
                  <w:vAlign w:val="bottom"/>
                </w:tcPr>
                <w:p w14:paraId="00BB34F3" w14:textId="77777777" w:rsidR="007E5C7F" w:rsidRPr="006F1364" w:rsidRDefault="007E5C7F" w:rsidP="00453A36">
                  <w:pPr>
                    <w:pStyle w:val="TableBodyText"/>
                    <w:jc w:val="left"/>
                  </w:pPr>
                  <w:r w:rsidRPr="006F1364">
                    <w:t>43</w:t>
                  </w:r>
                </w:p>
              </w:tc>
              <w:tc>
                <w:tcPr>
                  <w:tcW w:w="3425" w:type="pct"/>
                  <w:vAlign w:val="bottom"/>
                </w:tcPr>
                <w:p w14:paraId="00BB34F4" w14:textId="77777777" w:rsidR="007E5C7F" w:rsidRPr="007029F1" w:rsidRDefault="007E5C7F" w:rsidP="00453A36">
                  <w:pPr>
                    <w:pStyle w:val="TableBodyText"/>
                    <w:jc w:val="left"/>
                  </w:pPr>
                  <w:r>
                    <w:t>Electricity generation from gas</w:t>
                  </w:r>
                </w:p>
              </w:tc>
              <w:tc>
                <w:tcPr>
                  <w:tcW w:w="1170" w:type="pct"/>
                </w:tcPr>
                <w:p w14:paraId="00BB34F5" w14:textId="77777777" w:rsidR="007E5C7F" w:rsidRDefault="007E5C7F" w:rsidP="00453A36">
                  <w:pPr>
                    <w:pStyle w:val="TableBodyText"/>
                  </w:pPr>
                  <w:r>
                    <w:t>2601 (part)</w:t>
                  </w:r>
                </w:p>
              </w:tc>
            </w:tr>
            <w:tr w:rsidR="007E5C7F" w14:paraId="00BB3500" w14:textId="77777777" w:rsidTr="00D46F34">
              <w:tc>
                <w:tcPr>
                  <w:tcW w:w="405" w:type="pct"/>
                  <w:vAlign w:val="bottom"/>
                </w:tcPr>
                <w:p w14:paraId="00BB34FA" w14:textId="77777777" w:rsidR="007E5C7F" w:rsidRPr="006F1364" w:rsidRDefault="007E5C7F" w:rsidP="00453A36">
                  <w:pPr>
                    <w:pStyle w:val="TableBodyText"/>
                    <w:jc w:val="left"/>
                  </w:pPr>
                  <w:r w:rsidRPr="006F1364">
                    <w:t>44</w:t>
                  </w:r>
                </w:p>
              </w:tc>
              <w:tc>
                <w:tcPr>
                  <w:tcW w:w="3425" w:type="pct"/>
                  <w:vAlign w:val="bottom"/>
                </w:tcPr>
                <w:p w14:paraId="00BB34FB" w14:textId="77777777" w:rsidR="007E5C7F" w:rsidRPr="007029F1" w:rsidRDefault="007E5C7F" w:rsidP="00453A36">
                  <w:pPr>
                    <w:pStyle w:val="TableBodyText"/>
                    <w:jc w:val="left"/>
                  </w:pPr>
                  <w:r>
                    <w:t>Electricity generation from hydro</w:t>
                  </w:r>
                </w:p>
              </w:tc>
              <w:tc>
                <w:tcPr>
                  <w:tcW w:w="1170" w:type="pct"/>
                </w:tcPr>
                <w:p w14:paraId="00BB34FC" w14:textId="77777777" w:rsidR="007E5C7F" w:rsidRDefault="007E5C7F" w:rsidP="00453A36">
                  <w:pPr>
                    <w:pStyle w:val="TableBodyText"/>
                  </w:pPr>
                  <w:r>
                    <w:t>2601 (part)</w:t>
                  </w:r>
                </w:p>
              </w:tc>
            </w:tr>
            <w:tr w:rsidR="007E5C7F" w14:paraId="00BB3507" w14:textId="77777777" w:rsidTr="00D46F34">
              <w:tc>
                <w:tcPr>
                  <w:tcW w:w="405" w:type="pct"/>
                  <w:vAlign w:val="bottom"/>
                </w:tcPr>
                <w:p w14:paraId="00BB3501" w14:textId="77777777" w:rsidR="007E5C7F" w:rsidRPr="006F1364" w:rsidRDefault="007E5C7F" w:rsidP="00453A36">
                  <w:pPr>
                    <w:pStyle w:val="TableBodyText"/>
                    <w:jc w:val="left"/>
                  </w:pPr>
                  <w:r>
                    <w:t>45</w:t>
                  </w:r>
                </w:p>
              </w:tc>
              <w:tc>
                <w:tcPr>
                  <w:tcW w:w="3425" w:type="pct"/>
                  <w:vAlign w:val="bottom"/>
                </w:tcPr>
                <w:p w14:paraId="00BB3502" w14:textId="77777777" w:rsidR="007E5C7F" w:rsidRDefault="007E5C7F" w:rsidP="00453A36">
                  <w:pPr>
                    <w:pStyle w:val="TableBodyText"/>
                    <w:jc w:val="left"/>
                  </w:pPr>
                  <w:r>
                    <w:t>Electricity generation from non</w:t>
                  </w:r>
                  <w:r>
                    <w:noBreakHyphen/>
                    <w:t>hydro renewables</w:t>
                  </w:r>
                </w:p>
              </w:tc>
              <w:tc>
                <w:tcPr>
                  <w:tcW w:w="1170" w:type="pct"/>
                </w:tcPr>
                <w:p w14:paraId="00BB3503" w14:textId="77777777" w:rsidR="007E5C7F" w:rsidRDefault="007E5C7F" w:rsidP="00453A36">
                  <w:pPr>
                    <w:pStyle w:val="TableBodyText"/>
                  </w:pPr>
                  <w:r>
                    <w:t>2601 (part)</w:t>
                  </w:r>
                </w:p>
              </w:tc>
            </w:tr>
            <w:tr w:rsidR="007E5C7F" w14:paraId="00BB350E" w14:textId="77777777" w:rsidTr="00D46F34">
              <w:tc>
                <w:tcPr>
                  <w:tcW w:w="405" w:type="pct"/>
                  <w:vAlign w:val="bottom"/>
                </w:tcPr>
                <w:p w14:paraId="00BB3508" w14:textId="77777777" w:rsidR="007E5C7F" w:rsidRPr="006F1364" w:rsidRDefault="007E5C7F" w:rsidP="00453A36">
                  <w:pPr>
                    <w:pStyle w:val="TableBodyText"/>
                    <w:jc w:val="left"/>
                  </w:pPr>
                  <w:r>
                    <w:t>46</w:t>
                  </w:r>
                </w:p>
              </w:tc>
              <w:tc>
                <w:tcPr>
                  <w:tcW w:w="3425" w:type="pct"/>
                  <w:vAlign w:val="bottom"/>
                </w:tcPr>
                <w:p w14:paraId="00BB3509" w14:textId="77777777" w:rsidR="007E5C7F" w:rsidRDefault="007E5C7F" w:rsidP="00453A36">
                  <w:pPr>
                    <w:pStyle w:val="TableBodyText"/>
                    <w:jc w:val="left"/>
                  </w:pPr>
                  <w:r>
                    <w:t>Electricity generation from alternative source</w:t>
                  </w:r>
                </w:p>
              </w:tc>
              <w:tc>
                <w:tcPr>
                  <w:tcW w:w="1170" w:type="pct"/>
                </w:tcPr>
                <w:p w14:paraId="00BB350A" w14:textId="77777777" w:rsidR="007E5C7F" w:rsidRDefault="007E5C7F" w:rsidP="00453A36">
                  <w:pPr>
                    <w:pStyle w:val="TableBodyText"/>
                  </w:pPr>
                  <w:r>
                    <w:t>2601 (part)</w:t>
                  </w:r>
                </w:p>
              </w:tc>
            </w:tr>
            <w:tr w:rsidR="007E5C7F" w14:paraId="00BB3515" w14:textId="77777777" w:rsidTr="00D46F34">
              <w:tc>
                <w:tcPr>
                  <w:tcW w:w="405" w:type="pct"/>
                  <w:vAlign w:val="bottom"/>
                </w:tcPr>
                <w:p w14:paraId="00BB350F" w14:textId="77777777" w:rsidR="007E5C7F" w:rsidRPr="006F1364" w:rsidRDefault="007E5C7F" w:rsidP="00453A36">
                  <w:pPr>
                    <w:pStyle w:val="TableBodyText"/>
                    <w:jc w:val="left"/>
                  </w:pPr>
                  <w:r w:rsidRPr="006F1364">
                    <w:t>47</w:t>
                  </w:r>
                </w:p>
              </w:tc>
              <w:tc>
                <w:tcPr>
                  <w:tcW w:w="3425" w:type="pct"/>
                  <w:vAlign w:val="bottom"/>
                </w:tcPr>
                <w:p w14:paraId="00BB3510" w14:textId="77777777" w:rsidR="007E5C7F" w:rsidRPr="007029F1" w:rsidRDefault="007E5C7F" w:rsidP="00453A36">
                  <w:pPr>
                    <w:pStyle w:val="TableBodyText"/>
                    <w:jc w:val="left"/>
                  </w:pPr>
                  <w:r>
                    <w:t>Electricity supply (retail and wholesale)</w:t>
                  </w:r>
                </w:p>
              </w:tc>
              <w:tc>
                <w:tcPr>
                  <w:tcW w:w="1170" w:type="pct"/>
                </w:tcPr>
                <w:p w14:paraId="00BB3511" w14:textId="77777777" w:rsidR="007E5C7F" w:rsidRDefault="007E5C7F" w:rsidP="00453A36">
                  <w:pPr>
                    <w:pStyle w:val="TableBodyText"/>
                  </w:pPr>
                  <w:r>
                    <w:t>2605</w:t>
                  </w:r>
                </w:p>
              </w:tc>
            </w:tr>
            <w:tr w:rsidR="007E5C7F" w14:paraId="00BB351C" w14:textId="77777777" w:rsidTr="00D46F34">
              <w:tc>
                <w:tcPr>
                  <w:tcW w:w="405" w:type="pct"/>
                  <w:vAlign w:val="bottom"/>
                </w:tcPr>
                <w:p w14:paraId="00BB3516" w14:textId="77777777" w:rsidR="007E5C7F" w:rsidRPr="006F1364" w:rsidRDefault="007E5C7F" w:rsidP="00453A36">
                  <w:pPr>
                    <w:pStyle w:val="TableBodyText"/>
                    <w:jc w:val="left"/>
                  </w:pPr>
                  <w:r w:rsidRPr="006F1364">
                    <w:t>48</w:t>
                  </w:r>
                </w:p>
              </w:tc>
              <w:tc>
                <w:tcPr>
                  <w:tcW w:w="3425" w:type="pct"/>
                  <w:vAlign w:val="bottom"/>
                </w:tcPr>
                <w:p w14:paraId="00BB3517" w14:textId="77777777" w:rsidR="007E5C7F" w:rsidRPr="007029F1" w:rsidRDefault="007E5C7F" w:rsidP="00453A36">
                  <w:pPr>
                    <w:pStyle w:val="TableBodyText"/>
                    <w:jc w:val="left"/>
                  </w:pPr>
                  <w:r>
                    <w:t>Gas supply</w:t>
                  </w:r>
                </w:p>
              </w:tc>
              <w:tc>
                <w:tcPr>
                  <w:tcW w:w="1170" w:type="pct"/>
                </w:tcPr>
                <w:p w14:paraId="00BB3518" w14:textId="77777777" w:rsidR="007E5C7F" w:rsidRDefault="007E5C7F" w:rsidP="00453A36">
                  <w:pPr>
                    <w:pStyle w:val="TableBodyText"/>
                  </w:pPr>
                  <w:r>
                    <w:t>2701</w:t>
                  </w:r>
                </w:p>
              </w:tc>
            </w:tr>
            <w:tr w:rsidR="007E5C7F" w14:paraId="00BB3523" w14:textId="77777777" w:rsidTr="00D46F34">
              <w:tc>
                <w:tcPr>
                  <w:tcW w:w="405" w:type="pct"/>
                  <w:vAlign w:val="bottom"/>
                </w:tcPr>
                <w:p w14:paraId="00BB351D" w14:textId="77777777" w:rsidR="007E5C7F" w:rsidRPr="006F1364" w:rsidRDefault="007E5C7F" w:rsidP="00453A36">
                  <w:pPr>
                    <w:pStyle w:val="TableBodyText"/>
                    <w:jc w:val="left"/>
                  </w:pPr>
                  <w:r w:rsidRPr="006F1364">
                    <w:t>49</w:t>
                  </w:r>
                </w:p>
              </w:tc>
              <w:tc>
                <w:tcPr>
                  <w:tcW w:w="3425" w:type="pct"/>
                  <w:vAlign w:val="bottom"/>
                </w:tcPr>
                <w:p w14:paraId="00BB351E" w14:textId="77777777" w:rsidR="007E5C7F" w:rsidRPr="007029F1" w:rsidRDefault="007E5C7F" w:rsidP="00453A36">
                  <w:pPr>
                    <w:pStyle w:val="TableBodyText"/>
                    <w:jc w:val="left"/>
                  </w:pPr>
                  <w:r>
                    <w:t>Water and drainage services</w:t>
                  </w:r>
                </w:p>
              </w:tc>
              <w:tc>
                <w:tcPr>
                  <w:tcW w:w="1170" w:type="pct"/>
                </w:tcPr>
                <w:p w14:paraId="00BB351F" w14:textId="77777777" w:rsidR="007E5C7F" w:rsidRDefault="007E5C7F" w:rsidP="00453A36">
                  <w:pPr>
                    <w:pStyle w:val="TableBodyText"/>
                  </w:pPr>
                  <w:r>
                    <w:t>2801</w:t>
                  </w:r>
                </w:p>
              </w:tc>
            </w:tr>
            <w:tr w:rsidR="007E5C7F" w14:paraId="00BB352A" w14:textId="77777777" w:rsidTr="00D46F34">
              <w:tc>
                <w:tcPr>
                  <w:tcW w:w="405" w:type="pct"/>
                  <w:vAlign w:val="bottom"/>
                </w:tcPr>
                <w:p w14:paraId="00BB3524" w14:textId="77777777" w:rsidR="007E5C7F" w:rsidRPr="006F1364" w:rsidRDefault="007E5C7F" w:rsidP="00453A36">
                  <w:pPr>
                    <w:pStyle w:val="TableBodyText"/>
                    <w:jc w:val="left"/>
                  </w:pPr>
                  <w:r w:rsidRPr="006F1364">
                    <w:t>50</w:t>
                  </w:r>
                </w:p>
              </w:tc>
              <w:tc>
                <w:tcPr>
                  <w:tcW w:w="3425" w:type="pct"/>
                  <w:vAlign w:val="bottom"/>
                </w:tcPr>
                <w:p w14:paraId="00BB3525" w14:textId="77777777" w:rsidR="007E5C7F" w:rsidRPr="007029F1" w:rsidRDefault="007E5C7F" w:rsidP="00453A36">
                  <w:pPr>
                    <w:pStyle w:val="TableBodyText"/>
                    <w:jc w:val="left"/>
                  </w:pPr>
                  <w:r>
                    <w:t>Waste collection and treatment</w:t>
                  </w:r>
                </w:p>
              </w:tc>
              <w:tc>
                <w:tcPr>
                  <w:tcW w:w="1170" w:type="pct"/>
                </w:tcPr>
                <w:p w14:paraId="00BB3526" w14:textId="77777777" w:rsidR="007E5C7F" w:rsidRDefault="007E5C7F" w:rsidP="00453A36">
                  <w:pPr>
                    <w:pStyle w:val="TableBodyText"/>
                  </w:pPr>
                  <w:r>
                    <w:t>2901</w:t>
                  </w:r>
                </w:p>
              </w:tc>
            </w:tr>
            <w:tr w:rsidR="007E5C7F" w14:paraId="00BB3531" w14:textId="77777777" w:rsidTr="00D46F34">
              <w:tc>
                <w:tcPr>
                  <w:tcW w:w="405" w:type="pct"/>
                  <w:vAlign w:val="bottom"/>
                </w:tcPr>
                <w:p w14:paraId="00BB352B" w14:textId="77777777" w:rsidR="007E5C7F" w:rsidRPr="006F1364" w:rsidRDefault="007E5C7F" w:rsidP="00453A36">
                  <w:pPr>
                    <w:pStyle w:val="TableBodyText"/>
                    <w:jc w:val="left"/>
                  </w:pPr>
                  <w:r w:rsidRPr="006F1364">
                    <w:t>51</w:t>
                  </w:r>
                </w:p>
              </w:tc>
              <w:tc>
                <w:tcPr>
                  <w:tcW w:w="3425" w:type="pct"/>
                  <w:vAlign w:val="bottom"/>
                </w:tcPr>
                <w:p w14:paraId="00BB352C" w14:textId="77777777" w:rsidR="007E5C7F" w:rsidRPr="007029F1" w:rsidRDefault="007E5C7F" w:rsidP="00453A36">
                  <w:pPr>
                    <w:pStyle w:val="TableBodyText"/>
                    <w:jc w:val="left"/>
                  </w:pPr>
                  <w:r>
                    <w:t>Residential building construction</w:t>
                  </w:r>
                </w:p>
              </w:tc>
              <w:tc>
                <w:tcPr>
                  <w:tcW w:w="1170" w:type="pct"/>
                </w:tcPr>
                <w:p w14:paraId="00BB352D" w14:textId="77777777" w:rsidR="007E5C7F" w:rsidRDefault="007E5C7F" w:rsidP="00453A36">
                  <w:pPr>
                    <w:pStyle w:val="TableBodyText"/>
                  </w:pPr>
                  <w:r>
                    <w:t>3001</w:t>
                  </w:r>
                </w:p>
              </w:tc>
            </w:tr>
            <w:tr w:rsidR="007E5C7F" w14:paraId="00BB3538" w14:textId="77777777" w:rsidTr="00D46F34">
              <w:tc>
                <w:tcPr>
                  <w:tcW w:w="405" w:type="pct"/>
                  <w:vAlign w:val="bottom"/>
                </w:tcPr>
                <w:p w14:paraId="00BB3532" w14:textId="77777777" w:rsidR="007E5C7F" w:rsidRPr="006F1364" w:rsidRDefault="007E5C7F" w:rsidP="00453A36">
                  <w:pPr>
                    <w:pStyle w:val="TableBodyText"/>
                    <w:jc w:val="left"/>
                  </w:pPr>
                  <w:r w:rsidRPr="006F1364">
                    <w:t>52</w:t>
                  </w:r>
                </w:p>
              </w:tc>
              <w:tc>
                <w:tcPr>
                  <w:tcW w:w="3425" w:type="pct"/>
                  <w:vAlign w:val="bottom"/>
                </w:tcPr>
                <w:p w14:paraId="00BB3533" w14:textId="77777777" w:rsidR="007E5C7F" w:rsidRPr="007029F1" w:rsidRDefault="007E5C7F" w:rsidP="00453A36">
                  <w:pPr>
                    <w:pStyle w:val="TableBodyText"/>
                    <w:jc w:val="left"/>
                  </w:pPr>
                  <w:r>
                    <w:t>Non</w:t>
                  </w:r>
                  <w:r>
                    <w:noBreakHyphen/>
                    <w:t>residential building construction</w:t>
                  </w:r>
                </w:p>
              </w:tc>
              <w:tc>
                <w:tcPr>
                  <w:tcW w:w="1170" w:type="pct"/>
                </w:tcPr>
                <w:p w14:paraId="00BB3534" w14:textId="77777777" w:rsidR="007E5C7F" w:rsidRDefault="007E5C7F" w:rsidP="00453A36">
                  <w:pPr>
                    <w:pStyle w:val="TableBodyText"/>
                  </w:pPr>
                  <w:r>
                    <w:t>3002, 3101</w:t>
                  </w:r>
                </w:p>
              </w:tc>
            </w:tr>
            <w:tr w:rsidR="007E5C7F" w14:paraId="00BB353F" w14:textId="77777777" w:rsidTr="00D46F34">
              <w:tc>
                <w:tcPr>
                  <w:tcW w:w="405" w:type="pct"/>
                  <w:vAlign w:val="bottom"/>
                </w:tcPr>
                <w:p w14:paraId="00BB3539" w14:textId="77777777" w:rsidR="007E5C7F" w:rsidRPr="006F1364" w:rsidRDefault="007E5C7F" w:rsidP="00453A36">
                  <w:pPr>
                    <w:pStyle w:val="TableBodyText"/>
                    <w:jc w:val="left"/>
                  </w:pPr>
                  <w:r w:rsidRPr="006F1364">
                    <w:t>53</w:t>
                  </w:r>
                </w:p>
              </w:tc>
              <w:tc>
                <w:tcPr>
                  <w:tcW w:w="3425" w:type="pct"/>
                  <w:vAlign w:val="bottom"/>
                </w:tcPr>
                <w:p w14:paraId="00BB353A" w14:textId="77777777" w:rsidR="007E5C7F" w:rsidRPr="007029F1" w:rsidRDefault="007E5C7F" w:rsidP="00453A36">
                  <w:pPr>
                    <w:pStyle w:val="TableBodyText"/>
                    <w:jc w:val="left"/>
                  </w:pPr>
                  <w:r>
                    <w:t>Construction services</w:t>
                  </w:r>
                </w:p>
              </w:tc>
              <w:tc>
                <w:tcPr>
                  <w:tcW w:w="1170" w:type="pct"/>
                </w:tcPr>
                <w:p w14:paraId="00BB353B" w14:textId="77777777" w:rsidR="007E5C7F" w:rsidRDefault="007E5C7F" w:rsidP="00453A36">
                  <w:pPr>
                    <w:pStyle w:val="TableBodyText"/>
                  </w:pPr>
                  <w:r>
                    <w:t>3201</w:t>
                  </w:r>
                </w:p>
              </w:tc>
            </w:tr>
            <w:tr w:rsidR="007E5C7F" w14:paraId="00BB3546" w14:textId="77777777" w:rsidTr="00D46F34">
              <w:tc>
                <w:tcPr>
                  <w:tcW w:w="405" w:type="pct"/>
                  <w:vAlign w:val="bottom"/>
                </w:tcPr>
                <w:p w14:paraId="00BB3540" w14:textId="77777777" w:rsidR="007E5C7F" w:rsidRPr="006F1364" w:rsidRDefault="007E5C7F" w:rsidP="00453A36">
                  <w:pPr>
                    <w:pStyle w:val="TableBodyText"/>
                    <w:jc w:val="left"/>
                  </w:pPr>
                  <w:r w:rsidRPr="006F1364">
                    <w:t>54</w:t>
                  </w:r>
                </w:p>
              </w:tc>
              <w:tc>
                <w:tcPr>
                  <w:tcW w:w="3425" w:type="pct"/>
                  <w:vAlign w:val="bottom"/>
                </w:tcPr>
                <w:p w14:paraId="00BB3541" w14:textId="77777777" w:rsidR="007E5C7F" w:rsidRPr="007029F1" w:rsidRDefault="007E5C7F" w:rsidP="00453A36">
                  <w:pPr>
                    <w:pStyle w:val="TableBodyText"/>
                    <w:jc w:val="left"/>
                  </w:pPr>
                  <w:r>
                    <w:t>Wholesale trade</w:t>
                  </w:r>
                </w:p>
              </w:tc>
              <w:tc>
                <w:tcPr>
                  <w:tcW w:w="1170" w:type="pct"/>
                </w:tcPr>
                <w:p w14:paraId="00BB3542" w14:textId="77777777" w:rsidR="007E5C7F" w:rsidRDefault="007E5C7F" w:rsidP="00453A36">
                  <w:pPr>
                    <w:pStyle w:val="TableBodyText"/>
                  </w:pPr>
                  <w:r>
                    <w:t>3301</w:t>
                  </w:r>
                </w:p>
              </w:tc>
            </w:tr>
            <w:tr w:rsidR="007E5C7F" w14:paraId="00BB354D" w14:textId="77777777" w:rsidTr="00D46F34">
              <w:tc>
                <w:tcPr>
                  <w:tcW w:w="405" w:type="pct"/>
                  <w:vAlign w:val="bottom"/>
                </w:tcPr>
                <w:p w14:paraId="00BB3547" w14:textId="77777777" w:rsidR="007E5C7F" w:rsidRPr="006F1364" w:rsidRDefault="007E5C7F" w:rsidP="00453A36">
                  <w:pPr>
                    <w:pStyle w:val="TableBodyText"/>
                    <w:jc w:val="left"/>
                  </w:pPr>
                  <w:r w:rsidRPr="006F1364">
                    <w:t>55</w:t>
                  </w:r>
                </w:p>
              </w:tc>
              <w:tc>
                <w:tcPr>
                  <w:tcW w:w="3425" w:type="pct"/>
                  <w:vAlign w:val="bottom"/>
                </w:tcPr>
                <w:p w14:paraId="00BB3548" w14:textId="77777777" w:rsidR="007E5C7F" w:rsidRPr="007029F1" w:rsidRDefault="007E5C7F" w:rsidP="00453A36">
                  <w:pPr>
                    <w:pStyle w:val="TableBodyText"/>
                    <w:jc w:val="left"/>
                  </w:pPr>
                  <w:r>
                    <w:t>Retail trade</w:t>
                  </w:r>
                </w:p>
              </w:tc>
              <w:tc>
                <w:tcPr>
                  <w:tcW w:w="1170" w:type="pct"/>
                </w:tcPr>
                <w:p w14:paraId="00BB3549" w14:textId="77777777" w:rsidR="007E5C7F" w:rsidRDefault="007E5C7F" w:rsidP="00453A36">
                  <w:pPr>
                    <w:pStyle w:val="TableBodyText"/>
                  </w:pPr>
                  <w:r>
                    <w:t>3901</w:t>
                  </w:r>
                </w:p>
              </w:tc>
            </w:tr>
            <w:tr w:rsidR="007E5C7F" w14:paraId="00BB3554" w14:textId="77777777" w:rsidTr="00D46F34">
              <w:tc>
                <w:tcPr>
                  <w:tcW w:w="405" w:type="pct"/>
                  <w:vAlign w:val="bottom"/>
                </w:tcPr>
                <w:p w14:paraId="00BB354E" w14:textId="77777777" w:rsidR="007E5C7F" w:rsidRPr="006F1364" w:rsidRDefault="007E5C7F" w:rsidP="00453A36">
                  <w:pPr>
                    <w:pStyle w:val="TableBodyText"/>
                    <w:jc w:val="left"/>
                  </w:pPr>
                  <w:r w:rsidRPr="006F1364">
                    <w:t>56</w:t>
                  </w:r>
                </w:p>
              </w:tc>
              <w:tc>
                <w:tcPr>
                  <w:tcW w:w="3425" w:type="pct"/>
                  <w:vAlign w:val="bottom"/>
                </w:tcPr>
                <w:p w14:paraId="00BB354F" w14:textId="77777777" w:rsidR="007E5C7F" w:rsidRPr="007029F1" w:rsidRDefault="007E5C7F" w:rsidP="00453A36">
                  <w:pPr>
                    <w:pStyle w:val="TableBodyText"/>
                    <w:jc w:val="left"/>
                  </w:pPr>
                  <w:r>
                    <w:t>Accommodation and food services</w:t>
                  </w:r>
                </w:p>
              </w:tc>
              <w:tc>
                <w:tcPr>
                  <w:tcW w:w="1170" w:type="pct"/>
                </w:tcPr>
                <w:p w14:paraId="00BB3550" w14:textId="77777777" w:rsidR="007E5C7F" w:rsidRDefault="007E5C7F" w:rsidP="00453A36">
                  <w:pPr>
                    <w:pStyle w:val="TableBodyText"/>
                  </w:pPr>
                  <w:r>
                    <w:t>4401, 4501</w:t>
                  </w:r>
                </w:p>
              </w:tc>
            </w:tr>
            <w:tr w:rsidR="007E5C7F" w14:paraId="00BB355B" w14:textId="77777777" w:rsidTr="00D46F34">
              <w:tc>
                <w:tcPr>
                  <w:tcW w:w="405" w:type="pct"/>
                  <w:vAlign w:val="bottom"/>
                </w:tcPr>
                <w:p w14:paraId="00BB3555" w14:textId="77777777" w:rsidR="007E5C7F" w:rsidRPr="006F1364" w:rsidRDefault="007E5C7F" w:rsidP="00453A36">
                  <w:pPr>
                    <w:pStyle w:val="TableBodyText"/>
                    <w:jc w:val="left"/>
                  </w:pPr>
                  <w:r w:rsidRPr="006F1364">
                    <w:t>57</w:t>
                  </w:r>
                </w:p>
              </w:tc>
              <w:tc>
                <w:tcPr>
                  <w:tcW w:w="3425" w:type="pct"/>
                  <w:vAlign w:val="bottom"/>
                </w:tcPr>
                <w:p w14:paraId="00BB3556" w14:textId="77777777" w:rsidR="007E5C7F" w:rsidRPr="007029F1" w:rsidRDefault="007E5C7F" w:rsidP="00453A36">
                  <w:pPr>
                    <w:pStyle w:val="TableBodyText"/>
                    <w:jc w:val="left"/>
                  </w:pPr>
                  <w:r>
                    <w:t>Road freight services</w:t>
                  </w:r>
                </w:p>
              </w:tc>
              <w:tc>
                <w:tcPr>
                  <w:tcW w:w="1170" w:type="pct"/>
                </w:tcPr>
                <w:p w14:paraId="00BB3557" w14:textId="77777777" w:rsidR="007E5C7F" w:rsidRDefault="007E5C7F" w:rsidP="00453A36">
                  <w:pPr>
                    <w:pStyle w:val="TableBodyText"/>
                  </w:pPr>
                  <w:r>
                    <w:t>4601 (part)</w:t>
                  </w:r>
                </w:p>
              </w:tc>
            </w:tr>
            <w:tr w:rsidR="007E5C7F" w14:paraId="00BB3562" w14:textId="77777777" w:rsidTr="00D46F34">
              <w:tc>
                <w:tcPr>
                  <w:tcW w:w="405" w:type="pct"/>
                  <w:vAlign w:val="bottom"/>
                </w:tcPr>
                <w:p w14:paraId="00BB355C" w14:textId="77777777" w:rsidR="007E5C7F" w:rsidRPr="006F1364" w:rsidRDefault="007E5C7F" w:rsidP="00453A36">
                  <w:pPr>
                    <w:pStyle w:val="TableBodyText"/>
                    <w:jc w:val="left"/>
                  </w:pPr>
                  <w:r w:rsidRPr="006F1364">
                    <w:t>58</w:t>
                  </w:r>
                </w:p>
              </w:tc>
              <w:tc>
                <w:tcPr>
                  <w:tcW w:w="3425" w:type="pct"/>
                  <w:vAlign w:val="bottom"/>
                </w:tcPr>
                <w:p w14:paraId="00BB355D" w14:textId="77777777" w:rsidR="007E5C7F" w:rsidRPr="007029F1" w:rsidRDefault="007E5C7F" w:rsidP="00453A36">
                  <w:pPr>
                    <w:pStyle w:val="TableBodyText"/>
                    <w:jc w:val="left"/>
                  </w:pPr>
                  <w:r>
                    <w:t>Road passenger services</w:t>
                  </w:r>
                </w:p>
              </w:tc>
              <w:tc>
                <w:tcPr>
                  <w:tcW w:w="1170" w:type="pct"/>
                </w:tcPr>
                <w:p w14:paraId="00BB355E" w14:textId="77777777" w:rsidR="007E5C7F" w:rsidRDefault="007E5C7F" w:rsidP="00453A36">
                  <w:pPr>
                    <w:pStyle w:val="TableBodyText"/>
                  </w:pPr>
                  <w:r>
                    <w:t>4601 (part)</w:t>
                  </w:r>
                </w:p>
              </w:tc>
            </w:tr>
            <w:tr w:rsidR="007E5C7F" w14:paraId="00BB3569" w14:textId="77777777" w:rsidTr="00D46F34">
              <w:tc>
                <w:tcPr>
                  <w:tcW w:w="405" w:type="pct"/>
                  <w:vAlign w:val="bottom"/>
                </w:tcPr>
                <w:p w14:paraId="00BB3563" w14:textId="77777777" w:rsidR="007E5C7F" w:rsidRPr="006F1364" w:rsidRDefault="007E5C7F" w:rsidP="00453A36">
                  <w:pPr>
                    <w:pStyle w:val="TableBodyText"/>
                    <w:jc w:val="left"/>
                  </w:pPr>
                  <w:r w:rsidRPr="006F1364">
                    <w:t>59</w:t>
                  </w:r>
                </w:p>
              </w:tc>
              <w:tc>
                <w:tcPr>
                  <w:tcW w:w="3425" w:type="pct"/>
                  <w:vAlign w:val="bottom"/>
                </w:tcPr>
                <w:p w14:paraId="00BB3564" w14:textId="77777777" w:rsidR="007E5C7F" w:rsidRPr="007029F1" w:rsidRDefault="007E5C7F" w:rsidP="00453A36">
                  <w:pPr>
                    <w:pStyle w:val="TableBodyText"/>
                    <w:jc w:val="left"/>
                  </w:pPr>
                  <w:r>
                    <w:t>Rail freight services</w:t>
                  </w:r>
                </w:p>
              </w:tc>
              <w:tc>
                <w:tcPr>
                  <w:tcW w:w="1170" w:type="pct"/>
                </w:tcPr>
                <w:p w14:paraId="00BB3565" w14:textId="77777777" w:rsidR="007E5C7F" w:rsidRDefault="007E5C7F" w:rsidP="00453A36">
                  <w:pPr>
                    <w:pStyle w:val="TableBodyText"/>
                  </w:pPr>
                  <w:r>
                    <w:t>4602 (part)</w:t>
                  </w:r>
                </w:p>
              </w:tc>
            </w:tr>
            <w:tr w:rsidR="007E5C7F" w14:paraId="00BB3570" w14:textId="77777777" w:rsidTr="00D46F34">
              <w:tc>
                <w:tcPr>
                  <w:tcW w:w="405" w:type="pct"/>
                  <w:vAlign w:val="bottom"/>
                </w:tcPr>
                <w:p w14:paraId="00BB356A" w14:textId="77777777" w:rsidR="007E5C7F" w:rsidRPr="006F1364" w:rsidRDefault="007E5C7F" w:rsidP="00453A36">
                  <w:pPr>
                    <w:pStyle w:val="TableBodyText"/>
                    <w:jc w:val="left"/>
                  </w:pPr>
                  <w:r w:rsidRPr="006F1364">
                    <w:t>60</w:t>
                  </w:r>
                </w:p>
              </w:tc>
              <w:tc>
                <w:tcPr>
                  <w:tcW w:w="3425" w:type="pct"/>
                  <w:vAlign w:val="bottom"/>
                </w:tcPr>
                <w:p w14:paraId="00BB356B" w14:textId="77777777" w:rsidR="007E5C7F" w:rsidRPr="007029F1" w:rsidRDefault="007E5C7F" w:rsidP="00453A36">
                  <w:pPr>
                    <w:pStyle w:val="TableBodyText"/>
                    <w:jc w:val="left"/>
                  </w:pPr>
                  <w:r>
                    <w:t>Rail passenger services</w:t>
                  </w:r>
                </w:p>
              </w:tc>
              <w:tc>
                <w:tcPr>
                  <w:tcW w:w="1170" w:type="pct"/>
                </w:tcPr>
                <w:p w14:paraId="00BB356C" w14:textId="77777777" w:rsidR="007E5C7F" w:rsidRDefault="007E5C7F" w:rsidP="00453A36">
                  <w:pPr>
                    <w:pStyle w:val="TableBodyText"/>
                  </w:pPr>
                  <w:r>
                    <w:t>4602 (part)</w:t>
                  </w:r>
                </w:p>
              </w:tc>
            </w:tr>
            <w:tr w:rsidR="007E5C7F" w14:paraId="00BB3577" w14:textId="77777777" w:rsidTr="00D46F34">
              <w:tc>
                <w:tcPr>
                  <w:tcW w:w="405" w:type="pct"/>
                  <w:vAlign w:val="bottom"/>
                </w:tcPr>
                <w:p w14:paraId="00BB3571" w14:textId="77777777" w:rsidR="007E5C7F" w:rsidRPr="006F1364" w:rsidRDefault="007E5C7F" w:rsidP="00453A36">
                  <w:pPr>
                    <w:pStyle w:val="TableBodyText"/>
                    <w:jc w:val="left"/>
                  </w:pPr>
                  <w:r w:rsidRPr="006F1364">
                    <w:t>61</w:t>
                  </w:r>
                </w:p>
              </w:tc>
              <w:tc>
                <w:tcPr>
                  <w:tcW w:w="3425" w:type="pct"/>
                  <w:vAlign w:val="bottom"/>
                </w:tcPr>
                <w:p w14:paraId="00BB3572" w14:textId="77777777" w:rsidR="007E5C7F" w:rsidRPr="007029F1" w:rsidRDefault="007E5C7F" w:rsidP="00453A36">
                  <w:pPr>
                    <w:pStyle w:val="TableBodyText"/>
                    <w:jc w:val="left"/>
                  </w:pPr>
                  <w:r>
                    <w:t>Pipeline services</w:t>
                  </w:r>
                </w:p>
              </w:tc>
              <w:tc>
                <w:tcPr>
                  <w:tcW w:w="1170" w:type="pct"/>
                </w:tcPr>
                <w:p w14:paraId="00BB3573" w14:textId="77777777" w:rsidR="007E5C7F" w:rsidRDefault="007E5C7F" w:rsidP="00453A36">
                  <w:pPr>
                    <w:pStyle w:val="TableBodyText"/>
                  </w:pPr>
                  <w:r>
                    <w:t>4801 (part)</w:t>
                  </w:r>
                </w:p>
              </w:tc>
            </w:tr>
            <w:tr w:rsidR="007E5C7F" w14:paraId="00BB357E" w14:textId="77777777" w:rsidTr="00D46F34">
              <w:tc>
                <w:tcPr>
                  <w:tcW w:w="405" w:type="pct"/>
                  <w:vAlign w:val="bottom"/>
                </w:tcPr>
                <w:p w14:paraId="00BB3578" w14:textId="77777777" w:rsidR="007E5C7F" w:rsidRPr="006F1364" w:rsidRDefault="007E5C7F" w:rsidP="00453A36">
                  <w:pPr>
                    <w:pStyle w:val="TableBodyText"/>
                    <w:jc w:val="left"/>
                  </w:pPr>
                  <w:r w:rsidRPr="006F1364">
                    <w:t>62</w:t>
                  </w:r>
                </w:p>
              </w:tc>
              <w:tc>
                <w:tcPr>
                  <w:tcW w:w="3425" w:type="pct"/>
                  <w:vAlign w:val="bottom"/>
                </w:tcPr>
                <w:p w14:paraId="00BB3579" w14:textId="77777777" w:rsidR="007E5C7F" w:rsidRPr="007029F1" w:rsidRDefault="007E5C7F" w:rsidP="00453A36">
                  <w:pPr>
                    <w:pStyle w:val="TableBodyText"/>
                    <w:jc w:val="left"/>
                  </w:pPr>
                  <w:r>
                    <w:t>Water transport services</w:t>
                  </w:r>
                </w:p>
              </w:tc>
              <w:tc>
                <w:tcPr>
                  <w:tcW w:w="1170" w:type="pct"/>
                </w:tcPr>
                <w:p w14:paraId="00BB357A" w14:textId="77777777" w:rsidR="007E5C7F" w:rsidRDefault="007E5C7F" w:rsidP="00453A36">
                  <w:pPr>
                    <w:pStyle w:val="TableBodyText"/>
                  </w:pPr>
                  <w:r>
                    <w:t>4801 (part)</w:t>
                  </w:r>
                </w:p>
              </w:tc>
            </w:tr>
            <w:tr w:rsidR="007E5C7F" w14:paraId="00BB3585" w14:textId="77777777" w:rsidTr="00D46F34">
              <w:tc>
                <w:tcPr>
                  <w:tcW w:w="405" w:type="pct"/>
                  <w:vAlign w:val="bottom"/>
                </w:tcPr>
                <w:p w14:paraId="00BB357F" w14:textId="77777777" w:rsidR="007E5C7F" w:rsidRPr="006F1364" w:rsidRDefault="007E5C7F" w:rsidP="00453A36">
                  <w:pPr>
                    <w:pStyle w:val="TableBodyText"/>
                    <w:jc w:val="left"/>
                  </w:pPr>
                  <w:r w:rsidRPr="006F1364">
                    <w:t>63</w:t>
                  </w:r>
                </w:p>
              </w:tc>
              <w:tc>
                <w:tcPr>
                  <w:tcW w:w="3425" w:type="pct"/>
                  <w:vAlign w:val="bottom"/>
                </w:tcPr>
                <w:p w14:paraId="00BB3580" w14:textId="77777777" w:rsidR="007E5C7F" w:rsidRPr="007029F1" w:rsidRDefault="007E5C7F" w:rsidP="00453A36">
                  <w:pPr>
                    <w:pStyle w:val="TableBodyText"/>
                    <w:jc w:val="left"/>
                  </w:pPr>
                  <w:r>
                    <w:t>Air transport services</w:t>
                  </w:r>
                </w:p>
              </w:tc>
              <w:tc>
                <w:tcPr>
                  <w:tcW w:w="1170" w:type="pct"/>
                </w:tcPr>
                <w:p w14:paraId="00BB3581" w14:textId="77777777" w:rsidR="007E5C7F" w:rsidRDefault="007E5C7F" w:rsidP="00453A36">
                  <w:pPr>
                    <w:pStyle w:val="TableBodyText"/>
                  </w:pPr>
                  <w:r>
                    <w:t>4901</w:t>
                  </w:r>
                </w:p>
              </w:tc>
            </w:tr>
            <w:tr w:rsidR="007E5C7F" w14:paraId="00BB358C" w14:textId="77777777" w:rsidTr="00D46F34">
              <w:tc>
                <w:tcPr>
                  <w:tcW w:w="405" w:type="pct"/>
                  <w:vAlign w:val="bottom"/>
                </w:tcPr>
                <w:p w14:paraId="00BB3586" w14:textId="77777777" w:rsidR="007E5C7F" w:rsidRPr="006F1364" w:rsidRDefault="007E5C7F" w:rsidP="00453A36">
                  <w:pPr>
                    <w:pStyle w:val="TableBodyText"/>
                    <w:jc w:val="left"/>
                  </w:pPr>
                  <w:r w:rsidRPr="006F1364">
                    <w:t>64</w:t>
                  </w:r>
                </w:p>
              </w:tc>
              <w:tc>
                <w:tcPr>
                  <w:tcW w:w="3425" w:type="pct"/>
                  <w:vAlign w:val="bottom"/>
                </w:tcPr>
                <w:p w14:paraId="00BB3587" w14:textId="77777777" w:rsidR="007E5C7F" w:rsidRPr="007029F1" w:rsidRDefault="007E5C7F" w:rsidP="00453A36">
                  <w:pPr>
                    <w:pStyle w:val="TableBodyText"/>
                    <w:jc w:val="left"/>
                  </w:pPr>
                  <w:r>
                    <w:t>Courier and other transport services</w:t>
                  </w:r>
                </w:p>
              </w:tc>
              <w:tc>
                <w:tcPr>
                  <w:tcW w:w="1170" w:type="pct"/>
                </w:tcPr>
                <w:p w14:paraId="00BB3588" w14:textId="77777777" w:rsidR="007E5C7F" w:rsidRDefault="007E5C7F" w:rsidP="00453A36">
                  <w:pPr>
                    <w:pStyle w:val="TableBodyText"/>
                  </w:pPr>
                  <w:r>
                    <w:t>5101, 5201</w:t>
                  </w:r>
                </w:p>
              </w:tc>
            </w:tr>
            <w:tr w:rsidR="007E5C7F" w14:paraId="00BB3593" w14:textId="77777777" w:rsidTr="00D46F34">
              <w:tc>
                <w:tcPr>
                  <w:tcW w:w="405" w:type="pct"/>
                  <w:vAlign w:val="bottom"/>
                </w:tcPr>
                <w:p w14:paraId="00BB358D" w14:textId="77777777" w:rsidR="007E5C7F" w:rsidRPr="006F1364" w:rsidRDefault="007E5C7F" w:rsidP="00453A36">
                  <w:pPr>
                    <w:pStyle w:val="TableBodyText"/>
                    <w:jc w:val="left"/>
                  </w:pPr>
                  <w:r w:rsidRPr="006F1364">
                    <w:t>65</w:t>
                  </w:r>
                </w:p>
              </w:tc>
              <w:tc>
                <w:tcPr>
                  <w:tcW w:w="3425" w:type="pct"/>
                  <w:vAlign w:val="bottom"/>
                </w:tcPr>
                <w:p w14:paraId="00BB358E" w14:textId="77777777" w:rsidR="007E5C7F" w:rsidRPr="007029F1" w:rsidRDefault="007E5C7F" w:rsidP="00453A36">
                  <w:pPr>
                    <w:pStyle w:val="TableBodyText"/>
                    <w:jc w:val="left"/>
                  </w:pPr>
                  <w:r>
                    <w:t>Publishing, information and media</w:t>
                  </w:r>
                </w:p>
              </w:tc>
              <w:tc>
                <w:tcPr>
                  <w:tcW w:w="1170" w:type="pct"/>
                </w:tcPr>
                <w:p w14:paraId="00BB358F" w14:textId="77777777" w:rsidR="007E5C7F" w:rsidRDefault="007E5C7F" w:rsidP="00453A36">
                  <w:pPr>
                    <w:pStyle w:val="TableBodyText"/>
                  </w:pPr>
                  <w:r>
                    <w:t>5401</w:t>
                  </w:r>
                  <w:r>
                    <w:noBreakHyphen/>
                    <w:t>5701, 6001</w:t>
                  </w:r>
                </w:p>
              </w:tc>
            </w:tr>
            <w:tr w:rsidR="007E5C7F" w14:paraId="00BB359A" w14:textId="77777777" w:rsidTr="00D46F34">
              <w:tc>
                <w:tcPr>
                  <w:tcW w:w="405" w:type="pct"/>
                  <w:vAlign w:val="bottom"/>
                </w:tcPr>
                <w:p w14:paraId="00BB3594" w14:textId="77777777" w:rsidR="007E5C7F" w:rsidRPr="006F1364" w:rsidRDefault="007E5C7F" w:rsidP="00453A36">
                  <w:pPr>
                    <w:pStyle w:val="TableBodyText"/>
                    <w:jc w:val="left"/>
                  </w:pPr>
                  <w:r w:rsidRPr="006F1364">
                    <w:t>66</w:t>
                  </w:r>
                </w:p>
              </w:tc>
              <w:tc>
                <w:tcPr>
                  <w:tcW w:w="3425" w:type="pct"/>
                  <w:vAlign w:val="bottom"/>
                </w:tcPr>
                <w:p w14:paraId="00BB3595" w14:textId="77777777" w:rsidR="007E5C7F" w:rsidRPr="007029F1" w:rsidRDefault="007E5C7F" w:rsidP="00453A36">
                  <w:pPr>
                    <w:pStyle w:val="TableBodyText"/>
                    <w:jc w:val="left"/>
                  </w:pPr>
                  <w:r>
                    <w:t>Telecommunication services</w:t>
                  </w:r>
                </w:p>
              </w:tc>
              <w:tc>
                <w:tcPr>
                  <w:tcW w:w="1170" w:type="pct"/>
                </w:tcPr>
                <w:p w14:paraId="00BB3596" w14:textId="77777777" w:rsidR="007E5C7F" w:rsidRDefault="007E5C7F" w:rsidP="00453A36">
                  <w:pPr>
                    <w:pStyle w:val="TableBodyText"/>
                  </w:pPr>
                  <w:r>
                    <w:t>5801</w:t>
                  </w:r>
                </w:p>
              </w:tc>
            </w:tr>
            <w:tr w:rsidR="007E5C7F" w14:paraId="00BB35A1" w14:textId="77777777" w:rsidTr="00D46F34">
              <w:tc>
                <w:tcPr>
                  <w:tcW w:w="405" w:type="pct"/>
                  <w:vAlign w:val="bottom"/>
                </w:tcPr>
                <w:p w14:paraId="00BB359B" w14:textId="77777777" w:rsidR="007E5C7F" w:rsidRPr="006F1364" w:rsidRDefault="007E5C7F" w:rsidP="00453A36">
                  <w:pPr>
                    <w:pStyle w:val="TableBodyText"/>
                    <w:jc w:val="left"/>
                  </w:pPr>
                  <w:r w:rsidRPr="006F1364">
                    <w:t>67</w:t>
                  </w:r>
                </w:p>
              </w:tc>
              <w:tc>
                <w:tcPr>
                  <w:tcW w:w="3425" w:type="pct"/>
                  <w:vAlign w:val="bottom"/>
                </w:tcPr>
                <w:p w14:paraId="00BB359C" w14:textId="77777777" w:rsidR="007E5C7F" w:rsidRPr="007029F1" w:rsidRDefault="007E5C7F" w:rsidP="00453A36">
                  <w:pPr>
                    <w:pStyle w:val="TableBodyText"/>
                    <w:jc w:val="left"/>
                  </w:pPr>
                  <w:r>
                    <w:t>Banking services</w:t>
                  </w:r>
                </w:p>
              </w:tc>
              <w:tc>
                <w:tcPr>
                  <w:tcW w:w="1170" w:type="pct"/>
                </w:tcPr>
                <w:p w14:paraId="00BB359D" w14:textId="77777777" w:rsidR="007E5C7F" w:rsidRDefault="007E5C7F" w:rsidP="00453A36">
                  <w:pPr>
                    <w:pStyle w:val="TableBodyText"/>
                  </w:pPr>
                  <w:r>
                    <w:t>6201 (part)</w:t>
                  </w:r>
                </w:p>
              </w:tc>
            </w:tr>
            <w:tr w:rsidR="007E5C7F" w14:paraId="00BB35A8" w14:textId="77777777" w:rsidTr="00D46F34">
              <w:tc>
                <w:tcPr>
                  <w:tcW w:w="405" w:type="pct"/>
                  <w:vAlign w:val="bottom"/>
                </w:tcPr>
                <w:p w14:paraId="00BB35A2" w14:textId="77777777" w:rsidR="007E5C7F" w:rsidRPr="006F1364" w:rsidRDefault="007E5C7F" w:rsidP="00453A36">
                  <w:pPr>
                    <w:pStyle w:val="TableBodyText"/>
                    <w:jc w:val="left"/>
                  </w:pPr>
                  <w:r w:rsidRPr="006F1364">
                    <w:t>68</w:t>
                  </w:r>
                </w:p>
              </w:tc>
              <w:tc>
                <w:tcPr>
                  <w:tcW w:w="3425" w:type="pct"/>
                  <w:vAlign w:val="bottom"/>
                </w:tcPr>
                <w:p w14:paraId="00BB35A3" w14:textId="77777777" w:rsidR="007E5C7F" w:rsidRPr="007029F1" w:rsidRDefault="007E5C7F" w:rsidP="00453A36">
                  <w:pPr>
                    <w:pStyle w:val="TableBodyText"/>
                    <w:jc w:val="left"/>
                  </w:pPr>
                  <w:r>
                    <w:t>Finance services other than banking</w:t>
                  </w:r>
                </w:p>
              </w:tc>
              <w:tc>
                <w:tcPr>
                  <w:tcW w:w="1170" w:type="pct"/>
                </w:tcPr>
                <w:p w14:paraId="00BB35A4" w14:textId="77777777" w:rsidR="007E5C7F" w:rsidRDefault="007E5C7F" w:rsidP="00453A36">
                  <w:pPr>
                    <w:pStyle w:val="TableBodyText"/>
                  </w:pPr>
                  <w:r>
                    <w:t>6201 (part)</w:t>
                  </w:r>
                </w:p>
              </w:tc>
            </w:tr>
            <w:tr w:rsidR="007E5C7F" w14:paraId="00BB35AF" w14:textId="77777777" w:rsidTr="00D46F34">
              <w:tc>
                <w:tcPr>
                  <w:tcW w:w="405" w:type="pct"/>
                  <w:vAlign w:val="bottom"/>
                </w:tcPr>
                <w:p w14:paraId="00BB35A9" w14:textId="77777777" w:rsidR="007E5C7F" w:rsidRPr="006F1364" w:rsidRDefault="007E5C7F" w:rsidP="00453A36">
                  <w:pPr>
                    <w:pStyle w:val="TableBodyText"/>
                    <w:jc w:val="left"/>
                  </w:pPr>
                  <w:r w:rsidRPr="006F1364">
                    <w:t>69</w:t>
                  </w:r>
                </w:p>
              </w:tc>
              <w:tc>
                <w:tcPr>
                  <w:tcW w:w="3425" w:type="pct"/>
                  <w:vAlign w:val="bottom"/>
                </w:tcPr>
                <w:p w14:paraId="00BB35AA" w14:textId="77777777" w:rsidR="007E5C7F" w:rsidRPr="007029F1" w:rsidRDefault="007E5C7F" w:rsidP="00453A36">
                  <w:pPr>
                    <w:pStyle w:val="TableBodyText"/>
                    <w:jc w:val="left"/>
                  </w:pPr>
                  <w:r>
                    <w:t>Insurance services</w:t>
                  </w:r>
                </w:p>
              </w:tc>
              <w:tc>
                <w:tcPr>
                  <w:tcW w:w="1170" w:type="pct"/>
                </w:tcPr>
                <w:p w14:paraId="00BB35AB" w14:textId="77777777" w:rsidR="007E5C7F" w:rsidRDefault="007E5C7F" w:rsidP="00453A36">
                  <w:pPr>
                    <w:pStyle w:val="TableBodyText"/>
                  </w:pPr>
                  <w:r>
                    <w:t>6301 (part)</w:t>
                  </w:r>
                </w:p>
              </w:tc>
            </w:tr>
            <w:tr w:rsidR="007E5C7F" w14:paraId="00BB35B6" w14:textId="77777777" w:rsidTr="00D46F34">
              <w:tc>
                <w:tcPr>
                  <w:tcW w:w="405" w:type="pct"/>
                  <w:vAlign w:val="bottom"/>
                </w:tcPr>
                <w:p w14:paraId="00BB35B0" w14:textId="77777777" w:rsidR="007E5C7F" w:rsidRPr="006F1364" w:rsidRDefault="007E5C7F" w:rsidP="00453A36">
                  <w:pPr>
                    <w:pStyle w:val="TableBodyText"/>
                    <w:jc w:val="left"/>
                  </w:pPr>
                  <w:r w:rsidRPr="006F1364">
                    <w:t>70</w:t>
                  </w:r>
                </w:p>
              </w:tc>
              <w:tc>
                <w:tcPr>
                  <w:tcW w:w="3425" w:type="pct"/>
                  <w:vAlign w:val="bottom"/>
                </w:tcPr>
                <w:p w14:paraId="00BB35B1" w14:textId="77777777" w:rsidR="007E5C7F" w:rsidRPr="007029F1" w:rsidRDefault="007E5C7F" w:rsidP="00453A36">
                  <w:pPr>
                    <w:pStyle w:val="TableBodyText"/>
                    <w:jc w:val="left"/>
                  </w:pPr>
                  <w:r>
                    <w:t>Superannuation fund services</w:t>
                  </w:r>
                </w:p>
              </w:tc>
              <w:tc>
                <w:tcPr>
                  <w:tcW w:w="1170" w:type="pct"/>
                </w:tcPr>
                <w:p w14:paraId="00BB35B2" w14:textId="77777777" w:rsidR="007E5C7F" w:rsidRDefault="007E5C7F" w:rsidP="00453A36">
                  <w:pPr>
                    <w:pStyle w:val="TableBodyText"/>
                  </w:pPr>
                  <w:r>
                    <w:t>6301 (part)</w:t>
                  </w:r>
                </w:p>
              </w:tc>
            </w:tr>
            <w:tr w:rsidR="007E5C7F" w14:paraId="00BB35BD" w14:textId="77777777" w:rsidTr="00D46F34">
              <w:tc>
                <w:tcPr>
                  <w:tcW w:w="405" w:type="pct"/>
                  <w:vAlign w:val="bottom"/>
                </w:tcPr>
                <w:p w14:paraId="00BB35B7" w14:textId="77777777" w:rsidR="007E5C7F" w:rsidRPr="006F1364" w:rsidRDefault="007E5C7F" w:rsidP="00453A36">
                  <w:pPr>
                    <w:pStyle w:val="TableBodyText"/>
                    <w:jc w:val="left"/>
                  </w:pPr>
                  <w:r w:rsidRPr="006F1364">
                    <w:t>71</w:t>
                  </w:r>
                </w:p>
              </w:tc>
              <w:tc>
                <w:tcPr>
                  <w:tcW w:w="3425" w:type="pct"/>
                  <w:vAlign w:val="bottom"/>
                </w:tcPr>
                <w:p w14:paraId="00BB35B8" w14:textId="77777777" w:rsidR="007E5C7F" w:rsidRPr="007029F1" w:rsidRDefault="007E5C7F" w:rsidP="00453A36">
                  <w:pPr>
                    <w:pStyle w:val="TableBodyText"/>
                    <w:jc w:val="left"/>
                  </w:pPr>
                  <w:r>
                    <w:t>Other financial services</w:t>
                  </w:r>
                </w:p>
              </w:tc>
              <w:tc>
                <w:tcPr>
                  <w:tcW w:w="1170" w:type="pct"/>
                </w:tcPr>
                <w:p w14:paraId="00BB35B9" w14:textId="77777777" w:rsidR="007E5C7F" w:rsidRDefault="007E5C7F" w:rsidP="00453A36">
                  <w:pPr>
                    <w:pStyle w:val="TableBodyText"/>
                  </w:pPr>
                  <w:r>
                    <w:t>6401</w:t>
                  </w:r>
                </w:p>
              </w:tc>
            </w:tr>
            <w:tr w:rsidR="007E5C7F" w14:paraId="00BB35C4" w14:textId="77777777" w:rsidTr="00D46F34">
              <w:tc>
                <w:tcPr>
                  <w:tcW w:w="405" w:type="pct"/>
                  <w:vAlign w:val="bottom"/>
                </w:tcPr>
                <w:p w14:paraId="00BB35BE" w14:textId="77777777" w:rsidR="007E5C7F" w:rsidRPr="006F1364" w:rsidRDefault="007E5C7F" w:rsidP="00453A36">
                  <w:pPr>
                    <w:pStyle w:val="TableBodyText"/>
                    <w:jc w:val="left"/>
                  </w:pPr>
                  <w:r w:rsidRPr="006F1364">
                    <w:t>72</w:t>
                  </w:r>
                </w:p>
              </w:tc>
              <w:tc>
                <w:tcPr>
                  <w:tcW w:w="3425" w:type="pct"/>
                  <w:vAlign w:val="bottom"/>
                </w:tcPr>
                <w:p w14:paraId="00BB35BF" w14:textId="77777777" w:rsidR="007E5C7F" w:rsidRPr="007029F1" w:rsidRDefault="007E5C7F" w:rsidP="00453A36">
                  <w:pPr>
                    <w:pStyle w:val="TableBodyText"/>
                    <w:jc w:val="left"/>
                  </w:pPr>
                  <w:r>
                    <w:t>Ownership of dwellings</w:t>
                  </w:r>
                </w:p>
              </w:tc>
              <w:tc>
                <w:tcPr>
                  <w:tcW w:w="1170" w:type="pct"/>
                </w:tcPr>
                <w:p w14:paraId="00BB35C0" w14:textId="77777777" w:rsidR="007E5C7F" w:rsidRDefault="007E5C7F" w:rsidP="00453A36">
                  <w:pPr>
                    <w:pStyle w:val="TableBodyText"/>
                  </w:pPr>
                  <w:r>
                    <w:t>6701, 7310</w:t>
                  </w:r>
                </w:p>
              </w:tc>
            </w:tr>
            <w:tr w:rsidR="007E5C7F" w14:paraId="00BB35CB" w14:textId="77777777" w:rsidTr="00D46F34">
              <w:tc>
                <w:tcPr>
                  <w:tcW w:w="405" w:type="pct"/>
                  <w:vAlign w:val="bottom"/>
                </w:tcPr>
                <w:p w14:paraId="00BB35C5" w14:textId="77777777" w:rsidR="007E5C7F" w:rsidRPr="006F1364" w:rsidRDefault="007E5C7F" w:rsidP="00453A36">
                  <w:pPr>
                    <w:pStyle w:val="TableBodyText"/>
                    <w:jc w:val="left"/>
                  </w:pPr>
                  <w:r w:rsidRPr="006F1364">
                    <w:t>73</w:t>
                  </w:r>
                </w:p>
              </w:tc>
              <w:tc>
                <w:tcPr>
                  <w:tcW w:w="3425" w:type="pct"/>
                  <w:vAlign w:val="bottom"/>
                </w:tcPr>
                <w:p w14:paraId="00BB35C6" w14:textId="77777777" w:rsidR="007E5C7F" w:rsidRPr="007029F1" w:rsidRDefault="007E5C7F" w:rsidP="00453A36">
                  <w:pPr>
                    <w:pStyle w:val="TableBodyText"/>
                    <w:jc w:val="left"/>
                  </w:pPr>
                  <w:r>
                    <w:t>Business services</w:t>
                  </w:r>
                </w:p>
              </w:tc>
              <w:tc>
                <w:tcPr>
                  <w:tcW w:w="1170" w:type="pct"/>
                </w:tcPr>
                <w:p w14:paraId="00BB35C7" w14:textId="77777777" w:rsidR="007E5C7F" w:rsidRDefault="007E5C7F" w:rsidP="00453A36">
                  <w:pPr>
                    <w:pStyle w:val="TableBodyText"/>
                  </w:pPr>
                  <w:r>
                    <w:t>6601, 6702</w:t>
                  </w:r>
                  <w:r>
                    <w:noBreakHyphen/>
                    <w:t>7310</w:t>
                  </w:r>
                </w:p>
              </w:tc>
            </w:tr>
            <w:tr w:rsidR="007E5C7F" w14:paraId="00BB35D2" w14:textId="77777777" w:rsidTr="00D46F34">
              <w:tc>
                <w:tcPr>
                  <w:tcW w:w="405" w:type="pct"/>
                  <w:vAlign w:val="bottom"/>
                </w:tcPr>
                <w:p w14:paraId="00BB35CC" w14:textId="77777777" w:rsidR="007E5C7F" w:rsidRPr="006F1364" w:rsidRDefault="007E5C7F" w:rsidP="00453A36">
                  <w:pPr>
                    <w:pStyle w:val="TableBodyText"/>
                    <w:jc w:val="left"/>
                  </w:pPr>
                  <w:r w:rsidRPr="006F1364">
                    <w:t>74</w:t>
                  </w:r>
                </w:p>
              </w:tc>
              <w:tc>
                <w:tcPr>
                  <w:tcW w:w="3425" w:type="pct"/>
                  <w:vAlign w:val="bottom"/>
                </w:tcPr>
                <w:p w14:paraId="00BB35CD" w14:textId="77777777" w:rsidR="007E5C7F" w:rsidRPr="007029F1" w:rsidRDefault="007E5C7F" w:rsidP="00453A36">
                  <w:pPr>
                    <w:pStyle w:val="TableBodyText"/>
                    <w:jc w:val="left"/>
                  </w:pPr>
                  <w:r>
                    <w:t>Public administration and public order and safety</w:t>
                  </w:r>
                </w:p>
              </w:tc>
              <w:tc>
                <w:tcPr>
                  <w:tcW w:w="1170" w:type="pct"/>
                </w:tcPr>
                <w:p w14:paraId="00BB35CE" w14:textId="77777777" w:rsidR="007E5C7F" w:rsidRDefault="007E5C7F" w:rsidP="00453A36">
                  <w:pPr>
                    <w:pStyle w:val="TableBodyText"/>
                  </w:pPr>
                  <w:r>
                    <w:t>7501, 7701</w:t>
                  </w:r>
                </w:p>
              </w:tc>
            </w:tr>
            <w:tr w:rsidR="007E5C7F" w14:paraId="00BB35D9" w14:textId="77777777" w:rsidTr="00D46F34">
              <w:tc>
                <w:tcPr>
                  <w:tcW w:w="405" w:type="pct"/>
                  <w:vAlign w:val="bottom"/>
                </w:tcPr>
                <w:p w14:paraId="00BB35D3" w14:textId="77777777" w:rsidR="007E5C7F" w:rsidRPr="006F1364" w:rsidRDefault="007E5C7F" w:rsidP="00453A36">
                  <w:pPr>
                    <w:pStyle w:val="TableBodyText"/>
                    <w:jc w:val="left"/>
                  </w:pPr>
                  <w:r w:rsidRPr="006F1364">
                    <w:t>75</w:t>
                  </w:r>
                </w:p>
              </w:tc>
              <w:tc>
                <w:tcPr>
                  <w:tcW w:w="3425" w:type="pct"/>
                  <w:vAlign w:val="bottom"/>
                </w:tcPr>
                <w:p w14:paraId="00BB35D4" w14:textId="77777777" w:rsidR="007E5C7F" w:rsidRPr="007029F1" w:rsidRDefault="007E5C7F" w:rsidP="00453A36">
                  <w:pPr>
                    <w:pStyle w:val="TableBodyText"/>
                    <w:jc w:val="left"/>
                  </w:pPr>
                  <w:r>
                    <w:t>Defence</w:t>
                  </w:r>
                </w:p>
              </w:tc>
              <w:tc>
                <w:tcPr>
                  <w:tcW w:w="1170" w:type="pct"/>
                </w:tcPr>
                <w:p w14:paraId="00BB35D5" w14:textId="77777777" w:rsidR="007E5C7F" w:rsidRDefault="007E5C7F" w:rsidP="00453A36">
                  <w:pPr>
                    <w:pStyle w:val="TableBodyText"/>
                  </w:pPr>
                  <w:r>
                    <w:t>7601</w:t>
                  </w:r>
                </w:p>
              </w:tc>
            </w:tr>
            <w:tr w:rsidR="007E5C7F" w14:paraId="00BB35E0" w14:textId="77777777" w:rsidTr="00D46F34">
              <w:tc>
                <w:tcPr>
                  <w:tcW w:w="405" w:type="pct"/>
                  <w:vAlign w:val="bottom"/>
                </w:tcPr>
                <w:p w14:paraId="00BB35DA" w14:textId="77777777" w:rsidR="007E5C7F" w:rsidRPr="006F1364" w:rsidRDefault="007E5C7F" w:rsidP="00453A36">
                  <w:pPr>
                    <w:pStyle w:val="TableBodyText"/>
                    <w:jc w:val="left"/>
                  </w:pPr>
                  <w:r w:rsidRPr="006F1364">
                    <w:t>76</w:t>
                  </w:r>
                </w:p>
              </w:tc>
              <w:tc>
                <w:tcPr>
                  <w:tcW w:w="3425" w:type="pct"/>
                  <w:vAlign w:val="bottom"/>
                </w:tcPr>
                <w:p w14:paraId="00BB35DB" w14:textId="77777777" w:rsidR="007E5C7F" w:rsidRPr="007029F1" w:rsidRDefault="007E5C7F" w:rsidP="00453A36">
                  <w:pPr>
                    <w:pStyle w:val="TableBodyText"/>
                    <w:jc w:val="left"/>
                  </w:pPr>
                  <w:r>
                    <w:t>Primary and secondary education</w:t>
                  </w:r>
                </w:p>
              </w:tc>
              <w:tc>
                <w:tcPr>
                  <w:tcW w:w="1170" w:type="pct"/>
                </w:tcPr>
                <w:p w14:paraId="00BB35DC" w14:textId="77777777" w:rsidR="007E5C7F" w:rsidRDefault="007E5C7F" w:rsidP="00453A36">
                  <w:pPr>
                    <w:pStyle w:val="TableBodyText"/>
                  </w:pPr>
                  <w:r>
                    <w:t>8010</w:t>
                  </w:r>
                </w:p>
              </w:tc>
            </w:tr>
            <w:tr w:rsidR="007E5C7F" w14:paraId="00BB35E7" w14:textId="77777777" w:rsidTr="00D46F34">
              <w:tc>
                <w:tcPr>
                  <w:tcW w:w="405" w:type="pct"/>
                  <w:vAlign w:val="bottom"/>
                </w:tcPr>
                <w:p w14:paraId="00BB35E1" w14:textId="77777777" w:rsidR="007E5C7F" w:rsidRPr="006F1364" w:rsidRDefault="007E5C7F" w:rsidP="00453A36">
                  <w:pPr>
                    <w:pStyle w:val="TableBodyText"/>
                    <w:jc w:val="left"/>
                  </w:pPr>
                  <w:r w:rsidRPr="006F1364">
                    <w:t>77</w:t>
                  </w:r>
                </w:p>
              </w:tc>
              <w:tc>
                <w:tcPr>
                  <w:tcW w:w="3425" w:type="pct"/>
                  <w:vAlign w:val="bottom"/>
                </w:tcPr>
                <w:p w14:paraId="00BB35E2" w14:textId="77777777" w:rsidR="007E5C7F" w:rsidRPr="007029F1" w:rsidRDefault="007E5C7F" w:rsidP="00453A36">
                  <w:pPr>
                    <w:pStyle w:val="TableBodyText"/>
                    <w:jc w:val="left"/>
                  </w:pPr>
                  <w:r>
                    <w:t>Technical, vocational and tertiary education</w:t>
                  </w:r>
                </w:p>
              </w:tc>
              <w:tc>
                <w:tcPr>
                  <w:tcW w:w="1170" w:type="pct"/>
                </w:tcPr>
                <w:p w14:paraId="00BB35E3" w14:textId="77777777" w:rsidR="007E5C7F" w:rsidRDefault="007E5C7F" w:rsidP="00453A36">
                  <w:pPr>
                    <w:pStyle w:val="TableBodyText"/>
                  </w:pPr>
                  <w:r>
                    <w:t>8110</w:t>
                  </w:r>
                </w:p>
              </w:tc>
            </w:tr>
            <w:tr w:rsidR="007E5C7F" w14:paraId="00BB35EE" w14:textId="77777777" w:rsidTr="00D46F34">
              <w:tc>
                <w:tcPr>
                  <w:tcW w:w="405" w:type="pct"/>
                  <w:vAlign w:val="bottom"/>
                </w:tcPr>
                <w:p w14:paraId="00BB35E8" w14:textId="77777777" w:rsidR="007E5C7F" w:rsidRPr="006F1364" w:rsidRDefault="007E5C7F" w:rsidP="00453A36">
                  <w:pPr>
                    <w:pStyle w:val="TableBodyText"/>
                    <w:jc w:val="left"/>
                  </w:pPr>
                  <w:r w:rsidRPr="006F1364">
                    <w:t>78</w:t>
                  </w:r>
                </w:p>
              </w:tc>
              <w:tc>
                <w:tcPr>
                  <w:tcW w:w="3425" w:type="pct"/>
                  <w:vAlign w:val="bottom"/>
                </w:tcPr>
                <w:p w14:paraId="00BB35E9" w14:textId="77777777" w:rsidR="007E5C7F" w:rsidRPr="007029F1" w:rsidRDefault="007E5C7F" w:rsidP="00453A36">
                  <w:pPr>
                    <w:pStyle w:val="TableBodyText"/>
                    <w:jc w:val="left"/>
                  </w:pPr>
                  <w:r>
                    <w:t>Health care services</w:t>
                  </w:r>
                </w:p>
              </w:tc>
              <w:tc>
                <w:tcPr>
                  <w:tcW w:w="1170" w:type="pct"/>
                </w:tcPr>
                <w:p w14:paraId="00BB35EA" w14:textId="77777777" w:rsidR="007E5C7F" w:rsidRDefault="007E5C7F" w:rsidP="00453A36">
                  <w:pPr>
                    <w:pStyle w:val="TableBodyText"/>
                  </w:pPr>
                  <w:r>
                    <w:t>8401</w:t>
                  </w:r>
                </w:p>
              </w:tc>
            </w:tr>
            <w:tr w:rsidR="007E5C7F" w14:paraId="00BB35F5" w14:textId="77777777" w:rsidTr="00D46F34">
              <w:tc>
                <w:tcPr>
                  <w:tcW w:w="405" w:type="pct"/>
                  <w:tcBorders>
                    <w:bottom w:val="single" w:sz="6" w:space="0" w:color="BFBFBF"/>
                  </w:tcBorders>
                  <w:vAlign w:val="bottom"/>
                </w:tcPr>
                <w:p w14:paraId="00BB35EF" w14:textId="77777777" w:rsidR="007E5C7F" w:rsidRPr="006F1364" w:rsidRDefault="007E5C7F" w:rsidP="00453A36">
                  <w:pPr>
                    <w:pStyle w:val="TableBodyText"/>
                    <w:jc w:val="left"/>
                  </w:pPr>
                  <w:r>
                    <w:t>79</w:t>
                  </w:r>
                </w:p>
              </w:tc>
              <w:tc>
                <w:tcPr>
                  <w:tcW w:w="3425" w:type="pct"/>
                  <w:tcBorders>
                    <w:bottom w:val="single" w:sz="6" w:space="0" w:color="BFBFBF"/>
                  </w:tcBorders>
                  <w:vAlign w:val="bottom"/>
                </w:tcPr>
                <w:p w14:paraId="00BB35F0" w14:textId="77777777" w:rsidR="007E5C7F" w:rsidRPr="007029F1" w:rsidRDefault="007E5C7F" w:rsidP="00453A36">
                  <w:pPr>
                    <w:pStyle w:val="TableBodyText"/>
                    <w:jc w:val="left"/>
                  </w:pPr>
                  <w:r>
                    <w:t>Residential care and social assistance services</w:t>
                  </w:r>
                </w:p>
              </w:tc>
              <w:tc>
                <w:tcPr>
                  <w:tcW w:w="1170" w:type="pct"/>
                  <w:tcBorders>
                    <w:bottom w:val="single" w:sz="6" w:space="0" w:color="BFBFBF"/>
                  </w:tcBorders>
                </w:tcPr>
                <w:p w14:paraId="00BB35F1" w14:textId="77777777" w:rsidR="007E5C7F" w:rsidRDefault="007E5C7F" w:rsidP="00453A36">
                  <w:pPr>
                    <w:pStyle w:val="TableBodyText"/>
                  </w:pPr>
                  <w:r>
                    <w:t>8601</w:t>
                  </w:r>
                </w:p>
              </w:tc>
            </w:tr>
          </w:tbl>
          <w:p w14:paraId="00BB35F6" w14:textId="77777777" w:rsidR="0034060E" w:rsidRDefault="0034060E" w:rsidP="00453A36">
            <w:pPr>
              <w:pStyle w:val="Box"/>
            </w:pPr>
          </w:p>
        </w:tc>
      </w:tr>
      <w:tr w:rsidR="0034060E" w14:paraId="00BB35F9" w14:textId="77777777" w:rsidTr="00D46F34">
        <w:trPr>
          <w:cantSplit/>
        </w:trPr>
        <w:tc>
          <w:tcPr>
            <w:tcW w:w="8767" w:type="dxa"/>
            <w:tcBorders>
              <w:top w:val="nil"/>
              <w:left w:val="nil"/>
              <w:bottom w:val="single" w:sz="6" w:space="0" w:color="78A22F"/>
              <w:right w:val="nil"/>
            </w:tcBorders>
            <w:shd w:val="clear" w:color="auto" w:fill="auto"/>
          </w:tcPr>
          <w:p w14:paraId="00BB35F8" w14:textId="77777777" w:rsidR="0034060E" w:rsidRDefault="0034060E" w:rsidP="00453A36">
            <w:pPr>
              <w:pStyle w:val="Box"/>
              <w:spacing w:before="0" w:line="120" w:lineRule="exact"/>
            </w:pPr>
          </w:p>
        </w:tc>
      </w:tr>
      <w:tr w:rsidR="0034060E" w:rsidRPr="000863A5" w14:paraId="00BB35FB" w14:textId="77777777" w:rsidTr="00D46F34">
        <w:tc>
          <w:tcPr>
            <w:tcW w:w="8767" w:type="dxa"/>
            <w:tcBorders>
              <w:top w:val="single" w:sz="6" w:space="0" w:color="78A22F"/>
              <w:left w:val="nil"/>
              <w:bottom w:val="nil"/>
              <w:right w:val="nil"/>
            </w:tcBorders>
          </w:tcPr>
          <w:p w14:paraId="00BB35FA" w14:textId="29226686" w:rsidR="0034060E" w:rsidRPr="00626D32" w:rsidRDefault="0034060E" w:rsidP="00453A36">
            <w:pPr>
              <w:pStyle w:val="BoxSpaceBelow"/>
            </w:pPr>
          </w:p>
        </w:tc>
      </w:tr>
    </w:tbl>
    <w:p w14:paraId="00BB35FC" w14:textId="77777777" w:rsidR="0034060E" w:rsidRDefault="0034060E" w:rsidP="00453A36">
      <w:pPr>
        <w:pStyle w:val="Continued"/>
      </w:pPr>
      <w:r w:rsidRPr="00105CB8">
        <w:t>(</w:t>
      </w:r>
      <w:r>
        <w:t xml:space="preserve">continued </w:t>
      </w:r>
      <w:r w:rsidRPr="00105CB8">
        <w:t>next page)</w:t>
      </w:r>
    </w:p>
    <w:p w14:paraId="00BB35FD" w14:textId="77777777" w:rsidR="0034060E" w:rsidRDefault="0034060E" w:rsidP="00453A36">
      <w:pPr>
        <w:rPr>
          <w:b/>
        </w:rPr>
      </w:pPr>
      <w:r>
        <w:rPr>
          <w:b/>
        </w:rPr>
        <w:br w:type="page"/>
      </w:r>
    </w:p>
    <w:p w14:paraId="00BB35FE" w14:textId="27C3F0C2"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34060E" w14:paraId="00BB3600" w14:textId="77777777" w:rsidTr="00D46F34">
        <w:tc>
          <w:tcPr>
            <w:tcW w:w="8796" w:type="dxa"/>
            <w:tcBorders>
              <w:top w:val="single" w:sz="6" w:space="0" w:color="78A22F"/>
              <w:left w:val="nil"/>
              <w:bottom w:val="nil"/>
              <w:right w:val="nil"/>
            </w:tcBorders>
            <w:shd w:val="clear" w:color="auto" w:fill="auto"/>
          </w:tcPr>
          <w:p w14:paraId="00BB35FF" w14:textId="77777777" w:rsidR="0034060E" w:rsidRPr="00784A05" w:rsidRDefault="0034060E" w:rsidP="00453A36">
            <w:pPr>
              <w:pStyle w:val="TableTitle"/>
            </w:pPr>
            <w:r w:rsidRPr="00D33A65">
              <w:rPr>
                <w:b w:val="0"/>
              </w:rPr>
              <w:t xml:space="preserve">Table </w:t>
            </w:r>
            <w:proofErr w:type="spellStart"/>
            <w:r w:rsidRPr="00D33A65">
              <w:rPr>
                <w:b w:val="0"/>
              </w:rPr>
              <w:t>B.</w:t>
            </w:r>
            <w:r>
              <w:rPr>
                <w:b w:val="0"/>
              </w:rPr>
              <w:t>3</w:t>
            </w:r>
            <w:proofErr w:type="spellEnd"/>
            <w:r>
              <w:tab/>
            </w:r>
            <w:r w:rsidRPr="0019151F">
              <w:rPr>
                <w:b w:val="0"/>
                <w:sz w:val="18"/>
                <w:szCs w:val="18"/>
              </w:rPr>
              <w:t>(continued)</w:t>
            </w:r>
          </w:p>
        </w:tc>
      </w:tr>
      <w:tr w:rsidR="0034060E" w14:paraId="00BB3625" w14:textId="77777777" w:rsidTr="00D46F34">
        <w:trPr>
          <w:cantSplit/>
        </w:trPr>
        <w:tc>
          <w:tcPr>
            <w:tcW w:w="8796"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81"/>
              <w:gridCol w:w="5669"/>
              <w:gridCol w:w="2062"/>
            </w:tblGrid>
            <w:tr w:rsidR="007E5C7F" w14:paraId="00BB3607" w14:textId="77777777" w:rsidTr="00D46F34">
              <w:tc>
                <w:tcPr>
                  <w:tcW w:w="459" w:type="pct"/>
                  <w:tcBorders>
                    <w:top w:val="single" w:sz="6" w:space="0" w:color="BFBFBF"/>
                    <w:bottom w:val="single" w:sz="6" w:space="0" w:color="BFBFBF"/>
                  </w:tcBorders>
                </w:tcPr>
                <w:p w14:paraId="00BB3601" w14:textId="77777777" w:rsidR="007E5C7F" w:rsidRPr="007029F1" w:rsidRDefault="007E5C7F" w:rsidP="00453A36">
                  <w:pPr>
                    <w:pStyle w:val="TableColumnHeading"/>
                    <w:jc w:val="left"/>
                  </w:pPr>
                  <w:r>
                    <w:t>No.</w:t>
                  </w:r>
                </w:p>
              </w:tc>
              <w:tc>
                <w:tcPr>
                  <w:tcW w:w="3330" w:type="pct"/>
                  <w:tcBorders>
                    <w:top w:val="single" w:sz="6" w:space="0" w:color="BFBFBF"/>
                    <w:bottom w:val="single" w:sz="6" w:space="0" w:color="BFBFBF"/>
                  </w:tcBorders>
                </w:tcPr>
                <w:p w14:paraId="00BB3602" w14:textId="77777777" w:rsidR="007E5C7F" w:rsidRPr="007029F1" w:rsidRDefault="007E5C7F" w:rsidP="00453A36">
                  <w:pPr>
                    <w:pStyle w:val="TableColumnHeading"/>
                    <w:jc w:val="left"/>
                  </w:pPr>
                  <w:proofErr w:type="spellStart"/>
                  <w:r>
                    <w:t>VUMR</w:t>
                  </w:r>
                  <w:proofErr w:type="spellEnd"/>
                  <w:r>
                    <w:t xml:space="preserve"> industry</w:t>
                  </w:r>
                </w:p>
              </w:tc>
              <w:tc>
                <w:tcPr>
                  <w:tcW w:w="1211" w:type="pct"/>
                  <w:tcBorders>
                    <w:top w:val="single" w:sz="6" w:space="0" w:color="BFBFBF"/>
                    <w:bottom w:val="single" w:sz="6" w:space="0" w:color="BFBFBF"/>
                  </w:tcBorders>
                </w:tcPr>
                <w:p w14:paraId="00BB3603" w14:textId="77777777" w:rsidR="007E5C7F" w:rsidRDefault="007E5C7F" w:rsidP="00453A36">
                  <w:pPr>
                    <w:pStyle w:val="TableColumnHeading"/>
                    <w:ind w:right="28"/>
                  </w:pPr>
                  <w:proofErr w:type="spellStart"/>
                  <w:r>
                    <w:t>IOIG</w:t>
                  </w:r>
                  <w:proofErr w:type="spellEnd"/>
                  <w:r>
                    <w:t xml:space="preserve"> number</w:t>
                  </w:r>
                </w:p>
              </w:tc>
            </w:tr>
            <w:tr w:rsidR="007E5C7F" w14:paraId="00BB360E" w14:textId="77777777" w:rsidTr="00D46F34">
              <w:tc>
                <w:tcPr>
                  <w:tcW w:w="459" w:type="pct"/>
                  <w:tcBorders>
                    <w:top w:val="single" w:sz="6" w:space="0" w:color="BFBFBF"/>
                  </w:tcBorders>
                  <w:vAlign w:val="bottom"/>
                </w:tcPr>
                <w:p w14:paraId="00BB3608" w14:textId="77777777" w:rsidR="007E5C7F" w:rsidRPr="006F1364" w:rsidRDefault="007E5C7F" w:rsidP="00453A36">
                  <w:pPr>
                    <w:pStyle w:val="TableBodyText"/>
                    <w:jc w:val="left"/>
                  </w:pPr>
                  <w:r>
                    <w:t>80</w:t>
                  </w:r>
                </w:p>
              </w:tc>
              <w:tc>
                <w:tcPr>
                  <w:tcW w:w="3330" w:type="pct"/>
                  <w:tcBorders>
                    <w:top w:val="single" w:sz="6" w:space="0" w:color="BFBFBF"/>
                  </w:tcBorders>
                  <w:vAlign w:val="bottom"/>
                </w:tcPr>
                <w:p w14:paraId="00BB3609" w14:textId="77777777" w:rsidR="007E5C7F" w:rsidRPr="007029F1" w:rsidRDefault="007E5C7F" w:rsidP="00453A36">
                  <w:pPr>
                    <w:pStyle w:val="TableBodyText"/>
                    <w:jc w:val="left"/>
                  </w:pPr>
                  <w:r>
                    <w:t>Arts and recreation services</w:t>
                  </w:r>
                </w:p>
              </w:tc>
              <w:tc>
                <w:tcPr>
                  <w:tcW w:w="1211" w:type="pct"/>
                  <w:tcBorders>
                    <w:top w:val="single" w:sz="6" w:space="0" w:color="BFBFBF"/>
                  </w:tcBorders>
                </w:tcPr>
                <w:p w14:paraId="00BB360A" w14:textId="77777777" w:rsidR="007E5C7F" w:rsidRDefault="007E5C7F" w:rsidP="00453A36">
                  <w:pPr>
                    <w:pStyle w:val="TableBodyText"/>
                  </w:pPr>
                  <w:r>
                    <w:t>8210</w:t>
                  </w:r>
                  <w:r>
                    <w:noBreakHyphen/>
                    <w:t>9201</w:t>
                  </w:r>
                </w:p>
              </w:tc>
            </w:tr>
            <w:tr w:rsidR="007E5C7F" w14:paraId="00BB3615" w14:textId="77777777" w:rsidTr="00D46F34">
              <w:tc>
                <w:tcPr>
                  <w:tcW w:w="459" w:type="pct"/>
                  <w:vAlign w:val="bottom"/>
                </w:tcPr>
                <w:p w14:paraId="00BB360F" w14:textId="77777777" w:rsidR="007E5C7F" w:rsidRPr="006F1364" w:rsidRDefault="007E5C7F" w:rsidP="00453A36">
                  <w:pPr>
                    <w:pStyle w:val="TableBodyText"/>
                    <w:jc w:val="left"/>
                  </w:pPr>
                  <w:r>
                    <w:t>81</w:t>
                  </w:r>
                </w:p>
              </w:tc>
              <w:tc>
                <w:tcPr>
                  <w:tcW w:w="3330" w:type="pct"/>
                  <w:vAlign w:val="bottom"/>
                </w:tcPr>
                <w:p w14:paraId="00BB3610" w14:textId="77777777" w:rsidR="007E5C7F" w:rsidRPr="007029F1" w:rsidRDefault="007E5C7F" w:rsidP="00453A36">
                  <w:pPr>
                    <w:pStyle w:val="TableBodyText"/>
                    <w:jc w:val="left"/>
                  </w:pPr>
                  <w:r>
                    <w:t>Automotive repair and maintenance</w:t>
                  </w:r>
                </w:p>
              </w:tc>
              <w:tc>
                <w:tcPr>
                  <w:tcW w:w="1211" w:type="pct"/>
                </w:tcPr>
                <w:p w14:paraId="00BB3611" w14:textId="77777777" w:rsidR="007E5C7F" w:rsidRDefault="007E5C7F" w:rsidP="00453A36">
                  <w:pPr>
                    <w:pStyle w:val="TableBodyText"/>
                  </w:pPr>
                  <w:r>
                    <w:t>9401</w:t>
                  </w:r>
                </w:p>
              </w:tc>
            </w:tr>
            <w:tr w:rsidR="007E5C7F" w14:paraId="00BB361C" w14:textId="77777777" w:rsidTr="00D46F34">
              <w:tc>
                <w:tcPr>
                  <w:tcW w:w="459" w:type="pct"/>
                  <w:vAlign w:val="bottom"/>
                </w:tcPr>
                <w:p w14:paraId="00BB3616" w14:textId="77777777" w:rsidR="007E5C7F" w:rsidRPr="006F1364" w:rsidRDefault="007E5C7F" w:rsidP="00453A36">
                  <w:pPr>
                    <w:pStyle w:val="TableBodyText"/>
                    <w:jc w:val="left"/>
                  </w:pPr>
                  <w:r>
                    <w:t>82</w:t>
                  </w:r>
                </w:p>
              </w:tc>
              <w:tc>
                <w:tcPr>
                  <w:tcW w:w="3330" w:type="pct"/>
                  <w:vAlign w:val="bottom"/>
                </w:tcPr>
                <w:p w14:paraId="00BB3617" w14:textId="77777777" w:rsidR="007E5C7F" w:rsidRPr="007029F1" w:rsidRDefault="007E5C7F" w:rsidP="00453A36">
                  <w:pPr>
                    <w:pStyle w:val="TableBodyText"/>
                    <w:jc w:val="left"/>
                  </w:pPr>
                  <w:r>
                    <w:t>Other repair and maintenance</w:t>
                  </w:r>
                </w:p>
              </w:tc>
              <w:tc>
                <w:tcPr>
                  <w:tcW w:w="1211" w:type="pct"/>
                </w:tcPr>
                <w:p w14:paraId="00BB3618" w14:textId="77777777" w:rsidR="007E5C7F" w:rsidRDefault="007E5C7F" w:rsidP="00453A36">
                  <w:pPr>
                    <w:pStyle w:val="TableBodyText"/>
                  </w:pPr>
                  <w:r>
                    <w:t>9402</w:t>
                  </w:r>
                </w:p>
              </w:tc>
            </w:tr>
            <w:tr w:rsidR="007E5C7F" w14:paraId="00BB3623" w14:textId="77777777" w:rsidTr="00D46F34">
              <w:tc>
                <w:tcPr>
                  <w:tcW w:w="459" w:type="pct"/>
                  <w:tcBorders>
                    <w:bottom w:val="single" w:sz="6" w:space="0" w:color="BFBFBF"/>
                  </w:tcBorders>
                  <w:vAlign w:val="bottom"/>
                </w:tcPr>
                <w:p w14:paraId="00BB361D" w14:textId="77777777" w:rsidR="007E5C7F" w:rsidRDefault="007E5C7F" w:rsidP="00453A36">
                  <w:pPr>
                    <w:pStyle w:val="TableBodyText"/>
                    <w:jc w:val="left"/>
                  </w:pPr>
                  <w:r>
                    <w:t>83</w:t>
                  </w:r>
                </w:p>
              </w:tc>
              <w:tc>
                <w:tcPr>
                  <w:tcW w:w="3330" w:type="pct"/>
                  <w:tcBorders>
                    <w:bottom w:val="single" w:sz="6" w:space="0" w:color="BFBFBF"/>
                  </w:tcBorders>
                  <w:vAlign w:val="bottom"/>
                </w:tcPr>
                <w:p w14:paraId="00BB361E" w14:textId="77777777" w:rsidR="007E5C7F" w:rsidRDefault="007E5C7F" w:rsidP="00453A36">
                  <w:pPr>
                    <w:pStyle w:val="TableBodyText"/>
                    <w:jc w:val="left"/>
                  </w:pPr>
                  <w:r>
                    <w:t>Personal and other services</w:t>
                  </w:r>
                </w:p>
              </w:tc>
              <w:tc>
                <w:tcPr>
                  <w:tcW w:w="1211" w:type="pct"/>
                  <w:tcBorders>
                    <w:bottom w:val="single" w:sz="6" w:space="0" w:color="BFBFBF"/>
                  </w:tcBorders>
                </w:tcPr>
                <w:p w14:paraId="00BB361F" w14:textId="77777777" w:rsidR="007E5C7F" w:rsidRDefault="007E5C7F" w:rsidP="00453A36">
                  <w:pPr>
                    <w:pStyle w:val="TableBodyText"/>
                  </w:pPr>
                  <w:r>
                    <w:t>9501, 9502</w:t>
                  </w:r>
                </w:p>
              </w:tc>
            </w:tr>
          </w:tbl>
          <w:p w14:paraId="00BB3624" w14:textId="77777777" w:rsidR="0034060E" w:rsidRDefault="0034060E" w:rsidP="00453A36">
            <w:pPr>
              <w:pStyle w:val="Box"/>
            </w:pPr>
          </w:p>
        </w:tc>
      </w:tr>
      <w:tr w:rsidR="00356237" w:rsidRPr="00176D3F" w14:paraId="30AD1D99" w14:textId="77777777" w:rsidTr="00D46F34">
        <w:tblPrEx>
          <w:tblBorders>
            <w:top w:val="single" w:sz="6" w:space="0" w:color="78A22F"/>
            <w:left w:val="single" w:sz="6" w:space="0" w:color="78A22F"/>
            <w:bottom w:val="single" w:sz="6" w:space="0" w:color="78A22F"/>
            <w:right w:val="single" w:sz="6" w:space="0" w:color="78A22F"/>
          </w:tblBorders>
        </w:tblPrEx>
        <w:tc>
          <w:tcPr>
            <w:tcW w:w="8796" w:type="dxa"/>
            <w:tcBorders>
              <w:top w:val="nil"/>
              <w:left w:val="nil"/>
              <w:bottom w:val="nil"/>
              <w:right w:val="nil"/>
            </w:tcBorders>
            <w:shd w:val="clear" w:color="auto" w:fill="auto"/>
          </w:tcPr>
          <w:p w14:paraId="34B8CD6A" w14:textId="55D38E10" w:rsidR="00356237" w:rsidRPr="00176D3F" w:rsidRDefault="00356237" w:rsidP="008D1A01">
            <w:pPr>
              <w:pStyle w:val="Subtitle"/>
              <w:keepNext w:val="0"/>
              <w:spacing w:before="80" w:after="120" w:line="220" w:lineRule="exact"/>
              <w:ind w:left="0"/>
              <w:jc w:val="both"/>
            </w:pPr>
            <w:r>
              <w:rPr>
                <w:i/>
              </w:rPr>
              <w:t>S</w:t>
            </w:r>
            <w:r w:rsidRPr="00784A05">
              <w:rPr>
                <w:i/>
              </w:rPr>
              <w:t>ource</w:t>
            </w:r>
            <w:r w:rsidRPr="00176D3F">
              <w:t>:</w:t>
            </w:r>
            <w:r>
              <w:t xml:space="preserve"> </w:t>
            </w:r>
            <w:proofErr w:type="spellStart"/>
            <w:r>
              <w:t>CoPS</w:t>
            </w:r>
            <w:proofErr w:type="spellEnd"/>
            <w:r>
              <w:t> </w:t>
            </w:r>
            <w:r w:rsidRPr="004F0171">
              <w:rPr>
                <w:rFonts w:cs="Arial"/>
              </w:rPr>
              <w:t>(forthcoming)</w:t>
            </w:r>
            <w:r>
              <w:t>.</w:t>
            </w:r>
          </w:p>
        </w:tc>
      </w:tr>
      <w:tr w:rsidR="0034060E" w14:paraId="00BB3627" w14:textId="77777777" w:rsidTr="00D46F34">
        <w:trPr>
          <w:cantSplit/>
        </w:trPr>
        <w:tc>
          <w:tcPr>
            <w:tcW w:w="8796" w:type="dxa"/>
            <w:tcBorders>
              <w:top w:val="nil"/>
              <w:left w:val="nil"/>
              <w:bottom w:val="single" w:sz="6" w:space="0" w:color="78A22F"/>
              <w:right w:val="nil"/>
            </w:tcBorders>
            <w:shd w:val="clear" w:color="auto" w:fill="auto"/>
          </w:tcPr>
          <w:p w14:paraId="00BB3626" w14:textId="77777777" w:rsidR="0034060E" w:rsidRDefault="0034060E" w:rsidP="00453A36">
            <w:pPr>
              <w:pStyle w:val="Box"/>
              <w:spacing w:before="0" w:line="120" w:lineRule="exact"/>
            </w:pPr>
          </w:p>
        </w:tc>
      </w:tr>
      <w:tr w:rsidR="0034060E" w:rsidRPr="000863A5" w14:paraId="00BB3629" w14:textId="77777777" w:rsidTr="00D46F34">
        <w:tc>
          <w:tcPr>
            <w:tcW w:w="8796" w:type="dxa"/>
            <w:tcBorders>
              <w:top w:val="single" w:sz="6" w:space="0" w:color="78A22F"/>
              <w:left w:val="nil"/>
              <w:bottom w:val="nil"/>
              <w:right w:val="nil"/>
            </w:tcBorders>
          </w:tcPr>
          <w:p w14:paraId="00BB3628" w14:textId="22F8004B" w:rsidR="0034060E" w:rsidRPr="00626D32" w:rsidRDefault="0034060E" w:rsidP="00453A36">
            <w:pPr>
              <w:pStyle w:val="BoxSpaceBelow"/>
            </w:pPr>
          </w:p>
        </w:tc>
      </w:tr>
    </w:tbl>
    <w:p w14:paraId="00BB362B" w14:textId="2545AFD3" w:rsidR="0034060E" w:rsidRPr="00A915A7" w:rsidRDefault="0034060E" w:rsidP="00453A36">
      <w:pPr>
        <w:pStyle w:val="Heading2"/>
        <w:spacing w:before="520"/>
      </w:pPr>
      <w:proofErr w:type="spellStart"/>
      <w:r>
        <w:t>B.</w:t>
      </w:r>
      <w:r>
        <w:rPr>
          <w:noProof/>
        </w:rPr>
        <w:t>3</w:t>
      </w:r>
      <w:proofErr w:type="spellEnd"/>
      <w:r>
        <w:tab/>
        <w:t>Introducing award</w:t>
      </w:r>
      <w:r>
        <w:noBreakHyphen/>
        <w:t>reliant and other workers</w:t>
      </w:r>
      <w:r w:rsidRPr="00E54690">
        <w:t xml:space="preserve"> </w:t>
      </w:r>
      <w:r>
        <w:t xml:space="preserve">into </w:t>
      </w:r>
      <w:r w:rsidRPr="00A915A7">
        <w:t xml:space="preserve">the </w:t>
      </w:r>
      <w:r>
        <w:t>model database</w:t>
      </w:r>
    </w:p>
    <w:p w14:paraId="00BB362C" w14:textId="77777777" w:rsidR="0034060E" w:rsidRDefault="0034060E" w:rsidP="00453A36">
      <w:pPr>
        <w:pStyle w:val="BodyText"/>
        <w:spacing w:before="200"/>
      </w:pPr>
      <w:r>
        <w:t xml:space="preserve">The initial </w:t>
      </w:r>
      <w:proofErr w:type="spellStart"/>
      <w:r>
        <w:t>VUMR</w:t>
      </w:r>
      <w:proofErr w:type="spellEnd"/>
      <w:r>
        <w:t xml:space="preserve"> database used for this inquiry specifies the supply of labour by occupation and state. Labour demand is also specified for each industry. The labour market data in the model is based on the national industry data in the ABS 2009</w:t>
      </w:r>
      <w:r>
        <w:noBreakHyphen/>
        <w:t xml:space="preserve">10 </w:t>
      </w:r>
      <w:r w:rsidRPr="008C4197">
        <w:rPr>
          <w:i/>
        </w:rPr>
        <w:t>Input</w:t>
      </w:r>
      <w:r>
        <w:rPr>
          <w:i/>
        </w:rPr>
        <w:noBreakHyphen/>
      </w:r>
      <w:r w:rsidRPr="008C4197">
        <w:rPr>
          <w:i/>
        </w:rPr>
        <w:t>Output Tables</w:t>
      </w:r>
      <w:r>
        <w:rPr>
          <w:i/>
        </w:rPr>
        <w:t xml:space="preserve"> </w:t>
      </w:r>
      <w:r>
        <w:t>(ABS 2013, Cat. no. 5209.0.55.001, table 20</w:t>
      </w:r>
      <w:r w:rsidRPr="008C4197">
        <w:t>)</w:t>
      </w:r>
      <w:r>
        <w:t xml:space="preserve"> and on the 2009</w:t>
      </w:r>
      <w:r>
        <w:noBreakHyphen/>
        <w:t xml:space="preserve">10 state, occupation and industry data in the ABS </w:t>
      </w:r>
      <w:r w:rsidRPr="007817A2">
        <w:rPr>
          <w:i/>
        </w:rPr>
        <w:t>Labour Force Survey</w:t>
      </w:r>
      <w:r>
        <w:t xml:space="preserve"> (ABS 2014, Cat. no. 6291.0.55.003).</w:t>
      </w:r>
    </w:p>
    <w:p w14:paraId="00BB362D" w14:textId="77777777" w:rsidR="0034060E" w:rsidRDefault="0034060E" w:rsidP="00453A36">
      <w:pPr>
        <w:pStyle w:val="BodyText"/>
        <w:spacing w:before="200"/>
      </w:pPr>
      <w:r>
        <w:t>T</w:t>
      </w:r>
      <w:r w:rsidRPr="004029E5">
        <w:t xml:space="preserve">he </w:t>
      </w:r>
      <w:r>
        <w:t>labour force data was disaggregated for the purposes of this inquiry into award</w:t>
      </w:r>
      <w:r>
        <w:noBreakHyphen/>
        <w:t>reliant and other workers based on the ABS </w:t>
      </w:r>
      <w:r w:rsidRPr="00D21574">
        <w:rPr>
          <w:i/>
        </w:rPr>
        <w:t xml:space="preserve">Employee, Earnings and Hours </w:t>
      </w:r>
      <w:proofErr w:type="spellStart"/>
      <w:r w:rsidRPr="00D21574">
        <w:rPr>
          <w:i/>
        </w:rPr>
        <w:t>CURF</w:t>
      </w:r>
      <w:proofErr w:type="spellEnd"/>
      <w:r w:rsidRPr="00D21574">
        <w:rPr>
          <w:i/>
        </w:rPr>
        <w:t xml:space="preserve"> data</w:t>
      </w:r>
      <w:r>
        <w:t xml:space="preserve"> (ABS 2014, Cat. No. 6306.0.55.001).</w:t>
      </w:r>
    </w:p>
    <w:p w14:paraId="00BB362E" w14:textId="77777777" w:rsidR="0034060E" w:rsidRDefault="0034060E" w:rsidP="00453A36">
      <w:pPr>
        <w:pStyle w:val="BodyText"/>
        <w:spacing w:before="200"/>
      </w:pPr>
      <w:r>
        <w:t>For the purposes of modelling scenario 2, ‘award</w:t>
      </w:r>
      <w:r>
        <w:noBreakHyphen/>
        <w:t xml:space="preserve">reliant workers’ are </w:t>
      </w:r>
      <w:r w:rsidRPr="00CA1BAF">
        <w:t xml:space="preserve">identified using the ABS </w:t>
      </w:r>
      <w:r>
        <w:t xml:space="preserve">2014 </w:t>
      </w:r>
      <w:proofErr w:type="spellStart"/>
      <w:r w:rsidRPr="00CA1BAF">
        <w:t>EEH</w:t>
      </w:r>
      <w:proofErr w:type="spellEnd"/>
      <w:r w:rsidRPr="00CA1BAF">
        <w:t xml:space="preserve"> survey, which includes a variable identifying workers whose wages are set equal to the minimum award wages </w:t>
      </w:r>
      <w:r>
        <w:t>—</w:t>
      </w:r>
      <w:r w:rsidRPr="00CA1BAF">
        <w:t xml:space="preserve"> these ‘award</w:t>
      </w:r>
      <w:r>
        <w:noBreakHyphen/>
      </w:r>
      <w:r w:rsidRPr="00CA1BAF">
        <w:t>reliant’ workers account for around 19 per cent of the workforce</w:t>
      </w:r>
      <w:r>
        <w:t>.</w:t>
      </w:r>
      <w:r w:rsidRPr="00CA1BAF">
        <w:t xml:space="preserve"> </w:t>
      </w:r>
      <w:r>
        <w:t>Applying this definition of award</w:t>
      </w:r>
      <w:r>
        <w:noBreakHyphen/>
        <w:t xml:space="preserve">reliant workers to the </w:t>
      </w:r>
      <w:proofErr w:type="spellStart"/>
      <w:r>
        <w:t>EEH</w:t>
      </w:r>
      <w:proofErr w:type="spellEnd"/>
      <w:r>
        <w:t xml:space="preserve"> data gives rise to the estimates of award wage coverage used in the modelling of scenario 2 (table </w:t>
      </w:r>
      <w:proofErr w:type="spellStart"/>
      <w:r>
        <w:t>B.4</w:t>
      </w:r>
      <w:proofErr w:type="spellEnd"/>
      <w:r>
        <w:t>).</w:t>
      </w:r>
    </w:p>
    <w:p w14:paraId="00BB362F" w14:textId="77777777" w:rsidR="0034060E" w:rsidRDefault="0034060E" w:rsidP="00453A36">
      <w:pPr>
        <w:pStyle w:val="BodyText"/>
        <w:spacing w:before="200"/>
      </w:pPr>
      <w:r>
        <w:t>It is difficult to ascertain the exact proportion of employees that would be affected by a change in award wages. The Productivity Commission has therefore tested the sensitivity of the results with a scenarios approach. Under this approach, it has modelled the effects of moderate growth in real award wages under alternative assumptions concerning the range of workers who are award</w:t>
      </w:r>
      <w:r>
        <w:noBreakHyphen/>
        <w:t>reliant and therefore directly affected by a change in award wages. In the sensitivity analysis, award</w:t>
      </w:r>
      <w:r>
        <w:noBreakHyphen/>
        <w:t>reliant workers are defined alternatively as those earning up to 130 and 120 per cent, respectively, of the national minimum wage.</w:t>
      </w:r>
      <w:r w:rsidRPr="00453A3F">
        <w:t xml:space="preserve"> Junior rates are accounted for using those listed in the </w:t>
      </w:r>
      <w:r w:rsidRPr="00D21574">
        <w:rPr>
          <w:i/>
        </w:rPr>
        <w:t>Miscellaneous Award 2010</w:t>
      </w:r>
      <w:r w:rsidRPr="00453A3F">
        <w:t xml:space="preserve"> — consistent with recent national minimum wage orders. For casual employees, a loading of 25</w:t>
      </w:r>
      <w:r>
        <w:t> </w:t>
      </w:r>
      <w:r w:rsidRPr="00453A3F">
        <w:t>per cent has been applied.</w:t>
      </w:r>
      <w:r>
        <w:t xml:space="preserve"> Based on these alternative definitions of award</w:t>
      </w:r>
      <w:r>
        <w:noBreakHyphen/>
        <w:t>reliant workers, the estimates of award wage coverage varies between scenarios (table </w:t>
      </w:r>
      <w:proofErr w:type="spellStart"/>
      <w:r>
        <w:t>B.4</w:t>
      </w:r>
      <w:proofErr w:type="spellEnd"/>
      <w:r>
        <w:t>).</w:t>
      </w:r>
    </w:p>
    <w:p w14:paraId="00BB3630" w14:textId="1F301178"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632" w14:textId="77777777" w:rsidTr="00453A36">
        <w:tc>
          <w:tcPr>
            <w:tcW w:w="8771" w:type="dxa"/>
            <w:tcBorders>
              <w:top w:val="single" w:sz="6" w:space="0" w:color="78A22F"/>
              <w:left w:val="nil"/>
              <w:bottom w:val="nil"/>
              <w:right w:val="nil"/>
            </w:tcBorders>
            <w:shd w:val="clear" w:color="auto" w:fill="auto"/>
          </w:tcPr>
          <w:p w14:paraId="00BB3631" w14:textId="7798FC6C" w:rsidR="0034060E" w:rsidRPr="00784A05" w:rsidRDefault="0034060E" w:rsidP="00453A36">
            <w:pPr>
              <w:pStyle w:val="TableTitle"/>
            </w:pPr>
            <w:r>
              <w:rPr>
                <w:b w:val="0"/>
              </w:rPr>
              <w:t xml:space="preserve">Table </w:t>
            </w:r>
            <w:proofErr w:type="spellStart"/>
            <w:r>
              <w:rPr>
                <w:b w:val="0"/>
              </w:rPr>
              <w:t>B.</w:t>
            </w:r>
            <w:r>
              <w:rPr>
                <w:b w:val="0"/>
                <w:noProof/>
              </w:rPr>
              <w:t>4</w:t>
            </w:r>
            <w:proofErr w:type="spellEnd"/>
            <w:r>
              <w:tab/>
              <w:t>Award</w:t>
            </w:r>
            <w:r>
              <w:noBreakHyphen/>
              <w:t>reliant labour shares used to disaggregate the 2009</w:t>
            </w:r>
            <w:r>
              <w:noBreakHyphen/>
              <w:t xml:space="preserve">10 </w:t>
            </w:r>
            <w:proofErr w:type="spellStart"/>
            <w:r>
              <w:t>VUMR</w:t>
            </w:r>
            <w:r>
              <w:noBreakHyphen/>
              <w:t>WR</w:t>
            </w:r>
            <w:proofErr w:type="spellEnd"/>
            <w:r>
              <w:t xml:space="preserve"> database</w:t>
            </w:r>
          </w:p>
        </w:tc>
      </w:tr>
      <w:tr w:rsidR="0034060E" w14:paraId="00BB36BC"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805"/>
              <w:gridCol w:w="1562"/>
              <w:gridCol w:w="1557"/>
              <w:gridCol w:w="1563"/>
            </w:tblGrid>
            <w:tr w:rsidR="0034060E" w14:paraId="00BB3637" w14:textId="77777777" w:rsidTr="00D46F34">
              <w:tc>
                <w:tcPr>
                  <w:tcW w:w="2242" w:type="pct"/>
                  <w:tcBorders>
                    <w:top w:val="single" w:sz="6" w:space="0" w:color="BFBFBF"/>
                  </w:tcBorders>
                  <w:shd w:val="clear" w:color="auto" w:fill="auto"/>
                  <w:tcMar>
                    <w:top w:w="28" w:type="dxa"/>
                  </w:tcMar>
                </w:tcPr>
                <w:p w14:paraId="00BB3633" w14:textId="77777777" w:rsidR="0034060E" w:rsidRDefault="0034060E" w:rsidP="00D46F34">
                  <w:pPr>
                    <w:pStyle w:val="TableColumnHeading"/>
                    <w:spacing w:after="0"/>
                    <w:jc w:val="left"/>
                  </w:pPr>
                </w:p>
              </w:tc>
              <w:tc>
                <w:tcPr>
                  <w:tcW w:w="920" w:type="pct"/>
                  <w:tcBorders>
                    <w:top w:val="single" w:sz="6" w:space="0" w:color="BFBFBF"/>
                  </w:tcBorders>
                  <w:shd w:val="clear" w:color="auto" w:fill="auto"/>
                  <w:tcMar>
                    <w:top w:w="28" w:type="dxa"/>
                  </w:tcMar>
                </w:tcPr>
                <w:p w14:paraId="00BB3634" w14:textId="77777777" w:rsidR="0034060E" w:rsidRDefault="0034060E" w:rsidP="00D46F34">
                  <w:pPr>
                    <w:pStyle w:val="TableColumnHeading"/>
                    <w:spacing w:after="0"/>
                  </w:pPr>
                  <w:r>
                    <w:t>Of total persons employed</w:t>
                  </w:r>
                  <w:r w:rsidRPr="008E77FE">
                    <w:rPr>
                      <w:rStyle w:val="NoteLabel"/>
                    </w:rPr>
                    <w:t xml:space="preserve"> a</w:t>
                  </w:r>
                </w:p>
              </w:tc>
              <w:tc>
                <w:tcPr>
                  <w:tcW w:w="917" w:type="pct"/>
                  <w:tcBorders>
                    <w:top w:val="single" w:sz="6" w:space="0" w:color="BFBFBF"/>
                  </w:tcBorders>
                  <w:shd w:val="clear" w:color="auto" w:fill="auto"/>
                  <w:tcMar>
                    <w:top w:w="28" w:type="dxa"/>
                  </w:tcMar>
                </w:tcPr>
                <w:p w14:paraId="00BB3635" w14:textId="77777777" w:rsidR="0034060E" w:rsidRDefault="0034060E" w:rsidP="00D46F34">
                  <w:pPr>
                    <w:pStyle w:val="TableColumnHeading"/>
                    <w:spacing w:after="0"/>
                    <w:ind w:right="28"/>
                  </w:pPr>
                  <w:r>
                    <w:t xml:space="preserve">Of total </w:t>
                  </w:r>
                  <w:r>
                    <w:br/>
                    <w:t>wage bill</w:t>
                  </w:r>
                </w:p>
              </w:tc>
              <w:tc>
                <w:tcPr>
                  <w:tcW w:w="921" w:type="pct"/>
                  <w:tcBorders>
                    <w:top w:val="single" w:sz="6" w:space="0" w:color="BFBFBF"/>
                  </w:tcBorders>
                </w:tcPr>
                <w:p w14:paraId="00BB3636" w14:textId="77777777" w:rsidR="0034060E" w:rsidRDefault="0034060E" w:rsidP="00D46F34">
                  <w:pPr>
                    <w:pStyle w:val="TableColumnHeading"/>
                    <w:spacing w:after="0"/>
                    <w:ind w:right="28"/>
                  </w:pPr>
                  <w:r>
                    <w:t>Of total hours of employed</w:t>
                  </w:r>
                  <w:r w:rsidRPr="008E77FE">
                    <w:rPr>
                      <w:rStyle w:val="NoteLabel"/>
                    </w:rPr>
                    <w:t xml:space="preserve"> a</w:t>
                  </w:r>
                </w:p>
              </w:tc>
            </w:tr>
            <w:tr w:rsidR="0034060E" w14:paraId="00BB363C" w14:textId="77777777" w:rsidTr="00D46F34">
              <w:tc>
                <w:tcPr>
                  <w:tcW w:w="2242" w:type="pct"/>
                  <w:vAlign w:val="bottom"/>
                </w:tcPr>
                <w:p w14:paraId="00BB3638" w14:textId="77777777" w:rsidR="0034060E" w:rsidRPr="00193307" w:rsidRDefault="0034060E" w:rsidP="00453A36">
                  <w:pPr>
                    <w:pStyle w:val="TableUnitsRow"/>
                  </w:pPr>
                </w:p>
              </w:tc>
              <w:tc>
                <w:tcPr>
                  <w:tcW w:w="920" w:type="pct"/>
                </w:tcPr>
                <w:p w14:paraId="00BB3639" w14:textId="77777777" w:rsidR="0034060E" w:rsidRPr="00404F7F" w:rsidRDefault="0034060E" w:rsidP="00453A36">
                  <w:pPr>
                    <w:pStyle w:val="TableUnitsRow"/>
                  </w:pPr>
                  <w:r>
                    <w:t>%</w:t>
                  </w:r>
                </w:p>
              </w:tc>
              <w:tc>
                <w:tcPr>
                  <w:tcW w:w="917" w:type="pct"/>
                </w:tcPr>
                <w:p w14:paraId="00BB363A" w14:textId="77777777" w:rsidR="0034060E" w:rsidRPr="00404F7F" w:rsidRDefault="0034060E" w:rsidP="00453A36">
                  <w:pPr>
                    <w:pStyle w:val="TableUnitsRow"/>
                  </w:pPr>
                  <w:r>
                    <w:t>%</w:t>
                  </w:r>
                </w:p>
              </w:tc>
              <w:tc>
                <w:tcPr>
                  <w:tcW w:w="921" w:type="pct"/>
                </w:tcPr>
                <w:p w14:paraId="00BB363B" w14:textId="77777777" w:rsidR="0034060E" w:rsidRPr="00404F7F" w:rsidRDefault="0034060E" w:rsidP="00453A36">
                  <w:pPr>
                    <w:pStyle w:val="TableUnitsRow"/>
                  </w:pPr>
                  <w:r>
                    <w:t>%</w:t>
                  </w:r>
                </w:p>
              </w:tc>
            </w:tr>
            <w:tr w:rsidR="0034060E" w14:paraId="00BB363E" w14:textId="77777777" w:rsidTr="00453A36">
              <w:tc>
                <w:tcPr>
                  <w:tcW w:w="5000" w:type="pct"/>
                  <w:gridSpan w:val="4"/>
                  <w:tcBorders>
                    <w:top w:val="single" w:sz="6" w:space="0" w:color="BFBFBF"/>
                  </w:tcBorders>
                </w:tcPr>
                <w:p w14:paraId="00BB363D" w14:textId="77777777" w:rsidR="0034060E" w:rsidRPr="004E4904" w:rsidRDefault="0034060E" w:rsidP="00453A36">
                  <w:pPr>
                    <w:pStyle w:val="TableUnitsRow"/>
                    <w:ind w:right="28"/>
                    <w:jc w:val="left"/>
                    <w:rPr>
                      <w:b/>
                    </w:rPr>
                  </w:pPr>
                  <w:r w:rsidRPr="004E4904">
                    <w:rPr>
                      <w:b/>
                    </w:rPr>
                    <w:t>Scenario 2: workers who are award</w:t>
                  </w:r>
                  <w:r w:rsidRPr="004E4904">
                    <w:rPr>
                      <w:b/>
                    </w:rPr>
                    <w:noBreakHyphen/>
                    <w:t>reliant</w:t>
                  </w:r>
                </w:p>
              </w:tc>
            </w:tr>
            <w:tr w:rsidR="0034060E" w14:paraId="00BB3643" w14:textId="77777777" w:rsidTr="00453A36">
              <w:tc>
                <w:tcPr>
                  <w:tcW w:w="2242" w:type="pct"/>
                  <w:vAlign w:val="bottom"/>
                </w:tcPr>
                <w:p w14:paraId="00BB363F" w14:textId="77777777" w:rsidR="0034060E" w:rsidRDefault="0034060E" w:rsidP="00453A36">
                  <w:pPr>
                    <w:pStyle w:val="TableBodyText"/>
                    <w:jc w:val="left"/>
                  </w:pPr>
                  <w:r w:rsidRPr="00193307">
                    <w:t>Managers</w:t>
                  </w:r>
                </w:p>
              </w:tc>
              <w:tc>
                <w:tcPr>
                  <w:tcW w:w="920" w:type="pct"/>
                </w:tcPr>
                <w:p w14:paraId="00BB3640" w14:textId="77777777" w:rsidR="0034060E" w:rsidRPr="00404F7F" w:rsidRDefault="0034060E" w:rsidP="00453A36">
                  <w:pPr>
                    <w:pStyle w:val="TableBodyText"/>
                  </w:pPr>
                  <w:r w:rsidRPr="00404F7F">
                    <w:t>4.4</w:t>
                  </w:r>
                </w:p>
              </w:tc>
              <w:tc>
                <w:tcPr>
                  <w:tcW w:w="917" w:type="pct"/>
                </w:tcPr>
                <w:p w14:paraId="00BB3641" w14:textId="77777777" w:rsidR="0034060E" w:rsidRPr="00404F7F" w:rsidRDefault="0034060E" w:rsidP="00453A36">
                  <w:pPr>
                    <w:pStyle w:val="TableBodyText"/>
                  </w:pPr>
                  <w:r w:rsidRPr="00404F7F">
                    <w:t>2.6</w:t>
                  </w:r>
                  <w:r>
                    <w:t xml:space="preserve"> </w:t>
                  </w:r>
                </w:p>
              </w:tc>
              <w:tc>
                <w:tcPr>
                  <w:tcW w:w="921" w:type="pct"/>
                </w:tcPr>
                <w:p w14:paraId="00BB3642" w14:textId="77777777" w:rsidR="0034060E" w:rsidRPr="00404F7F" w:rsidRDefault="0034060E" w:rsidP="00453A36">
                  <w:pPr>
                    <w:pStyle w:val="TableBodyText"/>
                  </w:pPr>
                  <w:r w:rsidRPr="00404F7F">
                    <w:t>4.5</w:t>
                  </w:r>
                </w:p>
              </w:tc>
            </w:tr>
            <w:tr w:rsidR="0034060E" w14:paraId="00BB3648" w14:textId="77777777" w:rsidTr="00453A36">
              <w:tc>
                <w:tcPr>
                  <w:tcW w:w="2242" w:type="pct"/>
                  <w:vAlign w:val="bottom"/>
                </w:tcPr>
                <w:p w14:paraId="00BB3644" w14:textId="77777777" w:rsidR="0034060E" w:rsidRDefault="0034060E" w:rsidP="00453A36">
                  <w:pPr>
                    <w:pStyle w:val="TableBodyText"/>
                    <w:jc w:val="left"/>
                  </w:pPr>
                  <w:r w:rsidRPr="00193307">
                    <w:t>Professionals</w:t>
                  </w:r>
                </w:p>
              </w:tc>
              <w:tc>
                <w:tcPr>
                  <w:tcW w:w="920" w:type="pct"/>
                </w:tcPr>
                <w:p w14:paraId="00BB3645" w14:textId="77777777" w:rsidR="0034060E" w:rsidRPr="00404F7F" w:rsidRDefault="0034060E" w:rsidP="00453A36">
                  <w:pPr>
                    <w:pStyle w:val="TableBodyText"/>
                  </w:pPr>
                  <w:r w:rsidRPr="00404F7F">
                    <w:t>5.6</w:t>
                  </w:r>
                </w:p>
              </w:tc>
              <w:tc>
                <w:tcPr>
                  <w:tcW w:w="917" w:type="pct"/>
                </w:tcPr>
                <w:p w14:paraId="00BB3646" w14:textId="77777777" w:rsidR="0034060E" w:rsidRPr="00404F7F" w:rsidRDefault="0034060E" w:rsidP="00453A36">
                  <w:pPr>
                    <w:pStyle w:val="TableBodyText"/>
                  </w:pPr>
                  <w:r w:rsidRPr="00404F7F">
                    <w:t>4.4</w:t>
                  </w:r>
                </w:p>
              </w:tc>
              <w:tc>
                <w:tcPr>
                  <w:tcW w:w="921" w:type="pct"/>
                </w:tcPr>
                <w:p w14:paraId="00BB3647" w14:textId="77777777" w:rsidR="0034060E" w:rsidRPr="00404F7F" w:rsidRDefault="0034060E" w:rsidP="00453A36">
                  <w:pPr>
                    <w:pStyle w:val="TableBodyText"/>
                  </w:pPr>
                  <w:r w:rsidRPr="00404F7F">
                    <w:t>5.2</w:t>
                  </w:r>
                </w:p>
              </w:tc>
            </w:tr>
            <w:tr w:rsidR="0034060E" w14:paraId="00BB364D" w14:textId="77777777" w:rsidTr="00453A36">
              <w:tc>
                <w:tcPr>
                  <w:tcW w:w="2242" w:type="pct"/>
                  <w:vAlign w:val="bottom"/>
                </w:tcPr>
                <w:p w14:paraId="00BB3649" w14:textId="77777777" w:rsidR="0034060E" w:rsidRDefault="0034060E" w:rsidP="00453A36">
                  <w:pPr>
                    <w:pStyle w:val="TableBodyText"/>
                    <w:jc w:val="left"/>
                  </w:pPr>
                  <w:r w:rsidRPr="00193307">
                    <w:t>Technicians</w:t>
                  </w:r>
                  <w:r>
                    <w:t xml:space="preserve"> &amp; </w:t>
                  </w:r>
                  <w:r w:rsidRPr="00193307">
                    <w:t>trades workers</w:t>
                  </w:r>
                </w:p>
              </w:tc>
              <w:tc>
                <w:tcPr>
                  <w:tcW w:w="920" w:type="pct"/>
                </w:tcPr>
                <w:p w14:paraId="00BB364A" w14:textId="77777777" w:rsidR="0034060E" w:rsidRPr="00404F7F" w:rsidRDefault="0034060E" w:rsidP="00453A36">
                  <w:pPr>
                    <w:pStyle w:val="TableBodyText"/>
                  </w:pPr>
                  <w:r w:rsidRPr="00404F7F">
                    <w:t>15.2</w:t>
                  </w:r>
                </w:p>
              </w:tc>
              <w:tc>
                <w:tcPr>
                  <w:tcW w:w="917" w:type="pct"/>
                </w:tcPr>
                <w:p w14:paraId="00BB364B" w14:textId="77777777" w:rsidR="0034060E" w:rsidRPr="00404F7F" w:rsidRDefault="0034060E" w:rsidP="00453A36">
                  <w:pPr>
                    <w:pStyle w:val="TableBodyText"/>
                  </w:pPr>
                  <w:r w:rsidRPr="00404F7F">
                    <w:t>8.5</w:t>
                  </w:r>
                </w:p>
              </w:tc>
              <w:tc>
                <w:tcPr>
                  <w:tcW w:w="921" w:type="pct"/>
                </w:tcPr>
                <w:p w14:paraId="00BB364C" w14:textId="77777777" w:rsidR="0034060E" w:rsidRPr="00404F7F" w:rsidRDefault="0034060E" w:rsidP="00453A36">
                  <w:pPr>
                    <w:pStyle w:val="TableBodyText"/>
                  </w:pPr>
                  <w:r w:rsidRPr="00404F7F">
                    <w:t>14.3</w:t>
                  </w:r>
                </w:p>
              </w:tc>
            </w:tr>
            <w:tr w:rsidR="0034060E" w14:paraId="00BB3652" w14:textId="77777777" w:rsidTr="00453A36">
              <w:tc>
                <w:tcPr>
                  <w:tcW w:w="2242" w:type="pct"/>
                  <w:vAlign w:val="bottom"/>
                </w:tcPr>
                <w:p w14:paraId="00BB364E" w14:textId="77777777" w:rsidR="0034060E" w:rsidRDefault="0034060E" w:rsidP="00453A36">
                  <w:pPr>
                    <w:pStyle w:val="TableBodyText"/>
                    <w:jc w:val="left"/>
                  </w:pPr>
                  <w:r w:rsidRPr="00193307">
                    <w:t>Community</w:t>
                  </w:r>
                  <w:r>
                    <w:t xml:space="preserve"> &amp; </w:t>
                  </w:r>
                  <w:r w:rsidRPr="00193307">
                    <w:t>personal service workers</w:t>
                  </w:r>
                </w:p>
              </w:tc>
              <w:tc>
                <w:tcPr>
                  <w:tcW w:w="920" w:type="pct"/>
                </w:tcPr>
                <w:p w14:paraId="00BB364F" w14:textId="77777777" w:rsidR="0034060E" w:rsidRPr="00404F7F" w:rsidRDefault="0034060E" w:rsidP="00453A36">
                  <w:pPr>
                    <w:pStyle w:val="TableBodyText"/>
                  </w:pPr>
                  <w:r w:rsidRPr="00404F7F">
                    <w:t>34.5</w:t>
                  </w:r>
                </w:p>
              </w:tc>
              <w:tc>
                <w:tcPr>
                  <w:tcW w:w="917" w:type="pct"/>
                </w:tcPr>
                <w:p w14:paraId="00BB3650" w14:textId="77777777" w:rsidR="0034060E" w:rsidRPr="00404F7F" w:rsidRDefault="0034060E" w:rsidP="00453A36">
                  <w:pPr>
                    <w:pStyle w:val="TableBodyText"/>
                  </w:pPr>
                  <w:r w:rsidRPr="00404F7F">
                    <w:t>29.1</w:t>
                  </w:r>
                </w:p>
              </w:tc>
              <w:tc>
                <w:tcPr>
                  <w:tcW w:w="921" w:type="pct"/>
                </w:tcPr>
                <w:p w14:paraId="00BB3651" w14:textId="77777777" w:rsidR="0034060E" w:rsidRPr="00404F7F" w:rsidRDefault="0034060E" w:rsidP="00453A36">
                  <w:pPr>
                    <w:pStyle w:val="TableBodyText"/>
                  </w:pPr>
                  <w:r w:rsidRPr="00404F7F">
                    <w:t>32.0</w:t>
                  </w:r>
                </w:p>
              </w:tc>
            </w:tr>
            <w:tr w:rsidR="0034060E" w14:paraId="00BB3657" w14:textId="77777777" w:rsidTr="00453A36">
              <w:tc>
                <w:tcPr>
                  <w:tcW w:w="2242" w:type="pct"/>
                  <w:vAlign w:val="bottom"/>
                </w:tcPr>
                <w:p w14:paraId="00BB3653" w14:textId="77777777" w:rsidR="0034060E" w:rsidRDefault="0034060E" w:rsidP="00453A36">
                  <w:pPr>
                    <w:pStyle w:val="TableBodyText"/>
                    <w:jc w:val="left"/>
                  </w:pPr>
                  <w:r w:rsidRPr="00193307">
                    <w:t>Clerical</w:t>
                  </w:r>
                  <w:r>
                    <w:t xml:space="preserve"> &amp; </w:t>
                  </w:r>
                  <w:r w:rsidRPr="00193307">
                    <w:t>administrative workers</w:t>
                  </w:r>
                </w:p>
              </w:tc>
              <w:tc>
                <w:tcPr>
                  <w:tcW w:w="920" w:type="pct"/>
                </w:tcPr>
                <w:p w14:paraId="00BB3654" w14:textId="77777777" w:rsidR="0034060E" w:rsidRPr="00404F7F" w:rsidRDefault="0034060E" w:rsidP="00453A36">
                  <w:pPr>
                    <w:pStyle w:val="TableBodyText"/>
                  </w:pPr>
                  <w:r w:rsidRPr="00404F7F">
                    <w:t>12.6</w:t>
                  </w:r>
                </w:p>
              </w:tc>
              <w:tc>
                <w:tcPr>
                  <w:tcW w:w="917" w:type="pct"/>
                </w:tcPr>
                <w:p w14:paraId="00BB3655" w14:textId="77777777" w:rsidR="0034060E" w:rsidRPr="00404F7F" w:rsidRDefault="0034060E" w:rsidP="00453A36">
                  <w:pPr>
                    <w:pStyle w:val="TableBodyText"/>
                  </w:pPr>
                  <w:r w:rsidRPr="00404F7F">
                    <w:t>9.1</w:t>
                  </w:r>
                </w:p>
              </w:tc>
              <w:tc>
                <w:tcPr>
                  <w:tcW w:w="921" w:type="pct"/>
                </w:tcPr>
                <w:p w14:paraId="00BB3656" w14:textId="77777777" w:rsidR="0034060E" w:rsidRPr="00404F7F" w:rsidRDefault="0034060E" w:rsidP="00453A36">
                  <w:pPr>
                    <w:pStyle w:val="TableBodyText"/>
                  </w:pPr>
                  <w:r w:rsidRPr="00404F7F">
                    <w:t>11.2</w:t>
                  </w:r>
                </w:p>
              </w:tc>
            </w:tr>
            <w:tr w:rsidR="0034060E" w14:paraId="00BB365C" w14:textId="77777777" w:rsidTr="00453A36">
              <w:tc>
                <w:tcPr>
                  <w:tcW w:w="2242" w:type="pct"/>
                  <w:vAlign w:val="bottom"/>
                </w:tcPr>
                <w:p w14:paraId="00BB3658" w14:textId="77777777" w:rsidR="0034060E" w:rsidRDefault="0034060E" w:rsidP="00453A36">
                  <w:pPr>
                    <w:pStyle w:val="TableBodyText"/>
                    <w:jc w:val="left"/>
                  </w:pPr>
                  <w:r w:rsidRPr="00193307">
                    <w:t>Sales workers</w:t>
                  </w:r>
                </w:p>
              </w:tc>
              <w:tc>
                <w:tcPr>
                  <w:tcW w:w="920" w:type="pct"/>
                </w:tcPr>
                <w:p w14:paraId="00BB3659" w14:textId="77777777" w:rsidR="0034060E" w:rsidRPr="00404F7F" w:rsidRDefault="0034060E" w:rsidP="00453A36">
                  <w:pPr>
                    <w:pStyle w:val="TableBodyText"/>
                  </w:pPr>
                  <w:r w:rsidRPr="00404F7F">
                    <w:t>35.7</w:t>
                  </w:r>
                </w:p>
              </w:tc>
              <w:tc>
                <w:tcPr>
                  <w:tcW w:w="917" w:type="pct"/>
                </w:tcPr>
                <w:p w14:paraId="00BB365A" w14:textId="77777777" w:rsidR="0034060E" w:rsidRPr="00404F7F" w:rsidRDefault="0034060E" w:rsidP="00453A36">
                  <w:pPr>
                    <w:pStyle w:val="TableBodyText"/>
                  </w:pPr>
                  <w:r w:rsidRPr="00404F7F">
                    <w:t>29.0</w:t>
                  </w:r>
                </w:p>
              </w:tc>
              <w:tc>
                <w:tcPr>
                  <w:tcW w:w="921" w:type="pct"/>
                </w:tcPr>
                <w:p w14:paraId="00BB365B" w14:textId="77777777" w:rsidR="0034060E" w:rsidRPr="00404F7F" w:rsidRDefault="0034060E" w:rsidP="00453A36">
                  <w:pPr>
                    <w:pStyle w:val="TableBodyText"/>
                  </w:pPr>
                  <w:r w:rsidRPr="00404F7F">
                    <w:t>31.3</w:t>
                  </w:r>
                </w:p>
              </w:tc>
            </w:tr>
            <w:tr w:rsidR="0034060E" w14:paraId="00BB3661" w14:textId="77777777" w:rsidTr="00453A36">
              <w:tc>
                <w:tcPr>
                  <w:tcW w:w="2242" w:type="pct"/>
                  <w:vAlign w:val="bottom"/>
                </w:tcPr>
                <w:p w14:paraId="00BB365D" w14:textId="77777777" w:rsidR="0034060E" w:rsidRDefault="0034060E" w:rsidP="00453A36">
                  <w:pPr>
                    <w:pStyle w:val="TableBodyText"/>
                    <w:jc w:val="left"/>
                  </w:pPr>
                  <w:r w:rsidRPr="00193307">
                    <w:t>Machinery operators</w:t>
                  </w:r>
                  <w:r>
                    <w:t xml:space="preserve"> &amp; </w:t>
                  </w:r>
                  <w:r w:rsidRPr="00193307">
                    <w:t>drivers</w:t>
                  </w:r>
                </w:p>
              </w:tc>
              <w:tc>
                <w:tcPr>
                  <w:tcW w:w="920" w:type="pct"/>
                </w:tcPr>
                <w:p w14:paraId="00BB365E" w14:textId="77777777" w:rsidR="0034060E" w:rsidRPr="00404F7F" w:rsidRDefault="0034060E" w:rsidP="00453A36">
                  <w:pPr>
                    <w:pStyle w:val="TableBodyText"/>
                  </w:pPr>
                  <w:r w:rsidRPr="00404F7F">
                    <w:t>13.5</w:t>
                  </w:r>
                </w:p>
              </w:tc>
              <w:tc>
                <w:tcPr>
                  <w:tcW w:w="917" w:type="pct"/>
                </w:tcPr>
                <w:p w14:paraId="00BB365F" w14:textId="77777777" w:rsidR="0034060E" w:rsidRPr="00404F7F" w:rsidRDefault="0034060E" w:rsidP="00453A36">
                  <w:pPr>
                    <w:pStyle w:val="TableBodyText"/>
                  </w:pPr>
                  <w:r w:rsidRPr="00404F7F">
                    <w:t>9.1</w:t>
                  </w:r>
                </w:p>
              </w:tc>
              <w:tc>
                <w:tcPr>
                  <w:tcW w:w="921" w:type="pct"/>
                </w:tcPr>
                <w:p w14:paraId="00BB3660" w14:textId="77777777" w:rsidR="0034060E" w:rsidRPr="00404F7F" w:rsidRDefault="0034060E" w:rsidP="00453A36">
                  <w:pPr>
                    <w:pStyle w:val="TableBodyText"/>
                  </w:pPr>
                  <w:r w:rsidRPr="00404F7F">
                    <w:t>12.0</w:t>
                  </w:r>
                </w:p>
              </w:tc>
            </w:tr>
            <w:tr w:rsidR="0034060E" w14:paraId="00BB3666" w14:textId="77777777" w:rsidTr="00453A36">
              <w:tc>
                <w:tcPr>
                  <w:tcW w:w="2242" w:type="pct"/>
                  <w:shd w:val="clear" w:color="auto" w:fill="auto"/>
                  <w:vAlign w:val="bottom"/>
                </w:tcPr>
                <w:p w14:paraId="00BB3662" w14:textId="77777777" w:rsidR="0034060E" w:rsidRDefault="0034060E" w:rsidP="00453A36">
                  <w:pPr>
                    <w:pStyle w:val="TableBodyText"/>
                    <w:jc w:val="left"/>
                  </w:pPr>
                  <w:r w:rsidRPr="00193307">
                    <w:t>Labourers</w:t>
                  </w:r>
                </w:p>
              </w:tc>
              <w:tc>
                <w:tcPr>
                  <w:tcW w:w="920" w:type="pct"/>
                  <w:shd w:val="clear" w:color="auto" w:fill="auto"/>
                </w:tcPr>
                <w:p w14:paraId="00BB3663" w14:textId="77777777" w:rsidR="0034060E" w:rsidRPr="00404F7F" w:rsidRDefault="0034060E" w:rsidP="00453A36">
                  <w:pPr>
                    <w:pStyle w:val="TableBodyText"/>
                  </w:pPr>
                  <w:r w:rsidRPr="00404F7F">
                    <w:t>27.2</w:t>
                  </w:r>
                </w:p>
              </w:tc>
              <w:tc>
                <w:tcPr>
                  <w:tcW w:w="917" w:type="pct"/>
                  <w:shd w:val="clear" w:color="auto" w:fill="auto"/>
                </w:tcPr>
                <w:p w14:paraId="00BB3664" w14:textId="77777777" w:rsidR="0034060E" w:rsidRPr="00404F7F" w:rsidRDefault="0034060E" w:rsidP="00453A36">
                  <w:pPr>
                    <w:pStyle w:val="TableBodyText"/>
                  </w:pPr>
                  <w:r w:rsidRPr="00404F7F">
                    <w:t>20.5</w:t>
                  </w:r>
                </w:p>
              </w:tc>
              <w:tc>
                <w:tcPr>
                  <w:tcW w:w="921" w:type="pct"/>
                </w:tcPr>
                <w:p w14:paraId="00BB3665" w14:textId="77777777" w:rsidR="0034060E" w:rsidRPr="00404F7F" w:rsidRDefault="0034060E" w:rsidP="00453A36">
                  <w:pPr>
                    <w:pStyle w:val="TableBodyText"/>
                  </w:pPr>
                  <w:r w:rsidRPr="00404F7F">
                    <w:t>23.9</w:t>
                  </w:r>
                </w:p>
              </w:tc>
            </w:tr>
            <w:tr w:rsidR="0034060E" w14:paraId="00BB3668" w14:textId="77777777" w:rsidTr="00453A36">
              <w:tc>
                <w:tcPr>
                  <w:tcW w:w="5000" w:type="pct"/>
                  <w:gridSpan w:val="4"/>
                  <w:shd w:val="clear" w:color="auto" w:fill="auto"/>
                </w:tcPr>
                <w:p w14:paraId="00BB3667" w14:textId="77777777" w:rsidR="0034060E" w:rsidRPr="00404F7F" w:rsidRDefault="0034060E" w:rsidP="00453A36">
                  <w:pPr>
                    <w:pStyle w:val="TableBodyText"/>
                    <w:spacing w:before="80"/>
                    <w:jc w:val="left"/>
                  </w:pPr>
                  <w:r>
                    <w:rPr>
                      <w:b/>
                    </w:rPr>
                    <w:t>Test</w:t>
                  </w:r>
                  <w:r w:rsidRPr="004E4904">
                    <w:rPr>
                      <w:b/>
                    </w:rPr>
                    <w:t> </w:t>
                  </w:r>
                  <w:r>
                    <w:rPr>
                      <w:b/>
                    </w:rPr>
                    <w:t>1</w:t>
                  </w:r>
                  <w:r w:rsidRPr="004E4904">
                    <w:rPr>
                      <w:b/>
                    </w:rPr>
                    <w:t>: workers on wages up to 130 per cent of the Federal minimum wage</w:t>
                  </w:r>
                </w:p>
              </w:tc>
            </w:tr>
            <w:tr w:rsidR="0034060E" w14:paraId="00BB366D" w14:textId="77777777" w:rsidTr="00453A36">
              <w:tc>
                <w:tcPr>
                  <w:tcW w:w="2242" w:type="pct"/>
                  <w:shd w:val="clear" w:color="auto" w:fill="auto"/>
                  <w:vAlign w:val="bottom"/>
                </w:tcPr>
                <w:p w14:paraId="00BB3669" w14:textId="77777777" w:rsidR="0034060E" w:rsidRDefault="0034060E" w:rsidP="00453A36">
                  <w:pPr>
                    <w:pStyle w:val="TableBodyText"/>
                    <w:jc w:val="left"/>
                  </w:pPr>
                  <w:r w:rsidRPr="00193307">
                    <w:t>Managers</w:t>
                  </w:r>
                </w:p>
              </w:tc>
              <w:tc>
                <w:tcPr>
                  <w:tcW w:w="920" w:type="pct"/>
                  <w:shd w:val="clear" w:color="auto" w:fill="auto"/>
                  <w:vAlign w:val="bottom"/>
                </w:tcPr>
                <w:p w14:paraId="00BB366A" w14:textId="77777777" w:rsidR="0034060E" w:rsidRDefault="0034060E" w:rsidP="00453A36">
                  <w:pPr>
                    <w:pStyle w:val="TableBodyText"/>
                  </w:pPr>
                  <w:r>
                    <w:t>1.2</w:t>
                  </w:r>
                </w:p>
              </w:tc>
              <w:tc>
                <w:tcPr>
                  <w:tcW w:w="917" w:type="pct"/>
                  <w:shd w:val="clear" w:color="auto" w:fill="auto"/>
                  <w:vAlign w:val="bottom"/>
                </w:tcPr>
                <w:p w14:paraId="00BB366B" w14:textId="77777777" w:rsidR="0034060E" w:rsidRDefault="0034060E" w:rsidP="00453A36">
                  <w:pPr>
                    <w:pStyle w:val="TableBodyText"/>
                  </w:pPr>
                  <w:r>
                    <w:t>0.4</w:t>
                  </w:r>
                </w:p>
              </w:tc>
              <w:tc>
                <w:tcPr>
                  <w:tcW w:w="921" w:type="pct"/>
                  <w:vAlign w:val="bottom"/>
                </w:tcPr>
                <w:p w14:paraId="00BB366C" w14:textId="77777777" w:rsidR="0034060E" w:rsidRDefault="0034060E" w:rsidP="00453A36">
                  <w:pPr>
                    <w:pStyle w:val="TableBodyText"/>
                  </w:pPr>
                  <w:r>
                    <w:t>1.2</w:t>
                  </w:r>
                </w:p>
              </w:tc>
            </w:tr>
            <w:tr w:rsidR="0034060E" w14:paraId="00BB3672" w14:textId="77777777" w:rsidTr="00453A36">
              <w:tc>
                <w:tcPr>
                  <w:tcW w:w="2242" w:type="pct"/>
                  <w:shd w:val="clear" w:color="auto" w:fill="auto"/>
                  <w:vAlign w:val="bottom"/>
                </w:tcPr>
                <w:p w14:paraId="00BB366E" w14:textId="77777777" w:rsidR="0034060E" w:rsidRDefault="0034060E" w:rsidP="00453A36">
                  <w:pPr>
                    <w:pStyle w:val="TableBodyText"/>
                    <w:jc w:val="left"/>
                  </w:pPr>
                  <w:r w:rsidRPr="00193307">
                    <w:t>Professionals</w:t>
                  </w:r>
                </w:p>
              </w:tc>
              <w:tc>
                <w:tcPr>
                  <w:tcW w:w="920" w:type="pct"/>
                  <w:shd w:val="clear" w:color="auto" w:fill="auto"/>
                  <w:vAlign w:val="bottom"/>
                </w:tcPr>
                <w:p w14:paraId="00BB366F" w14:textId="77777777" w:rsidR="0034060E" w:rsidRDefault="0034060E" w:rsidP="00453A36">
                  <w:pPr>
                    <w:pStyle w:val="TableBodyText"/>
                  </w:pPr>
                  <w:r>
                    <w:t>1.5</w:t>
                  </w:r>
                </w:p>
              </w:tc>
              <w:tc>
                <w:tcPr>
                  <w:tcW w:w="917" w:type="pct"/>
                  <w:shd w:val="clear" w:color="auto" w:fill="auto"/>
                  <w:vAlign w:val="bottom"/>
                </w:tcPr>
                <w:p w14:paraId="00BB3670" w14:textId="77777777" w:rsidR="0034060E" w:rsidRDefault="0034060E" w:rsidP="00453A36">
                  <w:pPr>
                    <w:pStyle w:val="TableBodyText"/>
                  </w:pPr>
                  <w:r>
                    <w:t>0.9</w:t>
                  </w:r>
                </w:p>
              </w:tc>
              <w:tc>
                <w:tcPr>
                  <w:tcW w:w="921" w:type="pct"/>
                  <w:vAlign w:val="bottom"/>
                </w:tcPr>
                <w:p w14:paraId="00BB3671" w14:textId="77777777" w:rsidR="0034060E" w:rsidRDefault="0034060E" w:rsidP="00453A36">
                  <w:pPr>
                    <w:pStyle w:val="TableBodyText"/>
                  </w:pPr>
                  <w:r>
                    <w:t>1.3</w:t>
                  </w:r>
                </w:p>
              </w:tc>
            </w:tr>
            <w:tr w:rsidR="0034060E" w14:paraId="00BB3677" w14:textId="77777777" w:rsidTr="00453A36">
              <w:tc>
                <w:tcPr>
                  <w:tcW w:w="2242" w:type="pct"/>
                  <w:shd w:val="clear" w:color="auto" w:fill="auto"/>
                  <w:vAlign w:val="bottom"/>
                </w:tcPr>
                <w:p w14:paraId="00BB3673" w14:textId="77777777" w:rsidR="0034060E" w:rsidRDefault="0034060E" w:rsidP="00453A36">
                  <w:pPr>
                    <w:pStyle w:val="TableBodyText"/>
                    <w:jc w:val="left"/>
                  </w:pPr>
                  <w:r w:rsidRPr="00193307">
                    <w:t>Technicians</w:t>
                  </w:r>
                  <w:r>
                    <w:t xml:space="preserve"> &amp; </w:t>
                  </w:r>
                  <w:r w:rsidRPr="00193307">
                    <w:t>trades workers</w:t>
                  </w:r>
                </w:p>
              </w:tc>
              <w:tc>
                <w:tcPr>
                  <w:tcW w:w="920" w:type="pct"/>
                  <w:shd w:val="clear" w:color="auto" w:fill="auto"/>
                  <w:vAlign w:val="bottom"/>
                </w:tcPr>
                <w:p w14:paraId="00BB3674" w14:textId="77777777" w:rsidR="0034060E" w:rsidRDefault="0034060E" w:rsidP="00453A36">
                  <w:pPr>
                    <w:pStyle w:val="TableBodyText"/>
                  </w:pPr>
                  <w:r>
                    <w:t>14.9</w:t>
                  </w:r>
                </w:p>
              </w:tc>
              <w:tc>
                <w:tcPr>
                  <w:tcW w:w="917" w:type="pct"/>
                  <w:shd w:val="clear" w:color="auto" w:fill="auto"/>
                  <w:vAlign w:val="bottom"/>
                </w:tcPr>
                <w:p w14:paraId="00BB3675" w14:textId="77777777" w:rsidR="0034060E" w:rsidRDefault="0034060E" w:rsidP="00453A36">
                  <w:pPr>
                    <w:pStyle w:val="TableBodyText"/>
                  </w:pPr>
                  <w:r>
                    <w:t>9.4</w:t>
                  </w:r>
                </w:p>
              </w:tc>
              <w:tc>
                <w:tcPr>
                  <w:tcW w:w="921" w:type="pct"/>
                  <w:vAlign w:val="bottom"/>
                </w:tcPr>
                <w:p w14:paraId="00BB3676" w14:textId="77777777" w:rsidR="0034060E" w:rsidRDefault="0034060E" w:rsidP="00453A36">
                  <w:pPr>
                    <w:pStyle w:val="TableBodyText"/>
                  </w:pPr>
                  <w:r>
                    <w:t>13.7</w:t>
                  </w:r>
                </w:p>
              </w:tc>
            </w:tr>
            <w:tr w:rsidR="0034060E" w14:paraId="00BB367C" w14:textId="77777777" w:rsidTr="00453A36">
              <w:tc>
                <w:tcPr>
                  <w:tcW w:w="2242" w:type="pct"/>
                  <w:shd w:val="clear" w:color="auto" w:fill="auto"/>
                  <w:vAlign w:val="bottom"/>
                </w:tcPr>
                <w:p w14:paraId="00BB3678" w14:textId="77777777" w:rsidR="0034060E" w:rsidRDefault="0034060E" w:rsidP="00453A36">
                  <w:pPr>
                    <w:pStyle w:val="TableBodyText"/>
                    <w:jc w:val="left"/>
                  </w:pPr>
                  <w:r w:rsidRPr="00193307">
                    <w:t>Community</w:t>
                  </w:r>
                  <w:r>
                    <w:t xml:space="preserve"> &amp; </w:t>
                  </w:r>
                  <w:r w:rsidRPr="00193307">
                    <w:t>personal service workers</w:t>
                  </w:r>
                </w:p>
              </w:tc>
              <w:tc>
                <w:tcPr>
                  <w:tcW w:w="920" w:type="pct"/>
                  <w:shd w:val="clear" w:color="auto" w:fill="auto"/>
                  <w:vAlign w:val="bottom"/>
                </w:tcPr>
                <w:p w14:paraId="00BB3679" w14:textId="77777777" w:rsidR="0034060E" w:rsidRDefault="0034060E" w:rsidP="00453A36">
                  <w:pPr>
                    <w:pStyle w:val="TableBodyText"/>
                  </w:pPr>
                  <w:r>
                    <w:t>32.5</w:t>
                  </w:r>
                </w:p>
              </w:tc>
              <w:tc>
                <w:tcPr>
                  <w:tcW w:w="917" w:type="pct"/>
                  <w:shd w:val="clear" w:color="auto" w:fill="auto"/>
                  <w:vAlign w:val="bottom"/>
                </w:tcPr>
                <w:p w14:paraId="00BB367A" w14:textId="77777777" w:rsidR="0034060E" w:rsidRDefault="0034060E" w:rsidP="00453A36">
                  <w:pPr>
                    <w:pStyle w:val="TableBodyText"/>
                  </w:pPr>
                  <w:r>
                    <w:t>21.6</w:t>
                  </w:r>
                </w:p>
              </w:tc>
              <w:tc>
                <w:tcPr>
                  <w:tcW w:w="921" w:type="pct"/>
                  <w:vAlign w:val="bottom"/>
                </w:tcPr>
                <w:p w14:paraId="00BB367B" w14:textId="77777777" w:rsidR="0034060E" w:rsidRDefault="0034060E" w:rsidP="00453A36">
                  <w:pPr>
                    <w:pStyle w:val="TableBodyText"/>
                  </w:pPr>
                  <w:r>
                    <w:t>26.9</w:t>
                  </w:r>
                </w:p>
              </w:tc>
            </w:tr>
            <w:tr w:rsidR="0034060E" w14:paraId="00BB3681" w14:textId="77777777" w:rsidTr="00453A36">
              <w:tc>
                <w:tcPr>
                  <w:tcW w:w="2242" w:type="pct"/>
                  <w:shd w:val="clear" w:color="auto" w:fill="auto"/>
                  <w:vAlign w:val="bottom"/>
                </w:tcPr>
                <w:p w14:paraId="00BB367D" w14:textId="77777777" w:rsidR="0034060E" w:rsidRDefault="0034060E" w:rsidP="00453A36">
                  <w:pPr>
                    <w:pStyle w:val="TableBodyText"/>
                    <w:jc w:val="left"/>
                  </w:pPr>
                  <w:r w:rsidRPr="00193307">
                    <w:t>Clerical</w:t>
                  </w:r>
                  <w:r>
                    <w:t xml:space="preserve"> &amp; </w:t>
                  </w:r>
                  <w:r w:rsidRPr="00193307">
                    <w:t>administrative workers</w:t>
                  </w:r>
                </w:p>
              </w:tc>
              <w:tc>
                <w:tcPr>
                  <w:tcW w:w="920" w:type="pct"/>
                  <w:shd w:val="clear" w:color="auto" w:fill="auto"/>
                  <w:vAlign w:val="bottom"/>
                </w:tcPr>
                <w:p w14:paraId="00BB367E" w14:textId="77777777" w:rsidR="0034060E" w:rsidRDefault="0034060E" w:rsidP="00453A36">
                  <w:pPr>
                    <w:pStyle w:val="TableBodyText"/>
                  </w:pPr>
                  <w:r>
                    <w:t>17.5</w:t>
                  </w:r>
                </w:p>
              </w:tc>
              <w:tc>
                <w:tcPr>
                  <w:tcW w:w="917" w:type="pct"/>
                  <w:shd w:val="clear" w:color="auto" w:fill="auto"/>
                  <w:vAlign w:val="bottom"/>
                </w:tcPr>
                <w:p w14:paraId="00BB367F" w14:textId="77777777" w:rsidR="0034060E" w:rsidRDefault="0034060E" w:rsidP="00453A36">
                  <w:pPr>
                    <w:pStyle w:val="TableBodyText"/>
                  </w:pPr>
                  <w:r>
                    <w:t>10.5</w:t>
                  </w:r>
                </w:p>
              </w:tc>
              <w:tc>
                <w:tcPr>
                  <w:tcW w:w="921" w:type="pct"/>
                  <w:vAlign w:val="bottom"/>
                </w:tcPr>
                <w:p w14:paraId="00BB3680" w14:textId="77777777" w:rsidR="0034060E" w:rsidRDefault="0034060E" w:rsidP="00453A36">
                  <w:pPr>
                    <w:pStyle w:val="TableBodyText"/>
                  </w:pPr>
                  <w:r>
                    <w:t>14.8</w:t>
                  </w:r>
                </w:p>
              </w:tc>
            </w:tr>
            <w:tr w:rsidR="0034060E" w14:paraId="00BB3686" w14:textId="77777777" w:rsidTr="00453A36">
              <w:tc>
                <w:tcPr>
                  <w:tcW w:w="2242" w:type="pct"/>
                  <w:shd w:val="clear" w:color="auto" w:fill="auto"/>
                  <w:vAlign w:val="bottom"/>
                </w:tcPr>
                <w:p w14:paraId="00BB3682" w14:textId="77777777" w:rsidR="0034060E" w:rsidRDefault="0034060E" w:rsidP="00453A36">
                  <w:pPr>
                    <w:pStyle w:val="TableBodyText"/>
                    <w:jc w:val="left"/>
                  </w:pPr>
                  <w:r w:rsidRPr="00193307">
                    <w:t>Sales workers</w:t>
                  </w:r>
                </w:p>
              </w:tc>
              <w:tc>
                <w:tcPr>
                  <w:tcW w:w="920" w:type="pct"/>
                  <w:shd w:val="clear" w:color="auto" w:fill="auto"/>
                  <w:vAlign w:val="bottom"/>
                </w:tcPr>
                <w:p w14:paraId="00BB3683" w14:textId="77777777" w:rsidR="0034060E" w:rsidRDefault="0034060E" w:rsidP="00453A36">
                  <w:pPr>
                    <w:pStyle w:val="TableBodyText"/>
                  </w:pPr>
                  <w:r>
                    <w:t>62.7</w:t>
                  </w:r>
                </w:p>
              </w:tc>
              <w:tc>
                <w:tcPr>
                  <w:tcW w:w="917" w:type="pct"/>
                  <w:shd w:val="clear" w:color="auto" w:fill="auto"/>
                  <w:vAlign w:val="bottom"/>
                </w:tcPr>
                <w:p w14:paraId="00BB3684" w14:textId="77777777" w:rsidR="0034060E" w:rsidRDefault="0034060E" w:rsidP="00453A36">
                  <w:pPr>
                    <w:pStyle w:val="TableBodyText"/>
                  </w:pPr>
                  <w:r>
                    <w:t>46.6</w:t>
                  </w:r>
                </w:p>
              </w:tc>
              <w:tc>
                <w:tcPr>
                  <w:tcW w:w="921" w:type="pct"/>
                  <w:vAlign w:val="bottom"/>
                </w:tcPr>
                <w:p w14:paraId="00BB3685" w14:textId="77777777" w:rsidR="0034060E" w:rsidRDefault="0034060E" w:rsidP="00453A36">
                  <w:pPr>
                    <w:pStyle w:val="TableBodyText"/>
                  </w:pPr>
                  <w:r>
                    <w:t>55.8</w:t>
                  </w:r>
                </w:p>
              </w:tc>
            </w:tr>
            <w:tr w:rsidR="0034060E" w14:paraId="00BB368B" w14:textId="77777777" w:rsidTr="00453A36">
              <w:tc>
                <w:tcPr>
                  <w:tcW w:w="2242" w:type="pct"/>
                  <w:shd w:val="clear" w:color="auto" w:fill="auto"/>
                  <w:vAlign w:val="bottom"/>
                </w:tcPr>
                <w:p w14:paraId="00BB3687" w14:textId="77777777" w:rsidR="0034060E" w:rsidRDefault="0034060E" w:rsidP="00453A36">
                  <w:pPr>
                    <w:pStyle w:val="TableBodyText"/>
                    <w:jc w:val="left"/>
                  </w:pPr>
                  <w:r w:rsidRPr="00193307">
                    <w:t>Machinery operators</w:t>
                  </w:r>
                  <w:r>
                    <w:t xml:space="preserve"> &amp; </w:t>
                  </w:r>
                  <w:r w:rsidRPr="00193307">
                    <w:t>drivers</w:t>
                  </w:r>
                </w:p>
              </w:tc>
              <w:tc>
                <w:tcPr>
                  <w:tcW w:w="920" w:type="pct"/>
                  <w:shd w:val="clear" w:color="auto" w:fill="auto"/>
                  <w:vAlign w:val="bottom"/>
                </w:tcPr>
                <w:p w14:paraId="00BB3688" w14:textId="77777777" w:rsidR="0034060E" w:rsidRDefault="0034060E" w:rsidP="00453A36">
                  <w:pPr>
                    <w:pStyle w:val="TableBodyText"/>
                  </w:pPr>
                  <w:r>
                    <w:t>18.1</w:t>
                  </w:r>
                </w:p>
              </w:tc>
              <w:tc>
                <w:tcPr>
                  <w:tcW w:w="917" w:type="pct"/>
                  <w:shd w:val="clear" w:color="auto" w:fill="auto"/>
                  <w:vAlign w:val="bottom"/>
                </w:tcPr>
                <w:p w14:paraId="00BB3689" w14:textId="77777777" w:rsidR="0034060E" w:rsidRDefault="0034060E" w:rsidP="00453A36">
                  <w:pPr>
                    <w:pStyle w:val="TableBodyText"/>
                  </w:pPr>
                  <w:r>
                    <w:t>15.4</w:t>
                  </w:r>
                </w:p>
              </w:tc>
              <w:tc>
                <w:tcPr>
                  <w:tcW w:w="921" w:type="pct"/>
                  <w:vAlign w:val="bottom"/>
                </w:tcPr>
                <w:p w14:paraId="00BB368A" w14:textId="77777777" w:rsidR="0034060E" w:rsidRDefault="0034060E" w:rsidP="00453A36">
                  <w:pPr>
                    <w:pStyle w:val="TableBodyText"/>
                  </w:pPr>
                  <w:r>
                    <w:t>14.4</w:t>
                  </w:r>
                </w:p>
              </w:tc>
            </w:tr>
            <w:tr w:rsidR="0034060E" w14:paraId="00BB3690" w14:textId="77777777" w:rsidTr="00453A36">
              <w:tc>
                <w:tcPr>
                  <w:tcW w:w="2242" w:type="pct"/>
                  <w:shd w:val="clear" w:color="auto" w:fill="auto"/>
                  <w:vAlign w:val="bottom"/>
                </w:tcPr>
                <w:p w14:paraId="00BB368C" w14:textId="77777777" w:rsidR="0034060E" w:rsidRDefault="0034060E" w:rsidP="00453A36">
                  <w:pPr>
                    <w:pStyle w:val="TableBodyText"/>
                    <w:jc w:val="left"/>
                  </w:pPr>
                  <w:r w:rsidRPr="00193307">
                    <w:t>Labourers</w:t>
                  </w:r>
                </w:p>
              </w:tc>
              <w:tc>
                <w:tcPr>
                  <w:tcW w:w="920" w:type="pct"/>
                  <w:shd w:val="clear" w:color="auto" w:fill="auto"/>
                  <w:vAlign w:val="bottom"/>
                </w:tcPr>
                <w:p w14:paraId="00BB368D" w14:textId="77777777" w:rsidR="0034060E" w:rsidRDefault="0034060E" w:rsidP="00453A36">
                  <w:pPr>
                    <w:pStyle w:val="TableBodyText"/>
                  </w:pPr>
                  <w:r>
                    <w:t>37.1</w:t>
                  </w:r>
                </w:p>
              </w:tc>
              <w:tc>
                <w:tcPr>
                  <w:tcW w:w="917" w:type="pct"/>
                  <w:shd w:val="clear" w:color="auto" w:fill="auto"/>
                  <w:vAlign w:val="bottom"/>
                </w:tcPr>
                <w:p w14:paraId="00BB368E" w14:textId="77777777" w:rsidR="0034060E" w:rsidRDefault="0034060E" w:rsidP="00453A36">
                  <w:pPr>
                    <w:pStyle w:val="TableBodyText"/>
                  </w:pPr>
                  <w:r>
                    <w:t>28.5</w:t>
                  </w:r>
                </w:p>
              </w:tc>
              <w:tc>
                <w:tcPr>
                  <w:tcW w:w="921" w:type="pct"/>
                  <w:vAlign w:val="bottom"/>
                </w:tcPr>
                <w:p w14:paraId="00BB368F" w14:textId="77777777" w:rsidR="0034060E" w:rsidRDefault="0034060E" w:rsidP="00453A36">
                  <w:pPr>
                    <w:pStyle w:val="TableBodyText"/>
                  </w:pPr>
                  <w:r>
                    <w:t>32.1</w:t>
                  </w:r>
                </w:p>
              </w:tc>
            </w:tr>
            <w:tr w:rsidR="0034060E" w14:paraId="00BB3692" w14:textId="77777777" w:rsidTr="00453A36">
              <w:tc>
                <w:tcPr>
                  <w:tcW w:w="5000" w:type="pct"/>
                  <w:gridSpan w:val="4"/>
                  <w:shd w:val="clear" w:color="auto" w:fill="auto"/>
                </w:tcPr>
                <w:p w14:paraId="00BB3691" w14:textId="77777777" w:rsidR="0034060E" w:rsidRPr="00404F7F" w:rsidRDefault="0034060E" w:rsidP="00453A36">
                  <w:pPr>
                    <w:pStyle w:val="TableBodyText"/>
                    <w:spacing w:before="80"/>
                    <w:jc w:val="left"/>
                  </w:pPr>
                  <w:r>
                    <w:rPr>
                      <w:b/>
                    </w:rPr>
                    <w:t>Test</w:t>
                  </w:r>
                  <w:r w:rsidRPr="004E4904">
                    <w:rPr>
                      <w:b/>
                    </w:rPr>
                    <w:t> </w:t>
                  </w:r>
                  <w:r>
                    <w:rPr>
                      <w:b/>
                    </w:rPr>
                    <w:t>2</w:t>
                  </w:r>
                  <w:r w:rsidRPr="004E4904">
                    <w:rPr>
                      <w:b/>
                    </w:rPr>
                    <w:t>: workers on wages up to 120 per cent of the Federal minimum wage</w:t>
                  </w:r>
                </w:p>
              </w:tc>
            </w:tr>
            <w:tr w:rsidR="0034060E" w14:paraId="00BB3697" w14:textId="77777777" w:rsidTr="00453A36">
              <w:tc>
                <w:tcPr>
                  <w:tcW w:w="2242" w:type="pct"/>
                  <w:shd w:val="clear" w:color="auto" w:fill="auto"/>
                  <w:vAlign w:val="bottom"/>
                </w:tcPr>
                <w:p w14:paraId="00BB3693" w14:textId="77777777" w:rsidR="0034060E" w:rsidRDefault="0034060E" w:rsidP="00453A36">
                  <w:pPr>
                    <w:pStyle w:val="TableBodyText"/>
                    <w:jc w:val="left"/>
                  </w:pPr>
                  <w:r w:rsidRPr="00193307">
                    <w:t>Managers</w:t>
                  </w:r>
                </w:p>
              </w:tc>
              <w:tc>
                <w:tcPr>
                  <w:tcW w:w="920" w:type="pct"/>
                  <w:shd w:val="clear" w:color="auto" w:fill="auto"/>
                  <w:vAlign w:val="bottom"/>
                </w:tcPr>
                <w:p w14:paraId="00BB3694" w14:textId="77777777" w:rsidR="0034060E" w:rsidRDefault="0034060E" w:rsidP="00453A36">
                  <w:pPr>
                    <w:pStyle w:val="TableBodyText"/>
                  </w:pPr>
                  <w:r>
                    <w:t>0.4</w:t>
                  </w:r>
                </w:p>
              </w:tc>
              <w:tc>
                <w:tcPr>
                  <w:tcW w:w="917" w:type="pct"/>
                  <w:shd w:val="clear" w:color="auto" w:fill="auto"/>
                  <w:vAlign w:val="bottom"/>
                </w:tcPr>
                <w:p w14:paraId="00BB3695" w14:textId="77777777" w:rsidR="0034060E" w:rsidRDefault="0034060E" w:rsidP="00453A36">
                  <w:pPr>
                    <w:pStyle w:val="TableBodyText"/>
                  </w:pPr>
                  <w:r>
                    <w:t>0.3</w:t>
                  </w:r>
                </w:p>
              </w:tc>
              <w:tc>
                <w:tcPr>
                  <w:tcW w:w="921" w:type="pct"/>
                  <w:vAlign w:val="bottom"/>
                </w:tcPr>
                <w:p w14:paraId="00BB3696" w14:textId="77777777" w:rsidR="0034060E" w:rsidRDefault="0034060E" w:rsidP="00453A36">
                  <w:pPr>
                    <w:pStyle w:val="TableBodyText"/>
                  </w:pPr>
                  <w:r>
                    <w:t>0.4</w:t>
                  </w:r>
                </w:p>
              </w:tc>
            </w:tr>
            <w:tr w:rsidR="0034060E" w14:paraId="00BB369C" w14:textId="77777777" w:rsidTr="00453A36">
              <w:tc>
                <w:tcPr>
                  <w:tcW w:w="2242" w:type="pct"/>
                  <w:shd w:val="clear" w:color="auto" w:fill="auto"/>
                  <w:vAlign w:val="bottom"/>
                </w:tcPr>
                <w:p w14:paraId="00BB3698" w14:textId="77777777" w:rsidR="0034060E" w:rsidRDefault="0034060E" w:rsidP="00453A36">
                  <w:pPr>
                    <w:pStyle w:val="TableBodyText"/>
                    <w:jc w:val="left"/>
                  </w:pPr>
                  <w:r w:rsidRPr="00193307">
                    <w:t>Professionals</w:t>
                  </w:r>
                </w:p>
              </w:tc>
              <w:tc>
                <w:tcPr>
                  <w:tcW w:w="920" w:type="pct"/>
                  <w:shd w:val="clear" w:color="auto" w:fill="auto"/>
                  <w:vAlign w:val="bottom"/>
                </w:tcPr>
                <w:p w14:paraId="00BB3699" w14:textId="77777777" w:rsidR="0034060E" w:rsidRDefault="0034060E" w:rsidP="00453A36">
                  <w:pPr>
                    <w:pStyle w:val="TableBodyText"/>
                  </w:pPr>
                  <w:r>
                    <w:t>0.7</w:t>
                  </w:r>
                </w:p>
              </w:tc>
              <w:tc>
                <w:tcPr>
                  <w:tcW w:w="917" w:type="pct"/>
                  <w:shd w:val="clear" w:color="auto" w:fill="auto"/>
                  <w:vAlign w:val="bottom"/>
                </w:tcPr>
                <w:p w14:paraId="00BB369A" w14:textId="77777777" w:rsidR="0034060E" w:rsidRDefault="0034060E" w:rsidP="00453A36">
                  <w:pPr>
                    <w:pStyle w:val="TableBodyText"/>
                  </w:pPr>
                  <w:r>
                    <w:t>0.5</w:t>
                  </w:r>
                </w:p>
              </w:tc>
              <w:tc>
                <w:tcPr>
                  <w:tcW w:w="921" w:type="pct"/>
                  <w:vAlign w:val="bottom"/>
                </w:tcPr>
                <w:p w14:paraId="00BB369B" w14:textId="77777777" w:rsidR="0034060E" w:rsidRDefault="0034060E" w:rsidP="00453A36">
                  <w:pPr>
                    <w:pStyle w:val="TableBodyText"/>
                  </w:pPr>
                  <w:r>
                    <w:t>0.6</w:t>
                  </w:r>
                </w:p>
              </w:tc>
            </w:tr>
            <w:tr w:rsidR="0034060E" w14:paraId="00BB36A1" w14:textId="77777777" w:rsidTr="00453A36">
              <w:tc>
                <w:tcPr>
                  <w:tcW w:w="2242" w:type="pct"/>
                  <w:shd w:val="clear" w:color="auto" w:fill="auto"/>
                  <w:vAlign w:val="bottom"/>
                </w:tcPr>
                <w:p w14:paraId="00BB369D" w14:textId="77777777" w:rsidR="0034060E" w:rsidRDefault="0034060E" w:rsidP="00453A36">
                  <w:pPr>
                    <w:pStyle w:val="TableBodyText"/>
                    <w:jc w:val="left"/>
                  </w:pPr>
                  <w:r w:rsidRPr="00193307">
                    <w:t>Technicians</w:t>
                  </w:r>
                  <w:r>
                    <w:t xml:space="preserve"> &amp; </w:t>
                  </w:r>
                  <w:r w:rsidRPr="00193307">
                    <w:t>trades workers</w:t>
                  </w:r>
                </w:p>
              </w:tc>
              <w:tc>
                <w:tcPr>
                  <w:tcW w:w="920" w:type="pct"/>
                  <w:shd w:val="clear" w:color="auto" w:fill="auto"/>
                  <w:vAlign w:val="bottom"/>
                </w:tcPr>
                <w:p w14:paraId="00BB369E" w14:textId="77777777" w:rsidR="0034060E" w:rsidRDefault="0034060E" w:rsidP="00453A36">
                  <w:pPr>
                    <w:pStyle w:val="TableBodyText"/>
                  </w:pPr>
                  <w:r>
                    <w:t>11.2</w:t>
                  </w:r>
                </w:p>
              </w:tc>
              <w:tc>
                <w:tcPr>
                  <w:tcW w:w="917" w:type="pct"/>
                  <w:shd w:val="clear" w:color="auto" w:fill="auto"/>
                  <w:vAlign w:val="bottom"/>
                </w:tcPr>
                <w:p w14:paraId="00BB369F" w14:textId="77777777" w:rsidR="0034060E" w:rsidRDefault="0034060E" w:rsidP="00453A36">
                  <w:pPr>
                    <w:pStyle w:val="TableBodyText"/>
                  </w:pPr>
                  <w:r>
                    <w:t>7.4</w:t>
                  </w:r>
                </w:p>
              </w:tc>
              <w:tc>
                <w:tcPr>
                  <w:tcW w:w="921" w:type="pct"/>
                  <w:vAlign w:val="bottom"/>
                </w:tcPr>
                <w:p w14:paraId="00BB36A0" w14:textId="77777777" w:rsidR="0034060E" w:rsidRDefault="0034060E" w:rsidP="00453A36">
                  <w:pPr>
                    <w:pStyle w:val="TableBodyText"/>
                  </w:pPr>
                  <w:r>
                    <w:t>10.3</w:t>
                  </w:r>
                </w:p>
              </w:tc>
            </w:tr>
            <w:tr w:rsidR="0034060E" w14:paraId="00BB36A6" w14:textId="77777777" w:rsidTr="00453A36">
              <w:tc>
                <w:tcPr>
                  <w:tcW w:w="2242" w:type="pct"/>
                  <w:shd w:val="clear" w:color="auto" w:fill="auto"/>
                  <w:vAlign w:val="bottom"/>
                </w:tcPr>
                <w:p w14:paraId="00BB36A2" w14:textId="77777777" w:rsidR="0034060E" w:rsidRDefault="0034060E" w:rsidP="00453A36">
                  <w:pPr>
                    <w:pStyle w:val="TableBodyText"/>
                    <w:jc w:val="left"/>
                  </w:pPr>
                  <w:r w:rsidRPr="00193307">
                    <w:t>Community</w:t>
                  </w:r>
                  <w:r>
                    <w:t xml:space="preserve"> &amp; </w:t>
                  </w:r>
                  <w:r w:rsidRPr="00193307">
                    <w:t>personal service workers</w:t>
                  </w:r>
                </w:p>
              </w:tc>
              <w:tc>
                <w:tcPr>
                  <w:tcW w:w="920" w:type="pct"/>
                  <w:shd w:val="clear" w:color="auto" w:fill="auto"/>
                  <w:vAlign w:val="bottom"/>
                </w:tcPr>
                <w:p w14:paraId="00BB36A3" w14:textId="77777777" w:rsidR="0034060E" w:rsidRDefault="0034060E" w:rsidP="00453A36">
                  <w:pPr>
                    <w:pStyle w:val="TableBodyText"/>
                  </w:pPr>
                  <w:r>
                    <w:t>20.5</w:t>
                  </w:r>
                </w:p>
              </w:tc>
              <w:tc>
                <w:tcPr>
                  <w:tcW w:w="917" w:type="pct"/>
                  <w:shd w:val="clear" w:color="auto" w:fill="auto"/>
                  <w:vAlign w:val="bottom"/>
                </w:tcPr>
                <w:p w14:paraId="00BB36A4" w14:textId="77777777" w:rsidR="0034060E" w:rsidRDefault="0034060E" w:rsidP="00453A36">
                  <w:pPr>
                    <w:pStyle w:val="TableBodyText"/>
                  </w:pPr>
                  <w:r>
                    <w:t>13.6</w:t>
                  </w:r>
                </w:p>
              </w:tc>
              <w:tc>
                <w:tcPr>
                  <w:tcW w:w="921" w:type="pct"/>
                  <w:vAlign w:val="bottom"/>
                </w:tcPr>
                <w:p w14:paraId="00BB36A5" w14:textId="77777777" w:rsidR="0034060E" w:rsidRDefault="0034060E" w:rsidP="00453A36">
                  <w:pPr>
                    <w:pStyle w:val="TableBodyText"/>
                  </w:pPr>
                  <w:r>
                    <w:t>16.1</w:t>
                  </w:r>
                </w:p>
              </w:tc>
            </w:tr>
            <w:tr w:rsidR="0034060E" w14:paraId="00BB36AB" w14:textId="77777777" w:rsidTr="00453A36">
              <w:tc>
                <w:tcPr>
                  <w:tcW w:w="2242" w:type="pct"/>
                  <w:shd w:val="clear" w:color="auto" w:fill="auto"/>
                  <w:vAlign w:val="bottom"/>
                </w:tcPr>
                <w:p w14:paraId="00BB36A7" w14:textId="77777777" w:rsidR="0034060E" w:rsidRDefault="0034060E" w:rsidP="00453A36">
                  <w:pPr>
                    <w:pStyle w:val="TableBodyText"/>
                    <w:jc w:val="left"/>
                  </w:pPr>
                  <w:r w:rsidRPr="00193307">
                    <w:t>Clerical</w:t>
                  </w:r>
                  <w:r>
                    <w:t xml:space="preserve"> &amp; </w:t>
                  </w:r>
                  <w:r w:rsidRPr="00193307">
                    <w:t>administrative workers</w:t>
                  </w:r>
                </w:p>
              </w:tc>
              <w:tc>
                <w:tcPr>
                  <w:tcW w:w="920" w:type="pct"/>
                  <w:shd w:val="clear" w:color="auto" w:fill="auto"/>
                  <w:vAlign w:val="bottom"/>
                </w:tcPr>
                <w:p w14:paraId="00BB36A8" w14:textId="77777777" w:rsidR="0034060E" w:rsidRDefault="0034060E" w:rsidP="00453A36">
                  <w:pPr>
                    <w:pStyle w:val="TableBodyText"/>
                  </w:pPr>
                  <w:r>
                    <w:t>10.2</w:t>
                  </w:r>
                </w:p>
              </w:tc>
              <w:tc>
                <w:tcPr>
                  <w:tcW w:w="917" w:type="pct"/>
                  <w:shd w:val="clear" w:color="auto" w:fill="auto"/>
                  <w:vAlign w:val="bottom"/>
                </w:tcPr>
                <w:p w14:paraId="00BB36A9" w14:textId="77777777" w:rsidR="0034060E" w:rsidRDefault="0034060E" w:rsidP="00453A36">
                  <w:pPr>
                    <w:pStyle w:val="TableBodyText"/>
                  </w:pPr>
                  <w:r>
                    <w:t>6.0</w:t>
                  </w:r>
                </w:p>
              </w:tc>
              <w:tc>
                <w:tcPr>
                  <w:tcW w:w="921" w:type="pct"/>
                  <w:vAlign w:val="bottom"/>
                </w:tcPr>
                <w:p w14:paraId="00BB36AA" w14:textId="77777777" w:rsidR="0034060E" w:rsidRDefault="0034060E" w:rsidP="00453A36">
                  <w:pPr>
                    <w:pStyle w:val="TableBodyText"/>
                  </w:pPr>
                  <w:r>
                    <w:t>8.4</w:t>
                  </w:r>
                </w:p>
              </w:tc>
            </w:tr>
            <w:tr w:rsidR="0034060E" w14:paraId="00BB36B0" w14:textId="77777777" w:rsidTr="00453A36">
              <w:tc>
                <w:tcPr>
                  <w:tcW w:w="2242" w:type="pct"/>
                  <w:shd w:val="clear" w:color="auto" w:fill="auto"/>
                  <w:vAlign w:val="bottom"/>
                </w:tcPr>
                <w:p w14:paraId="00BB36AC" w14:textId="77777777" w:rsidR="0034060E" w:rsidRDefault="0034060E" w:rsidP="00453A36">
                  <w:pPr>
                    <w:pStyle w:val="TableBodyText"/>
                    <w:jc w:val="left"/>
                  </w:pPr>
                  <w:r w:rsidRPr="00193307">
                    <w:t>Sales workers</w:t>
                  </w:r>
                </w:p>
              </w:tc>
              <w:tc>
                <w:tcPr>
                  <w:tcW w:w="920" w:type="pct"/>
                  <w:shd w:val="clear" w:color="auto" w:fill="auto"/>
                  <w:vAlign w:val="bottom"/>
                </w:tcPr>
                <w:p w14:paraId="00BB36AD" w14:textId="77777777" w:rsidR="0034060E" w:rsidRDefault="0034060E" w:rsidP="00453A36">
                  <w:pPr>
                    <w:pStyle w:val="TableBodyText"/>
                  </w:pPr>
                  <w:r>
                    <w:t>41.2</w:t>
                  </w:r>
                </w:p>
              </w:tc>
              <w:tc>
                <w:tcPr>
                  <w:tcW w:w="917" w:type="pct"/>
                  <w:shd w:val="clear" w:color="auto" w:fill="auto"/>
                  <w:vAlign w:val="bottom"/>
                </w:tcPr>
                <w:p w14:paraId="00BB36AE" w14:textId="77777777" w:rsidR="0034060E" w:rsidRDefault="0034060E" w:rsidP="00453A36">
                  <w:pPr>
                    <w:pStyle w:val="TableBodyText"/>
                  </w:pPr>
                  <w:r>
                    <w:t>27.8</w:t>
                  </w:r>
                </w:p>
              </w:tc>
              <w:tc>
                <w:tcPr>
                  <w:tcW w:w="921" w:type="pct"/>
                  <w:vAlign w:val="bottom"/>
                </w:tcPr>
                <w:p w14:paraId="00BB36AF" w14:textId="77777777" w:rsidR="0034060E" w:rsidRDefault="0034060E" w:rsidP="00453A36">
                  <w:pPr>
                    <w:pStyle w:val="TableBodyText"/>
                  </w:pPr>
                  <w:r>
                    <w:t>33.7</w:t>
                  </w:r>
                </w:p>
              </w:tc>
            </w:tr>
            <w:tr w:rsidR="0034060E" w14:paraId="00BB36B5" w14:textId="77777777" w:rsidTr="00453A36">
              <w:tc>
                <w:tcPr>
                  <w:tcW w:w="2242" w:type="pct"/>
                  <w:shd w:val="clear" w:color="auto" w:fill="auto"/>
                  <w:vAlign w:val="bottom"/>
                </w:tcPr>
                <w:p w14:paraId="00BB36B1" w14:textId="77777777" w:rsidR="0034060E" w:rsidRDefault="0034060E" w:rsidP="00453A36">
                  <w:pPr>
                    <w:pStyle w:val="TableBodyText"/>
                    <w:jc w:val="left"/>
                  </w:pPr>
                  <w:r w:rsidRPr="00193307">
                    <w:t>Machinery operators</w:t>
                  </w:r>
                  <w:r>
                    <w:t xml:space="preserve"> &amp; </w:t>
                  </w:r>
                  <w:r w:rsidRPr="00193307">
                    <w:t>drivers</w:t>
                  </w:r>
                </w:p>
              </w:tc>
              <w:tc>
                <w:tcPr>
                  <w:tcW w:w="920" w:type="pct"/>
                  <w:shd w:val="clear" w:color="auto" w:fill="auto"/>
                  <w:vAlign w:val="bottom"/>
                </w:tcPr>
                <w:p w14:paraId="00BB36B2" w14:textId="77777777" w:rsidR="0034060E" w:rsidRDefault="0034060E" w:rsidP="00453A36">
                  <w:pPr>
                    <w:pStyle w:val="TableBodyText"/>
                  </w:pPr>
                  <w:r>
                    <w:t>11.2</w:t>
                  </w:r>
                </w:p>
              </w:tc>
              <w:tc>
                <w:tcPr>
                  <w:tcW w:w="917" w:type="pct"/>
                  <w:shd w:val="clear" w:color="auto" w:fill="auto"/>
                  <w:vAlign w:val="bottom"/>
                </w:tcPr>
                <w:p w14:paraId="00BB36B3" w14:textId="77777777" w:rsidR="0034060E" w:rsidRDefault="0034060E" w:rsidP="00453A36">
                  <w:pPr>
                    <w:pStyle w:val="TableBodyText"/>
                  </w:pPr>
                  <w:r>
                    <w:t>11.7</w:t>
                  </w:r>
                </w:p>
              </w:tc>
              <w:tc>
                <w:tcPr>
                  <w:tcW w:w="921" w:type="pct"/>
                  <w:vAlign w:val="bottom"/>
                </w:tcPr>
                <w:p w14:paraId="00BB36B4" w14:textId="77777777" w:rsidR="0034060E" w:rsidRDefault="0034060E" w:rsidP="00453A36">
                  <w:pPr>
                    <w:pStyle w:val="TableBodyText"/>
                  </w:pPr>
                  <w:r>
                    <w:t>8.5</w:t>
                  </w:r>
                </w:p>
              </w:tc>
            </w:tr>
            <w:tr w:rsidR="0034060E" w14:paraId="00BB36BA" w14:textId="77777777" w:rsidTr="00453A36">
              <w:tc>
                <w:tcPr>
                  <w:tcW w:w="2242" w:type="pct"/>
                  <w:tcBorders>
                    <w:bottom w:val="single" w:sz="6" w:space="0" w:color="BFBFBF"/>
                  </w:tcBorders>
                  <w:shd w:val="clear" w:color="auto" w:fill="auto"/>
                  <w:vAlign w:val="bottom"/>
                </w:tcPr>
                <w:p w14:paraId="00BB36B6" w14:textId="77777777" w:rsidR="0034060E" w:rsidRDefault="0034060E" w:rsidP="00453A36">
                  <w:pPr>
                    <w:pStyle w:val="TableBodyText"/>
                    <w:jc w:val="left"/>
                  </w:pPr>
                  <w:r w:rsidRPr="00193307">
                    <w:t>Labourers</w:t>
                  </w:r>
                </w:p>
              </w:tc>
              <w:tc>
                <w:tcPr>
                  <w:tcW w:w="920" w:type="pct"/>
                  <w:tcBorders>
                    <w:bottom w:val="single" w:sz="6" w:space="0" w:color="BFBFBF"/>
                  </w:tcBorders>
                  <w:shd w:val="clear" w:color="auto" w:fill="auto"/>
                  <w:vAlign w:val="bottom"/>
                </w:tcPr>
                <w:p w14:paraId="00BB36B7" w14:textId="77777777" w:rsidR="0034060E" w:rsidRDefault="0034060E" w:rsidP="00453A36">
                  <w:pPr>
                    <w:pStyle w:val="TableBodyText"/>
                  </w:pPr>
                  <w:r>
                    <w:t>23.0</w:t>
                  </w:r>
                </w:p>
              </w:tc>
              <w:tc>
                <w:tcPr>
                  <w:tcW w:w="917" w:type="pct"/>
                  <w:tcBorders>
                    <w:bottom w:val="single" w:sz="6" w:space="0" w:color="BFBFBF"/>
                  </w:tcBorders>
                  <w:shd w:val="clear" w:color="auto" w:fill="auto"/>
                  <w:vAlign w:val="bottom"/>
                </w:tcPr>
                <w:p w14:paraId="00BB36B8" w14:textId="77777777" w:rsidR="0034060E" w:rsidRDefault="0034060E" w:rsidP="00453A36">
                  <w:pPr>
                    <w:pStyle w:val="TableBodyText"/>
                  </w:pPr>
                  <w:r>
                    <w:t>19.4</w:t>
                  </w:r>
                </w:p>
              </w:tc>
              <w:tc>
                <w:tcPr>
                  <w:tcW w:w="921" w:type="pct"/>
                  <w:tcBorders>
                    <w:bottom w:val="single" w:sz="6" w:space="0" w:color="BFBFBF"/>
                  </w:tcBorders>
                  <w:vAlign w:val="bottom"/>
                </w:tcPr>
                <w:p w14:paraId="00BB36B9" w14:textId="77777777" w:rsidR="0034060E" w:rsidRDefault="0034060E" w:rsidP="00453A36">
                  <w:pPr>
                    <w:pStyle w:val="TableBodyText"/>
                  </w:pPr>
                  <w:r>
                    <w:t>19.4</w:t>
                  </w:r>
                </w:p>
              </w:tc>
            </w:tr>
          </w:tbl>
          <w:p w14:paraId="00BB36BB" w14:textId="77777777" w:rsidR="0034060E" w:rsidRDefault="0034060E" w:rsidP="00453A36">
            <w:pPr>
              <w:pStyle w:val="Box"/>
            </w:pPr>
          </w:p>
        </w:tc>
      </w:tr>
      <w:tr w:rsidR="0034060E" w14:paraId="00BB36BE" w14:textId="77777777" w:rsidTr="00453A36">
        <w:trPr>
          <w:cantSplit/>
        </w:trPr>
        <w:tc>
          <w:tcPr>
            <w:tcW w:w="8771" w:type="dxa"/>
            <w:tcBorders>
              <w:top w:val="nil"/>
              <w:left w:val="nil"/>
              <w:bottom w:val="nil"/>
              <w:right w:val="nil"/>
            </w:tcBorders>
            <w:shd w:val="clear" w:color="auto" w:fill="auto"/>
          </w:tcPr>
          <w:p w14:paraId="00BB36BD" w14:textId="77777777" w:rsidR="0034060E" w:rsidRDefault="0034060E" w:rsidP="00453A36">
            <w:pPr>
              <w:pStyle w:val="Note"/>
              <w:rPr>
                <w:i/>
              </w:rPr>
            </w:pPr>
            <w:proofErr w:type="spellStart"/>
            <w:r w:rsidRPr="008E77FE">
              <w:rPr>
                <w:rStyle w:val="NoteLabel"/>
              </w:rPr>
              <w:t>a</w:t>
            </w:r>
            <w:proofErr w:type="spellEnd"/>
            <w:r>
              <w:t> Employed workers include the self</w:t>
            </w:r>
            <w:r>
              <w:noBreakHyphen/>
              <w:t>employed. The number of self</w:t>
            </w:r>
            <w:r>
              <w:noBreakHyphen/>
              <w:t>employed by occupation is estimated as the difference between total employment and the total number of employees. The average wage and hours worked for the self</w:t>
            </w:r>
            <w:r>
              <w:noBreakHyphen/>
              <w:t>employed are assumed to be the same as for non</w:t>
            </w:r>
            <w:r>
              <w:noBreakHyphen/>
              <w:t>minimum wage employees.</w:t>
            </w:r>
          </w:p>
        </w:tc>
      </w:tr>
      <w:tr w:rsidR="0034060E" w14:paraId="00BB36C0" w14:textId="77777777" w:rsidTr="00453A36">
        <w:trPr>
          <w:cantSplit/>
        </w:trPr>
        <w:tc>
          <w:tcPr>
            <w:tcW w:w="8771" w:type="dxa"/>
            <w:tcBorders>
              <w:top w:val="nil"/>
              <w:left w:val="nil"/>
              <w:bottom w:val="nil"/>
              <w:right w:val="nil"/>
            </w:tcBorders>
            <w:shd w:val="clear" w:color="auto" w:fill="auto"/>
          </w:tcPr>
          <w:p w14:paraId="00BB36BF" w14:textId="77777777" w:rsidR="0034060E" w:rsidRDefault="0034060E" w:rsidP="00453A36">
            <w:pPr>
              <w:pStyle w:val="Source"/>
            </w:pPr>
            <w:r>
              <w:rPr>
                <w:i/>
              </w:rPr>
              <w:t>Source</w:t>
            </w:r>
            <w:r w:rsidRPr="00167F06">
              <w:t xml:space="preserve">: </w:t>
            </w:r>
            <w:r>
              <w:t xml:space="preserve">Productivity Commission estimates based on </w:t>
            </w:r>
            <w:r w:rsidRPr="00E84A58">
              <w:t xml:space="preserve">ABS </w:t>
            </w:r>
            <w:r>
              <w:t>(</w:t>
            </w:r>
            <w:r w:rsidRPr="00E84A58">
              <w:rPr>
                <w:i/>
              </w:rPr>
              <w:t>Employee Earnings and Hours, Australia</w:t>
            </w:r>
            <w:r w:rsidRPr="00E84A58">
              <w:t>, Cat.</w:t>
            </w:r>
            <w:r>
              <w:t> </w:t>
            </w:r>
            <w:r w:rsidRPr="00E84A58">
              <w:t>no.</w:t>
            </w:r>
            <w:r>
              <w:t> </w:t>
            </w:r>
            <w:r w:rsidRPr="00E84A58">
              <w:t>6306.0, May</w:t>
            </w:r>
            <w:r>
              <w:t> </w:t>
            </w:r>
            <w:r w:rsidRPr="00E84A58">
              <w:t>2014</w:t>
            </w:r>
            <w:r>
              <w:t>).</w:t>
            </w:r>
          </w:p>
        </w:tc>
      </w:tr>
      <w:tr w:rsidR="0034060E" w14:paraId="00BB36C2" w14:textId="77777777" w:rsidTr="00453A36">
        <w:trPr>
          <w:cantSplit/>
        </w:trPr>
        <w:tc>
          <w:tcPr>
            <w:tcW w:w="8771" w:type="dxa"/>
            <w:tcBorders>
              <w:top w:val="nil"/>
              <w:left w:val="nil"/>
              <w:bottom w:val="single" w:sz="6" w:space="0" w:color="78A22F"/>
              <w:right w:val="nil"/>
            </w:tcBorders>
            <w:shd w:val="clear" w:color="auto" w:fill="auto"/>
          </w:tcPr>
          <w:p w14:paraId="00BB36C1" w14:textId="77777777" w:rsidR="0034060E" w:rsidRDefault="0034060E" w:rsidP="00453A36">
            <w:pPr>
              <w:pStyle w:val="Box"/>
              <w:spacing w:before="0" w:line="120" w:lineRule="exact"/>
            </w:pPr>
          </w:p>
        </w:tc>
      </w:tr>
      <w:tr w:rsidR="0034060E" w:rsidRPr="000863A5" w14:paraId="00BB36C4" w14:textId="77777777" w:rsidTr="00453A36">
        <w:tc>
          <w:tcPr>
            <w:tcW w:w="8771" w:type="dxa"/>
            <w:tcBorders>
              <w:top w:val="single" w:sz="6" w:space="0" w:color="78A22F"/>
              <w:left w:val="nil"/>
              <w:bottom w:val="nil"/>
              <w:right w:val="nil"/>
            </w:tcBorders>
          </w:tcPr>
          <w:p w14:paraId="00BB36C3" w14:textId="121AE25E" w:rsidR="0034060E" w:rsidRPr="00626D32" w:rsidRDefault="0034060E" w:rsidP="00453A36">
            <w:pPr>
              <w:pStyle w:val="BoxSpaceBelow"/>
            </w:pPr>
          </w:p>
        </w:tc>
      </w:tr>
    </w:tbl>
    <w:p w14:paraId="00BB36C5" w14:textId="378BCB48" w:rsidR="0034060E" w:rsidRDefault="0034060E" w:rsidP="00453A36">
      <w:pPr>
        <w:pStyle w:val="Heading2"/>
      </w:pPr>
      <w:proofErr w:type="spellStart"/>
      <w:r>
        <w:t>B.</w:t>
      </w:r>
      <w:r>
        <w:rPr>
          <w:noProof/>
        </w:rPr>
        <w:t>4</w:t>
      </w:r>
      <w:proofErr w:type="spellEnd"/>
      <w:r>
        <w:tab/>
        <w:t>Model parameters</w:t>
      </w:r>
    </w:p>
    <w:p w14:paraId="00BB36C6" w14:textId="77777777" w:rsidR="0034060E" w:rsidRDefault="0034060E" w:rsidP="00453A36">
      <w:pPr>
        <w:pStyle w:val="BodyText"/>
      </w:pPr>
      <w:r>
        <w:t xml:space="preserve">In models such as the </w:t>
      </w:r>
      <w:proofErr w:type="spellStart"/>
      <w:r>
        <w:t>VUMR</w:t>
      </w:r>
      <w:r>
        <w:noBreakHyphen/>
        <w:t>WR</w:t>
      </w:r>
      <w:proofErr w:type="spellEnd"/>
      <w:r>
        <w:t xml:space="preserve"> model, specific parameters mediate the responsiveness of labour demand and supply to changes in the cost of labour or the returns to labour, respectively.</w:t>
      </w:r>
    </w:p>
    <w:p w14:paraId="00BB36C7" w14:textId="77777777" w:rsidR="0034060E" w:rsidRDefault="0034060E" w:rsidP="00453A36">
      <w:pPr>
        <w:pStyle w:val="BodyText"/>
      </w:pPr>
      <w:r>
        <w:lastRenderedPageBreak/>
        <w:t>The parameters that affect the demand for workers at the regional industry level are:</w:t>
      </w:r>
    </w:p>
    <w:p w14:paraId="00BB36C8" w14:textId="77777777" w:rsidR="0034060E" w:rsidRDefault="0034060E" w:rsidP="00453A36">
      <w:pPr>
        <w:pStyle w:val="ListBullet"/>
      </w:pPr>
      <w:r>
        <w:t>the primary factor substitution elasticity (which determines the extent of substitution between labour, capital and agricultural land in production)</w:t>
      </w:r>
    </w:p>
    <w:p w14:paraId="00BB36C9" w14:textId="77777777" w:rsidR="0034060E" w:rsidRDefault="0034060E" w:rsidP="00453A36">
      <w:pPr>
        <w:pStyle w:val="ListBullet"/>
      </w:pPr>
      <w:r>
        <w:t>the occupational substitution elasticity (which determines the extent of substitution in the use of different types of occupations in production)</w:t>
      </w:r>
    </w:p>
    <w:p w14:paraId="00BB36CA" w14:textId="77777777" w:rsidR="0034060E" w:rsidRDefault="0034060E" w:rsidP="00453A36">
      <w:pPr>
        <w:pStyle w:val="ListBullet"/>
      </w:pPr>
      <w:r>
        <w:t>the award wage substitution elasticity (which determines the extent of substitution in the use of award</w:t>
      </w:r>
      <w:r>
        <w:noBreakHyphen/>
        <w:t>reliant and other workers in production).</w:t>
      </w:r>
    </w:p>
    <w:p w14:paraId="00BB36CB" w14:textId="77777777" w:rsidR="0034060E" w:rsidRDefault="0034060E" w:rsidP="00453A36">
      <w:pPr>
        <w:pStyle w:val="BodyText"/>
      </w:pPr>
      <w:r>
        <w:t>The model parameters affecting the supply of workers are:</w:t>
      </w:r>
    </w:p>
    <w:p w14:paraId="00BB36CC" w14:textId="77777777" w:rsidR="0034060E" w:rsidRDefault="0034060E" w:rsidP="00453A36">
      <w:pPr>
        <w:pStyle w:val="ListBullet"/>
      </w:pPr>
      <w:r>
        <w:t>the occupational transformation elasticity (which determines the extent to which workers change their occupation)</w:t>
      </w:r>
    </w:p>
    <w:p w14:paraId="00BB36CD" w14:textId="77777777" w:rsidR="0034060E" w:rsidRDefault="0034060E" w:rsidP="00453A36">
      <w:pPr>
        <w:pStyle w:val="ListBullet"/>
      </w:pPr>
      <w:r>
        <w:t>the award wage transformation elasticity (which determines the extent to which workers shift between award</w:t>
      </w:r>
      <w:r>
        <w:noBreakHyphen/>
        <w:t>reliant and other employment, that might occur, say, through additional education and training)</w:t>
      </w:r>
    </w:p>
    <w:p w14:paraId="00BB36CE" w14:textId="77777777" w:rsidR="0034060E" w:rsidRDefault="0034060E" w:rsidP="00453A36">
      <w:pPr>
        <w:pStyle w:val="ListBullet"/>
      </w:pPr>
      <w:r>
        <w:t>the regional transformation elasticity (which determines the extent to which workers move between regions).</w:t>
      </w:r>
    </w:p>
    <w:p w14:paraId="00BB36CF" w14:textId="77777777" w:rsidR="0034060E" w:rsidRDefault="0034060E" w:rsidP="00453A36">
      <w:pPr>
        <w:pStyle w:val="BodyText"/>
      </w:pPr>
      <w:r>
        <w:t xml:space="preserve">The default parameter values in the </w:t>
      </w:r>
      <w:proofErr w:type="spellStart"/>
      <w:r>
        <w:t>VUMR</w:t>
      </w:r>
      <w:r>
        <w:noBreakHyphen/>
        <w:t>WR</w:t>
      </w:r>
      <w:proofErr w:type="spellEnd"/>
      <w:r>
        <w:t xml:space="preserve"> model used in this study are representative of a short</w:t>
      </w:r>
      <w:r>
        <w:noBreakHyphen/>
        <w:t>run modelling environment in which there is limited scope for adjustment from year to year rather than a longer</w:t>
      </w:r>
      <w:r>
        <w:noBreakHyphen/>
        <w:t>run environment where there is greater scope for substitution or transformation (table </w:t>
      </w:r>
      <w:proofErr w:type="spellStart"/>
      <w:r>
        <w:t>B.5</w:t>
      </w:r>
      <w:proofErr w:type="spellEnd"/>
      <w:r>
        <w:t>). The sensitivity of results to the key parameter values is considered in chapter 4.</w:t>
      </w:r>
    </w:p>
    <w:p w14:paraId="00BB36D0" w14:textId="2C6AE559"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6D2" w14:textId="77777777" w:rsidTr="00453A36">
        <w:tc>
          <w:tcPr>
            <w:tcW w:w="8771" w:type="dxa"/>
            <w:tcBorders>
              <w:top w:val="single" w:sz="6" w:space="0" w:color="78A22F"/>
              <w:left w:val="nil"/>
              <w:bottom w:val="nil"/>
              <w:right w:val="nil"/>
            </w:tcBorders>
            <w:shd w:val="clear" w:color="auto" w:fill="auto"/>
          </w:tcPr>
          <w:p w14:paraId="00BB36D1" w14:textId="4DF7727D" w:rsidR="0034060E" w:rsidRPr="00784A05" w:rsidRDefault="0034060E" w:rsidP="00453A36">
            <w:pPr>
              <w:pStyle w:val="TableTitle"/>
            </w:pPr>
            <w:r>
              <w:rPr>
                <w:b w:val="0"/>
              </w:rPr>
              <w:t xml:space="preserve">Table </w:t>
            </w:r>
            <w:proofErr w:type="spellStart"/>
            <w:r>
              <w:rPr>
                <w:b w:val="0"/>
              </w:rPr>
              <w:t>B.</w:t>
            </w:r>
            <w:r>
              <w:rPr>
                <w:b w:val="0"/>
                <w:noProof/>
              </w:rPr>
              <w:t>5</w:t>
            </w:r>
            <w:proofErr w:type="spellEnd"/>
            <w:r>
              <w:tab/>
              <w:t xml:space="preserve">Key default parameter values in the </w:t>
            </w:r>
            <w:proofErr w:type="spellStart"/>
            <w:r>
              <w:t>VUMR</w:t>
            </w:r>
            <w:r>
              <w:noBreakHyphen/>
              <w:t>WR</w:t>
            </w:r>
            <w:proofErr w:type="spellEnd"/>
            <w:r>
              <w:t xml:space="preserve"> model</w:t>
            </w:r>
          </w:p>
        </w:tc>
      </w:tr>
      <w:tr w:rsidR="0034060E" w14:paraId="00BB36F8"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409"/>
              <w:gridCol w:w="1949"/>
              <w:gridCol w:w="2129"/>
            </w:tblGrid>
            <w:tr w:rsidR="0034060E" w14:paraId="00BB36D6" w14:textId="77777777" w:rsidTr="00453A36">
              <w:tc>
                <w:tcPr>
                  <w:tcW w:w="2598" w:type="pct"/>
                  <w:tcBorders>
                    <w:top w:val="single" w:sz="6" w:space="0" w:color="BFBFBF"/>
                    <w:bottom w:val="single" w:sz="6" w:space="0" w:color="BFBFBF"/>
                  </w:tcBorders>
                  <w:shd w:val="clear" w:color="auto" w:fill="auto"/>
                  <w:tcMar>
                    <w:top w:w="28" w:type="dxa"/>
                  </w:tcMar>
                </w:tcPr>
                <w:p w14:paraId="00BB36D3" w14:textId="77777777" w:rsidR="0034060E" w:rsidRDefault="0034060E" w:rsidP="00453A36">
                  <w:pPr>
                    <w:pStyle w:val="TableColumnHeading"/>
                    <w:jc w:val="left"/>
                  </w:pPr>
                  <w:r>
                    <w:t>Elasticity</w:t>
                  </w:r>
                </w:p>
              </w:tc>
              <w:tc>
                <w:tcPr>
                  <w:tcW w:w="1148" w:type="pct"/>
                  <w:tcBorders>
                    <w:top w:val="single" w:sz="6" w:space="0" w:color="BFBFBF"/>
                    <w:bottom w:val="single" w:sz="6" w:space="0" w:color="BFBFBF"/>
                  </w:tcBorders>
                </w:tcPr>
                <w:p w14:paraId="00BB36D4" w14:textId="77777777" w:rsidR="0034060E" w:rsidRDefault="0034060E" w:rsidP="00356237">
                  <w:pPr>
                    <w:pStyle w:val="TableColumnHeading"/>
                  </w:pPr>
                  <w:proofErr w:type="spellStart"/>
                  <w:r>
                    <w:t>VUMR</w:t>
                  </w:r>
                  <w:r>
                    <w:noBreakHyphen/>
                    <w:t>WR</w:t>
                  </w:r>
                  <w:proofErr w:type="spellEnd"/>
                  <w:r>
                    <w:t xml:space="preserve"> model parameter</w:t>
                  </w:r>
                </w:p>
              </w:tc>
              <w:tc>
                <w:tcPr>
                  <w:tcW w:w="1254" w:type="pct"/>
                  <w:tcBorders>
                    <w:top w:val="single" w:sz="6" w:space="0" w:color="BFBFBF"/>
                    <w:bottom w:val="single" w:sz="6" w:space="0" w:color="BFBFBF"/>
                  </w:tcBorders>
                  <w:shd w:val="clear" w:color="auto" w:fill="auto"/>
                  <w:tcMar>
                    <w:top w:w="28" w:type="dxa"/>
                  </w:tcMar>
                </w:tcPr>
                <w:p w14:paraId="00BB36D5" w14:textId="77777777" w:rsidR="0034060E" w:rsidRDefault="0034060E" w:rsidP="00453A36">
                  <w:pPr>
                    <w:pStyle w:val="TableColumnHeading"/>
                  </w:pPr>
                  <w:r>
                    <w:t>Default value</w:t>
                  </w:r>
                </w:p>
              </w:tc>
            </w:tr>
            <w:tr w:rsidR="0034060E" w14:paraId="00BB36DA" w14:textId="77777777" w:rsidTr="00453A36">
              <w:tc>
                <w:tcPr>
                  <w:tcW w:w="2598" w:type="pct"/>
                  <w:tcBorders>
                    <w:top w:val="single" w:sz="6" w:space="0" w:color="BFBFBF"/>
                  </w:tcBorders>
                </w:tcPr>
                <w:p w14:paraId="00BB36D7" w14:textId="77777777" w:rsidR="0034060E" w:rsidRPr="00606B9F" w:rsidRDefault="0034060E" w:rsidP="00D46F34">
                  <w:pPr>
                    <w:pStyle w:val="TableBodyText"/>
                    <w:spacing w:before="80"/>
                    <w:jc w:val="left"/>
                    <w:rPr>
                      <w:b/>
                    </w:rPr>
                  </w:pPr>
                  <w:r w:rsidRPr="00606B9F">
                    <w:rPr>
                      <w:b/>
                    </w:rPr>
                    <w:t>Demand</w:t>
                  </w:r>
                  <w:r>
                    <w:rPr>
                      <w:b/>
                    </w:rPr>
                    <w:noBreakHyphen/>
                  </w:r>
                  <w:r w:rsidRPr="00606B9F">
                    <w:rPr>
                      <w:b/>
                    </w:rPr>
                    <w:t>side</w:t>
                  </w:r>
                </w:p>
              </w:tc>
              <w:tc>
                <w:tcPr>
                  <w:tcW w:w="1148" w:type="pct"/>
                  <w:tcBorders>
                    <w:top w:val="single" w:sz="6" w:space="0" w:color="BFBFBF"/>
                  </w:tcBorders>
                </w:tcPr>
                <w:p w14:paraId="00BB36D8" w14:textId="77777777" w:rsidR="0034060E" w:rsidRPr="00606B9F" w:rsidRDefault="0034060E" w:rsidP="00D46F34">
                  <w:pPr>
                    <w:pStyle w:val="TableBodyText"/>
                    <w:spacing w:before="80"/>
                    <w:rPr>
                      <w:b/>
                    </w:rPr>
                  </w:pPr>
                </w:p>
              </w:tc>
              <w:tc>
                <w:tcPr>
                  <w:tcW w:w="1254" w:type="pct"/>
                  <w:tcBorders>
                    <w:top w:val="single" w:sz="6" w:space="0" w:color="BFBFBF"/>
                  </w:tcBorders>
                </w:tcPr>
                <w:p w14:paraId="00BB36D9" w14:textId="77777777" w:rsidR="0034060E" w:rsidRPr="00606B9F" w:rsidRDefault="0034060E" w:rsidP="00D46F34">
                  <w:pPr>
                    <w:pStyle w:val="TableBodyText"/>
                    <w:spacing w:before="80"/>
                    <w:rPr>
                      <w:b/>
                    </w:rPr>
                  </w:pPr>
                </w:p>
              </w:tc>
            </w:tr>
            <w:tr w:rsidR="0034060E" w14:paraId="00BB36DE" w14:textId="77777777" w:rsidTr="00453A36">
              <w:tc>
                <w:tcPr>
                  <w:tcW w:w="2598" w:type="pct"/>
                </w:tcPr>
                <w:p w14:paraId="00BB36DB" w14:textId="77777777" w:rsidR="0034060E" w:rsidRDefault="0034060E" w:rsidP="00453A36">
                  <w:pPr>
                    <w:pStyle w:val="TableBodyText"/>
                    <w:jc w:val="left"/>
                  </w:pPr>
                  <w:r>
                    <w:t>Primary factor substitution elasticity</w:t>
                  </w:r>
                  <w:r w:rsidRPr="00A57C69">
                    <w:rPr>
                      <w:rStyle w:val="NoteLabel"/>
                    </w:rPr>
                    <w:t>a</w:t>
                  </w:r>
                </w:p>
              </w:tc>
              <w:tc>
                <w:tcPr>
                  <w:tcW w:w="1148" w:type="pct"/>
                  <w:vAlign w:val="bottom"/>
                </w:tcPr>
                <w:p w14:paraId="00BB36DC" w14:textId="77777777" w:rsidR="0034060E" w:rsidRDefault="0034060E" w:rsidP="00356237">
                  <w:pPr>
                    <w:pStyle w:val="TableBodyText"/>
                  </w:pPr>
                  <w:proofErr w:type="spellStart"/>
                  <w:r>
                    <w:t>SIGMA1FAC</w:t>
                  </w:r>
                  <w:proofErr w:type="spellEnd"/>
                </w:p>
              </w:tc>
              <w:tc>
                <w:tcPr>
                  <w:tcW w:w="1254" w:type="pct"/>
                  <w:vAlign w:val="bottom"/>
                </w:tcPr>
                <w:p w14:paraId="00BB36DD" w14:textId="77777777" w:rsidR="0034060E" w:rsidRDefault="0034060E" w:rsidP="00356237">
                  <w:pPr>
                    <w:pStyle w:val="TableBodyText"/>
                  </w:pPr>
                  <w:r>
                    <w:t>+0.5</w:t>
                  </w:r>
                </w:p>
              </w:tc>
            </w:tr>
            <w:tr w:rsidR="0034060E" w14:paraId="00BB36E2" w14:textId="77777777" w:rsidTr="00453A36">
              <w:tc>
                <w:tcPr>
                  <w:tcW w:w="2598" w:type="pct"/>
                </w:tcPr>
                <w:p w14:paraId="00BB36DF" w14:textId="77777777" w:rsidR="0034060E" w:rsidRDefault="0034060E" w:rsidP="00453A36">
                  <w:pPr>
                    <w:pStyle w:val="TableBodyText"/>
                    <w:jc w:val="left"/>
                  </w:pPr>
                  <w:r>
                    <w:t>Occupational substitution elasticity</w:t>
                  </w:r>
                  <w:r w:rsidRPr="00A57C69">
                    <w:rPr>
                      <w:rStyle w:val="NoteLabel"/>
                    </w:rPr>
                    <w:t>a</w:t>
                  </w:r>
                </w:p>
              </w:tc>
              <w:tc>
                <w:tcPr>
                  <w:tcW w:w="1148" w:type="pct"/>
                  <w:vAlign w:val="bottom"/>
                </w:tcPr>
                <w:p w14:paraId="00BB36E0" w14:textId="77777777" w:rsidR="0034060E" w:rsidRDefault="0034060E" w:rsidP="00356237">
                  <w:pPr>
                    <w:pStyle w:val="TableBodyText"/>
                  </w:pPr>
                  <w:proofErr w:type="spellStart"/>
                  <w:r>
                    <w:t>SIGMA1LAB</w:t>
                  </w:r>
                  <w:proofErr w:type="spellEnd"/>
                </w:p>
              </w:tc>
              <w:tc>
                <w:tcPr>
                  <w:tcW w:w="1254" w:type="pct"/>
                  <w:vAlign w:val="bottom"/>
                </w:tcPr>
                <w:p w14:paraId="00BB36E1" w14:textId="77777777" w:rsidR="0034060E" w:rsidRDefault="0034060E" w:rsidP="00356237">
                  <w:pPr>
                    <w:pStyle w:val="TableBodyText"/>
                  </w:pPr>
                  <w:r>
                    <w:t>+0.35</w:t>
                  </w:r>
                </w:p>
              </w:tc>
            </w:tr>
            <w:tr w:rsidR="0034060E" w14:paraId="00BB36E6" w14:textId="77777777" w:rsidTr="00453A36">
              <w:tc>
                <w:tcPr>
                  <w:tcW w:w="2598" w:type="pct"/>
                </w:tcPr>
                <w:p w14:paraId="00BB36E3" w14:textId="77777777" w:rsidR="0034060E" w:rsidRDefault="0034060E" w:rsidP="00453A36">
                  <w:pPr>
                    <w:pStyle w:val="TableBodyText"/>
                    <w:jc w:val="left"/>
                  </w:pPr>
                  <w:r>
                    <w:t>Award wage substitution elasticity</w:t>
                  </w:r>
                  <w:r w:rsidRPr="00B210A9">
                    <w:rPr>
                      <w:rStyle w:val="NoteLabel"/>
                    </w:rPr>
                    <w:t>a</w:t>
                  </w:r>
                </w:p>
              </w:tc>
              <w:tc>
                <w:tcPr>
                  <w:tcW w:w="1148" w:type="pct"/>
                  <w:vAlign w:val="bottom"/>
                </w:tcPr>
                <w:p w14:paraId="00BB36E4" w14:textId="77777777" w:rsidR="0034060E" w:rsidRDefault="0034060E" w:rsidP="00356237">
                  <w:pPr>
                    <w:pStyle w:val="TableBodyText"/>
                  </w:pPr>
                  <w:proofErr w:type="spellStart"/>
                  <w:r w:rsidRPr="00AB5F59">
                    <w:t>SIGMA1LABC</w:t>
                  </w:r>
                  <w:proofErr w:type="spellEnd"/>
                </w:p>
              </w:tc>
              <w:tc>
                <w:tcPr>
                  <w:tcW w:w="1254" w:type="pct"/>
                  <w:vAlign w:val="bottom"/>
                </w:tcPr>
                <w:p w14:paraId="00BB36E5" w14:textId="77777777" w:rsidR="0034060E" w:rsidRDefault="0034060E" w:rsidP="00356237">
                  <w:pPr>
                    <w:pStyle w:val="TableBodyText"/>
                  </w:pPr>
                  <w:r>
                    <w:t>+2</w:t>
                  </w:r>
                </w:p>
              </w:tc>
            </w:tr>
            <w:tr w:rsidR="0034060E" w14:paraId="00BB36EA" w14:textId="77777777" w:rsidTr="00453A36">
              <w:tc>
                <w:tcPr>
                  <w:tcW w:w="2598" w:type="pct"/>
                  <w:shd w:val="clear" w:color="auto" w:fill="auto"/>
                </w:tcPr>
                <w:p w14:paraId="00BB36E7" w14:textId="77777777" w:rsidR="0034060E" w:rsidRPr="00606B9F" w:rsidRDefault="0034060E" w:rsidP="00453A36">
                  <w:pPr>
                    <w:pStyle w:val="TableBodyText"/>
                    <w:spacing w:before="120"/>
                    <w:jc w:val="left"/>
                    <w:rPr>
                      <w:b/>
                    </w:rPr>
                  </w:pPr>
                  <w:r>
                    <w:rPr>
                      <w:b/>
                    </w:rPr>
                    <w:t>Supply</w:t>
                  </w:r>
                  <w:r>
                    <w:rPr>
                      <w:b/>
                    </w:rPr>
                    <w:noBreakHyphen/>
                  </w:r>
                  <w:r w:rsidRPr="00606B9F">
                    <w:rPr>
                      <w:b/>
                    </w:rPr>
                    <w:t>side</w:t>
                  </w:r>
                </w:p>
              </w:tc>
              <w:tc>
                <w:tcPr>
                  <w:tcW w:w="1148" w:type="pct"/>
                  <w:vAlign w:val="bottom"/>
                </w:tcPr>
                <w:p w14:paraId="00BB36E8" w14:textId="77777777" w:rsidR="0034060E" w:rsidRPr="00606B9F" w:rsidRDefault="0034060E" w:rsidP="00356237">
                  <w:pPr>
                    <w:pStyle w:val="TableBodyText"/>
                    <w:spacing w:before="120"/>
                    <w:rPr>
                      <w:b/>
                    </w:rPr>
                  </w:pPr>
                </w:p>
              </w:tc>
              <w:tc>
                <w:tcPr>
                  <w:tcW w:w="1254" w:type="pct"/>
                  <w:shd w:val="clear" w:color="auto" w:fill="auto"/>
                </w:tcPr>
                <w:p w14:paraId="00BB36E9" w14:textId="77777777" w:rsidR="0034060E" w:rsidRPr="00606B9F" w:rsidRDefault="0034060E" w:rsidP="00356237">
                  <w:pPr>
                    <w:pStyle w:val="TableBodyText"/>
                    <w:spacing w:before="120"/>
                    <w:rPr>
                      <w:b/>
                    </w:rPr>
                  </w:pPr>
                </w:p>
              </w:tc>
            </w:tr>
            <w:tr w:rsidR="0034060E" w14:paraId="00BB36EE" w14:textId="77777777" w:rsidTr="00453A36">
              <w:tc>
                <w:tcPr>
                  <w:tcW w:w="2598" w:type="pct"/>
                  <w:shd w:val="clear" w:color="auto" w:fill="auto"/>
                </w:tcPr>
                <w:p w14:paraId="00BB36EB" w14:textId="77777777" w:rsidR="0034060E" w:rsidRDefault="0034060E" w:rsidP="00453A36">
                  <w:pPr>
                    <w:pStyle w:val="TableBodyText"/>
                    <w:jc w:val="left"/>
                  </w:pPr>
                  <w:r>
                    <w:t>Occupational transformation elasticity</w:t>
                  </w:r>
                </w:p>
              </w:tc>
              <w:tc>
                <w:tcPr>
                  <w:tcW w:w="1148" w:type="pct"/>
                  <w:vAlign w:val="bottom"/>
                </w:tcPr>
                <w:p w14:paraId="00BB36EC" w14:textId="77777777" w:rsidR="0034060E" w:rsidRDefault="0034060E" w:rsidP="00356237">
                  <w:pPr>
                    <w:pStyle w:val="TableBodyText"/>
                  </w:pPr>
                  <w:proofErr w:type="spellStart"/>
                  <w:r>
                    <w:t>SIGMALABO</w:t>
                  </w:r>
                  <w:proofErr w:type="spellEnd"/>
                </w:p>
              </w:tc>
              <w:tc>
                <w:tcPr>
                  <w:tcW w:w="1254" w:type="pct"/>
                  <w:shd w:val="clear" w:color="auto" w:fill="auto"/>
                </w:tcPr>
                <w:p w14:paraId="00BB36ED" w14:textId="77777777" w:rsidR="0034060E" w:rsidRDefault="0034060E" w:rsidP="00356237">
                  <w:pPr>
                    <w:pStyle w:val="TableBodyText"/>
                  </w:pPr>
                  <w:r>
                    <w:t>+0.1</w:t>
                  </w:r>
                </w:p>
              </w:tc>
            </w:tr>
            <w:tr w:rsidR="0034060E" w14:paraId="00BB36F2" w14:textId="77777777" w:rsidTr="00453A36">
              <w:tc>
                <w:tcPr>
                  <w:tcW w:w="2598" w:type="pct"/>
                  <w:shd w:val="clear" w:color="auto" w:fill="auto"/>
                </w:tcPr>
                <w:p w14:paraId="00BB36EF" w14:textId="77777777" w:rsidR="0034060E" w:rsidRDefault="0034060E" w:rsidP="00453A36">
                  <w:pPr>
                    <w:pStyle w:val="TableBodyText"/>
                    <w:jc w:val="left"/>
                  </w:pPr>
                  <w:bookmarkStart w:id="15" w:name="OLE_LINK2"/>
                  <w:r>
                    <w:t>Award wage transformation elasticity</w:t>
                  </w:r>
                </w:p>
              </w:tc>
              <w:tc>
                <w:tcPr>
                  <w:tcW w:w="1148" w:type="pct"/>
                  <w:vAlign w:val="bottom"/>
                </w:tcPr>
                <w:p w14:paraId="00BB36F0" w14:textId="77777777" w:rsidR="0034060E" w:rsidRDefault="0034060E" w:rsidP="00356237">
                  <w:pPr>
                    <w:pStyle w:val="TableBodyText"/>
                  </w:pPr>
                  <w:proofErr w:type="spellStart"/>
                  <w:r w:rsidRPr="00AB5F59">
                    <w:t>SIGMALABSC</w:t>
                  </w:r>
                  <w:proofErr w:type="spellEnd"/>
                </w:p>
              </w:tc>
              <w:tc>
                <w:tcPr>
                  <w:tcW w:w="1254" w:type="pct"/>
                  <w:shd w:val="clear" w:color="auto" w:fill="auto"/>
                </w:tcPr>
                <w:p w14:paraId="00BB36F1" w14:textId="77777777" w:rsidR="0034060E" w:rsidRDefault="0034060E" w:rsidP="00356237">
                  <w:pPr>
                    <w:pStyle w:val="TableBodyText"/>
                  </w:pPr>
                  <w:r>
                    <w:t>+0.2</w:t>
                  </w:r>
                </w:p>
              </w:tc>
            </w:tr>
            <w:tr w:rsidR="0034060E" w14:paraId="00BB36F6" w14:textId="77777777" w:rsidTr="00453A36">
              <w:tc>
                <w:tcPr>
                  <w:tcW w:w="2598" w:type="pct"/>
                  <w:tcBorders>
                    <w:bottom w:val="single" w:sz="6" w:space="0" w:color="BFBFBF"/>
                  </w:tcBorders>
                  <w:shd w:val="clear" w:color="auto" w:fill="auto"/>
                </w:tcPr>
                <w:p w14:paraId="00BB36F3" w14:textId="77777777" w:rsidR="0034060E" w:rsidRDefault="0034060E" w:rsidP="00453A36">
                  <w:pPr>
                    <w:pStyle w:val="TableBodyText"/>
                    <w:jc w:val="left"/>
                  </w:pPr>
                  <w:r>
                    <w:t>Regional transformation elasticity</w:t>
                  </w:r>
                </w:p>
              </w:tc>
              <w:tc>
                <w:tcPr>
                  <w:tcW w:w="1148" w:type="pct"/>
                  <w:tcBorders>
                    <w:bottom w:val="single" w:sz="6" w:space="0" w:color="BFBFBF"/>
                  </w:tcBorders>
                  <w:vAlign w:val="bottom"/>
                </w:tcPr>
                <w:p w14:paraId="00BB36F4" w14:textId="77777777" w:rsidR="0034060E" w:rsidRDefault="0034060E" w:rsidP="00356237">
                  <w:pPr>
                    <w:pStyle w:val="TableBodyText"/>
                  </w:pPr>
                  <w:proofErr w:type="spellStart"/>
                  <w:r w:rsidRPr="00534802">
                    <w:t>SIGMALABS</w:t>
                  </w:r>
                  <w:proofErr w:type="spellEnd"/>
                </w:p>
              </w:tc>
              <w:tc>
                <w:tcPr>
                  <w:tcW w:w="1254" w:type="pct"/>
                  <w:tcBorders>
                    <w:bottom w:val="single" w:sz="6" w:space="0" w:color="BFBFBF"/>
                  </w:tcBorders>
                  <w:shd w:val="clear" w:color="auto" w:fill="auto"/>
                </w:tcPr>
                <w:p w14:paraId="00BB36F5" w14:textId="77777777" w:rsidR="0034060E" w:rsidRDefault="0034060E" w:rsidP="00356237">
                  <w:pPr>
                    <w:pStyle w:val="TableBodyText"/>
                  </w:pPr>
                  <w:r>
                    <w:t>+1</w:t>
                  </w:r>
                </w:p>
              </w:tc>
            </w:tr>
            <w:bookmarkEnd w:id="15"/>
          </w:tbl>
          <w:p w14:paraId="00BB36F7" w14:textId="77777777" w:rsidR="0034060E" w:rsidRDefault="0034060E" w:rsidP="00453A36">
            <w:pPr>
              <w:pStyle w:val="Box"/>
            </w:pPr>
          </w:p>
        </w:tc>
      </w:tr>
      <w:tr w:rsidR="0034060E" w14:paraId="00BB36FA" w14:textId="77777777" w:rsidTr="00453A36">
        <w:trPr>
          <w:cantSplit/>
        </w:trPr>
        <w:tc>
          <w:tcPr>
            <w:tcW w:w="8771" w:type="dxa"/>
            <w:tcBorders>
              <w:top w:val="nil"/>
              <w:left w:val="nil"/>
              <w:bottom w:val="nil"/>
              <w:right w:val="nil"/>
            </w:tcBorders>
            <w:shd w:val="clear" w:color="auto" w:fill="auto"/>
          </w:tcPr>
          <w:p w14:paraId="00BB36F9" w14:textId="77777777" w:rsidR="0034060E" w:rsidRDefault="0034060E" w:rsidP="00453A36">
            <w:pPr>
              <w:pStyle w:val="Note"/>
              <w:rPr>
                <w:i/>
              </w:rPr>
            </w:pPr>
            <w:proofErr w:type="spellStart"/>
            <w:r w:rsidRPr="008E77FE">
              <w:rPr>
                <w:rStyle w:val="NoteLabel"/>
              </w:rPr>
              <w:t>a</w:t>
            </w:r>
            <w:proofErr w:type="spellEnd"/>
            <w:r>
              <w:t xml:space="preserve"> The </w:t>
            </w:r>
            <w:proofErr w:type="spellStart"/>
            <w:r>
              <w:t>VUMR</w:t>
            </w:r>
            <w:r>
              <w:noBreakHyphen/>
              <w:t>WR</w:t>
            </w:r>
            <w:proofErr w:type="spellEnd"/>
            <w:r>
              <w:t xml:space="preserve"> model equation in which this elasticity appears changes the sign of this elasticity. As a result, an increase in the cost of labour in a given occupation or wage category, for example, will lead to a fall in the demand for labour in that occupation or wage category (all other things being equal).</w:t>
            </w:r>
          </w:p>
        </w:tc>
      </w:tr>
      <w:tr w:rsidR="0034060E" w14:paraId="00BB36FC" w14:textId="77777777" w:rsidTr="00453A36">
        <w:trPr>
          <w:cantSplit/>
        </w:trPr>
        <w:tc>
          <w:tcPr>
            <w:tcW w:w="8771" w:type="dxa"/>
            <w:tcBorders>
              <w:top w:val="nil"/>
              <w:left w:val="nil"/>
              <w:bottom w:val="single" w:sz="6" w:space="0" w:color="78A22F"/>
              <w:right w:val="nil"/>
            </w:tcBorders>
            <w:shd w:val="clear" w:color="auto" w:fill="auto"/>
          </w:tcPr>
          <w:p w14:paraId="00BB36FB" w14:textId="77777777" w:rsidR="0034060E" w:rsidRDefault="0034060E" w:rsidP="00453A36">
            <w:pPr>
              <w:pStyle w:val="Box"/>
              <w:spacing w:before="0" w:line="120" w:lineRule="exact"/>
            </w:pPr>
          </w:p>
        </w:tc>
      </w:tr>
      <w:tr w:rsidR="0034060E" w:rsidRPr="000863A5" w14:paraId="00BB36FE" w14:textId="77777777" w:rsidTr="00453A36">
        <w:tc>
          <w:tcPr>
            <w:tcW w:w="8771" w:type="dxa"/>
            <w:tcBorders>
              <w:top w:val="single" w:sz="6" w:space="0" w:color="78A22F"/>
              <w:left w:val="nil"/>
              <w:bottom w:val="nil"/>
              <w:right w:val="nil"/>
            </w:tcBorders>
          </w:tcPr>
          <w:p w14:paraId="00BB36FD" w14:textId="1BED5FD3" w:rsidR="0034060E" w:rsidRPr="00626D32" w:rsidRDefault="0034060E" w:rsidP="00453A36">
            <w:pPr>
              <w:pStyle w:val="BoxSpaceBelow"/>
            </w:pPr>
          </w:p>
        </w:tc>
      </w:tr>
    </w:tbl>
    <w:p w14:paraId="00BB36FF" w14:textId="31A90FAB" w:rsidR="0034060E" w:rsidRDefault="0034060E" w:rsidP="00453A36">
      <w:pPr>
        <w:pStyle w:val="Heading2"/>
        <w:spacing w:before="360"/>
      </w:pPr>
      <w:proofErr w:type="spellStart"/>
      <w:r>
        <w:lastRenderedPageBreak/>
        <w:t>B.</w:t>
      </w:r>
      <w:r>
        <w:rPr>
          <w:noProof/>
        </w:rPr>
        <w:t>5</w:t>
      </w:r>
      <w:proofErr w:type="spellEnd"/>
      <w:r>
        <w:tab/>
        <w:t>Uprating the database from 2009</w:t>
      </w:r>
      <w:r>
        <w:noBreakHyphen/>
        <w:t>10 to 2013</w:t>
      </w:r>
      <w:r>
        <w:noBreakHyphen/>
        <w:t>14</w:t>
      </w:r>
    </w:p>
    <w:p w14:paraId="00BB3700" w14:textId="77777777" w:rsidR="0034060E" w:rsidRDefault="0034060E" w:rsidP="00453A36">
      <w:pPr>
        <w:pStyle w:val="BodyText"/>
      </w:pPr>
      <w:r>
        <w:t>The disaggregated 2009</w:t>
      </w:r>
      <w:r>
        <w:noBreakHyphen/>
        <w:t xml:space="preserve">10 </w:t>
      </w:r>
      <w:proofErr w:type="spellStart"/>
      <w:r>
        <w:t>VUMR</w:t>
      </w:r>
      <w:r>
        <w:noBreakHyphen/>
        <w:t>WR</w:t>
      </w:r>
      <w:proofErr w:type="spellEnd"/>
      <w:r>
        <w:t xml:space="preserve"> database was uprated to 2013</w:t>
      </w:r>
      <w:r>
        <w:noBreakHyphen/>
        <w:t>14 to reflect the labour market developments that have occurred since 2009</w:t>
      </w:r>
      <w:r>
        <w:noBreakHyphen/>
        <w:t>10 (box </w:t>
      </w:r>
      <w:proofErr w:type="spellStart"/>
      <w:r>
        <w:t>B.1</w:t>
      </w:r>
      <w:proofErr w:type="spellEnd"/>
      <w:r>
        <w:t>). The labour market trends used to uprate the 2009</w:t>
      </w:r>
      <w:r>
        <w:noBreakHyphen/>
        <w:t>10 database are set out in table </w:t>
      </w:r>
      <w:proofErr w:type="spellStart"/>
      <w:r>
        <w:t>B.6</w:t>
      </w:r>
      <w:proofErr w:type="spellEnd"/>
      <w:r>
        <w:t xml:space="preserve">. </w:t>
      </w:r>
    </w:p>
    <w:p w14:paraId="00BB3701" w14:textId="7C81E8FB" w:rsidR="0034060E" w:rsidRDefault="0034060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3703" w14:textId="77777777" w:rsidTr="00453A36">
        <w:tc>
          <w:tcPr>
            <w:tcW w:w="8771" w:type="dxa"/>
            <w:tcBorders>
              <w:top w:val="single" w:sz="6" w:space="0" w:color="78A22F"/>
              <w:left w:val="nil"/>
              <w:bottom w:val="nil"/>
              <w:right w:val="nil"/>
            </w:tcBorders>
            <w:shd w:val="clear" w:color="auto" w:fill="F2F2F2"/>
          </w:tcPr>
          <w:p w14:paraId="00BB3702" w14:textId="109BCA68" w:rsidR="0034060E" w:rsidRDefault="0034060E">
            <w:pPr>
              <w:pStyle w:val="BoxTitle"/>
            </w:pPr>
            <w:r>
              <w:rPr>
                <w:b w:val="0"/>
              </w:rPr>
              <w:t xml:space="preserve">Box </w:t>
            </w:r>
            <w:proofErr w:type="spellStart"/>
            <w:r>
              <w:rPr>
                <w:b w:val="0"/>
              </w:rPr>
              <w:t>B.</w:t>
            </w:r>
            <w:r>
              <w:rPr>
                <w:b w:val="0"/>
                <w:noProof/>
              </w:rPr>
              <w:t>1</w:t>
            </w:r>
            <w:proofErr w:type="spellEnd"/>
            <w:r>
              <w:tab/>
              <w:t>Recent trends in the Australian labour market</w:t>
            </w:r>
          </w:p>
        </w:tc>
      </w:tr>
      <w:tr w:rsidR="0034060E" w14:paraId="00BB370B" w14:textId="77777777" w:rsidTr="00453A36">
        <w:trPr>
          <w:cantSplit/>
        </w:trPr>
        <w:tc>
          <w:tcPr>
            <w:tcW w:w="8771" w:type="dxa"/>
            <w:tcBorders>
              <w:top w:val="nil"/>
              <w:left w:val="nil"/>
              <w:bottom w:val="nil"/>
              <w:right w:val="nil"/>
            </w:tcBorders>
            <w:shd w:val="clear" w:color="auto" w:fill="F2F2F2"/>
          </w:tcPr>
          <w:p w14:paraId="00BB3704" w14:textId="77777777" w:rsidR="0034060E" w:rsidRDefault="0034060E" w:rsidP="00453A36">
            <w:pPr>
              <w:pStyle w:val="Box"/>
            </w:pPr>
            <w:r>
              <w:t>There have been several changes in t</w:t>
            </w:r>
            <w:r w:rsidRPr="00881AEE">
              <w:t xml:space="preserve">he Australian </w:t>
            </w:r>
            <w:r>
              <w:t>labour market since 2009</w:t>
            </w:r>
            <w:r>
              <w:noBreakHyphen/>
              <w:t>10, reflecting demographic trends and the recent unwinding of the mining boom.</w:t>
            </w:r>
          </w:p>
          <w:p w14:paraId="00BB3705" w14:textId="77777777" w:rsidR="0034060E" w:rsidRDefault="0034060E" w:rsidP="00453A36">
            <w:pPr>
              <w:pStyle w:val="Box"/>
            </w:pPr>
            <w:r>
              <w:t xml:space="preserve">Australia’s population has grown from 21.7 million in June 2009 to 23.1 million in June 2013. </w:t>
            </w:r>
          </w:p>
          <w:p w14:paraId="00BB3706" w14:textId="77777777" w:rsidR="0034060E" w:rsidRDefault="0034060E" w:rsidP="00453A36">
            <w:pPr>
              <w:pStyle w:val="Box"/>
            </w:pPr>
            <w:r>
              <w:t>Population ageing continued. In June 2009, 79.5 per cent of Australians were over the age of 15 years. By June 2013, the proportion over the age of 15 years had increased to 79.8 per cent.</w:t>
            </w:r>
          </w:p>
          <w:p w14:paraId="00BB3707" w14:textId="77777777" w:rsidR="0034060E" w:rsidRDefault="0034060E" w:rsidP="00453A36">
            <w:pPr>
              <w:pStyle w:val="Box"/>
            </w:pPr>
            <w:r>
              <w:t>While they vary considerably between different age groups, female participation rates have historically been rising over time and male participation rates have been falling. Since 2009, female participation rates have stabilised at around 58.6 per cent, in part the result of the slowing of the Australian economy. Male participation rates have continued to fall since 2009, contributing to a reduction in total participation rates from 66.2 per cent in June, 2009 to 65.7 per cent in June, 2013.</w:t>
            </w:r>
          </w:p>
          <w:p w14:paraId="00BB3708" w14:textId="77777777" w:rsidR="0034060E" w:rsidRDefault="0034060E" w:rsidP="00453A36">
            <w:pPr>
              <w:pStyle w:val="Box"/>
            </w:pPr>
            <w:r>
              <w:t>In part reflecting the slowing of the Australian economy associated with the unwinding of the mining boom, average hours worked have fallen moderately. Average hours were 33 hours per week in 2009</w:t>
            </w:r>
            <w:r>
              <w:noBreakHyphen/>
              <w:t>10 and 32 hours per week in 2013</w:t>
            </w:r>
            <w:r>
              <w:noBreakHyphen/>
              <w:t xml:space="preserve">14. </w:t>
            </w:r>
          </w:p>
          <w:p w14:paraId="00BB3709" w14:textId="77777777" w:rsidR="0034060E" w:rsidRDefault="0034060E" w:rsidP="00453A36">
            <w:pPr>
              <w:pStyle w:val="Box"/>
            </w:pPr>
            <w:r>
              <w:t xml:space="preserve">While the national unemployment rate has varied over time, it was 5.7 per cent both in June, 2009 and in June, 2013. </w:t>
            </w:r>
          </w:p>
          <w:p w14:paraId="00BB370A" w14:textId="77777777" w:rsidR="0034060E" w:rsidRDefault="0034060E" w:rsidP="00453A36">
            <w:pPr>
              <w:pStyle w:val="Box"/>
            </w:pPr>
            <w:r>
              <w:t>Labour productivity growth varied between the sectors of the economy over the period 2009</w:t>
            </w:r>
            <w:r>
              <w:noBreakHyphen/>
              <w:t>10 to 2013</w:t>
            </w:r>
            <w:r>
              <w:noBreakHyphen/>
              <w:t>14. In the mining sector, measured labour productivity contracted over this period because the sector was undergoing a phase of rapid capital accumulation associated with the mining boom. In contrast, labour productivity improved in the agriculture and manufacturing sectors and in the services sector as a whole.</w:t>
            </w:r>
          </w:p>
        </w:tc>
      </w:tr>
      <w:tr w:rsidR="0034060E" w14:paraId="00BB370D" w14:textId="77777777" w:rsidTr="00453A36">
        <w:trPr>
          <w:cantSplit/>
        </w:trPr>
        <w:tc>
          <w:tcPr>
            <w:tcW w:w="8771" w:type="dxa"/>
            <w:tcBorders>
              <w:top w:val="nil"/>
              <w:left w:val="nil"/>
              <w:bottom w:val="single" w:sz="6" w:space="0" w:color="78A22F"/>
              <w:right w:val="nil"/>
            </w:tcBorders>
            <w:shd w:val="clear" w:color="auto" w:fill="F2F2F2"/>
          </w:tcPr>
          <w:p w14:paraId="00BB370C" w14:textId="77777777" w:rsidR="0034060E" w:rsidRDefault="0034060E">
            <w:pPr>
              <w:pStyle w:val="Box"/>
              <w:spacing w:before="0" w:line="120" w:lineRule="exact"/>
            </w:pPr>
          </w:p>
        </w:tc>
      </w:tr>
      <w:tr w:rsidR="0034060E" w:rsidRPr="000863A5" w14:paraId="00BB370F" w14:textId="77777777" w:rsidTr="00453A36">
        <w:tc>
          <w:tcPr>
            <w:tcW w:w="8771" w:type="dxa"/>
            <w:tcBorders>
              <w:top w:val="single" w:sz="6" w:space="0" w:color="78A22F"/>
              <w:left w:val="nil"/>
              <w:bottom w:val="nil"/>
              <w:right w:val="nil"/>
            </w:tcBorders>
          </w:tcPr>
          <w:p w14:paraId="00BB370E" w14:textId="1ED3E264" w:rsidR="0034060E" w:rsidRPr="00626D32" w:rsidRDefault="0034060E" w:rsidP="00453A36">
            <w:pPr>
              <w:pStyle w:val="BoxSpaceBelow"/>
            </w:pPr>
          </w:p>
        </w:tc>
      </w:tr>
    </w:tbl>
    <w:p w14:paraId="00BB3710" w14:textId="3C91B784" w:rsidR="0034060E" w:rsidRDefault="0034060E" w:rsidP="00453A36">
      <w:pPr>
        <w:pStyle w:val="BodyText"/>
      </w:pPr>
      <w:r>
        <w:t>The database was otherwise uprated according to the gen</w:t>
      </w:r>
      <w:r w:rsidR="00356237">
        <w:t>eral methodology set out in PC </w:t>
      </w:r>
      <w:r w:rsidRPr="005B2E62">
        <w:t>(2012)</w:t>
      </w:r>
      <w:r>
        <w:rPr>
          <w:lang w:eastAsia="en-US"/>
        </w:rPr>
        <w:t>. This involved applying shocks to the terms of trade, labour productivity and the macroeconomic expenditure items of household spending, investment, government consumption and imports. The values used are set out in PC </w:t>
      </w:r>
      <w:r w:rsidRPr="004F0171">
        <w:t>(forthcoming)</w:t>
      </w:r>
      <w:r>
        <w:rPr>
          <w:lang w:eastAsia="en-US"/>
        </w:rPr>
        <w:t xml:space="preserve">. They represent updates of the values applied in </w:t>
      </w:r>
      <w:r>
        <w:t>PC </w:t>
      </w:r>
      <w:r w:rsidRPr="005B2E62">
        <w:t>(2012)</w:t>
      </w:r>
      <w:r>
        <w:t>.</w:t>
      </w:r>
    </w:p>
    <w:p w14:paraId="00BB3711" w14:textId="77777777" w:rsidR="0034060E" w:rsidRDefault="0034060E" w:rsidP="00453A36">
      <w:pPr>
        <w:pStyle w:val="BodyText"/>
      </w:pPr>
      <w:r>
        <w:t>The resulting national output and employment shares by sector broadly align with the sectoral distribution of activity reported in the Australian National Accounts (figure </w:t>
      </w:r>
      <w:proofErr w:type="spellStart"/>
      <w:r>
        <w:t>B.1</w:t>
      </w:r>
      <w:proofErr w:type="spellEnd"/>
      <w:r>
        <w:t>). Actual employment in Australia is concentrated in the services sector in 2013</w:t>
      </w:r>
      <w:r>
        <w:noBreakHyphen/>
        <w:t>14, which accounted for 87 per cent of national employment, but only 81 per cent of national production. In contrast, mining accounts for 9 per cent of the national value of production in 2013</w:t>
      </w:r>
      <w:r>
        <w:noBreakHyphen/>
        <w:t>14, but only for 2 per cent of national employment.</w:t>
      </w:r>
    </w:p>
    <w:p w14:paraId="00BB3712" w14:textId="536D12D9"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714" w14:textId="77777777" w:rsidTr="00453A36">
        <w:tc>
          <w:tcPr>
            <w:tcW w:w="8771" w:type="dxa"/>
            <w:tcBorders>
              <w:top w:val="single" w:sz="6" w:space="0" w:color="78A22F"/>
              <w:left w:val="nil"/>
              <w:bottom w:val="nil"/>
              <w:right w:val="nil"/>
            </w:tcBorders>
            <w:shd w:val="clear" w:color="auto" w:fill="auto"/>
          </w:tcPr>
          <w:p w14:paraId="00BB3713" w14:textId="48BFE1EA" w:rsidR="0034060E" w:rsidRPr="00784A05" w:rsidRDefault="0034060E" w:rsidP="00453A36">
            <w:pPr>
              <w:pStyle w:val="TableTitle"/>
            </w:pPr>
            <w:r>
              <w:rPr>
                <w:b w:val="0"/>
              </w:rPr>
              <w:t xml:space="preserve">Table </w:t>
            </w:r>
            <w:proofErr w:type="spellStart"/>
            <w:r>
              <w:rPr>
                <w:b w:val="0"/>
              </w:rPr>
              <w:t>B.</w:t>
            </w:r>
            <w:r>
              <w:rPr>
                <w:b w:val="0"/>
                <w:noProof/>
              </w:rPr>
              <w:t>6</w:t>
            </w:r>
            <w:proofErr w:type="spellEnd"/>
            <w:r>
              <w:tab/>
              <w:t>Labour market developments applied in the uprating of the database, 2009</w:t>
            </w:r>
            <w:r>
              <w:noBreakHyphen/>
              <w:t>10 to 2013</w:t>
            </w:r>
            <w:r>
              <w:noBreakHyphen/>
              <w:t>14</w:t>
            </w:r>
          </w:p>
        </w:tc>
      </w:tr>
      <w:tr w:rsidR="0034060E" w14:paraId="00BB3739" w14:textId="77777777" w:rsidTr="00453A36">
        <w:trPr>
          <w:cantSplit/>
        </w:trPr>
        <w:tc>
          <w:tcPr>
            <w:tcW w:w="8771" w:type="dxa"/>
            <w:tcBorders>
              <w:top w:val="nil"/>
              <w:left w:val="nil"/>
              <w:bottom w:val="nil"/>
              <w:right w:val="nil"/>
            </w:tcBorders>
            <w:shd w:val="clear" w:color="auto" w:fill="auto"/>
          </w:tcPr>
          <w:tbl>
            <w:tblPr>
              <w:tblW w:w="4997" w:type="pct"/>
              <w:tblCellMar>
                <w:top w:w="28" w:type="dxa"/>
                <w:left w:w="0" w:type="dxa"/>
                <w:right w:w="0" w:type="dxa"/>
              </w:tblCellMar>
              <w:tblLook w:val="0000" w:firstRow="0" w:lastRow="0" w:firstColumn="0" w:lastColumn="0" w:noHBand="0" w:noVBand="0"/>
            </w:tblPr>
            <w:tblGrid>
              <w:gridCol w:w="3948"/>
              <w:gridCol w:w="1277"/>
              <w:gridCol w:w="1701"/>
              <w:gridCol w:w="1556"/>
            </w:tblGrid>
            <w:tr w:rsidR="0034060E" w14:paraId="00BB3719" w14:textId="77777777" w:rsidTr="00453A36">
              <w:tc>
                <w:tcPr>
                  <w:tcW w:w="2327" w:type="pct"/>
                  <w:tcBorders>
                    <w:top w:val="single" w:sz="6" w:space="0" w:color="BFBFBF"/>
                    <w:bottom w:val="single" w:sz="6" w:space="0" w:color="BFBFBF"/>
                  </w:tcBorders>
                  <w:shd w:val="clear" w:color="auto" w:fill="auto"/>
                  <w:tcMar>
                    <w:top w:w="28" w:type="dxa"/>
                  </w:tcMar>
                </w:tcPr>
                <w:p w14:paraId="00BB3715" w14:textId="77777777" w:rsidR="0034060E" w:rsidRDefault="0034060E" w:rsidP="00453A36">
                  <w:pPr>
                    <w:pStyle w:val="TableColumnHeading"/>
                    <w:jc w:val="left"/>
                  </w:pPr>
                </w:p>
              </w:tc>
              <w:tc>
                <w:tcPr>
                  <w:tcW w:w="753" w:type="pct"/>
                  <w:tcBorders>
                    <w:top w:val="single" w:sz="6" w:space="0" w:color="BFBFBF"/>
                    <w:bottom w:val="single" w:sz="6" w:space="0" w:color="BFBFBF"/>
                  </w:tcBorders>
                  <w:shd w:val="clear" w:color="auto" w:fill="auto"/>
                  <w:tcMar>
                    <w:top w:w="28" w:type="dxa"/>
                  </w:tcMar>
                </w:tcPr>
                <w:p w14:paraId="00BB3716" w14:textId="77777777" w:rsidR="0034060E" w:rsidRDefault="0034060E" w:rsidP="00453A36">
                  <w:pPr>
                    <w:pStyle w:val="TableColumnHeading"/>
                    <w:ind w:right="28"/>
                    <w:jc w:val="left"/>
                  </w:pPr>
                </w:p>
              </w:tc>
              <w:tc>
                <w:tcPr>
                  <w:tcW w:w="1003" w:type="pct"/>
                  <w:tcBorders>
                    <w:top w:val="single" w:sz="6" w:space="0" w:color="BFBFBF"/>
                    <w:bottom w:val="single" w:sz="6" w:space="0" w:color="BFBFBF"/>
                  </w:tcBorders>
                </w:tcPr>
                <w:p w14:paraId="00BB3717" w14:textId="77777777" w:rsidR="0034060E" w:rsidRDefault="0034060E" w:rsidP="00453A36">
                  <w:pPr>
                    <w:pStyle w:val="TableColumnHeading"/>
                  </w:pPr>
                  <w:r>
                    <w:t>2009</w:t>
                  </w:r>
                  <w:r>
                    <w:noBreakHyphen/>
                    <w:t>10</w:t>
                  </w:r>
                </w:p>
              </w:tc>
              <w:tc>
                <w:tcPr>
                  <w:tcW w:w="918" w:type="pct"/>
                  <w:tcBorders>
                    <w:top w:val="single" w:sz="6" w:space="0" w:color="BFBFBF"/>
                    <w:bottom w:val="single" w:sz="6" w:space="0" w:color="BFBFBF"/>
                  </w:tcBorders>
                </w:tcPr>
                <w:p w14:paraId="00BB3718" w14:textId="77777777" w:rsidR="0034060E" w:rsidRDefault="0034060E" w:rsidP="00453A36">
                  <w:pPr>
                    <w:pStyle w:val="TableColumnHeading"/>
                    <w:ind w:right="28"/>
                  </w:pPr>
                  <w:r>
                    <w:t>2013</w:t>
                  </w:r>
                  <w:r>
                    <w:noBreakHyphen/>
                    <w:t>14</w:t>
                  </w:r>
                </w:p>
              </w:tc>
            </w:tr>
            <w:tr w:rsidR="0034060E" w14:paraId="00BB371E" w14:textId="77777777" w:rsidTr="00453A36">
              <w:tc>
                <w:tcPr>
                  <w:tcW w:w="2327" w:type="pct"/>
                  <w:tcBorders>
                    <w:top w:val="single" w:sz="6" w:space="0" w:color="BFBFBF"/>
                  </w:tcBorders>
                </w:tcPr>
                <w:p w14:paraId="00BB371A" w14:textId="77777777" w:rsidR="0034060E" w:rsidRDefault="0034060E" w:rsidP="00D46F34">
                  <w:pPr>
                    <w:pStyle w:val="TableUnitsRow"/>
                    <w:spacing w:before="80"/>
                    <w:jc w:val="left"/>
                  </w:pPr>
                  <w:r>
                    <w:t>Population</w:t>
                  </w:r>
                </w:p>
              </w:tc>
              <w:tc>
                <w:tcPr>
                  <w:tcW w:w="753" w:type="pct"/>
                  <w:tcBorders>
                    <w:top w:val="single" w:sz="6" w:space="0" w:color="BFBFBF"/>
                  </w:tcBorders>
                </w:tcPr>
                <w:p w14:paraId="00BB371B" w14:textId="77777777" w:rsidR="0034060E" w:rsidRPr="00356237" w:rsidRDefault="0034060E" w:rsidP="00D46F34">
                  <w:pPr>
                    <w:pStyle w:val="TableUnitsRow"/>
                    <w:spacing w:before="80"/>
                    <w:ind w:right="28"/>
                    <w:jc w:val="left"/>
                    <w:rPr>
                      <w:i/>
                    </w:rPr>
                  </w:pPr>
                  <w:r w:rsidRPr="00356237">
                    <w:rPr>
                      <w:i/>
                    </w:rPr>
                    <w:t>million</w:t>
                  </w:r>
                </w:p>
              </w:tc>
              <w:tc>
                <w:tcPr>
                  <w:tcW w:w="1003" w:type="pct"/>
                  <w:tcBorders>
                    <w:top w:val="single" w:sz="6" w:space="0" w:color="BFBFBF"/>
                  </w:tcBorders>
                </w:tcPr>
                <w:p w14:paraId="00BB371C" w14:textId="77777777" w:rsidR="0034060E" w:rsidRDefault="0034060E" w:rsidP="00D46F34">
                  <w:pPr>
                    <w:pStyle w:val="TableUnitsRow"/>
                    <w:spacing w:before="80"/>
                  </w:pPr>
                  <w:r>
                    <w:t>21.7</w:t>
                  </w:r>
                </w:p>
              </w:tc>
              <w:tc>
                <w:tcPr>
                  <w:tcW w:w="918" w:type="pct"/>
                  <w:tcBorders>
                    <w:top w:val="single" w:sz="6" w:space="0" w:color="BFBFBF"/>
                  </w:tcBorders>
                </w:tcPr>
                <w:p w14:paraId="00BB371D" w14:textId="77777777" w:rsidR="0034060E" w:rsidRDefault="0034060E" w:rsidP="00D46F34">
                  <w:pPr>
                    <w:pStyle w:val="TableUnitsRow"/>
                    <w:spacing w:before="80"/>
                    <w:ind w:right="28"/>
                  </w:pPr>
                  <w:r>
                    <w:t>23.1</w:t>
                  </w:r>
                </w:p>
              </w:tc>
            </w:tr>
            <w:tr w:rsidR="0034060E" w14:paraId="00BB3723" w14:textId="77777777" w:rsidTr="00453A36">
              <w:tc>
                <w:tcPr>
                  <w:tcW w:w="2327" w:type="pct"/>
                </w:tcPr>
                <w:p w14:paraId="00BB371F" w14:textId="77777777" w:rsidR="0034060E" w:rsidRDefault="0034060E" w:rsidP="00453A36">
                  <w:pPr>
                    <w:pStyle w:val="TableBodyText"/>
                    <w:jc w:val="left"/>
                  </w:pPr>
                  <w:r>
                    <w:t>Share of population aged over 15 years</w:t>
                  </w:r>
                </w:p>
              </w:tc>
              <w:tc>
                <w:tcPr>
                  <w:tcW w:w="753" w:type="pct"/>
                </w:tcPr>
                <w:p w14:paraId="00BB3720" w14:textId="3BD125F3" w:rsidR="0034060E" w:rsidRPr="00356237" w:rsidRDefault="00356237" w:rsidP="00453A36">
                  <w:pPr>
                    <w:pStyle w:val="TableBodyText"/>
                    <w:ind w:right="28"/>
                    <w:jc w:val="left"/>
                    <w:rPr>
                      <w:i/>
                    </w:rPr>
                  </w:pPr>
                  <w:r w:rsidRPr="00356237">
                    <w:rPr>
                      <w:i/>
                    </w:rPr>
                    <w:t>%</w:t>
                  </w:r>
                </w:p>
              </w:tc>
              <w:tc>
                <w:tcPr>
                  <w:tcW w:w="1003" w:type="pct"/>
                </w:tcPr>
                <w:p w14:paraId="00BB3721" w14:textId="77777777" w:rsidR="0034060E" w:rsidRDefault="0034060E" w:rsidP="00453A36">
                  <w:pPr>
                    <w:pStyle w:val="TableBodyText"/>
                  </w:pPr>
                  <w:r>
                    <w:t>79.5</w:t>
                  </w:r>
                </w:p>
              </w:tc>
              <w:tc>
                <w:tcPr>
                  <w:tcW w:w="918" w:type="pct"/>
                </w:tcPr>
                <w:p w14:paraId="00BB3722" w14:textId="77777777" w:rsidR="0034060E" w:rsidRDefault="0034060E" w:rsidP="00453A36">
                  <w:pPr>
                    <w:pStyle w:val="TableBodyText"/>
                    <w:ind w:right="28"/>
                  </w:pPr>
                  <w:r>
                    <w:t>79.8</w:t>
                  </w:r>
                </w:p>
              </w:tc>
            </w:tr>
            <w:tr w:rsidR="0034060E" w14:paraId="00BB3728" w14:textId="77777777" w:rsidTr="00453A36">
              <w:tc>
                <w:tcPr>
                  <w:tcW w:w="2327" w:type="pct"/>
                </w:tcPr>
                <w:p w14:paraId="00BB3724" w14:textId="77777777" w:rsidR="0034060E" w:rsidRDefault="0034060E" w:rsidP="00453A36">
                  <w:pPr>
                    <w:pStyle w:val="TableBodyText"/>
                    <w:jc w:val="left"/>
                  </w:pPr>
                  <w:r>
                    <w:t>Labour force</w:t>
                  </w:r>
                </w:p>
              </w:tc>
              <w:tc>
                <w:tcPr>
                  <w:tcW w:w="753" w:type="pct"/>
                </w:tcPr>
                <w:p w14:paraId="00BB3725" w14:textId="77777777" w:rsidR="0034060E" w:rsidRPr="00356237" w:rsidRDefault="0034060E" w:rsidP="00453A36">
                  <w:pPr>
                    <w:pStyle w:val="TableBodyText"/>
                    <w:ind w:right="28"/>
                    <w:jc w:val="left"/>
                    <w:rPr>
                      <w:i/>
                    </w:rPr>
                  </w:pPr>
                  <w:r w:rsidRPr="00356237">
                    <w:rPr>
                      <w:i/>
                    </w:rPr>
                    <w:t>million</w:t>
                  </w:r>
                </w:p>
              </w:tc>
              <w:tc>
                <w:tcPr>
                  <w:tcW w:w="1003" w:type="pct"/>
                </w:tcPr>
                <w:p w14:paraId="00BB3726" w14:textId="77777777" w:rsidR="0034060E" w:rsidRDefault="0034060E" w:rsidP="00453A36">
                  <w:pPr>
                    <w:pStyle w:val="TableBodyText"/>
                  </w:pPr>
                  <w:r>
                    <w:t>11.4</w:t>
                  </w:r>
                </w:p>
              </w:tc>
              <w:tc>
                <w:tcPr>
                  <w:tcW w:w="918" w:type="pct"/>
                </w:tcPr>
                <w:p w14:paraId="00BB3727" w14:textId="77777777" w:rsidR="0034060E" w:rsidRDefault="0034060E" w:rsidP="00453A36">
                  <w:pPr>
                    <w:pStyle w:val="TableBodyText"/>
                    <w:ind w:right="28"/>
                  </w:pPr>
                  <w:r>
                    <w:t>12.1</w:t>
                  </w:r>
                </w:p>
              </w:tc>
            </w:tr>
            <w:tr w:rsidR="0034060E" w14:paraId="00BB372D" w14:textId="77777777" w:rsidTr="00453A36">
              <w:tc>
                <w:tcPr>
                  <w:tcW w:w="2327" w:type="pct"/>
                </w:tcPr>
                <w:p w14:paraId="00BB3729" w14:textId="77777777" w:rsidR="0034060E" w:rsidRDefault="0034060E" w:rsidP="00453A36">
                  <w:pPr>
                    <w:pStyle w:val="TableBodyText"/>
                    <w:jc w:val="left"/>
                  </w:pPr>
                  <w:r>
                    <w:t>Participation rate</w:t>
                  </w:r>
                </w:p>
              </w:tc>
              <w:tc>
                <w:tcPr>
                  <w:tcW w:w="753" w:type="pct"/>
                </w:tcPr>
                <w:p w14:paraId="00BB372A" w14:textId="22FCE828" w:rsidR="0034060E" w:rsidRPr="00356237" w:rsidRDefault="00356237" w:rsidP="00453A36">
                  <w:pPr>
                    <w:pStyle w:val="TableBodyText"/>
                    <w:ind w:right="28"/>
                    <w:jc w:val="left"/>
                    <w:rPr>
                      <w:i/>
                    </w:rPr>
                  </w:pPr>
                  <w:r w:rsidRPr="00356237">
                    <w:rPr>
                      <w:i/>
                    </w:rPr>
                    <w:t>%</w:t>
                  </w:r>
                </w:p>
              </w:tc>
              <w:tc>
                <w:tcPr>
                  <w:tcW w:w="1003" w:type="pct"/>
                </w:tcPr>
                <w:p w14:paraId="00BB372B" w14:textId="77777777" w:rsidR="0034060E" w:rsidRDefault="0034060E" w:rsidP="00453A36">
                  <w:pPr>
                    <w:pStyle w:val="TableBodyText"/>
                  </w:pPr>
                  <w:r>
                    <w:t>66.2</w:t>
                  </w:r>
                </w:p>
              </w:tc>
              <w:tc>
                <w:tcPr>
                  <w:tcW w:w="918" w:type="pct"/>
                </w:tcPr>
                <w:p w14:paraId="00BB372C" w14:textId="77777777" w:rsidR="0034060E" w:rsidRDefault="0034060E" w:rsidP="00453A36">
                  <w:pPr>
                    <w:pStyle w:val="TableBodyText"/>
                    <w:ind w:right="28"/>
                  </w:pPr>
                  <w:r>
                    <w:t>65.7</w:t>
                  </w:r>
                </w:p>
              </w:tc>
            </w:tr>
            <w:tr w:rsidR="0034060E" w14:paraId="00BB3732" w14:textId="77777777" w:rsidTr="00453A36">
              <w:tc>
                <w:tcPr>
                  <w:tcW w:w="2327" w:type="pct"/>
                </w:tcPr>
                <w:p w14:paraId="00BB372E" w14:textId="77777777" w:rsidR="0034060E" w:rsidRDefault="0034060E" w:rsidP="00453A36">
                  <w:pPr>
                    <w:pStyle w:val="TableBodyText"/>
                    <w:jc w:val="left"/>
                  </w:pPr>
                  <w:r>
                    <w:t>Average hours worked per week</w:t>
                  </w:r>
                </w:p>
              </w:tc>
              <w:tc>
                <w:tcPr>
                  <w:tcW w:w="753" w:type="pct"/>
                </w:tcPr>
                <w:p w14:paraId="00BB372F" w14:textId="77777777" w:rsidR="0034060E" w:rsidRPr="00356237" w:rsidRDefault="0034060E" w:rsidP="00453A36">
                  <w:pPr>
                    <w:pStyle w:val="TableBodyText"/>
                    <w:ind w:right="28"/>
                    <w:jc w:val="left"/>
                    <w:rPr>
                      <w:i/>
                    </w:rPr>
                  </w:pPr>
                  <w:r w:rsidRPr="00356237">
                    <w:rPr>
                      <w:i/>
                    </w:rPr>
                    <w:t>hours</w:t>
                  </w:r>
                </w:p>
              </w:tc>
              <w:tc>
                <w:tcPr>
                  <w:tcW w:w="1003" w:type="pct"/>
                </w:tcPr>
                <w:p w14:paraId="00BB3730" w14:textId="77777777" w:rsidR="0034060E" w:rsidRDefault="0034060E" w:rsidP="00453A36">
                  <w:pPr>
                    <w:pStyle w:val="TableBodyText"/>
                  </w:pPr>
                  <w:r>
                    <w:t>33.2</w:t>
                  </w:r>
                </w:p>
              </w:tc>
              <w:tc>
                <w:tcPr>
                  <w:tcW w:w="918" w:type="pct"/>
                </w:tcPr>
                <w:p w14:paraId="00BB3731" w14:textId="77777777" w:rsidR="0034060E" w:rsidRDefault="0034060E" w:rsidP="00453A36">
                  <w:pPr>
                    <w:pStyle w:val="TableBodyText"/>
                    <w:ind w:right="28"/>
                  </w:pPr>
                  <w:r>
                    <w:t>32.4</w:t>
                  </w:r>
                </w:p>
              </w:tc>
            </w:tr>
            <w:tr w:rsidR="0034060E" w14:paraId="00BB3737" w14:textId="77777777" w:rsidTr="00453A36">
              <w:tc>
                <w:tcPr>
                  <w:tcW w:w="2327" w:type="pct"/>
                  <w:tcBorders>
                    <w:bottom w:val="single" w:sz="6" w:space="0" w:color="BFBFBF"/>
                  </w:tcBorders>
                  <w:shd w:val="clear" w:color="auto" w:fill="auto"/>
                </w:tcPr>
                <w:p w14:paraId="00BB3733" w14:textId="77777777" w:rsidR="0034060E" w:rsidRDefault="0034060E" w:rsidP="00453A36">
                  <w:pPr>
                    <w:pStyle w:val="TableBodyText"/>
                    <w:jc w:val="left"/>
                  </w:pPr>
                  <w:r>
                    <w:t>Employed persons</w:t>
                  </w:r>
                  <w:r w:rsidRPr="008E77FE">
                    <w:rPr>
                      <w:rStyle w:val="NoteLabel"/>
                    </w:rPr>
                    <w:t xml:space="preserve"> a</w:t>
                  </w:r>
                </w:p>
              </w:tc>
              <w:tc>
                <w:tcPr>
                  <w:tcW w:w="753" w:type="pct"/>
                  <w:tcBorders>
                    <w:bottom w:val="single" w:sz="6" w:space="0" w:color="BFBFBF"/>
                  </w:tcBorders>
                  <w:shd w:val="clear" w:color="auto" w:fill="auto"/>
                </w:tcPr>
                <w:p w14:paraId="00BB3734" w14:textId="77777777" w:rsidR="0034060E" w:rsidRPr="00356237" w:rsidRDefault="0034060E" w:rsidP="00453A36">
                  <w:pPr>
                    <w:pStyle w:val="TableBodyText"/>
                    <w:ind w:right="28"/>
                    <w:jc w:val="left"/>
                    <w:rPr>
                      <w:i/>
                    </w:rPr>
                  </w:pPr>
                  <w:r w:rsidRPr="00356237">
                    <w:rPr>
                      <w:i/>
                    </w:rPr>
                    <w:t>million</w:t>
                  </w:r>
                </w:p>
              </w:tc>
              <w:tc>
                <w:tcPr>
                  <w:tcW w:w="1003" w:type="pct"/>
                  <w:tcBorders>
                    <w:bottom w:val="single" w:sz="6" w:space="0" w:color="BFBFBF"/>
                  </w:tcBorders>
                </w:tcPr>
                <w:p w14:paraId="00BB3735" w14:textId="77777777" w:rsidR="0034060E" w:rsidRDefault="0034060E" w:rsidP="00453A36">
                  <w:pPr>
                    <w:pStyle w:val="TableBodyText"/>
                  </w:pPr>
                  <w:r>
                    <w:t>10.8</w:t>
                  </w:r>
                </w:p>
              </w:tc>
              <w:tc>
                <w:tcPr>
                  <w:tcW w:w="918" w:type="pct"/>
                  <w:tcBorders>
                    <w:bottom w:val="single" w:sz="6" w:space="0" w:color="BFBFBF"/>
                  </w:tcBorders>
                </w:tcPr>
                <w:p w14:paraId="00BB3736" w14:textId="77777777" w:rsidR="0034060E" w:rsidRDefault="0034060E" w:rsidP="00453A36">
                  <w:pPr>
                    <w:pStyle w:val="TableBodyText"/>
                    <w:ind w:right="28"/>
                  </w:pPr>
                  <w:r>
                    <w:t>11.4</w:t>
                  </w:r>
                </w:p>
              </w:tc>
            </w:tr>
          </w:tbl>
          <w:p w14:paraId="00BB3738" w14:textId="77777777" w:rsidR="0034060E" w:rsidRDefault="0034060E" w:rsidP="00453A36">
            <w:pPr>
              <w:pStyle w:val="Box"/>
            </w:pPr>
          </w:p>
        </w:tc>
      </w:tr>
      <w:tr w:rsidR="0034060E" w14:paraId="00BB373B" w14:textId="77777777" w:rsidTr="00453A36">
        <w:trPr>
          <w:cantSplit/>
        </w:trPr>
        <w:tc>
          <w:tcPr>
            <w:tcW w:w="8771" w:type="dxa"/>
            <w:tcBorders>
              <w:top w:val="nil"/>
              <w:left w:val="nil"/>
              <w:bottom w:val="nil"/>
              <w:right w:val="nil"/>
            </w:tcBorders>
            <w:shd w:val="clear" w:color="auto" w:fill="auto"/>
          </w:tcPr>
          <w:p w14:paraId="00BB373A" w14:textId="77777777" w:rsidR="0034060E" w:rsidRDefault="0034060E" w:rsidP="00453A36">
            <w:pPr>
              <w:pStyle w:val="Note"/>
              <w:rPr>
                <w:i/>
              </w:rPr>
            </w:pPr>
            <w:proofErr w:type="spellStart"/>
            <w:r w:rsidRPr="008E77FE">
              <w:rPr>
                <w:rStyle w:val="NoteLabel"/>
              </w:rPr>
              <w:t>a</w:t>
            </w:r>
            <w:proofErr w:type="spellEnd"/>
            <w:r>
              <w:t> Employed workers include the self</w:t>
            </w:r>
            <w:r>
              <w:noBreakHyphen/>
              <w:t>employed.</w:t>
            </w:r>
          </w:p>
        </w:tc>
      </w:tr>
      <w:tr w:rsidR="0034060E" w14:paraId="00BB373D" w14:textId="77777777" w:rsidTr="00453A36">
        <w:trPr>
          <w:cantSplit/>
        </w:trPr>
        <w:tc>
          <w:tcPr>
            <w:tcW w:w="8771" w:type="dxa"/>
            <w:tcBorders>
              <w:top w:val="nil"/>
              <w:left w:val="nil"/>
              <w:bottom w:val="nil"/>
              <w:right w:val="nil"/>
            </w:tcBorders>
            <w:shd w:val="clear" w:color="auto" w:fill="auto"/>
          </w:tcPr>
          <w:p w14:paraId="00BB373C" w14:textId="77777777" w:rsidR="0034060E" w:rsidRDefault="0034060E" w:rsidP="00453A36">
            <w:pPr>
              <w:pStyle w:val="Source"/>
            </w:pPr>
            <w:r>
              <w:rPr>
                <w:i/>
              </w:rPr>
              <w:t>Source</w:t>
            </w:r>
            <w:r w:rsidRPr="00167F06">
              <w:t xml:space="preserve">: </w:t>
            </w:r>
            <w:r>
              <w:t xml:space="preserve">Productivity Commission estimates based on ABS (2014 </w:t>
            </w:r>
            <w:r w:rsidRPr="00D21574">
              <w:rPr>
                <w:i/>
              </w:rPr>
              <w:t>Labour Force Survey</w:t>
            </w:r>
            <w:r>
              <w:t>, Cat. no. 6291.0.55.003).</w:t>
            </w:r>
          </w:p>
        </w:tc>
      </w:tr>
      <w:tr w:rsidR="0034060E" w14:paraId="00BB373F" w14:textId="77777777" w:rsidTr="00453A36">
        <w:trPr>
          <w:cantSplit/>
        </w:trPr>
        <w:tc>
          <w:tcPr>
            <w:tcW w:w="8771" w:type="dxa"/>
            <w:tcBorders>
              <w:top w:val="nil"/>
              <w:left w:val="nil"/>
              <w:bottom w:val="single" w:sz="6" w:space="0" w:color="78A22F"/>
              <w:right w:val="nil"/>
            </w:tcBorders>
            <w:shd w:val="clear" w:color="auto" w:fill="auto"/>
          </w:tcPr>
          <w:p w14:paraId="00BB373E" w14:textId="77777777" w:rsidR="0034060E" w:rsidRDefault="0034060E" w:rsidP="00453A36">
            <w:pPr>
              <w:pStyle w:val="Box"/>
              <w:spacing w:before="0" w:line="120" w:lineRule="exact"/>
            </w:pPr>
          </w:p>
        </w:tc>
      </w:tr>
      <w:tr w:rsidR="0034060E" w:rsidRPr="000863A5" w14:paraId="00BB3741" w14:textId="77777777" w:rsidTr="00453A36">
        <w:tc>
          <w:tcPr>
            <w:tcW w:w="8771" w:type="dxa"/>
            <w:tcBorders>
              <w:top w:val="single" w:sz="6" w:space="0" w:color="78A22F"/>
              <w:left w:val="nil"/>
              <w:bottom w:val="nil"/>
              <w:right w:val="nil"/>
            </w:tcBorders>
          </w:tcPr>
          <w:p w14:paraId="00BB3740" w14:textId="1A78F051" w:rsidR="0034060E" w:rsidRPr="00626D32" w:rsidRDefault="0034060E" w:rsidP="00453A36">
            <w:pPr>
              <w:pStyle w:val="BoxSpaceBelow"/>
            </w:pPr>
          </w:p>
        </w:tc>
      </w:tr>
    </w:tbl>
    <w:p w14:paraId="00BB3742" w14:textId="77777777" w:rsidR="0034060E" w:rsidRDefault="0034060E" w:rsidP="00453A36">
      <w:pPr>
        <w:pStyle w:val="BodyText"/>
      </w:pPr>
      <w:r>
        <w:t>The uprated 2013</w:t>
      </w:r>
      <w:r>
        <w:noBreakHyphen/>
        <w:t xml:space="preserve">14 database was also checked against the latest year for which ABS </w:t>
      </w:r>
      <w:r w:rsidRPr="00D21574">
        <w:rPr>
          <w:i/>
        </w:rPr>
        <w:t>Input</w:t>
      </w:r>
      <w:r w:rsidRPr="00D21574">
        <w:rPr>
          <w:i/>
        </w:rPr>
        <w:noBreakHyphen/>
        <w:t>Output Tables</w:t>
      </w:r>
      <w:r>
        <w:t xml:space="preserve"> are available (2012</w:t>
      </w:r>
      <w:r>
        <w:noBreakHyphen/>
        <w:t>13). The resulting database was found to be broadly comparable to the available information for that year.</w:t>
      </w:r>
    </w:p>
    <w:p w14:paraId="00BB3743" w14:textId="2B667F78" w:rsidR="0034060E" w:rsidRDefault="0034060E" w:rsidP="00453A36">
      <w:pPr>
        <w:pStyle w:val="Heading2"/>
      </w:pPr>
      <w:proofErr w:type="spellStart"/>
      <w:r>
        <w:t>B.</w:t>
      </w:r>
      <w:r>
        <w:rPr>
          <w:noProof/>
        </w:rPr>
        <w:t>6</w:t>
      </w:r>
      <w:proofErr w:type="spellEnd"/>
      <w:r>
        <w:tab/>
        <w:t>S</w:t>
      </w:r>
      <w:r w:rsidRPr="00057ADA">
        <w:t xml:space="preserve">tructure </w:t>
      </w:r>
      <w:r>
        <w:t xml:space="preserve">of the labour market </w:t>
      </w:r>
      <w:r w:rsidRPr="00057ADA">
        <w:t xml:space="preserve">in the </w:t>
      </w:r>
      <w:r>
        <w:t>inquiry</w:t>
      </w:r>
      <w:r w:rsidRPr="00057ADA">
        <w:t xml:space="preserve"> database</w:t>
      </w:r>
    </w:p>
    <w:p w14:paraId="00BB3744" w14:textId="77777777" w:rsidR="0034060E" w:rsidRDefault="0034060E" w:rsidP="00453A36">
      <w:pPr>
        <w:pStyle w:val="BodyText"/>
      </w:pPr>
      <w:r>
        <w:t>The structure of the labour market in the uprated 2013</w:t>
      </w:r>
      <w:r>
        <w:noBreakHyphen/>
        <w:t>14 database used in the inquiry broadly compares well with the 2013</w:t>
      </w:r>
      <w:r>
        <w:noBreakHyphen/>
        <w:t>14 labour market data updated and released by the ABS in 2015.</w:t>
      </w:r>
    </w:p>
    <w:p w14:paraId="00BB3745" w14:textId="14EC5952" w:rsidR="0034060E" w:rsidRDefault="0034060E" w:rsidP="00453A36">
      <w:pPr>
        <w:pStyle w:val="BodyText"/>
      </w:pPr>
      <w:r>
        <w:t>Australia’s workforce is generally concentrated in the highly</w:t>
      </w:r>
      <w:r>
        <w:noBreakHyphen/>
        <w:t xml:space="preserve">skilled occupations of Managers (13 per cent), Professionals </w:t>
      </w:r>
      <w:r w:rsidR="00356237">
        <w:t>(22 per cent), Technicians and T</w:t>
      </w:r>
      <w:r>
        <w:t xml:space="preserve">rades </w:t>
      </w:r>
      <w:r w:rsidR="00356237">
        <w:t>W</w:t>
      </w:r>
      <w:r>
        <w:t>orkers (14 per cent)</w:t>
      </w:r>
      <w:r w:rsidR="00F80BCE">
        <w:t>,</w:t>
      </w:r>
      <w:r>
        <w:t xml:space="preserve"> and Clerical and </w:t>
      </w:r>
      <w:r w:rsidR="00356237">
        <w:t>A</w:t>
      </w:r>
      <w:r>
        <w:t xml:space="preserve">dministrative </w:t>
      </w:r>
      <w:r w:rsidR="00356237">
        <w:t>W</w:t>
      </w:r>
      <w:r>
        <w:t>orkers (15 per cent). Similarly, across all the states and territories, these four occupations account for around two thirds of all employed persons (table </w:t>
      </w:r>
      <w:proofErr w:type="spellStart"/>
      <w:r>
        <w:t>B.7</w:t>
      </w:r>
      <w:proofErr w:type="spellEnd"/>
      <w:r>
        <w:t>).</w:t>
      </w:r>
    </w:p>
    <w:p w14:paraId="00BB3746" w14:textId="46EC68C5"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4060E" w14:paraId="00BB3748" w14:textId="77777777" w:rsidTr="00453A36">
        <w:tc>
          <w:tcPr>
            <w:tcW w:w="8771" w:type="dxa"/>
            <w:tcBorders>
              <w:top w:val="single" w:sz="6" w:space="0" w:color="78A22F"/>
              <w:left w:val="nil"/>
              <w:bottom w:val="nil"/>
              <w:right w:val="nil"/>
            </w:tcBorders>
            <w:shd w:val="clear" w:color="auto" w:fill="auto"/>
          </w:tcPr>
          <w:p w14:paraId="00BB3747" w14:textId="20B0EE36" w:rsidR="0034060E" w:rsidRPr="00176D3F" w:rsidRDefault="0034060E" w:rsidP="00453A36">
            <w:pPr>
              <w:pStyle w:val="FigureTitle"/>
            </w:pPr>
            <w:r w:rsidRPr="00784A05">
              <w:rPr>
                <w:b w:val="0"/>
              </w:rPr>
              <w:t xml:space="preserve">Figure </w:t>
            </w:r>
            <w:proofErr w:type="spellStart"/>
            <w:r>
              <w:rPr>
                <w:b w:val="0"/>
              </w:rPr>
              <w:t>B.</w:t>
            </w:r>
            <w:r>
              <w:rPr>
                <w:b w:val="0"/>
                <w:noProof/>
              </w:rPr>
              <w:t>1</w:t>
            </w:r>
            <w:proofErr w:type="spellEnd"/>
            <w:r>
              <w:tab/>
              <w:t>Comparison of actual and p</w:t>
            </w:r>
            <w:r w:rsidRPr="00CB0000">
              <w:t xml:space="preserve">rojected distribution of production </w:t>
            </w:r>
            <w:r>
              <w:t xml:space="preserve">and employment </w:t>
            </w:r>
            <w:r w:rsidRPr="00CB0000">
              <w:t xml:space="preserve">by broad industry sector, </w:t>
            </w:r>
            <w:r>
              <w:t xml:space="preserve">Australia, </w:t>
            </w:r>
            <w:r w:rsidRPr="00A74856">
              <w:t>20</w:t>
            </w:r>
            <w:r>
              <w:t>13</w:t>
            </w:r>
            <w:r w:rsidRPr="00A74856">
              <w:noBreakHyphen/>
              <w:t>1</w:t>
            </w:r>
            <w:r>
              <w:t>4</w:t>
            </w:r>
          </w:p>
        </w:tc>
      </w:tr>
      <w:tr w:rsidR="0034060E" w14:paraId="00BB3752" w14:textId="77777777" w:rsidTr="00453A3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4060E" w14:paraId="00BB374A" w14:textId="77777777" w:rsidTr="00453A36">
              <w:trPr>
                <w:trHeight w:val="75"/>
                <w:jc w:val="center"/>
              </w:trPr>
              <w:tc>
                <w:tcPr>
                  <w:tcW w:w="5000" w:type="pct"/>
                  <w:tcBorders>
                    <w:top w:val="nil"/>
                    <w:bottom w:val="nil"/>
                  </w:tcBorders>
                </w:tcPr>
                <w:p w14:paraId="00BB3749" w14:textId="77777777" w:rsidR="0034060E" w:rsidRPr="00E47FA2" w:rsidRDefault="0034060E" w:rsidP="00453A36">
                  <w:pPr>
                    <w:pStyle w:val="Figure"/>
                    <w:spacing w:before="60" w:after="60"/>
                    <w:rPr>
                      <w:rFonts w:asciiTheme="majorHAnsi" w:hAnsiTheme="majorHAnsi" w:cstheme="majorHAnsi"/>
                      <w:sz w:val="18"/>
                      <w:szCs w:val="18"/>
                    </w:rPr>
                  </w:pPr>
                  <w:r w:rsidRPr="00E47FA2">
                    <w:rPr>
                      <w:rFonts w:asciiTheme="majorHAnsi" w:hAnsiTheme="majorHAnsi" w:cstheme="majorHAnsi"/>
                      <w:b/>
                      <w:sz w:val="18"/>
                      <w:szCs w:val="18"/>
                    </w:rPr>
                    <w:t>Production (gross value added)</w:t>
                  </w:r>
                </w:p>
              </w:tc>
            </w:tr>
            <w:tr w:rsidR="0034060E" w14:paraId="00BB374C" w14:textId="77777777" w:rsidTr="00D46F34">
              <w:tblPrEx>
                <w:tblCellMar>
                  <w:left w:w="108" w:type="dxa"/>
                  <w:right w:w="108" w:type="dxa"/>
                </w:tblCellMar>
              </w:tblPrEx>
              <w:trPr>
                <w:trHeight w:val="73"/>
                <w:jc w:val="center"/>
              </w:trPr>
              <w:tc>
                <w:tcPr>
                  <w:tcW w:w="5000" w:type="pct"/>
                  <w:tcBorders>
                    <w:top w:val="nil"/>
                    <w:bottom w:val="nil"/>
                  </w:tcBorders>
                </w:tcPr>
                <w:p w14:paraId="00BB374B" w14:textId="1A1DC270" w:rsidR="0034060E" w:rsidRDefault="00D46F34" w:rsidP="00453A36">
                  <w:pPr>
                    <w:pStyle w:val="Figure"/>
                    <w:spacing w:before="60" w:after="60"/>
                  </w:pPr>
                  <w:r w:rsidRPr="00D46F34">
                    <w:rPr>
                      <w:noProof/>
                    </w:rPr>
                    <w:drawing>
                      <wp:inline distT="0" distB="0" distL="0" distR="0" wp14:anchorId="09A6DE91" wp14:editId="6E289921">
                        <wp:extent cx="5400000" cy="2880000"/>
                        <wp:effectExtent l="0" t="0" r="0" b="0"/>
                        <wp:docPr id="7" name="Chart 7" descr="Figure B.1 Comparison of actual and projected distribution of production and employment by broad industry sector, Australia, 2013-14. Per cent. &#10;&#10;This figure compares the ABS data with the model projection data.It shows that the production (gross value added) shares in the VUMR WR model database are broadly similar to those of the ABS. ."/>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r w:rsidR="0034060E" w14:paraId="00BB374E" w14:textId="77777777" w:rsidTr="00453A36">
              <w:trPr>
                <w:trHeight w:val="73"/>
                <w:jc w:val="center"/>
              </w:trPr>
              <w:tc>
                <w:tcPr>
                  <w:tcW w:w="5000" w:type="pct"/>
                  <w:tcBorders>
                    <w:top w:val="nil"/>
                    <w:bottom w:val="nil"/>
                  </w:tcBorders>
                </w:tcPr>
                <w:p w14:paraId="00BB374D" w14:textId="77777777" w:rsidR="0034060E" w:rsidRPr="00E47FA2" w:rsidRDefault="0034060E" w:rsidP="00453A36">
                  <w:pPr>
                    <w:pStyle w:val="Figure"/>
                    <w:spacing w:before="60" w:after="60"/>
                    <w:rPr>
                      <w:rFonts w:asciiTheme="majorHAnsi" w:hAnsiTheme="majorHAnsi" w:cstheme="majorHAnsi"/>
                      <w:sz w:val="18"/>
                      <w:szCs w:val="18"/>
                    </w:rPr>
                  </w:pPr>
                  <w:r w:rsidRPr="00E47FA2">
                    <w:rPr>
                      <w:rFonts w:asciiTheme="majorHAnsi" w:hAnsiTheme="majorHAnsi" w:cstheme="majorHAnsi"/>
                      <w:b/>
                      <w:sz w:val="18"/>
                      <w:szCs w:val="18"/>
                    </w:rPr>
                    <w:t>Employment (persons)</w:t>
                  </w:r>
                </w:p>
              </w:tc>
            </w:tr>
            <w:tr w:rsidR="0034060E" w14:paraId="00BB3750" w14:textId="77777777" w:rsidTr="00D46F34">
              <w:tblPrEx>
                <w:tblCellMar>
                  <w:left w:w="108" w:type="dxa"/>
                  <w:right w:w="108" w:type="dxa"/>
                </w:tblCellMar>
              </w:tblPrEx>
              <w:trPr>
                <w:trHeight w:val="73"/>
                <w:jc w:val="center"/>
              </w:trPr>
              <w:tc>
                <w:tcPr>
                  <w:tcW w:w="5000" w:type="pct"/>
                  <w:tcBorders>
                    <w:top w:val="nil"/>
                    <w:bottom w:val="nil"/>
                  </w:tcBorders>
                </w:tcPr>
                <w:p w14:paraId="00BB374F" w14:textId="74250A71" w:rsidR="0034060E" w:rsidRDefault="00D46F34" w:rsidP="00453A36">
                  <w:pPr>
                    <w:pStyle w:val="Figure"/>
                    <w:spacing w:before="60" w:after="60"/>
                  </w:pPr>
                  <w:r w:rsidRPr="00D46F34">
                    <w:rPr>
                      <w:noProof/>
                    </w:rPr>
                    <w:drawing>
                      <wp:inline distT="0" distB="0" distL="0" distR="0" wp14:anchorId="7A83BC89" wp14:editId="7BDC3E76">
                        <wp:extent cx="5400000" cy="2880000"/>
                        <wp:effectExtent l="0" t="0" r="0" b="0"/>
                        <wp:docPr id="15" name="Chart 15" descr="Figure B.1 Comparison of actual and projected distribution of production and employment by broad industry sector, Australia, 2013-14. Per cent. &#10;&#10;This figure compares the ABS data with the model projection data.It shows that the employment shares (in persons) in the VUMR WR model database are broadly similar to those of the ABS. ."/>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r>
          </w:tbl>
          <w:p w14:paraId="00BB3751" w14:textId="77777777" w:rsidR="0034060E" w:rsidRDefault="0034060E" w:rsidP="00453A36">
            <w:pPr>
              <w:pStyle w:val="Figure"/>
            </w:pPr>
          </w:p>
        </w:tc>
      </w:tr>
      <w:tr w:rsidR="0034060E" w:rsidRPr="00176D3F" w14:paraId="00BB3754" w14:textId="77777777" w:rsidTr="00453A36">
        <w:tc>
          <w:tcPr>
            <w:tcW w:w="8771" w:type="dxa"/>
            <w:tcBorders>
              <w:top w:val="nil"/>
              <w:left w:val="nil"/>
              <w:bottom w:val="nil"/>
              <w:right w:val="nil"/>
            </w:tcBorders>
            <w:shd w:val="clear" w:color="auto" w:fill="auto"/>
          </w:tcPr>
          <w:p w14:paraId="00BB3753" w14:textId="77777777" w:rsidR="0034060E" w:rsidRPr="00176D3F" w:rsidRDefault="0034060E" w:rsidP="00453A36">
            <w:pPr>
              <w:pStyle w:val="Source"/>
            </w:pPr>
            <w:r>
              <w:rPr>
                <w:i/>
              </w:rPr>
              <w:t>Sources</w:t>
            </w:r>
            <w:r w:rsidRPr="00167F06">
              <w:t xml:space="preserve">: </w:t>
            </w:r>
            <w:r w:rsidRPr="00541D81">
              <w:t>ABS (201</w:t>
            </w:r>
            <w:r>
              <w:t>4</w:t>
            </w:r>
            <w:r w:rsidRPr="00541D81">
              <w:t xml:space="preserve">, </w:t>
            </w:r>
            <w:r w:rsidRPr="00541D81">
              <w:rPr>
                <w:i/>
              </w:rPr>
              <w:t>Australian System of National Accounts</w:t>
            </w:r>
            <w:r w:rsidRPr="00541D81">
              <w:t>, 201</w:t>
            </w:r>
            <w:r>
              <w:t>3</w:t>
            </w:r>
            <w:r>
              <w:noBreakHyphen/>
            </w:r>
            <w:r w:rsidRPr="00541D81">
              <w:t>1</w:t>
            </w:r>
            <w:r>
              <w:t>4</w:t>
            </w:r>
            <w:r w:rsidRPr="00541D81">
              <w:t>, Cat.</w:t>
            </w:r>
            <w:r>
              <w:t> </w:t>
            </w:r>
            <w:r w:rsidRPr="00541D81">
              <w:t>no.</w:t>
            </w:r>
            <w:r>
              <w:t> </w:t>
            </w:r>
            <w:r w:rsidRPr="00541D81">
              <w:t>5204.0); ABS (</w:t>
            </w:r>
            <w:r w:rsidRPr="00541D81">
              <w:rPr>
                <w:i/>
              </w:rPr>
              <w:t>Labour Force, Australia, Detailed, Quarterly</w:t>
            </w:r>
            <w:r w:rsidRPr="00541D81">
              <w:t xml:space="preserve">, </w:t>
            </w:r>
            <w:proofErr w:type="spellStart"/>
            <w:r>
              <w:t>Augus</w:t>
            </w:r>
            <w:proofErr w:type="spellEnd"/>
            <w:r w:rsidRPr="00541D81">
              <w:t xml:space="preserve"> 201</w:t>
            </w:r>
            <w:r>
              <w:t>5</w:t>
            </w:r>
            <w:r w:rsidRPr="00541D81">
              <w:t>, Cat.</w:t>
            </w:r>
            <w:r>
              <w:t> </w:t>
            </w:r>
            <w:r w:rsidRPr="00541D81">
              <w:t>no.</w:t>
            </w:r>
            <w:r>
              <w:t> </w:t>
            </w:r>
            <w:r w:rsidRPr="00541D81">
              <w:t>6291.0.55.003);</w:t>
            </w:r>
            <w:r>
              <w:t xml:space="preserve"> Productivity Commission estimates based on the </w:t>
            </w:r>
            <w:proofErr w:type="spellStart"/>
            <w:r>
              <w:t>VUMR</w:t>
            </w:r>
            <w:r>
              <w:noBreakHyphen/>
              <w:t>WR</w:t>
            </w:r>
            <w:proofErr w:type="spellEnd"/>
            <w:r>
              <w:t xml:space="preserve"> model.</w:t>
            </w:r>
            <w:r w:rsidRPr="00176D3F">
              <w:t xml:space="preserve"> </w:t>
            </w:r>
          </w:p>
        </w:tc>
      </w:tr>
      <w:tr w:rsidR="0034060E" w14:paraId="00BB3756" w14:textId="77777777" w:rsidTr="00453A36">
        <w:tc>
          <w:tcPr>
            <w:tcW w:w="8771" w:type="dxa"/>
            <w:tcBorders>
              <w:top w:val="nil"/>
              <w:left w:val="nil"/>
              <w:bottom w:val="single" w:sz="6" w:space="0" w:color="78A22F"/>
              <w:right w:val="nil"/>
            </w:tcBorders>
            <w:shd w:val="clear" w:color="auto" w:fill="auto"/>
          </w:tcPr>
          <w:p w14:paraId="00BB3755" w14:textId="77777777" w:rsidR="0034060E" w:rsidRDefault="0034060E" w:rsidP="00453A36">
            <w:pPr>
              <w:pStyle w:val="Figurespace"/>
            </w:pPr>
          </w:p>
        </w:tc>
      </w:tr>
      <w:tr w:rsidR="0034060E" w:rsidRPr="000863A5" w14:paraId="00BB3758" w14:textId="77777777" w:rsidTr="00453A36">
        <w:tc>
          <w:tcPr>
            <w:tcW w:w="8771" w:type="dxa"/>
            <w:tcBorders>
              <w:top w:val="single" w:sz="6" w:space="0" w:color="78A22F"/>
              <w:left w:val="nil"/>
              <w:bottom w:val="nil"/>
              <w:right w:val="nil"/>
            </w:tcBorders>
          </w:tcPr>
          <w:p w14:paraId="00BB3757" w14:textId="767C1BA4" w:rsidR="0034060E" w:rsidRPr="00626D32" w:rsidRDefault="0034060E" w:rsidP="00453A36">
            <w:pPr>
              <w:pStyle w:val="BoxSpaceBelow"/>
            </w:pPr>
          </w:p>
        </w:tc>
      </w:tr>
    </w:tbl>
    <w:p w14:paraId="00BB3759" w14:textId="77777777" w:rsidR="0034060E" w:rsidRDefault="0034060E" w:rsidP="00453A36">
      <w:pPr>
        <w:pStyle w:val="BodyText"/>
      </w:pPr>
    </w:p>
    <w:p w14:paraId="00BB375A" w14:textId="123D46C3"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75C" w14:textId="77777777" w:rsidTr="00453A36">
        <w:tc>
          <w:tcPr>
            <w:tcW w:w="8771" w:type="dxa"/>
            <w:tcBorders>
              <w:top w:val="single" w:sz="6" w:space="0" w:color="78A22F"/>
              <w:left w:val="nil"/>
              <w:bottom w:val="nil"/>
              <w:right w:val="nil"/>
            </w:tcBorders>
            <w:shd w:val="clear" w:color="auto" w:fill="auto"/>
          </w:tcPr>
          <w:p w14:paraId="00BB375B" w14:textId="01D7ADB1" w:rsidR="0034060E" w:rsidRPr="00784A05" w:rsidRDefault="0034060E" w:rsidP="00453A36">
            <w:pPr>
              <w:pStyle w:val="TableTitle"/>
            </w:pPr>
            <w:r>
              <w:rPr>
                <w:b w:val="0"/>
              </w:rPr>
              <w:t xml:space="preserve">Table </w:t>
            </w:r>
            <w:proofErr w:type="spellStart"/>
            <w:r>
              <w:rPr>
                <w:b w:val="0"/>
              </w:rPr>
              <w:t>B.</w:t>
            </w:r>
            <w:r>
              <w:rPr>
                <w:b w:val="0"/>
                <w:noProof/>
              </w:rPr>
              <w:t>7</w:t>
            </w:r>
            <w:proofErr w:type="spellEnd"/>
            <w:r>
              <w:tab/>
              <w:t xml:space="preserve">Employed persons by state and occupation in the </w:t>
            </w:r>
            <w:proofErr w:type="spellStart"/>
            <w:r>
              <w:t>VUMR</w:t>
            </w:r>
            <w:r>
              <w:noBreakHyphen/>
              <w:t>WR</w:t>
            </w:r>
            <w:proofErr w:type="spellEnd"/>
            <w:r>
              <w:t xml:space="preserve"> database and in ABS data, 2013</w:t>
            </w:r>
            <w:r>
              <w:noBreakHyphen/>
              <w:t>14</w:t>
            </w:r>
            <w:r w:rsidRPr="0048740C">
              <w:rPr>
                <w:rStyle w:val="NoteLabel"/>
                <w:b/>
              </w:rPr>
              <w:t>a</w:t>
            </w:r>
          </w:p>
        </w:tc>
      </w:tr>
      <w:tr w:rsidR="0034060E" w14:paraId="00BB37E6"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51"/>
              <w:gridCol w:w="711"/>
              <w:gridCol w:w="711"/>
              <w:gridCol w:w="711"/>
              <w:gridCol w:w="711"/>
              <w:gridCol w:w="711"/>
              <w:gridCol w:w="711"/>
              <w:gridCol w:w="711"/>
              <w:gridCol w:w="711"/>
              <w:gridCol w:w="718"/>
              <w:gridCol w:w="830"/>
            </w:tblGrid>
            <w:tr w:rsidR="0034060E" w14:paraId="00BB3760" w14:textId="77777777" w:rsidTr="0051512F">
              <w:tc>
                <w:tcPr>
                  <w:tcW w:w="736" w:type="pct"/>
                  <w:tcBorders>
                    <w:top w:val="single" w:sz="6" w:space="0" w:color="BFBFBF"/>
                  </w:tcBorders>
                  <w:shd w:val="clear" w:color="auto" w:fill="auto"/>
                  <w:tcMar>
                    <w:top w:w="28" w:type="dxa"/>
                  </w:tcMar>
                </w:tcPr>
                <w:p w14:paraId="00BB375D" w14:textId="77777777" w:rsidR="0034060E" w:rsidRDefault="0034060E" w:rsidP="00453A36">
                  <w:pPr>
                    <w:pStyle w:val="TableColumnHeading"/>
                    <w:jc w:val="left"/>
                  </w:pPr>
                </w:p>
              </w:tc>
              <w:tc>
                <w:tcPr>
                  <w:tcW w:w="3775" w:type="pct"/>
                  <w:gridSpan w:val="9"/>
                  <w:tcBorders>
                    <w:top w:val="single" w:sz="6" w:space="0" w:color="BFBFBF"/>
                  </w:tcBorders>
                  <w:shd w:val="clear" w:color="auto" w:fill="auto"/>
                  <w:tcMar>
                    <w:top w:w="28" w:type="dxa"/>
                  </w:tcMar>
                </w:tcPr>
                <w:p w14:paraId="00BB375E" w14:textId="77777777" w:rsidR="0034060E" w:rsidRPr="00723237" w:rsidRDefault="0034060E" w:rsidP="00453A36">
                  <w:pPr>
                    <w:pStyle w:val="TableColumnHeading"/>
                    <w:jc w:val="center"/>
                  </w:pPr>
                  <w:proofErr w:type="spellStart"/>
                  <w:r w:rsidRPr="00723237">
                    <w:t>VUMR</w:t>
                  </w:r>
                  <w:r w:rsidRPr="00723237">
                    <w:noBreakHyphen/>
                    <w:t>WR</w:t>
                  </w:r>
                  <w:proofErr w:type="spellEnd"/>
                  <w:r w:rsidRPr="00723237">
                    <w:t xml:space="preserve"> database</w:t>
                  </w:r>
                </w:p>
              </w:tc>
              <w:tc>
                <w:tcPr>
                  <w:tcW w:w="489" w:type="pct"/>
                  <w:tcBorders>
                    <w:top w:val="single" w:sz="6" w:space="0" w:color="BFBFBF"/>
                  </w:tcBorders>
                  <w:shd w:val="clear" w:color="auto" w:fill="F2F2F2" w:themeFill="accent4"/>
                </w:tcPr>
                <w:p w14:paraId="00BB375F" w14:textId="77777777" w:rsidR="0034060E" w:rsidRPr="004D7505" w:rsidRDefault="0034060E" w:rsidP="00453A36">
                  <w:pPr>
                    <w:pStyle w:val="TableColumnHeading"/>
                  </w:pPr>
                  <w:r w:rsidRPr="004D7505">
                    <w:t>ABS</w:t>
                  </w:r>
                </w:p>
              </w:tc>
            </w:tr>
            <w:tr w:rsidR="0034060E" w14:paraId="00BB376C" w14:textId="77777777" w:rsidTr="0051512F">
              <w:tc>
                <w:tcPr>
                  <w:tcW w:w="736" w:type="pct"/>
                  <w:tcBorders>
                    <w:bottom w:val="single" w:sz="6" w:space="0" w:color="BFBFBF"/>
                  </w:tcBorders>
                  <w:shd w:val="clear" w:color="auto" w:fill="auto"/>
                  <w:tcMar>
                    <w:top w:w="28" w:type="dxa"/>
                  </w:tcMar>
                </w:tcPr>
                <w:p w14:paraId="00BB3761" w14:textId="77777777" w:rsidR="0034060E" w:rsidRDefault="0034060E" w:rsidP="00453A36">
                  <w:pPr>
                    <w:pStyle w:val="TableColumnHeading"/>
                    <w:jc w:val="left"/>
                  </w:pPr>
                </w:p>
              </w:tc>
              <w:tc>
                <w:tcPr>
                  <w:tcW w:w="419" w:type="pct"/>
                  <w:tcBorders>
                    <w:bottom w:val="single" w:sz="6" w:space="0" w:color="BFBFBF"/>
                  </w:tcBorders>
                  <w:shd w:val="clear" w:color="auto" w:fill="auto"/>
                  <w:tcMar>
                    <w:top w:w="28" w:type="dxa"/>
                  </w:tcMar>
                </w:tcPr>
                <w:p w14:paraId="00BB3762" w14:textId="77777777" w:rsidR="0034060E" w:rsidRDefault="0034060E" w:rsidP="00453A36">
                  <w:pPr>
                    <w:pStyle w:val="TableColumnHeading"/>
                  </w:pPr>
                  <w:r>
                    <w:t>NSW</w:t>
                  </w:r>
                </w:p>
              </w:tc>
              <w:tc>
                <w:tcPr>
                  <w:tcW w:w="419" w:type="pct"/>
                  <w:tcBorders>
                    <w:bottom w:val="single" w:sz="6" w:space="0" w:color="BFBFBF"/>
                  </w:tcBorders>
                </w:tcPr>
                <w:p w14:paraId="00BB3763" w14:textId="77777777" w:rsidR="0034060E" w:rsidRDefault="0034060E" w:rsidP="00453A36">
                  <w:pPr>
                    <w:pStyle w:val="TableColumnHeading"/>
                    <w:ind w:right="28"/>
                  </w:pPr>
                  <w:r>
                    <w:t>Vic</w:t>
                  </w:r>
                </w:p>
              </w:tc>
              <w:tc>
                <w:tcPr>
                  <w:tcW w:w="419" w:type="pct"/>
                  <w:tcBorders>
                    <w:bottom w:val="single" w:sz="6" w:space="0" w:color="BFBFBF"/>
                  </w:tcBorders>
                </w:tcPr>
                <w:p w14:paraId="00BB3764" w14:textId="77777777" w:rsidR="0034060E" w:rsidRDefault="0034060E" w:rsidP="00453A36">
                  <w:pPr>
                    <w:pStyle w:val="TableColumnHeading"/>
                    <w:ind w:right="28"/>
                  </w:pPr>
                  <w:r>
                    <w:t>Qld</w:t>
                  </w:r>
                </w:p>
              </w:tc>
              <w:tc>
                <w:tcPr>
                  <w:tcW w:w="419" w:type="pct"/>
                  <w:tcBorders>
                    <w:bottom w:val="single" w:sz="6" w:space="0" w:color="BFBFBF"/>
                  </w:tcBorders>
                </w:tcPr>
                <w:p w14:paraId="00BB3765" w14:textId="77777777" w:rsidR="0034060E" w:rsidRDefault="0034060E" w:rsidP="00453A36">
                  <w:pPr>
                    <w:pStyle w:val="TableColumnHeading"/>
                    <w:ind w:right="28"/>
                  </w:pPr>
                  <w:r>
                    <w:t>SA</w:t>
                  </w:r>
                </w:p>
              </w:tc>
              <w:tc>
                <w:tcPr>
                  <w:tcW w:w="419" w:type="pct"/>
                  <w:tcBorders>
                    <w:bottom w:val="single" w:sz="6" w:space="0" w:color="BFBFBF"/>
                  </w:tcBorders>
                </w:tcPr>
                <w:p w14:paraId="00BB3766" w14:textId="77777777" w:rsidR="0034060E" w:rsidRDefault="0034060E" w:rsidP="00453A36">
                  <w:pPr>
                    <w:pStyle w:val="TableColumnHeading"/>
                    <w:ind w:right="28"/>
                  </w:pPr>
                  <w:r>
                    <w:t>WA</w:t>
                  </w:r>
                </w:p>
              </w:tc>
              <w:tc>
                <w:tcPr>
                  <w:tcW w:w="419" w:type="pct"/>
                  <w:tcBorders>
                    <w:bottom w:val="single" w:sz="6" w:space="0" w:color="BFBFBF"/>
                  </w:tcBorders>
                </w:tcPr>
                <w:p w14:paraId="00BB3767" w14:textId="77777777" w:rsidR="0034060E" w:rsidRDefault="0034060E" w:rsidP="00453A36">
                  <w:pPr>
                    <w:pStyle w:val="TableColumnHeading"/>
                    <w:ind w:right="28"/>
                  </w:pPr>
                  <w:proofErr w:type="spellStart"/>
                  <w:r>
                    <w:t>Tas</w:t>
                  </w:r>
                  <w:proofErr w:type="spellEnd"/>
                </w:p>
              </w:tc>
              <w:tc>
                <w:tcPr>
                  <w:tcW w:w="419" w:type="pct"/>
                  <w:tcBorders>
                    <w:bottom w:val="single" w:sz="6" w:space="0" w:color="BFBFBF"/>
                  </w:tcBorders>
                </w:tcPr>
                <w:p w14:paraId="00BB3768" w14:textId="77777777" w:rsidR="0034060E" w:rsidRDefault="0034060E" w:rsidP="00453A36">
                  <w:pPr>
                    <w:pStyle w:val="TableColumnHeading"/>
                    <w:ind w:right="28"/>
                  </w:pPr>
                  <w:r>
                    <w:t>NT</w:t>
                  </w:r>
                </w:p>
              </w:tc>
              <w:tc>
                <w:tcPr>
                  <w:tcW w:w="419" w:type="pct"/>
                  <w:tcBorders>
                    <w:bottom w:val="single" w:sz="6" w:space="0" w:color="BFBFBF"/>
                  </w:tcBorders>
                  <w:shd w:val="clear" w:color="auto" w:fill="auto"/>
                  <w:tcMar>
                    <w:top w:w="28" w:type="dxa"/>
                  </w:tcMar>
                </w:tcPr>
                <w:p w14:paraId="00BB3769" w14:textId="77777777" w:rsidR="0034060E" w:rsidRDefault="0034060E" w:rsidP="00453A36">
                  <w:pPr>
                    <w:pStyle w:val="TableColumnHeading"/>
                    <w:ind w:right="28"/>
                  </w:pPr>
                  <w:r>
                    <w:t>ACT</w:t>
                  </w:r>
                </w:p>
              </w:tc>
              <w:tc>
                <w:tcPr>
                  <w:tcW w:w="419" w:type="pct"/>
                  <w:tcBorders>
                    <w:bottom w:val="single" w:sz="6" w:space="0" w:color="BFBFBF"/>
                  </w:tcBorders>
                </w:tcPr>
                <w:p w14:paraId="00BB376A" w14:textId="77777777" w:rsidR="0034060E" w:rsidRDefault="0034060E" w:rsidP="0051512F">
                  <w:pPr>
                    <w:pStyle w:val="TableColumnHeading"/>
                  </w:pPr>
                  <w:proofErr w:type="spellStart"/>
                  <w:r>
                    <w:t>Aust</w:t>
                  </w:r>
                  <w:proofErr w:type="spellEnd"/>
                </w:p>
              </w:tc>
              <w:tc>
                <w:tcPr>
                  <w:tcW w:w="489" w:type="pct"/>
                  <w:tcBorders>
                    <w:bottom w:val="single" w:sz="6" w:space="0" w:color="BFBFBF"/>
                  </w:tcBorders>
                  <w:shd w:val="clear" w:color="auto" w:fill="F2F2F2" w:themeFill="accent4"/>
                </w:tcPr>
                <w:p w14:paraId="00BB376B" w14:textId="77777777" w:rsidR="0034060E" w:rsidRDefault="0034060E" w:rsidP="0051512F">
                  <w:pPr>
                    <w:pStyle w:val="TableColumnHeading"/>
                  </w:pPr>
                  <w:proofErr w:type="spellStart"/>
                  <w:r>
                    <w:t>Aust</w:t>
                  </w:r>
                  <w:proofErr w:type="spellEnd"/>
                </w:p>
              </w:tc>
            </w:tr>
            <w:tr w:rsidR="0034060E" w14:paraId="00BB3778" w14:textId="77777777" w:rsidTr="0051512F">
              <w:tc>
                <w:tcPr>
                  <w:tcW w:w="736" w:type="pct"/>
                  <w:tcBorders>
                    <w:top w:val="single" w:sz="6" w:space="0" w:color="BFBFBF"/>
                  </w:tcBorders>
                </w:tcPr>
                <w:p w14:paraId="00BB376D" w14:textId="77777777" w:rsidR="0034060E" w:rsidRPr="00317B20" w:rsidRDefault="0034060E" w:rsidP="0051512F">
                  <w:pPr>
                    <w:spacing w:before="40" w:after="40"/>
                    <w:rPr>
                      <w:rFonts w:ascii="Arial" w:hAnsi="Arial" w:cs="Arial"/>
                      <w:sz w:val="20"/>
                      <w:szCs w:val="20"/>
                    </w:rPr>
                  </w:pPr>
                </w:p>
              </w:tc>
              <w:tc>
                <w:tcPr>
                  <w:tcW w:w="419" w:type="pct"/>
                  <w:tcBorders>
                    <w:top w:val="single" w:sz="6" w:space="0" w:color="BFBFBF"/>
                  </w:tcBorders>
                  <w:vAlign w:val="bottom"/>
                </w:tcPr>
                <w:p w14:paraId="00BB376E"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6F"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0"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1"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2"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3"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4"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5" w14:textId="77777777" w:rsidR="0034060E" w:rsidRDefault="0034060E" w:rsidP="0051512F">
                  <w:pPr>
                    <w:pStyle w:val="TableBodyText"/>
                    <w:spacing w:before="40"/>
                  </w:pPr>
                  <w:r>
                    <w:t>‘000</w:t>
                  </w:r>
                </w:p>
              </w:tc>
              <w:tc>
                <w:tcPr>
                  <w:tcW w:w="419" w:type="pct"/>
                  <w:tcBorders>
                    <w:top w:val="single" w:sz="6" w:space="0" w:color="BFBFBF"/>
                  </w:tcBorders>
                  <w:vAlign w:val="bottom"/>
                </w:tcPr>
                <w:p w14:paraId="00BB3776" w14:textId="77777777" w:rsidR="0034060E" w:rsidRDefault="0034060E" w:rsidP="0051512F">
                  <w:pPr>
                    <w:pStyle w:val="TableBodyText"/>
                    <w:spacing w:before="40"/>
                  </w:pPr>
                  <w:r>
                    <w:t>‘000</w:t>
                  </w:r>
                </w:p>
              </w:tc>
              <w:tc>
                <w:tcPr>
                  <w:tcW w:w="489" w:type="pct"/>
                  <w:tcBorders>
                    <w:top w:val="single" w:sz="6" w:space="0" w:color="BFBFBF"/>
                  </w:tcBorders>
                  <w:shd w:val="clear" w:color="auto" w:fill="F2F2F2" w:themeFill="accent4"/>
                  <w:vAlign w:val="bottom"/>
                </w:tcPr>
                <w:p w14:paraId="00BB3777" w14:textId="77777777" w:rsidR="0034060E" w:rsidRDefault="0034060E" w:rsidP="0051512F">
                  <w:pPr>
                    <w:pStyle w:val="TableBodyText"/>
                    <w:spacing w:before="40"/>
                  </w:pPr>
                  <w:r>
                    <w:t>‘000</w:t>
                  </w:r>
                </w:p>
              </w:tc>
            </w:tr>
            <w:tr w:rsidR="0034060E" w14:paraId="00BB3784" w14:textId="77777777" w:rsidTr="0051512F">
              <w:tc>
                <w:tcPr>
                  <w:tcW w:w="736" w:type="pct"/>
                </w:tcPr>
                <w:p w14:paraId="00BB3779" w14:textId="77777777" w:rsidR="0034060E" w:rsidRPr="00317B20" w:rsidRDefault="0034060E" w:rsidP="0051512F">
                  <w:pPr>
                    <w:pStyle w:val="TableBodyText"/>
                    <w:spacing w:after="80"/>
                    <w:jc w:val="left"/>
                  </w:pPr>
                  <w:r w:rsidRPr="00317B20">
                    <w:t>Managers</w:t>
                  </w:r>
                </w:p>
              </w:tc>
              <w:tc>
                <w:tcPr>
                  <w:tcW w:w="419" w:type="pct"/>
                </w:tcPr>
                <w:p w14:paraId="00BB377A" w14:textId="77777777" w:rsidR="0034060E" w:rsidRDefault="0034060E" w:rsidP="0051512F">
                  <w:pPr>
                    <w:pStyle w:val="TableBodyText"/>
                    <w:spacing w:after="80"/>
                  </w:pPr>
                  <w:r>
                    <w:t>464</w:t>
                  </w:r>
                </w:p>
              </w:tc>
              <w:tc>
                <w:tcPr>
                  <w:tcW w:w="419" w:type="pct"/>
                </w:tcPr>
                <w:p w14:paraId="00BB377B" w14:textId="77777777" w:rsidR="0034060E" w:rsidRDefault="0034060E" w:rsidP="0051512F">
                  <w:pPr>
                    <w:pStyle w:val="TableBodyText"/>
                    <w:spacing w:after="80"/>
                  </w:pPr>
                  <w:r>
                    <w:t>365</w:t>
                  </w:r>
                </w:p>
              </w:tc>
              <w:tc>
                <w:tcPr>
                  <w:tcW w:w="419" w:type="pct"/>
                </w:tcPr>
                <w:p w14:paraId="00BB377C" w14:textId="77777777" w:rsidR="0034060E" w:rsidRDefault="0034060E" w:rsidP="0051512F">
                  <w:pPr>
                    <w:pStyle w:val="TableBodyText"/>
                    <w:spacing w:after="80"/>
                  </w:pPr>
                  <w:r>
                    <w:t>301</w:t>
                  </w:r>
                </w:p>
              </w:tc>
              <w:tc>
                <w:tcPr>
                  <w:tcW w:w="419" w:type="pct"/>
                </w:tcPr>
                <w:p w14:paraId="00BB377D" w14:textId="77777777" w:rsidR="0034060E" w:rsidRDefault="0034060E" w:rsidP="0051512F">
                  <w:pPr>
                    <w:pStyle w:val="TableBodyText"/>
                    <w:spacing w:after="80"/>
                  </w:pPr>
                  <w:r>
                    <w:t>112</w:t>
                  </w:r>
                </w:p>
              </w:tc>
              <w:tc>
                <w:tcPr>
                  <w:tcW w:w="419" w:type="pct"/>
                </w:tcPr>
                <w:p w14:paraId="00BB377E" w14:textId="77777777" w:rsidR="0034060E" w:rsidRDefault="0034060E" w:rsidP="0051512F">
                  <w:pPr>
                    <w:pStyle w:val="TableBodyText"/>
                    <w:spacing w:after="80"/>
                  </w:pPr>
                  <w:r>
                    <w:t>177</w:t>
                  </w:r>
                </w:p>
              </w:tc>
              <w:tc>
                <w:tcPr>
                  <w:tcW w:w="419" w:type="pct"/>
                </w:tcPr>
                <w:p w14:paraId="00BB377F" w14:textId="77777777" w:rsidR="0034060E" w:rsidRDefault="0034060E" w:rsidP="0051512F">
                  <w:pPr>
                    <w:pStyle w:val="TableBodyText"/>
                    <w:spacing w:after="80"/>
                  </w:pPr>
                  <w:r>
                    <w:t>33</w:t>
                  </w:r>
                </w:p>
              </w:tc>
              <w:tc>
                <w:tcPr>
                  <w:tcW w:w="419" w:type="pct"/>
                </w:tcPr>
                <w:p w14:paraId="00BB3780" w14:textId="77777777" w:rsidR="0034060E" w:rsidRDefault="0034060E" w:rsidP="0051512F">
                  <w:pPr>
                    <w:pStyle w:val="TableBodyText"/>
                    <w:spacing w:after="80"/>
                  </w:pPr>
                  <w:r>
                    <w:t>18</w:t>
                  </w:r>
                </w:p>
              </w:tc>
              <w:tc>
                <w:tcPr>
                  <w:tcW w:w="419" w:type="pct"/>
                </w:tcPr>
                <w:p w14:paraId="00BB3781" w14:textId="77777777" w:rsidR="0034060E" w:rsidRDefault="0034060E" w:rsidP="0051512F">
                  <w:pPr>
                    <w:pStyle w:val="TableBodyText"/>
                    <w:spacing w:after="80"/>
                  </w:pPr>
                  <w:r>
                    <w:t>28</w:t>
                  </w:r>
                </w:p>
              </w:tc>
              <w:tc>
                <w:tcPr>
                  <w:tcW w:w="419" w:type="pct"/>
                </w:tcPr>
                <w:p w14:paraId="00BB3782" w14:textId="77777777" w:rsidR="0034060E" w:rsidRDefault="0034060E" w:rsidP="0051512F">
                  <w:pPr>
                    <w:pStyle w:val="TableBodyText"/>
                    <w:spacing w:after="80"/>
                  </w:pPr>
                  <w:r>
                    <w:t>1 497</w:t>
                  </w:r>
                </w:p>
              </w:tc>
              <w:tc>
                <w:tcPr>
                  <w:tcW w:w="489" w:type="pct"/>
                  <w:shd w:val="clear" w:color="auto" w:fill="F2F2F2" w:themeFill="accent4"/>
                </w:tcPr>
                <w:p w14:paraId="00BB3783" w14:textId="77777777" w:rsidR="0034060E" w:rsidRDefault="0034060E" w:rsidP="0051512F">
                  <w:pPr>
                    <w:pStyle w:val="TableBodyText"/>
                    <w:spacing w:after="80"/>
                  </w:pPr>
                  <w:r>
                    <w:t>1 475</w:t>
                  </w:r>
                </w:p>
              </w:tc>
            </w:tr>
            <w:tr w:rsidR="0034060E" w14:paraId="00BB3790" w14:textId="77777777" w:rsidTr="0051512F">
              <w:tc>
                <w:tcPr>
                  <w:tcW w:w="736" w:type="pct"/>
                </w:tcPr>
                <w:p w14:paraId="00BB3785" w14:textId="77777777" w:rsidR="0034060E" w:rsidRPr="00317B20" w:rsidRDefault="0034060E" w:rsidP="0051512F">
                  <w:pPr>
                    <w:pStyle w:val="TableBodyText"/>
                    <w:spacing w:after="80"/>
                    <w:jc w:val="left"/>
                  </w:pPr>
                  <w:r w:rsidRPr="00317B20">
                    <w:t>Professionals</w:t>
                  </w:r>
                </w:p>
              </w:tc>
              <w:tc>
                <w:tcPr>
                  <w:tcW w:w="419" w:type="pct"/>
                </w:tcPr>
                <w:p w14:paraId="00BB3786" w14:textId="77777777" w:rsidR="0034060E" w:rsidRDefault="0034060E" w:rsidP="0051512F">
                  <w:pPr>
                    <w:pStyle w:val="TableBodyText"/>
                    <w:spacing w:after="80"/>
                  </w:pPr>
                  <w:r>
                    <w:t>807</w:t>
                  </w:r>
                </w:p>
              </w:tc>
              <w:tc>
                <w:tcPr>
                  <w:tcW w:w="419" w:type="pct"/>
                </w:tcPr>
                <w:p w14:paraId="00BB3787" w14:textId="77777777" w:rsidR="0034060E" w:rsidRDefault="0034060E" w:rsidP="0051512F">
                  <w:pPr>
                    <w:pStyle w:val="TableBodyText"/>
                    <w:spacing w:after="80"/>
                  </w:pPr>
                  <w:r>
                    <w:t>622</w:t>
                  </w:r>
                </w:p>
              </w:tc>
              <w:tc>
                <w:tcPr>
                  <w:tcW w:w="419" w:type="pct"/>
                </w:tcPr>
                <w:p w14:paraId="00BB3788" w14:textId="77777777" w:rsidR="0034060E" w:rsidRDefault="0034060E" w:rsidP="0051512F">
                  <w:pPr>
                    <w:pStyle w:val="TableBodyText"/>
                    <w:spacing w:after="80"/>
                  </w:pPr>
                  <w:r>
                    <w:t>491</w:t>
                  </w:r>
                </w:p>
              </w:tc>
              <w:tc>
                <w:tcPr>
                  <w:tcW w:w="419" w:type="pct"/>
                </w:tcPr>
                <w:p w14:paraId="00BB3789" w14:textId="77777777" w:rsidR="0034060E" w:rsidRDefault="0034060E" w:rsidP="0051512F">
                  <w:pPr>
                    <w:pStyle w:val="TableBodyText"/>
                    <w:spacing w:after="80"/>
                  </w:pPr>
                  <w:r>
                    <w:t>178</w:t>
                  </w:r>
                </w:p>
              </w:tc>
              <w:tc>
                <w:tcPr>
                  <w:tcW w:w="419" w:type="pct"/>
                </w:tcPr>
                <w:p w14:paraId="00BB378A" w14:textId="77777777" w:rsidR="0034060E" w:rsidRDefault="0034060E" w:rsidP="0051512F">
                  <w:pPr>
                    <w:pStyle w:val="TableBodyText"/>
                    <w:spacing w:after="80"/>
                  </w:pPr>
                  <w:r>
                    <w:t>286</w:t>
                  </w:r>
                </w:p>
              </w:tc>
              <w:tc>
                <w:tcPr>
                  <w:tcW w:w="419" w:type="pct"/>
                </w:tcPr>
                <w:p w14:paraId="00BB378B" w14:textId="77777777" w:rsidR="0034060E" w:rsidRDefault="0034060E" w:rsidP="0051512F">
                  <w:pPr>
                    <w:pStyle w:val="TableBodyText"/>
                    <w:spacing w:after="80"/>
                  </w:pPr>
                  <w:r>
                    <w:t>54</w:t>
                  </w:r>
                </w:p>
              </w:tc>
              <w:tc>
                <w:tcPr>
                  <w:tcW w:w="419" w:type="pct"/>
                </w:tcPr>
                <w:p w14:paraId="00BB378C" w14:textId="77777777" w:rsidR="0034060E" w:rsidRDefault="0034060E" w:rsidP="0051512F">
                  <w:pPr>
                    <w:pStyle w:val="TableBodyText"/>
                    <w:spacing w:after="80"/>
                  </w:pPr>
                  <w:r>
                    <w:t>29</w:t>
                  </w:r>
                </w:p>
              </w:tc>
              <w:tc>
                <w:tcPr>
                  <w:tcW w:w="419" w:type="pct"/>
                </w:tcPr>
                <w:p w14:paraId="00BB378D" w14:textId="77777777" w:rsidR="0034060E" w:rsidRDefault="0034060E" w:rsidP="0051512F">
                  <w:pPr>
                    <w:pStyle w:val="TableBodyText"/>
                    <w:spacing w:after="80"/>
                  </w:pPr>
                  <w:r>
                    <w:t>55</w:t>
                  </w:r>
                </w:p>
              </w:tc>
              <w:tc>
                <w:tcPr>
                  <w:tcW w:w="419" w:type="pct"/>
                </w:tcPr>
                <w:p w14:paraId="00BB378E" w14:textId="77777777" w:rsidR="0034060E" w:rsidRDefault="0034060E" w:rsidP="0051512F">
                  <w:pPr>
                    <w:pStyle w:val="TableBodyText"/>
                    <w:spacing w:after="80"/>
                  </w:pPr>
                  <w:r>
                    <w:t>2 522</w:t>
                  </w:r>
                </w:p>
              </w:tc>
              <w:tc>
                <w:tcPr>
                  <w:tcW w:w="489" w:type="pct"/>
                  <w:shd w:val="clear" w:color="auto" w:fill="F2F2F2" w:themeFill="accent4"/>
                </w:tcPr>
                <w:p w14:paraId="00BB378F" w14:textId="77777777" w:rsidR="0034060E" w:rsidRDefault="0034060E" w:rsidP="0051512F">
                  <w:pPr>
                    <w:pStyle w:val="TableBodyText"/>
                    <w:spacing w:after="80"/>
                  </w:pPr>
                  <w:r>
                    <w:t>2 543</w:t>
                  </w:r>
                </w:p>
              </w:tc>
            </w:tr>
            <w:tr w:rsidR="0034060E" w14:paraId="00BB379C" w14:textId="77777777" w:rsidTr="0051512F">
              <w:tc>
                <w:tcPr>
                  <w:tcW w:w="736" w:type="pct"/>
                </w:tcPr>
                <w:p w14:paraId="00BB3791" w14:textId="77777777" w:rsidR="0034060E" w:rsidRPr="00317B20" w:rsidRDefault="0034060E" w:rsidP="0051512F">
                  <w:pPr>
                    <w:pStyle w:val="TableBodyText"/>
                    <w:spacing w:after="80"/>
                    <w:jc w:val="left"/>
                  </w:pPr>
                  <w:r w:rsidRPr="00317B20">
                    <w:t>Technicians and Trades Workers</w:t>
                  </w:r>
                </w:p>
              </w:tc>
              <w:tc>
                <w:tcPr>
                  <w:tcW w:w="419" w:type="pct"/>
                </w:tcPr>
                <w:p w14:paraId="00BB3792" w14:textId="77777777" w:rsidR="0034060E" w:rsidRDefault="0034060E" w:rsidP="0051512F">
                  <w:pPr>
                    <w:pStyle w:val="TableBodyText"/>
                    <w:spacing w:after="80"/>
                  </w:pPr>
                  <w:r>
                    <w:t>493</w:t>
                  </w:r>
                </w:p>
              </w:tc>
              <w:tc>
                <w:tcPr>
                  <w:tcW w:w="419" w:type="pct"/>
                </w:tcPr>
                <w:p w14:paraId="00BB3793" w14:textId="77777777" w:rsidR="0034060E" w:rsidRDefault="0034060E" w:rsidP="0051512F">
                  <w:pPr>
                    <w:pStyle w:val="TableBodyText"/>
                    <w:spacing w:after="80"/>
                  </w:pPr>
                  <w:r>
                    <w:t>382</w:t>
                  </w:r>
                </w:p>
              </w:tc>
              <w:tc>
                <w:tcPr>
                  <w:tcW w:w="419" w:type="pct"/>
                </w:tcPr>
                <w:p w14:paraId="00BB3794" w14:textId="77777777" w:rsidR="0034060E" w:rsidRDefault="0034060E" w:rsidP="0051512F">
                  <w:pPr>
                    <w:pStyle w:val="TableBodyText"/>
                    <w:spacing w:after="80"/>
                  </w:pPr>
                  <w:r>
                    <w:t>347</w:t>
                  </w:r>
                </w:p>
              </w:tc>
              <w:tc>
                <w:tcPr>
                  <w:tcW w:w="419" w:type="pct"/>
                </w:tcPr>
                <w:p w14:paraId="00BB3795" w14:textId="77777777" w:rsidR="0034060E" w:rsidRDefault="0034060E" w:rsidP="0051512F">
                  <w:pPr>
                    <w:pStyle w:val="TableBodyText"/>
                    <w:spacing w:after="80"/>
                  </w:pPr>
                  <w:r>
                    <w:t>117</w:t>
                  </w:r>
                </w:p>
              </w:tc>
              <w:tc>
                <w:tcPr>
                  <w:tcW w:w="419" w:type="pct"/>
                </w:tcPr>
                <w:p w14:paraId="00BB3796" w14:textId="77777777" w:rsidR="0034060E" w:rsidRDefault="0034060E" w:rsidP="0051512F">
                  <w:pPr>
                    <w:pStyle w:val="TableBodyText"/>
                    <w:spacing w:after="80"/>
                  </w:pPr>
                  <w:r>
                    <w:t>217</w:t>
                  </w:r>
                </w:p>
              </w:tc>
              <w:tc>
                <w:tcPr>
                  <w:tcW w:w="419" w:type="pct"/>
                </w:tcPr>
                <w:p w14:paraId="00BB3797" w14:textId="77777777" w:rsidR="0034060E" w:rsidRDefault="0034060E" w:rsidP="0051512F">
                  <w:pPr>
                    <w:pStyle w:val="TableBodyText"/>
                    <w:spacing w:after="80"/>
                  </w:pPr>
                  <w:r>
                    <w:t>34</w:t>
                  </w:r>
                </w:p>
              </w:tc>
              <w:tc>
                <w:tcPr>
                  <w:tcW w:w="419" w:type="pct"/>
                </w:tcPr>
                <w:p w14:paraId="00BB3798" w14:textId="77777777" w:rsidR="0034060E" w:rsidRDefault="0034060E" w:rsidP="0051512F">
                  <w:pPr>
                    <w:pStyle w:val="TableBodyText"/>
                    <w:spacing w:after="80"/>
                  </w:pPr>
                  <w:r>
                    <w:t>19</w:t>
                  </w:r>
                </w:p>
              </w:tc>
              <w:tc>
                <w:tcPr>
                  <w:tcW w:w="419" w:type="pct"/>
                </w:tcPr>
                <w:p w14:paraId="00BB3799" w14:textId="77777777" w:rsidR="0034060E" w:rsidRDefault="0034060E" w:rsidP="0051512F">
                  <w:pPr>
                    <w:pStyle w:val="TableBodyText"/>
                    <w:spacing w:after="80"/>
                  </w:pPr>
                  <w:r>
                    <w:t>21</w:t>
                  </w:r>
                </w:p>
              </w:tc>
              <w:tc>
                <w:tcPr>
                  <w:tcW w:w="419" w:type="pct"/>
                </w:tcPr>
                <w:p w14:paraId="00BB379A" w14:textId="77777777" w:rsidR="0034060E" w:rsidRDefault="0034060E" w:rsidP="0051512F">
                  <w:pPr>
                    <w:pStyle w:val="TableBodyText"/>
                    <w:spacing w:after="80"/>
                  </w:pPr>
                  <w:r>
                    <w:t>1 630</w:t>
                  </w:r>
                </w:p>
              </w:tc>
              <w:tc>
                <w:tcPr>
                  <w:tcW w:w="489" w:type="pct"/>
                  <w:shd w:val="clear" w:color="auto" w:fill="F2F2F2" w:themeFill="accent4"/>
                </w:tcPr>
                <w:p w14:paraId="00BB379B" w14:textId="77777777" w:rsidR="0034060E" w:rsidRDefault="0034060E" w:rsidP="0051512F">
                  <w:pPr>
                    <w:pStyle w:val="TableBodyText"/>
                    <w:spacing w:after="80"/>
                  </w:pPr>
                  <w:r>
                    <w:t>1 670</w:t>
                  </w:r>
                </w:p>
              </w:tc>
            </w:tr>
            <w:tr w:rsidR="0034060E" w14:paraId="00BB37A8" w14:textId="77777777" w:rsidTr="0051512F">
              <w:tc>
                <w:tcPr>
                  <w:tcW w:w="736" w:type="pct"/>
                </w:tcPr>
                <w:p w14:paraId="00BB379D" w14:textId="77777777" w:rsidR="0034060E" w:rsidRPr="00317B20" w:rsidRDefault="0034060E" w:rsidP="0051512F">
                  <w:pPr>
                    <w:pStyle w:val="TableBodyText"/>
                    <w:spacing w:after="80"/>
                    <w:jc w:val="left"/>
                  </w:pPr>
                  <w:r w:rsidRPr="00317B20">
                    <w:t>Community and Personal Service Workers</w:t>
                  </w:r>
                </w:p>
              </w:tc>
              <w:tc>
                <w:tcPr>
                  <w:tcW w:w="419" w:type="pct"/>
                </w:tcPr>
                <w:p w14:paraId="00BB379E" w14:textId="77777777" w:rsidR="0034060E" w:rsidRDefault="0034060E" w:rsidP="0051512F">
                  <w:pPr>
                    <w:pStyle w:val="TableBodyText"/>
                    <w:spacing w:after="80"/>
                  </w:pPr>
                  <w:r>
                    <w:t>345</w:t>
                  </w:r>
                </w:p>
              </w:tc>
              <w:tc>
                <w:tcPr>
                  <w:tcW w:w="419" w:type="pct"/>
                </w:tcPr>
                <w:p w14:paraId="00BB379F" w14:textId="77777777" w:rsidR="0034060E" w:rsidRDefault="0034060E" w:rsidP="0051512F">
                  <w:pPr>
                    <w:pStyle w:val="TableBodyText"/>
                    <w:spacing w:after="80"/>
                  </w:pPr>
                  <w:r>
                    <w:t>278</w:t>
                  </w:r>
                </w:p>
              </w:tc>
              <w:tc>
                <w:tcPr>
                  <w:tcW w:w="419" w:type="pct"/>
                </w:tcPr>
                <w:p w14:paraId="00BB37A0" w14:textId="77777777" w:rsidR="0034060E" w:rsidRDefault="0034060E" w:rsidP="0051512F">
                  <w:pPr>
                    <w:pStyle w:val="TableBodyText"/>
                    <w:spacing w:after="80"/>
                  </w:pPr>
                  <w:r>
                    <w:t>230</w:t>
                  </w:r>
                </w:p>
              </w:tc>
              <w:tc>
                <w:tcPr>
                  <w:tcW w:w="419" w:type="pct"/>
                </w:tcPr>
                <w:p w14:paraId="00BB37A1" w14:textId="77777777" w:rsidR="0034060E" w:rsidRDefault="0034060E" w:rsidP="0051512F">
                  <w:pPr>
                    <w:pStyle w:val="TableBodyText"/>
                    <w:spacing w:after="80"/>
                  </w:pPr>
                  <w:r>
                    <w:t>93</w:t>
                  </w:r>
                </w:p>
              </w:tc>
              <w:tc>
                <w:tcPr>
                  <w:tcW w:w="419" w:type="pct"/>
                </w:tcPr>
                <w:p w14:paraId="00BB37A2" w14:textId="77777777" w:rsidR="0034060E" w:rsidRDefault="0034060E" w:rsidP="0051512F">
                  <w:pPr>
                    <w:pStyle w:val="TableBodyText"/>
                    <w:spacing w:after="80"/>
                  </w:pPr>
                  <w:r>
                    <w:t>120</w:t>
                  </w:r>
                </w:p>
              </w:tc>
              <w:tc>
                <w:tcPr>
                  <w:tcW w:w="419" w:type="pct"/>
                </w:tcPr>
                <w:p w14:paraId="00BB37A3" w14:textId="77777777" w:rsidR="0034060E" w:rsidRDefault="0034060E" w:rsidP="0051512F">
                  <w:pPr>
                    <w:pStyle w:val="TableBodyText"/>
                    <w:spacing w:after="80"/>
                  </w:pPr>
                  <w:r>
                    <w:t>27</w:t>
                  </w:r>
                </w:p>
              </w:tc>
              <w:tc>
                <w:tcPr>
                  <w:tcW w:w="419" w:type="pct"/>
                </w:tcPr>
                <w:p w14:paraId="00BB37A4" w14:textId="77777777" w:rsidR="0034060E" w:rsidRDefault="0034060E" w:rsidP="0051512F">
                  <w:pPr>
                    <w:pStyle w:val="TableBodyText"/>
                    <w:spacing w:after="80"/>
                  </w:pPr>
                  <w:r>
                    <w:t>18</w:t>
                  </w:r>
                </w:p>
              </w:tc>
              <w:tc>
                <w:tcPr>
                  <w:tcW w:w="419" w:type="pct"/>
                </w:tcPr>
                <w:p w14:paraId="00BB37A5" w14:textId="77777777" w:rsidR="0034060E" w:rsidRDefault="0034060E" w:rsidP="0051512F">
                  <w:pPr>
                    <w:pStyle w:val="TableBodyText"/>
                    <w:spacing w:after="80"/>
                  </w:pPr>
                  <w:r>
                    <w:t>26</w:t>
                  </w:r>
                </w:p>
              </w:tc>
              <w:tc>
                <w:tcPr>
                  <w:tcW w:w="419" w:type="pct"/>
                </w:tcPr>
                <w:p w14:paraId="00BB37A6" w14:textId="77777777" w:rsidR="0034060E" w:rsidRDefault="0034060E" w:rsidP="0051512F">
                  <w:pPr>
                    <w:pStyle w:val="TableBodyText"/>
                    <w:spacing w:after="80"/>
                  </w:pPr>
                  <w:r>
                    <w:t>1 136</w:t>
                  </w:r>
                </w:p>
              </w:tc>
              <w:tc>
                <w:tcPr>
                  <w:tcW w:w="489" w:type="pct"/>
                  <w:shd w:val="clear" w:color="auto" w:fill="F2F2F2" w:themeFill="accent4"/>
                </w:tcPr>
                <w:p w14:paraId="00BB37A7" w14:textId="77777777" w:rsidR="0034060E" w:rsidRDefault="0034060E" w:rsidP="0051512F">
                  <w:pPr>
                    <w:pStyle w:val="TableBodyText"/>
                    <w:spacing w:after="80"/>
                  </w:pPr>
                  <w:r>
                    <w:t>1 142</w:t>
                  </w:r>
                </w:p>
              </w:tc>
            </w:tr>
            <w:tr w:rsidR="0034060E" w14:paraId="00BB37B4" w14:textId="77777777" w:rsidTr="0051512F">
              <w:tc>
                <w:tcPr>
                  <w:tcW w:w="736" w:type="pct"/>
                </w:tcPr>
                <w:p w14:paraId="00BB37A9" w14:textId="77777777" w:rsidR="0034060E" w:rsidRPr="00317B20" w:rsidRDefault="0034060E" w:rsidP="0051512F">
                  <w:pPr>
                    <w:pStyle w:val="TableBodyText"/>
                    <w:spacing w:after="80"/>
                    <w:jc w:val="left"/>
                  </w:pPr>
                  <w:r w:rsidRPr="00317B20">
                    <w:t>Clerical and Administrative Workers</w:t>
                  </w:r>
                </w:p>
              </w:tc>
              <w:tc>
                <w:tcPr>
                  <w:tcW w:w="419" w:type="pct"/>
                </w:tcPr>
                <w:p w14:paraId="00BB37AA" w14:textId="77777777" w:rsidR="0034060E" w:rsidRDefault="0034060E" w:rsidP="0051512F">
                  <w:pPr>
                    <w:pStyle w:val="TableBodyText"/>
                    <w:spacing w:after="80"/>
                  </w:pPr>
                  <w:r>
                    <w:t>558</w:t>
                  </w:r>
                </w:p>
              </w:tc>
              <w:tc>
                <w:tcPr>
                  <w:tcW w:w="419" w:type="pct"/>
                </w:tcPr>
                <w:p w14:paraId="00BB37AB" w14:textId="77777777" w:rsidR="0034060E" w:rsidRDefault="0034060E" w:rsidP="0051512F">
                  <w:pPr>
                    <w:pStyle w:val="TableBodyText"/>
                    <w:spacing w:after="80"/>
                  </w:pPr>
                  <w:r>
                    <w:t>415</w:t>
                  </w:r>
                </w:p>
              </w:tc>
              <w:tc>
                <w:tcPr>
                  <w:tcW w:w="419" w:type="pct"/>
                </w:tcPr>
                <w:p w14:paraId="00BB37AC" w14:textId="77777777" w:rsidR="0034060E" w:rsidRDefault="0034060E" w:rsidP="0051512F">
                  <w:pPr>
                    <w:pStyle w:val="TableBodyText"/>
                    <w:spacing w:after="80"/>
                  </w:pPr>
                  <w:r>
                    <w:t>335</w:t>
                  </w:r>
                </w:p>
              </w:tc>
              <w:tc>
                <w:tcPr>
                  <w:tcW w:w="419" w:type="pct"/>
                </w:tcPr>
                <w:p w14:paraId="00BB37AD" w14:textId="77777777" w:rsidR="0034060E" w:rsidRDefault="0034060E" w:rsidP="0051512F">
                  <w:pPr>
                    <w:pStyle w:val="TableBodyText"/>
                    <w:spacing w:after="80"/>
                  </w:pPr>
                  <w:r>
                    <w:t>120</w:t>
                  </w:r>
                </w:p>
              </w:tc>
              <w:tc>
                <w:tcPr>
                  <w:tcW w:w="419" w:type="pct"/>
                </w:tcPr>
                <w:p w14:paraId="00BB37AE" w14:textId="77777777" w:rsidR="0034060E" w:rsidRDefault="0034060E" w:rsidP="0051512F">
                  <w:pPr>
                    <w:pStyle w:val="TableBodyText"/>
                    <w:spacing w:after="80"/>
                  </w:pPr>
                  <w:r>
                    <w:t>200</w:t>
                  </w:r>
                </w:p>
              </w:tc>
              <w:tc>
                <w:tcPr>
                  <w:tcW w:w="419" w:type="pct"/>
                </w:tcPr>
                <w:p w14:paraId="00BB37AF" w14:textId="77777777" w:rsidR="0034060E" w:rsidRDefault="0034060E" w:rsidP="0051512F">
                  <w:pPr>
                    <w:pStyle w:val="TableBodyText"/>
                    <w:spacing w:after="80"/>
                  </w:pPr>
                  <w:r>
                    <w:t>37</w:t>
                  </w:r>
                </w:p>
              </w:tc>
              <w:tc>
                <w:tcPr>
                  <w:tcW w:w="419" w:type="pct"/>
                </w:tcPr>
                <w:p w14:paraId="00BB37B0" w14:textId="77777777" w:rsidR="0034060E" w:rsidRDefault="0034060E" w:rsidP="0051512F">
                  <w:pPr>
                    <w:pStyle w:val="TableBodyText"/>
                    <w:spacing w:after="80"/>
                  </w:pPr>
                  <w:r>
                    <w:t>21</w:t>
                  </w:r>
                </w:p>
              </w:tc>
              <w:tc>
                <w:tcPr>
                  <w:tcW w:w="419" w:type="pct"/>
                </w:tcPr>
                <w:p w14:paraId="00BB37B1" w14:textId="77777777" w:rsidR="0034060E" w:rsidRDefault="0034060E" w:rsidP="0051512F">
                  <w:pPr>
                    <w:pStyle w:val="TableBodyText"/>
                    <w:spacing w:after="80"/>
                  </w:pPr>
                  <w:r>
                    <w:t>45</w:t>
                  </w:r>
                </w:p>
              </w:tc>
              <w:tc>
                <w:tcPr>
                  <w:tcW w:w="419" w:type="pct"/>
                </w:tcPr>
                <w:p w14:paraId="00BB37B2" w14:textId="77777777" w:rsidR="0034060E" w:rsidRDefault="0034060E" w:rsidP="0051512F">
                  <w:pPr>
                    <w:pStyle w:val="TableBodyText"/>
                    <w:spacing w:after="80"/>
                  </w:pPr>
                  <w:r>
                    <w:t>1 730</w:t>
                  </w:r>
                </w:p>
              </w:tc>
              <w:tc>
                <w:tcPr>
                  <w:tcW w:w="489" w:type="pct"/>
                  <w:shd w:val="clear" w:color="auto" w:fill="F2F2F2" w:themeFill="accent4"/>
                </w:tcPr>
                <w:p w14:paraId="00BB37B3" w14:textId="77777777" w:rsidR="0034060E" w:rsidRDefault="0034060E" w:rsidP="0051512F">
                  <w:pPr>
                    <w:pStyle w:val="TableBodyText"/>
                    <w:spacing w:after="80"/>
                  </w:pPr>
                  <w:r>
                    <w:t>1 654</w:t>
                  </w:r>
                </w:p>
              </w:tc>
            </w:tr>
            <w:tr w:rsidR="0034060E" w14:paraId="00BB37C0" w14:textId="77777777" w:rsidTr="0051512F">
              <w:tc>
                <w:tcPr>
                  <w:tcW w:w="736" w:type="pct"/>
                </w:tcPr>
                <w:p w14:paraId="00BB37B5" w14:textId="77777777" w:rsidR="0034060E" w:rsidRPr="00317B20" w:rsidRDefault="0034060E" w:rsidP="0051512F">
                  <w:pPr>
                    <w:pStyle w:val="TableBodyText"/>
                    <w:spacing w:after="80"/>
                    <w:jc w:val="left"/>
                  </w:pPr>
                  <w:r w:rsidRPr="00317B20">
                    <w:t>Sales Workers</w:t>
                  </w:r>
                </w:p>
              </w:tc>
              <w:tc>
                <w:tcPr>
                  <w:tcW w:w="419" w:type="pct"/>
                </w:tcPr>
                <w:p w14:paraId="00BB37B6" w14:textId="77777777" w:rsidR="0034060E" w:rsidRDefault="0034060E" w:rsidP="0051512F">
                  <w:pPr>
                    <w:pStyle w:val="TableBodyText"/>
                    <w:spacing w:after="80"/>
                  </w:pPr>
                  <w:r>
                    <w:t>349</w:t>
                  </w:r>
                </w:p>
              </w:tc>
              <w:tc>
                <w:tcPr>
                  <w:tcW w:w="419" w:type="pct"/>
                </w:tcPr>
                <w:p w14:paraId="00BB37B7" w14:textId="77777777" w:rsidR="0034060E" w:rsidRDefault="0034060E" w:rsidP="0051512F">
                  <w:pPr>
                    <w:pStyle w:val="TableBodyText"/>
                    <w:spacing w:after="80"/>
                  </w:pPr>
                  <w:r>
                    <w:t>269</w:t>
                  </w:r>
                </w:p>
              </w:tc>
              <w:tc>
                <w:tcPr>
                  <w:tcW w:w="419" w:type="pct"/>
                </w:tcPr>
                <w:p w14:paraId="00BB37B8" w14:textId="77777777" w:rsidR="0034060E" w:rsidRDefault="0034060E" w:rsidP="0051512F">
                  <w:pPr>
                    <w:pStyle w:val="TableBodyText"/>
                    <w:spacing w:after="80"/>
                  </w:pPr>
                  <w:r>
                    <w:t>216</w:t>
                  </w:r>
                </w:p>
              </w:tc>
              <w:tc>
                <w:tcPr>
                  <w:tcW w:w="419" w:type="pct"/>
                </w:tcPr>
                <w:p w14:paraId="00BB37B9" w14:textId="77777777" w:rsidR="0034060E" w:rsidRDefault="0034060E" w:rsidP="0051512F">
                  <w:pPr>
                    <w:pStyle w:val="TableBodyText"/>
                    <w:spacing w:after="80"/>
                  </w:pPr>
                  <w:r>
                    <w:t>77</w:t>
                  </w:r>
                </w:p>
              </w:tc>
              <w:tc>
                <w:tcPr>
                  <w:tcW w:w="419" w:type="pct"/>
                </w:tcPr>
                <w:p w14:paraId="00BB37BA" w14:textId="77777777" w:rsidR="0034060E" w:rsidRDefault="0034060E" w:rsidP="0051512F">
                  <w:pPr>
                    <w:pStyle w:val="TableBodyText"/>
                    <w:spacing w:after="80"/>
                  </w:pPr>
                  <w:r>
                    <w:t>123</w:t>
                  </w:r>
                </w:p>
              </w:tc>
              <w:tc>
                <w:tcPr>
                  <w:tcW w:w="419" w:type="pct"/>
                </w:tcPr>
                <w:p w14:paraId="00BB37BB" w14:textId="77777777" w:rsidR="0034060E" w:rsidRDefault="0034060E" w:rsidP="0051512F">
                  <w:pPr>
                    <w:pStyle w:val="TableBodyText"/>
                    <w:spacing w:after="80"/>
                  </w:pPr>
                  <w:r>
                    <w:t>24</w:t>
                  </w:r>
                </w:p>
              </w:tc>
              <w:tc>
                <w:tcPr>
                  <w:tcW w:w="419" w:type="pct"/>
                </w:tcPr>
                <w:p w14:paraId="00BB37BC" w14:textId="77777777" w:rsidR="0034060E" w:rsidRDefault="0034060E" w:rsidP="0051512F">
                  <w:pPr>
                    <w:pStyle w:val="TableBodyText"/>
                    <w:spacing w:after="80"/>
                  </w:pPr>
                  <w:r>
                    <w:t>12</w:t>
                  </w:r>
                </w:p>
              </w:tc>
              <w:tc>
                <w:tcPr>
                  <w:tcW w:w="419" w:type="pct"/>
                </w:tcPr>
                <w:p w14:paraId="00BB37BD" w14:textId="77777777" w:rsidR="0034060E" w:rsidRDefault="0034060E" w:rsidP="0051512F">
                  <w:pPr>
                    <w:pStyle w:val="TableBodyText"/>
                    <w:spacing w:after="80"/>
                  </w:pPr>
                  <w:r>
                    <w:t>15</w:t>
                  </w:r>
                </w:p>
              </w:tc>
              <w:tc>
                <w:tcPr>
                  <w:tcW w:w="419" w:type="pct"/>
                </w:tcPr>
                <w:p w14:paraId="00BB37BE" w14:textId="77777777" w:rsidR="0034060E" w:rsidRDefault="0034060E" w:rsidP="0051512F">
                  <w:pPr>
                    <w:pStyle w:val="TableBodyText"/>
                    <w:spacing w:after="80"/>
                  </w:pPr>
                  <w:r>
                    <w:t>1 085</w:t>
                  </w:r>
                </w:p>
              </w:tc>
              <w:tc>
                <w:tcPr>
                  <w:tcW w:w="489" w:type="pct"/>
                  <w:shd w:val="clear" w:color="auto" w:fill="F2F2F2" w:themeFill="accent4"/>
                </w:tcPr>
                <w:p w14:paraId="00BB37BF" w14:textId="77777777" w:rsidR="0034060E" w:rsidRDefault="0034060E" w:rsidP="0051512F">
                  <w:pPr>
                    <w:pStyle w:val="TableBodyText"/>
                    <w:spacing w:after="80"/>
                  </w:pPr>
                  <w:r>
                    <w:t>1 083</w:t>
                  </w:r>
                </w:p>
              </w:tc>
            </w:tr>
            <w:tr w:rsidR="0034060E" w14:paraId="00BB37CC" w14:textId="77777777" w:rsidTr="0051512F">
              <w:tc>
                <w:tcPr>
                  <w:tcW w:w="736" w:type="pct"/>
                </w:tcPr>
                <w:p w14:paraId="00BB37C1" w14:textId="77777777" w:rsidR="0034060E" w:rsidRPr="00317B20" w:rsidRDefault="0034060E" w:rsidP="0051512F">
                  <w:pPr>
                    <w:pStyle w:val="TableBodyText"/>
                    <w:spacing w:after="80"/>
                    <w:jc w:val="left"/>
                  </w:pPr>
                  <w:r w:rsidRPr="00317B20">
                    <w:t>Machinery Operators and Drivers</w:t>
                  </w:r>
                </w:p>
              </w:tc>
              <w:tc>
                <w:tcPr>
                  <w:tcW w:w="419" w:type="pct"/>
                </w:tcPr>
                <w:p w14:paraId="00BB37C2" w14:textId="77777777" w:rsidR="0034060E" w:rsidRDefault="0034060E" w:rsidP="0051512F">
                  <w:pPr>
                    <w:pStyle w:val="TableBodyText"/>
                    <w:spacing w:after="80"/>
                  </w:pPr>
                  <w:r>
                    <w:t>212</w:t>
                  </w:r>
                </w:p>
              </w:tc>
              <w:tc>
                <w:tcPr>
                  <w:tcW w:w="419" w:type="pct"/>
                </w:tcPr>
                <w:p w14:paraId="00BB37C3" w14:textId="77777777" w:rsidR="0034060E" w:rsidRDefault="0034060E" w:rsidP="0051512F">
                  <w:pPr>
                    <w:pStyle w:val="TableBodyText"/>
                    <w:spacing w:after="80"/>
                  </w:pPr>
                  <w:r>
                    <w:t>160</w:t>
                  </w:r>
                </w:p>
              </w:tc>
              <w:tc>
                <w:tcPr>
                  <w:tcW w:w="419" w:type="pct"/>
                </w:tcPr>
                <w:p w14:paraId="00BB37C4" w14:textId="77777777" w:rsidR="0034060E" w:rsidRDefault="0034060E" w:rsidP="0051512F">
                  <w:pPr>
                    <w:pStyle w:val="TableBodyText"/>
                    <w:spacing w:after="80"/>
                  </w:pPr>
                  <w:r>
                    <w:t>173</w:t>
                  </w:r>
                </w:p>
              </w:tc>
              <w:tc>
                <w:tcPr>
                  <w:tcW w:w="419" w:type="pct"/>
                </w:tcPr>
                <w:p w14:paraId="00BB37C5" w14:textId="77777777" w:rsidR="0034060E" w:rsidRDefault="0034060E" w:rsidP="0051512F">
                  <w:pPr>
                    <w:pStyle w:val="TableBodyText"/>
                    <w:spacing w:after="80"/>
                  </w:pPr>
                  <w:r>
                    <w:t>52</w:t>
                  </w:r>
                </w:p>
              </w:tc>
              <w:tc>
                <w:tcPr>
                  <w:tcW w:w="419" w:type="pct"/>
                </w:tcPr>
                <w:p w14:paraId="00BB37C6" w14:textId="77777777" w:rsidR="0034060E" w:rsidRDefault="0034060E" w:rsidP="0051512F">
                  <w:pPr>
                    <w:pStyle w:val="TableBodyText"/>
                    <w:spacing w:after="80"/>
                  </w:pPr>
                  <w:r>
                    <w:t>124</w:t>
                  </w:r>
                </w:p>
              </w:tc>
              <w:tc>
                <w:tcPr>
                  <w:tcW w:w="419" w:type="pct"/>
                </w:tcPr>
                <w:p w14:paraId="00BB37C7" w14:textId="77777777" w:rsidR="0034060E" w:rsidRDefault="0034060E" w:rsidP="0051512F">
                  <w:pPr>
                    <w:pStyle w:val="TableBodyText"/>
                    <w:spacing w:after="80"/>
                  </w:pPr>
                  <w:r>
                    <w:t>16</w:t>
                  </w:r>
                </w:p>
              </w:tc>
              <w:tc>
                <w:tcPr>
                  <w:tcW w:w="419" w:type="pct"/>
                </w:tcPr>
                <w:p w14:paraId="00BB37C8" w14:textId="77777777" w:rsidR="0034060E" w:rsidRDefault="0034060E" w:rsidP="0051512F">
                  <w:pPr>
                    <w:pStyle w:val="TableBodyText"/>
                    <w:spacing w:after="80"/>
                  </w:pPr>
                  <w:r>
                    <w:t>9</w:t>
                  </w:r>
                </w:p>
              </w:tc>
              <w:tc>
                <w:tcPr>
                  <w:tcW w:w="419" w:type="pct"/>
                </w:tcPr>
                <w:p w14:paraId="00BB37C9" w14:textId="77777777" w:rsidR="0034060E" w:rsidRDefault="0034060E" w:rsidP="0051512F">
                  <w:pPr>
                    <w:pStyle w:val="TableBodyText"/>
                    <w:spacing w:after="80"/>
                  </w:pPr>
                  <w:r>
                    <w:t>8</w:t>
                  </w:r>
                </w:p>
              </w:tc>
              <w:tc>
                <w:tcPr>
                  <w:tcW w:w="419" w:type="pct"/>
                </w:tcPr>
                <w:p w14:paraId="00BB37CA" w14:textId="77777777" w:rsidR="0034060E" w:rsidRDefault="0034060E" w:rsidP="0051512F">
                  <w:pPr>
                    <w:pStyle w:val="TableBodyText"/>
                    <w:spacing w:after="80"/>
                  </w:pPr>
                  <w:r>
                    <w:t>753</w:t>
                  </w:r>
                </w:p>
              </w:tc>
              <w:tc>
                <w:tcPr>
                  <w:tcW w:w="489" w:type="pct"/>
                  <w:shd w:val="clear" w:color="auto" w:fill="F2F2F2" w:themeFill="accent4"/>
                </w:tcPr>
                <w:p w14:paraId="00BB37CB" w14:textId="77777777" w:rsidR="0034060E" w:rsidRDefault="0034060E" w:rsidP="0051512F">
                  <w:pPr>
                    <w:pStyle w:val="TableBodyText"/>
                    <w:spacing w:after="80"/>
                  </w:pPr>
                  <w:r>
                    <w:t>759</w:t>
                  </w:r>
                </w:p>
              </w:tc>
            </w:tr>
            <w:tr w:rsidR="0034060E" w14:paraId="00BB37D8" w14:textId="77777777" w:rsidTr="0051512F">
              <w:tc>
                <w:tcPr>
                  <w:tcW w:w="736" w:type="pct"/>
                  <w:shd w:val="clear" w:color="auto" w:fill="auto"/>
                </w:tcPr>
                <w:p w14:paraId="00BB37CD" w14:textId="77777777" w:rsidR="0034060E" w:rsidRPr="00317B20" w:rsidRDefault="0034060E" w:rsidP="0051512F">
                  <w:pPr>
                    <w:pStyle w:val="TableBodyText"/>
                    <w:spacing w:after="80"/>
                    <w:jc w:val="left"/>
                  </w:pPr>
                  <w:r w:rsidRPr="00317B20">
                    <w:t>Labourers</w:t>
                  </w:r>
                </w:p>
              </w:tc>
              <w:tc>
                <w:tcPr>
                  <w:tcW w:w="419" w:type="pct"/>
                  <w:shd w:val="clear" w:color="auto" w:fill="auto"/>
                </w:tcPr>
                <w:p w14:paraId="00BB37CE" w14:textId="77777777" w:rsidR="0034060E" w:rsidRDefault="0034060E" w:rsidP="0051512F">
                  <w:pPr>
                    <w:pStyle w:val="TableBodyText"/>
                    <w:spacing w:after="80"/>
                  </w:pPr>
                  <w:r>
                    <w:t>329</w:t>
                  </w:r>
                </w:p>
              </w:tc>
              <w:tc>
                <w:tcPr>
                  <w:tcW w:w="419" w:type="pct"/>
                </w:tcPr>
                <w:p w14:paraId="00BB37CF" w14:textId="77777777" w:rsidR="0034060E" w:rsidRDefault="0034060E" w:rsidP="0051512F">
                  <w:pPr>
                    <w:pStyle w:val="TableBodyText"/>
                    <w:spacing w:after="80"/>
                  </w:pPr>
                  <w:r>
                    <w:t>261</w:t>
                  </w:r>
                </w:p>
              </w:tc>
              <w:tc>
                <w:tcPr>
                  <w:tcW w:w="419" w:type="pct"/>
                </w:tcPr>
                <w:p w14:paraId="00BB37D0" w14:textId="77777777" w:rsidR="0034060E" w:rsidRDefault="0034060E" w:rsidP="0051512F">
                  <w:pPr>
                    <w:pStyle w:val="TableBodyText"/>
                    <w:spacing w:after="80"/>
                  </w:pPr>
                  <w:r>
                    <w:t>230</w:t>
                  </w:r>
                </w:p>
              </w:tc>
              <w:tc>
                <w:tcPr>
                  <w:tcW w:w="419" w:type="pct"/>
                </w:tcPr>
                <w:p w14:paraId="00BB37D1" w14:textId="77777777" w:rsidR="0034060E" w:rsidRDefault="0034060E" w:rsidP="0051512F">
                  <w:pPr>
                    <w:pStyle w:val="TableBodyText"/>
                    <w:spacing w:after="80"/>
                  </w:pPr>
                  <w:r>
                    <w:t>81</w:t>
                  </w:r>
                </w:p>
              </w:tc>
              <w:tc>
                <w:tcPr>
                  <w:tcW w:w="419" w:type="pct"/>
                </w:tcPr>
                <w:p w14:paraId="00BB37D2" w14:textId="77777777" w:rsidR="0034060E" w:rsidRDefault="0034060E" w:rsidP="0051512F">
                  <w:pPr>
                    <w:pStyle w:val="TableBodyText"/>
                    <w:spacing w:after="80"/>
                  </w:pPr>
                  <w:r>
                    <w:t>125</w:t>
                  </w:r>
                </w:p>
              </w:tc>
              <w:tc>
                <w:tcPr>
                  <w:tcW w:w="419" w:type="pct"/>
                </w:tcPr>
                <w:p w14:paraId="00BB37D3" w14:textId="77777777" w:rsidR="0034060E" w:rsidRDefault="0034060E" w:rsidP="0051512F">
                  <w:pPr>
                    <w:pStyle w:val="TableBodyText"/>
                    <w:spacing w:after="80"/>
                  </w:pPr>
                  <w:r>
                    <w:t>24</w:t>
                  </w:r>
                </w:p>
              </w:tc>
              <w:tc>
                <w:tcPr>
                  <w:tcW w:w="419" w:type="pct"/>
                </w:tcPr>
                <w:p w14:paraId="00BB37D4" w14:textId="77777777" w:rsidR="0034060E" w:rsidRDefault="0034060E" w:rsidP="0051512F">
                  <w:pPr>
                    <w:pStyle w:val="TableBodyText"/>
                    <w:spacing w:after="80"/>
                  </w:pPr>
                  <w:r>
                    <w:t>11</w:t>
                  </w:r>
                </w:p>
              </w:tc>
              <w:tc>
                <w:tcPr>
                  <w:tcW w:w="419" w:type="pct"/>
                  <w:shd w:val="clear" w:color="auto" w:fill="auto"/>
                </w:tcPr>
                <w:p w14:paraId="00BB37D5" w14:textId="77777777" w:rsidR="0034060E" w:rsidRDefault="0034060E" w:rsidP="0051512F">
                  <w:pPr>
                    <w:pStyle w:val="TableBodyText"/>
                    <w:spacing w:after="80"/>
                  </w:pPr>
                  <w:r>
                    <w:t>15</w:t>
                  </w:r>
                </w:p>
              </w:tc>
              <w:tc>
                <w:tcPr>
                  <w:tcW w:w="419" w:type="pct"/>
                </w:tcPr>
                <w:p w14:paraId="00BB37D6" w14:textId="77777777" w:rsidR="0034060E" w:rsidRDefault="0034060E" w:rsidP="0051512F">
                  <w:pPr>
                    <w:pStyle w:val="TableBodyText"/>
                    <w:spacing w:after="80"/>
                  </w:pPr>
                  <w:r>
                    <w:t>1 076</w:t>
                  </w:r>
                </w:p>
              </w:tc>
              <w:tc>
                <w:tcPr>
                  <w:tcW w:w="489" w:type="pct"/>
                  <w:shd w:val="clear" w:color="auto" w:fill="F2F2F2" w:themeFill="accent4"/>
                </w:tcPr>
                <w:p w14:paraId="00BB37D7" w14:textId="77777777" w:rsidR="0034060E" w:rsidRDefault="0034060E" w:rsidP="0051512F">
                  <w:pPr>
                    <w:pStyle w:val="TableBodyText"/>
                    <w:spacing w:after="80"/>
                  </w:pPr>
                  <w:r>
                    <w:t>1 129</w:t>
                  </w:r>
                </w:p>
              </w:tc>
            </w:tr>
            <w:tr w:rsidR="0034060E" w14:paraId="00BB37E4" w14:textId="77777777" w:rsidTr="0051512F">
              <w:tc>
                <w:tcPr>
                  <w:tcW w:w="736" w:type="pct"/>
                  <w:tcBorders>
                    <w:bottom w:val="single" w:sz="6" w:space="0" w:color="BFBFBF"/>
                  </w:tcBorders>
                  <w:shd w:val="clear" w:color="auto" w:fill="auto"/>
                </w:tcPr>
                <w:p w14:paraId="00BB37D9" w14:textId="77777777" w:rsidR="0034060E" w:rsidRPr="00317B20" w:rsidRDefault="0034060E" w:rsidP="00F80BCE">
                  <w:pPr>
                    <w:pStyle w:val="TableBodyText"/>
                    <w:jc w:val="left"/>
                  </w:pPr>
                  <w:r>
                    <w:t>Total</w:t>
                  </w:r>
                </w:p>
              </w:tc>
              <w:tc>
                <w:tcPr>
                  <w:tcW w:w="419" w:type="pct"/>
                  <w:tcBorders>
                    <w:bottom w:val="single" w:sz="6" w:space="0" w:color="BFBFBF"/>
                  </w:tcBorders>
                  <w:shd w:val="clear" w:color="auto" w:fill="auto"/>
                </w:tcPr>
                <w:p w14:paraId="00BB37DA" w14:textId="77777777" w:rsidR="0034060E" w:rsidRDefault="0034060E" w:rsidP="007E5C7F">
                  <w:pPr>
                    <w:pStyle w:val="TableBodyText"/>
                  </w:pPr>
                  <w:r>
                    <w:t>3 556</w:t>
                  </w:r>
                </w:p>
              </w:tc>
              <w:tc>
                <w:tcPr>
                  <w:tcW w:w="419" w:type="pct"/>
                  <w:tcBorders>
                    <w:bottom w:val="single" w:sz="6" w:space="0" w:color="BFBFBF"/>
                  </w:tcBorders>
                </w:tcPr>
                <w:p w14:paraId="00BB37DB" w14:textId="77777777" w:rsidR="0034060E" w:rsidRDefault="0034060E" w:rsidP="007E5C7F">
                  <w:pPr>
                    <w:pStyle w:val="TableBodyText"/>
                  </w:pPr>
                  <w:r>
                    <w:t>2 752</w:t>
                  </w:r>
                </w:p>
              </w:tc>
              <w:tc>
                <w:tcPr>
                  <w:tcW w:w="419" w:type="pct"/>
                  <w:tcBorders>
                    <w:bottom w:val="single" w:sz="6" w:space="0" w:color="BFBFBF"/>
                  </w:tcBorders>
                </w:tcPr>
                <w:p w14:paraId="00BB37DC" w14:textId="77777777" w:rsidR="0034060E" w:rsidRDefault="0034060E" w:rsidP="007E5C7F">
                  <w:pPr>
                    <w:pStyle w:val="TableBodyText"/>
                  </w:pPr>
                  <w:r>
                    <w:t>2 322</w:t>
                  </w:r>
                </w:p>
              </w:tc>
              <w:tc>
                <w:tcPr>
                  <w:tcW w:w="419" w:type="pct"/>
                  <w:tcBorders>
                    <w:bottom w:val="single" w:sz="6" w:space="0" w:color="BFBFBF"/>
                  </w:tcBorders>
                </w:tcPr>
                <w:p w14:paraId="00BB37DD" w14:textId="77777777" w:rsidR="0034060E" w:rsidRDefault="0034060E" w:rsidP="007E5C7F">
                  <w:pPr>
                    <w:pStyle w:val="TableBodyText"/>
                  </w:pPr>
                  <w:r>
                    <w:t>830</w:t>
                  </w:r>
                </w:p>
              </w:tc>
              <w:tc>
                <w:tcPr>
                  <w:tcW w:w="419" w:type="pct"/>
                  <w:tcBorders>
                    <w:bottom w:val="single" w:sz="6" w:space="0" w:color="BFBFBF"/>
                  </w:tcBorders>
                </w:tcPr>
                <w:p w14:paraId="00BB37DE" w14:textId="77777777" w:rsidR="0034060E" w:rsidRDefault="0034060E" w:rsidP="007E5C7F">
                  <w:pPr>
                    <w:pStyle w:val="TableBodyText"/>
                  </w:pPr>
                  <w:r>
                    <w:t>1 372</w:t>
                  </w:r>
                </w:p>
              </w:tc>
              <w:tc>
                <w:tcPr>
                  <w:tcW w:w="419" w:type="pct"/>
                  <w:tcBorders>
                    <w:bottom w:val="single" w:sz="6" w:space="0" w:color="BFBFBF"/>
                  </w:tcBorders>
                </w:tcPr>
                <w:p w14:paraId="00BB37DF" w14:textId="77777777" w:rsidR="0034060E" w:rsidRDefault="0034060E" w:rsidP="007E5C7F">
                  <w:pPr>
                    <w:pStyle w:val="TableBodyText"/>
                  </w:pPr>
                  <w:r>
                    <w:t>248</w:t>
                  </w:r>
                </w:p>
              </w:tc>
              <w:tc>
                <w:tcPr>
                  <w:tcW w:w="419" w:type="pct"/>
                  <w:tcBorders>
                    <w:bottom w:val="single" w:sz="6" w:space="0" w:color="BFBFBF"/>
                  </w:tcBorders>
                </w:tcPr>
                <w:p w14:paraId="00BB37E0" w14:textId="77777777" w:rsidR="0034060E" w:rsidRDefault="0034060E" w:rsidP="007E5C7F">
                  <w:pPr>
                    <w:pStyle w:val="TableBodyText"/>
                  </w:pPr>
                  <w:r>
                    <w:t>137</w:t>
                  </w:r>
                </w:p>
              </w:tc>
              <w:tc>
                <w:tcPr>
                  <w:tcW w:w="419" w:type="pct"/>
                  <w:tcBorders>
                    <w:bottom w:val="single" w:sz="6" w:space="0" w:color="BFBFBF"/>
                  </w:tcBorders>
                  <w:shd w:val="clear" w:color="auto" w:fill="auto"/>
                </w:tcPr>
                <w:p w14:paraId="00BB37E1" w14:textId="77777777" w:rsidR="0034060E" w:rsidRDefault="0034060E" w:rsidP="007E5C7F">
                  <w:pPr>
                    <w:pStyle w:val="TableBodyText"/>
                  </w:pPr>
                  <w:r>
                    <w:t>212</w:t>
                  </w:r>
                </w:p>
              </w:tc>
              <w:tc>
                <w:tcPr>
                  <w:tcW w:w="419" w:type="pct"/>
                  <w:tcBorders>
                    <w:bottom w:val="single" w:sz="6" w:space="0" w:color="BFBFBF"/>
                  </w:tcBorders>
                </w:tcPr>
                <w:p w14:paraId="00BB37E2" w14:textId="77777777" w:rsidR="0034060E" w:rsidRDefault="0034060E" w:rsidP="007E5C7F">
                  <w:pPr>
                    <w:pStyle w:val="TableBodyText"/>
                  </w:pPr>
                  <w:r>
                    <w:t>11 430</w:t>
                  </w:r>
                </w:p>
              </w:tc>
              <w:tc>
                <w:tcPr>
                  <w:tcW w:w="489" w:type="pct"/>
                  <w:tcBorders>
                    <w:bottom w:val="single" w:sz="6" w:space="0" w:color="BFBFBF"/>
                  </w:tcBorders>
                  <w:shd w:val="clear" w:color="auto" w:fill="F2F2F2" w:themeFill="accent4"/>
                </w:tcPr>
                <w:p w14:paraId="00BB37E3" w14:textId="77777777" w:rsidR="0034060E" w:rsidRDefault="0034060E" w:rsidP="007E5C7F">
                  <w:pPr>
                    <w:pStyle w:val="TableBodyText"/>
                  </w:pPr>
                  <w:r>
                    <w:t>11 454</w:t>
                  </w:r>
                </w:p>
              </w:tc>
            </w:tr>
          </w:tbl>
          <w:p w14:paraId="00BB37E5" w14:textId="77777777" w:rsidR="0034060E" w:rsidRDefault="0034060E" w:rsidP="00453A36">
            <w:pPr>
              <w:pStyle w:val="Box"/>
            </w:pPr>
          </w:p>
        </w:tc>
      </w:tr>
      <w:tr w:rsidR="0034060E" w14:paraId="00BB37E8" w14:textId="77777777" w:rsidTr="00453A36">
        <w:trPr>
          <w:cantSplit/>
        </w:trPr>
        <w:tc>
          <w:tcPr>
            <w:tcW w:w="8771" w:type="dxa"/>
            <w:tcBorders>
              <w:top w:val="nil"/>
              <w:left w:val="nil"/>
              <w:bottom w:val="nil"/>
              <w:right w:val="nil"/>
            </w:tcBorders>
            <w:shd w:val="clear" w:color="auto" w:fill="auto"/>
          </w:tcPr>
          <w:p w14:paraId="00BB37E7" w14:textId="77777777" w:rsidR="0034060E" w:rsidRDefault="0034060E" w:rsidP="00453A36">
            <w:pPr>
              <w:pStyle w:val="Note"/>
              <w:rPr>
                <w:i/>
              </w:rPr>
            </w:pPr>
            <w:proofErr w:type="spellStart"/>
            <w:r w:rsidRPr="008E77FE">
              <w:rPr>
                <w:rStyle w:val="NoteLabel"/>
              </w:rPr>
              <w:t>a</w:t>
            </w:r>
            <w:proofErr w:type="spellEnd"/>
            <w:r>
              <w:t> Employed persons include the self</w:t>
            </w:r>
            <w:r>
              <w:noBreakHyphen/>
              <w:t>employed.</w:t>
            </w:r>
          </w:p>
        </w:tc>
      </w:tr>
      <w:tr w:rsidR="0034060E" w14:paraId="00BB37EA" w14:textId="77777777" w:rsidTr="00453A36">
        <w:trPr>
          <w:cantSplit/>
        </w:trPr>
        <w:tc>
          <w:tcPr>
            <w:tcW w:w="8771" w:type="dxa"/>
            <w:tcBorders>
              <w:top w:val="nil"/>
              <w:left w:val="nil"/>
              <w:bottom w:val="nil"/>
              <w:right w:val="nil"/>
            </w:tcBorders>
            <w:shd w:val="clear" w:color="auto" w:fill="auto"/>
          </w:tcPr>
          <w:p w14:paraId="00BB37E9" w14:textId="77777777" w:rsidR="0034060E" w:rsidRDefault="0034060E" w:rsidP="00453A36">
            <w:pPr>
              <w:pStyle w:val="Source"/>
            </w:pPr>
            <w:r>
              <w:rPr>
                <w:i/>
              </w:rPr>
              <w:t>Sources</w:t>
            </w:r>
            <w:r>
              <w:t xml:space="preserve">: </w:t>
            </w:r>
            <w:r w:rsidRPr="00541D81">
              <w:t>ABS (</w:t>
            </w:r>
            <w:r w:rsidRPr="00541D81">
              <w:rPr>
                <w:i/>
              </w:rPr>
              <w:t>Labour Force, Australia, Detailed, Quarterly</w:t>
            </w:r>
            <w:r w:rsidRPr="00541D81">
              <w:t xml:space="preserve">, </w:t>
            </w:r>
            <w:r>
              <w:t>Aug</w:t>
            </w:r>
            <w:r w:rsidRPr="00541D81">
              <w:t xml:space="preserve"> 201</w:t>
            </w:r>
            <w:r>
              <w:t>5</w:t>
            </w:r>
            <w:r w:rsidRPr="00541D81">
              <w:t>, Cat.</w:t>
            </w:r>
            <w:r>
              <w:t> </w:t>
            </w:r>
            <w:r w:rsidRPr="00541D81">
              <w:t>no.</w:t>
            </w:r>
            <w:r>
              <w:t> </w:t>
            </w:r>
            <w:r w:rsidRPr="00541D81">
              <w:t>6291.0.55.003);</w:t>
            </w:r>
            <w:r>
              <w:t xml:space="preserve"> Productivity Commission estimates based on the </w:t>
            </w:r>
            <w:proofErr w:type="spellStart"/>
            <w:r>
              <w:t>VUMR</w:t>
            </w:r>
            <w:r>
              <w:noBreakHyphen/>
              <w:t>WR</w:t>
            </w:r>
            <w:proofErr w:type="spellEnd"/>
            <w:r>
              <w:t xml:space="preserve"> model.</w:t>
            </w:r>
          </w:p>
        </w:tc>
      </w:tr>
      <w:tr w:rsidR="0034060E" w14:paraId="00BB37EC" w14:textId="77777777" w:rsidTr="00453A36">
        <w:trPr>
          <w:cantSplit/>
        </w:trPr>
        <w:tc>
          <w:tcPr>
            <w:tcW w:w="8771" w:type="dxa"/>
            <w:tcBorders>
              <w:top w:val="nil"/>
              <w:left w:val="nil"/>
              <w:bottom w:val="single" w:sz="6" w:space="0" w:color="78A22F"/>
              <w:right w:val="nil"/>
            </w:tcBorders>
            <w:shd w:val="clear" w:color="auto" w:fill="auto"/>
          </w:tcPr>
          <w:p w14:paraId="00BB37EB" w14:textId="77777777" w:rsidR="0034060E" w:rsidRDefault="0034060E" w:rsidP="00453A36">
            <w:pPr>
              <w:pStyle w:val="Box"/>
              <w:spacing w:before="0" w:line="120" w:lineRule="exact"/>
            </w:pPr>
          </w:p>
        </w:tc>
      </w:tr>
      <w:tr w:rsidR="0034060E" w:rsidRPr="000863A5" w14:paraId="00BB37EE" w14:textId="77777777" w:rsidTr="00453A36">
        <w:tc>
          <w:tcPr>
            <w:tcW w:w="8771" w:type="dxa"/>
            <w:tcBorders>
              <w:top w:val="single" w:sz="6" w:space="0" w:color="78A22F"/>
              <w:left w:val="nil"/>
              <w:bottom w:val="nil"/>
              <w:right w:val="nil"/>
            </w:tcBorders>
          </w:tcPr>
          <w:p w14:paraId="00BB37ED" w14:textId="53D054C5" w:rsidR="0034060E" w:rsidRPr="00626D32" w:rsidRDefault="0034060E" w:rsidP="00453A36">
            <w:pPr>
              <w:pStyle w:val="BoxSpaceBelow"/>
            </w:pPr>
          </w:p>
        </w:tc>
      </w:tr>
    </w:tbl>
    <w:p w14:paraId="00BB37EF" w14:textId="367E6BF3" w:rsidR="0034060E" w:rsidRDefault="0034060E" w:rsidP="00453A36">
      <w:pPr>
        <w:pStyle w:val="BodyText"/>
      </w:pPr>
      <w:r>
        <w:t>Reflecting the distribution of employed persons, the distribution of hours across all states is concentrated in four occupations — Managers, Professi</w:t>
      </w:r>
      <w:r w:rsidR="00F80BCE">
        <w:t>onals, Technicians and Trades W</w:t>
      </w:r>
      <w:r>
        <w:t>orkers</w:t>
      </w:r>
      <w:r w:rsidR="00F80BCE">
        <w:t>,</w:t>
      </w:r>
      <w:r>
        <w:t xml:space="preserve"> and Clerical and </w:t>
      </w:r>
      <w:r w:rsidR="00F80BCE">
        <w:t>A</w:t>
      </w:r>
      <w:r>
        <w:t xml:space="preserve">dministrative </w:t>
      </w:r>
      <w:r w:rsidR="00F80BCE">
        <w:t>W</w:t>
      </w:r>
      <w:r>
        <w:t>orkers (table </w:t>
      </w:r>
      <w:proofErr w:type="spellStart"/>
      <w:r>
        <w:t>B.8</w:t>
      </w:r>
      <w:proofErr w:type="spellEnd"/>
      <w:r>
        <w:t>).</w:t>
      </w:r>
    </w:p>
    <w:p w14:paraId="00BB37F0" w14:textId="0E2DA791"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4060E" w14:paraId="00BB37F2" w14:textId="77777777" w:rsidTr="00453A36">
        <w:tc>
          <w:tcPr>
            <w:tcW w:w="8771" w:type="dxa"/>
            <w:tcBorders>
              <w:top w:val="single" w:sz="6" w:space="0" w:color="78A22F"/>
              <w:left w:val="nil"/>
              <w:bottom w:val="nil"/>
              <w:right w:val="nil"/>
            </w:tcBorders>
            <w:shd w:val="clear" w:color="auto" w:fill="auto"/>
          </w:tcPr>
          <w:p w14:paraId="00BB37F1" w14:textId="19C30CB3" w:rsidR="0034060E" w:rsidRPr="00784A05" w:rsidRDefault="0034060E" w:rsidP="0048740C">
            <w:pPr>
              <w:pStyle w:val="TableTitle"/>
            </w:pPr>
            <w:r>
              <w:rPr>
                <w:b w:val="0"/>
              </w:rPr>
              <w:t xml:space="preserve">Table </w:t>
            </w:r>
            <w:proofErr w:type="spellStart"/>
            <w:r>
              <w:rPr>
                <w:b w:val="0"/>
              </w:rPr>
              <w:t>B.</w:t>
            </w:r>
            <w:r>
              <w:rPr>
                <w:b w:val="0"/>
                <w:noProof/>
              </w:rPr>
              <w:t>8</w:t>
            </w:r>
            <w:proofErr w:type="spellEnd"/>
            <w:r>
              <w:tab/>
              <w:t xml:space="preserve">Hours worked by state and occupation in the </w:t>
            </w:r>
            <w:proofErr w:type="spellStart"/>
            <w:r>
              <w:t>VUMR</w:t>
            </w:r>
            <w:r>
              <w:noBreakHyphen/>
              <w:t>WR</w:t>
            </w:r>
            <w:proofErr w:type="spellEnd"/>
            <w:r>
              <w:t xml:space="preserve"> database and in ABS data, 2013</w:t>
            </w:r>
            <w:r>
              <w:noBreakHyphen/>
              <w:t>14</w:t>
            </w:r>
            <w:r w:rsidRPr="0028198B">
              <w:rPr>
                <w:rStyle w:val="NoteLabel"/>
                <w:b/>
              </w:rPr>
              <w:t>a</w:t>
            </w:r>
          </w:p>
        </w:tc>
      </w:tr>
      <w:tr w:rsidR="0034060E" w14:paraId="00BB3873" w14:textId="77777777" w:rsidTr="00453A3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9"/>
              <w:gridCol w:w="710"/>
              <w:gridCol w:w="570"/>
              <w:gridCol w:w="570"/>
              <w:gridCol w:w="570"/>
              <w:gridCol w:w="570"/>
              <w:gridCol w:w="565"/>
              <w:gridCol w:w="565"/>
              <w:gridCol w:w="565"/>
              <w:gridCol w:w="715"/>
              <w:gridCol w:w="698"/>
            </w:tblGrid>
            <w:tr w:rsidR="0034060E" w14:paraId="00BB37F6" w14:textId="77777777" w:rsidTr="0051512F">
              <w:tc>
                <w:tcPr>
                  <w:tcW w:w="1407" w:type="pct"/>
                  <w:tcBorders>
                    <w:top w:val="single" w:sz="6" w:space="0" w:color="BFBFBF"/>
                  </w:tcBorders>
                  <w:shd w:val="clear" w:color="auto" w:fill="auto"/>
                  <w:tcMar>
                    <w:top w:w="28" w:type="dxa"/>
                  </w:tcMar>
                </w:tcPr>
                <w:p w14:paraId="00BB37F3" w14:textId="77777777" w:rsidR="0034060E" w:rsidRDefault="0034060E" w:rsidP="00453A36">
                  <w:pPr>
                    <w:pStyle w:val="TableColumnHeading"/>
                    <w:jc w:val="left"/>
                  </w:pPr>
                </w:p>
              </w:tc>
              <w:tc>
                <w:tcPr>
                  <w:tcW w:w="3181" w:type="pct"/>
                  <w:gridSpan w:val="9"/>
                  <w:tcBorders>
                    <w:top w:val="single" w:sz="6" w:space="0" w:color="BFBFBF"/>
                  </w:tcBorders>
                  <w:shd w:val="clear" w:color="auto" w:fill="auto"/>
                  <w:tcMar>
                    <w:top w:w="28" w:type="dxa"/>
                  </w:tcMar>
                </w:tcPr>
                <w:p w14:paraId="00BB37F4" w14:textId="77777777" w:rsidR="0034060E" w:rsidRDefault="0034060E" w:rsidP="0051512F">
                  <w:pPr>
                    <w:pStyle w:val="TableColumnHeading"/>
                    <w:spacing w:after="0"/>
                    <w:ind w:right="28"/>
                    <w:jc w:val="center"/>
                  </w:pPr>
                  <w:proofErr w:type="spellStart"/>
                  <w:r>
                    <w:t>VUMR</w:t>
                  </w:r>
                  <w:r>
                    <w:noBreakHyphen/>
                    <w:t>WR</w:t>
                  </w:r>
                  <w:proofErr w:type="spellEnd"/>
                  <w:r>
                    <w:t xml:space="preserve"> database</w:t>
                  </w:r>
                </w:p>
              </w:tc>
              <w:tc>
                <w:tcPr>
                  <w:tcW w:w="412" w:type="pct"/>
                  <w:tcBorders>
                    <w:top w:val="single" w:sz="6" w:space="0" w:color="BFBFBF"/>
                  </w:tcBorders>
                  <w:shd w:val="clear" w:color="auto" w:fill="F2F2F2" w:themeFill="accent4"/>
                </w:tcPr>
                <w:p w14:paraId="00BB37F5" w14:textId="77777777" w:rsidR="0034060E" w:rsidRDefault="0034060E" w:rsidP="0051512F">
                  <w:pPr>
                    <w:pStyle w:val="TableColumnHeading"/>
                    <w:spacing w:after="0"/>
                  </w:pPr>
                  <w:r>
                    <w:t>ABS</w:t>
                  </w:r>
                </w:p>
              </w:tc>
            </w:tr>
            <w:tr w:rsidR="0034060E" w14:paraId="00BB3802" w14:textId="77777777" w:rsidTr="0051512F">
              <w:tc>
                <w:tcPr>
                  <w:tcW w:w="1407" w:type="pct"/>
                  <w:tcBorders>
                    <w:bottom w:val="single" w:sz="6" w:space="0" w:color="BFBFBF"/>
                  </w:tcBorders>
                  <w:shd w:val="clear" w:color="auto" w:fill="auto"/>
                  <w:tcMar>
                    <w:top w:w="28" w:type="dxa"/>
                  </w:tcMar>
                </w:tcPr>
                <w:p w14:paraId="00BB37F7" w14:textId="77777777" w:rsidR="0034060E" w:rsidRDefault="0034060E" w:rsidP="00453A36">
                  <w:pPr>
                    <w:pStyle w:val="TableColumnHeading"/>
                    <w:jc w:val="left"/>
                  </w:pPr>
                </w:p>
              </w:tc>
              <w:tc>
                <w:tcPr>
                  <w:tcW w:w="418" w:type="pct"/>
                  <w:tcBorders>
                    <w:bottom w:val="single" w:sz="4" w:space="0" w:color="BFBFBF" w:themeColor="background2"/>
                  </w:tcBorders>
                  <w:shd w:val="clear" w:color="auto" w:fill="auto"/>
                  <w:tcMar>
                    <w:top w:w="28" w:type="dxa"/>
                  </w:tcMar>
                </w:tcPr>
                <w:p w14:paraId="00BB37F8" w14:textId="77777777" w:rsidR="0034060E" w:rsidRDefault="0034060E" w:rsidP="00453A36">
                  <w:pPr>
                    <w:pStyle w:val="TableColumnHeading"/>
                  </w:pPr>
                  <w:r>
                    <w:t>NSW</w:t>
                  </w:r>
                </w:p>
              </w:tc>
              <w:tc>
                <w:tcPr>
                  <w:tcW w:w="336" w:type="pct"/>
                  <w:tcBorders>
                    <w:bottom w:val="single" w:sz="4" w:space="0" w:color="BFBFBF" w:themeColor="background2"/>
                  </w:tcBorders>
                </w:tcPr>
                <w:p w14:paraId="00BB37F9" w14:textId="77777777" w:rsidR="0034060E" w:rsidRDefault="0034060E" w:rsidP="00453A36">
                  <w:pPr>
                    <w:pStyle w:val="TableColumnHeading"/>
                    <w:ind w:right="28"/>
                  </w:pPr>
                  <w:r>
                    <w:t>Vic</w:t>
                  </w:r>
                </w:p>
              </w:tc>
              <w:tc>
                <w:tcPr>
                  <w:tcW w:w="336" w:type="pct"/>
                  <w:tcBorders>
                    <w:bottom w:val="single" w:sz="4" w:space="0" w:color="BFBFBF" w:themeColor="background2"/>
                  </w:tcBorders>
                </w:tcPr>
                <w:p w14:paraId="00BB37FA" w14:textId="77777777" w:rsidR="0034060E" w:rsidRDefault="0034060E" w:rsidP="00453A36">
                  <w:pPr>
                    <w:pStyle w:val="TableColumnHeading"/>
                    <w:ind w:right="28"/>
                  </w:pPr>
                  <w:r>
                    <w:t>Qld</w:t>
                  </w:r>
                </w:p>
              </w:tc>
              <w:tc>
                <w:tcPr>
                  <w:tcW w:w="336" w:type="pct"/>
                  <w:tcBorders>
                    <w:bottom w:val="single" w:sz="4" w:space="0" w:color="BFBFBF" w:themeColor="background2"/>
                  </w:tcBorders>
                </w:tcPr>
                <w:p w14:paraId="00BB37FB" w14:textId="77777777" w:rsidR="0034060E" w:rsidRDefault="0034060E" w:rsidP="00453A36">
                  <w:pPr>
                    <w:pStyle w:val="TableColumnHeading"/>
                    <w:ind w:right="28"/>
                  </w:pPr>
                  <w:r>
                    <w:t>SA</w:t>
                  </w:r>
                </w:p>
              </w:tc>
              <w:tc>
                <w:tcPr>
                  <w:tcW w:w="336" w:type="pct"/>
                  <w:tcBorders>
                    <w:bottom w:val="single" w:sz="4" w:space="0" w:color="BFBFBF" w:themeColor="background2"/>
                  </w:tcBorders>
                </w:tcPr>
                <w:p w14:paraId="00BB37FC" w14:textId="77777777" w:rsidR="0034060E" w:rsidRDefault="0034060E" w:rsidP="00453A36">
                  <w:pPr>
                    <w:pStyle w:val="TableColumnHeading"/>
                    <w:ind w:right="28"/>
                  </w:pPr>
                  <w:r>
                    <w:t>WA</w:t>
                  </w:r>
                </w:p>
              </w:tc>
              <w:tc>
                <w:tcPr>
                  <w:tcW w:w="333" w:type="pct"/>
                  <w:tcBorders>
                    <w:bottom w:val="single" w:sz="4" w:space="0" w:color="BFBFBF" w:themeColor="background2"/>
                  </w:tcBorders>
                </w:tcPr>
                <w:p w14:paraId="00BB37FD" w14:textId="77777777" w:rsidR="0034060E" w:rsidRDefault="0034060E" w:rsidP="00453A36">
                  <w:pPr>
                    <w:pStyle w:val="TableColumnHeading"/>
                    <w:ind w:right="28"/>
                  </w:pPr>
                  <w:proofErr w:type="spellStart"/>
                  <w:r>
                    <w:t>Tas</w:t>
                  </w:r>
                  <w:proofErr w:type="spellEnd"/>
                </w:p>
              </w:tc>
              <w:tc>
                <w:tcPr>
                  <w:tcW w:w="333" w:type="pct"/>
                  <w:tcBorders>
                    <w:bottom w:val="single" w:sz="4" w:space="0" w:color="BFBFBF" w:themeColor="background2"/>
                  </w:tcBorders>
                </w:tcPr>
                <w:p w14:paraId="00BB37FE" w14:textId="77777777" w:rsidR="0034060E" w:rsidRDefault="0034060E" w:rsidP="00453A36">
                  <w:pPr>
                    <w:pStyle w:val="TableColumnHeading"/>
                    <w:ind w:right="28"/>
                  </w:pPr>
                  <w:r>
                    <w:t>NT</w:t>
                  </w:r>
                </w:p>
              </w:tc>
              <w:tc>
                <w:tcPr>
                  <w:tcW w:w="333" w:type="pct"/>
                  <w:tcBorders>
                    <w:bottom w:val="single" w:sz="4" w:space="0" w:color="BFBFBF" w:themeColor="background2"/>
                  </w:tcBorders>
                  <w:shd w:val="clear" w:color="auto" w:fill="auto"/>
                  <w:tcMar>
                    <w:top w:w="28" w:type="dxa"/>
                  </w:tcMar>
                </w:tcPr>
                <w:p w14:paraId="00BB37FF" w14:textId="77777777" w:rsidR="0034060E" w:rsidRDefault="0034060E" w:rsidP="00453A36">
                  <w:pPr>
                    <w:pStyle w:val="TableColumnHeading"/>
                    <w:ind w:right="28"/>
                  </w:pPr>
                  <w:r>
                    <w:t>ACT</w:t>
                  </w:r>
                </w:p>
              </w:tc>
              <w:tc>
                <w:tcPr>
                  <w:tcW w:w="421" w:type="pct"/>
                  <w:tcBorders>
                    <w:bottom w:val="single" w:sz="4" w:space="0" w:color="BFBFBF" w:themeColor="background2"/>
                  </w:tcBorders>
                </w:tcPr>
                <w:p w14:paraId="00BB3800" w14:textId="77777777" w:rsidR="0034060E" w:rsidRDefault="0034060E" w:rsidP="0051512F">
                  <w:pPr>
                    <w:pStyle w:val="TableColumnHeading"/>
                  </w:pPr>
                  <w:proofErr w:type="spellStart"/>
                  <w:r>
                    <w:t>Aust</w:t>
                  </w:r>
                  <w:proofErr w:type="spellEnd"/>
                </w:p>
              </w:tc>
              <w:tc>
                <w:tcPr>
                  <w:tcW w:w="412" w:type="pct"/>
                  <w:tcBorders>
                    <w:bottom w:val="single" w:sz="4" w:space="0" w:color="BFBFBF" w:themeColor="background2"/>
                  </w:tcBorders>
                  <w:shd w:val="clear" w:color="auto" w:fill="F2F2F2" w:themeFill="accent4"/>
                </w:tcPr>
                <w:p w14:paraId="00BB3801" w14:textId="77777777" w:rsidR="0034060E" w:rsidRDefault="0034060E" w:rsidP="0051512F">
                  <w:pPr>
                    <w:pStyle w:val="TableColumnHeading"/>
                  </w:pPr>
                  <w:proofErr w:type="spellStart"/>
                  <w:r>
                    <w:t>Aust</w:t>
                  </w:r>
                  <w:proofErr w:type="spellEnd"/>
                </w:p>
              </w:tc>
            </w:tr>
            <w:tr w:rsidR="0034060E" w14:paraId="00BB3805" w14:textId="77777777" w:rsidTr="00453A36">
              <w:tc>
                <w:tcPr>
                  <w:tcW w:w="1407" w:type="pct"/>
                  <w:tcBorders>
                    <w:top w:val="single" w:sz="6" w:space="0" w:color="BFBFBF"/>
                  </w:tcBorders>
                </w:tcPr>
                <w:p w14:paraId="00BB3803" w14:textId="77777777" w:rsidR="0034060E" w:rsidRPr="00317B20" w:rsidRDefault="0034060E" w:rsidP="00453A36">
                  <w:pPr>
                    <w:rPr>
                      <w:rFonts w:ascii="Arial" w:hAnsi="Arial" w:cs="Arial"/>
                      <w:sz w:val="20"/>
                      <w:szCs w:val="20"/>
                    </w:rPr>
                  </w:pPr>
                </w:p>
              </w:tc>
              <w:tc>
                <w:tcPr>
                  <w:tcW w:w="3593" w:type="pct"/>
                  <w:gridSpan w:val="10"/>
                  <w:tcBorders>
                    <w:top w:val="single" w:sz="4" w:space="0" w:color="BFBFBF" w:themeColor="background2"/>
                    <w:bottom w:val="single" w:sz="4" w:space="0" w:color="BFBFBF" w:themeColor="background2"/>
                  </w:tcBorders>
                  <w:vAlign w:val="bottom"/>
                </w:tcPr>
                <w:p w14:paraId="00BB3804" w14:textId="77777777" w:rsidR="0034060E" w:rsidRDefault="0034060E" w:rsidP="00453A36">
                  <w:pPr>
                    <w:pStyle w:val="TableUnitsRow"/>
                    <w:jc w:val="center"/>
                  </w:pPr>
                  <w:r>
                    <w:t>million hours</w:t>
                  </w:r>
                </w:p>
              </w:tc>
            </w:tr>
            <w:tr w:rsidR="0034060E" w14:paraId="00BB3811" w14:textId="77777777" w:rsidTr="0051512F">
              <w:tc>
                <w:tcPr>
                  <w:tcW w:w="1407" w:type="pct"/>
                </w:tcPr>
                <w:p w14:paraId="00BB3806" w14:textId="77777777" w:rsidR="0034060E" w:rsidRPr="00317B20" w:rsidRDefault="0034060E" w:rsidP="0051512F">
                  <w:pPr>
                    <w:pStyle w:val="TableBodyText"/>
                    <w:spacing w:after="80"/>
                    <w:jc w:val="left"/>
                  </w:pPr>
                  <w:r w:rsidRPr="00317B20">
                    <w:t>Managers</w:t>
                  </w:r>
                </w:p>
              </w:tc>
              <w:tc>
                <w:tcPr>
                  <w:tcW w:w="418" w:type="pct"/>
                  <w:tcBorders>
                    <w:top w:val="single" w:sz="4" w:space="0" w:color="BFBFBF" w:themeColor="background2"/>
                  </w:tcBorders>
                </w:tcPr>
                <w:p w14:paraId="00BB3807" w14:textId="77777777" w:rsidR="0034060E" w:rsidRDefault="0034060E" w:rsidP="0051512F">
                  <w:pPr>
                    <w:pStyle w:val="TableBodyText"/>
                    <w:spacing w:after="80"/>
                  </w:pPr>
                  <w:r>
                    <w:t>812</w:t>
                  </w:r>
                </w:p>
              </w:tc>
              <w:tc>
                <w:tcPr>
                  <w:tcW w:w="336" w:type="pct"/>
                  <w:tcBorders>
                    <w:top w:val="single" w:sz="4" w:space="0" w:color="BFBFBF" w:themeColor="background2"/>
                  </w:tcBorders>
                </w:tcPr>
                <w:p w14:paraId="00BB3808" w14:textId="77777777" w:rsidR="0034060E" w:rsidRDefault="0034060E" w:rsidP="0051512F">
                  <w:pPr>
                    <w:pStyle w:val="TableBodyText"/>
                    <w:spacing w:after="80"/>
                  </w:pPr>
                  <w:r>
                    <w:t>627</w:t>
                  </w:r>
                </w:p>
              </w:tc>
              <w:tc>
                <w:tcPr>
                  <w:tcW w:w="336" w:type="pct"/>
                  <w:tcBorders>
                    <w:top w:val="single" w:sz="4" w:space="0" w:color="BFBFBF" w:themeColor="background2"/>
                  </w:tcBorders>
                </w:tcPr>
                <w:p w14:paraId="00BB3809" w14:textId="77777777" w:rsidR="0034060E" w:rsidRDefault="0034060E" w:rsidP="0051512F">
                  <w:pPr>
                    <w:pStyle w:val="TableBodyText"/>
                    <w:spacing w:after="80"/>
                  </w:pPr>
                  <w:r>
                    <w:t>544</w:t>
                  </w:r>
                </w:p>
              </w:tc>
              <w:tc>
                <w:tcPr>
                  <w:tcW w:w="336" w:type="pct"/>
                  <w:tcBorders>
                    <w:top w:val="single" w:sz="4" w:space="0" w:color="BFBFBF" w:themeColor="background2"/>
                  </w:tcBorders>
                </w:tcPr>
                <w:p w14:paraId="00BB380A" w14:textId="77777777" w:rsidR="0034060E" w:rsidRDefault="0034060E" w:rsidP="0051512F">
                  <w:pPr>
                    <w:pStyle w:val="TableBodyText"/>
                    <w:spacing w:after="80"/>
                  </w:pPr>
                  <w:r>
                    <w:t>191</w:t>
                  </w:r>
                </w:p>
              </w:tc>
              <w:tc>
                <w:tcPr>
                  <w:tcW w:w="336" w:type="pct"/>
                  <w:tcBorders>
                    <w:top w:val="single" w:sz="4" w:space="0" w:color="BFBFBF" w:themeColor="background2"/>
                  </w:tcBorders>
                </w:tcPr>
                <w:p w14:paraId="00BB380B" w14:textId="77777777" w:rsidR="0034060E" w:rsidRDefault="0034060E" w:rsidP="0051512F">
                  <w:pPr>
                    <w:pStyle w:val="TableBodyText"/>
                    <w:spacing w:after="80"/>
                  </w:pPr>
                  <w:r>
                    <w:t>308</w:t>
                  </w:r>
                </w:p>
              </w:tc>
              <w:tc>
                <w:tcPr>
                  <w:tcW w:w="333" w:type="pct"/>
                  <w:tcBorders>
                    <w:top w:val="single" w:sz="4" w:space="0" w:color="BFBFBF" w:themeColor="background2"/>
                  </w:tcBorders>
                </w:tcPr>
                <w:p w14:paraId="00BB380C" w14:textId="77777777" w:rsidR="0034060E" w:rsidRDefault="0034060E" w:rsidP="0051512F">
                  <w:pPr>
                    <w:pStyle w:val="TableBodyText"/>
                    <w:spacing w:after="80"/>
                  </w:pPr>
                  <w:r>
                    <w:t>51</w:t>
                  </w:r>
                </w:p>
              </w:tc>
              <w:tc>
                <w:tcPr>
                  <w:tcW w:w="333" w:type="pct"/>
                  <w:tcBorders>
                    <w:top w:val="single" w:sz="4" w:space="0" w:color="BFBFBF" w:themeColor="background2"/>
                  </w:tcBorders>
                </w:tcPr>
                <w:p w14:paraId="00BB380D" w14:textId="77777777" w:rsidR="0034060E" w:rsidRDefault="0034060E" w:rsidP="0051512F">
                  <w:pPr>
                    <w:pStyle w:val="TableBodyText"/>
                    <w:spacing w:after="80"/>
                  </w:pPr>
                  <w:r>
                    <w:t>34</w:t>
                  </w:r>
                </w:p>
              </w:tc>
              <w:tc>
                <w:tcPr>
                  <w:tcW w:w="333" w:type="pct"/>
                  <w:tcBorders>
                    <w:top w:val="single" w:sz="4" w:space="0" w:color="BFBFBF" w:themeColor="background2"/>
                  </w:tcBorders>
                </w:tcPr>
                <w:p w14:paraId="00BB380E" w14:textId="77777777" w:rsidR="0034060E" w:rsidRDefault="0034060E" w:rsidP="0051512F">
                  <w:pPr>
                    <w:pStyle w:val="TableBodyText"/>
                    <w:spacing w:after="80"/>
                  </w:pPr>
                  <w:r>
                    <w:t>54</w:t>
                  </w:r>
                </w:p>
              </w:tc>
              <w:tc>
                <w:tcPr>
                  <w:tcW w:w="421" w:type="pct"/>
                  <w:tcBorders>
                    <w:top w:val="single" w:sz="4" w:space="0" w:color="BFBFBF" w:themeColor="background2"/>
                  </w:tcBorders>
                </w:tcPr>
                <w:p w14:paraId="00BB380F" w14:textId="77777777" w:rsidR="0034060E" w:rsidRDefault="0034060E" w:rsidP="0051512F">
                  <w:pPr>
                    <w:pStyle w:val="TableBodyText"/>
                    <w:spacing w:after="80"/>
                  </w:pPr>
                  <w:r>
                    <w:t>2 620</w:t>
                  </w:r>
                </w:p>
              </w:tc>
              <w:tc>
                <w:tcPr>
                  <w:tcW w:w="412" w:type="pct"/>
                  <w:tcBorders>
                    <w:top w:val="single" w:sz="4" w:space="0" w:color="BFBFBF" w:themeColor="background2"/>
                  </w:tcBorders>
                  <w:shd w:val="clear" w:color="auto" w:fill="F2F2F2" w:themeFill="accent4"/>
                </w:tcPr>
                <w:p w14:paraId="00BB3810" w14:textId="77777777" w:rsidR="0034060E" w:rsidRDefault="0034060E" w:rsidP="0051512F">
                  <w:pPr>
                    <w:pStyle w:val="TableBodyText"/>
                    <w:spacing w:after="80"/>
                  </w:pPr>
                  <w:r>
                    <w:t>3 292</w:t>
                  </w:r>
                </w:p>
              </w:tc>
            </w:tr>
            <w:tr w:rsidR="0034060E" w14:paraId="00BB381D" w14:textId="77777777" w:rsidTr="0051512F">
              <w:tc>
                <w:tcPr>
                  <w:tcW w:w="1407" w:type="pct"/>
                </w:tcPr>
                <w:p w14:paraId="00BB3812" w14:textId="77777777" w:rsidR="0034060E" w:rsidRPr="00317B20" w:rsidRDefault="0034060E" w:rsidP="0051512F">
                  <w:pPr>
                    <w:pStyle w:val="TableBodyText"/>
                    <w:spacing w:after="80"/>
                    <w:jc w:val="left"/>
                  </w:pPr>
                  <w:r w:rsidRPr="00317B20">
                    <w:t>Professionals</w:t>
                  </w:r>
                </w:p>
              </w:tc>
              <w:tc>
                <w:tcPr>
                  <w:tcW w:w="418" w:type="pct"/>
                </w:tcPr>
                <w:p w14:paraId="00BB3813" w14:textId="77777777" w:rsidR="0034060E" w:rsidRDefault="0034060E" w:rsidP="0051512F">
                  <w:pPr>
                    <w:pStyle w:val="TableBodyText"/>
                    <w:spacing w:after="80"/>
                  </w:pPr>
                  <w:r>
                    <w:t>1 332</w:t>
                  </w:r>
                </w:p>
              </w:tc>
              <w:tc>
                <w:tcPr>
                  <w:tcW w:w="336" w:type="pct"/>
                </w:tcPr>
                <w:p w14:paraId="00BB3814" w14:textId="77777777" w:rsidR="0034060E" w:rsidRDefault="0034060E" w:rsidP="0051512F">
                  <w:pPr>
                    <w:pStyle w:val="TableBodyText"/>
                    <w:spacing w:after="80"/>
                  </w:pPr>
                  <w:r>
                    <w:t>1 011</w:t>
                  </w:r>
                </w:p>
              </w:tc>
              <w:tc>
                <w:tcPr>
                  <w:tcW w:w="336" w:type="pct"/>
                </w:tcPr>
                <w:p w14:paraId="00BB3815" w14:textId="77777777" w:rsidR="0034060E" w:rsidRDefault="0034060E" w:rsidP="0051512F">
                  <w:pPr>
                    <w:pStyle w:val="TableBodyText"/>
                    <w:spacing w:after="80"/>
                  </w:pPr>
                  <w:r>
                    <w:t>787</w:t>
                  </w:r>
                </w:p>
              </w:tc>
              <w:tc>
                <w:tcPr>
                  <w:tcW w:w="336" w:type="pct"/>
                </w:tcPr>
                <w:p w14:paraId="00BB3816" w14:textId="77777777" w:rsidR="0034060E" w:rsidRDefault="0034060E" w:rsidP="0051512F">
                  <w:pPr>
                    <w:pStyle w:val="TableBodyText"/>
                    <w:spacing w:after="80"/>
                  </w:pPr>
                  <w:r>
                    <w:t>305</w:t>
                  </w:r>
                </w:p>
              </w:tc>
              <w:tc>
                <w:tcPr>
                  <w:tcW w:w="336" w:type="pct"/>
                </w:tcPr>
                <w:p w14:paraId="00BB3817" w14:textId="77777777" w:rsidR="0034060E" w:rsidRDefault="0034060E" w:rsidP="0051512F">
                  <w:pPr>
                    <w:pStyle w:val="TableBodyText"/>
                    <w:spacing w:after="80"/>
                  </w:pPr>
                  <w:r>
                    <w:t>483</w:t>
                  </w:r>
                </w:p>
              </w:tc>
              <w:tc>
                <w:tcPr>
                  <w:tcW w:w="333" w:type="pct"/>
                </w:tcPr>
                <w:p w14:paraId="00BB3818" w14:textId="77777777" w:rsidR="0034060E" w:rsidRDefault="0034060E" w:rsidP="0051512F">
                  <w:pPr>
                    <w:pStyle w:val="TableBodyText"/>
                    <w:spacing w:after="80"/>
                  </w:pPr>
                  <w:r>
                    <w:t>104</w:t>
                  </w:r>
                </w:p>
              </w:tc>
              <w:tc>
                <w:tcPr>
                  <w:tcW w:w="333" w:type="pct"/>
                </w:tcPr>
                <w:p w14:paraId="00BB3819" w14:textId="77777777" w:rsidR="0034060E" w:rsidRDefault="0034060E" w:rsidP="0051512F">
                  <w:pPr>
                    <w:pStyle w:val="TableBodyText"/>
                    <w:spacing w:after="80"/>
                  </w:pPr>
                  <w:r>
                    <w:t>49</w:t>
                  </w:r>
                </w:p>
              </w:tc>
              <w:tc>
                <w:tcPr>
                  <w:tcW w:w="333" w:type="pct"/>
                </w:tcPr>
                <w:p w14:paraId="00BB381A" w14:textId="77777777" w:rsidR="0034060E" w:rsidRDefault="0034060E" w:rsidP="0051512F">
                  <w:pPr>
                    <w:pStyle w:val="TableBodyText"/>
                    <w:spacing w:after="80"/>
                  </w:pPr>
                  <w:r>
                    <w:t>75</w:t>
                  </w:r>
                </w:p>
              </w:tc>
              <w:tc>
                <w:tcPr>
                  <w:tcW w:w="421" w:type="pct"/>
                </w:tcPr>
                <w:p w14:paraId="00BB381B" w14:textId="77777777" w:rsidR="0034060E" w:rsidRDefault="0034060E" w:rsidP="0051512F">
                  <w:pPr>
                    <w:pStyle w:val="TableBodyText"/>
                    <w:spacing w:after="80"/>
                  </w:pPr>
                  <w:r>
                    <w:t>4 148</w:t>
                  </w:r>
                </w:p>
              </w:tc>
              <w:tc>
                <w:tcPr>
                  <w:tcW w:w="412" w:type="pct"/>
                  <w:shd w:val="clear" w:color="auto" w:fill="F2F2F2" w:themeFill="accent4"/>
                </w:tcPr>
                <w:p w14:paraId="00BB381C" w14:textId="77777777" w:rsidR="0034060E" w:rsidRDefault="0034060E" w:rsidP="0051512F">
                  <w:pPr>
                    <w:pStyle w:val="TableBodyText"/>
                    <w:spacing w:after="80"/>
                  </w:pPr>
                  <w:r>
                    <w:t>4 663</w:t>
                  </w:r>
                </w:p>
              </w:tc>
            </w:tr>
            <w:tr w:rsidR="0034060E" w14:paraId="00BB3829" w14:textId="77777777" w:rsidTr="0051512F">
              <w:tc>
                <w:tcPr>
                  <w:tcW w:w="1407" w:type="pct"/>
                </w:tcPr>
                <w:p w14:paraId="00BB381E" w14:textId="77777777" w:rsidR="0034060E" w:rsidRPr="00317B20" w:rsidRDefault="0034060E" w:rsidP="0051512F">
                  <w:pPr>
                    <w:pStyle w:val="TableBodyText"/>
                    <w:spacing w:after="80"/>
                    <w:jc w:val="left"/>
                  </w:pPr>
                  <w:r w:rsidRPr="00317B20">
                    <w:t>Technicians and Trades Workers</w:t>
                  </w:r>
                </w:p>
              </w:tc>
              <w:tc>
                <w:tcPr>
                  <w:tcW w:w="418" w:type="pct"/>
                </w:tcPr>
                <w:p w14:paraId="00BB381F" w14:textId="77777777" w:rsidR="0034060E" w:rsidRDefault="0034060E" w:rsidP="0051512F">
                  <w:pPr>
                    <w:pStyle w:val="TableBodyText"/>
                    <w:spacing w:after="80"/>
                  </w:pPr>
                  <w:r>
                    <w:t>850</w:t>
                  </w:r>
                </w:p>
              </w:tc>
              <w:tc>
                <w:tcPr>
                  <w:tcW w:w="336" w:type="pct"/>
                </w:tcPr>
                <w:p w14:paraId="00BB3820" w14:textId="77777777" w:rsidR="0034060E" w:rsidRDefault="0034060E" w:rsidP="0051512F">
                  <w:pPr>
                    <w:pStyle w:val="TableBodyText"/>
                    <w:spacing w:after="80"/>
                  </w:pPr>
                  <w:r>
                    <w:t>697</w:t>
                  </w:r>
                </w:p>
              </w:tc>
              <w:tc>
                <w:tcPr>
                  <w:tcW w:w="336" w:type="pct"/>
                </w:tcPr>
                <w:p w14:paraId="00BB3821" w14:textId="77777777" w:rsidR="0034060E" w:rsidRDefault="0034060E" w:rsidP="0051512F">
                  <w:pPr>
                    <w:pStyle w:val="TableBodyText"/>
                    <w:spacing w:after="80"/>
                  </w:pPr>
                  <w:r>
                    <w:t>640</w:t>
                  </w:r>
                </w:p>
              </w:tc>
              <w:tc>
                <w:tcPr>
                  <w:tcW w:w="336" w:type="pct"/>
                </w:tcPr>
                <w:p w14:paraId="00BB3822" w14:textId="77777777" w:rsidR="0034060E" w:rsidRDefault="0034060E" w:rsidP="0051512F">
                  <w:pPr>
                    <w:pStyle w:val="TableBodyText"/>
                    <w:spacing w:after="80"/>
                  </w:pPr>
                  <w:r>
                    <w:t>220</w:t>
                  </w:r>
                </w:p>
              </w:tc>
              <w:tc>
                <w:tcPr>
                  <w:tcW w:w="336" w:type="pct"/>
                </w:tcPr>
                <w:p w14:paraId="00BB3823" w14:textId="77777777" w:rsidR="0034060E" w:rsidRDefault="0034060E" w:rsidP="0051512F">
                  <w:pPr>
                    <w:pStyle w:val="TableBodyText"/>
                    <w:spacing w:after="80"/>
                  </w:pPr>
                  <w:r>
                    <w:t>370</w:t>
                  </w:r>
                </w:p>
              </w:tc>
              <w:tc>
                <w:tcPr>
                  <w:tcW w:w="333" w:type="pct"/>
                </w:tcPr>
                <w:p w14:paraId="00BB3824" w14:textId="77777777" w:rsidR="0034060E" w:rsidRDefault="0034060E" w:rsidP="0051512F">
                  <w:pPr>
                    <w:pStyle w:val="TableBodyText"/>
                    <w:spacing w:after="80"/>
                  </w:pPr>
                  <w:r>
                    <w:t>57</w:t>
                  </w:r>
                </w:p>
              </w:tc>
              <w:tc>
                <w:tcPr>
                  <w:tcW w:w="333" w:type="pct"/>
                </w:tcPr>
                <w:p w14:paraId="00BB3825" w14:textId="77777777" w:rsidR="0034060E" w:rsidRDefault="0034060E" w:rsidP="0051512F">
                  <w:pPr>
                    <w:pStyle w:val="TableBodyText"/>
                    <w:spacing w:after="80"/>
                  </w:pPr>
                  <w:r>
                    <w:t>35</w:t>
                  </w:r>
                </w:p>
              </w:tc>
              <w:tc>
                <w:tcPr>
                  <w:tcW w:w="333" w:type="pct"/>
                </w:tcPr>
                <w:p w14:paraId="00BB3826" w14:textId="77777777" w:rsidR="0034060E" w:rsidRDefault="0034060E" w:rsidP="0051512F">
                  <w:pPr>
                    <w:pStyle w:val="TableBodyText"/>
                    <w:spacing w:after="80"/>
                  </w:pPr>
                  <w:r>
                    <w:t>41</w:t>
                  </w:r>
                </w:p>
              </w:tc>
              <w:tc>
                <w:tcPr>
                  <w:tcW w:w="421" w:type="pct"/>
                </w:tcPr>
                <w:p w14:paraId="00BB3827" w14:textId="77777777" w:rsidR="0034060E" w:rsidRDefault="0034060E" w:rsidP="0051512F">
                  <w:pPr>
                    <w:pStyle w:val="TableBodyText"/>
                    <w:spacing w:after="80"/>
                  </w:pPr>
                  <w:r>
                    <w:t>2 911</w:t>
                  </w:r>
                </w:p>
              </w:tc>
              <w:tc>
                <w:tcPr>
                  <w:tcW w:w="412" w:type="pct"/>
                  <w:shd w:val="clear" w:color="auto" w:fill="F2F2F2" w:themeFill="accent4"/>
                </w:tcPr>
                <w:p w14:paraId="00BB3828" w14:textId="77777777" w:rsidR="0034060E" w:rsidRDefault="0034060E" w:rsidP="0051512F">
                  <w:pPr>
                    <w:pStyle w:val="TableBodyText"/>
                    <w:spacing w:after="80"/>
                  </w:pPr>
                  <w:r>
                    <w:t>3 297</w:t>
                  </w:r>
                </w:p>
              </w:tc>
            </w:tr>
            <w:tr w:rsidR="0034060E" w14:paraId="00BB3835" w14:textId="77777777" w:rsidTr="0051512F">
              <w:tc>
                <w:tcPr>
                  <w:tcW w:w="1407" w:type="pct"/>
                </w:tcPr>
                <w:p w14:paraId="00BB382A" w14:textId="77777777" w:rsidR="0034060E" w:rsidRPr="00317B20" w:rsidRDefault="0034060E" w:rsidP="0051512F">
                  <w:pPr>
                    <w:pStyle w:val="TableBodyText"/>
                    <w:spacing w:after="80"/>
                    <w:jc w:val="left"/>
                  </w:pPr>
                  <w:r w:rsidRPr="00317B20">
                    <w:t>Community and Personal Service Workers</w:t>
                  </w:r>
                </w:p>
              </w:tc>
              <w:tc>
                <w:tcPr>
                  <w:tcW w:w="418" w:type="pct"/>
                </w:tcPr>
                <w:p w14:paraId="00BB382B" w14:textId="77777777" w:rsidR="0034060E" w:rsidRDefault="0034060E" w:rsidP="0051512F">
                  <w:pPr>
                    <w:pStyle w:val="TableBodyText"/>
                    <w:spacing w:after="80"/>
                  </w:pPr>
                  <w:r>
                    <w:t>568</w:t>
                  </w:r>
                </w:p>
              </w:tc>
              <w:tc>
                <w:tcPr>
                  <w:tcW w:w="336" w:type="pct"/>
                </w:tcPr>
                <w:p w14:paraId="00BB382C" w14:textId="77777777" w:rsidR="0034060E" w:rsidRDefault="0034060E" w:rsidP="0051512F">
                  <w:pPr>
                    <w:pStyle w:val="TableBodyText"/>
                    <w:spacing w:after="80"/>
                  </w:pPr>
                  <w:r>
                    <w:t>402</w:t>
                  </w:r>
                </w:p>
              </w:tc>
              <w:tc>
                <w:tcPr>
                  <w:tcW w:w="336" w:type="pct"/>
                </w:tcPr>
                <w:p w14:paraId="00BB382D" w14:textId="77777777" w:rsidR="0034060E" w:rsidRDefault="0034060E" w:rsidP="0051512F">
                  <w:pPr>
                    <w:pStyle w:val="TableBodyText"/>
                    <w:spacing w:after="80"/>
                  </w:pPr>
                  <w:r>
                    <w:t>328</w:t>
                  </w:r>
                </w:p>
              </w:tc>
              <w:tc>
                <w:tcPr>
                  <w:tcW w:w="336" w:type="pct"/>
                </w:tcPr>
                <w:p w14:paraId="00BB382E" w14:textId="77777777" w:rsidR="0034060E" w:rsidRDefault="0034060E" w:rsidP="0051512F">
                  <w:pPr>
                    <w:pStyle w:val="TableBodyText"/>
                    <w:spacing w:after="80"/>
                  </w:pPr>
                  <w:r>
                    <w:t>152</w:t>
                  </w:r>
                </w:p>
              </w:tc>
              <w:tc>
                <w:tcPr>
                  <w:tcW w:w="336" w:type="pct"/>
                </w:tcPr>
                <w:p w14:paraId="00BB382F" w14:textId="77777777" w:rsidR="0034060E" w:rsidRDefault="0034060E" w:rsidP="0051512F">
                  <w:pPr>
                    <w:pStyle w:val="TableBodyText"/>
                    <w:spacing w:after="80"/>
                  </w:pPr>
                  <w:r>
                    <w:t>190</w:t>
                  </w:r>
                </w:p>
              </w:tc>
              <w:tc>
                <w:tcPr>
                  <w:tcW w:w="333" w:type="pct"/>
                </w:tcPr>
                <w:p w14:paraId="00BB3830" w14:textId="77777777" w:rsidR="0034060E" w:rsidRDefault="0034060E" w:rsidP="0051512F">
                  <w:pPr>
                    <w:pStyle w:val="TableBodyText"/>
                    <w:spacing w:after="80"/>
                  </w:pPr>
                  <w:r>
                    <w:t>34</w:t>
                  </w:r>
                </w:p>
              </w:tc>
              <w:tc>
                <w:tcPr>
                  <w:tcW w:w="333" w:type="pct"/>
                </w:tcPr>
                <w:p w14:paraId="00BB3831" w14:textId="77777777" w:rsidR="0034060E" w:rsidRDefault="0034060E" w:rsidP="0051512F">
                  <w:pPr>
                    <w:pStyle w:val="TableBodyText"/>
                    <w:spacing w:after="80"/>
                  </w:pPr>
                  <w:r>
                    <w:t>26</w:t>
                  </w:r>
                </w:p>
              </w:tc>
              <w:tc>
                <w:tcPr>
                  <w:tcW w:w="333" w:type="pct"/>
                </w:tcPr>
                <w:p w14:paraId="00BB3832" w14:textId="77777777" w:rsidR="0034060E" w:rsidRDefault="0034060E" w:rsidP="0051512F">
                  <w:pPr>
                    <w:pStyle w:val="TableBodyText"/>
                    <w:spacing w:after="80"/>
                  </w:pPr>
                  <w:r>
                    <w:t>45</w:t>
                  </w:r>
                </w:p>
              </w:tc>
              <w:tc>
                <w:tcPr>
                  <w:tcW w:w="421" w:type="pct"/>
                </w:tcPr>
                <w:p w14:paraId="00BB3833" w14:textId="77777777" w:rsidR="0034060E" w:rsidRDefault="0034060E" w:rsidP="0051512F">
                  <w:pPr>
                    <w:pStyle w:val="TableBodyText"/>
                    <w:spacing w:after="80"/>
                  </w:pPr>
                  <w:r>
                    <w:t>1 744</w:t>
                  </w:r>
                </w:p>
              </w:tc>
              <w:tc>
                <w:tcPr>
                  <w:tcW w:w="412" w:type="pct"/>
                  <w:shd w:val="clear" w:color="auto" w:fill="F2F2F2" w:themeFill="accent4"/>
                </w:tcPr>
                <w:p w14:paraId="00BB3834" w14:textId="77777777" w:rsidR="0034060E" w:rsidRDefault="0034060E" w:rsidP="0051512F">
                  <w:pPr>
                    <w:pStyle w:val="TableBodyText"/>
                    <w:spacing w:after="80"/>
                  </w:pPr>
                  <w:r>
                    <w:t>1 631</w:t>
                  </w:r>
                </w:p>
              </w:tc>
            </w:tr>
            <w:tr w:rsidR="0034060E" w14:paraId="00BB3841" w14:textId="77777777" w:rsidTr="0051512F">
              <w:tc>
                <w:tcPr>
                  <w:tcW w:w="1407" w:type="pct"/>
                </w:tcPr>
                <w:p w14:paraId="00BB3836" w14:textId="77777777" w:rsidR="0034060E" w:rsidRPr="00317B20" w:rsidRDefault="0034060E" w:rsidP="0051512F">
                  <w:pPr>
                    <w:pStyle w:val="TableBodyText"/>
                    <w:spacing w:after="80"/>
                    <w:jc w:val="left"/>
                  </w:pPr>
                  <w:r w:rsidRPr="00317B20">
                    <w:t>Clerical and Administrative Workers</w:t>
                  </w:r>
                </w:p>
              </w:tc>
              <w:tc>
                <w:tcPr>
                  <w:tcW w:w="418" w:type="pct"/>
                </w:tcPr>
                <w:p w14:paraId="00BB3837" w14:textId="77777777" w:rsidR="0034060E" w:rsidRDefault="0034060E" w:rsidP="0051512F">
                  <w:pPr>
                    <w:pStyle w:val="TableBodyText"/>
                    <w:spacing w:after="80"/>
                  </w:pPr>
                  <w:r>
                    <w:t>914</w:t>
                  </w:r>
                </w:p>
              </w:tc>
              <w:tc>
                <w:tcPr>
                  <w:tcW w:w="336" w:type="pct"/>
                </w:tcPr>
                <w:p w14:paraId="00BB3838" w14:textId="77777777" w:rsidR="0034060E" w:rsidRDefault="0034060E" w:rsidP="0051512F">
                  <w:pPr>
                    <w:pStyle w:val="TableBodyText"/>
                    <w:spacing w:after="80"/>
                  </w:pPr>
                  <w:r>
                    <w:t>688</w:t>
                  </w:r>
                </w:p>
              </w:tc>
              <w:tc>
                <w:tcPr>
                  <w:tcW w:w="336" w:type="pct"/>
                </w:tcPr>
                <w:p w14:paraId="00BB3839" w14:textId="77777777" w:rsidR="0034060E" w:rsidRDefault="0034060E" w:rsidP="0051512F">
                  <w:pPr>
                    <w:pStyle w:val="TableBodyText"/>
                    <w:spacing w:after="80"/>
                  </w:pPr>
                  <w:r>
                    <w:t>587</w:t>
                  </w:r>
                </w:p>
              </w:tc>
              <w:tc>
                <w:tcPr>
                  <w:tcW w:w="336" w:type="pct"/>
                </w:tcPr>
                <w:p w14:paraId="00BB383A" w14:textId="77777777" w:rsidR="0034060E" w:rsidRDefault="0034060E" w:rsidP="0051512F">
                  <w:pPr>
                    <w:pStyle w:val="TableBodyText"/>
                    <w:spacing w:after="80"/>
                  </w:pPr>
                  <w:r>
                    <w:t>185</w:t>
                  </w:r>
                </w:p>
              </w:tc>
              <w:tc>
                <w:tcPr>
                  <w:tcW w:w="336" w:type="pct"/>
                </w:tcPr>
                <w:p w14:paraId="00BB383B" w14:textId="77777777" w:rsidR="0034060E" w:rsidRDefault="0034060E" w:rsidP="0051512F">
                  <w:pPr>
                    <w:pStyle w:val="TableBodyText"/>
                    <w:spacing w:after="80"/>
                  </w:pPr>
                  <w:r>
                    <w:t>344</w:t>
                  </w:r>
                </w:p>
              </w:tc>
              <w:tc>
                <w:tcPr>
                  <w:tcW w:w="333" w:type="pct"/>
                </w:tcPr>
                <w:p w14:paraId="00BB383C" w14:textId="77777777" w:rsidR="0034060E" w:rsidRDefault="0034060E" w:rsidP="0051512F">
                  <w:pPr>
                    <w:pStyle w:val="TableBodyText"/>
                    <w:spacing w:after="80"/>
                  </w:pPr>
                  <w:r>
                    <w:t>57</w:t>
                  </w:r>
                </w:p>
              </w:tc>
              <w:tc>
                <w:tcPr>
                  <w:tcW w:w="333" w:type="pct"/>
                </w:tcPr>
                <w:p w14:paraId="00BB383D" w14:textId="77777777" w:rsidR="0034060E" w:rsidRDefault="0034060E" w:rsidP="0051512F">
                  <w:pPr>
                    <w:pStyle w:val="TableBodyText"/>
                    <w:spacing w:after="80"/>
                  </w:pPr>
                  <w:r>
                    <w:t>35</w:t>
                  </w:r>
                </w:p>
              </w:tc>
              <w:tc>
                <w:tcPr>
                  <w:tcW w:w="333" w:type="pct"/>
                </w:tcPr>
                <w:p w14:paraId="00BB383E" w14:textId="77777777" w:rsidR="0034060E" w:rsidRDefault="0034060E" w:rsidP="0051512F">
                  <w:pPr>
                    <w:pStyle w:val="TableBodyText"/>
                    <w:spacing w:after="80"/>
                  </w:pPr>
                  <w:r>
                    <w:t>76</w:t>
                  </w:r>
                </w:p>
              </w:tc>
              <w:tc>
                <w:tcPr>
                  <w:tcW w:w="421" w:type="pct"/>
                </w:tcPr>
                <w:p w14:paraId="00BB383F" w14:textId="77777777" w:rsidR="0034060E" w:rsidRDefault="0034060E" w:rsidP="0051512F">
                  <w:pPr>
                    <w:pStyle w:val="TableBodyText"/>
                    <w:spacing w:after="80"/>
                  </w:pPr>
                  <w:r>
                    <w:t>2 886</w:t>
                  </w:r>
                </w:p>
              </w:tc>
              <w:tc>
                <w:tcPr>
                  <w:tcW w:w="412" w:type="pct"/>
                  <w:shd w:val="clear" w:color="auto" w:fill="F2F2F2" w:themeFill="accent4"/>
                </w:tcPr>
                <w:p w14:paraId="00BB3840" w14:textId="77777777" w:rsidR="0034060E" w:rsidRDefault="0034060E" w:rsidP="0051512F">
                  <w:pPr>
                    <w:pStyle w:val="TableBodyText"/>
                    <w:spacing w:after="80"/>
                  </w:pPr>
                  <w:r>
                    <w:t>2 666</w:t>
                  </w:r>
                </w:p>
              </w:tc>
            </w:tr>
            <w:tr w:rsidR="0034060E" w14:paraId="00BB384D" w14:textId="77777777" w:rsidTr="0051512F">
              <w:tc>
                <w:tcPr>
                  <w:tcW w:w="1407" w:type="pct"/>
                </w:tcPr>
                <w:p w14:paraId="00BB3842" w14:textId="77777777" w:rsidR="0034060E" w:rsidRPr="00317B20" w:rsidRDefault="0034060E" w:rsidP="0051512F">
                  <w:pPr>
                    <w:pStyle w:val="TableBodyText"/>
                    <w:spacing w:after="80"/>
                    <w:jc w:val="left"/>
                  </w:pPr>
                  <w:r w:rsidRPr="00317B20">
                    <w:t>Sales Workers</w:t>
                  </w:r>
                </w:p>
              </w:tc>
              <w:tc>
                <w:tcPr>
                  <w:tcW w:w="418" w:type="pct"/>
                </w:tcPr>
                <w:p w14:paraId="00BB3843" w14:textId="77777777" w:rsidR="0034060E" w:rsidRDefault="0034060E" w:rsidP="0051512F">
                  <w:pPr>
                    <w:pStyle w:val="TableBodyText"/>
                    <w:spacing w:after="80"/>
                  </w:pPr>
                  <w:r>
                    <w:t>584</w:t>
                  </w:r>
                </w:p>
              </w:tc>
              <w:tc>
                <w:tcPr>
                  <w:tcW w:w="336" w:type="pct"/>
                </w:tcPr>
                <w:p w14:paraId="00BB3844" w14:textId="77777777" w:rsidR="0034060E" w:rsidRDefault="0034060E" w:rsidP="0051512F">
                  <w:pPr>
                    <w:pStyle w:val="TableBodyText"/>
                    <w:spacing w:after="80"/>
                  </w:pPr>
                  <w:r>
                    <w:t>413</w:t>
                  </w:r>
                </w:p>
              </w:tc>
              <w:tc>
                <w:tcPr>
                  <w:tcW w:w="336" w:type="pct"/>
                </w:tcPr>
                <w:p w14:paraId="00BB3845" w14:textId="77777777" w:rsidR="0034060E" w:rsidRDefault="0034060E" w:rsidP="0051512F">
                  <w:pPr>
                    <w:pStyle w:val="TableBodyText"/>
                    <w:spacing w:after="80"/>
                  </w:pPr>
                  <w:r>
                    <w:t>384</w:t>
                  </w:r>
                </w:p>
              </w:tc>
              <w:tc>
                <w:tcPr>
                  <w:tcW w:w="336" w:type="pct"/>
                </w:tcPr>
                <w:p w14:paraId="00BB3846" w14:textId="77777777" w:rsidR="0034060E" w:rsidRDefault="0034060E" w:rsidP="0051512F">
                  <w:pPr>
                    <w:pStyle w:val="TableBodyText"/>
                    <w:spacing w:after="80"/>
                  </w:pPr>
                  <w:r>
                    <w:t>81</w:t>
                  </w:r>
                </w:p>
              </w:tc>
              <w:tc>
                <w:tcPr>
                  <w:tcW w:w="336" w:type="pct"/>
                </w:tcPr>
                <w:p w14:paraId="00BB3847" w14:textId="77777777" w:rsidR="0034060E" w:rsidRDefault="0034060E" w:rsidP="0051512F">
                  <w:pPr>
                    <w:pStyle w:val="TableBodyText"/>
                    <w:spacing w:after="80"/>
                  </w:pPr>
                  <w:r>
                    <w:t>217</w:t>
                  </w:r>
                </w:p>
              </w:tc>
              <w:tc>
                <w:tcPr>
                  <w:tcW w:w="333" w:type="pct"/>
                </w:tcPr>
                <w:p w14:paraId="00BB3848" w14:textId="77777777" w:rsidR="0034060E" w:rsidRDefault="0034060E" w:rsidP="0051512F">
                  <w:pPr>
                    <w:pStyle w:val="TableBodyText"/>
                    <w:spacing w:after="80"/>
                  </w:pPr>
                  <w:r>
                    <w:t>32</w:t>
                  </w:r>
                </w:p>
              </w:tc>
              <w:tc>
                <w:tcPr>
                  <w:tcW w:w="333" w:type="pct"/>
                </w:tcPr>
                <w:p w14:paraId="00BB3849" w14:textId="77777777" w:rsidR="0034060E" w:rsidRDefault="0034060E" w:rsidP="0051512F">
                  <w:pPr>
                    <w:pStyle w:val="TableBodyText"/>
                    <w:spacing w:after="80"/>
                  </w:pPr>
                  <w:r>
                    <w:t>20</w:t>
                  </w:r>
                </w:p>
              </w:tc>
              <w:tc>
                <w:tcPr>
                  <w:tcW w:w="333" w:type="pct"/>
                </w:tcPr>
                <w:p w14:paraId="00BB384A" w14:textId="77777777" w:rsidR="0034060E" w:rsidRDefault="0034060E" w:rsidP="0051512F">
                  <w:pPr>
                    <w:pStyle w:val="TableBodyText"/>
                    <w:spacing w:after="80"/>
                  </w:pPr>
                  <w:r>
                    <w:t>23</w:t>
                  </w:r>
                </w:p>
              </w:tc>
              <w:tc>
                <w:tcPr>
                  <w:tcW w:w="421" w:type="pct"/>
                </w:tcPr>
                <w:p w14:paraId="00BB384B" w14:textId="77777777" w:rsidR="0034060E" w:rsidRDefault="0034060E" w:rsidP="0051512F">
                  <w:pPr>
                    <w:pStyle w:val="TableBodyText"/>
                    <w:spacing w:after="80"/>
                  </w:pPr>
                  <w:r>
                    <w:t>1 753</w:t>
                  </w:r>
                </w:p>
              </w:tc>
              <w:tc>
                <w:tcPr>
                  <w:tcW w:w="412" w:type="pct"/>
                  <w:shd w:val="clear" w:color="auto" w:fill="F2F2F2" w:themeFill="accent4"/>
                </w:tcPr>
                <w:p w14:paraId="00BB384C" w14:textId="77777777" w:rsidR="0034060E" w:rsidRDefault="0034060E" w:rsidP="0051512F">
                  <w:pPr>
                    <w:pStyle w:val="TableBodyText"/>
                    <w:spacing w:after="80"/>
                  </w:pPr>
                  <w:r>
                    <w:t>1 454</w:t>
                  </w:r>
                </w:p>
              </w:tc>
            </w:tr>
            <w:tr w:rsidR="0034060E" w14:paraId="00BB3859" w14:textId="77777777" w:rsidTr="0051512F">
              <w:tc>
                <w:tcPr>
                  <w:tcW w:w="1407" w:type="pct"/>
                </w:tcPr>
                <w:p w14:paraId="00BB384E" w14:textId="77777777" w:rsidR="0034060E" w:rsidRPr="00317B20" w:rsidRDefault="0034060E" w:rsidP="0051512F">
                  <w:pPr>
                    <w:pStyle w:val="TableBodyText"/>
                    <w:spacing w:after="80"/>
                    <w:jc w:val="left"/>
                  </w:pPr>
                  <w:r w:rsidRPr="00317B20">
                    <w:t>Machinery Operators and Drivers</w:t>
                  </w:r>
                </w:p>
              </w:tc>
              <w:tc>
                <w:tcPr>
                  <w:tcW w:w="418" w:type="pct"/>
                </w:tcPr>
                <w:p w14:paraId="00BB384F" w14:textId="77777777" w:rsidR="0034060E" w:rsidRDefault="0034060E" w:rsidP="0051512F">
                  <w:pPr>
                    <w:pStyle w:val="TableBodyText"/>
                    <w:spacing w:after="80"/>
                  </w:pPr>
                  <w:r>
                    <w:t>381</w:t>
                  </w:r>
                </w:p>
              </w:tc>
              <w:tc>
                <w:tcPr>
                  <w:tcW w:w="336" w:type="pct"/>
                </w:tcPr>
                <w:p w14:paraId="00BB3850" w14:textId="77777777" w:rsidR="0034060E" w:rsidRDefault="0034060E" w:rsidP="0051512F">
                  <w:pPr>
                    <w:pStyle w:val="TableBodyText"/>
                    <w:spacing w:after="80"/>
                  </w:pPr>
                  <w:r>
                    <w:t>295</w:t>
                  </w:r>
                </w:p>
              </w:tc>
              <w:tc>
                <w:tcPr>
                  <w:tcW w:w="336" w:type="pct"/>
                </w:tcPr>
                <w:p w14:paraId="00BB3851" w14:textId="77777777" w:rsidR="0034060E" w:rsidRDefault="0034060E" w:rsidP="0051512F">
                  <w:pPr>
                    <w:pStyle w:val="TableBodyText"/>
                    <w:spacing w:after="80"/>
                  </w:pPr>
                  <w:r>
                    <w:t>332</w:t>
                  </w:r>
                </w:p>
              </w:tc>
              <w:tc>
                <w:tcPr>
                  <w:tcW w:w="336" w:type="pct"/>
                </w:tcPr>
                <w:p w14:paraId="00BB3852" w14:textId="77777777" w:rsidR="0034060E" w:rsidRDefault="0034060E" w:rsidP="0051512F">
                  <w:pPr>
                    <w:pStyle w:val="TableBodyText"/>
                    <w:spacing w:after="80"/>
                  </w:pPr>
                  <w:r>
                    <w:t>90</w:t>
                  </w:r>
                </w:p>
              </w:tc>
              <w:tc>
                <w:tcPr>
                  <w:tcW w:w="336" w:type="pct"/>
                </w:tcPr>
                <w:p w14:paraId="00BB3853" w14:textId="77777777" w:rsidR="0034060E" w:rsidRDefault="0034060E" w:rsidP="0051512F">
                  <w:pPr>
                    <w:pStyle w:val="TableBodyText"/>
                    <w:spacing w:after="80"/>
                  </w:pPr>
                  <w:r>
                    <w:t>249</w:t>
                  </w:r>
                </w:p>
              </w:tc>
              <w:tc>
                <w:tcPr>
                  <w:tcW w:w="333" w:type="pct"/>
                </w:tcPr>
                <w:p w14:paraId="00BB3854" w14:textId="77777777" w:rsidR="0034060E" w:rsidRDefault="0034060E" w:rsidP="0051512F">
                  <w:pPr>
                    <w:pStyle w:val="TableBodyText"/>
                    <w:spacing w:after="80"/>
                  </w:pPr>
                  <w:r>
                    <w:t>26</w:t>
                  </w:r>
                </w:p>
              </w:tc>
              <w:tc>
                <w:tcPr>
                  <w:tcW w:w="333" w:type="pct"/>
                </w:tcPr>
                <w:p w14:paraId="00BB3855" w14:textId="77777777" w:rsidR="0034060E" w:rsidRDefault="0034060E" w:rsidP="0051512F">
                  <w:pPr>
                    <w:pStyle w:val="TableBodyText"/>
                    <w:spacing w:after="80"/>
                  </w:pPr>
                  <w:r>
                    <w:t>17</w:t>
                  </w:r>
                </w:p>
              </w:tc>
              <w:tc>
                <w:tcPr>
                  <w:tcW w:w="333" w:type="pct"/>
                </w:tcPr>
                <w:p w14:paraId="00BB3856" w14:textId="77777777" w:rsidR="0034060E" w:rsidRDefault="0034060E" w:rsidP="0051512F">
                  <w:pPr>
                    <w:pStyle w:val="TableBodyText"/>
                    <w:spacing w:after="80"/>
                  </w:pPr>
                  <w:r>
                    <w:t>16</w:t>
                  </w:r>
                </w:p>
              </w:tc>
              <w:tc>
                <w:tcPr>
                  <w:tcW w:w="421" w:type="pct"/>
                </w:tcPr>
                <w:p w14:paraId="00BB3857" w14:textId="77777777" w:rsidR="0034060E" w:rsidRDefault="0034060E" w:rsidP="0051512F">
                  <w:pPr>
                    <w:pStyle w:val="TableBodyText"/>
                    <w:spacing w:after="80"/>
                  </w:pPr>
                  <w:r>
                    <w:t>1 406</w:t>
                  </w:r>
                </w:p>
              </w:tc>
              <w:tc>
                <w:tcPr>
                  <w:tcW w:w="412" w:type="pct"/>
                  <w:shd w:val="clear" w:color="auto" w:fill="F2F2F2" w:themeFill="accent4"/>
                </w:tcPr>
                <w:p w14:paraId="00BB3858" w14:textId="77777777" w:rsidR="0034060E" w:rsidRDefault="0034060E" w:rsidP="0051512F">
                  <w:pPr>
                    <w:pStyle w:val="TableBodyText"/>
                    <w:spacing w:after="80"/>
                  </w:pPr>
                  <w:r>
                    <w:t>1 546</w:t>
                  </w:r>
                </w:p>
              </w:tc>
            </w:tr>
            <w:tr w:rsidR="0034060E" w14:paraId="00BB3865" w14:textId="77777777" w:rsidTr="0051512F">
              <w:tc>
                <w:tcPr>
                  <w:tcW w:w="1407" w:type="pct"/>
                  <w:shd w:val="clear" w:color="auto" w:fill="auto"/>
                </w:tcPr>
                <w:p w14:paraId="00BB385A" w14:textId="77777777" w:rsidR="0034060E" w:rsidRPr="00317B20" w:rsidRDefault="0034060E" w:rsidP="0051512F">
                  <w:pPr>
                    <w:pStyle w:val="TableBodyText"/>
                    <w:spacing w:after="80"/>
                    <w:jc w:val="left"/>
                  </w:pPr>
                  <w:r w:rsidRPr="00317B20">
                    <w:t>Labourers</w:t>
                  </w:r>
                </w:p>
              </w:tc>
              <w:tc>
                <w:tcPr>
                  <w:tcW w:w="418" w:type="pct"/>
                  <w:shd w:val="clear" w:color="auto" w:fill="auto"/>
                </w:tcPr>
                <w:p w14:paraId="00BB385B" w14:textId="77777777" w:rsidR="0034060E" w:rsidRDefault="0034060E" w:rsidP="0051512F">
                  <w:pPr>
                    <w:pStyle w:val="TableBodyText"/>
                    <w:spacing w:after="80"/>
                  </w:pPr>
                  <w:r>
                    <w:t>540</w:t>
                  </w:r>
                </w:p>
              </w:tc>
              <w:tc>
                <w:tcPr>
                  <w:tcW w:w="336" w:type="pct"/>
                </w:tcPr>
                <w:p w14:paraId="00BB385C" w14:textId="77777777" w:rsidR="0034060E" w:rsidRDefault="0034060E" w:rsidP="0051512F">
                  <w:pPr>
                    <w:pStyle w:val="TableBodyText"/>
                    <w:spacing w:after="80"/>
                  </w:pPr>
                  <w:r>
                    <w:t>475</w:t>
                  </w:r>
                </w:p>
              </w:tc>
              <w:tc>
                <w:tcPr>
                  <w:tcW w:w="336" w:type="pct"/>
                </w:tcPr>
                <w:p w14:paraId="00BB385D" w14:textId="77777777" w:rsidR="0034060E" w:rsidRDefault="0034060E" w:rsidP="0051512F">
                  <w:pPr>
                    <w:pStyle w:val="TableBodyText"/>
                    <w:spacing w:after="80"/>
                  </w:pPr>
                  <w:r>
                    <w:t>398</w:t>
                  </w:r>
                </w:p>
              </w:tc>
              <w:tc>
                <w:tcPr>
                  <w:tcW w:w="336" w:type="pct"/>
                </w:tcPr>
                <w:p w14:paraId="00BB385E" w14:textId="77777777" w:rsidR="0034060E" w:rsidRDefault="0034060E" w:rsidP="0051512F">
                  <w:pPr>
                    <w:pStyle w:val="TableBodyText"/>
                    <w:spacing w:after="80"/>
                  </w:pPr>
                  <w:r>
                    <w:t>126</w:t>
                  </w:r>
                </w:p>
              </w:tc>
              <w:tc>
                <w:tcPr>
                  <w:tcW w:w="336" w:type="pct"/>
                </w:tcPr>
                <w:p w14:paraId="00BB385F" w14:textId="77777777" w:rsidR="0034060E" w:rsidRDefault="0034060E" w:rsidP="0051512F">
                  <w:pPr>
                    <w:pStyle w:val="TableBodyText"/>
                    <w:spacing w:after="80"/>
                  </w:pPr>
                  <w:r>
                    <w:t>186</w:t>
                  </w:r>
                </w:p>
              </w:tc>
              <w:tc>
                <w:tcPr>
                  <w:tcW w:w="333" w:type="pct"/>
                </w:tcPr>
                <w:p w14:paraId="00BB3860" w14:textId="77777777" w:rsidR="0034060E" w:rsidRDefault="0034060E" w:rsidP="0051512F">
                  <w:pPr>
                    <w:pStyle w:val="TableBodyText"/>
                    <w:spacing w:after="80"/>
                  </w:pPr>
                  <w:r>
                    <w:t>30</w:t>
                  </w:r>
                </w:p>
              </w:tc>
              <w:tc>
                <w:tcPr>
                  <w:tcW w:w="333" w:type="pct"/>
                </w:tcPr>
                <w:p w14:paraId="00BB3861" w14:textId="77777777" w:rsidR="0034060E" w:rsidRDefault="0034060E" w:rsidP="0051512F">
                  <w:pPr>
                    <w:pStyle w:val="TableBodyText"/>
                    <w:spacing w:after="80"/>
                  </w:pPr>
                  <w:r>
                    <w:t>19</w:t>
                  </w:r>
                </w:p>
              </w:tc>
              <w:tc>
                <w:tcPr>
                  <w:tcW w:w="333" w:type="pct"/>
                  <w:shd w:val="clear" w:color="auto" w:fill="auto"/>
                </w:tcPr>
                <w:p w14:paraId="00BB3862" w14:textId="77777777" w:rsidR="0034060E" w:rsidRDefault="0034060E" w:rsidP="0051512F">
                  <w:pPr>
                    <w:pStyle w:val="TableBodyText"/>
                    <w:spacing w:after="80"/>
                  </w:pPr>
                  <w:r>
                    <w:t>25</w:t>
                  </w:r>
                </w:p>
              </w:tc>
              <w:tc>
                <w:tcPr>
                  <w:tcW w:w="421" w:type="pct"/>
                </w:tcPr>
                <w:p w14:paraId="00BB3863" w14:textId="77777777" w:rsidR="0034060E" w:rsidRDefault="0034060E" w:rsidP="0051512F">
                  <w:pPr>
                    <w:pStyle w:val="TableBodyText"/>
                    <w:spacing w:after="80"/>
                  </w:pPr>
                  <w:r>
                    <w:t>1 799</w:t>
                  </w:r>
                </w:p>
              </w:tc>
              <w:tc>
                <w:tcPr>
                  <w:tcW w:w="412" w:type="pct"/>
                  <w:shd w:val="clear" w:color="auto" w:fill="F2F2F2" w:themeFill="accent4"/>
                </w:tcPr>
                <w:p w14:paraId="00BB3864" w14:textId="77777777" w:rsidR="0034060E" w:rsidRDefault="0034060E" w:rsidP="0051512F">
                  <w:pPr>
                    <w:pStyle w:val="TableBodyText"/>
                    <w:spacing w:after="80"/>
                  </w:pPr>
                  <w:r>
                    <w:t>1 696</w:t>
                  </w:r>
                </w:p>
              </w:tc>
            </w:tr>
            <w:tr w:rsidR="0034060E" w14:paraId="00BB3871" w14:textId="77777777" w:rsidTr="0051512F">
              <w:tc>
                <w:tcPr>
                  <w:tcW w:w="1407" w:type="pct"/>
                  <w:tcBorders>
                    <w:bottom w:val="single" w:sz="6" w:space="0" w:color="BFBFBF"/>
                  </w:tcBorders>
                  <w:shd w:val="clear" w:color="auto" w:fill="auto"/>
                </w:tcPr>
                <w:p w14:paraId="00BB3866" w14:textId="77777777" w:rsidR="0034060E" w:rsidRPr="00317B20" w:rsidRDefault="0034060E" w:rsidP="0051512F">
                  <w:pPr>
                    <w:pStyle w:val="TableBodyText"/>
                    <w:spacing w:after="80"/>
                    <w:jc w:val="left"/>
                  </w:pPr>
                  <w:r>
                    <w:t>Total</w:t>
                  </w:r>
                </w:p>
              </w:tc>
              <w:tc>
                <w:tcPr>
                  <w:tcW w:w="418" w:type="pct"/>
                  <w:tcBorders>
                    <w:bottom w:val="single" w:sz="6" w:space="0" w:color="BFBFBF"/>
                  </w:tcBorders>
                  <w:shd w:val="clear" w:color="auto" w:fill="auto"/>
                </w:tcPr>
                <w:p w14:paraId="00BB3867" w14:textId="77777777" w:rsidR="0034060E" w:rsidRDefault="0034060E" w:rsidP="0051512F">
                  <w:pPr>
                    <w:pStyle w:val="TableBodyText"/>
                    <w:spacing w:after="80"/>
                  </w:pPr>
                  <w:r>
                    <w:t>5 982</w:t>
                  </w:r>
                </w:p>
              </w:tc>
              <w:tc>
                <w:tcPr>
                  <w:tcW w:w="336" w:type="pct"/>
                  <w:tcBorders>
                    <w:bottom w:val="single" w:sz="6" w:space="0" w:color="BFBFBF"/>
                  </w:tcBorders>
                </w:tcPr>
                <w:p w14:paraId="00BB3868" w14:textId="77777777" w:rsidR="0034060E" w:rsidRDefault="0034060E" w:rsidP="0051512F">
                  <w:pPr>
                    <w:pStyle w:val="TableBodyText"/>
                    <w:spacing w:after="80"/>
                  </w:pPr>
                  <w:r>
                    <w:t>4 608</w:t>
                  </w:r>
                </w:p>
              </w:tc>
              <w:tc>
                <w:tcPr>
                  <w:tcW w:w="336" w:type="pct"/>
                  <w:tcBorders>
                    <w:bottom w:val="single" w:sz="6" w:space="0" w:color="BFBFBF"/>
                  </w:tcBorders>
                </w:tcPr>
                <w:p w14:paraId="00BB3869" w14:textId="77777777" w:rsidR="0034060E" w:rsidRDefault="0034060E" w:rsidP="0051512F">
                  <w:pPr>
                    <w:pStyle w:val="TableBodyText"/>
                    <w:spacing w:after="80"/>
                  </w:pPr>
                  <w:r>
                    <w:t>3 999</w:t>
                  </w:r>
                </w:p>
              </w:tc>
              <w:tc>
                <w:tcPr>
                  <w:tcW w:w="336" w:type="pct"/>
                  <w:tcBorders>
                    <w:bottom w:val="single" w:sz="6" w:space="0" w:color="BFBFBF"/>
                  </w:tcBorders>
                </w:tcPr>
                <w:p w14:paraId="00BB386A" w14:textId="77777777" w:rsidR="0034060E" w:rsidRDefault="0034060E" w:rsidP="0051512F">
                  <w:pPr>
                    <w:pStyle w:val="TableBodyText"/>
                    <w:spacing w:after="80"/>
                  </w:pPr>
                  <w:r>
                    <w:t>1 350</w:t>
                  </w:r>
                </w:p>
              </w:tc>
              <w:tc>
                <w:tcPr>
                  <w:tcW w:w="336" w:type="pct"/>
                  <w:tcBorders>
                    <w:bottom w:val="single" w:sz="6" w:space="0" w:color="BFBFBF"/>
                  </w:tcBorders>
                </w:tcPr>
                <w:p w14:paraId="00BB386B" w14:textId="77777777" w:rsidR="0034060E" w:rsidRDefault="0034060E" w:rsidP="0051512F">
                  <w:pPr>
                    <w:pStyle w:val="TableBodyText"/>
                    <w:spacing w:after="80"/>
                  </w:pPr>
                  <w:r>
                    <w:t>2 347</w:t>
                  </w:r>
                </w:p>
              </w:tc>
              <w:tc>
                <w:tcPr>
                  <w:tcW w:w="333" w:type="pct"/>
                  <w:tcBorders>
                    <w:bottom w:val="single" w:sz="6" w:space="0" w:color="BFBFBF"/>
                  </w:tcBorders>
                </w:tcPr>
                <w:p w14:paraId="00BB386C" w14:textId="77777777" w:rsidR="0034060E" w:rsidRDefault="0034060E" w:rsidP="0051512F">
                  <w:pPr>
                    <w:pStyle w:val="TableBodyText"/>
                    <w:spacing w:after="80"/>
                  </w:pPr>
                  <w:r>
                    <w:t>391</w:t>
                  </w:r>
                </w:p>
              </w:tc>
              <w:tc>
                <w:tcPr>
                  <w:tcW w:w="333" w:type="pct"/>
                  <w:tcBorders>
                    <w:bottom w:val="single" w:sz="6" w:space="0" w:color="BFBFBF"/>
                  </w:tcBorders>
                </w:tcPr>
                <w:p w14:paraId="00BB386D" w14:textId="77777777" w:rsidR="0034060E" w:rsidRDefault="0034060E" w:rsidP="0051512F">
                  <w:pPr>
                    <w:pStyle w:val="TableBodyText"/>
                    <w:spacing w:after="80"/>
                  </w:pPr>
                  <w:r>
                    <w:t>236</w:t>
                  </w:r>
                </w:p>
              </w:tc>
              <w:tc>
                <w:tcPr>
                  <w:tcW w:w="333" w:type="pct"/>
                  <w:tcBorders>
                    <w:bottom w:val="single" w:sz="6" w:space="0" w:color="BFBFBF"/>
                  </w:tcBorders>
                  <w:shd w:val="clear" w:color="auto" w:fill="auto"/>
                </w:tcPr>
                <w:p w14:paraId="00BB386E" w14:textId="77777777" w:rsidR="0034060E" w:rsidRDefault="0034060E" w:rsidP="0051512F">
                  <w:pPr>
                    <w:pStyle w:val="TableBodyText"/>
                    <w:spacing w:after="80"/>
                  </w:pPr>
                  <w:r>
                    <w:t>355</w:t>
                  </w:r>
                </w:p>
              </w:tc>
              <w:tc>
                <w:tcPr>
                  <w:tcW w:w="421" w:type="pct"/>
                  <w:tcBorders>
                    <w:bottom w:val="single" w:sz="6" w:space="0" w:color="BFBFBF"/>
                  </w:tcBorders>
                </w:tcPr>
                <w:p w14:paraId="00BB386F" w14:textId="77777777" w:rsidR="0034060E" w:rsidRDefault="0034060E" w:rsidP="0051512F">
                  <w:pPr>
                    <w:pStyle w:val="TableBodyText"/>
                    <w:spacing w:after="80"/>
                  </w:pPr>
                  <w:r>
                    <w:t>19 268</w:t>
                  </w:r>
                </w:p>
              </w:tc>
              <w:tc>
                <w:tcPr>
                  <w:tcW w:w="412" w:type="pct"/>
                  <w:tcBorders>
                    <w:bottom w:val="single" w:sz="6" w:space="0" w:color="BFBFBF"/>
                  </w:tcBorders>
                  <w:shd w:val="clear" w:color="auto" w:fill="F2F2F2" w:themeFill="accent4"/>
                </w:tcPr>
                <w:p w14:paraId="00BB3870" w14:textId="77777777" w:rsidR="0034060E" w:rsidRDefault="0034060E" w:rsidP="0051512F">
                  <w:pPr>
                    <w:pStyle w:val="TableBodyText"/>
                    <w:spacing w:after="80"/>
                  </w:pPr>
                  <w:r>
                    <w:t>20 245</w:t>
                  </w:r>
                </w:p>
              </w:tc>
            </w:tr>
          </w:tbl>
          <w:p w14:paraId="00BB3872" w14:textId="77777777" w:rsidR="0034060E" w:rsidRDefault="0034060E" w:rsidP="00453A36">
            <w:pPr>
              <w:pStyle w:val="Box"/>
            </w:pPr>
          </w:p>
        </w:tc>
      </w:tr>
      <w:tr w:rsidR="0034060E" w14:paraId="00BB3875" w14:textId="77777777" w:rsidTr="00453A36">
        <w:trPr>
          <w:cantSplit/>
        </w:trPr>
        <w:tc>
          <w:tcPr>
            <w:tcW w:w="8771" w:type="dxa"/>
            <w:tcBorders>
              <w:top w:val="nil"/>
              <w:left w:val="nil"/>
              <w:bottom w:val="nil"/>
              <w:right w:val="nil"/>
            </w:tcBorders>
            <w:shd w:val="clear" w:color="auto" w:fill="auto"/>
          </w:tcPr>
          <w:p w14:paraId="00BB3874" w14:textId="77777777" w:rsidR="0034060E" w:rsidRDefault="0034060E" w:rsidP="00453A36">
            <w:pPr>
              <w:pStyle w:val="Note"/>
              <w:rPr>
                <w:i/>
              </w:rPr>
            </w:pPr>
            <w:proofErr w:type="spellStart"/>
            <w:r w:rsidRPr="008E77FE">
              <w:rPr>
                <w:rStyle w:val="NoteLabel"/>
              </w:rPr>
              <w:t>a</w:t>
            </w:r>
            <w:proofErr w:type="spellEnd"/>
            <w:r>
              <w:t> Annual hours (in millions).</w:t>
            </w:r>
          </w:p>
        </w:tc>
      </w:tr>
      <w:tr w:rsidR="0034060E" w14:paraId="00BB3877" w14:textId="77777777" w:rsidTr="00453A36">
        <w:trPr>
          <w:cantSplit/>
        </w:trPr>
        <w:tc>
          <w:tcPr>
            <w:tcW w:w="8771" w:type="dxa"/>
            <w:tcBorders>
              <w:top w:val="nil"/>
              <w:left w:val="nil"/>
              <w:bottom w:val="nil"/>
              <w:right w:val="nil"/>
            </w:tcBorders>
            <w:shd w:val="clear" w:color="auto" w:fill="auto"/>
          </w:tcPr>
          <w:p w14:paraId="00BB3876" w14:textId="77777777" w:rsidR="0034060E" w:rsidRDefault="0034060E" w:rsidP="00453A36">
            <w:pPr>
              <w:pStyle w:val="Source"/>
            </w:pPr>
            <w:r>
              <w:rPr>
                <w:i/>
              </w:rPr>
              <w:t>Sources</w:t>
            </w:r>
            <w:r>
              <w:t xml:space="preserve">: </w:t>
            </w:r>
            <w:r w:rsidRPr="00541D81">
              <w:t>ABS (</w:t>
            </w:r>
            <w:r w:rsidRPr="00541D81">
              <w:rPr>
                <w:i/>
              </w:rPr>
              <w:t>Labour Force, Australia, Detailed, Quarterly</w:t>
            </w:r>
            <w:r w:rsidRPr="00541D81">
              <w:t xml:space="preserve">, </w:t>
            </w:r>
            <w:r>
              <w:t>Aug</w:t>
            </w:r>
            <w:r w:rsidRPr="00541D81">
              <w:t xml:space="preserve"> 201</w:t>
            </w:r>
            <w:r>
              <w:t>5</w:t>
            </w:r>
            <w:r w:rsidRPr="00541D81">
              <w:t>, Cat.</w:t>
            </w:r>
            <w:r>
              <w:t> </w:t>
            </w:r>
            <w:r w:rsidRPr="00541D81">
              <w:t>no.</w:t>
            </w:r>
            <w:r>
              <w:t> </w:t>
            </w:r>
            <w:r w:rsidRPr="00541D81">
              <w:t>6291.0.55.003);</w:t>
            </w:r>
            <w:r>
              <w:t xml:space="preserve"> Productivity Commission estimates based on the </w:t>
            </w:r>
            <w:proofErr w:type="spellStart"/>
            <w:r>
              <w:t>VUMR</w:t>
            </w:r>
            <w:r>
              <w:noBreakHyphen/>
              <w:t>WR</w:t>
            </w:r>
            <w:proofErr w:type="spellEnd"/>
            <w:r>
              <w:t xml:space="preserve"> model.</w:t>
            </w:r>
          </w:p>
        </w:tc>
      </w:tr>
      <w:tr w:rsidR="0034060E" w14:paraId="00BB3879" w14:textId="77777777" w:rsidTr="00453A36">
        <w:trPr>
          <w:cantSplit/>
        </w:trPr>
        <w:tc>
          <w:tcPr>
            <w:tcW w:w="8771" w:type="dxa"/>
            <w:tcBorders>
              <w:top w:val="nil"/>
              <w:left w:val="nil"/>
              <w:bottom w:val="single" w:sz="6" w:space="0" w:color="78A22F"/>
              <w:right w:val="nil"/>
            </w:tcBorders>
            <w:shd w:val="clear" w:color="auto" w:fill="auto"/>
          </w:tcPr>
          <w:p w14:paraId="00BB3878" w14:textId="77777777" w:rsidR="0034060E" w:rsidRDefault="0034060E" w:rsidP="00453A36">
            <w:pPr>
              <w:pStyle w:val="Box"/>
              <w:spacing w:before="0" w:line="120" w:lineRule="exact"/>
            </w:pPr>
          </w:p>
        </w:tc>
      </w:tr>
      <w:tr w:rsidR="0034060E" w:rsidRPr="000863A5" w14:paraId="00BB387B" w14:textId="77777777" w:rsidTr="00453A36">
        <w:tc>
          <w:tcPr>
            <w:tcW w:w="8771" w:type="dxa"/>
            <w:tcBorders>
              <w:top w:val="single" w:sz="6" w:space="0" w:color="78A22F"/>
              <w:left w:val="nil"/>
              <w:bottom w:val="nil"/>
              <w:right w:val="nil"/>
            </w:tcBorders>
          </w:tcPr>
          <w:p w14:paraId="00BB387A" w14:textId="08821842" w:rsidR="0034060E" w:rsidRPr="00626D32" w:rsidRDefault="0034060E" w:rsidP="00453A36">
            <w:pPr>
              <w:pStyle w:val="BoxSpaceBelow"/>
            </w:pPr>
          </w:p>
        </w:tc>
      </w:tr>
    </w:tbl>
    <w:p w14:paraId="00BB387C" w14:textId="77777777" w:rsidR="0034060E" w:rsidRDefault="0034060E" w:rsidP="00453A36">
      <w:pPr>
        <w:pStyle w:val="BodyText"/>
      </w:pPr>
      <w:r>
        <w:t xml:space="preserve">As noted earlier, employment is concentrated in the services sector, which accounts for 87 per cent of national employment in both the </w:t>
      </w:r>
      <w:proofErr w:type="spellStart"/>
      <w:r>
        <w:t>VUMR</w:t>
      </w:r>
      <w:r>
        <w:noBreakHyphen/>
        <w:t>WR</w:t>
      </w:r>
      <w:proofErr w:type="spellEnd"/>
      <w:r>
        <w:t xml:space="preserve"> database and the ABS labour market data. Manufacturing accounts for a further 9 per cent of national employment, with agriculture and mining together accounting for the remaining 4 per cent. In some occupations, the services sector accounts for almost all employment, including Community and personal service workers, Professionals and Sales workers (table </w:t>
      </w:r>
      <w:proofErr w:type="spellStart"/>
      <w:r>
        <w:t>B.9</w:t>
      </w:r>
      <w:proofErr w:type="spellEnd"/>
      <w:r>
        <w:t>).</w:t>
      </w:r>
    </w:p>
    <w:p w14:paraId="00BB387D" w14:textId="222401A6" w:rsidR="0034060E" w:rsidRDefault="0034060E" w:rsidP="00453A36">
      <w:pPr>
        <w:pStyle w:val="BodyText"/>
      </w:pPr>
      <w:r>
        <w:t>Within the services sector, the largest occupations a</w:t>
      </w:r>
      <w:r w:rsidR="00F80BCE">
        <w:t>re Professionals, Clerical and A</w:t>
      </w:r>
      <w:r>
        <w:t>dministrative workers</w:t>
      </w:r>
      <w:r w:rsidR="00F80BCE">
        <w:t>, and Technicians and Trades W</w:t>
      </w:r>
      <w:r>
        <w:t>orkers. In the manufacturing sector, the largest o</w:t>
      </w:r>
      <w:r w:rsidR="00F80BCE">
        <w:t>ccupations are Technicians and T</w:t>
      </w:r>
      <w:r>
        <w:t xml:space="preserve">rades </w:t>
      </w:r>
      <w:r w:rsidR="00F80BCE">
        <w:t>W</w:t>
      </w:r>
      <w:r>
        <w:t>orkers, Labourers, Managers</w:t>
      </w:r>
      <w:r w:rsidR="00F80BCE">
        <w:t>,</w:t>
      </w:r>
      <w:r>
        <w:t xml:space="preserve"> and Machinery </w:t>
      </w:r>
      <w:r w:rsidR="00F80BCE">
        <w:t>O</w:t>
      </w:r>
      <w:r>
        <w:t xml:space="preserve">perators and </w:t>
      </w:r>
      <w:r w:rsidR="00F80BCE">
        <w:t>D</w:t>
      </w:r>
      <w:r>
        <w:t xml:space="preserve">rivers. In mining, the three largest occupations are Machinery </w:t>
      </w:r>
      <w:r w:rsidR="00F80BCE">
        <w:t>O</w:t>
      </w:r>
      <w:r>
        <w:t xml:space="preserve">perators and </w:t>
      </w:r>
      <w:r w:rsidR="00F80BCE">
        <w:t>D</w:t>
      </w:r>
      <w:r>
        <w:t xml:space="preserve">rivers, Technicians and </w:t>
      </w:r>
      <w:r w:rsidR="00F80BCE">
        <w:t>T</w:t>
      </w:r>
      <w:r>
        <w:t xml:space="preserve">rades </w:t>
      </w:r>
      <w:r w:rsidR="00F80BCE">
        <w:t>W</w:t>
      </w:r>
      <w:r>
        <w:t>orkers</w:t>
      </w:r>
      <w:r w:rsidR="00F80BCE">
        <w:t>,</w:t>
      </w:r>
      <w:r>
        <w:t xml:space="preserve"> and Professionals. The dominant occupation in the agriculture sector is that of Managers, with the only other significant occupation in this sector being Labourers (table </w:t>
      </w:r>
      <w:proofErr w:type="spellStart"/>
      <w:r>
        <w:t>B.9</w:t>
      </w:r>
      <w:proofErr w:type="spellEnd"/>
      <w:r>
        <w:t>).</w:t>
      </w:r>
    </w:p>
    <w:p w14:paraId="00BB387E" w14:textId="01E94065"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4060E" w14:paraId="00BB3880" w14:textId="77777777" w:rsidTr="00453A36">
        <w:tc>
          <w:tcPr>
            <w:tcW w:w="8771" w:type="dxa"/>
            <w:tcBorders>
              <w:top w:val="single" w:sz="6" w:space="0" w:color="78A22F"/>
              <w:left w:val="nil"/>
              <w:bottom w:val="nil"/>
              <w:right w:val="nil"/>
            </w:tcBorders>
            <w:shd w:val="clear" w:color="auto" w:fill="auto"/>
          </w:tcPr>
          <w:p w14:paraId="00BB387F" w14:textId="3BC11E48" w:rsidR="0034060E" w:rsidRPr="00784A05" w:rsidRDefault="0034060E" w:rsidP="00453A36">
            <w:pPr>
              <w:pStyle w:val="TableTitle"/>
            </w:pPr>
            <w:r>
              <w:rPr>
                <w:b w:val="0"/>
              </w:rPr>
              <w:t xml:space="preserve">Table </w:t>
            </w:r>
            <w:proofErr w:type="spellStart"/>
            <w:r>
              <w:rPr>
                <w:b w:val="0"/>
              </w:rPr>
              <w:t>B.</w:t>
            </w:r>
            <w:r>
              <w:rPr>
                <w:b w:val="0"/>
                <w:noProof/>
              </w:rPr>
              <w:t>9</w:t>
            </w:r>
            <w:proofErr w:type="spellEnd"/>
            <w:r>
              <w:tab/>
              <w:t xml:space="preserve">Employed persons by sector and occupation in the </w:t>
            </w:r>
            <w:proofErr w:type="spellStart"/>
            <w:r>
              <w:t>VUMR</w:t>
            </w:r>
            <w:r>
              <w:noBreakHyphen/>
              <w:t>WR</w:t>
            </w:r>
            <w:proofErr w:type="spellEnd"/>
            <w:r>
              <w:t xml:space="preserve"> database and ABS data, 2013</w:t>
            </w:r>
            <w:r>
              <w:noBreakHyphen/>
              <w:t>14</w:t>
            </w:r>
            <w:r w:rsidRPr="0048740C">
              <w:rPr>
                <w:rStyle w:val="NoteLabel"/>
                <w:b/>
              </w:rPr>
              <w:t>a</w:t>
            </w:r>
          </w:p>
        </w:tc>
      </w:tr>
      <w:tr w:rsidR="0034060E" w14:paraId="00BB38FA" w14:textId="77777777" w:rsidTr="00453A36">
        <w:trPr>
          <w:cantSplit/>
        </w:trPr>
        <w:tc>
          <w:tcPr>
            <w:tcW w:w="8771" w:type="dxa"/>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3947"/>
              <w:gridCol w:w="1134"/>
              <w:gridCol w:w="992"/>
              <w:gridCol w:w="1418"/>
              <w:gridCol w:w="996"/>
            </w:tblGrid>
            <w:tr w:rsidR="0034060E" w14:paraId="00BB3886" w14:textId="77777777" w:rsidTr="00453A36">
              <w:tc>
                <w:tcPr>
                  <w:tcW w:w="3947" w:type="dxa"/>
                  <w:tcBorders>
                    <w:top w:val="single" w:sz="6" w:space="0" w:color="BFBFBF"/>
                    <w:bottom w:val="single" w:sz="6" w:space="0" w:color="BFBFBF"/>
                  </w:tcBorders>
                  <w:shd w:val="clear" w:color="auto" w:fill="auto"/>
                  <w:tcMar>
                    <w:top w:w="28" w:type="dxa"/>
                  </w:tcMar>
                </w:tcPr>
                <w:p w14:paraId="00BB3881" w14:textId="77777777" w:rsidR="0034060E" w:rsidRDefault="0034060E" w:rsidP="00453A36">
                  <w:pPr>
                    <w:pStyle w:val="TableColumnHeading"/>
                    <w:jc w:val="left"/>
                  </w:pPr>
                </w:p>
              </w:tc>
              <w:tc>
                <w:tcPr>
                  <w:tcW w:w="1134" w:type="dxa"/>
                  <w:tcBorders>
                    <w:top w:val="single" w:sz="6" w:space="0" w:color="BFBFBF"/>
                    <w:bottom w:val="single" w:sz="6" w:space="0" w:color="BFBFBF"/>
                  </w:tcBorders>
                  <w:shd w:val="clear" w:color="auto" w:fill="auto"/>
                  <w:tcMar>
                    <w:top w:w="28" w:type="dxa"/>
                  </w:tcMar>
                </w:tcPr>
                <w:p w14:paraId="00BB3882" w14:textId="77777777" w:rsidR="0034060E" w:rsidRDefault="0034060E" w:rsidP="00453A36">
                  <w:pPr>
                    <w:pStyle w:val="TableColumnHeading"/>
                  </w:pPr>
                  <w:r>
                    <w:t>Agriculture</w:t>
                  </w:r>
                </w:p>
              </w:tc>
              <w:tc>
                <w:tcPr>
                  <w:tcW w:w="992" w:type="dxa"/>
                  <w:tcBorders>
                    <w:top w:val="single" w:sz="6" w:space="0" w:color="BFBFBF"/>
                    <w:bottom w:val="single" w:sz="6" w:space="0" w:color="BFBFBF"/>
                  </w:tcBorders>
                </w:tcPr>
                <w:p w14:paraId="00BB3883" w14:textId="77777777" w:rsidR="0034060E" w:rsidRDefault="0034060E" w:rsidP="00453A36">
                  <w:pPr>
                    <w:pStyle w:val="TableColumnHeading"/>
                    <w:ind w:right="28"/>
                  </w:pPr>
                  <w:r>
                    <w:t>Mining</w:t>
                  </w:r>
                </w:p>
              </w:tc>
              <w:tc>
                <w:tcPr>
                  <w:tcW w:w="1418" w:type="dxa"/>
                  <w:tcBorders>
                    <w:top w:val="single" w:sz="6" w:space="0" w:color="BFBFBF"/>
                    <w:bottom w:val="single" w:sz="6" w:space="0" w:color="BFBFBF"/>
                  </w:tcBorders>
                </w:tcPr>
                <w:p w14:paraId="00BB3884" w14:textId="77777777" w:rsidR="0034060E" w:rsidRDefault="0034060E" w:rsidP="00453A36">
                  <w:pPr>
                    <w:pStyle w:val="TableColumnHeading"/>
                    <w:ind w:right="28"/>
                  </w:pPr>
                  <w:r>
                    <w:t>Manufacturing</w:t>
                  </w:r>
                </w:p>
              </w:tc>
              <w:tc>
                <w:tcPr>
                  <w:tcW w:w="996" w:type="dxa"/>
                  <w:tcBorders>
                    <w:top w:val="single" w:sz="6" w:space="0" w:color="BFBFBF"/>
                    <w:bottom w:val="single" w:sz="6" w:space="0" w:color="BFBFBF"/>
                  </w:tcBorders>
                  <w:shd w:val="clear" w:color="auto" w:fill="auto"/>
                  <w:tcMar>
                    <w:top w:w="28" w:type="dxa"/>
                  </w:tcMar>
                </w:tcPr>
                <w:p w14:paraId="00BB3885" w14:textId="77777777" w:rsidR="0034060E" w:rsidRDefault="0034060E" w:rsidP="00453A36">
                  <w:pPr>
                    <w:pStyle w:val="TableColumnHeading"/>
                    <w:ind w:right="28"/>
                  </w:pPr>
                  <w:r>
                    <w:t>Services</w:t>
                  </w:r>
                </w:p>
              </w:tc>
            </w:tr>
            <w:tr w:rsidR="0034060E" w14:paraId="00BB388C" w14:textId="77777777" w:rsidTr="0051512F">
              <w:tc>
                <w:tcPr>
                  <w:tcW w:w="3947" w:type="dxa"/>
                  <w:tcBorders>
                    <w:top w:val="single" w:sz="6" w:space="0" w:color="BFBFBF"/>
                  </w:tcBorders>
                </w:tcPr>
                <w:p w14:paraId="00BB3887" w14:textId="77777777" w:rsidR="0034060E" w:rsidRPr="00D33A65" w:rsidRDefault="0034060E" w:rsidP="0051512F">
                  <w:pPr>
                    <w:pStyle w:val="TableUnitsRow"/>
                    <w:spacing w:after="0"/>
                  </w:pPr>
                </w:p>
              </w:tc>
              <w:tc>
                <w:tcPr>
                  <w:tcW w:w="1134" w:type="dxa"/>
                  <w:tcBorders>
                    <w:top w:val="single" w:sz="6" w:space="0" w:color="BFBFBF"/>
                  </w:tcBorders>
                </w:tcPr>
                <w:p w14:paraId="00BB3888" w14:textId="77777777" w:rsidR="0034060E" w:rsidRPr="004D7505" w:rsidRDefault="0034060E" w:rsidP="0051512F">
                  <w:pPr>
                    <w:pStyle w:val="TableUnitsRow"/>
                    <w:spacing w:after="0"/>
                  </w:pPr>
                  <w:r>
                    <w:t>‘000</w:t>
                  </w:r>
                </w:p>
              </w:tc>
              <w:tc>
                <w:tcPr>
                  <w:tcW w:w="992" w:type="dxa"/>
                  <w:tcBorders>
                    <w:top w:val="single" w:sz="6" w:space="0" w:color="BFBFBF"/>
                  </w:tcBorders>
                </w:tcPr>
                <w:p w14:paraId="00BB3889" w14:textId="77777777" w:rsidR="0034060E" w:rsidRPr="004D7505" w:rsidRDefault="0034060E" w:rsidP="0051512F">
                  <w:pPr>
                    <w:pStyle w:val="TableUnitsRow"/>
                    <w:spacing w:after="0"/>
                  </w:pPr>
                  <w:r>
                    <w:t>‘000</w:t>
                  </w:r>
                </w:p>
              </w:tc>
              <w:tc>
                <w:tcPr>
                  <w:tcW w:w="1418" w:type="dxa"/>
                  <w:tcBorders>
                    <w:top w:val="single" w:sz="6" w:space="0" w:color="BFBFBF"/>
                  </w:tcBorders>
                </w:tcPr>
                <w:p w14:paraId="00BB388A" w14:textId="77777777" w:rsidR="0034060E" w:rsidRPr="004D7505" w:rsidRDefault="0034060E" w:rsidP="0051512F">
                  <w:pPr>
                    <w:pStyle w:val="TableUnitsRow"/>
                    <w:spacing w:after="0"/>
                  </w:pPr>
                  <w:r>
                    <w:t>‘000</w:t>
                  </w:r>
                </w:p>
              </w:tc>
              <w:tc>
                <w:tcPr>
                  <w:tcW w:w="996" w:type="dxa"/>
                  <w:tcBorders>
                    <w:top w:val="single" w:sz="6" w:space="0" w:color="BFBFBF"/>
                  </w:tcBorders>
                </w:tcPr>
                <w:p w14:paraId="00BB388B" w14:textId="77777777" w:rsidR="0034060E" w:rsidRPr="004D7505" w:rsidRDefault="0034060E" w:rsidP="0051512F">
                  <w:pPr>
                    <w:pStyle w:val="TableUnitsRow"/>
                    <w:spacing w:after="0"/>
                  </w:pPr>
                  <w:r>
                    <w:t>‘000</w:t>
                  </w:r>
                </w:p>
              </w:tc>
            </w:tr>
            <w:tr w:rsidR="0034060E" w14:paraId="00BB3892" w14:textId="77777777" w:rsidTr="0051512F">
              <w:tc>
                <w:tcPr>
                  <w:tcW w:w="3947" w:type="dxa"/>
                </w:tcPr>
                <w:p w14:paraId="00BB388D" w14:textId="163B0297" w:rsidR="0034060E" w:rsidRPr="00D33A65" w:rsidRDefault="0034060E" w:rsidP="0051512F">
                  <w:pPr>
                    <w:pStyle w:val="TableBodyText"/>
                    <w:tabs>
                      <w:tab w:val="left" w:pos="2085"/>
                    </w:tabs>
                    <w:jc w:val="left"/>
                    <w:rPr>
                      <w:rFonts w:cs="Arial"/>
                      <w:b/>
                      <w:sz w:val="20"/>
                    </w:rPr>
                  </w:pPr>
                  <w:proofErr w:type="spellStart"/>
                  <w:r w:rsidRPr="00D33A65">
                    <w:rPr>
                      <w:b/>
                    </w:rPr>
                    <w:t>VUMR</w:t>
                  </w:r>
                  <w:r w:rsidRPr="00D33A65">
                    <w:rPr>
                      <w:b/>
                    </w:rPr>
                    <w:noBreakHyphen/>
                    <w:t>WR</w:t>
                  </w:r>
                  <w:proofErr w:type="spellEnd"/>
                  <w:r w:rsidRPr="00D33A65">
                    <w:rPr>
                      <w:b/>
                    </w:rPr>
                    <w:t xml:space="preserve"> database</w:t>
                  </w:r>
                  <w:r w:rsidR="007E3F43">
                    <w:rPr>
                      <w:b/>
                    </w:rPr>
                    <w:tab/>
                  </w:r>
                </w:p>
              </w:tc>
              <w:tc>
                <w:tcPr>
                  <w:tcW w:w="1134" w:type="dxa"/>
                </w:tcPr>
                <w:p w14:paraId="00BB388E" w14:textId="77777777" w:rsidR="0034060E" w:rsidRDefault="0034060E" w:rsidP="007E3F43">
                  <w:pPr>
                    <w:pStyle w:val="TableBodyText"/>
                  </w:pPr>
                </w:p>
              </w:tc>
              <w:tc>
                <w:tcPr>
                  <w:tcW w:w="992" w:type="dxa"/>
                </w:tcPr>
                <w:p w14:paraId="00BB388F" w14:textId="77777777" w:rsidR="0034060E" w:rsidRDefault="0034060E" w:rsidP="007E3F43">
                  <w:pPr>
                    <w:pStyle w:val="TableBodyText"/>
                  </w:pPr>
                </w:p>
              </w:tc>
              <w:tc>
                <w:tcPr>
                  <w:tcW w:w="1418" w:type="dxa"/>
                </w:tcPr>
                <w:p w14:paraId="00BB3890" w14:textId="77777777" w:rsidR="0034060E" w:rsidRDefault="0034060E" w:rsidP="007E3F43">
                  <w:pPr>
                    <w:pStyle w:val="TableBodyText"/>
                  </w:pPr>
                </w:p>
              </w:tc>
              <w:tc>
                <w:tcPr>
                  <w:tcW w:w="996" w:type="dxa"/>
                </w:tcPr>
                <w:p w14:paraId="00BB3891" w14:textId="77777777" w:rsidR="0034060E" w:rsidRDefault="0034060E" w:rsidP="007E3F43">
                  <w:pPr>
                    <w:pStyle w:val="TableBodyText"/>
                  </w:pPr>
                </w:p>
              </w:tc>
            </w:tr>
            <w:tr w:rsidR="0034060E" w14:paraId="00BB3898" w14:textId="77777777" w:rsidTr="0051512F">
              <w:tc>
                <w:tcPr>
                  <w:tcW w:w="3947" w:type="dxa"/>
                </w:tcPr>
                <w:p w14:paraId="00BB3893" w14:textId="77777777" w:rsidR="0034060E" w:rsidRPr="00317B20" w:rsidRDefault="0034060E" w:rsidP="00F80BCE">
                  <w:pPr>
                    <w:pStyle w:val="TableBodyText"/>
                    <w:jc w:val="left"/>
                  </w:pPr>
                  <w:r w:rsidRPr="00317B20">
                    <w:t>Managers</w:t>
                  </w:r>
                </w:p>
              </w:tc>
              <w:tc>
                <w:tcPr>
                  <w:tcW w:w="1134" w:type="dxa"/>
                </w:tcPr>
                <w:p w14:paraId="00BB3894" w14:textId="77777777" w:rsidR="0034060E" w:rsidRDefault="0034060E" w:rsidP="007E3F43">
                  <w:pPr>
                    <w:pStyle w:val="TableBodyText"/>
                  </w:pPr>
                  <w:r>
                    <w:t>161</w:t>
                  </w:r>
                </w:p>
              </w:tc>
              <w:tc>
                <w:tcPr>
                  <w:tcW w:w="992" w:type="dxa"/>
                </w:tcPr>
                <w:p w14:paraId="00BB3895" w14:textId="77777777" w:rsidR="0034060E" w:rsidRDefault="0034060E" w:rsidP="007E3F43">
                  <w:pPr>
                    <w:pStyle w:val="TableBodyText"/>
                  </w:pPr>
                  <w:r>
                    <w:t>21</w:t>
                  </w:r>
                </w:p>
              </w:tc>
              <w:tc>
                <w:tcPr>
                  <w:tcW w:w="1418" w:type="dxa"/>
                </w:tcPr>
                <w:p w14:paraId="00BB3896" w14:textId="77777777" w:rsidR="0034060E" w:rsidRDefault="0034060E" w:rsidP="007E3F43">
                  <w:pPr>
                    <w:pStyle w:val="TableBodyText"/>
                  </w:pPr>
                  <w:r>
                    <w:t>146</w:t>
                  </w:r>
                </w:p>
              </w:tc>
              <w:tc>
                <w:tcPr>
                  <w:tcW w:w="996" w:type="dxa"/>
                </w:tcPr>
                <w:p w14:paraId="00BB3897" w14:textId="77777777" w:rsidR="0034060E" w:rsidRDefault="0034060E" w:rsidP="007E3F43">
                  <w:pPr>
                    <w:pStyle w:val="TableBodyText"/>
                  </w:pPr>
                  <w:r>
                    <w:t>1168</w:t>
                  </w:r>
                </w:p>
              </w:tc>
            </w:tr>
            <w:tr w:rsidR="0034060E" w14:paraId="00BB389E" w14:textId="77777777" w:rsidTr="0051512F">
              <w:tc>
                <w:tcPr>
                  <w:tcW w:w="3947" w:type="dxa"/>
                </w:tcPr>
                <w:p w14:paraId="00BB3899" w14:textId="77777777" w:rsidR="0034060E" w:rsidRPr="00317B20" w:rsidRDefault="0034060E" w:rsidP="00F80BCE">
                  <w:pPr>
                    <w:pStyle w:val="TableBodyText"/>
                    <w:jc w:val="left"/>
                  </w:pPr>
                  <w:r w:rsidRPr="00317B20">
                    <w:t>Professionals</w:t>
                  </w:r>
                </w:p>
              </w:tc>
              <w:tc>
                <w:tcPr>
                  <w:tcW w:w="1134" w:type="dxa"/>
                </w:tcPr>
                <w:p w14:paraId="00BB389A" w14:textId="77777777" w:rsidR="0034060E" w:rsidRDefault="0034060E" w:rsidP="007E3F43">
                  <w:pPr>
                    <w:pStyle w:val="TableBodyText"/>
                  </w:pPr>
                  <w:r>
                    <w:t>6</w:t>
                  </w:r>
                </w:p>
              </w:tc>
              <w:tc>
                <w:tcPr>
                  <w:tcW w:w="992" w:type="dxa"/>
                </w:tcPr>
                <w:p w14:paraId="00BB389B" w14:textId="77777777" w:rsidR="0034060E" w:rsidRDefault="0034060E" w:rsidP="007E3F43">
                  <w:pPr>
                    <w:pStyle w:val="TableBodyText"/>
                  </w:pPr>
                  <w:r>
                    <w:t>37</w:t>
                  </w:r>
                </w:p>
              </w:tc>
              <w:tc>
                <w:tcPr>
                  <w:tcW w:w="1418" w:type="dxa"/>
                </w:tcPr>
                <w:p w14:paraId="00BB389C" w14:textId="77777777" w:rsidR="0034060E" w:rsidRDefault="0034060E" w:rsidP="007E3F43">
                  <w:pPr>
                    <w:pStyle w:val="TableBodyText"/>
                  </w:pPr>
                  <w:r>
                    <w:t>86</w:t>
                  </w:r>
                </w:p>
              </w:tc>
              <w:tc>
                <w:tcPr>
                  <w:tcW w:w="996" w:type="dxa"/>
                </w:tcPr>
                <w:p w14:paraId="00BB389D" w14:textId="77777777" w:rsidR="0034060E" w:rsidRDefault="0034060E" w:rsidP="007E3F43">
                  <w:pPr>
                    <w:pStyle w:val="TableBodyText"/>
                  </w:pPr>
                  <w:r>
                    <w:t>2393</w:t>
                  </w:r>
                </w:p>
              </w:tc>
            </w:tr>
            <w:tr w:rsidR="0034060E" w14:paraId="00BB38A4" w14:textId="77777777" w:rsidTr="0051512F">
              <w:tc>
                <w:tcPr>
                  <w:tcW w:w="3947" w:type="dxa"/>
                </w:tcPr>
                <w:p w14:paraId="00BB389F" w14:textId="77777777" w:rsidR="0034060E" w:rsidRPr="00317B20" w:rsidRDefault="0034060E" w:rsidP="00F80BCE">
                  <w:pPr>
                    <w:pStyle w:val="TableBodyText"/>
                    <w:jc w:val="left"/>
                  </w:pPr>
                  <w:r w:rsidRPr="00317B20">
                    <w:t>Technicians and Trades Workers</w:t>
                  </w:r>
                </w:p>
              </w:tc>
              <w:tc>
                <w:tcPr>
                  <w:tcW w:w="1134" w:type="dxa"/>
                </w:tcPr>
                <w:p w14:paraId="00BB38A0" w14:textId="77777777" w:rsidR="0034060E" w:rsidRDefault="0034060E" w:rsidP="007E3F43">
                  <w:pPr>
                    <w:pStyle w:val="TableBodyText"/>
                  </w:pPr>
                  <w:r>
                    <w:t>14</w:t>
                  </w:r>
                </w:p>
              </w:tc>
              <w:tc>
                <w:tcPr>
                  <w:tcW w:w="992" w:type="dxa"/>
                </w:tcPr>
                <w:p w14:paraId="00BB38A1" w14:textId="77777777" w:rsidR="0034060E" w:rsidRDefault="0034060E" w:rsidP="007E3F43">
                  <w:pPr>
                    <w:pStyle w:val="TableBodyText"/>
                  </w:pPr>
                  <w:r>
                    <w:t>51</w:t>
                  </w:r>
                </w:p>
              </w:tc>
              <w:tc>
                <w:tcPr>
                  <w:tcW w:w="1418" w:type="dxa"/>
                </w:tcPr>
                <w:p w14:paraId="00BB38A2" w14:textId="77777777" w:rsidR="0034060E" w:rsidRDefault="0034060E" w:rsidP="007E3F43">
                  <w:pPr>
                    <w:pStyle w:val="TableBodyText"/>
                  </w:pPr>
                  <w:r>
                    <w:t>266</w:t>
                  </w:r>
                </w:p>
              </w:tc>
              <w:tc>
                <w:tcPr>
                  <w:tcW w:w="996" w:type="dxa"/>
                </w:tcPr>
                <w:p w14:paraId="00BB38A3" w14:textId="77777777" w:rsidR="0034060E" w:rsidRDefault="0034060E" w:rsidP="007E3F43">
                  <w:pPr>
                    <w:pStyle w:val="TableBodyText"/>
                  </w:pPr>
                  <w:r>
                    <w:t>1300</w:t>
                  </w:r>
                </w:p>
              </w:tc>
            </w:tr>
            <w:tr w:rsidR="0034060E" w14:paraId="00BB38AA" w14:textId="77777777" w:rsidTr="0051512F">
              <w:tc>
                <w:tcPr>
                  <w:tcW w:w="3947" w:type="dxa"/>
                </w:tcPr>
                <w:p w14:paraId="00BB38A5" w14:textId="77777777" w:rsidR="0034060E" w:rsidRPr="00317B20" w:rsidRDefault="0034060E" w:rsidP="00F80BCE">
                  <w:pPr>
                    <w:pStyle w:val="TableBodyText"/>
                    <w:jc w:val="left"/>
                  </w:pPr>
                  <w:r w:rsidRPr="00317B20">
                    <w:t>Community and Personal Service Workers</w:t>
                  </w:r>
                </w:p>
              </w:tc>
              <w:tc>
                <w:tcPr>
                  <w:tcW w:w="1134" w:type="dxa"/>
                </w:tcPr>
                <w:p w14:paraId="00BB38A6" w14:textId="77777777" w:rsidR="0034060E" w:rsidRDefault="0034060E" w:rsidP="007E3F43">
                  <w:pPr>
                    <w:pStyle w:val="TableBodyText"/>
                  </w:pPr>
                  <w:r>
                    <w:t>1</w:t>
                  </w:r>
                </w:p>
              </w:tc>
              <w:tc>
                <w:tcPr>
                  <w:tcW w:w="992" w:type="dxa"/>
                </w:tcPr>
                <w:p w14:paraId="00BB38A7" w14:textId="77777777" w:rsidR="0034060E" w:rsidRDefault="0034060E" w:rsidP="007E3F43">
                  <w:pPr>
                    <w:pStyle w:val="TableBodyText"/>
                  </w:pPr>
                  <w:r>
                    <w:t>1</w:t>
                  </w:r>
                </w:p>
              </w:tc>
              <w:tc>
                <w:tcPr>
                  <w:tcW w:w="1418" w:type="dxa"/>
                </w:tcPr>
                <w:p w14:paraId="00BB38A8" w14:textId="77777777" w:rsidR="0034060E" w:rsidRDefault="0034060E" w:rsidP="007E3F43">
                  <w:pPr>
                    <w:pStyle w:val="TableBodyText"/>
                  </w:pPr>
                  <w:r>
                    <w:t>8</w:t>
                  </w:r>
                </w:p>
              </w:tc>
              <w:tc>
                <w:tcPr>
                  <w:tcW w:w="996" w:type="dxa"/>
                </w:tcPr>
                <w:p w14:paraId="00BB38A9" w14:textId="77777777" w:rsidR="0034060E" w:rsidRDefault="0034060E" w:rsidP="007E3F43">
                  <w:pPr>
                    <w:pStyle w:val="TableBodyText"/>
                  </w:pPr>
                  <w:r>
                    <w:t>1126</w:t>
                  </w:r>
                </w:p>
              </w:tc>
            </w:tr>
            <w:tr w:rsidR="0034060E" w14:paraId="00BB38B0" w14:textId="77777777" w:rsidTr="0051512F">
              <w:tc>
                <w:tcPr>
                  <w:tcW w:w="3947" w:type="dxa"/>
                </w:tcPr>
                <w:p w14:paraId="00BB38AB" w14:textId="77777777" w:rsidR="0034060E" w:rsidRPr="00317B20" w:rsidRDefault="0034060E" w:rsidP="00F80BCE">
                  <w:pPr>
                    <w:pStyle w:val="TableBodyText"/>
                    <w:jc w:val="left"/>
                  </w:pPr>
                  <w:r w:rsidRPr="00317B20">
                    <w:t>Clerical and Administrative Workers</w:t>
                  </w:r>
                </w:p>
              </w:tc>
              <w:tc>
                <w:tcPr>
                  <w:tcW w:w="1134" w:type="dxa"/>
                </w:tcPr>
                <w:p w14:paraId="00BB38AC" w14:textId="77777777" w:rsidR="0034060E" w:rsidRDefault="0034060E" w:rsidP="007E3F43">
                  <w:pPr>
                    <w:pStyle w:val="TableBodyText"/>
                  </w:pPr>
                  <w:r>
                    <w:t>11</w:t>
                  </w:r>
                </w:p>
              </w:tc>
              <w:tc>
                <w:tcPr>
                  <w:tcW w:w="992" w:type="dxa"/>
                </w:tcPr>
                <w:p w14:paraId="00BB38AD" w14:textId="77777777" w:rsidR="0034060E" w:rsidRDefault="0034060E" w:rsidP="007E3F43">
                  <w:pPr>
                    <w:pStyle w:val="TableBodyText"/>
                  </w:pPr>
                  <w:r>
                    <w:t>20</w:t>
                  </w:r>
                </w:p>
              </w:tc>
              <w:tc>
                <w:tcPr>
                  <w:tcW w:w="1418" w:type="dxa"/>
                </w:tcPr>
                <w:p w14:paraId="00BB38AE" w14:textId="77777777" w:rsidR="0034060E" w:rsidRDefault="0034060E" w:rsidP="007E3F43">
                  <w:pPr>
                    <w:pStyle w:val="TableBodyText"/>
                  </w:pPr>
                  <w:r>
                    <w:t>107</w:t>
                  </w:r>
                </w:p>
              </w:tc>
              <w:tc>
                <w:tcPr>
                  <w:tcW w:w="996" w:type="dxa"/>
                </w:tcPr>
                <w:p w14:paraId="00BB38AF" w14:textId="77777777" w:rsidR="0034060E" w:rsidRDefault="0034060E" w:rsidP="007E3F43">
                  <w:pPr>
                    <w:pStyle w:val="TableBodyText"/>
                  </w:pPr>
                  <w:r>
                    <w:t>1593</w:t>
                  </w:r>
                </w:p>
              </w:tc>
            </w:tr>
            <w:tr w:rsidR="0034060E" w14:paraId="00BB38B6" w14:textId="77777777" w:rsidTr="0051512F">
              <w:tc>
                <w:tcPr>
                  <w:tcW w:w="3947" w:type="dxa"/>
                </w:tcPr>
                <w:p w14:paraId="00BB38B1" w14:textId="77777777" w:rsidR="0034060E" w:rsidRPr="00317B20" w:rsidRDefault="0034060E" w:rsidP="00F80BCE">
                  <w:pPr>
                    <w:pStyle w:val="TableBodyText"/>
                    <w:jc w:val="left"/>
                  </w:pPr>
                  <w:r w:rsidRPr="00317B20">
                    <w:t>Sales Workers</w:t>
                  </w:r>
                </w:p>
              </w:tc>
              <w:tc>
                <w:tcPr>
                  <w:tcW w:w="1134" w:type="dxa"/>
                </w:tcPr>
                <w:p w14:paraId="00BB38B2" w14:textId="77777777" w:rsidR="0034060E" w:rsidRDefault="0034060E" w:rsidP="007E3F43">
                  <w:pPr>
                    <w:pStyle w:val="TableBodyText"/>
                  </w:pPr>
                  <w:r>
                    <w:t>2</w:t>
                  </w:r>
                </w:p>
              </w:tc>
              <w:tc>
                <w:tcPr>
                  <w:tcW w:w="992" w:type="dxa"/>
                </w:tcPr>
                <w:p w14:paraId="00BB38B3" w14:textId="77777777" w:rsidR="0034060E" w:rsidRDefault="0034060E" w:rsidP="007E3F43">
                  <w:pPr>
                    <w:pStyle w:val="TableBodyText"/>
                  </w:pPr>
                  <w:r>
                    <w:t>1</w:t>
                  </w:r>
                </w:p>
              </w:tc>
              <w:tc>
                <w:tcPr>
                  <w:tcW w:w="1418" w:type="dxa"/>
                </w:tcPr>
                <w:p w14:paraId="00BB38B4" w14:textId="77777777" w:rsidR="0034060E" w:rsidRDefault="0034060E" w:rsidP="007E3F43">
                  <w:pPr>
                    <w:pStyle w:val="TableBodyText"/>
                  </w:pPr>
                  <w:r>
                    <w:t>56</w:t>
                  </w:r>
                </w:p>
              </w:tc>
              <w:tc>
                <w:tcPr>
                  <w:tcW w:w="996" w:type="dxa"/>
                </w:tcPr>
                <w:p w14:paraId="00BB38B5" w14:textId="77777777" w:rsidR="0034060E" w:rsidRDefault="0034060E" w:rsidP="007E3F43">
                  <w:pPr>
                    <w:pStyle w:val="TableBodyText"/>
                  </w:pPr>
                  <w:r>
                    <w:t>1027</w:t>
                  </w:r>
                </w:p>
              </w:tc>
            </w:tr>
            <w:tr w:rsidR="0034060E" w14:paraId="00BB38BC" w14:textId="77777777" w:rsidTr="0051512F">
              <w:tc>
                <w:tcPr>
                  <w:tcW w:w="3947" w:type="dxa"/>
                </w:tcPr>
                <w:p w14:paraId="00BB38B7" w14:textId="77777777" w:rsidR="0034060E" w:rsidRPr="00317B20" w:rsidRDefault="0034060E" w:rsidP="00F80BCE">
                  <w:pPr>
                    <w:pStyle w:val="TableBodyText"/>
                    <w:jc w:val="left"/>
                  </w:pPr>
                  <w:r w:rsidRPr="00317B20">
                    <w:t>Machinery Operators and Drivers</w:t>
                  </w:r>
                </w:p>
              </w:tc>
              <w:tc>
                <w:tcPr>
                  <w:tcW w:w="1134" w:type="dxa"/>
                </w:tcPr>
                <w:p w14:paraId="00BB38B8" w14:textId="77777777" w:rsidR="0034060E" w:rsidRDefault="0034060E" w:rsidP="007E3F43">
                  <w:pPr>
                    <w:pStyle w:val="TableBodyText"/>
                  </w:pPr>
                  <w:r>
                    <w:t>12</w:t>
                  </w:r>
                </w:p>
              </w:tc>
              <w:tc>
                <w:tcPr>
                  <w:tcW w:w="992" w:type="dxa"/>
                </w:tcPr>
                <w:p w14:paraId="00BB38B9" w14:textId="77777777" w:rsidR="0034060E" w:rsidRDefault="0034060E" w:rsidP="007E3F43">
                  <w:pPr>
                    <w:pStyle w:val="TableBodyText"/>
                  </w:pPr>
                  <w:r>
                    <w:t>73</w:t>
                  </w:r>
                </w:p>
              </w:tc>
              <w:tc>
                <w:tcPr>
                  <w:tcW w:w="1418" w:type="dxa"/>
                </w:tcPr>
                <w:p w14:paraId="00BB38BA" w14:textId="77777777" w:rsidR="0034060E" w:rsidRDefault="0034060E" w:rsidP="007E3F43">
                  <w:pPr>
                    <w:pStyle w:val="TableBodyText"/>
                  </w:pPr>
                  <w:r>
                    <w:t>149</w:t>
                  </w:r>
                </w:p>
              </w:tc>
              <w:tc>
                <w:tcPr>
                  <w:tcW w:w="996" w:type="dxa"/>
                </w:tcPr>
                <w:p w14:paraId="00BB38BB" w14:textId="77777777" w:rsidR="0034060E" w:rsidRDefault="0034060E" w:rsidP="007E3F43">
                  <w:pPr>
                    <w:pStyle w:val="TableBodyText"/>
                  </w:pPr>
                  <w:r>
                    <w:t>520</w:t>
                  </w:r>
                </w:p>
              </w:tc>
            </w:tr>
            <w:tr w:rsidR="0034060E" w14:paraId="00BB38C2" w14:textId="77777777" w:rsidTr="0051512F">
              <w:tc>
                <w:tcPr>
                  <w:tcW w:w="3947" w:type="dxa"/>
                </w:tcPr>
                <w:p w14:paraId="00BB38BD" w14:textId="77777777" w:rsidR="0034060E" w:rsidRPr="00317B20" w:rsidRDefault="0034060E" w:rsidP="00F80BCE">
                  <w:pPr>
                    <w:pStyle w:val="TableBodyText"/>
                    <w:jc w:val="left"/>
                  </w:pPr>
                  <w:r w:rsidRPr="00317B20">
                    <w:t>Labourers</w:t>
                  </w:r>
                </w:p>
              </w:tc>
              <w:tc>
                <w:tcPr>
                  <w:tcW w:w="1134" w:type="dxa"/>
                </w:tcPr>
                <w:p w14:paraId="00BB38BE" w14:textId="77777777" w:rsidR="0034060E" w:rsidRDefault="0034060E" w:rsidP="007E3F43">
                  <w:pPr>
                    <w:pStyle w:val="TableBodyText"/>
                  </w:pPr>
                  <w:r>
                    <w:t>58</w:t>
                  </w:r>
                </w:p>
              </w:tc>
              <w:tc>
                <w:tcPr>
                  <w:tcW w:w="992" w:type="dxa"/>
                </w:tcPr>
                <w:p w14:paraId="00BB38BF" w14:textId="77777777" w:rsidR="0034060E" w:rsidRDefault="0034060E" w:rsidP="007E3F43">
                  <w:pPr>
                    <w:pStyle w:val="TableBodyText"/>
                  </w:pPr>
                  <w:r>
                    <w:t>11</w:t>
                  </w:r>
                </w:p>
              </w:tc>
              <w:tc>
                <w:tcPr>
                  <w:tcW w:w="1418" w:type="dxa"/>
                </w:tcPr>
                <w:p w14:paraId="00BB38C0" w14:textId="77777777" w:rsidR="0034060E" w:rsidRDefault="0034060E" w:rsidP="007E3F43">
                  <w:pPr>
                    <w:pStyle w:val="TableBodyText"/>
                  </w:pPr>
                  <w:r>
                    <w:t>185</w:t>
                  </w:r>
                </w:p>
              </w:tc>
              <w:tc>
                <w:tcPr>
                  <w:tcW w:w="996" w:type="dxa"/>
                </w:tcPr>
                <w:p w14:paraId="00BB38C1" w14:textId="77777777" w:rsidR="0034060E" w:rsidRDefault="0034060E" w:rsidP="007E3F43">
                  <w:pPr>
                    <w:pStyle w:val="TableBodyText"/>
                  </w:pPr>
                  <w:r>
                    <w:t>823</w:t>
                  </w:r>
                </w:p>
              </w:tc>
            </w:tr>
            <w:tr w:rsidR="0034060E" w:rsidRPr="004D7505" w14:paraId="00BB38C8" w14:textId="77777777" w:rsidTr="0051512F">
              <w:tc>
                <w:tcPr>
                  <w:tcW w:w="3947" w:type="dxa"/>
                </w:tcPr>
                <w:p w14:paraId="00BB38C3" w14:textId="77777777" w:rsidR="0034060E" w:rsidRPr="004D7505" w:rsidRDefault="0034060E" w:rsidP="00453A36">
                  <w:pPr>
                    <w:pStyle w:val="TableBodyText"/>
                    <w:spacing w:before="80"/>
                    <w:jc w:val="left"/>
                    <w:rPr>
                      <w:b/>
                    </w:rPr>
                  </w:pPr>
                  <w:r w:rsidRPr="004D7505">
                    <w:rPr>
                      <w:b/>
                    </w:rPr>
                    <w:t>ABS</w:t>
                  </w:r>
                </w:p>
              </w:tc>
              <w:tc>
                <w:tcPr>
                  <w:tcW w:w="1134" w:type="dxa"/>
                </w:tcPr>
                <w:p w14:paraId="00BB38C4" w14:textId="77777777" w:rsidR="0034060E" w:rsidRPr="004D7505" w:rsidRDefault="0034060E" w:rsidP="007E3F43">
                  <w:pPr>
                    <w:pStyle w:val="TableBodyText"/>
                  </w:pPr>
                </w:p>
              </w:tc>
              <w:tc>
                <w:tcPr>
                  <w:tcW w:w="992" w:type="dxa"/>
                </w:tcPr>
                <w:p w14:paraId="00BB38C5" w14:textId="77777777" w:rsidR="0034060E" w:rsidRPr="004D7505" w:rsidRDefault="0034060E" w:rsidP="007E3F43">
                  <w:pPr>
                    <w:pStyle w:val="TableBodyText"/>
                  </w:pPr>
                </w:p>
              </w:tc>
              <w:tc>
                <w:tcPr>
                  <w:tcW w:w="1418" w:type="dxa"/>
                </w:tcPr>
                <w:p w14:paraId="00BB38C6" w14:textId="77777777" w:rsidR="0034060E" w:rsidRPr="004D7505" w:rsidRDefault="0034060E" w:rsidP="007E3F43">
                  <w:pPr>
                    <w:pStyle w:val="TableBodyText"/>
                  </w:pPr>
                </w:p>
              </w:tc>
              <w:tc>
                <w:tcPr>
                  <w:tcW w:w="996" w:type="dxa"/>
                </w:tcPr>
                <w:p w14:paraId="00BB38C7" w14:textId="77777777" w:rsidR="0034060E" w:rsidRPr="004D7505" w:rsidRDefault="0034060E" w:rsidP="007E3F43">
                  <w:pPr>
                    <w:pStyle w:val="TableBodyText"/>
                  </w:pPr>
                </w:p>
              </w:tc>
            </w:tr>
            <w:tr w:rsidR="0034060E" w14:paraId="00BB38CE" w14:textId="77777777" w:rsidTr="0051512F">
              <w:tc>
                <w:tcPr>
                  <w:tcW w:w="3947" w:type="dxa"/>
                </w:tcPr>
                <w:p w14:paraId="00BB38C9" w14:textId="77777777" w:rsidR="0034060E" w:rsidRPr="00317B20" w:rsidRDefault="0034060E" w:rsidP="00F80BCE">
                  <w:pPr>
                    <w:pStyle w:val="TableBodyText"/>
                    <w:jc w:val="left"/>
                  </w:pPr>
                  <w:r w:rsidRPr="00317B20">
                    <w:t>Managers</w:t>
                  </w:r>
                </w:p>
              </w:tc>
              <w:tc>
                <w:tcPr>
                  <w:tcW w:w="1134" w:type="dxa"/>
                </w:tcPr>
                <w:p w14:paraId="00BB38CA" w14:textId="77777777" w:rsidR="0034060E" w:rsidRDefault="0034060E" w:rsidP="007E3F43">
                  <w:pPr>
                    <w:pStyle w:val="TableBodyText"/>
                  </w:pPr>
                  <w:r>
                    <w:t>170</w:t>
                  </w:r>
                </w:p>
              </w:tc>
              <w:tc>
                <w:tcPr>
                  <w:tcW w:w="992" w:type="dxa"/>
                </w:tcPr>
                <w:p w14:paraId="00BB38CB" w14:textId="77777777" w:rsidR="0034060E" w:rsidRDefault="0034060E" w:rsidP="007E3F43">
                  <w:pPr>
                    <w:pStyle w:val="TableBodyText"/>
                  </w:pPr>
                  <w:r>
                    <w:t>23</w:t>
                  </w:r>
                </w:p>
              </w:tc>
              <w:tc>
                <w:tcPr>
                  <w:tcW w:w="1418" w:type="dxa"/>
                </w:tcPr>
                <w:p w14:paraId="00BB38CC" w14:textId="77777777" w:rsidR="0034060E" w:rsidRDefault="0034060E" w:rsidP="007E3F43">
                  <w:pPr>
                    <w:pStyle w:val="TableBodyText"/>
                  </w:pPr>
                  <w:r>
                    <w:t>142</w:t>
                  </w:r>
                </w:p>
              </w:tc>
              <w:tc>
                <w:tcPr>
                  <w:tcW w:w="996" w:type="dxa"/>
                </w:tcPr>
                <w:p w14:paraId="00BB38CD" w14:textId="77777777" w:rsidR="0034060E" w:rsidRDefault="0034060E" w:rsidP="007E3F43">
                  <w:pPr>
                    <w:pStyle w:val="TableBodyText"/>
                  </w:pPr>
                  <w:r>
                    <w:t>1140</w:t>
                  </w:r>
                </w:p>
              </w:tc>
            </w:tr>
            <w:tr w:rsidR="0034060E" w14:paraId="00BB38D4" w14:textId="77777777" w:rsidTr="0051512F">
              <w:tc>
                <w:tcPr>
                  <w:tcW w:w="3947" w:type="dxa"/>
                </w:tcPr>
                <w:p w14:paraId="00BB38CF" w14:textId="77777777" w:rsidR="0034060E" w:rsidRPr="00317B20" w:rsidRDefault="0034060E" w:rsidP="00F80BCE">
                  <w:pPr>
                    <w:pStyle w:val="TableBodyText"/>
                    <w:jc w:val="left"/>
                  </w:pPr>
                  <w:r w:rsidRPr="00317B20">
                    <w:t>Professionals</w:t>
                  </w:r>
                </w:p>
              </w:tc>
              <w:tc>
                <w:tcPr>
                  <w:tcW w:w="1134" w:type="dxa"/>
                </w:tcPr>
                <w:p w14:paraId="00BB38D0" w14:textId="77777777" w:rsidR="0034060E" w:rsidRDefault="0034060E" w:rsidP="007E3F43">
                  <w:pPr>
                    <w:pStyle w:val="TableBodyText"/>
                  </w:pPr>
                  <w:r>
                    <w:t>7</w:t>
                  </w:r>
                </w:p>
              </w:tc>
              <w:tc>
                <w:tcPr>
                  <w:tcW w:w="992" w:type="dxa"/>
                </w:tcPr>
                <w:p w14:paraId="00BB38D1" w14:textId="77777777" w:rsidR="0034060E" w:rsidRDefault="0034060E" w:rsidP="007E3F43">
                  <w:pPr>
                    <w:pStyle w:val="TableBodyText"/>
                  </w:pPr>
                  <w:r>
                    <w:t>47</w:t>
                  </w:r>
                </w:p>
              </w:tc>
              <w:tc>
                <w:tcPr>
                  <w:tcW w:w="1418" w:type="dxa"/>
                </w:tcPr>
                <w:p w14:paraId="00BB38D2" w14:textId="77777777" w:rsidR="0034060E" w:rsidRDefault="0034060E" w:rsidP="007E3F43">
                  <w:pPr>
                    <w:pStyle w:val="TableBodyText"/>
                  </w:pPr>
                  <w:r>
                    <w:t>85</w:t>
                  </w:r>
                </w:p>
              </w:tc>
              <w:tc>
                <w:tcPr>
                  <w:tcW w:w="996" w:type="dxa"/>
                </w:tcPr>
                <w:p w14:paraId="00BB38D3" w14:textId="77777777" w:rsidR="0034060E" w:rsidRDefault="0034060E" w:rsidP="007E3F43">
                  <w:pPr>
                    <w:pStyle w:val="TableBodyText"/>
                  </w:pPr>
                  <w:r>
                    <w:t>2405</w:t>
                  </w:r>
                </w:p>
              </w:tc>
            </w:tr>
            <w:tr w:rsidR="0034060E" w14:paraId="00BB38DA" w14:textId="77777777" w:rsidTr="0051512F">
              <w:tc>
                <w:tcPr>
                  <w:tcW w:w="3947" w:type="dxa"/>
                </w:tcPr>
                <w:p w14:paraId="00BB38D5" w14:textId="77777777" w:rsidR="0034060E" w:rsidRPr="00317B20" w:rsidRDefault="0034060E" w:rsidP="00F80BCE">
                  <w:pPr>
                    <w:pStyle w:val="TableBodyText"/>
                    <w:jc w:val="left"/>
                  </w:pPr>
                  <w:r w:rsidRPr="00317B20">
                    <w:t>Technicians and Trades Workers</w:t>
                  </w:r>
                </w:p>
              </w:tc>
              <w:tc>
                <w:tcPr>
                  <w:tcW w:w="1134" w:type="dxa"/>
                </w:tcPr>
                <w:p w14:paraId="00BB38D6" w14:textId="77777777" w:rsidR="0034060E" w:rsidRDefault="0034060E" w:rsidP="007E3F43">
                  <w:pPr>
                    <w:pStyle w:val="TableBodyText"/>
                  </w:pPr>
                  <w:r>
                    <w:t>19</w:t>
                  </w:r>
                </w:p>
              </w:tc>
              <w:tc>
                <w:tcPr>
                  <w:tcW w:w="992" w:type="dxa"/>
                </w:tcPr>
                <w:p w14:paraId="00BB38D7" w14:textId="77777777" w:rsidR="0034060E" w:rsidRDefault="0034060E" w:rsidP="007E3F43">
                  <w:pPr>
                    <w:pStyle w:val="TableBodyText"/>
                  </w:pPr>
                  <w:r>
                    <w:t>73</w:t>
                  </w:r>
                </w:p>
              </w:tc>
              <w:tc>
                <w:tcPr>
                  <w:tcW w:w="1418" w:type="dxa"/>
                </w:tcPr>
                <w:p w14:paraId="00BB38D8" w14:textId="77777777" w:rsidR="0034060E" w:rsidRDefault="0034060E" w:rsidP="007E3F43">
                  <w:pPr>
                    <w:pStyle w:val="TableBodyText"/>
                  </w:pPr>
                  <w:r>
                    <w:t>258</w:t>
                  </w:r>
                </w:p>
              </w:tc>
              <w:tc>
                <w:tcPr>
                  <w:tcW w:w="996" w:type="dxa"/>
                </w:tcPr>
                <w:p w14:paraId="00BB38D9" w14:textId="77777777" w:rsidR="0034060E" w:rsidRDefault="0034060E" w:rsidP="007E3F43">
                  <w:pPr>
                    <w:pStyle w:val="TableBodyText"/>
                  </w:pPr>
                  <w:r>
                    <w:t>1320</w:t>
                  </w:r>
                </w:p>
              </w:tc>
            </w:tr>
            <w:tr w:rsidR="0034060E" w14:paraId="00BB38E0" w14:textId="77777777" w:rsidTr="0051512F">
              <w:tc>
                <w:tcPr>
                  <w:tcW w:w="3947" w:type="dxa"/>
                </w:tcPr>
                <w:p w14:paraId="00BB38DB" w14:textId="77777777" w:rsidR="0034060E" w:rsidRPr="00317B20" w:rsidRDefault="0034060E" w:rsidP="00F80BCE">
                  <w:pPr>
                    <w:pStyle w:val="TableBodyText"/>
                    <w:jc w:val="left"/>
                  </w:pPr>
                  <w:r w:rsidRPr="00317B20">
                    <w:t>Community and Personal Service Workers</w:t>
                  </w:r>
                </w:p>
              </w:tc>
              <w:tc>
                <w:tcPr>
                  <w:tcW w:w="1134" w:type="dxa"/>
                </w:tcPr>
                <w:p w14:paraId="00BB38DC" w14:textId="77777777" w:rsidR="0034060E" w:rsidRDefault="0034060E" w:rsidP="007E3F43">
                  <w:pPr>
                    <w:pStyle w:val="TableBodyText"/>
                  </w:pPr>
                  <w:r>
                    <w:t>1</w:t>
                  </w:r>
                </w:p>
              </w:tc>
              <w:tc>
                <w:tcPr>
                  <w:tcW w:w="992" w:type="dxa"/>
                </w:tcPr>
                <w:p w14:paraId="00BB38DD" w14:textId="77777777" w:rsidR="0034060E" w:rsidRDefault="0034060E" w:rsidP="007E3F43">
                  <w:pPr>
                    <w:pStyle w:val="TableBodyText"/>
                  </w:pPr>
                  <w:r>
                    <w:t>3</w:t>
                  </w:r>
                </w:p>
              </w:tc>
              <w:tc>
                <w:tcPr>
                  <w:tcW w:w="1418" w:type="dxa"/>
                </w:tcPr>
                <w:p w14:paraId="00BB38DE" w14:textId="77777777" w:rsidR="0034060E" w:rsidRDefault="0034060E" w:rsidP="007E3F43">
                  <w:pPr>
                    <w:pStyle w:val="TableBodyText"/>
                  </w:pPr>
                  <w:r>
                    <w:t>6</w:t>
                  </w:r>
                </w:p>
              </w:tc>
              <w:tc>
                <w:tcPr>
                  <w:tcW w:w="996" w:type="dxa"/>
                </w:tcPr>
                <w:p w14:paraId="00BB38DF" w14:textId="77777777" w:rsidR="0034060E" w:rsidRDefault="0034060E" w:rsidP="007E3F43">
                  <w:pPr>
                    <w:pStyle w:val="TableBodyText"/>
                  </w:pPr>
                  <w:r>
                    <w:t>1132</w:t>
                  </w:r>
                </w:p>
              </w:tc>
            </w:tr>
            <w:tr w:rsidR="0034060E" w14:paraId="00BB38E6" w14:textId="77777777" w:rsidTr="0051512F">
              <w:tc>
                <w:tcPr>
                  <w:tcW w:w="3947" w:type="dxa"/>
                </w:tcPr>
                <w:p w14:paraId="00BB38E1" w14:textId="77777777" w:rsidR="0034060E" w:rsidRPr="00317B20" w:rsidRDefault="0034060E" w:rsidP="00F80BCE">
                  <w:pPr>
                    <w:pStyle w:val="TableBodyText"/>
                    <w:jc w:val="left"/>
                  </w:pPr>
                  <w:r w:rsidRPr="00317B20">
                    <w:t>Clerical and Administrative Workers</w:t>
                  </w:r>
                </w:p>
              </w:tc>
              <w:tc>
                <w:tcPr>
                  <w:tcW w:w="1134" w:type="dxa"/>
                </w:tcPr>
                <w:p w14:paraId="00BB38E2" w14:textId="77777777" w:rsidR="0034060E" w:rsidRDefault="0034060E" w:rsidP="007E3F43">
                  <w:pPr>
                    <w:pStyle w:val="TableBodyText"/>
                  </w:pPr>
                  <w:r>
                    <w:t>18</w:t>
                  </w:r>
                </w:p>
              </w:tc>
              <w:tc>
                <w:tcPr>
                  <w:tcW w:w="992" w:type="dxa"/>
                </w:tcPr>
                <w:p w14:paraId="00BB38E3" w14:textId="77777777" w:rsidR="0034060E" w:rsidRDefault="0034060E" w:rsidP="007E3F43">
                  <w:pPr>
                    <w:pStyle w:val="TableBodyText"/>
                  </w:pPr>
                  <w:r>
                    <w:t>20</w:t>
                  </w:r>
                </w:p>
              </w:tc>
              <w:tc>
                <w:tcPr>
                  <w:tcW w:w="1418" w:type="dxa"/>
                </w:tcPr>
                <w:p w14:paraId="00BB38E4" w14:textId="77777777" w:rsidR="0034060E" w:rsidRDefault="0034060E" w:rsidP="007E3F43">
                  <w:pPr>
                    <w:pStyle w:val="TableBodyText"/>
                  </w:pPr>
                  <w:r>
                    <w:t>97</w:t>
                  </w:r>
                </w:p>
              </w:tc>
              <w:tc>
                <w:tcPr>
                  <w:tcW w:w="996" w:type="dxa"/>
                </w:tcPr>
                <w:p w14:paraId="00BB38E5" w14:textId="77777777" w:rsidR="0034060E" w:rsidRDefault="0034060E" w:rsidP="007E3F43">
                  <w:pPr>
                    <w:pStyle w:val="TableBodyText"/>
                  </w:pPr>
                  <w:r>
                    <w:t>1519</w:t>
                  </w:r>
                </w:p>
              </w:tc>
            </w:tr>
            <w:tr w:rsidR="0034060E" w14:paraId="00BB38EC" w14:textId="77777777" w:rsidTr="0051512F">
              <w:tc>
                <w:tcPr>
                  <w:tcW w:w="3947" w:type="dxa"/>
                </w:tcPr>
                <w:p w14:paraId="00BB38E7" w14:textId="77777777" w:rsidR="0034060E" w:rsidRPr="00317B20" w:rsidRDefault="0034060E" w:rsidP="00F80BCE">
                  <w:pPr>
                    <w:pStyle w:val="TableBodyText"/>
                    <w:jc w:val="left"/>
                  </w:pPr>
                  <w:r w:rsidRPr="00317B20">
                    <w:t>Sales Workers</w:t>
                  </w:r>
                </w:p>
              </w:tc>
              <w:tc>
                <w:tcPr>
                  <w:tcW w:w="1134" w:type="dxa"/>
                </w:tcPr>
                <w:p w14:paraId="00BB38E8" w14:textId="77777777" w:rsidR="0034060E" w:rsidRDefault="0034060E" w:rsidP="007E3F43">
                  <w:pPr>
                    <w:pStyle w:val="TableBodyText"/>
                  </w:pPr>
                  <w:r>
                    <w:t>1</w:t>
                  </w:r>
                </w:p>
              </w:tc>
              <w:tc>
                <w:tcPr>
                  <w:tcW w:w="992" w:type="dxa"/>
                </w:tcPr>
                <w:p w14:paraId="00BB38E9" w14:textId="77777777" w:rsidR="0034060E" w:rsidRDefault="0034060E" w:rsidP="007E3F43">
                  <w:pPr>
                    <w:pStyle w:val="TableBodyText"/>
                  </w:pPr>
                  <w:r>
                    <w:t>0</w:t>
                  </w:r>
                </w:p>
              </w:tc>
              <w:tc>
                <w:tcPr>
                  <w:tcW w:w="1418" w:type="dxa"/>
                </w:tcPr>
                <w:p w14:paraId="00BB38EA" w14:textId="77777777" w:rsidR="0034060E" w:rsidRDefault="0034060E" w:rsidP="007E3F43">
                  <w:pPr>
                    <w:pStyle w:val="TableBodyText"/>
                  </w:pPr>
                  <w:r>
                    <w:t>52</w:t>
                  </w:r>
                </w:p>
              </w:tc>
              <w:tc>
                <w:tcPr>
                  <w:tcW w:w="996" w:type="dxa"/>
                </w:tcPr>
                <w:p w14:paraId="00BB38EB" w14:textId="77777777" w:rsidR="0034060E" w:rsidRDefault="0034060E" w:rsidP="007E3F43">
                  <w:pPr>
                    <w:pStyle w:val="TableBodyText"/>
                  </w:pPr>
                  <w:r>
                    <w:t>1029</w:t>
                  </w:r>
                </w:p>
              </w:tc>
            </w:tr>
            <w:tr w:rsidR="0034060E" w14:paraId="00BB38F2" w14:textId="77777777" w:rsidTr="0051512F">
              <w:tc>
                <w:tcPr>
                  <w:tcW w:w="3947" w:type="dxa"/>
                </w:tcPr>
                <w:p w14:paraId="00BB38ED" w14:textId="77777777" w:rsidR="0034060E" w:rsidRPr="00317B20" w:rsidRDefault="0034060E" w:rsidP="00F80BCE">
                  <w:pPr>
                    <w:pStyle w:val="TableBodyText"/>
                    <w:jc w:val="left"/>
                  </w:pPr>
                  <w:r w:rsidRPr="00317B20">
                    <w:t>Machinery Operators and Drivers</w:t>
                  </w:r>
                </w:p>
              </w:tc>
              <w:tc>
                <w:tcPr>
                  <w:tcW w:w="1134" w:type="dxa"/>
                </w:tcPr>
                <w:p w14:paraId="00BB38EE" w14:textId="77777777" w:rsidR="0034060E" w:rsidRDefault="0034060E" w:rsidP="007E3F43">
                  <w:pPr>
                    <w:pStyle w:val="TableBodyText"/>
                  </w:pPr>
                  <w:r>
                    <w:t>17</w:t>
                  </w:r>
                </w:p>
              </w:tc>
              <w:tc>
                <w:tcPr>
                  <w:tcW w:w="992" w:type="dxa"/>
                </w:tcPr>
                <w:p w14:paraId="00BB38EF" w14:textId="77777777" w:rsidR="0034060E" w:rsidRDefault="0034060E" w:rsidP="007E3F43">
                  <w:pPr>
                    <w:pStyle w:val="TableBodyText"/>
                  </w:pPr>
                  <w:r>
                    <w:t>87</w:t>
                  </w:r>
                </w:p>
              </w:tc>
              <w:tc>
                <w:tcPr>
                  <w:tcW w:w="1418" w:type="dxa"/>
                </w:tcPr>
                <w:p w14:paraId="00BB38F0" w14:textId="77777777" w:rsidR="0034060E" w:rsidRDefault="0034060E" w:rsidP="007E3F43">
                  <w:pPr>
                    <w:pStyle w:val="TableBodyText"/>
                  </w:pPr>
                  <w:r>
                    <w:t>115</w:t>
                  </w:r>
                </w:p>
              </w:tc>
              <w:tc>
                <w:tcPr>
                  <w:tcW w:w="996" w:type="dxa"/>
                </w:tcPr>
                <w:p w14:paraId="00BB38F1" w14:textId="77777777" w:rsidR="0034060E" w:rsidRDefault="0034060E" w:rsidP="007E3F43">
                  <w:pPr>
                    <w:pStyle w:val="TableBodyText"/>
                  </w:pPr>
                  <w:r>
                    <w:t>540</w:t>
                  </w:r>
                </w:p>
              </w:tc>
            </w:tr>
            <w:tr w:rsidR="0034060E" w14:paraId="00BB38F8" w14:textId="77777777" w:rsidTr="0051512F">
              <w:tc>
                <w:tcPr>
                  <w:tcW w:w="3947" w:type="dxa"/>
                  <w:tcBorders>
                    <w:bottom w:val="single" w:sz="6" w:space="0" w:color="BFBFBF"/>
                  </w:tcBorders>
                  <w:shd w:val="clear" w:color="auto" w:fill="auto"/>
                </w:tcPr>
                <w:p w14:paraId="00BB38F3" w14:textId="77777777" w:rsidR="0034060E" w:rsidRPr="00317B20" w:rsidRDefault="0034060E" w:rsidP="00F80BCE">
                  <w:pPr>
                    <w:pStyle w:val="TableBodyText"/>
                    <w:jc w:val="left"/>
                  </w:pPr>
                  <w:r w:rsidRPr="00317B20">
                    <w:t>Labourers</w:t>
                  </w:r>
                </w:p>
              </w:tc>
              <w:tc>
                <w:tcPr>
                  <w:tcW w:w="1134" w:type="dxa"/>
                  <w:tcBorders>
                    <w:bottom w:val="single" w:sz="6" w:space="0" w:color="BFBFBF"/>
                  </w:tcBorders>
                  <w:shd w:val="clear" w:color="auto" w:fill="auto"/>
                </w:tcPr>
                <w:p w14:paraId="00BB38F4" w14:textId="77777777" w:rsidR="0034060E" w:rsidRDefault="0034060E" w:rsidP="007E3F43">
                  <w:pPr>
                    <w:pStyle w:val="TableBodyText"/>
                  </w:pPr>
                  <w:r>
                    <w:t>79</w:t>
                  </w:r>
                </w:p>
              </w:tc>
              <w:tc>
                <w:tcPr>
                  <w:tcW w:w="992" w:type="dxa"/>
                  <w:tcBorders>
                    <w:bottom w:val="single" w:sz="6" w:space="0" w:color="BFBFBF"/>
                  </w:tcBorders>
                </w:tcPr>
                <w:p w14:paraId="00BB38F5" w14:textId="77777777" w:rsidR="0034060E" w:rsidRDefault="0034060E" w:rsidP="007E3F43">
                  <w:pPr>
                    <w:pStyle w:val="TableBodyText"/>
                  </w:pPr>
                  <w:r>
                    <w:t>12</w:t>
                  </w:r>
                </w:p>
              </w:tc>
              <w:tc>
                <w:tcPr>
                  <w:tcW w:w="1418" w:type="dxa"/>
                  <w:tcBorders>
                    <w:bottom w:val="single" w:sz="6" w:space="0" w:color="BFBFBF"/>
                  </w:tcBorders>
                </w:tcPr>
                <w:p w14:paraId="00BB38F6" w14:textId="77777777" w:rsidR="0034060E" w:rsidRDefault="0034060E" w:rsidP="007E3F43">
                  <w:pPr>
                    <w:pStyle w:val="TableBodyText"/>
                  </w:pPr>
                  <w:r>
                    <w:t>173</w:t>
                  </w:r>
                </w:p>
              </w:tc>
              <w:tc>
                <w:tcPr>
                  <w:tcW w:w="996" w:type="dxa"/>
                  <w:tcBorders>
                    <w:bottom w:val="single" w:sz="6" w:space="0" w:color="BFBFBF"/>
                  </w:tcBorders>
                  <w:shd w:val="clear" w:color="auto" w:fill="auto"/>
                </w:tcPr>
                <w:p w14:paraId="00BB38F7" w14:textId="77777777" w:rsidR="0034060E" w:rsidRDefault="0034060E" w:rsidP="007E3F43">
                  <w:pPr>
                    <w:pStyle w:val="TableBodyText"/>
                  </w:pPr>
                  <w:r>
                    <w:t>865</w:t>
                  </w:r>
                </w:p>
              </w:tc>
            </w:tr>
          </w:tbl>
          <w:p w14:paraId="00BB38F9" w14:textId="77777777" w:rsidR="0034060E" w:rsidRDefault="0034060E" w:rsidP="00453A36">
            <w:pPr>
              <w:pStyle w:val="Box"/>
            </w:pPr>
          </w:p>
        </w:tc>
      </w:tr>
      <w:tr w:rsidR="0034060E" w14:paraId="00BB38FC" w14:textId="77777777" w:rsidTr="00453A36">
        <w:trPr>
          <w:cantSplit/>
        </w:trPr>
        <w:tc>
          <w:tcPr>
            <w:tcW w:w="8771" w:type="dxa"/>
            <w:tcBorders>
              <w:top w:val="nil"/>
              <w:left w:val="nil"/>
              <w:bottom w:val="nil"/>
              <w:right w:val="nil"/>
            </w:tcBorders>
            <w:shd w:val="clear" w:color="auto" w:fill="auto"/>
          </w:tcPr>
          <w:p w14:paraId="00BB38FB" w14:textId="77777777" w:rsidR="0034060E" w:rsidRDefault="0034060E" w:rsidP="00453A36">
            <w:pPr>
              <w:pStyle w:val="Note"/>
              <w:rPr>
                <w:i/>
              </w:rPr>
            </w:pPr>
            <w:proofErr w:type="spellStart"/>
            <w:r w:rsidRPr="008E77FE">
              <w:rPr>
                <w:rStyle w:val="NoteLabel"/>
              </w:rPr>
              <w:t>a</w:t>
            </w:r>
            <w:proofErr w:type="spellEnd"/>
            <w:r>
              <w:t> Employed persons include the self</w:t>
            </w:r>
            <w:r>
              <w:noBreakHyphen/>
              <w:t>employed.</w:t>
            </w:r>
          </w:p>
        </w:tc>
      </w:tr>
      <w:tr w:rsidR="0034060E" w14:paraId="00BB38FE" w14:textId="77777777" w:rsidTr="00453A36">
        <w:trPr>
          <w:cantSplit/>
        </w:trPr>
        <w:tc>
          <w:tcPr>
            <w:tcW w:w="8771" w:type="dxa"/>
            <w:tcBorders>
              <w:top w:val="nil"/>
              <w:left w:val="nil"/>
              <w:bottom w:val="nil"/>
              <w:right w:val="nil"/>
            </w:tcBorders>
            <w:shd w:val="clear" w:color="auto" w:fill="auto"/>
          </w:tcPr>
          <w:p w14:paraId="00BB38FD" w14:textId="77777777" w:rsidR="0034060E" w:rsidRDefault="0034060E" w:rsidP="00453A36">
            <w:pPr>
              <w:pStyle w:val="Source"/>
            </w:pPr>
            <w:r>
              <w:rPr>
                <w:i/>
              </w:rPr>
              <w:t>Sources</w:t>
            </w:r>
            <w:r>
              <w:t xml:space="preserve">: </w:t>
            </w:r>
            <w:r w:rsidRPr="00541D81">
              <w:t>ABS (</w:t>
            </w:r>
            <w:r w:rsidRPr="00541D81">
              <w:rPr>
                <w:i/>
              </w:rPr>
              <w:t>Labour Force, Australia, Detailed, Quarterly</w:t>
            </w:r>
            <w:r w:rsidRPr="00541D81">
              <w:t xml:space="preserve">, </w:t>
            </w:r>
            <w:r>
              <w:t>August </w:t>
            </w:r>
            <w:r w:rsidRPr="00541D81">
              <w:t>201</w:t>
            </w:r>
            <w:r>
              <w:t>5</w:t>
            </w:r>
            <w:r w:rsidRPr="00541D81">
              <w:t>, Cat.</w:t>
            </w:r>
            <w:r>
              <w:t> </w:t>
            </w:r>
            <w:r w:rsidRPr="00541D81">
              <w:t>no.</w:t>
            </w:r>
            <w:r>
              <w:t> </w:t>
            </w:r>
            <w:r w:rsidRPr="00541D81">
              <w:t>6291.0.55.003);</w:t>
            </w:r>
            <w:r>
              <w:t xml:space="preserve"> Productivity Commission estimates based on the </w:t>
            </w:r>
            <w:proofErr w:type="spellStart"/>
            <w:r>
              <w:t>VUMR</w:t>
            </w:r>
            <w:r>
              <w:noBreakHyphen/>
              <w:t>WR</w:t>
            </w:r>
            <w:proofErr w:type="spellEnd"/>
            <w:r>
              <w:t xml:space="preserve"> model.</w:t>
            </w:r>
          </w:p>
        </w:tc>
      </w:tr>
      <w:tr w:rsidR="0034060E" w14:paraId="00BB3900" w14:textId="77777777" w:rsidTr="00453A36">
        <w:trPr>
          <w:cantSplit/>
        </w:trPr>
        <w:tc>
          <w:tcPr>
            <w:tcW w:w="8771" w:type="dxa"/>
            <w:tcBorders>
              <w:top w:val="nil"/>
              <w:left w:val="nil"/>
              <w:bottom w:val="single" w:sz="6" w:space="0" w:color="78A22F"/>
              <w:right w:val="nil"/>
            </w:tcBorders>
            <w:shd w:val="clear" w:color="auto" w:fill="auto"/>
          </w:tcPr>
          <w:p w14:paraId="00BB38FF" w14:textId="77777777" w:rsidR="0034060E" w:rsidRDefault="0034060E" w:rsidP="00453A36">
            <w:pPr>
              <w:pStyle w:val="Box"/>
              <w:spacing w:before="0" w:line="120" w:lineRule="exact"/>
            </w:pPr>
          </w:p>
        </w:tc>
      </w:tr>
      <w:tr w:rsidR="0034060E" w:rsidRPr="000863A5" w14:paraId="00BB3902" w14:textId="77777777" w:rsidTr="00453A36">
        <w:tc>
          <w:tcPr>
            <w:tcW w:w="8771" w:type="dxa"/>
            <w:tcBorders>
              <w:top w:val="single" w:sz="6" w:space="0" w:color="78A22F"/>
              <w:left w:val="nil"/>
              <w:bottom w:val="nil"/>
              <w:right w:val="nil"/>
            </w:tcBorders>
          </w:tcPr>
          <w:p w14:paraId="00BB3901" w14:textId="6C5820CE" w:rsidR="0034060E" w:rsidRPr="00626D32" w:rsidRDefault="0034060E" w:rsidP="00453A36">
            <w:pPr>
              <w:pStyle w:val="BoxSpaceBelow"/>
            </w:pPr>
          </w:p>
        </w:tc>
      </w:tr>
    </w:tbl>
    <w:p w14:paraId="00BB3903" w14:textId="77777777" w:rsidR="0034060E" w:rsidRDefault="0034060E" w:rsidP="00453A36"/>
    <w:p w14:paraId="00BB3904" w14:textId="77777777" w:rsidR="0034060E" w:rsidRDefault="0034060E" w:rsidP="00120072">
      <w:pPr>
        <w:pStyle w:val="BodyText"/>
      </w:pPr>
    </w:p>
    <w:p w14:paraId="00BB3905" w14:textId="77777777" w:rsidR="0034060E" w:rsidRDefault="0034060E" w:rsidP="0034060E">
      <w:pPr>
        <w:sectPr w:rsidR="0034060E" w:rsidSect="0034060E">
          <w:headerReference w:type="even" r:id="rId62"/>
          <w:headerReference w:type="default" r:id="rId63"/>
          <w:footerReference w:type="even" r:id="rId64"/>
          <w:footerReference w:type="default" r:id="rId65"/>
          <w:type w:val="oddPage"/>
          <w:pgSz w:w="11907" w:h="16840" w:code="9"/>
          <w:pgMar w:top="1985" w:right="1304" w:bottom="1247" w:left="1814" w:header="1701" w:footer="397" w:gutter="0"/>
          <w:pgNumType w:chapSep="period"/>
          <w:cols w:space="720"/>
          <w:docGrid w:linePitch="326"/>
        </w:sectPr>
      </w:pPr>
    </w:p>
    <w:p w14:paraId="00BB3906" w14:textId="77777777" w:rsidR="0034060E" w:rsidRDefault="0034060E" w:rsidP="0051512F">
      <w:pPr>
        <w:pStyle w:val="Heading1"/>
      </w:pPr>
      <w:r>
        <w:lastRenderedPageBreak/>
        <w:t>C</w:t>
      </w:r>
      <w:r>
        <w:tab/>
        <w:t>Modelling of the scenarios</w:t>
      </w:r>
    </w:p>
    <w:p w14:paraId="00BB3907" w14:textId="77777777" w:rsidR="0034060E" w:rsidRDefault="0034060E" w:rsidP="00453A36">
      <w:pPr>
        <w:pStyle w:val="BodyText"/>
      </w:pPr>
      <w:r>
        <w:t xml:space="preserve">This appendix outlines the key aspects of each of the scenarios modelled. In all scenarios, it is assumed that a change in minimum wages results in an equivalent percentage change in award wages. </w:t>
      </w:r>
    </w:p>
    <w:p w14:paraId="00BB3908" w14:textId="64A7567A" w:rsidR="0034060E" w:rsidRDefault="0034060E" w:rsidP="00453A36">
      <w:pPr>
        <w:pStyle w:val="Heading2"/>
      </w:pPr>
      <w:proofErr w:type="spellStart"/>
      <w:r>
        <w:t>C.</w:t>
      </w:r>
      <w:r>
        <w:rPr>
          <w:noProof/>
        </w:rPr>
        <w:t>1</w:t>
      </w:r>
      <w:proofErr w:type="spellEnd"/>
      <w:r>
        <w:tab/>
        <w:t>Scenario 1 — Award wages grow at the same rate as average wages</w:t>
      </w:r>
    </w:p>
    <w:p w14:paraId="00BB3909" w14:textId="06E44434" w:rsidR="0034060E" w:rsidRDefault="0034060E" w:rsidP="00453A36">
      <w:pPr>
        <w:pStyle w:val="BodyText"/>
      </w:pPr>
      <w:r>
        <w:t>Under scenario 1, economywide wage rates are largely determined by assumptions about demographic change and labour productivity growth. These assumptions are detailed in PC </w:t>
      </w:r>
      <w:r w:rsidRPr="008B0B15">
        <w:t>(forthcoming)</w:t>
      </w:r>
      <w:r>
        <w:t xml:space="preserve">. This scenario implicitly assumes that the expert panel of the </w:t>
      </w:r>
      <w:proofErr w:type="spellStart"/>
      <w:r w:rsidR="00F80BCE">
        <w:t>FWC</w:t>
      </w:r>
      <w:proofErr w:type="spellEnd"/>
      <w:r>
        <w:t xml:space="preserve"> sets minimum wage growth rates that accord with the general growth in unregulated wages across the economy. This scenario is used as the counterfactual against which the moderation of growth in award wages is assessed.</w:t>
      </w:r>
    </w:p>
    <w:p w14:paraId="00BB390A" w14:textId="77777777" w:rsidR="0034060E" w:rsidRDefault="0034060E" w:rsidP="00453A36">
      <w:pPr>
        <w:pStyle w:val="BodyText"/>
      </w:pPr>
      <w:r>
        <w:t>The key demographic assumptions of the projections compared to data for 2013</w:t>
      </w:r>
      <w:r>
        <w:noBreakHyphen/>
        <w:t>14 (the benchmark year used in each scenario modelled) are reported in table </w:t>
      </w:r>
      <w:proofErr w:type="spellStart"/>
      <w:r>
        <w:t>C.1</w:t>
      </w:r>
      <w:proofErr w:type="spellEnd"/>
      <w:r>
        <w:t>. The demographic projections are based on age, gender and state specific fertility rates and mortality rates. These assumptions accord with those generally applied in demographic modelling.</w:t>
      </w:r>
    </w:p>
    <w:p w14:paraId="00BB390B" w14:textId="0BEF6EEF"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4060E" w14:paraId="00BB390D" w14:textId="77777777" w:rsidTr="00453A36">
        <w:tc>
          <w:tcPr>
            <w:tcW w:w="8771" w:type="dxa"/>
            <w:tcBorders>
              <w:top w:val="single" w:sz="6" w:space="0" w:color="78A22F"/>
              <w:left w:val="nil"/>
              <w:bottom w:val="nil"/>
              <w:right w:val="nil"/>
            </w:tcBorders>
            <w:hideMark/>
          </w:tcPr>
          <w:p w14:paraId="00BB390C" w14:textId="2F5B03F9" w:rsidR="0034060E" w:rsidRDefault="0034060E">
            <w:pPr>
              <w:pStyle w:val="TableTitle"/>
            </w:pPr>
            <w:r>
              <w:rPr>
                <w:b w:val="0"/>
              </w:rPr>
              <w:t xml:space="preserve">Table </w:t>
            </w:r>
            <w:proofErr w:type="spellStart"/>
            <w:r>
              <w:rPr>
                <w:b w:val="0"/>
              </w:rPr>
              <w:t>C.</w:t>
            </w:r>
            <w:r>
              <w:rPr>
                <w:b w:val="0"/>
                <w:noProof/>
              </w:rPr>
              <w:t>1</w:t>
            </w:r>
            <w:proofErr w:type="spellEnd"/>
            <w:r>
              <w:tab/>
              <w:t>Key demographic assumptions</w:t>
            </w:r>
          </w:p>
        </w:tc>
      </w:tr>
      <w:tr w:rsidR="0034060E" w14:paraId="00BB392D" w14:textId="77777777" w:rsidTr="00453A36">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3240"/>
              <w:gridCol w:w="1843"/>
              <w:gridCol w:w="1480"/>
              <w:gridCol w:w="962"/>
              <w:gridCol w:w="962"/>
            </w:tblGrid>
            <w:tr w:rsidR="0034060E" w14:paraId="00BB3913" w14:textId="77777777" w:rsidTr="0051512F">
              <w:tc>
                <w:tcPr>
                  <w:tcW w:w="1908" w:type="pct"/>
                  <w:tcBorders>
                    <w:top w:val="single" w:sz="6" w:space="0" w:color="BFBFBF"/>
                    <w:left w:val="nil"/>
                    <w:bottom w:val="single" w:sz="6" w:space="0" w:color="BFBFBF"/>
                    <w:right w:val="nil"/>
                  </w:tcBorders>
                </w:tcPr>
                <w:p w14:paraId="00BB390E" w14:textId="77777777" w:rsidR="0034060E" w:rsidRDefault="0034060E" w:rsidP="00453A36">
                  <w:pPr>
                    <w:pStyle w:val="TableColumnHeading"/>
                    <w:jc w:val="left"/>
                  </w:pPr>
                </w:p>
              </w:tc>
              <w:tc>
                <w:tcPr>
                  <w:tcW w:w="1086" w:type="pct"/>
                  <w:tcBorders>
                    <w:top w:val="single" w:sz="6" w:space="0" w:color="BFBFBF"/>
                    <w:left w:val="nil"/>
                    <w:bottom w:val="single" w:sz="6" w:space="0" w:color="BFBFBF"/>
                    <w:right w:val="nil"/>
                  </w:tcBorders>
                  <w:vAlign w:val="center"/>
                </w:tcPr>
                <w:p w14:paraId="00BB390F" w14:textId="77777777" w:rsidR="0034060E" w:rsidRDefault="0034060E" w:rsidP="0051512F">
                  <w:pPr>
                    <w:pStyle w:val="TableBodyText"/>
                    <w:jc w:val="left"/>
                  </w:pPr>
                  <w:r>
                    <w:t>Units</w:t>
                  </w:r>
                </w:p>
              </w:tc>
              <w:tc>
                <w:tcPr>
                  <w:tcW w:w="872" w:type="pct"/>
                  <w:tcBorders>
                    <w:top w:val="single" w:sz="6" w:space="0" w:color="BFBFBF"/>
                    <w:left w:val="nil"/>
                    <w:bottom w:val="single" w:sz="6" w:space="0" w:color="BFBFBF"/>
                    <w:right w:val="nil"/>
                  </w:tcBorders>
                  <w:vAlign w:val="center"/>
                  <w:hideMark/>
                </w:tcPr>
                <w:p w14:paraId="00BB3910" w14:textId="77777777" w:rsidR="0034060E" w:rsidRDefault="0034060E" w:rsidP="007E3F43">
                  <w:pPr>
                    <w:pStyle w:val="TableBodyText"/>
                    <w:jc w:val="left"/>
                  </w:pPr>
                  <w:proofErr w:type="spellStart"/>
                  <w:r>
                    <w:t>VUMR</w:t>
                  </w:r>
                  <w:proofErr w:type="spellEnd"/>
                  <w:r>
                    <w:t xml:space="preserve"> variable</w:t>
                  </w:r>
                </w:p>
              </w:tc>
              <w:tc>
                <w:tcPr>
                  <w:tcW w:w="567" w:type="pct"/>
                  <w:tcBorders>
                    <w:top w:val="single" w:sz="6" w:space="0" w:color="BFBFBF"/>
                    <w:left w:val="nil"/>
                    <w:bottom w:val="single" w:sz="6" w:space="0" w:color="BFBFBF"/>
                    <w:right w:val="nil"/>
                  </w:tcBorders>
                  <w:vAlign w:val="center"/>
                  <w:hideMark/>
                </w:tcPr>
                <w:p w14:paraId="00BB3911" w14:textId="77777777" w:rsidR="0034060E" w:rsidRDefault="0034060E" w:rsidP="007E3F43">
                  <w:pPr>
                    <w:pStyle w:val="TableColumnHeading"/>
                  </w:pPr>
                  <w:r>
                    <w:t>2013</w:t>
                  </w:r>
                  <w:r>
                    <w:noBreakHyphen/>
                    <w:t>14</w:t>
                  </w:r>
                </w:p>
              </w:tc>
              <w:tc>
                <w:tcPr>
                  <w:tcW w:w="568" w:type="pct"/>
                  <w:tcBorders>
                    <w:top w:val="single" w:sz="6" w:space="0" w:color="BFBFBF"/>
                    <w:left w:val="nil"/>
                    <w:bottom w:val="single" w:sz="6" w:space="0" w:color="BFBFBF"/>
                    <w:right w:val="nil"/>
                  </w:tcBorders>
                  <w:vAlign w:val="center"/>
                  <w:hideMark/>
                </w:tcPr>
                <w:p w14:paraId="00BB3912" w14:textId="77777777" w:rsidR="0034060E" w:rsidRDefault="0034060E" w:rsidP="007E3F43">
                  <w:pPr>
                    <w:pStyle w:val="TableColumnHeading"/>
                  </w:pPr>
                  <w:r>
                    <w:t>2024</w:t>
                  </w:r>
                  <w:r>
                    <w:noBreakHyphen/>
                    <w:t>25</w:t>
                  </w:r>
                </w:p>
              </w:tc>
            </w:tr>
            <w:tr w:rsidR="0034060E" w14:paraId="00BB3919" w14:textId="77777777" w:rsidTr="00453A36">
              <w:tc>
                <w:tcPr>
                  <w:tcW w:w="1908" w:type="pct"/>
                  <w:tcBorders>
                    <w:top w:val="single" w:sz="6" w:space="0" w:color="BFBFBF"/>
                    <w:left w:val="nil"/>
                    <w:bottom w:val="nil"/>
                    <w:right w:val="nil"/>
                  </w:tcBorders>
                  <w:hideMark/>
                </w:tcPr>
                <w:p w14:paraId="00BB3914" w14:textId="77777777" w:rsidR="0034060E" w:rsidRDefault="0034060E" w:rsidP="0051512F">
                  <w:pPr>
                    <w:pStyle w:val="TableBodyText"/>
                    <w:spacing w:before="80"/>
                    <w:jc w:val="left"/>
                  </w:pPr>
                  <w:r>
                    <w:t>Starting population</w:t>
                  </w:r>
                </w:p>
              </w:tc>
              <w:tc>
                <w:tcPr>
                  <w:tcW w:w="1086" w:type="pct"/>
                  <w:tcBorders>
                    <w:top w:val="single" w:sz="6" w:space="0" w:color="BFBFBF"/>
                    <w:left w:val="nil"/>
                    <w:bottom w:val="nil"/>
                    <w:right w:val="nil"/>
                  </w:tcBorders>
                </w:tcPr>
                <w:p w14:paraId="00BB3915" w14:textId="77777777" w:rsidR="0034060E" w:rsidRDefault="0034060E" w:rsidP="0051512F">
                  <w:pPr>
                    <w:pStyle w:val="TableBodyText"/>
                    <w:spacing w:before="80"/>
                    <w:jc w:val="left"/>
                  </w:pPr>
                  <w:r>
                    <w:t>million</w:t>
                  </w:r>
                </w:p>
              </w:tc>
              <w:tc>
                <w:tcPr>
                  <w:tcW w:w="872" w:type="pct"/>
                  <w:tcBorders>
                    <w:top w:val="single" w:sz="6" w:space="0" w:color="BFBFBF"/>
                    <w:left w:val="nil"/>
                    <w:bottom w:val="nil"/>
                    <w:right w:val="nil"/>
                  </w:tcBorders>
                  <w:hideMark/>
                </w:tcPr>
                <w:p w14:paraId="00BB3916" w14:textId="77777777" w:rsidR="0034060E" w:rsidRDefault="0034060E" w:rsidP="0051512F">
                  <w:pPr>
                    <w:pStyle w:val="TableBodyText"/>
                    <w:spacing w:before="80"/>
                    <w:jc w:val="left"/>
                  </w:pPr>
                  <w:proofErr w:type="spellStart"/>
                  <w:r>
                    <w:t>C_NATPOP</w:t>
                  </w:r>
                  <w:proofErr w:type="spellEnd"/>
                </w:p>
              </w:tc>
              <w:tc>
                <w:tcPr>
                  <w:tcW w:w="567" w:type="pct"/>
                  <w:tcBorders>
                    <w:top w:val="single" w:sz="6" w:space="0" w:color="BFBFBF"/>
                    <w:left w:val="nil"/>
                    <w:bottom w:val="nil"/>
                    <w:right w:val="nil"/>
                  </w:tcBorders>
                  <w:hideMark/>
                </w:tcPr>
                <w:p w14:paraId="00BB3917" w14:textId="77777777" w:rsidR="0034060E" w:rsidRDefault="0034060E" w:rsidP="0051512F">
                  <w:pPr>
                    <w:pStyle w:val="TableBodyText"/>
                    <w:spacing w:before="80"/>
                  </w:pPr>
                  <w:r>
                    <w:t>23</w:t>
                  </w:r>
                </w:p>
              </w:tc>
              <w:tc>
                <w:tcPr>
                  <w:tcW w:w="568" w:type="pct"/>
                  <w:tcBorders>
                    <w:top w:val="single" w:sz="6" w:space="0" w:color="BFBFBF"/>
                    <w:left w:val="nil"/>
                    <w:bottom w:val="nil"/>
                    <w:right w:val="nil"/>
                  </w:tcBorders>
                </w:tcPr>
                <w:p w14:paraId="00BB3918" w14:textId="77777777" w:rsidR="0034060E" w:rsidRDefault="0034060E" w:rsidP="0051512F">
                  <w:pPr>
                    <w:pStyle w:val="TableBodyText"/>
                    <w:spacing w:before="80"/>
                  </w:pPr>
                  <w:r>
                    <w:t>27</w:t>
                  </w:r>
                </w:p>
              </w:tc>
            </w:tr>
            <w:tr w:rsidR="0034060E" w14:paraId="00BB391F" w14:textId="77777777" w:rsidTr="00453A36">
              <w:tc>
                <w:tcPr>
                  <w:tcW w:w="1908" w:type="pct"/>
                  <w:hideMark/>
                </w:tcPr>
                <w:p w14:paraId="00BB391A" w14:textId="77777777" w:rsidR="0034060E" w:rsidRDefault="0034060E" w:rsidP="00453A36">
                  <w:pPr>
                    <w:pStyle w:val="TableBodyText"/>
                    <w:jc w:val="left"/>
                  </w:pPr>
                  <w:r>
                    <w:t xml:space="preserve">Total fertility rate (average of states) </w:t>
                  </w:r>
                </w:p>
              </w:tc>
              <w:tc>
                <w:tcPr>
                  <w:tcW w:w="1086" w:type="pct"/>
                </w:tcPr>
                <w:p w14:paraId="00BB391B" w14:textId="77777777" w:rsidR="0034060E" w:rsidRDefault="0034060E" w:rsidP="0051512F">
                  <w:pPr>
                    <w:pStyle w:val="TableBodyText"/>
                    <w:jc w:val="left"/>
                  </w:pPr>
                  <w:r>
                    <w:t>births per woman</w:t>
                  </w:r>
                </w:p>
              </w:tc>
              <w:tc>
                <w:tcPr>
                  <w:tcW w:w="872" w:type="pct"/>
                  <w:hideMark/>
                </w:tcPr>
                <w:p w14:paraId="00BB391C" w14:textId="77777777" w:rsidR="0034060E" w:rsidRDefault="0034060E" w:rsidP="00453A36">
                  <w:pPr>
                    <w:pStyle w:val="TableBodyText"/>
                    <w:jc w:val="left"/>
                  </w:pPr>
                  <w:proofErr w:type="spellStart"/>
                  <w:r>
                    <w:t>LRT_TFR</w:t>
                  </w:r>
                  <w:proofErr w:type="spellEnd"/>
                </w:p>
              </w:tc>
              <w:tc>
                <w:tcPr>
                  <w:tcW w:w="567" w:type="pct"/>
                  <w:hideMark/>
                </w:tcPr>
                <w:p w14:paraId="00BB391D" w14:textId="77777777" w:rsidR="0034060E" w:rsidRDefault="0034060E" w:rsidP="00453A36">
                  <w:pPr>
                    <w:pStyle w:val="TableBodyText"/>
                  </w:pPr>
                  <w:r>
                    <w:t>1.86</w:t>
                  </w:r>
                </w:p>
              </w:tc>
              <w:tc>
                <w:tcPr>
                  <w:tcW w:w="568" w:type="pct"/>
                  <w:hideMark/>
                </w:tcPr>
                <w:p w14:paraId="00BB391E" w14:textId="77777777" w:rsidR="0034060E" w:rsidRDefault="0034060E" w:rsidP="00453A36">
                  <w:pPr>
                    <w:pStyle w:val="TableBodyText"/>
                  </w:pPr>
                  <w:r>
                    <w:t>1.86</w:t>
                  </w:r>
                </w:p>
              </w:tc>
            </w:tr>
            <w:tr w:rsidR="0034060E" w14:paraId="00BB3925" w14:textId="77777777" w:rsidTr="00453A36">
              <w:tc>
                <w:tcPr>
                  <w:tcW w:w="1908" w:type="pct"/>
                  <w:hideMark/>
                </w:tcPr>
                <w:p w14:paraId="00BB3920" w14:textId="77777777" w:rsidR="0034060E" w:rsidRDefault="0034060E" w:rsidP="00453A36">
                  <w:pPr>
                    <w:pStyle w:val="TableBodyText"/>
                    <w:jc w:val="left"/>
                  </w:pPr>
                  <w:r>
                    <w:t>Male births per 100 female births</w:t>
                  </w:r>
                </w:p>
              </w:tc>
              <w:tc>
                <w:tcPr>
                  <w:tcW w:w="1086" w:type="pct"/>
                </w:tcPr>
                <w:p w14:paraId="00BB3921" w14:textId="2E99955F" w:rsidR="0034060E" w:rsidRDefault="00315C17" w:rsidP="0051512F">
                  <w:pPr>
                    <w:pStyle w:val="TableBodyText"/>
                    <w:jc w:val="left"/>
                  </w:pPr>
                  <w:r>
                    <w:t>p</w:t>
                  </w:r>
                  <w:r w:rsidR="0034060E">
                    <w:t>er</w:t>
                  </w:r>
                  <w:r>
                    <w:t> </w:t>
                  </w:r>
                  <w:r w:rsidR="0034060E">
                    <w:t>100 female births</w:t>
                  </w:r>
                </w:p>
              </w:tc>
              <w:tc>
                <w:tcPr>
                  <w:tcW w:w="872" w:type="pct"/>
                  <w:hideMark/>
                </w:tcPr>
                <w:p w14:paraId="00BB3922" w14:textId="77777777" w:rsidR="0034060E" w:rsidRDefault="0034060E" w:rsidP="00453A36">
                  <w:pPr>
                    <w:pStyle w:val="TableBodyText"/>
                    <w:jc w:val="left"/>
                  </w:pPr>
                  <w:proofErr w:type="spellStart"/>
                  <w:r>
                    <w:t>POPALPHA</w:t>
                  </w:r>
                  <w:proofErr w:type="spellEnd"/>
                </w:p>
              </w:tc>
              <w:tc>
                <w:tcPr>
                  <w:tcW w:w="567" w:type="pct"/>
                  <w:hideMark/>
                </w:tcPr>
                <w:p w14:paraId="00BB3923" w14:textId="77777777" w:rsidR="0034060E" w:rsidRDefault="0034060E" w:rsidP="00453A36">
                  <w:pPr>
                    <w:pStyle w:val="TableBodyText"/>
                  </w:pPr>
                  <w:r>
                    <w:t>105.6</w:t>
                  </w:r>
                </w:p>
              </w:tc>
              <w:tc>
                <w:tcPr>
                  <w:tcW w:w="568" w:type="pct"/>
                  <w:hideMark/>
                </w:tcPr>
                <w:p w14:paraId="00BB3924" w14:textId="77777777" w:rsidR="0034060E" w:rsidRDefault="0034060E" w:rsidP="00453A36">
                  <w:pPr>
                    <w:pStyle w:val="TableBodyText"/>
                  </w:pPr>
                  <w:r>
                    <w:t>105.6</w:t>
                  </w:r>
                </w:p>
              </w:tc>
            </w:tr>
            <w:tr w:rsidR="0034060E" w14:paraId="00BB392B" w14:textId="77777777" w:rsidTr="00453A36">
              <w:tc>
                <w:tcPr>
                  <w:tcW w:w="1908" w:type="pct"/>
                  <w:tcBorders>
                    <w:top w:val="nil"/>
                    <w:left w:val="nil"/>
                    <w:bottom w:val="single" w:sz="6" w:space="0" w:color="BFBFBF"/>
                    <w:right w:val="nil"/>
                  </w:tcBorders>
                </w:tcPr>
                <w:p w14:paraId="00BB3926" w14:textId="77777777" w:rsidR="0034060E" w:rsidRDefault="0034060E" w:rsidP="00453A36">
                  <w:pPr>
                    <w:pStyle w:val="TableBodyText"/>
                    <w:jc w:val="left"/>
                  </w:pPr>
                  <w:r>
                    <w:t>Net overseas migration as a share of the Australian population</w:t>
                  </w:r>
                </w:p>
              </w:tc>
              <w:tc>
                <w:tcPr>
                  <w:tcW w:w="1086" w:type="pct"/>
                  <w:tcBorders>
                    <w:top w:val="nil"/>
                    <w:left w:val="nil"/>
                    <w:bottom w:val="single" w:sz="6" w:space="0" w:color="BFBFBF"/>
                    <w:right w:val="nil"/>
                  </w:tcBorders>
                </w:tcPr>
                <w:p w14:paraId="00BB3927" w14:textId="2817CEC1" w:rsidR="0034060E" w:rsidRDefault="00315C17" w:rsidP="0051512F">
                  <w:pPr>
                    <w:pStyle w:val="TableBodyText"/>
                    <w:jc w:val="left"/>
                  </w:pPr>
                  <w:r>
                    <w:t>%</w:t>
                  </w:r>
                </w:p>
              </w:tc>
              <w:tc>
                <w:tcPr>
                  <w:tcW w:w="872" w:type="pct"/>
                  <w:tcBorders>
                    <w:top w:val="nil"/>
                    <w:left w:val="nil"/>
                    <w:bottom w:val="single" w:sz="6" w:space="0" w:color="BFBFBF"/>
                    <w:right w:val="nil"/>
                  </w:tcBorders>
                </w:tcPr>
                <w:p w14:paraId="00BB3928" w14:textId="77777777" w:rsidR="0034060E" w:rsidRDefault="0034060E" w:rsidP="00453A36">
                  <w:pPr>
                    <w:pStyle w:val="TableBodyText"/>
                    <w:jc w:val="left"/>
                  </w:pPr>
                  <w:proofErr w:type="spellStart"/>
                  <w:r>
                    <w:t>C_NOM2POP</w:t>
                  </w:r>
                  <w:proofErr w:type="spellEnd"/>
                </w:p>
              </w:tc>
              <w:tc>
                <w:tcPr>
                  <w:tcW w:w="567" w:type="pct"/>
                  <w:tcBorders>
                    <w:top w:val="nil"/>
                    <w:left w:val="nil"/>
                    <w:bottom w:val="single" w:sz="6" w:space="0" w:color="BFBFBF"/>
                    <w:right w:val="nil"/>
                  </w:tcBorders>
                </w:tcPr>
                <w:p w14:paraId="00BB3929" w14:textId="77777777" w:rsidR="0034060E" w:rsidRDefault="0034060E" w:rsidP="00453A36">
                  <w:pPr>
                    <w:pStyle w:val="TableBodyText"/>
                  </w:pPr>
                  <w:r>
                    <w:t>0.9</w:t>
                  </w:r>
                </w:p>
              </w:tc>
              <w:tc>
                <w:tcPr>
                  <w:tcW w:w="568" w:type="pct"/>
                  <w:tcBorders>
                    <w:top w:val="nil"/>
                    <w:left w:val="nil"/>
                    <w:bottom w:val="single" w:sz="6" w:space="0" w:color="BFBFBF"/>
                    <w:right w:val="nil"/>
                  </w:tcBorders>
                </w:tcPr>
                <w:p w14:paraId="00BB392A" w14:textId="77777777" w:rsidR="0034060E" w:rsidRDefault="0034060E" w:rsidP="00453A36">
                  <w:pPr>
                    <w:pStyle w:val="TableBodyText"/>
                  </w:pPr>
                  <w:r>
                    <w:t>0.6</w:t>
                  </w:r>
                </w:p>
              </w:tc>
            </w:tr>
          </w:tbl>
          <w:p w14:paraId="00BB392C" w14:textId="77777777" w:rsidR="0034060E" w:rsidRDefault="0034060E">
            <w:pPr>
              <w:pStyle w:val="Box"/>
            </w:pPr>
          </w:p>
        </w:tc>
      </w:tr>
      <w:tr w:rsidR="0034060E" w14:paraId="00BB392F" w14:textId="77777777" w:rsidTr="00453A36">
        <w:trPr>
          <w:cantSplit/>
        </w:trPr>
        <w:tc>
          <w:tcPr>
            <w:tcW w:w="8771" w:type="dxa"/>
            <w:tcBorders>
              <w:top w:val="nil"/>
              <w:left w:val="nil"/>
              <w:bottom w:val="nil"/>
              <w:right w:val="nil"/>
            </w:tcBorders>
            <w:hideMark/>
          </w:tcPr>
          <w:p w14:paraId="00BB392E" w14:textId="77777777" w:rsidR="0034060E" w:rsidRDefault="0034060E" w:rsidP="00453A36">
            <w:pPr>
              <w:pStyle w:val="Source"/>
            </w:pPr>
            <w:r>
              <w:rPr>
                <w:i/>
              </w:rPr>
              <w:t>Sources</w:t>
            </w:r>
            <w:r>
              <w:t>: Estimates based on ABS (Australian Historical Population Statistics, 2014, Cat. no. 3105.0.65.001); ABS (Australian Demographic Statistics, September 2014, Cat. no. 3101.0).</w:t>
            </w:r>
          </w:p>
        </w:tc>
      </w:tr>
      <w:tr w:rsidR="0034060E" w14:paraId="00BB3931" w14:textId="77777777" w:rsidTr="00453A36">
        <w:trPr>
          <w:cantSplit/>
        </w:trPr>
        <w:tc>
          <w:tcPr>
            <w:tcW w:w="8771" w:type="dxa"/>
            <w:tcBorders>
              <w:top w:val="nil"/>
              <w:left w:val="nil"/>
              <w:bottom w:val="single" w:sz="6" w:space="0" w:color="78A22F"/>
              <w:right w:val="nil"/>
            </w:tcBorders>
          </w:tcPr>
          <w:p w14:paraId="00BB3930" w14:textId="77777777" w:rsidR="0034060E" w:rsidRDefault="0034060E">
            <w:pPr>
              <w:pStyle w:val="Box"/>
              <w:spacing w:before="0" w:line="120" w:lineRule="exact"/>
            </w:pPr>
          </w:p>
        </w:tc>
      </w:tr>
      <w:tr w:rsidR="0034060E" w14:paraId="00BB3933" w14:textId="77777777" w:rsidTr="00453A36">
        <w:tc>
          <w:tcPr>
            <w:tcW w:w="8771" w:type="dxa"/>
            <w:tcBorders>
              <w:top w:val="single" w:sz="6" w:space="0" w:color="78A22F"/>
              <w:left w:val="nil"/>
              <w:bottom w:val="nil"/>
              <w:right w:val="nil"/>
            </w:tcBorders>
            <w:hideMark/>
          </w:tcPr>
          <w:p w14:paraId="00BB3932" w14:textId="7B7F8709" w:rsidR="0034060E" w:rsidRDefault="0034060E">
            <w:pPr>
              <w:pStyle w:val="BoxSpaceBelow"/>
            </w:pPr>
          </w:p>
        </w:tc>
      </w:tr>
    </w:tbl>
    <w:p w14:paraId="00BB3934" w14:textId="77777777" w:rsidR="0034060E" w:rsidRDefault="0034060E" w:rsidP="00453A36">
      <w:pPr>
        <w:pStyle w:val="BodyText"/>
      </w:pPr>
      <w:r>
        <w:t>The working</w:t>
      </w:r>
      <w:r>
        <w:noBreakHyphen/>
        <w:t xml:space="preserve">age population contributes to productive activity through participation in the labour market. These labour supply characteristics govern labour force engagement in scenario 1. Over time, consistent with historical trends, it is assumed that workforce participation will increase fractionally, while workers will move between occupations </w:t>
      </w:r>
      <w:r>
        <w:lastRenderedPageBreak/>
        <w:t>based on changes in after tax wage rates by occupation. The unemployment rate in each occupation by state is assumed to be exogenous and is fixed at their current 2013</w:t>
      </w:r>
      <w:r>
        <w:noBreakHyphen/>
        <w:t>14 levels over the projection period.</w:t>
      </w:r>
    </w:p>
    <w:p w14:paraId="00BB3935" w14:textId="77777777" w:rsidR="0034060E" w:rsidRDefault="0034060E" w:rsidP="00453A36">
      <w:pPr>
        <w:pStyle w:val="BodyText"/>
        <w:rPr>
          <w:sz w:val="26"/>
        </w:rPr>
      </w:pPr>
      <w:r>
        <w:t>Labour productivity growth in scenario 1 has been specified at the industry level. It has been assumed that labour productivity transitions (on average) from current five year average levels (2013</w:t>
      </w:r>
      <w:r>
        <w:noBreakHyphen/>
        <w:t>14) to longer</w:t>
      </w:r>
      <w:r>
        <w:noBreakHyphen/>
        <w:t>term historical averages (based on the period 1974</w:t>
      </w:r>
      <w:r>
        <w:noBreakHyphen/>
        <w:t>75 to 2013</w:t>
      </w:r>
      <w:r>
        <w:noBreakHyphen/>
        <w:t>14) over the period 2013</w:t>
      </w:r>
      <w:r>
        <w:noBreakHyphen/>
        <w:t>14 to 2017</w:t>
      </w:r>
      <w:r>
        <w:noBreakHyphen/>
        <w:t>18. Reflecting these assumptions, national labour productivity, multifactor productivity and capital deepening are projected to increase (figure </w:t>
      </w:r>
      <w:proofErr w:type="spellStart"/>
      <w:r>
        <w:t>C.1</w:t>
      </w:r>
      <w:proofErr w:type="spellEnd"/>
      <w:r>
        <w:t>). National labour productivity and capital deepening are projected to increase at lower rates than have occurred historically.</w:t>
      </w:r>
    </w:p>
    <w:p w14:paraId="00BB3936" w14:textId="77777777" w:rsidR="0034060E" w:rsidRDefault="0034060E" w:rsidP="00453A36">
      <w:pPr>
        <w:pStyle w:val="BodyText"/>
      </w:pPr>
      <w:r>
        <w:t>The lower projected growth in labour productivity reflects, among other factors:</w:t>
      </w:r>
    </w:p>
    <w:p w14:paraId="00BB3937" w14:textId="77777777" w:rsidR="0034060E" w:rsidRDefault="0034060E" w:rsidP="0034060E">
      <w:pPr>
        <w:pStyle w:val="ListBullet"/>
      </w:pPr>
      <w:r>
        <w:t>relatively low (by historical standards) current levels of productivity in a number of industries, most notably the mining and electricity, gas, water and waste sectors, and the assumption of a gradual return to their historically higher productivity levels</w:t>
      </w:r>
    </w:p>
    <w:p w14:paraId="00BB3938" w14:textId="1C2C7D90" w:rsidR="0034060E" w:rsidRDefault="0034060E" w:rsidP="0034060E">
      <w:pPr>
        <w:pStyle w:val="ListBullet"/>
      </w:pPr>
      <w:r>
        <w:t>a continuation of the longer</w:t>
      </w:r>
      <w:r>
        <w:noBreakHyphen/>
        <w:t xml:space="preserve">term trend towards service industries, which tend to have relatively lower measured rates of productivity growth </w:t>
      </w:r>
      <w:r w:rsidRPr="00E40F41">
        <w:rPr>
          <w:szCs w:val="24"/>
        </w:rPr>
        <w:t>(PC forthcoming, 2012)</w:t>
      </w:r>
      <w:r>
        <w:t>.</w:t>
      </w:r>
    </w:p>
    <w:p w14:paraId="00BB3939" w14:textId="656BBDBE"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4060E" w14:paraId="00BB393B" w14:textId="77777777" w:rsidTr="00453A36">
        <w:tc>
          <w:tcPr>
            <w:tcW w:w="8771" w:type="dxa"/>
            <w:tcBorders>
              <w:top w:val="single" w:sz="6" w:space="0" w:color="78A22F"/>
              <w:left w:val="nil"/>
              <w:bottom w:val="nil"/>
              <w:right w:val="nil"/>
            </w:tcBorders>
            <w:hideMark/>
          </w:tcPr>
          <w:p w14:paraId="00BB393A" w14:textId="4AA82AE6" w:rsidR="0034060E" w:rsidRPr="00812747" w:rsidRDefault="0034060E" w:rsidP="00453A36">
            <w:pPr>
              <w:pStyle w:val="FigureTitle"/>
            </w:pPr>
            <w:r>
              <w:rPr>
                <w:b w:val="0"/>
              </w:rPr>
              <w:t xml:space="preserve">Figure </w:t>
            </w:r>
            <w:proofErr w:type="spellStart"/>
            <w:r>
              <w:rPr>
                <w:b w:val="0"/>
              </w:rPr>
              <w:t>C.</w:t>
            </w:r>
            <w:r>
              <w:rPr>
                <w:b w:val="0"/>
                <w:noProof/>
              </w:rPr>
              <w:t>1</w:t>
            </w:r>
            <w:proofErr w:type="spellEnd"/>
            <w:r>
              <w:tab/>
              <w:t>Actual and projected average annual sources of labour productivity growth, Australia, 1974</w:t>
            </w:r>
            <w:r>
              <w:noBreakHyphen/>
              <w:t>75 to 2059</w:t>
            </w:r>
            <w:r>
              <w:noBreakHyphen/>
              <w:t>60</w:t>
            </w:r>
          </w:p>
        </w:tc>
      </w:tr>
      <w:tr w:rsidR="0034060E" w14:paraId="00BB393F" w14:textId="77777777" w:rsidTr="00453A36">
        <w:tc>
          <w:tcPr>
            <w:tcW w:w="8771" w:type="dxa"/>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8"/>
            </w:tblGrid>
            <w:tr w:rsidR="0034060E" w14:paraId="00BB393D" w14:textId="77777777" w:rsidTr="00F72137">
              <w:trPr>
                <w:jc w:val="center"/>
              </w:trPr>
              <w:tc>
                <w:tcPr>
                  <w:tcW w:w="8508" w:type="dxa"/>
                  <w:tcBorders>
                    <w:top w:val="nil"/>
                    <w:left w:val="nil"/>
                    <w:bottom w:val="nil"/>
                    <w:right w:val="nil"/>
                  </w:tcBorders>
                  <w:hideMark/>
                </w:tcPr>
                <w:p w14:paraId="00BB393C" w14:textId="5C77481A" w:rsidR="0034060E" w:rsidRDefault="00F72137">
                  <w:pPr>
                    <w:pStyle w:val="Figure"/>
                    <w:spacing w:before="60" w:after="60"/>
                  </w:pPr>
                  <w:r w:rsidRPr="00F72137">
                    <w:rPr>
                      <w:noProof/>
                    </w:rPr>
                    <w:drawing>
                      <wp:inline distT="0" distB="0" distL="0" distR="0" wp14:anchorId="33795191" wp14:editId="1BD3E877">
                        <wp:extent cx="5400000" cy="2880000"/>
                        <wp:effectExtent l="0" t="0" r="0" b="0"/>
                        <wp:docPr id="19" name="Chart 19" descr="Figure C.1 Actual and projected average annual sources of labour productivity growth, Australia, 1974-75 to 2059-60. Percentage annual growth rate. This figure shows that national labour productivity and capital deepening are projected to increase at lower rates than have occurred historically."/>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00BB393E" w14:textId="77777777" w:rsidR="0034060E" w:rsidRDefault="0034060E">
            <w:pPr>
              <w:pStyle w:val="Figure"/>
            </w:pPr>
          </w:p>
        </w:tc>
      </w:tr>
      <w:tr w:rsidR="0034060E" w14:paraId="00BB3941" w14:textId="77777777" w:rsidTr="00453A36">
        <w:tc>
          <w:tcPr>
            <w:tcW w:w="8771" w:type="dxa"/>
            <w:tcBorders>
              <w:top w:val="nil"/>
              <w:left w:val="nil"/>
              <w:bottom w:val="nil"/>
              <w:right w:val="nil"/>
            </w:tcBorders>
            <w:hideMark/>
          </w:tcPr>
          <w:p w14:paraId="00BB3940" w14:textId="77777777" w:rsidR="0034060E" w:rsidRDefault="0034060E">
            <w:pPr>
              <w:pStyle w:val="Source"/>
            </w:pPr>
            <w:r>
              <w:rPr>
                <w:i/>
              </w:rPr>
              <w:t>Source</w:t>
            </w:r>
            <w:r>
              <w:t xml:space="preserve">: Productivity Commission estimates based on the </w:t>
            </w:r>
            <w:proofErr w:type="spellStart"/>
            <w:r>
              <w:t>VUMR</w:t>
            </w:r>
            <w:r>
              <w:noBreakHyphen/>
              <w:t>WR</w:t>
            </w:r>
            <w:proofErr w:type="spellEnd"/>
            <w:r>
              <w:t xml:space="preserve"> model.</w:t>
            </w:r>
          </w:p>
        </w:tc>
      </w:tr>
      <w:tr w:rsidR="0034060E" w14:paraId="00BB3943" w14:textId="77777777" w:rsidTr="00453A36">
        <w:tc>
          <w:tcPr>
            <w:tcW w:w="8771" w:type="dxa"/>
            <w:tcBorders>
              <w:top w:val="nil"/>
              <w:left w:val="nil"/>
              <w:bottom w:val="single" w:sz="6" w:space="0" w:color="78A22F"/>
              <w:right w:val="nil"/>
            </w:tcBorders>
          </w:tcPr>
          <w:p w14:paraId="00BB3942" w14:textId="77777777" w:rsidR="0034060E" w:rsidRDefault="0034060E">
            <w:pPr>
              <w:pStyle w:val="Figurespace"/>
            </w:pPr>
          </w:p>
        </w:tc>
      </w:tr>
      <w:tr w:rsidR="0034060E" w14:paraId="00BB3945" w14:textId="77777777" w:rsidTr="00453A36">
        <w:tc>
          <w:tcPr>
            <w:tcW w:w="8771" w:type="dxa"/>
            <w:tcBorders>
              <w:top w:val="single" w:sz="6" w:space="0" w:color="78A22F"/>
              <w:left w:val="nil"/>
              <w:bottom w:val="nil"/>
              <w:right w:val="nil"/>
            </w:tcBorders>
            <w:hideMark/>
          </w:tcPr>
          <w:p w14:paraId="00BB3944" w14:textId="715B0992" w:rsidR="0034060E" w:rsidRDefault="0034060E">
            <w:pPr>
              <w:pStyle w:val="BoxSpaceBelow"/>
            </w:pPr>
          </w:p>
        </w:tc>
      </w:tr>
    </w:tbl>
    <w:p w14:paraId="00BB3946" w14:textId="77777777" w:rsidR="0034060E" w:rsidRDefault="0034060E" w:rsidP="00453A36">
      <w:pPr>
        <w:pStyle w:val="BodyText"/>
        <w:rPr>
          <w:sz w:val="26"/>
        </w:rPr>
      </w:pPr>
      <w:r>
        <w:t>Following historical trends, this growth in labour productivity to 2059</w:t>
      </w:r>
      <w:r>
        <w:noBreakHyphen/>
        <w:t xml:space="preserve">60 is assumed to be highest in the communications, agriculture and finance sectors and lowest in the </w:t>
      </w:r>
      <w:r>
        <w:lastRenderedPageBreak/>
        <w:t>accommodation and cafes, construction and utilities sectors (electricity, gas and water) (figure </w:t>
      </w:r>
      <w:proofErr w:type="spellStart"/>
      <w:r>
        <w:t>C.2</w:t>
      </w:r>
      <w:proofErr w:type="spellEnd"/>
      <w:r>
        <w:t>).</w:t>
      </w:r>
    </w:p>
    <w:p w14:paraId="00BB3947" w14:textId="4C8B274A"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4060E" w14:paraId="00BB3949" w14:textId="77777777" w:rsidTr="00453A36">
        <w:tc>
          <w:tcPr>
            <w:tcW w:w="8771" w:type="dxa"/>
            <w:tcBorders>
              <w:top w:val="single" w:sz="6" w:space="0" w:color="78A22F"/>
              <w:left w:val="nil"/>
              <w:bottom w:val="nil"/>
              <w:right w:val="nil"/>
            </w:tcBorders>
            <w:hideMark/>
          </w:tcPr>
          <w:p w14:paraId="00BB3948" w14:textId="1EA75F67" w:rsidR="0034060E" w:rsidRPr="00373BCB" w:rsidRDefault="0034060E" w:rsidP="00453A36">
            <w:pPr>
              <w:pStyle w:val="FigureTitle"/>
            </w:pPr>
            <w:r>
              <w:rPr>
                <w:b w:val="0"/>
              </w:rPr>
              <w:t xml:space="preserve">Figure </w:t>
            </w:r>
            <w:proofErr w:type="spellStart"/>
            <w:r>
              <w:rPr>
                <w:b w:val="0"/>
              </w:rPr>
              <w:t>C.</w:t>
            </w:r>
            <w:r>
              <w:rPr>
                <w:b w:val="0"/>
                <w:noProof/>
              </w:rPr>
              <w:t>2</w:t>
            </w:r>
            <w:proofErr w:type="spellEnd"/>
            <w:r>
              <w:tab/>
              <w:t>Projected average annual sources of labour productivity growth, market sector, 2013</w:t>
            </w:r>
            <w:r>
              <w:noBreakHyphen/>
              <w:t>14 to 2059</w:t>
            </w:r>
            <w:r>
              <w:noBreakHyphen/>
              <w:t>60</w:t>
            </w:r>
          </w:p>
        </w:tc>
      </w:tr>
      <w:tr w:rsidR="0034060E" w14:paraId="00BB394D" w14:textId="77777777" w:rsidTr="00453A36">
        <w:tc>
          <w:tcPr>
            <w:tcW w:w="8771" w:type="dxa"/>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8"/>
            </w:tblGrid>
            <w:tr w:rsidR="0034060E" w14:paraId="00BB394B" w14:textId="77777777" w:rsidTr="00F72137">
              <w:trPr>
                <w:jc w:val="center"/>
              </w:trPr>
              <w:tc>
                <w:tcPr>
                  <w:tcW w:w="8508" w:type="dxa"/>
                  <w:tcBorders>
                    <w:top w:val="nil"/>
                    <w:left w:val="nil"/>
                    <w:bottom w:val="nil"/>
                    <w:right w:val="nil"/>
                  </w:tcBorders>
                  <w:hideMark/>
                </w:tcPr>
                <w:p w14:paraId="00BB394A" w14:textId="5888FC74" w:rsidR="0034060E" w:rsidRDefault="00F72137">
                  <w:pPr>
                    <w:pStyle w:val="Figure"/>
                    <w:spacing w:before="60" w:after="60"/>
                  </w:pPr>
                  <w:r w:rsidRPr="00F72137">
                    <w:rPr>
                      <w:noProof/>
                    </w:rPr>
                    <w:drawing>
                      <wp:inline distT="0" distB="0" distL="0" distR="0" wp14:anchorId="1514CBFC" wp14:editId="2EF7EFE6">
                        <wp:extent cx="5400000" cy="2880000"/>
                        <wp:effectExtent l="0" t="0" r="0" b="0"/>
                        <wp:docPr id="20" name="Chart 20" descr="Figure C.2 Projected average annual sources of labour productivity growth, market sector, 2013-14 to 2059-60. Percentage annual growth rate. This figure shows that the assumed growth in labour productivity is highest in the communications, agriculture and finance sectors and lowest in the accommodation and cafes, construction and utilities sectors (electricity, gas and wa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tc>
            </w:tr>
          </w:tbl>
          <w:p w14:paraId="00BB394C" w14:textId="77777777" w:rsidR="0034060E" w:rsidRDefault="0034060E">
            <w:pPr>
              <w:pStyle w:val="Figure"/>
            </w:pPr>
          </w:p>
        </w:tc>
      </w:tr>
      <w:tr w:rsidR="0034060E" w14:paraId="00BB394F" w14:textId="77777777" w:rsidTr="00453A36">
        <w:tc>
          <w:tcPr>
            <w:tcW w:w="8771" w:type="dxa"/>
            <w:tcBorders>
              <w:top w:val="nil"/>
              <w:left w:val="nil"/>
              <w:bottom w:val="nil"/>
              <w:right w:val="nil"/>
            </w:tcBorders>
            <w:hideMark/>
          </w:tcPr>
          <w:p w14:paraId="00BB394E" w14:textId="77777777" w:rsidR="0034060E" w:rsidRDefault="0034060E">
            <w:pPr>
              <w:pStyle w:val="Source"/>
            </w:pPr>
            <w:r>
              <w:rPr>
                <w:i/>
              </w:rPr>
              <w:t>Source</w:t>
            </w:r>
            <w:r>
              <w:t xml:space="preserve">: Productivity Commission estimates based on the </w:t>
            </w:r>
            <w:proofErr w:type="spellStart"/>
            <w:r>
              <w:t>VUMR</w:t>
            </w:r>
            <w:r>
              <w:noBreakHyphen/>
              <w:t>WR</w:t>
            </w:r>
            <w:proofErr w:type="spellEnd"/>
            <w:r>
              <w:t xml:space="preserve"> model.</w:t>
            </w:r>
          </w:p>
        </w:tc>
      </w:tr>
      <w:tr w:rsidR="0034060E" w14:paraId="00BB3951" w14:textId="77777777" w:rsidTr="00453A36">
        <w:tc>
          <w:tcPr>
            <w:tcW w:w="8771" w:type="dxa"/>
            <w:tcBorders>
              <w:top w:val="nil"/>
              <w:left w:val="nil"/>
              <w:bottom w:val="single" w:sz="6" w:space="0" w:color="78A22F"/>
              <w:right w:val="nil"/>
            </w:tcBorders>
          </w:tcPr>
          <w:p w14:paraId="00BB3950" w14:textId="77777777" w:rsidR="0034060E" w:rsidRDefault="0034060E">
            <w:pPr>
              <w:pStyle w:val="Figurespace"/>
            </w:pPr>
          </w:p>
        </w:tc>
      </w:tr>
      <w:tr w:rsidR="0034060E" w14:paraId="00BB3953" w14:textId="77777777" w:rsidTr="00453A36">
        <w:tc>
          <w:tcPr>
            <w:tcW w:w="8771" w:type="dxa"/>
            <w:tcBorders>
              <w:top w:val="single" w:sz="6" w:space="0" w:color="78A22F"/>
              <w:left w:val="nil"/>
              <w:bottom w:val="nil"/>
              <w:right w:val="nil"/>
            </w:tcBorders>
            <w:hideMark/>
          </w:tcPr>
          <w:p w14:paraId="00BB3952" w14:textId="116F2876" w:rsidR="0034060E" w:rsidRDefault="0034060E">
            <w:pPr>
              <w:pStyle w:val="BoxSpaceBelow"/>
            </w:pPr>
          </w:p>
        </w:tc>
      </w:tr>
    </w:tbl>
    <w:p w14:paraId="00BB3954" w14:textId="77777777" w:rsidR="0034060E" w:rsidRDefault="0034060E" w:rsidP="00453A36">
      <w:pPr>
        <w:pStyle w:val="BodyText"/>
        <w:rPr>
          <w:sz w:val="26"/>
        </w:rPr>
      </w:pPr>
      <w:r>
        <w:t>The variables shocked and the associated endogenous variable used in the dynamic modelling of scenario 1 are shown in table </w:t>
      </w:r>
      <w:proofErr w:type="spellStart"/>
      <w:r>
        <w:t>C.2</w:t>
      </w:r>
      <w:proofErr w:type="spellEnd"/>
      <w:r>
        <w:t xml:space="preserve">. </w:t>
      </w:r>
    </w:p>
    <w:p w14:paraId="00BB3955" w14:textId="707003E4"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4060E" w14:paraId="00BB3957" w14:textId="77777777" w:rsidTr="00453A36">
        <w:tc>
          <w:tcPr>
            <w:tcW w:w="8771" w:type="dxa"/>
            <w:tcBorders>
              <w:top w:val="single" w:sz="6" w:space="0" w:color="78A22F"/>
              <w:left w:val="nil"/>
              <w:bottom w:val="nil"/>
              <w:right w:val="nil"/>
            </w:tcBorders>
            <w:hideMark/>
          </w:tcPr>
          <w:p w14:paraId="00BB3956" w14:textId="0685E6DA" w:rsidR="0034060E" w:rsidRDefault="0034060E">
            <w:pPr>
              <w:pStyle w:val="TableTitle"/>
            </w:pPr>
            <w:r>
              <w:rPr>
                <w:b w:val="0"/>
              </w:rPr>
              <w:t xml:space="preserve">Table </w:t>
            </w:r>
            <w:proofErr w:type="spellStart"/>
            <w:r>
              <w:rPr>
                <w:b w:val="0"/>
              </w:rPr>
              <w:t>C.</w:t>
            </w:r>
            <w:r>
              <w:rPr>
                <w:b w:val="0"/>
                <w:noProof/>
              </w:rPr>
              <w:t>2</w:t>
            </w:r>
            <w:proofErr w:type="spellEnd"/>
            <w:r>
              <w:tab/>
              <w:t>Modelling of scenario 1</w:t>
            </w:r>
          </w:p>
        </w:tc>
      </w:tr>
      <w:tr w:rsidR="0034060E" w14:paraId="00BB3966" w14:textId="77777777" w:rsidTr="00453A36">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2829"/>
              <w:gridCol w:w="2830"/>
              <w:gridCol w:w="2828"/>
            </w:tblGrid>
            <w:tr w:rsidR="0034060E" w14:paraId="00BB395B" w14:textId="77777777">
              <w:tc>
                <w:tcPr>
                  <w:tcW w:w="1667" w:type="pct"/>
                  <w:tcBorders>
                    <w:top w:val="single" w:sz="6" w:space="0" w:color="BFBFBF"/>
                    <w:left w:val="nil"/>
                    <w:bottom w:val="single" w:sz="6" w:space="0" w:color="BFBFBF"/>
                    <w:right w:val="nil"/>
                  </w:tcBorders>
                  <w:hideMark/>
                </w:tcPr>
                <w:p w14:paraId="00BB3958" w14:textId="77777777" w:rsidR="0034060E" w:rsidRDefault="0034060E">
                  <w:pPr>
                    <w:pStyle w:val="TableColumnHeading"/>
                    <w:jc w:val="left"/>
                  </w:pPr>
                  <w:r>
                    <w:t>Rationale</w:t>
                  </w:r>
                </w:p>
              </w:tc>
              <w:tc>
                <w:tcPr>
                  <w:tcW w:w="1667" w:type="pct"/>
                  <w:tcBorders>
                    <w:top w:val="single" w:sz="6" w:space="0" w:color="BFBFBF"/>
                    <w:left w:val="nil"/>
                    <w:bottom w:val="single" w:sz="6" w:space="0" w:color="BFBFBF"/>
                    <w:right w:val="nil"/>
                  </w:tcBorders>
                  <w:hideMark/>
                </w:tcPr>
                <w:p w14:paraId="00BB3959" w14:textId="77777777" w:rsidR="0034060E" w:rsidRDefault="0034060E" w:rsidP="00560BAA">
                  <w:pPr>
                    <w:pStyle w:val="TableColumnHeading"/>
                    <w:jc w:val="left"/>
                  </w:pPr>
                  <w:r>
                    <w:t>Exogenous variable</w:t>
                  </w:r>
                </w:p>
              </w:tc>
              <w:tc>
                <w:tcPr>
                  <w:tcW w:w="1666" w:type="pct"/>
                  <w:tcBorders>
                    <w:top w:val="single" w:sz="6" w:space="0" w:color="BFBFBF"/>
                    <w:left w:val="nil"/>
                    <w:bottom w:val="single" w:sz="6" w:space="0" w:color="BFBFBF"/>
                    <w:right w:val="nil"/>
                  </w:tcBorders>
                  <w:hideMark/>
                </w:tcPr>
                <w:p w14:paraId="00BB395A" w14:textId="77777777" w:rsidR="0034060E" w:rsidRDefault="0034060E" w:rsidP="00560BAA">
                  <w:pPr>
                    <w:pStyle w:val="TableColumnHeading"/>
                    <w:ind w:right="28"/>
                    <w:jc w:val="left"/>
                  </w:pPr>
                  <w:r>
                    <w:t>Endogenous variable</w:t>
                  </w:r>
                </w:p>
              </w:tc>
            </w:tr>
            <w:tr w:rsidR="0034060E" w14:paraId="00BB3960" w14:textId="77777777" w:rsidTr="00453A36">
              <w:tc>
                <w:tcPr>
                  <w:tcW w:w="1667" w:type="pct"/>
                  <w:tcBorders>
                    <w:top w:val="single" w:sz="6" w:space="0" w:color="BFBFBF"/>
                    <w:left w:val="nil"/>
                    <w:bottom w:val="nil"/>
                    <w:right w:val="nil"/>
                  </w:tcBorders>
                </w:tcPr>
                <w:p w14:paraId="00BB395C" w14:textId="77777777" w:rsidR="0034060E" w:rsidRDefault="0034060E" w:rsidP="00560BAA">
                  <w:pPr>
                    <w:pStyle w:val="TableUnitsRow"/>
                    <w:jc w:val="left"/>
                    <w:rPr>
                      <w:sz w:val="20"/>
                    </w:rPr>
                  </w:pPr>
                  <w:r>
                    <w:t>Non</w:t>
                  </w:r>
                  <w:r>
                    <w:noBreakHyphen/>
                    <w:t>award wages are determined by supply and demand.</w:t>
                  </w:r>
                </w:p>
                <w:p w14:paraId="00BB395D" w14:textId="77777777" w:rsidR="0034060E" w:rsidRDefault="0034060E">
                  <w:pPr>
                    <w:pStyle w:val="TableUnitsRow"/>
                    <w:jc w:val="left"/>
                  </w:pPr>
                  <w:r>
                    <w:t>Unemployment is held fixed.</w:t>
                  </w:r>
                </w:p>
              </w:tc>
              <w:tc>
                <w:tcPr>
                  <w:tcW w:w="1667" w:type="pct"/>
                  <w:tcBorders>
                    <w:top w:val="single" w:sz="6" w:space="0" w:color="BFBFBF"/>
                    <w:left w:val="nil"/>
                    <w:bottom w:val="nil"/>
                    <w:right w:val="nil"/>
                  </w:tcBorders>
                </w:tcPr>
                <w:p w14:paraId="00BB395E" w14:textId="77777777" w:rsidR="0034060E" w:rsidRDefault="0034060E" w:rsidP="00560BAA">
                  <w:pPr>
                    <w:pStyle w:val="TableUnitsRow"/>
                    <w:jc w:val="left"/>
                  </w:pPr>
                  <w:r>
                    <w:t>Percentage point change in the unemployment rate for non</w:t>
                  </w:r>
                  <w:r>
                    <w:noBreakHyphen/>
                    <w:t>award wage workers in each state and occupation</w:t>
                  </w:r>
                  <w:r>
                    <w:br/>
                    <w:t>(</w:t>
                  </w:r>
                  <w:proofErr w:type="spellStart"/>
                  <w:r>
                    <w:t>d_unro</w:t>
                  </w:r>
                  <w:proofErr w:type="spellEnd"/>
                  <w:r>
                    <w:t>)</w:t>
                  </w:r>
                </w:p>
              </w:tc>
              <w:tc>
                <w:tcPr>
                  <w:tcW w:w="1666" w:type="pct"/>
                  <w:tcBorders>
                    <w:top w:val="single" w:sz="6" w:space="0" w:color="BFBFBF"/>
                    <w:left w:val="nil"/>
                    <w:bottom w:val="nil"/>
                    <w:right w:val="nil"/>
                  </w:tcBorders>
                </w:tcPr>
                <w:p w14:paraId="00BB395F" w14:textId="77777777" w:rsidR="0034060E" w:rsidRDefault="0034060E" w:rsidP="00560BAA">
                  <w:pPr>
                    <w:pStyle w:val="TableUnitsRow"/>
                    <w:ind w:right="28"/>
                    <w:jc w:val="left"/>
                  </w:pPr>
                  <w:r>
                    <w:t>Real non</w:t>
                  </w:r>
                  <w:r>
                    <w:noBreakHyphen/>
                    <w:t>award wages in each state and occupation</w:t>
                  </w:r>
                  <w:r>
                    <w:br/>
                    <w:t>(</w:t>
                  </w:r>
                  <w:proofErr w:type="spellStart"/>
                  <w:r>
                    <w:t>rwage_i</w:t>
                  </w:r>
                  <w:proofErr w:type="spellEnd"/>
                  <w:r>
                    <w:t>)</w:t>
                  </w:r>
                </w:p>
              </w:tc>
            </w:tr>
            <w:tr w:rsidR="0034060E" w14:paraId="00BB3964" w14:textId="77777777" w:rsidTr="00453A36">
              <w:tc>
                <w:tcPr>
                  <w:tcW w:w="1667" w:type="pct"/>
                  <w:tcBorders>
                    <w:top w:val="nil"/>
                    <w:left w:val="nil"/>
                    <w:bottom w:val="single" w:sz="6" w:space="0" w:color="BFBFBF"/>
                    <w:right w:val="nil"/>
                  </w:tcBorders>
                </w:tcPr>
                <w:p w14:paraId="00BB3961" w14:textId="77777777" w:rsidR="0034060E" w:rsidRDefault="0034060E" w:rsidP="00560BAA">
                  <w:pPr>
                    <w:pStyle w:val="TableBodyText"/>
                    <w:jc w:val="left"/>
                  </w:pPr>
                  <w:r>
                    <w:t>Expert panel sets award wage growth in line with non</w:t>
                  </w:r>
                  <w:r>
                    <w:noBreakHyphen/>
                    <w:t>award wages. This is achieved in the modelling by holding unemployment of award wage workers fixed.</w:t>
                  </w:r>
                </w:p>
              </w:tc>
              <w:tc>
                <w:tcPr>
                  <w:tcW w:w="1667" w:type="pct"/>
                  <w:tcBorders>
                    <w:top w:val="nil"/>
                    <w:left w:val="nil"/>
                    <w:bottom w:val="single" w:sz="6" w:space="0" w:color="BFBFBF"/>
                    <w:right w:val="nil"/>
                  </w:tcBorders>
                </w:tcPr>
                <w:p w14:paraId="00BB3962" w14:textId="77777777" w:rsidR="0034060E" w:rsidRDefault="0034060E" w:rsidP="00560BAA">
                  <w:pPr>
                    <w:pStyle w:val="TableBodyText"/>
                    <w:jc w:val="left"/>
                  </w:pPr>
                  <w:r>
                    <w:t>Percentage point change in the unemployment rate for award</w:t>
                  </w:r>
                  <w:r>
                    <w:noBreakHyphen/>
                    <w:t>reliant workers in each state and occupation</w:t>
                  </w:r>
                  <w:r>
                    <w:br/>
                    <w:t>(</w:t>
                  </w:r>
                  <w:proofErr w:type="spellStart"/>
                  <w:r>
                    <w:t>d_unro</w:t>
                  </w:r>
                  <w:proofErr w:type="spellEnd"/>
                  <w:r>
                    <w:t>)</w:t>
                  </w:r>
                </w:p>
              </w:tc>
              <w:tc>
                <w:tcPr>
                  <w:tcW w:w="1666" w:type="pct"/>
                  <w:tcBorders>
                    <w:top w:val="nil"/>
                    <w:left w:val="nil"/>
                    <w:bottom w:val="single" w:sz="6" w:space="0" w:color="BFBFBF"/>
                    <w:right w:val="nil"/>
                  </w:tcBorders>
                </w:tcPr>
                <w:p w14:paraId="00BB3963" w14:textId="77777777" w:rsidR="0034060E" w:rsidRDefault="0034060E" w:rsidP="00560BAA">
                  <w:pPr>
                    <w:pStyle w:val="TableBodyText"/>
                    <w:ind w:right="28"/>
                    <w:jc w:val="left"/>
                  </w:pPr>
                  <w:r>
                    <w:t>Real award wages in each state and occupation</w:t>
                  </w:r>
                  <w:r>
                    <w:br/>
                    <w:t>(</w:t>
                  </w:r>
                  <w:proofErr w:type="spellStart"/>
                  <w:r>
                    <w:t>rwage_i</w:t>
                  </w:r>
                  <w:proofErr w:type="spellEnd"/>
                  <w:r>
                    <w:t>)</w:t>
                  </w:r>
                </w:p>
              </w:tc>
            </w:tr>
          </w:tbl>
          <w:p w14:paraId="00BB3965" w14:textId="77777777" w:rsidR="0034060E" w:rsidRDefault="0034060E">
            <w:pPr>
              <w:pStyle w:val="Box"/>
            </w:pPr>
          </w:p>
        </w:tc>
      </w:tr>
      <w:tr w:rsidR="0034060E" w14:paraId="00BB3968" w14:textId="77777777" w:rsidTr="00453A36">
        <w:trPr>
          <w:cantSplit/>
        </w:trPr>
        <w:tc>
          <w:tcPr>
            <w:tcW w:w="8771" w:type="dxa"/>
            <w:tcBorders>
              <w:top w:val="nil"/>
              <w:left w:val="nil"/>
              <w:bottom w:val="single" w:sz="6" w:space="0" w:color="78A22F"/>
              <w:right w:val="nil"/>
            </w:tcBorders>
          </w:tcPr>
          <w:p w14:paraId="00BB3967" w14:textId="77777777" w:rsidR="0034060E" w:rsidRDefault="0034060E">
            <w:pPr>
              <w:pStyle w:val="Box"/>
              <w:spacing w:before="0" w:line="120" w:lineRule="exact"/>
            </w:pPr>
          </w:p>
        </w:tc>
      </w:tr>
      <w:tr w:rsidR="0034060E" w14:paraId="00BB396A" w14:textId="77777777" w:rsidTr="00453A36">
        <w:tc>
          <w:tcPr>
            <w:tcW w:w="8771" w:type="dxa"/>
            <w:tcBorders>
              <w:top w:val="single" w:sz="6" w:space="0" w:color="78A22F"/>
              <w:left w:val="nil"/>
              <w:bottom w:val="nil"/>
              <w:right w:val="nil"/>
            </w:tcBorders>
            <w:hideMark/>
          </w:tcPr>
          <w:p w14:paraId="00BB3969" w14:textId="1452378B" w:rsidR="0034060E" w:rsidRDefault="0034060E">
            <w:pPr>
              <w:pStyle w:val="BoxSpaceBelow"/>
            </w:pPr>
          </w:p>
        </w:tc>
      </w:tr>
    </w:tbl>
    <w:p w14:paraId="00BB396B" w14:textId="6F54F991" w:rsidR="0034060E" w:rsidRDefault="0034060E" w:rsidP="00453A36">
      <w:pPr>
        <w:pStyle w:val="Heading2"/>
      </w:pPr>
      <w:proofErr w:type="spellStart"/>
      <w:r>
        <w:lastRenderedPageBreak/>
        <w:t>C.</w:t>
      </w:r>
      <w:r>
        <w:rPr>
          <w:noProof/>
        </w:rPr>
        <w:t>2</w:t>
      </w:r>
      <w:proofErr w:type="spellEnd"/>
      <w:r>
        <w:tab/>
        <w:t>Scenario 2: Moderate growth in minimum wages</w:t>
      </w:r>
    </w:p>
    <w:p w14:paraId="00BB396C" w14:textId="77777777" w:rsidR="0034060E" w:rsidRDefault="0034060E" w:rsidP="00453A36">
      <w:pPr>
        <w:pStyle w:val="BodyText"/>
      </w:pPr>
      <w:r>
        <w:t xml:space="preserve">In the moderate wage growth scenario, it is assumed that the real growth in award wages is one percentage point lower than in scenario 1. This illustrates the possible effects of moderating the growth in award wages on employment, incomes and production. It is assumed that award wages still grow in real terms, thereby improving the living standards of those on award wages, but that the extent of real growth is moderated. </w:t>
      </w:r>
    </w:p>
    <w:p w14:paraId="00BB396D" w14:textId="77777777" w:rsidR="0034060E" w:rsidRDefault="0034060E" w:rsidP="00453A36">
      <w:pPr>
        <w:pStyle w:val="BodyText"/>
      </w:pPr>
      <w:r>
        <w:t>In recent years, Australia’s national minimum wage has remained relatively stable as a proportion of the national median wage (figure </w:t>
      </w:r>
      <w:proofErr w:type="spellStart"/>
      <w:r>
        <w:t>C.3</w:t>
      </w:r>
      <w:proofErr w:type="spellEnd"/>
      <w:r>
        <w:t>). This is projected to continue in scenario 1. In the moderate wage growth scenario, it is assumed that the minimum wage declines as a proportion of the median wage for the five years between 2017</w:t>
      </w:r>
      <w:r>
        <w:noBreakHyphen/>
        <w:t>18 and 2021</w:t>
      </w:r>
      <w:r>
        <w:noBreakHyphen/>
        <w:t>22, before returning to the trend projected in scenario 1 from 2021</w:t>
      </w:r>
      <w:r>
        <w:noBreakHyphen/>
        <w:t xml:space="preserve">22. </w:t>
      </w:r>
    </w:p>
    <w:p w14:paraId="00BB396E" w14:textId="312990C3" w:rsidR="0034060E" w:rsidRDefault="0034060E" w:rsidP="00453A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4060E" w14:paraId="00BB3970" w14:textId="77777777" w:rsidTr="00453A36">
        <w:tc>
          <w:tcPr>
            <w:tcW w:w="8771" w:type="dxa"/>
            <w:tcBorders>
              <w:top w:val="single" w:sz="6" w:space="0" w:color="78A22F"/>
              <w:left w:val="nil"/>
              <w:bottom w:val="nil"/>
              <w:right w:val="nil"/>
            </w:tcBorders>
            <w:hideMark/>
          </w:tcPr>
          <w:p w14:paraId="00BB396F" w14:textId="2B359609" w:rsidR="0034060E" w:rsidRDefault="0034060E" w:rsidP="00453A36">
            <w:pPr>
              <w:pStyle w:val="FigureTitle"/>
            </w:pPr>
            <w:r>
              <w:rPr>
                <w:b w:val="0"/>
              </w:rPr>
              <w:t xml:space="preserve">Figure </w:t>
            </w:r>
            <w:proofErr w:type="spellStart"/>
            <w:r>
              <w:rPr>
                <w:b w:val="0"/>
              </w:rPr>
              <w:t>C.</w:t>
            </w:r>
            <w:r>
              <w:rPr>
                <w:b w:val="0"/>
                <w:noProof/>
              </w:rPr>
              <w:t>3</w:t>
            </w:r>
            <w:proofErr w:type="spellEnd"/>
            <w:r>
              <w:tab/>
              <w:t>Trends in minimum wage as a proportion of median wage, Australia</w:t>
            </w:r>
            <w:r w:rsidRPr="00691AD1">
              <w:rPr>
                <w:rStyle w:val="NoteLabel"/>
                <w:b/>
              </w:rPr>
              <w:t>a</w:t>
            </w:r>
          </w:p>
        </w:tc>
      </w:tr>
      <w:tr w:rsidR="0034060E" w14:paraId="00BB3974" w14:textId="77777777" w:rsidTr="00453A36">
        <w:tc>
          <w:tcPr>
            <w:tcW w:w="8771" w:type="dxa"/>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8"/>
            </w:tblGrid>
            <w:tr w:rsidR="0034060E" w14:paraId="00BB3972" w14:textId="77777777" w:rsidTr="00453A36">
              <w:trPr>
                <w:jc w:val="center"/>
              </w:trPr>
              <w:tc>
                <w:tcPr>
                  <w:tcW w:w="8508" w:type="dxa"/>
                  <w:tcBorders>
                    <w:top w:val="nil"/>
                    <w:left w:val="nil"/>
                    <w:bottom w:val="nil"/>
                    <w:right w:val="nil"/>
                  </w:tcBorders>
                  <w:hideMark/>
                </w:tcPr>
                <w:p w14:paraId="00BB3971" w14:textId="77777777" w:rsidR="0034060E" w:rsidRDefault="0034060E">
                  <w:pPr>
                    <w:pStyle w:val="Figure"/>
                    <w:spacing w:before="60" w:after="60"/>
                  </w:pPr>
                  <w:r w:rsidRPr="00E66ECC">
                    <w:rPr>
                      <w:noProof/>
                    </w:rPr>
                    <w:drawing>
                      <wp:inline distT="0" distB="0" distL="0" distR="0" wp14:anchorId="00BB39DE" wp14:editId="74E79758">
                        <wp:extent cx="5400000" cy="2880000"/>
                        <wp:effectExtent l="0" t="0" r="0" b="0"/>
                        <wp:docPr id="12" name="Chart 12" descr="Figure C.3 Trends in minimum wage as a proportion of median wage, Australia. This figure shows that Australia’s national minimum wage has remained relatively stable as a proportion of the national median wage, at least from around 2013-14. This is projected to continue in scenario 1. In the moderate wage growth scenario, it is assumed that the minimum wage declines as a proportion of the median wage for five years, between 2017-18 and 2021-22, before returning to the trend projected in scenario 1 from 202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tc>
            </w:tr>
          </w:tbl>
          <w:p w14:paraId="00BB3973" w14:textId="77777777" w:rsidR="0034060E" w:rsidRDefault="0034060E">
            <w:pPr>
              <w:pStyle w:val="Figure"/>
            </w:pPr>
          </w:p>
        </w:tc>
      </w:tr>
      <w:tr w:rsidR="0034060E" w14:paraId="00BB3976" w14:textId="77777777" w:rsidTr="00453A36">
        <w:tc>
          <w:tcPr>
            <w:tcW w:w="8771" w:type="dxa"/>
            <w:tcBorders>
              <w:top w:val="nil"/>
              <w:left w:val="nil"/>
              <w:bottom w:val="nil"/>
              <w:right w:val="nil"/>
            </w:tcBorders>
            <w:hideMark/>
          </w:tcPr>
          <w:p w14:paraId="00BB3975" w14:textId="77777777" w:rsidR="0034060E" w:rsidRDefault="0034060E">
            <w:pPr>
              <w:pStyle w:val="Note"/>
            </w:pPr>
            <w:r>
              <w:rPr>
                <w:rStyle w:val="NoteLabel"/>
              </w:rPr>
              <w:t>a</w:t>
            </w:r>
            <w:r>
              <w:t xml:space="preserve"> Based on adult national minimum wage to the median of full time adult ordinary weekly cash earnings.</w:t>
            </w:r>
          </w:p>
        </w:tc>
      </w:tr>
      <w:tr w:rsidR="0034060E" w14:paraId="00BB3978" w14:textId="77777777" w:rsidTr="00453A36">
        <w:tc>
          <w:tcPr>
            <w:tcW w:w="8771" w:type="dxa"/>
            <w:tcBorders>
              <w:top w:val="nil"/>
              <w:left w:val="nil"/>
              <w:bottom w:val="nil"/>
              <w:right w:val="nil"/>
            </w:tcBorders>
            <w:hideMark/>
          </w:tcPr>
          <w:p w14:paraId="00BB3977" w14:textId="77777777" w:rsidR="0034060E" w:rsidRDefault="0034060E">
            <w:pPr>
              <w:pStyle w:val="Source"/>
            </w:pPr>
            <w:r>
              <w:rPr>
                <w:i/>
              </w:rPr>
              <w:t>Sources</w:t>
            </w:r>
            <w:r>
              <w:t xml:space="preserve">: OECD Stat database; Productivity Commission estimates based on the </w:t>
            </w:r>
            <w:proofErr w:type="spellStart"/>
            <w:r>
              <w:t>VUMR</w:t>
            </w:r>
            <w:r>
              <w:noBreakHyphen/>
              <w:t>WR</w:t>
            </w:r>
            <w:proofErr w:type="spellEnd"/>
            <w:r>
              <w:t xml:space="preserve"> model.</w:t>
            </w:r>
          </w:p>
        </w:tc>
      </w:tr>
      <w:tr w:rsidR="0034060E" w14:paraId="00BB397A" w14:textId="77777777" w:rsidTr="00453A36">
        <w:tc>
          <w:tcPr>
            <w:tcW w:w="8771" w:type="dxa"/>
            <w:tcBorders>
              <w:top w:val="nil"/>
              <w:left w:val="nil"/>
              <w:bottom w:val="single" w:sz="6" w:space="0" w:color="78A22F"/>
              <w:right w:val="nil"/>
            </w:tcBorders>
          </w:tcPr>
          <w:p w14:paraId="00BB3979" w14:textId="77777777" w:rsidR="0034060E" w:rsidRDefault="0034060E">
            <w:pPr>
              <w:pStyle w:val="Figurespace"/>
            </w:pPr>
          </w:p>
        </w:tc>
      </w:tr>
      <w:tr w:rsidR="0034060E" w14:paraId="00BB397C" w14:textId="77777777" w:rsidTr="00453A36">
        <w:tc>
          <w:tcPr>
            <w:tcW w:w="8771" w:type="dxa"/>
            <w:tcBorders>
              <w:top w:val="single" w:sz="6" w:space="0" w:color="78A22F"/>
              <w:left w:val="nil"/>
              <w:bottom w:val="nil"/>
              <w:right w:val="nil"/>
            </w:tcBorders>
            <w:hideMark/>
          </w:tcPr>
          <w:p w14:paraId="00BB397B" w14:textId="22A34456" w:rsidR="0034060E" w:rsidRDefault="0034060E">
            <w:pPr>
              <w:pStyle w:val="BoxSpaceBelow"/>
            </w:pPr>
          </w:p>
        </w:tc>
      </w:tr>
    </w:tbl>
    <w:p w14:paraId="00BB397D" w14:textId="77777777" w:rsidR="0034060E" w:rsidRDefault="0034060E" w:rsidP="00453A36">
      <w:pPr>
        <w:pStyle w:val="BodyText"/>
      </w:pPr>
      <w:r>
        <w:t>The variables shocked and the associated endogenous variable used in the dynamic modelling of the minimum wage scenario is shown in table </w:t>
      </w:r>
      <w:proofErr w:type="spellStart"/>
      <w:r>
        <w:t>C.3</w:t>
      </w:r>
      <w:proofErr w:type="spellEnd"/>
      <w:r>
        <w:t>.</w:t>
      </w:r>
    </w:p>
    <w:p w14:paraId="00BB397E" w14:textId="77777777" w:rsidR="0034060E" w:rsidRDefault="0034060E" w:rsidP="00453A36">
      <w:pPr>
        <w:pStyle w:val="BodyText"/>
        <w:rPr>
          <w:sz w:val="26"/>
        </w:rPr>
      </w:pPr>
      <w:r>
        <w:t>In the moderate wage growth scenario, non</w:t>
      </w:r>
      <w:r>
        <w:noBreakHyphen/>
        <w:t>award wages are endogenous throughout the simulation. But in the five years from 2017</w:t>
      </w:r>
      <w:r>
        <w:noBreakHyphen/>
        <w:t>18 to 2021</w:t>
      </w:r>
      <w:r>
        <w:noBreakHyphen/>
        <w:t>22, award wages are assumed to grow in real terms by one percentage point less than in scenario 1. From 2021</w:t>
      </w:r>
      <w:r>
        <w:noBreakHyphen/>
        <w:t xml:space="preserve">22, it is assumed that the expert panel sets award wage growth equivalent to the growth of </w:t>
      </w:r>
      <w:r>
        <w:lastRenderedPageBreak/>
        <w:t>non</w:t>
      </w:r>
      <w:r>
        <w:noBreakHyphen/>
        <w:t>award wages. This is achieved in the modelling by allowing award wages to grow in line with average wages.</w:t>
      </w:r>
      <w:r w:rsidRPr="006C3D1E">
        <w:rPr>
          <w:rStyle w:val="FootnoteReference"/>
        </w:rPr>
        <w:t xml:space="preserve"> </w:t>
      </w:r>
      <w:r>
        <w:rPr>
          <w:rStyle w:val="FootnoteReference"/>
        </w:rPr>
        <w:footnoteReference w:id="9"/>
      </w:r>
    </w:p>
    <w:p w14:paraId="00BB397F" w14:textId="6C815342" w:rsidR="0034060E" w:rsidRDefault="0034060E" w:rsidP="00453A3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4060E" w14:paraId="00BB3981" w14:textId="77777777" w:rsidTr="00453A36">
        <w:tc>
          <w:tcPr>
            <w:tcW w:w="8771" w:type="dxa"/>
            <w:tcBorders>
              <w:top w:val="single" w:sz="6" w:space="0" w:color="78A22F"/>
              <w:left w:val="nil"/>
              <w:bottom w:val="nil"/>
              <w:right w:val="nil"/>
            </w:tcBorders>
            <w:hideMark/>
          </w:tcPr>
          <w:p w14:paraId="00BB3980" w14:textId="545DC6D1" w:rsidR="0034060E" w:rsidRDefault="0034060E">
            <w:pPr>
              <w:pStyle w:val="TableTitle"/>
            </w:pPr>
            <w:r>
              <w:rPr>
                <w:b w:val="0"/>
              </w:rPr>
              <w:t xml:space="preserve">Table </w:t>
            </w:r>
            <w:proofErr w:type="spellStart"/>
            <w:r>
              <w:rPr>
                <w:b w:val="0"/>
              </w:rPr>
              <w:t>C.</w:t>
            </w:r>
            <w:r>
              <w:rPr>
                <w:b w:val="0"/>
                <w:noProof/>
              </w:rPr>
              <w:t>3</w:t>
            </w:r>
            <w:proofErr w:type="spellEnd"/>
            <w:r>
              <w:tab/>
              <w:t>Modelling of the moderate wage growth scenario</w:t>
            </w:r>
          </w:p>
        </w:tc>
      </w:tr>
      <w:tr w:rsidR="0034060E" w14:paraId="00BB39A2" w14:textId="77777777" w:rsidTr="00453A36">
        <w:trPr>
          <w:cantSplit/>
        </w:trPr>
        <w:tc>
          <w:tcPr>
            <w:tcW w:w="8771" w:type="dxa"/>
            <w:tcBorders>
              <w:top w:val="nil"/>
              <w:left w:val="nil"/>
              <w:bottom w:val="nil"/>
              <w:right w:val="nil"/>
            </w:tcBorders>
            <w:hideMark/>
          </w:tcPr>
          <w:tbl>
            <w:tblPr>
              <w:tblW w:w="0" w:type="auto"/>
              <w:tblCellMar>
                <w:top w:w="28" w:type="dxa"/>
                <w:left w:w="0" w:type="dxa"/>
                <w:right w:w="0" w:type="dxa"/>
              </w:tblCellMar>
              <w:tblLook w:val="04A0" w:firstRow="1" w:lastRow="0" w:firstColumn="1" w:lastColumn="0" w:noHBand="0" w:noVBand="1"/>
            </w:tblPr>
            <w:tblGrid>
              <w:gridCol w:w="3347"/>
              <w:gridCol w:w="2151"/>
              <w:gridCol w:w="1949"/>
              <w:gridCol w:w="1040"/>
            </w:tblGrid>
            <w:tr w:rsidR="0034060E" w14:paraId="00BB3986" w14:textId="77777777">
              <w:tc>
                <w:tcPr>
                  <w:tcW w:w="0" w:type="auto"/>
                  <w:tcBorders>
                    <w:top w:val="single" w:sz="6" w:space="0" w:color="BFBFBF"/>
                    <w:left w:val="nil"/>
                    <w:bottom w:val="single" w:sz="6" w:space="0" w:color="BFBFBF"/>
                    <w:right w:val="nil"/>
                  </w:tcBorders>
                  <w:hideMark/>
                </w:tcPr>
                <w:p w14:paraId="00BB3982" w14:textId="77777777" w:rsidR="0034060E" w:rsidRDefault="0034060E">
                  <w:pPr>
                    <w:pStyle w:val="TableColumnHeading"/>
                    <w:jc w:val="left"/>
                  </w:pPr>
                  <w:r>
                    <w:t>Rationale</w:t>
                  </w:r>
                </w:p>
              </w:tc>
              <w:tc>
                <w:tcPr>
                  <w:tcW w:w="0" w:type="auto"/>
                  <w:tcBorders>
                    <w:top w:val="single" w:sz="6" w:space="0" w:color="BFBFBF"/>
                    <w:left w:val="nil"/>
                    <w:bottom w:val="single" w:sz="6" w:space="0" w:color="BFBFBF"/>
                    <w:right w:val="nil"/>
                  </w:tcBorders>
                  <w:hideMark/>
                </w:tcPr>
                <w:p w14:paraId="00BB3983" w14:textId="77777777" w:rsidR="0034060E" w:rsidRDefault="0034060E">
                  <w:pPr>
                    <w:pStyle w:val="TableColumnHeading"/>
                    <w:jc w:val="left"/>
                  </w:pPr>
                  <w:r>
                    <w:t>Exogenous variable</w:t>
                  </w:r>
                </w:p>
              </w:tc>
              <w:tc>
                <w:tcPr>
                  <w:tcW w:w="0" w:type="auto"/>
                  <w:tcBorders>
                    <w:top w:val="single" w:sz="6" w:space="0" w:color="BFBFBF"/>
                    <w:left w:val="nil"/>
                    <w:bottom w:val="single" w:sz="6" w:space="0" w:color="BFBFBF"/>
                    <w:right w:val="nil"/>
                  </w:tcBorders>
                  <w:hideMark/>
                </w:tcPr>
                <w:p w14:paraId="00BB3984" w14:textId="77777777" w:rsidR="0034060E" w:rsidRDefault="0034060E">
                  <w:pPr>
                    <w:pStyle w:val="TableColumnHeading"/>
                    <w:ind w:right="28"/>
                    <w:jc w:val="left"/>
                  </w:pPr>
                  <w:r>
                    <w:t>Endogenous variable</w:t>
                  </w:r>
                </w:p>
              </w:tc>
              <w:tc>
                <w:tcPr>
                  <w:tcW w:w="0" w:type="auto"/>
                  <w:tcBorders>
                    <w:top w:val="single" w:sz="6" w:space="0" w:color="BFBFBF"/>
                    <w:left w:val="nil"/>
                    <w:bottom w:val="single" w:sz="6" w:space="0" w:color="BFBFBF"/>
                    <w:right w:val="nil"/>
                  </w:tcBorders>
                  <w:hideMark/>
                </w:tcPr>
                <w:p w14:paraId="00BB3985" w14:textId="77777777" w:rsidR="0034060E" w:rsidRDefault="0034060E">
                  <w:pPr>
                    <w:pStyle w:val="TableColumnHeading"/>
                    <w:ind w:right="28"/>
                  </w:pPr>
                  <w:r>
                    <w:t>Shock</w:t>
                  </w:r>
                </w:p>
              </w:tc>
            </w:tr>
            <w:tr w:rsidR="0034060E" w14:paraId="00BB398C" w14:textId="77777777" w:rsidTr="00453A36">
              <w:tc>
                <w:tcPr>
                  <w:tcW w:w="0" w:type="auto"/>
                  <w:tcBorders>
                    <w:top w:val="single" w:sz="6" w:space="0" w:color="BFBFBF"/>
                    <w:left w:val="nil"/>
                    <w:bottom w:val="nil"/>
                    <w:right w:val="nil"/>
                  </w:tcBorders>
                </w:tcPr>
                <w:p w14:paraId="00BB3988" w14:textId="0DC37B85" w:rsidR="0034060E" w:rsidRPr="00C1607E" w:rsidRDefault="0034060E" w:rsidP="00560BAA">
                  <w:pPr>
                    <w:pStyle w:val="TableBodyText"/>
                    <w:spacing w:before="80"/>
                    <w:jc w:val="left"/>
                    <w:rPr>
                      <w:sz w:val="20"/>
                    </w:rPr>
                  </w:pPr>
                  <w:r>
                    <w:t>Real non</w:t>
                  </w:r>
                  <w:r>
                    <w:noBreakHyphen/>
                    <w:t xml:space="preserve">award wages are endogenous and therefore respond to changes in demand and </w:t>
                  </w:r>
                  <w:proofErr w:type="spellStart"/>
                  <w:r>
                    <w:t>supply.This</w:t>
                  </w:r>
                  <w:proofErr w:type="spellEnd"/>
                  <w:r>
                    <w:t xml:space="preserve"> is the case throughout the scenario.</w:t>
                  </w:r>
                </w:p>
              </w:tc>
              <w:tc>
                <w:tcPr>
                  <w:tcW w:w="0" w:type="auto"/>
                  <w:tcBorders>
                    <w:top w:val="single" w:sz="6" w:space="0" w:color="BFBFBF"/>
                    <w:left w:val="nil"/>
                    <w:bottom w:val="nil"/>
                    <w:right w:val="nil"/>
                  </w:tcBorders>
                </w:tcPr>
                <w:p w14:paraId="00BB3989" w14:textId="77777777" w:rsidR="0034060E" w:rsidRDefault="0034060E" w:rsidP="00560BAA">
                  <w:pPr>
                    <w:pStyle w:val="TableBodyText"/>
                    <w:spacing w:before="80"/>
                    <w:jc w:val="left"/>
                  </w:pPr>
                  <w:r>
                    <w:t>Unemployment rate of non</w:t>
                  </w:r>
                  <w:r>
                    <w:noBreakHyphen/>
                    <w:t>award wage workers in each state and occupation (</w:t>
                  </w:r>
                  <w:proofErr w:type="spellStart"/>
                  <w:r>
                    <w:t>d_unro</w:t>
                  </w:r>
                  <w:proofErr w:type="spellEnd"/>
                  <w:r>
                    <w:t>)</w:t>
                  </w:r>
                </w:p>
              </w:tc>
              <w:tc>
                <w:tcPr>
                  <w:tcW w:w="0" w:type="auto"/>
                  <w:tcBorders>
                    <w:top w:val="single" w:sz="6" w:space="0" w:color="BFBFBF"/>
                    <w:left w:val="nil"/>
                    <w:bottom w:val="nil"/>
                    <w:right w:val="nil"/>
                  </w:tcBorders>
                </w:tcPr>
                <w:p w14:paraId="00BB398A" w14:textId="77777777" w:rsidR="0034060E" w:rsidRDefault="0034060E" w:rsidP="00560BAA">
                  <w:pPr>
                    <w:pStyle w:val="TableBodyText"/>
                    <w:spacing w:before="80"/>
                    <w:jc w:val="left"/>
                  </w:pPr>
                  <w:r>
                    <w:t>Real non award wages in each state and occupation (</w:t>
                  </w:r>
                  <w:proofErr w:type="spellStart"/>
                  <w:r>
                    <w:t>rwage_i</w:t>
                  </w:r>
                  <w:proofErr w:type="spellEnd"/>
                  <w:r>
                    <w:t>)</w:t>
                  </w:r>
                </w:p>
              </w:tc>
              <w:tc>
                <w:tcPr>
                  <w:tcW w:w="0" w:type="auto"/>
                  <w:tcBorders>
                    <w:top w:val="single" w:sz="6" w:space="0" w:color="BFBFBF"/>
                    <w:left w:val="nil"/>
                    <w:bottom w:val="nil"/>
                    <w:right w:val="nil"/>
                  </w:tcBorders>
                </w:tcPr>
                <w:p w14:paraId="00BB398B" w14:textId="77777777" w:rsidR="0034060E" w:rsidRDefault="0034060E" w:rsidP="00560BAA">
                  <w:pPr>
                    <w:pStyle w:val="TableUnitsRow"/>
                    <w:spacing w:before="80"/>
                    <w:ind w:right="28"/>
                  </w:pPr>
                  <w:proofErr w:type="spellStart"/>
                  <w:r>
                    <w:t>n.a</w:t>
                  </w:r>
                  <w:proofErr w:type="spellEnd"/>
                  <w:r>
                    <w:t>.</w:t>
                  </w:r>
                </w:p>
              </w:tc>
            </w:tr>
            <w:tr w:rsidR="0034060E" w14:paraId="00BB3994" w14:textId="77777777">
              <w:tc>
                <w:tcPr>
                  <w:tcW w:w="0" w:type="auto"/>
                </w:tcPr>
                <w:p w14:paraId="00BB398E" w14:textId="3E90BA5D" w:rsidR="0034060E" w:rsidRDefault="0034060E" w:rsidP="00560BAA">
                  <w:pPr>
                    <w:pStyle w:val="TableBodyText"/>
                    <w:spacing w:before="80"/>
                    <w:jc w:val="left"/>
                  </w:pPr>
                  <w:r>
                    <w:t>Real award wages are targeted to simulate more moderate growth than in scenario 1 in the period 2017</w:t>
                  </w:r>
                  <w:r>
                    <w:noBreakHyphen/>
                    <w:t>18 to 2021</w:t>
                  </w:r>
                  <w:r>
                    <w:noBreakHyphen/>
                    <w:t>22. Unemployment is endogenous in this same five year period and adjusts in response to the change in labour demand.</w:t>
                  </w:r>
                </w:p>
              </w:tc>
              <w:tc>
                <w:tcPr>
                  <w:tcW w:w="0" w:type="auto"/>
                </w:tcPr>
                <w:p w14:paraId="00BB398F" w14:textId="77777777" w:rsidR="0034060E" w:rsidRDefault="0034060E" w:rsidP="00560BAA">
                  <w:pPr>
                    <w:pStyle w:val="TableBodyText"/>
                    <w:spacing w:before="80"/>
                    <w:jc w:val="left"/>
                  </w:pPr>
                  <w:r>
                    <w:t>Real award wages in each state and occupation (</w:t>
                  </w:r>
                  <w:proofErr w:type="spellStart"/>
                  <w:r>
                    <w:t>rwage_i</w:t>
                  </w:r>
                  <w:proofErr w:type="spellEnd"/>
                  <w:r>
                    <w:t>)</w:t>
                  </w:r>
                </w:p>
              </w:tc>
              <w:tc>
                <w:tcPr>
                  <w:tcW w:w="0" w:type="auto"/>
                </w:tcPr>
                <w:p w14:paraId="00BB3990" w14:textId="58E181E8" w:rsidR="0034060E" w:rsidRDefault="004F0942" w:rsidP="00560BAA">
                  <w:pPr>
                    <w:pStyle w:val="TableBodyText"/>
                    <w:spacing w:before="80"/>
                    <w:jc w:val="left"/>
                  </w:pPr>
                  <w:r>
                    <w:t>Unemployment rate of award</w:t>
                  </w:r>
                  <w:r>
                    <w:noBreakHyphen/>
                  </w:r>
                  <w:r w:rsidR="0034060E">
                    <w:t>reliant workers in each state and occupation (</w:t>
                  </w:r>
                  <w:proofErr w:type="spellStart"/>
                  <w:r w:rsidR="0034060E">
                    <w:t>d_unro</w:t>
                  </w:r>
                  <w:proofErr w:type="spellEnd"/>
                  <w:r w:rsidR="0034060E">
                    <w:t>)</w:t>
                  </w:r>
                </w:p>
              </w:tc>
              <w:tc>
                <w:tcPr>
                  <w:tcW w:w="0" w:type="auto"/>
                </w:tcPr>
                <w:p w14:paraId="00BB3993" w14:textId="029DC7AB" w:rsidR="0034060E" w:rsidRDefault="0034060E" w:rsidP="00560BAA">
                  <w:pPr>
                    <w:pStyle w:val="TableBodyText"/>
                    <w:spacing w:before="80"/>
                    <w:ind w:right="28"/>
                  </w:pPr>
                  <w:r>
                    <w:t>1 per cent each year from 2017</w:t>
                  </w:r>
                  <w:r>
                    <w:noBreakHyphen/>
                    <w:t>18 to 2021</w:t>
                  </w:r>
                  <w:r>
                    <w:noBreakHyphen/>
                    <w:t>22</w:t>
                  </w:r>
                </w:p>
              </w:tc>
            </w:tr>
            <w:tr w:rsidR="00691AD1" w14:paraId="12639960" w14:textId="77777777">
              <w:tc>
                <w:tcPr>
                  <w:tcW w:w="0" w:type="auto"/>
                </w:tcPr>
                <w:p w14:paraId="4C148674" w14:textId="41BE8A28" w:rsidR="00691AD1" w:rsidRDefault="00691AD1" w:rsidP="00691AD1">
                  <w:pPr>
                    <w:pStyle w:val="TableBodyText"/>
                    <w:spacing w:before="80"/>
                    <w:jc w:val="left"/>
                  </w:pPr>
                  <w:r>
                    <w:t>After 2021</w:t>
                  </w:r>
                  <w:r>
                    <w:noBreakHyphen/>
                    <w:t>22, the expert panel sets wage growth equivalent to real non</w:t>
                  </w:r>
                  <w:r>
                    <w:noBreakHyphen/>
                    <w:t>award wages. This is achieved in the modelling by reverting to the closure in scenario 1.</w:t>
                  </w:r>
                </w:p>
              </w:tc>
              <w:tc>
                <w:tcPr>
                  <w:tcW w:w="0" w:type="auto"/>
                </w:tcPr>
                <w:p w14:paraId="4A76F153" w14:textId="77777777" w:rsidR="00691AD1" w:rsidRDefault="00691AD1" w:rsidP="00691AD1">
                  <w:pPr>
                    <w:pStyle w:val="TableBodyText"/>
                    <w:spacing w:before="80"/>
                    <w:jc w:val="left"/>
                  </w:pPr>
                </w:p>
              </w:tc>
              <w:tc>
                <w:tcPr>
                  <w:tcW w:w="0" w:type="auto"/>
                </w:tcPr>
                <w:p w14:paraId="5014C72E" w14:textId="77777777" w:rsidR="00691AD1" w:rsidRDefault="00691AD1" w:rsidP="00691AD1">
                  <w:pPr>
                    <w:pStyle w:val="TableBodyText"/>
                    <w:spacing w:before="80"/>
                    <w:jc w:val="left"/>
                  </w:pPr>
                </w:p>
              </w:tc>
              <w:tc>
                <w:tcPr>
                  <w:tcW w:w="0" w:type="auto"/>
                </w:tcPr>
                <w:p w14:paraId="482A1B3C" w14:textId="2C48D24E" w:rsidR="00691AD1" w:rsidRDefault="00691AD1" w:rsidP="00691AD1">
                  <w:pPr>
                    <w:pStyle w:val="TableUnitsRow"/>
                    <w:spacing w:before="80"/>
                    <w:ind w:right="28"/>
                  </w:pPr>
                  <w:proofErr w:type="spellStart"/>
                  <w:r>
                    <w:t>n.a</w:t>
                  </w:r>
                  <w:proofErr w:type="spellEnd"/>
                  <w:r>
                    <w:t>. after 2021</w:t>
                  </w:r>
                  <w:r>
                    <w:noBreakHyphen/>
                    <w:t>22</w:t>
                  </w:r>
                </w:p>
              </w:tc>
            </w:tr>
            <w:tr w:rsidR="0034060E" w14:paraId="00BB39A0" w14:textId="77777777" w:rsidTr="00560BAA">
              <w:tc>
                <w:tcPr>
                  <w:tcW w:w="0" w:type="auto"/>
                  <w:tcBorders>
                    <w:top w:val="nil"/>
                    <w:left w:val="nil"/>
                    <w:bottom w:val="nil"/>
                    <w:right w:val="nil"/>
                  </w:tcBorders>
                </w:tcPr>
                <w:p w14:paraId="00BB3996" w14:textId="1B7F2139" w:rsidR="0034060E" w:rsidRDefault="0034060E" w:rsidP="00560BAA">
                  <w:pPr>
                    <w:pStyle w:val="TableBodyText"/>
                    <w:spacing w:before="80"/>
                    <w:jc w:val="left"/>
                  </w:pPr>
                  <w:r>
                    <w:t>Put in place the medium</w:t>
                  </w:r>
                  <w:r>
                    <w:noBreakHyphen/>
                    <w:t>run treatment of the awa</w:t>
                  </w:r>
                  <w:r w:rsidR="004F0942">
                    <w:t>rd wage and employment of award</w:t>
                  </w:r>
                  <w:r w:rsidR="004F0942">
                    <w:noBreakHyphen/>
                  </w:r>
                  <w:r>
                    <w:t xml:space="preserve">reliant workers. </w:t>
                  </w:r>
                </w:p>
              </w:tc>
              <w:tc>
                <w:tcPr>
                  <w:tcW w:w="0" w:type="auto"/>
                  <w:tcBorders>
                    <w:top w:val="nil"/>
                    <w:left w:val="nil"/>
                    <w:bottom w:val="nil"/>
                    <w:right w:val="nil"/>
                  </w:tcBorders>
                  <w:hideMark/>
                </w:tcPr>
                <w:p w14:paraId="00BB3999" w14:textId="1F683AC4" w:rsidR="0034060E" w:rsidRDefault="0034060E" w:rsidP="00560BAA">
                  <w:pPr>
                    <w:pStyle w:val="TableBodyText"/>
                    <w:spacing w:before="80"/>
                    <w:jc w:val="left"/>
                  </w:pPr>
                  <w:r>
                    <w:t>Switch variable for real wages that takes the value of real award wages in scenario 1 (</w:t>
                  </w:r>
                  <w:proofErr w:type="spellStart"/>
                  <w:r>
                    <w:t>rwfor_i</w:t>
                  </w:r>
                  <w:proofErr w:type="spellEnd"/>
                  <w:r>
                    <w:t>)</w:t>
                  </w:r>
                </w:p>
              </w:tc>
              <w:tc>
                <w:tcPr>
                  <w:tcW w:w="0" w:type="auto"/>
                  <w:tcBorders>
                    <w:top w:val="nil"/>
                    <w:left w:val="nil"/>
                    <w:bottom w:val="nil"/>
                    <w:right w:val="nil"/>
                  </w:tcBorders>
                  <w:hideMark/>
                </w:tcPr>
                <w:p w14:paraId="00BB399C" w14:textId="329EBCD9" w:rsidR="0034060E" w:rsidRDefault="0034060E" w:rsidP="00560BAA">
                  <w:pPr>
                    <w:pStyle w:val="TableBodyText"/>
                    <w:spacing w:before="80"/>
                    <w:jc w:val="left"/>
                  </w:pPr>
                  <w:r>
                    <w:t>The deviation in real award wages between scenario 1 and scenario 2 (</w:t>
                  </w:r>
                  <w:proofErr w:type="spellStart"/>
                  <w:r>
                    <w:t>f_rw_i</w:t>
                  </w:r>
                  <w:proofErr w:type="spellEnd"/>
                  <w:r>
                    <w:t xml:space="preserve">) </w:t>
                  </w:r>
                </w:p>
              </w:tc>
              <w:tc>
                <w:tcPr>
                  <w:tcW w:w="0" w:type="auto"/>
                  <w:tcBorders>
                    <w:top w:val="nil"/>
                    <w:left w:val="nil"/>
                    <w:bottom w:val="nil"/>
                    <w:right w:val="nil"/>
                  </w:tcBorders>
                  <w:hideMark/>
                </w:tcPr>
                <w:p w14:paraId="00BB399F" w14:textId="00AD6086" w:rsidR="0034060E" w:rsidRDefault="0034060E" w:rsidP="0048740C">
                  <w:pPr>
                    <w:pStyle w:val="TableBodyText"/>
                    <w:ind w:right="28"/>
                  </w:pPr>
                  <w:proofErr w:type="spellStart"/>
                  <w:r>
                    <w:t>n.a</w:t>
                  </w:r>
                  <w:proofErr w:type="spellEnd"/>
                  <w:r>
                    <w:t>.</w:t>
                  </w:r>
                </w:p>
              </w:tc>
            </w:tr>
            <w:tr w:rsidR="00691AD1" w14:paraId="6643B559" w14:textId="77777777">
              <w:tc>
                <w:tcPr>
                  <w:tcW w:w="0" w:type="auto"/>
                  <w:tcBorders>
                    <w:top w:val="nil"/>
                    <w:left w:val="nil"/>
                    <w:bottom w:val="single" w:sz="6" w:space="0" w:color="BFBFBF"/>
                    <w:right w:val="nil"/>
                  </w:tcBorders>
                </w:tcPr>
                <w:p w14:paraId="4E3B0926" w14:textId="67BD9848" w:rsidR="00691AD1" w:rsidRDefault="00691AD1" w:rsidP="00691AD1">
                  <w:pPr>
                    <w:pStyle w:val="TableBodyText"/>
                    <w:spacing w:before="80"/>
                    <w:jc w:val="left"/>
                  </w:pPr>
                  <w:r>
                    <w:t>This is reversed after five years, however the effect on the unemployment rate that occurs in the period 2017</w:t>
                  </w:r>
                  <w:r>
                    <w:noBreakHyphen/>
                    <w:t>18 to 2021</w:t>
                  </w:r>
                  <w:r>
                    <w:noBreakHyphen/>
                    <w:t>22 is assumed to be permanent.</w:t>
                  </w:r>
                </w:p>
              </w:tc>
              <w:tc>
                <w:tcPr>
                  <w:tcW w:w="0" w:type="auto"/>
                  <w:tcBorders>
                    <w:top w:val="nil"/>
                    <w:left w:val="nil"/>
                    <w:bottom w:val="single" w:sz="6" w:space="0" w:color="BFBFBF"/>
                    <w:right w:val="nil"/>
                  </w:tcBorders>
                </w:tcPr>
                <w:p w14:paraId="49DAE7B9" w14:textId="13FB83FD" w:rsidR="00691AD1" w:rsidRDefault="00691AD1" w:rsidP="00691AD1">
                  <w:pPr>
                    <w:pStyle w:val="TableBodyText"/>
                    <w:spacing w:before="80"/>
                    <w:jc w:val="left"/>
                  </w:pPr>
                  <w:r>
                    <w:t>Switch variable for employment that takes the value of award</w:t>
                  </w:r>
                  <w:r>
                    <w:noBreakHyphen/>
                    <w:t>reliant employment in scenario 1 (</w:t>
                  </w:r>
                  <w:proofErr w:type="spellStart"/>
                  <w:r>
                    <w:t>empfor_i</w:t>
                  </w:r>
                  <w:proofErr w:type="spellEnd"/>
                  <w:r>
                    <w:t>)</w:t>
                  </w:r>
                </w:p>
              </w:tc>
              <w:tc>
                <w:tcPr>
                  <w:tcW w:w="0" w:type="auto"/>
                  <w:tcBorders>
                    <w:top w:val="nil"/>
                    <w:left w:val="nil"/>
                    <w:bottom w:val="single" w:sz="6" w:space="0" w:color="BFBFBF"/>
                    <w:right w:val="nil"/>
                  </w:tcBorders>
                </w:tcPr>
                <w:p w14:paraId="6DF873C7" w14:textId="234AE74E" w:rsidR="00691AD1" w:rsidRDefault="00691AD1" w:rsidP="00691AD1">
                  <w:pPr>
                    <w:pStyle w:val="TableBodyText"/>
                    <w:spacing w:before="80"/>
                    <w:jc w:val="left"/>
                  </w:pPr>
                  <w:r>
                    <w:t>The deviation in employment between scenario 1 and scenario 2 (</w:t>
                  </w:r>
                  <w:proofErr w:type="spellStart"/>
                  <w:r>
                    <w:t>f_emp_i</w:t>
                  </w:r>
                  <w:proofErr w:type="spellEnd"/>
                  <w:r>
                    <w:t>)</w:t>
                  </w:r>
                </w:p>
              </w:tc>
              <w:tc>
                <w:tcPr>
                  <w:tcW w:w="0" w:type="auto"/>
                  <w:tcBorders>
                    <w:top w:val="nil"/>
                    <w:left w:val="nil"/>
                    <w:bottom w:val="single" w:sz="6" w:space="0" w:color="BFBFBF"/>
                    <w:right w:val="nil"/>
                  </w:tcBorders>
                </w:tcPr>
                <w:p w14:paraId="6F7E95BF" w14:textId="116EA0BA" w:rsidR="00691AD1" w:rsidRDefault="00691AD1" w:rsidP="0048740C">
                  <w:pPr>
                    <w:pStyle w:val="TableBodyText"/>
                    <w:ind w:right="28"/>
                  </w:pPr>
                  <w:proofErr w:type="spellStart"/>
                  <w:r>
                    <w:t>n.a</w:t>
                  </w:r>
                  <w:proofErr w:type="spellEnd"/>
                  <w:r>
                    <w:t>.</w:t>
                  </w:r>
                </w:p>
              </w:tc>
            </w:tr>
          </w:tbl>
          <w:p w14:paraId="00BB39A1" w14:textId="77777777" w:rsidR="0034060E" w:rsidRDefault="0034060E">
            <w:pPr>
              <w:pStyle w:val="Box"/>
            </w:pPr>
          </w:p>
        </w:tc>
      </w:tr>
      <w:tr w:rsidR="0034060E" w14:paraId="00BB39A4" w14:textId="77777777" w:rsidTr="00453A36">
        <w:trPr>
          <w:cantSplit/>
        </w:trPr>
        <w:tc>
          <w:tcPr>
            <w:tcW w:w="8771" w:type="dxa"/>
            <w:tcBorders>
              <w:top w:val="nil"/>
              <w:left w:val="nil"/>
              <w:bottom w:val="nil"/>
              <w:right w:val="nil"/>
            </w:tcBorders>
            <w:hideMark/>
          </w:tcPr>
          <w:p w14:paraId="00BB39A3" w14:textId="77777777" w:rsidR="0034060E" w:rsidRDefault="0034060E">
            <w:pPr>
              <w:pStyle w:val="Note"/>
              <w:rPr>
                <w:i/>
              </w:rPr>
            </w:pPr>
            <w:proofErr w:type="spellStart"/>
            <w:r>
              <w:t>n.a</w:t>
            </w:r>
            <w:proofErr w:type="spellEnd"/>
            <w:r>
              <w:t>.: not applicable</w:t>
            </w:r>
          </w:p>
        </w:tc>
      </w:tr>
      <w:tr w:rsidR="0034060E" w14:paraId="00BB39A6" w14:textId="77777777" w:rsidTr="00453A36">
        <w:trPr>
          <w:cantSplit/>
        </w:trPr>
        <w:tc>
          <w:tcPr>
            <w:tcW w:w="8771" w:type="dxa"/>
            <w:tcBorders>
              <w:top w:val="nil"/>
              <w:left w:val="nil"/>
              <w:bottom w:val="single" w:sz="6" w:space="0" w:color="78A22F"/>
              <w:right w:val="nil"/>
            </w:tcBorders>
          </w:tcPr>
          <w:p w14:paraId="00BB39A5" w14:textId="77777777" w:rsidR="0034060E" w:rsidRDefault="0034060E">
            <w:pPr>
              <w:pStyle w:val="Box"/>
              <w:spacing w:before="0" w:line="120" w:lineRule="exact"/>
            </w:pPr>
          </w:p>
        </w:tc>
      </w:tr>
      <w:tr w:rsidR="0034060E" w14:paraId="00BB39A8" w14:textId="77777777" w:rsidTr="00453A36">
        <w:tc>
          <w:tcPr>
            <w:tcW w:w="8771" w:type="dxa"/>
            <w:tcBorders>
              <w:top w:val="single" w:sz="6" w:space="0" w:color="78A22F"/>
              <w:left w:val="nil"/>
              <w:bottom w:val="nil"/>
              <w:right w:val="nil"/>
            </w:tcBorders>
            <w:hideMark/>
          </w:tcPr>
          <w:p w14:paraId="00BB39A7" w14:textId="3863F7C6" w:rsidR="0034060E" w:rsidRDefault="0034060E">
            <w:pPr>
              <w:pStyle w:val="BoxSpaceBelow"/>
            </w:pPr>
          </w:p>
        </w:tc>
      </w:tr>
    </w:tbl>
    <w:p w14:paraId="00BB39A9" w14:textId="1CCD832A" w:rsidR="0034060E" w:rsidRDefault="0034060E" w:rsidP="00453A36">
      <w:pPr>
        <w:pStyle w:val="BodyText"/>
      </w:pPr>
      <w:r>
        <w:t>Over the five year period in which award wage growth is moderated, the award wage is still assumed to grow faster than inflation. Therefore, while wage growth is moderated, the living standards</w:t>
      </w:r>
      <w:r w:rsidR="00315C17">
        <w:t xml:space="preserve"> of award wage workers continue</w:t>
      </w:r>
      <w:r>
        <w:t xml:space="preserve"> to improve. </w:t>
      </w:r>
    </w:p>
    <w:p w14:paraId="00BB39AA" w14:textId="77777777" w:rsidR="0034060E" w:rsidRDefault="0034060E" w:rsidP="00453A36">
      <w:pPr>
        <w:pStyle w:val="BodyText"/>
      </w:pPr>
      <w:r>
        <w:t>Unemployment is modelled endogenously during the five year period in which award wage growth is moderated. In other words, unemployment adjusts to changes in labour demand and labour supply. After 2021</w:t>
      </w:r>
      <w:r>
        <w:noBreakHyphen/>
        <w:t>22, the unemployment rate is assumed fixed and minimum wages are allowed to adjust in response to any further changes in labour demand and labour supply.</w:t>
      </w:r>
    </w:p>
    <w:p w14:paraId="00BB39AB" w14:textId="3E4108A4" w:rsidR="0034060E" w:rsidRDefault="0034060E" w:rsidP="00453A36">
      <w:pPr>
        <w:pStyle w:val="BodyText"/>
      </w:pPr>
      <w:r>
        <w:lastRenderedPageBreak/>
        <w:t xml:space="preserve">The relationship between unemployment and wages in the </w:t>
      </w:r>
      <w:proofErr w:type="spellStart"/>
      <w:r>
        <w:t>VUMR</w:t>
      </w:r>
      <w:proofErr w:type="spellEnd"/>
      <w:r>
        <w:t xml:space="preserve"> model is allowed to shift during the five year policy implementation period from 2017</w:t>
      </w:r>
      <w:r>
        <w:noBreakHyphen/>
        <w:t>18 to 2021</w:t>
      </w:r>
      <w:r>
        <w:noBreakHyphen/>
        <w:t>22. The unemployment rate that results at the end of this five year period is fixed in the ensuing years, through to the end of the scenario. This assumption is compatible with assuming that the change in award wage affects the non</w:t>
      </w:r>
      <w:r>
        <w:noBreakHyphen/>
        <w:t>cyclical component of unemployment (sometimes referred to as the non</w:t>
      </w:r>
      <w:r>
        <w:noBreakHyphen/>
        <w:t xml:space="preserve">accelerating inflation rate of unemployment, or the </w:t>
      </w:r>
      <w:proofErr w:type="spellStart"/>
      <w:r>
        <w:t>NAIRU</w:t>
      </w:r>
      <w:proofErr w:type="spellEnd"/>
      <w:r>
        <w:t>). The predominant view is that the non</w:t>
      </w:r>
      <w:r>
        <w:noBreakHyphen/>
        <w:t xml:space="preserve">cyclical component of unemployment is currently between 5 and 6 per cent </w:t>
      </w:r>
      <w:r>
        <w:rPr>
          <w:szCs w:val="24"/>
        </w:rPr>
        <w:t>(</w:t>
      </w:r>
      <w:proofErr w:type="spellStart"/>
      <w:r>
        <w:rPr>
          <w:szCs w:val="24"/>
        </w:rPr>
        <w:t>Ballantyne</w:t>
      </w:r>
      <w:proofErr w:type="spellEnd"/>
      <w:r>
        <w:rPr>
          <w:szCs w:val="24"/>
        </w:rPr>
        <w:t>, De Voss and Jacobs 2014)</w:t>
      </w:r>
      <w:r>
        <w:t xml:space="preserve">. </w:t>
      </w:r>
    </w:p>
    <w:p w14:paraId="00BB39AC" w14:textId="77777777" w:rsidR="0034060E" w:rsidRDefault="0034060E" w:rsidP="0034060E">
      <w:pPr>
        <w:sectPr w:rsidR="0034060E" w:rsidSect="0034060E">
          <w:headerReference w:type="even" r:id="rId69"/>
          <w:headerReference w:type="default" r:id="rId70"/>
          <w:footerReference w:type="even" r:id="rId71"/>
          <w:footerReference w:type="default" r:id="rId72"/>
          <w:type w:val="oddPage"/>
          <w:pgSz w:w="11907" w:h="16840" w:code="9"/>
          <w:pgMar w:top="1985" w:right="1304" w:bottom="1247" w:left="1814" w:header="1701" w:footer="397" w:gutter="0"/>
          <w:pgNumType w:chapSep="period"/>
          <w:cols w:space="720"/>
          <w:docGrid w:linePitch="326"/>
        </w:sectPr>
      </w:pPr>
    </w:p>
    <w:p w14:paraId="00BB39AD" w14:textId="77777777" w:rsidR="0034060E" w:rsidRDefault="0034060E" w:rsidP="0034060E">
      <w:pPr>
        <w:pStyle w:val="Heading1"/>
      </w:pPr>
      <w:r>
        <w:lastRenderedPageBreak/>
        <w:t>References</w:t>
      </w:r>
    </w:p>
    <w:p w14:paraId="23D541DE" w14:textId="65D49830" w:rsidR="004F0942" w:rsidRPr="004F0942" w:rsidRDefault="004F0942" w:rsidP="00C1607E">
      <w:pPr>
        <w:pStyle w:val="Reference"/>
      </w:pPr>
      <w:r w:rsidRPr="004F0942">
        <w:t xml:space="preserve">ABS (Australian Bureau of Statistics) 2015, </w:t>
      </w:r>
      <w:r w:rsidRPr="004F0942">
        <w:rPr>
          <w:i/>
          <w:iCs/>
        </w:rPr>
        <w:t>Labour Force, Australia, December 2015</w:t>
      </w:r>
      <w:r w:rsidRPr="004F0942">
        <w:t>, Cat. no. 6202.0.</w:t>
      </w:r>
    </w:p>
    <w:p w14:paraId="474CAF80" w14:textId="77777777" w:rsidR="004F0942" w:rsidRPr="004F0942" w:rsidRDefault="004F0942" w:rsidP="00C1607E">
      <w:pPr>
        <w:pStyle w:val="Reference"/>
      </w:pPr>
      <w:proofErr w:type="spellStart"/>
      <w:r w:rsidRPr="004F0942">
        <w:t>Ballantyne</w:t>
      </w:r>
      <w:proofErr w:type="spellEnd"/>
      <w:r w:rsidRPr="004F0942">
        <w:t xml:space="preserve">, A., De Voss, D. and Jacobs, D. 2014, ‘Unemployment and spare capacity in the labour market’, </w:t>
      </w:r>
      <w:r w:rsidRPr="004F0942">
        <w:rPr>
          <w:i/>
          <w:iCs/>
        </w:rPr>
        <w:t>Reserve Bank of Australia Bulletin</w:t>
      </w:r>
      <w:r w:rsidRPr="004F0942">
        <w:t>.</w:t>
      </w:r>
    </w:p>
    <w:p w14:paraId="63F590C6" w14:textId="77777777" w:rsidR="004F0942" w:rsidRPr="004F0942" w:rsidRDefault="004F0942" w:rsidP="00C1607E">
      <w:pPr>
        <w:pStyle w:val="Reference"/>
      </w:pPr>
      <w:proofErr w:type="spellStart"/>
      <w:r w:rsidRPr="004F0942">
        <w:t>Buddelmeyer</w:t>
      </w:r>
      <w:proofErr w:type="spellEnd"/>
      <w:r w:rsidRPr="004F0942">
        <w:t xml:space="preserve">, H. and </w:t>
      </w:r>
      <w:proofErr w:type="spellStart"/>
      <w:r w:rsidRPr="004F0942">
        <w:t>Kalb</w:t>
      </w:r>
      <w:proofErr w:type="spellEnd"/>
      <w:r w:rsidRPr="004F0942">
        <w:t xml:space="preserve">, G. 2008, ‘The effect of minimum wage changes on labour supply and income distribution’, </w:t>
      </w:r>
      <w:r w:rsidRPr="004F0942">
        <w:rPr>
          <w:i/>
          <w:iCs/>
        </w:rPr>
        <w:t>2008 Minimum Wage Research Forum Proceedings</w:t>
      </w:r>
      <w:r w:rsidRPr="004F0942">
        <w:t>, vol 2, Research Report, Australian Fair Pay Commission, Canberra, pp. 211–234, http://</w:t>
      </w:r>
      <w:proofErr w:type="spellStart"/>
      <w:r w:rsidRPr="004F0942">
        <w:t>www.voced.edu.au</w:t>
      </w:r>
      <w:proofErr w:type="spellEnd"/>
      <w:r w:rsidRPr="004F0942">
        <w:t>/content/</w:t>
      </w:r>
      <w:proofErr w:type="spellStart"/>
      <w:r w:rsidRPr="004F0942">
        <w:t>ngv2783</w:t>
      </w:r>
      <w:proofErr w:type="spellEnd"/>
      <w:r w:rsidRPr="004F0942">
        <w:t xml:space="preserve"> (accessed 14 May 2015).</w:t>
      </w:r>
    </w:p>
    <w:p w14:paraId="5EBFDC83" w14:textId="77777777" w:rsidR="004F0942" w:rsidRPr="004F0942" w:rsidRDefault="004F0942" w:rsidP="00C1607E">
      <w:pPr>
        <w:pStyle w:val="Reference"/>
      </w:pPr>
      <w:proofErr w:type="spellStart"/>
      <w:r w:rsidRPr="004F0942">
        <w:t>CoPS</w:t>
      </w:r>
      <w:proofErr w:type="spellEnd"/>
      <w:r w:rsidRPr="004F0942">
        <w:t xml:space="preserve"> (Centre of Policy Studies) forthcoming, </w:t>
      </w:r>
      <w:proofErr w:type="spellStart"/>
      <w:r w:rsidRPr="004F0942">
        <w:rPr>
          <w:i/>
          <w:iCs/>
        </w:rPr>
        <w:t>VUMR</w:t>
      </w:r>
      <w:proofErr w:type="spellEnd"/>
      <w:r w:rsidRPr="004F0942">
        <w:rPr>
          <w:i/>
          <w:iCs/>
        </w:rPr>
        <w:t xml:space="preserve"> (Victoria University Multi-Regional Model) 2009-10 database</w:t>
      </w:r>
      <w:r w:rsidRPr="004F0942">
        <w:t>, Victoria University, Melbourne.</w:t>
      </w:r>
    </w:p>
    <w:p w14:paraId="017B6C9A" w14:textId="77777777" w:rsidR="004F0942" w:rsidRPr="004F0942" w:rsidRDefault="004F0942" w:rsidP="00C1607E">
      <w:pPr>
        <w:pStyle w:val="Reference"/>
      </w:pPr>
      <w:r w:rsidRPr="004F0942">
        <w:t xml:space="preserve">—— (Centre of Policy Studies) 2014, </w:t>
      </w:r>
      <w:proofErr w:type="spellStart"/>
      <w:r w:rsidRPr="004F0942">
        <w:rPr>
          <w:i/>
          <w:iCs/>
        </w:rPr>
        <w:t>MMRF5</w:t>
      </w:r>
      <w:proofErr w:type="spellEnd"/>
      <w:r w:rsidRPr="004F0942">
        <w:rPr>
          <w:i/>
          <w:iCs/>
        </w:rPr>
        <w:t>: Monash Multi-Regional Forecasting Model (Version 5) - A dynamic multi-regional applied general equilibrium model of the Australian economy</w:t>
      </w:r>
      <w:r w:rsidRPr="004F0942">
        <w:t>, May, Victoria University, Melbourne.</w:t>
      </w:r>
    </w:p>
    <w:p w14:paraId="77020FB5" w14:textId="77777777" w:rsidR="004F0942" w:rsidRPr="004F0942" w:rsidRDefault="004F0942" w:rsidP="00C1607E">
      <w:pPr>
        <w:pStyle w:val="Reference"/>
      </w:pPr>
      <w:proofErr w:type="spellStart"/>
      <w:r w:rsidRPr="004F0942">
        <w:t>Dandie</w:t>
      </w:r>
      <w:proofErr w:type="spellEnd"/>
      <w:r w:rsidRPr="004F0942">
        <w:t xml:space="preserve">, S. and </w:t>
      </w:r>
      <w:proofErr w:type="spellStart"/>
      <w:r w:rsidRPr="004F0942">
        <w:t>Mercante</w:t>
      </w:r>
      <w:proofErr w:type="spellEnd"/>
      <w:r w:rsidRPr="004F0942">
        <w:t xml:space="preserve">, J. 2007, </w:t>
      </w:r>
      <w:r w:rsidRPr="004F0942">
        <w:rPr>
          <w:i/>
          <w:iCs/>
        </w:rPr>
        <w:t xml:space="preserve">Australian labour supply </w:t>
      </w:r>
      <w:proofErr w:type="spellStart"/>
      <w:r w:rsidRPr="004F0942">
        <w:rPr>
          <w:i/>
          <w:iCs/>
        </w:rPr>
        <w:t>elasticities</w:t>
      </w:r>
      <w:proofErr w:type="spellEnd"/>
      <w:r w:rsidRPr="004F0942">
        <w:rPr>
          <w:i/>
          <w:iCs/>
        </w:rPr>
        <w:t>: Comparison and critical review</w:t>
      </w:r>
      <w:r w:rsidRPr="004F0942">
        <w:t>, October, 2007-04, Treasury Working Paper.</w:t>
      </w:r>
    </w:p>
    <w:p w14:paraId="252182B3" w14:textId="77777777" w:rsidR="004F0942" w:rsidRPr="004F0942" w:rsidRDefault="004F0942" w:rsidP="00C1607E">
      <w:pPr>
        <w:pStyle w:val="Reference"/>
      </w:pPr>
      <w:r w:rsidRPr="004F0942">
        <w:t xml:space="preserve">Dixon, </w:t>
      </w:r>
      <w:proofErr w:type="spellStart"/>
      <w:r w:rsidRPr="004F0942">
        <w:t>P.B</w:t>
      </w:r>
      <w:proofErr w:type="spellEnd"/>
      <w:r w:rsidRPr="004F0942">
        <w:t xml:space="preserve">., Madden, </w:t>
      </w:r>
      <w:proofErr w:type="spellStart"/>
      <w:r w:rsidRPr="004F0942">
        <w:t>J.R</w:t>
      </w:r>
      <w:proofErr w:type="spellEnd"/>
      <w:r w:rsidRPr="004F0942">
        <w:t xml:space="preserve">. and </w:t>
      </w:r>
      <w:proofErr w:type="spellStart"/>
      <w:r w:rsidRPr="004F0942">
        <w:t>Rimmer</w:t>
      </w:r>
      <w:proofErr w:type="spellEnd"/>
      <w:r w:rsidRPr="004F0942">
        <w:t xml:space="preserve">, </w:t>
      </w:r>
      <w:proofErr w:type="spellStart"/>
      <w:r w:rsidRPr="004F0942">
        <w:t>M.T</w:t>
      </w:r>
      <w:proofErr w:type="spellEnd"/>
      <w:r w:rsidRPr="004F0942">
        <w:t>. 2010, ‘Linking National and Multi-regional Computable General Equilibrium (</w:t>
      </w:r>
      <w:proofErr w:type="spellStart"/>
      <w:r w:rsidRPr="004F0942">
        <w:t>CGE</w:t>
      </w:r>
      <w:proofErr w:type="spellEnd"/>
      <w:r w:rsidRPr="004F0942">
        <w:t xml:space="preserve">) Models: The Effects of an Increase in Award Wage Rates in Australia’, </w:t>
      </w:r>
      <w:r w:rsidRPr="004F0942">
        <w:rPr>
          <w:i/>
          <w:iCs/>
        </w:rPr>
        <w:t>Regional Studies</w:t>
      </w:r>
      <w:r w:rsidRPr="004F0942">
        <w:t>, vol. 44, no. 10, pp. 1369–1385.</w:t>
      </w:r>
    </w:p>
    <w:p w14:paraId="119FDA48" w14:textId="77777777" w:rsidR="004F0942" w:rsidRPr="004F0942" w:rsidRDefault="004F0942" w:rsidP="00C1607E">
      <w:pPr>
        <w:pStyle w:val="Reference"/>
      </w:pPr>
      <w:r w:rsidRPr="004F0942">
        <w:t xml:space="preserve">—— and </w:t>
      </w:r>
      <w:proofErr w:type="spellStart"/>
      <w:r w:rsidRPr="004F0942">
        <w:t>Rimmer</w:t>
      </w:r>
      <w:proofErr w:type="spellEnd"/>
      <w:r w:rsidRPr="004F0942">
        <w:t xml:space="preserve">, </w:t>
      </w:r>
      <w:proofErr w:type="spellStart"/>
      <w:r w:rsidRPr="004F0942">
        <w:t>M.T</w:t>
      </w:r>
      <w:proofErr w:type="spellEnd"/>
      <w:r w:rsidRPr="004F0942">
        <w:t xml:space="preserve">. 2001, ‘A Wage-Tax Policy to Increase Employment’, </w:t>
      </w:r>
      <w:r w:rsidRPr="004F0942">
        <w:rPr>
          <w:i/>
          <w:iCs/>
        </w:rPr>
        <w:t>The Australian Economic Review</w:t>
      </w:r>
      <w:r w:rsidRPr="004F0942">
        <w:t>, vol. 34, no. 1, pp. 64–80.</w:t>
      </w:r>
    </w:p>
    <w:p w14:paraId="3C85BA0C" w14:textId="77777777" w:rsidR="004F0942" w:rsidRPr="004F0942" w:rsidRDefault="004F0942" w:rsidP="00C1607E">
      <w:pPr>
        <w:pStyle w:val="Reference"/>
      </w:pPr>
      <w:r w:rsidRPr="004F0942">
        <w:t xml:space="preserve">—— and —— 2003, ‘A New Specification of Labour Supply in the MONASH Model with an Illustrative Application’, </w:t>
      </w:r>
      <w:r w:rsidRPr="004F0942">
        <w:rPr>
          <w:i/>
          <w:iCs/>
        </w:rPr>
        <w:t>Australian Economic Review</w:t>
      </w:r>
      <w:r w:rsidRPr="004F0942">
        <w:t>, vol. 36, no. 1, pp. 22–40.</w:t>
      </w:r>
    </w:p>
    <w:p w14:paraId="713F398B" w14:textId="77777777" w:rsidR="004F0942" w:rsidRPr="004F0942" w:rsidRDefault="004F0942" w:rsidP="00C1607E">
      <w:pPr>
        <w:pStyle w:val="Reference"/>
      </w:pPr>
      <w:proofErr w:type="spellStart"/>
      <w:r w:rsidRPr="004F0942">
        <w:t>Horridge</w:t>
      </w:r>
      <w:proofErr w:type="spellEnd"/>
      <w:r w:rsidRPr="004F0942">
        <w:t xml:space="preserve">, M. 2012, ‘The TERM model and its database’, in </w:t>
      </w:r>
      <w:proofErr w:type="spellStart"/>
      <w:r w:rsidRPr="004F0942">
        <w:t>Wittwer</w:t>
      </w:r>
      <w:proofErr w:type="spellEnd"/>
      <w:r w:rsidRPr="004F0942">
        <w:t>, G. (</w:t>
      </w:r>
      <w:proofErr w:type="spellStart"/>
      <w:r w:rsidRPr="004F0942">
        <w:t>ed</w:t>
      </w:r>
      <w:proofErr w:type="spellEnd"/>
      <w:r w:rsidRPr="004F0942">
        <w:t xml:space="preserve">), </w:t>
      </w:r>
      <w:r w:rsidRPr="004F0942">
        <w:rPr>
          <w:i/>
          <w:iCs/>
        </w:rPr>
        <w:t xml:space="preserve">Economic </w:t>
      </w:r>
      <w:proofErr w:type="spellStart"/>
      <w:r w:rsidRPr="004F0942">
        <w:rPr>
          <w:i/>
          <w:iCs/>
        </w:rPr>
        <w:t>Modeling</w:t>
      </w:r>
      <w:proofErr w:type="spellEnd"/>
      <w:r w:rsidRPr="004F0942">
        <w:rPr>
          <w:i/>
          <w:iCs/>
        </w:rPr>
        <w:t xml:space="preserve"> of Water, The Australian </w:t>
      </w:r>
      <w:proofErr w:type="spellStart"/>
      <w:r w:rsidRPr="004F0942">
        <w:rPr>
          <w:i/>
          <w:iCs/>
        </w:rPr>
        <w:t>CGE</w:t>
      </w:r>
      <w:proofErr w:type="spellEnd"/>
      <w:r w:rsidRPr="004F0942">
        <w:rPr>
          <w:i/>
          <w:iCs/>
        </w:rPr>
        <w:t xml:space="preserve"> experience</w:t>
      </w:r>
      <w:r w:rsidRPr="004F0942">
        <w:t>, Springer.</w:t>
      </w:r>
    </w:p>
    <w:p w14:paraId="218F8BE0" w14:textId="77777777" w:rsidR="004F0942" w:rsidRPr="004F0942" w:rsidRDefault="004F0942" w:rsidP="00C1607E">
      <w:pPr>
        <w:pStyle w:val="Reference"/>
      </w:pPr>
      <w:r w:rsidRPr="004F0942">
        <w:t xml:space="preserve">——, Madden, J. and </w:t>
      </w:r>
      <w:proofErr w:type="spellStart"/>
      <w:r w:rsidRPr="004F0942">
        <w:t>Wittwer</w:t>
      </w:r>
      <w:proofErr w:type="spellEnd"/>
      <w:r w:rsidRPr="004F0942">
        <w:t xml:space="preserve">, G. 2005, ‘Using a highly disaggregated multi-regional single-country model to analyse the impacts of the 2002-03 drought in Australia’, </w:t>
      </w:r>
      <w:r w:rsidRPr="004F0942">
        <w:rPr>
          <w:i/>
          <w:iCs/>
        </w:rPr>
        <w:t>Journal of Policy Modelling</w:t>
      </w:r>
      <w:r w:rsidRPr="004F0942">
        <w:t>, vol. 27, no. 3, pp. 285–308.</w:t>
      </w:r>
    </w:p>
    <w:p w14:paraId="1AF5C5F4" w14:textId="77777777" w:rsidR="004F0942" w:rsidRPr="004F0942" w:rsidRDefault="004F0942" w:rsidP="00C1607E">
      <w:pPr>
        <w:pStyle w:val="Reference"/>
      </w:pPr>
      <w:r w:rsidRPr="004F0942">
        <w:t xml:space="preserve">PC (Productivity Commission) forthcoming, </w:t>
      </w:r>
      <w:proofErr w:type="spellStart"/>
      <w:r w:rsidRPr="004F0942">
        <w:rPr>
          <w:i/>
          <w:iCs/>
        </w:rPr>
        <w:t>VUMR</w:t>
      </w:r>
      <w:proofErr w:type="spellEnd"/>
      <w:r w:rsidRPr="004F0942">
        <w:rPr>
          <w:i/>
          <w:iCs/>
        </w:rPr>
        <w:t xml:space="preserve"> (Victoria University Multi-Regional) model reference case, 2015</w:t>
      </w:r>
      <w:r w:rsidRPr="004F0942">
        <w:t>, Canberra.</w:t>
      </w:r>
    </w:p>
    <w:p w14:paraId="61B7D03F" w14:textId="77777777" w:rsidR="004F0942" w:rsidRPr="004F0942" w:rsidRDefault="004F0942" w:rsidP="00C1607E">
      <w:pPr>
        <w:pStyle w:val="Reference"/>
      </w:pPr>
      <w:r w:rsidRPr="004F0942">
        <w:t xml:space="preserve">—— (Productivity Commission) 2012, </w:t>
      </w:r>
      <w:r w:rsidRPr="004F0942">
        <w:rPr>
          <w:i/>
          <w:iCs/>
        </w:rPr>
        <w:t xml:space="preserve">Economywide modelling of impacts of </w:t>
      </w:r>
      <w:proofErr w:type="spellStart"/>
      <w:r w:rsidRPr="004F0942">
        <w:rPr>
          <w:i/>
          <w:iCs/>
        </w:rPr>
        <w:t>COAG</w:t>
      </w:r>
      <w:proofErr w:type="spellEnd"/>
      <w:r w:rsidRPr="004F0942">
        <w:rPr>
          <w:i/>
          <w:iCs/>
        </w:rPr>
        <w:t xml:space="preserve"> reforms, Supplement to Impacts of </w:t>
      </w:r>
      <w:proofErr w:type="spellStart"/>
      <w:r w:rsidRPr="004F0942">
        <w:rPr>
          <w:i/>
          <w:iCs/>
        </w:rPr>
        <w:t>COAG</w:t>
      </w:r>
      <w:proofErr w:type="spellEnd"/>
      <w:r w:rsidRPr="004F0942">
        <w:rPr>
          <w:i/>
          <w:iCs/>
        </w:rPr>
        <w:t xml:space="preserve"> Reforms: Business Regulation and VET</w:t>
      </w:r>
      <w:r w:rsidRPr="004F0942">
        <w:t>, Canberra.</w:t>
      </w:r>
    </w:p>
    <w:p w14:paraId="63BCD9F9" w14:textId="77777777" w:rsidR="004F0942" w:rsidRPr="004F0942" w:rsidRDefault="004F0942" w:rsidP="00C1607E">
      <w:pPr>
        <w:pStyle w:val="Reference"/>
      </w:pPr>
      <w:r w:rsidRPr="004F0942">
        <w:lastRenderedPageBreak/>
        <w:t xml:space="preserve">—— (Productivity Commission) 2014, </w:t>
      </w:r>
      <w:r w:rsidRPr="004F0942">
        <w:rPr>
          <w:i/>
          <w:iCs/>
        </w:rPr>
        <w:t>Economywide Modelling of Automotive Industry Change: Supplement to Australia’s Automotive Manufacturing Industry Inquiry Report</w:t>
      </w:r>
      <w:r w:rsidRPr="004F0942">
        <w:t>, Canberra.</w:t>
      </w:r>
    </w:p>
    <w:p w14:paraId="5F032489" w14:textId="77777777" w:rsidR="004F0942" w:rsidRPr="004F0942" w:rsidRDefault="004F0942" w:rsidP="00C1607E">
      <w:pPr>
        <w:pStyle w:val="Reference"/>
      </w:pPr>
      <w:r w:rsidRPr="004F0942">
        <w:t xml:space="preserve">—— (Productivity Commission) </w:t>
      </w:r>
      <w:proofErr w:type="spellStart"/>
      <w:r w:rsidRPr="004F0942">
        <w:t>2015a</w:t>
      </w:r>
      <w:proofErr w:type="spellEnd"/>
      <w:r w:rsidRPr="004F0942">
        <w:t xml:space="preserve">, </w:t>
      </w:r>
      <w:r w:rsidRPr="004F0942">
        <w:rPr>
          <w:i/>
          <w:iCs/>
        </w:rPr>
        <w:t>Migrant Intake into Australia</w:t>
      </w:r>
      <w:r w:rsidRPr="004F0942">
        <w:t>, Draft Report, Canberra, 13 November.</w:t>
      </w:r>
    </w:p>
    <w:p w14:paraId="169D7802" w14:textId="77777777" w:rsidR="004F0942" w:rsidRPr="004F0942" w:rsidRDefault="004F0942" w:rsidP="00C1607E">
      <w:pPr>
        <w:pStyle w:val="Reference"/>
      </w:pPr>
      <w:r w:rsidRPr="004F0942">
        <w:t xml:space="preserve">—— (Productivity Commission) </w:t>
      </w:r>
      <w:proofErr w:type="spellStart"/>
      <w:r w:rsidRPr="004F0942">
        <w:t>2015b</w:t>
      </w:r>
      <w:proofErr w:type="spellEnd"/>
      <w:r w:rsidRPr="004F0942">
        <w:t xml:space="preserve">, </w:t>
      </w:r>
      <w:r w:rsidRPr="004F0942">
        <w:rPr>
          <w:i/>
          <w:iCs/>
        </w:rPr>
        <w:t>Workplace Relations Framework</w:t>
      </w:r>
      <w:r w:rsidRPr="004F0942">
        <w:t>, Inquiry Report No. 76, Canberra.</w:t>
      </w:r>
    </w:p>
    <w:p w14:paraId="3211AF35" w14:textId="77777777" w:rsidR="004F0942" w:rsidRPr="004F0942" w:rsidRDefault="004F0942" w:rsidP="00C1607E">
      <w:pPr>
        <w:pStyle w:val="Reference"/>
      </w:pPr>
      <w:r w:rsidRPr="004F0942">
        <w:t xml:space="preserve">—— (Productivity Commission) </w:t>
      </w:r>
      <w:proofErr w:type="spellStart"/>
      <w:r w:rsidRPr="004F0942">
        <w:t>2015c</w:t>
      </w:r>
      <w:proofErr w:type="spellEnd"/>
      <w:r w:rsidRPr="004F0942">
        <w:t xml:space="preserve">, </w:t>
      </w:r>
      <w:r w:rsidRPr="004F0942">
        <w:rPr>
          <w:i/>
          <w:iCs/>
        </w:rPr>
        <w:t>Workplace Relations Framework, Final Report</w:t>
      </w:r>
      <w:r w:rsidRPr="004F0942">
        <w:t>, 30 November, Inquiry Report No. 76, Canberra.</w:t>
      </w:r>
    </w:p>
    <w:p w14:paraId="6B7B4CDB" w14:textId="77777777" w:rsidR="004F0942" w:rsidRPr="004F0942" w:rsidRDefault="004F0942" w:rsidP="00C1607E">
      <w:pPr>
        <w:pStyle w:val="Reference"/>
      </w:pPr>
      <w:r w:rsidRPr="004F0942">
        <w:t xml:space="preserve">Wheatley, T. 2009, ‘Labour market outcomes for low-skilled people in Australia’, </w:t>
      </w:r>
      <w:r w:rsidRPr="004F0942">
        <w:rPr>
          <w:i/>
          <w:iCs/>
        </w:rPr>
        <w:t>Changes in the Australian Labour Market over the Economic Cycle</w:t>
      </w:r>
      <w:r w:rsidRPr="004F0942">
        <w:t>, Australian Fair Pay Commission Research Report, Australian Fair Pay Commission, pp. 37–58.</w:t>
      </w:r>
    </w:p>
    <w:p w14:paraId="00BB39BF" w14:textId="2CF24883" w:rsidR="0034060E" w:rsidRPr="0034060E" w:rsidRDefault="0034060E" w:rsidP="00C1607E">
      <w:pPr>
        <w:pStyle w:val="Reference"/>
      </w:pPr>
    </w:p>
    <w:sectPr w:rsidR="0034060E" w:rsidRPr="0034060E" w:rsidSect="0034060E">
      <w:headerReference w:type="even" r:id="rId73"/>
      <w:headerReference w:type="default" r:id="rId74"/>
      <w:footerReference w:type="even" r:id="rId75"/>
      <w:footerReference w:type="default" r:id="rId76"/>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B39E2" w14:textId="77777777" w:rsidR="007673E4" w:rsidRDefault="007673E4">
      <w:r>
        <w:separator/>
      </w:r>
    </w:p>
  </w:endnote>
  <w:endnote w:type="continuationSeparator" w:id="0">
    <w:p w14:paraId="00BB39E3" w14:textId="77777777" w:rsidR="007673E4" w:rsidRDefault="0076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B44FD" w14:paraId="3D795510" w14:textId="77777777" w:rsidTr="005F48ED">
      <w:trPr>
        <w:trHeight w:hRule="exact" w:val="567"/>
      </w:trPr>
      <w:tc>
        <w:tcPr>
          <w:tcW w:w="510" w:type="dxa"/>
        </w:tcPr>
        <w:p w14:paraId="52489DDE" w14:textId="77777777" w:rsidR="008B44FD" w:rsidRPr="00A24443" w:rsidRDefault="008B44F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631C">
            <w:rPr>
              <w:rStyle w:val="PageNumber"/>
              <w:caps w:val="0"/>
              <w:noProof/>
            </w:rPr>
            <w:t>i</w:t>
          </w:r>
          <w:r w:rsidRPr="00A24443">
            <w:rPr>
              <w:rStyle w:val="PageNumber"/>
              <w:caps w:val="0"/>
            </w:rPr>
            <w:fldChar w:fldCharType="end"/>
          </w:r>
        </w:p>
      </w:tc>
      <w:tc>
        <w:tcPr>
          <w:tcW w:w="7767" w:type="dxa"/>
        </w:tcPr>
        <w:p w14:paraId="46DD3D98" w14:textId="3BF3DD18" w:rsidR="008B44FD" w:rsidRPr="0013739A" w:rsidRDefault="008B44FD" w:rsidP="0013739A">
          <w:pPr>
            <w:pStyle w:val="Footer"/>
            <w:rPr>
              <w:rFonts w:cs="Arial"/>
            </w:rPr>
          </w:pPr>
          <w:proofErr w:type="spellStart"/>
          <w:r>
            <w:t>CGE</w:t>
          </w:r>
          <w:proofErr w:type="spellEnd"/>
          <w:r>
            <w:t xml:space="preserve"> MODELLING OF WORKPLACE RELATIONS</w:t>
          </w:r>
          <w:bookmarkStart w:id="4" w:name="DraftReportEven"/>
          <w:bookmarkEnd w:id="4"/>
        </w:p>
      </w:tc>
      <w:tc>
        <w:tcPr>
          <w:tcW w:w="510" w:type="dxa"/>
        </w:tcPr>
        <w:p w14:paraId="3090C8EF" w14:textId="77777777" w:rsidR="008B44FD" w:rsidRDefault="008B44FD" w:rsidP="0019293B">
          <w:pPr>
            <w:pStyle w:val="Footer"/>
          </w:pPr>
        </w:p>
      </w:tc>
    </w:tr>
  </w:tbl>
  <w:p w14:paraId="72C1114A" w14:textId="77777777" w:rsidR="008B44FD" w:rsidRDefault="008B44FD" w:rsidP="0019293B">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01" w14:textId="77777777" w:rsidTr="0034060E">
      <w:trPr>
        <w:trHeight w:val="567"/>
      </w:trPr>
      <w:tc>
        <w:tcPr>
          <w:tcW w:w="510" w:type="dxa"/>
          <w:tcBorders>
            <w:top w:val="single" w:sz="4" w:space="0" w:color="auto"/>
          </w:tcBorders>
          <w:shd w:val="clear" w:color="auto" w:fill="auto"/>
        </w:tcPr>
        <w:p w14:paraId="00BB39FE"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8</w:t>
          </w:r>
          <w:r>
            <w:rPr>
              <w:rStyle w:val="PageNumber"/>
            </w:rPr>
            <w:fldChar w:fldCharType="end"/>
          </w:r>
        </w:p>
      </w:tc>
      <w:tc>
        <w:tcPr>
          <w:tcW w:w="7767" w:type="dxa"/>
          <w:tcBorders>
            <w:top w:val="single" w:sz="4" w:space="0" w:color="auto"/>
          </w:tcBorders>
          <w:shd w:val="clear" w:color="auto" w:fill="auto"/>
        </w:tcPr>
        <w:p w14:paraId="00BB39FF"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00" w14:textId="77777777" w:rsidR="007673E4" w:rsidRDefault="007673E4" w:rsidP="0034060E">
          <w:pPr>
            <w:pStyle w:val="Footer"/>
          </w:pPr>
        </w:p>
      </w:tc>
    </w:tr>
  </w:tbl>
  <w:p w14:paraId="00BB3A02" w14:textId="77777777" w:rsidR="007673E4" w:rsidRPr="0034060E" w:rsidRDefault="007673E4" w:rsidP="0034060E">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06" w14:textId="77777777" w:rsidTr="0034060E">
      <w:trPr>
        <w:trHeight w:val="567"/>
      </w:trPr>
      <w:tc>
        <w:tcPr>
          <w:tcW w:w="510" w:type="dxa"/>
          <w:tcBorders>
            <w:top w:val="single" w:sz="4" w:space="0" w:color="auto"/>
          </w:tcBorders>
          <w:shd w:val="clear" w:color="auto" w:fill="auto"/>
        </w:tcPr>
        <w:p w14:paraId="00BB3A03" w14:textId="77777777" w:rsidR="007673E4" w:rsidRDefault="007673E4" w:rsidP="0034060E">
          <w:pPr>
            <w:pStyle w:val="Footer"/>
          </w:pPr>
        </w:p>
      </w:tc>
      <w:tc>
        <w:tcPr>
          <w:tcW w:w="7767" w:type="dxa"/>
          <w:tcBorders>
            <w:top w:val="single" w:sz="4" w:space="0" w:color="auto"/>
          </w:tcBorders>
          <w:shd w:val="clear" w:color="auto" w:fill="auto"/>
        </w:tcPr>
        <w:p w14:paraId="00BB3A04" w14:textId="77777777" w:rsidR="007673E4" w:rsidRDefault="007673E4" w:rsidP="0034060E">
          <w:pPr>
            <w:pStyle w:val="Footer"/>
            <w:jc w:val="right"/>
          </w:pPr>
          <w:r>
            <w:t>MODELLING APPROACH</w:t>
          </w:r>
        </w:p>
      </w:tc>
      <w:tc>
        <w:tcPr>
          <w:tcW w:w="510" w:type="dxa"/>
          <w:tcBorders>
            <w:top w:val="single" w:sz="4" w:space="0" w:color="auto"/>
          </w:tcBorders>
          <w:shd w:val="clear" w:color="auto" w:fill="auto"/>
        </w:tcPr>
        <w:p w14:paraId="00BB3A05"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9</w:t>
          </w:r>
          <w:r>
            <w:rPr>
              <w:rStyle w:val="PageNumber"/>
            </w:rPr>
            <w:fldChar w:fldCharType="end"/>
          </w:r>
        </w:p>
      </w:tc>
    </w:tr>
  </w:tbl>
  <w:p w14:paraId="00BB3A07" w14:textId="77777777" w:rsidR="007673E4" w:rsidRPr="0034060E" w:rsidRDefault="007673E4" w:rsidP="0034060E">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13" w14:textId="77777777" w:rsidTr="0034060E">
      <w:trPr>
        <w:trHeight w:val="567"/>
      </w:trPr>
      <w:tc>
        <w:tcPr>
          <w:tcW w:w="510" w:type="dxa"/>
          <w:tcBorders>
            <w:top w:val="single" w:sz="4" w:space="0" w:color="auto"/>
          </w:tcBorders>
          <w:shd w:val="clear" w:color="auto" w:fill="auto"/>
        </w:tcPr>
        <w:p w14:paraId="00BB3A10"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16</w:t>
          </w:r>
          <w:r>
            <w:rPr>
              <w:rStyle w:val="PageNumber"/>
            </w:rPr>
            <w:fldChar w:fldCharType="end"/>
          </w:r>
        </w:p>
      </w:tc>
      <w:tc>
        <w:tcPr>
          <w:tcW w:w="7767" w:type="dxa"/>
          <w:tcBorders>
            <w:top w:val="single" w:sz="4" w:space="0" w:color="auto"/>
          </w:tcBorders>
          <w:shd w:val="clear" w:color="auto" w:fill="auto"/>
        </w:tcPr>
        <w:p w14:paraId="00BB3A11"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12" w14:textId="77777777" w:rsidR="007673E4" w:rsidRDefault="007673E4" w:rsidP="0034060E">
          <w:pPr>
            <w:pStyle w:val="Footer"/>
          </w:pPr>
        </w:p>
      </w:tc>
    </w:tr>
  </w:tbl>
  <w:p w14:paraId="00BB3A14" w14:textId="77777777" w:rsidR="007673E4" w:rsidRPr="0034060E" w:rsidRDefault="007673E4" w:rsidP="0034060E">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18" w14:textId="77777777" w:rsidTr="0034060E">
      <w:trPr>
        <w:trHeight w:val="567"/>
      </w:trPr>
      <w:tc>
        <w:tcPr>
          <w:tcW w:w="510" w:type="dxa"/>
          <w:tcBorders>
            <w:top w:val="single" w:sz="4" w:space="0" w:color="auto"/>
          </w:tcBorders>
          <w:shd w:val="clear" w:color="auto" w:fill="auto"/>
        </w:tcPr>
        <w:p w14:paraId="00BB3A15" w14:textId="77777777" w:rsidR="007673E4" w:rsidRDefault="007673E4" w:rsidP="0034060E">
          <w:pPr>
            <w:pStyle w:val="Footer"/>
          </w:pPr>
        </w:p>
      </w:tc>
      <w:tc>
        <w:tcPr>
          <w:tcW w:w="7767" w:type="dxa"/>
          <w:tcBorders>
            <w:top w:val="single" w:sz="4" w:space="0" w:color="auto"/>
          </w:tcBorders>
          <w:shd w:val="clear" w:color="auto" w:fill="auto"/>
        </w:tcPr>
        <w:p w14:paraId="00BB3A16" w14:textId="77777777" w:rsidR="007673E4" w:rsidRDefault="007673E4" w:rsidP="0034060E">
          <w:pPr>
            <w:pStyle w:val="Footer"/>
            <w:jc w:val="right"/>
          </w:pPr>
          <w:r>
            <w:t>RESULTS</w:t>
          </w:r>
        </w:p>
      </w:tc>
      <w:tc>
        <w:tcPr>
          <w:tcW w:w="510" w:type="dxa"/>
          <w:tcBorders>
            <w:top w:val="single" w:sz="4" w:space="0" w:color="auto"/>
          </w:tcBorders>
          <w:shd w:val="clear" w:color="auto" w:fill="auto"/>
        </w:tcPr>
        <w:p w14:paraId="00BB3A17"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13</w:t>
          </w:r>
          <w:r>
            <w:rPr>
              <w:rStyle w:val="PageNumber"/>
            </w:rPr>
            <w:fldChar w:fldCharType="end"/>
          </w:r>
        </w:p>
      </w:tc>
    </w:tr>
  </w:tbl>
  <w:p w14:paraId="00BB3A19" w14:textId="77777777" w:rsidR="007673E4" w:rsidRPr="0034060E" w:rsidRDefault="007673E4" w:rsidP="0034060E">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25" w14:textId="77777777" w:rsidTr="0034060E">
      <w:trPr>
        <w:trHeight w:val="567"/>
      </w:trPr>
      <w:tc>
        <w:tcPr>
          <w:tcW w:w="510" w:type="dxa"/>
          <w:tcBorders>
            <w:top w:val="single" w:sz="4" w:space="0" w:color="auto"/>
          </w:tcBorders>
          <w:shd w:val="clear" w:color="auto" w:fill="auto"/>
        </w:tcPr>
        <w:p w14:paraId="00BB3A22"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18</w:t>
          </w:r>
          <w:r>
            <w:rPr>
              <w:rStyle w:val="PageNumber"/>
            </w:rPr>
            <w:fldChar w:fldCharType="end"/>
          </w:r>
        </w:p>
      </w:tc>
      <w:tc>
        <w:tcPr>
          <w:tcW w:w="7767" w:type="dxa"/>
          <w:tcBorders>
            <w:top w:val="single" w:sz="4" w:space="0" w:color="auto"/>
          </w:tcBorders>
          <w:shd w:val="clear" w:color="auto" w:fill="auto"/>
        </w:tcPr>
        <w:p w14:paraId="00BB3A23"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24" w14:textId="77777777" w:rsidR="007673E4" w:rsidRDefault="007673E4" w:rsidP="0034060E">
          <w:pPr>
            <w:pStyle w:val="Footer"/>
          </w:pPr>
        </w:p>
      </w:tc>
    </w:tr>
  </w:tbl>
  <w:p w14:paraId="00BB3A26" w14:textId="77777777" w:rsidR="007673E4" w:rsidRPr="0034060E" w:rsidRDefault="007673E4" w:rsidP="0034060E">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2A" w14:textId="77777777" w:rsidTr="0034060E">
      <w:trPr>
        <w:trHeight w:val="567"/>
      </w:trPr>
      <w:tc>
        <w:tcPr>
          <w:tcW w:w="510" w:type="dxa"/>
          <w:tcBorders>
            <w:top w:val="single" w:sz="4" w:space="0" w:color="auto"/>
          </w:tcBorders>
          <w:shd w:val="clear" w:color="auto" w:fill="auto"/>
        </w:tcPr>
        <w:p w14:paraId="00BB3A27" w14:textId="77777777" w:rsidR="007673E4" w:rsidRDefault="007673E4" w:rsidP="0034060E">
          <w:pPr>
            <w:pStyle w:val="Footer"/>
          </w:pPr>
        </w:p>
      </w:tc>
      <w:tc>
        <w:tcPr>
          <w:tcW w:w="7767" w:type="dxa"/>
          <w:tcBorders>
            <w:top w:val="single" w:sz="4" w:space="0" w:color="auto"/>
          </w:tcBorders>
          <w:shd w:val="clear" w:color="auto" w:fill="auto"/>
        </w:tcPr>
        <w:p w14:paraId="00BB3A28" w14:textId="77777777" w:rsidR="007673E4" w:rsidRDefault="007673E4" w:rsidP="0034060E">
          <w:pPr>
            <w:pStyle w:val="Footer"/>
            <w:jc w:val="right"/>
          </w:pPr>
          <w:r>
            <w:t>SENSITIVITY TESTING</w:t>
          </w:r>
        </w:p>
      </w:tc>
      <w:tc>
        <w:tcPr>
          <w:tcW w:w="510" w:type="dxa"/>
          <w:tcBorders>
            <w:top w:val="single" w:sz="4" w:space="0" w:color="auto"/>
          </w:tcBorders>
          <w:shd w:val="clear" w:color="auto" w:fill="auto"/>
        </w:tcPr>
        <w:p w14:paraId="00BB3A29"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17</w:t>
          </w:r>
          <w:r>
            <w:rPr>
              <w:rStyle w:val="PageNumber"/>
            </w:rPr>
            <w:fldChar w:fldCharType="end"/>
          </w:r>
        </w:p>
      </w:tc>
    </w:tr>
  </w:tbl>
  <w:p w14:paraId="00BB3A2B" w14:textId="77777777" w:rsidR="007673E4" w:rsidRPr="0034060E" w:rsidRDefault="007673E4" w:rsidP="0034060E">
    <w:pPr>
      <w:pStyle w:val="FooterEn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37" w14:textId="77777777" w:rsidTr="0034060E">
      <w:trPr>
        <w:trHeight w:val="567"/>
      </w:trPr>
      <w:tc>
        <w:tcPr>
          <w:tcW w:w="510" w:type="dxa"/>
          <w:tcBorders>
            <w:top w:val="single" w:sz="4" w:space="0" w:color="auto"/>
          </w:tcBorders>
          <w:shd w:val="clear" w:color="auto" w:fill="auto"/>
        </w:tcPr>
        <w:p w14:paraId="00BB3A34"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32</w:t>
          </w:r>
          <w:r>
            <w:rPr>
              <w:rStyle w:val="PageNumber"/>
            </w:rPr>
            <w:fldChar w:fldCharType="end"/>
          </w:r>
        </w:p>
      </w:tc>
      <w:tc>
        <w:tcPr>
          <w:tcW w:w="7767" w:type="dxa"/>
          <w:tcBorders>
            <w:top w:val="single" w:sz="4" w:space="0" w:color="auto"/>
          </w:tcBorders>
          <w:shd w:val="clear" w:color="auto" w:fill="auto"/>
        </w:tcPr>
        <w:p w14:paraId="00BB3A35"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36" w14:textId="77777777" w:rsidR="007673E4" w:rsidRDefault="007673E4" w:rsidP="0034060E">
          <w:pPr>
            <w:pStyle w:val="Footer"/>
          </w:pPr>
        </w:p>
      </w:tc>
    </w:tr>
  </w:tbl>
  <w:p w14:paraId="00BB3A38" w14:textId="77777777" w:rsidR="007673E4" w:rsidRPr="0034060E" w:rsidRDefault="007673E4" w:rsidP="0034060E">
    <w:pPr>
      <w:pStyle w:val="FooterEn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3C" w14:textId="77777777" w:rsidTr="0034060E">
      <w:trPr>
        <w:trHeight w:val="567"/>
      </w:trPr>
      <w:tc>
        <w:tcPr>
          <w:tcW w:w="510" w:type="dxa"/>
          <w:tcBorders>
            <w:top w:val="single" w:sz="4" w:space="0" w:color="auto"/>
          </w:tcBorders>
          <w:shd w:val="clear" w:color="auto" w:fill="auto"/>
        </w:tcPr>
        <w:p w14:paraId="00BB3A39" w14:textId="77777777" w:rsidR="007673E4" w:rsidRDefault="007673E4" w:rsidP="0034060E">
          <w:pPr>
            <w:pStyle w:val="Footer"/>
          </w:pPr>
        </w:p>
      </w:tc>
      <w:tc>
        <w:tcPr>
          <w:tcW w:w="7767" w:type="dxa"/>
          <w:tcBorders>
            <w:top w:val="single" w:sz="4" w:space="0" w:color="auto"/>
          </w:tcBorders>
          <w:shd w:val="clear" w:color="auto" w:fill="auto"/>
        </w:tcPr>
        <w:p w14:paraId="00BB3A3A" w14:textId="77777777" w:rsidR="007673E4" w:rsidRDefault="007673E4" w:rsidP="0034060E">
          <w:pPr>
            <w:pStyle w:val="Footer"/>
            <w:jc w:val="right"/>
          </w:pPr>
          <w:r>
            <w:t>THE MODEL</w:t>
          </w:r>
        </w:p>
      </w:tc>
      <w:tc>
        <w:tcPr>
          <w:tcW w:w="510" w:type="dxa"/>
          <w:tcBorders>
            <w:top w:val="single" w:sz="4" w:space="0" w:color="auto"/>
          </w:tcBorders>
          <w:shd w:val="clear" w:color="auto" w:fill="auto"/>
        </w:tcPr>
        <w:p w14:paraId="00BB3A3B"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33</w:t>
          </w:r>
          <w:r>
            <w:rPr>
              <w:rStyle w:val="PageNumber"/>
            </w:rPr>
            <w:fldChar w:fldCharType="end"/>
          </w:r>
        </w:p>
      </w:tc>
    </w:tr>
  </w:tbl>
  <w:p w14:paraId="00BB3A3D" w14:textId="77777777" w:rsidR="007673E4" w:rsidRPr="0034060E" w:rsidRDefault="007673E4" w:rsidP="0034060E">
    <w:pPr>
      <w:pStyle w:val="FooterEn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49" w14:textId="77777777" w:rsidTr="0034060E">
      <w:trPr>
        <w:trHeight w:val="567"/>
      </w:trPr>
      <w:tc>
        <w:tcPr>
          <w:tcW w:w="510" w:type="dxa"/>
          <w:tcBorders>
            <w:top w:val="single" w:sz="4" w:space="0" w:color="auto"/>
          </w:tcBorders>
          <w:shd w:val="clear" w:color="auto" w:fill="auto"/>
        </w:tcPr>
        <w:p w14:paraId="00BB3A46"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50</w:t>
          </w:r>
          <w:r>
            <w:rPr>
              <w:rStyle w:val="PageNumber"/>
            </w:rPr>
            <w:fldChar w:fldCharType="end"/>
          </w:r>
        </w:p>
      </w:tc>
      <w:tc>
        <w:tcPr>
          <w:tcW w:w="7767" w:type="dxa"/>
          <w:tcBorders>
            <w:top w:val="single" w:sz="4" w:space="0" w:color="auto"/>
          </w:tcBorders>
          <w:shd w:val="clear" w:color="auto" w:fill="auto"/>
        </w:tcPr>
        <w:p w14:paraId="00BB3A47"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48" w14:textId="77777777" w:rsidR="007673E4" w:rsidRDefault="007673E4" w:rsidP="0034060E">
          <w:pPr>
            <w:pStyle w:val="Footer"/>
          </w:pPr>
        </w:p>
      </w:tc>
    </w:tr>
  </w:tbl>
  <w:p w14:paraId="00BB3A4A" w14:textId="77777777" w:rsidR="007673E4" w:rsidRPr="0034060E" w:rsidRDefault="007673E4" w:rsidP="0034060E">
    <w:pPr>
      <w:pStyle w:val="FooterEnd"/>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4E" w14:textId="77777777" w:rsidTr="0034060E">
      <w:trPr>
        <w:trHeight w:val="567"/>
      </w:trPr>
      <w:tc>
        <w:tcPr>
          <w:tcW w:w="510" w:type="dxa"/>
          <w:tcBorders>
            <w:top w:val="single" w:sz="4" w:space="0" w:color="auto"/>
          </w:tcBorders>
          <w:shd w:val="clear" w:color="auto" w:fill="auto"/>
        </w:tcPr>
        <w:p w14:paraId="00BB3A4B" w14:textId="77777777" w:rsidR="007673E4" w:rsidRDefault="007673E4" w:rsidP="0034060E">
          <w:pPr>
            <w:pStyle w:val="Footer"/>
          </w:pPr>
        </w:p>
      </w:tc>
      <w:tc>
        <w:tcPr>
          <w:tcW w:w="7767" w:type="dxa"/>
          <w:tcBorders>
            <w:top w:val="single" w:sz="4" w:space="0" w:color="auto"/>
          </w:tcBorders>
          <w:shd w:val="clear" w:color="auto" w:fill="auto"/>
        </w:tcPr>
        <w:p w14:paraId="00BB3A4C" w14:textId="77777777" w:rsidR="007673E4" w:rsidRDefault="007673E4" w:rsidP="0034060E">
          <w:pPr>
            <w:pStyle w:val="Footer"/>
            <w:jc w:val="right"/>
          </w:pPr>
          <w:r>
            <w:t>DATABASE</w:t>
          </w:r>
        </w:p>
      </w:tc>
      <w:tc>
        <w:tcPr>
          <w:tcW w:w="510" w:type="dxa"/>
          <w:tcBorders>
            <w:top w:val="single" w:sz="4" w:space="0" w:color="auto"/>
          </w:tcBorders>
          <w:shd w:val="clear" w:color="auto" w:fill="auto"/>
        </w:tcPr>
        <w:p w14:paraId="00BB3A4D"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49</w:t>
          </w:r>
          <w:r>
            <w:rPr>
              <w:rStyle w:val="PageNumber"/>
            </w:rPr>
            <w:fldChar w:fldCharType="end"/>
          </w:r>
        </w:p>
      </w:tc>
    </w:tr>
  </w:tbl>
  <w:p w14:paraId="00BB3A4F" w14:textId="77777777" w:rsidR="007673E4" w:rsidRPr="0034060E" w:rsidRDefault="007673E4" w:rsidP="0034060E">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B44FD" w14:paraId="3EE90691" w14:textId="77777777" w:rsidTr="005C44EE">
      <w:trPr>
        <w:trHeight w:hRule="exact" w:val="567"/>
      </w:trPr>
      <w:tc>
        <w:tcPr>
          <w:tcW w:w="510" w:type="dxa"/>
        </w:tcPr>
        <w:p w14:paraId="5F34B96A" w14:textId="77777777" w:rsidR="008B44FD" w:rsidRPr="00A24443" w:rsidRDefault="008B44FD" w:rsidP="005C44EE">
          <w:pPr>
            <w:pStyle w:val="Footer"/>
            <w:tabs>
              <w:tab w:val="left" w:pos="0"/>
            </w:tabs>
            <w:ind w:right="0"/>
            <w:rPr>
              <w:rStyle w:val="PageNumber"/>
              <w:caps w:val="0"/>
            </w:rPr>
          </w:pPr>
          <w:r>
            <w:rPr>
              <w:rStyle w:val="PageNumber"/>
              <w:caps w:val="0"/>
              <w:noProof/>
            </w:rPr>
            <w:t>iv</w:t>
          </w:r>
        </w:p>
      </w:tc>
      <w:tc>
        <w:tcPr>
          <w:tcW w:w="7767" w:type="dxa"/>
        </w:tcPr>
        <w:p w14:paraId="04B9F2D9" w14:textId="77777777" w:rsidR="008B44FD" w:rsidRPr="0013739A" w:rsidRDefault="008B44FD" w:rsidP="005C44EE">
          <w:pPr>
            <w:pStyle w:val="Footer"/>
            <w:rPr>
              <w:rFonts w:cs="Arial"/>
            </w:rPr>
          </w:pPr>
          <w:proofErr w:type="spellStart"/>
          <w:r>
            <w:rPr>
              <w:rFonts w:cs="Arial"/>
            </w:rPr>
            <w:t>CGE</w:t>
          </w:r>
          <w:proofErr w:type="spellEnd"/>
          <w:r>
            <w:rPr>
              <w:rFonts w:cs="Arial"/>
            </w:rPr>
            <w:t xml:space="preserve"> Modelling of Workplace Relations</w:t>
          </w:r>
        </w:p>
      </w:tc>
      <w:tc>
        <w:tcPr>
          <w:tcW w:w="510" w:type="dxa"/>
        </w:tcPr>
        <w:p w14:paraId="6CA6326A" w14:textId="77777777" w:rsidR="008B44FD" w:rsidRDefault="008B44FD" w:rsidP="005C44EE">
          <w:pPr>
            <w:pStyle w:val="Footer"/>
          </w:pPr>
        </w:p>
      </w:tc>
    </w:tr>
  </w:tbl>
  <w:p w14:paraId="0CADBE79" w14:textId="77777777" w:rsidR="008B44FD" w:rsidRDefault="008B44FD" w:rsidP="005C44EE">
    <w:pPr>
      <w:pStyle w:val="FooterEnd"/>
    </w:pPr>
  </w:p>
  <w:p w14:paraId="0070DA9D" w14:textId="77777777" w:rsidR="008B44FD" w:rsidRDefault="008B44FD">
    <w:pPr>
      <w:pStyle w:val="FooterEnd"/>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5B" w14:textId="77777777" w:rsidTr="0034060E">
      <w:trPr>
        <w:trHeight w:val="567"/>
      </w:trPr>
      <w:tc>
        <w:tcPr>
          <w:tcW w:w="510" w:type="dxa"/>
          <w:tcBorders>
            <w:top w:val="single" w:sz="4" w:space="0" w:color="auto"/>
          </w:tcBorders>
          <w:shd w:val="clear" w:color="auto" w:fill="auto"/>
        </w:tcPr>
        <w:p w14:paraId="00BB3A58"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56</w:t>
          </w:r>
          <w:r>
            <w:rPr>
              <w:rStyle w:val="PageNumber"/>
            </w:rPr>
            <w:fldChar w:fldCharType="end"/>
          </w:r>
        </w:p>
      </w:tc>
      <w:tc>
        <w:tcPr>
          <w:tcW w:w="7767" w:type="dxa"/>
          <w:tcBorders>
            <w:top w:val="single" w:sz="4" w:space="0" w:color="auto"/>
          </w:tcBorders>
          <w:shd w:val="clear" w:color="auto" w:fill="auto"/>
        </w:tcPr>
        <w:p w14:paraId="00BB3A59"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5A" w14:textId="77777777" w:rsidR="007673E4" w:rsidRDefault="007673E4" w:rsidP="0034060E">
          <w:pPr>
            <w:pStyle w:val="Footer"/>
          </w:pPr>
        </w:p>
      </w:tc>
    </w:tr>
  </w:tbl>
  <w:p w14:paraId="00BB3A5C" w14:textId="77777777" w:rsidR="007673E4" w:rsidRPr="0034060E" w:rsidRDefault="007673E4" w:rsidP="0034060E">
    <w:pPr>
      <w:pStyle w:val="FooterEnd"/>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60" w14:textId="77777777" w:rsidTr="0034060E">
      <w:trPr>
        <w:trHeight w:val="567"/>
      </w:trPr>
      <w:tc>
        <w:tcPr>
          <w:tcW w:w="510" w:type="dxa"/>
          <w:tcBorders>
            <w:top w:val="single" w:sz="4" w:space="0" w:color="auto"/>
          </w:tcBorders>
          <w:shd w:val="clear" w:color="auto" w:fill="auto"/>
        </w:tcPr>
        <w:p w14:paraId="00BB3A5D" w14:textId="77777777" w:rsidR="007673E4" w:rsidRDefault="007673E4" w:rsidP="0034060E">
          <w:pPr>
            <w:pStyle w:val="Footer"/>
          </w:pPr>
        </w:p>
      </w:tc>
      <w:tc>
        <w:tcPr>
          <w:tcW w:w="7767" w:type="dxa"/>
          <w:tcBorders>
            <w:top w:val="single" w:sz="4" w:space="0" w:color="auto"/>
          </w:tcBorders>
          <w:shd w:val="clear" w:color="auto" w:fill="auto"/>
        </w:tcPr>
        <w:p w14:paraId="00BB3A5E" w14:textId="77777777" w:rsidR="007673E4" w:rsidRDefault="007673E4" w:rsidP="0034060E">
          <w:pPr>
            <w:pStyle w:val="Footer"/>
            <w:jc w:val="right"/>
          </w:pPr>
          <w:r>
            <w:t>SCENARIOS</w:t>
          </w:r>
        </w:p>
      </w:tc>
      <w:tc>
        <w:tcPr>
          <w:tcW w:w="510" w:type="dxa"/>
          <w:tcBorders>
            <w:top w:val="single" w:sz="4" w:space="0" w:color="auto"/>
          </w:tcBorders>
          <w:shd w:val="clear" w:color="auto" w:fill="auto"/>
        </w:tcPr>
        <w:p w14:paraId="00BB3A5F"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55</w:t>
          </w:r>
          <w:r>
            <w:rPr>
              <w:rStyle w:val="PageNumber"/>
            </w:rPr>
            <w:fldChar w:fldCharType="end"/>
          </w:r>
        </w:p>
      </w:tc>
    </w:tr>
  </w:tbl>
  <w:p w14:paraId="00BB3A61" w14:textId="77777777" w:rsidR="007673E4" w:rsidRPr="0034060E" w:rsidRDefault="007673E4" w:rsidP="0034060E">
    <w:pPr>
      <w:pStyle w:val="FooterEnd"/>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6D" w14:textId="77777777" w:rsidTr="0034060E">
      <w:trPr>
        <w:trHeight w:val="567"/>
      </w:trPr>
      <w:tc>
        <w:tcPr>
          <w:tcW w:w="510" w:type="dxa"/>
          <w:tcBorders>
            <w:top w:val="single" w:sz="4" w:space="0" w:color="auto"/>
          </w:tcBorders>
          <w:shd w:val="clear" w:color="auto" w:fill="auto"/>
        </w:tcPr>
        <w:p w14:paraId="00BB3A6A"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58</w:t>
          </w:r>
          <w:r>
            <w:rPr>
              <w:rStyle w:val="PageNumber"/>
            </w:rPr>
            <w:fldChar w:fldCharType="end"/>
          </w:r>
        </w:p>
      </w:tc>
      <w:tc>
        <w:tcPr>
          <w:tcW w:w="7767" w:type="dxa"/>
          <w:tcBorders>
            <w:top w:val="single" w:sz="4" w:space="0" w:color="auto"/>
          </w:tcBorders>
          <w:shd w:val="clear" w:color="auto" w:fill="auto"/>
        </w:tcPr>
        <w:p w14:paraId="00BB3A6B"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A6C" w14:textId="77777777" w:rsidR="007673E4" w:rsidRDefault="007673E4" w:rsidP="0034060E">
          <w:pPr>
            <w:pStyle w:val="Footer"/>
          </w:pPr>
        </w:p>
      </w:tc>
    </w:tr>
  </w:tbl>
  <w:p w14:paraId="00BB3A6E" w14:textId="77777777" w:rsidR="007673E4" w:rsidRPr="0034060E" w:rsidRDefault="007673E4" w:rsidP="0034060E">
    <w:pPr>
      <w:pStyle w:val="FooterEnd"/>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A72" w14:textId="77777777" w:rsidTr="0034060E">
      <w:trPr>
        <w:trHeight w:val="567"/>
      </w:trPr>
      <w:tc>
        <w:tcPr>
          <w:tcW w:w="510" w:type="dxa"/>
          <w:tcBorders>
            <w:top w:val="single" w:sz="4" w:space="0" w:color="auto"/>
          </w:tcBorders>
          <w:shd w:val="clear" w:color="auto" w:fill="auto"/>
        </w:tcPr>
        <w:p w14:paraId="00BB3A6F" w14:textId="77777777" w:rsidR="007673E4" w:rsidRDefault="007673E4" w:rsidP="0034060E">
          <w:pPr>
            <w:pStyle w:val="Footer"/>
          </w:pPr>
        </w:p>
      </w:tc>
      <w:tc>
        <w:tcPr>
          <w:tcW w:w="7767" w:type="dxa"/>
          <w:tcBorders>
            <w:top w:val="single" w:sz="4" w:space="0" w:color="auto"/>
          </w:tcBorders>
          <w:shd w:val="clear" w:color="auto" w:fill="auto"/>
        </w:tcPr>
        <w:p w14:paraId="00BB3A70" w14:textId="77777777" w:rsidR="007673E4" w:rsidRDefault="007673E4" w:rsidP="0034060E">
          <w:pPr>
            <w:pStyle w:val="Footer"/>
            <w:jc w:val="right"/>
          </w:pPr>
          <w:r>
            <w:t>References</w:t>
          </w:r>
        </w:p>
      </w:tc>
      <w:tc>
        <w:tcPr>
          <w:tcW w:w="510" w:type="dxa"/>
          <w:tcBorders>
            <w:top w:val="single" w:sz="4" w:space="0" w:color="auto"/>
          </w:tcBorders>
          <w:shd w:val="clear" w:color="auto" w:fill="auto"/>
        </w:tcPr>
        <w:p w14:paraId="00BB3A71"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57</w:t>
          </w:r>
          <w:r>
            <w:rPr>
              <w:rStyle w:val="PageNumber"/>
            </w:rPr>
            <w:fldChar w:fldCharType="end"/>
          </w:r>
        </w:p>
      </w:tc>
    </w:tr>
  </w:tbl>
  <w:p w14:paraId="00BB3A73" w14:textId="77777777" w:rsidR="007673E4" w:rsidRPr="0034060E" w:rsidRDefault="007673E4" w:rsidP="0034060E">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B44FD" w14:paraId="7E423D0C" w14:textId="77777777" w:rsidTr="005C44EE">
      <w:trPr>
        <w:trHeight w:hRule="exact" w:val="567"/>
      </w:trPr>
      <w:tc>
        <w:tcPr>
          <w:tcW w:w="510" w:type="dxa"/>
        </w:tcPr>
        <w:p w14:paraId="263C3D3B" w14:textId="77777777" w:rsidR="008B44FD" w:rsidRDefault="008B44FD">
          <w:pPr>
            <w:pStyle w:val="Footer"/>
            <w:ind w:right="360" w:firstLine="360"/>
          </w:pPr>
        </w:p>
      </w:tc>
      <w:tc>
        <w:tcPr>
          <w:tcW w:w="7767" w:type="dxa"/>
        </w:tcPr>
        <w:p w14:paraId="7005D609" w14:textId="77777777" w:rsidR="008B44FD" w:rsidRPr="00BA5B14" w:rsidRDefault="008B44FD" w:rsidP="007448F7">
          <w:pPr>
            <w:pStyle w:val="Footer"/>
            <w:jc w:val="right"/>
            <w:rPr>
              <w:rFonts w:cs="Arial"/>
            </w:rPr>
          </w:pPr>
          <w:r w:rsidRPr="00C51A00">
            <w:rPr>
              <w:bCs/>
              <w:noProof/>
            </w:rPr>
            <w:t>Contents</w:t>
          </w:r>
          <w:r>
            <w:rPr>
              <w:rFonts w:cs="Arial"/>
            </w:rPr>
            <w:t xml:space="preserve"> </w:t>
          </w:r>
        </w:p>
      </w:tc>
      <w:tc>
        <w:tcPr>
          <w:tcW w:w="510" w:type="dxa"/>
        </w:tcPr>
        <w:p w14:paraId="2AF11869" w14:textId="77777777" w:rsidR="008B44FD" w:rsidRPr="007448F7" w:rsidRDefault="008B44FD">
          <w:pPr>
            <w:pStyle w:val="Footer"/>
            <w:jc w:val="right"/>
            <w:rPr>
              <w:caps w:val="0"/>
            </w:rPr>
          </w:pPr>
          <w:r>
            <w:rPr>
              <w:rStyle w:val="PageNumber"/>
              <w:caps w:val="0"/>
              <w:noProof/>
            </w:rPr>
            <w:t>iii</w:t>
          </w:r>
        </w:p>
      </w:tc>
    </w:tr>
  </w:tbl>
  <w:p w14:paraId="4E2CEB72" w14:textId="77777777" w:rsidR="008B44FD" w:rsidRDefault="008B44FD">
    <w:pPr>
      <w:pStyle w:val="FooterEnd"/>
    </w:pPr>
  </w:p>
  <w:p w14:paraId="2C515872" w14:textId="77777777" w:rsidR="008B44FD" w:rsidRDefault="008B44F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B44FD" w14:paraId="2C3798D0" w14:textId="77777777" w:rsidTr="005C44EE">
      <w:trPr>
        <w:trHeight w:hRule="exact" w:val="567"/>
      </w:trPr>
      <w:tc>
        <w:tcPr>
          <w:tcW w:w="510" w:type="dxa"/>
        </w:tcPr>
        <w:p w14:paraId="03139509" w14:textId="77777777" w:rsidR="008B44FD" w:rsidRPr="00A24443" w:rsidRDefault="008B44FD" w:rsidP="005C44E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21493132" w14:textId="77777777" w:rsidR="008B44FD" w:rsidRPr="0013739A" w:rsidRDefault="008B44FD" w:rsidP="005C44EE">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Technical supplement</w:t>
          </w:r>
          <w:r w:rsidRPr="00BA5B14">
            <w:rPr>
              <w:rFonts w:cs="Arial"/>
            </w:rPr>
            <w:fldChar w:fldCharType="end"/>
          </w:r>
        </w:p>
      </w:tc>
      <w:tc>
        <w:tcPr>
          <w:tcW w:w="510" w:type="dxa"/>
        </w:tcPr>
        <w:p w14:paraId="0FF1041D" w14:textId="77777777" w:rsidR="008B44FD" w:rsidRDefault="008B44FD" w:rsidP="005C44EE">
          <w:pPr>
            <w:pStyle w:val="Footer"/>
          </w:pPr>
        </w:p>
      </w:tc>
    </w:tr>
  </w:tbl>
  <w:p w14:paraId="6BEE39F4" w14:textId="77777777" w:rsidR="008B44FD" w:rsidRDefault="008B44FD" w:rsidP="005C44EE">
    <w:pPr>
      <w:pStyle w:val="FooterEnd"/>
    </w:pPr>
  </w:p>
  <w:p w14:paraId="2D32300A" w14:textId="77777777" w:rsidR="008B44FD" w:rsidRDefault="008B44F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B44FD" w14:paraId="24C33033" w14:textId="77777777" w:rsidTr="005C44EE">
      <w:trPr>
        <w:trHeight w:hRule="exact" w:val="567"/>
      </w:trPr>
      <w:tc>
        <w:tcPr>
          <w:tcW w:w="510" w:type="dxa"/>
        </w:tcPr>
        <w:p w14:paraId="69FB7D48" w14:textId="77777777" w:rsidR="008B44FD" w:rsidRDefault="008B44FD">
          <w:pPr>
            <w:pStyle w:val="Footer"/>
            <w:ind w:right="360" w:firstLine="360"/>
          </w:pPr>
        </w:p>
      </w:tc>
      <w:tc>
        <w:tcPr>
          <w:tcW w:w="7767" w:type="dxa"/>
        </w:tcPr>
        <w:p w14:paraId="70022DD0" w14:textId="77777777" w:rsidR="008B44FD" w:rsidRPr="00A90DAF" w:rsidRDefault="008B44FD" w:rsidP="005C44EE">
          <w:pPr>
            <w:pStyle w:val="Footer"/>
            <w:jc w:val="right"/>
            <w:rPr>
              <w:rFonts w:cs="Arial"/>
            </w:rPr>
          </w:pPr>
          <w:r w:rsidRPr="00C51A00">
            <w:rPr>
              <w:bCs/>
              <w:noProof/>
              <w:lang w:val="en-US"/>
            </w:rPr>
            <w:t>Acknowledgments</w:t>
          </w:r>
        </w:p>
      </w:tc>
      <w:tc>
        <w:tcPr>
          <w:tcW w:w="510" w:type="dxa"/>
        </w:tcPr>
        <w:p w14:paraId="1EA46BAB" w14:textId="77777777" w:rsidR="008B44FD" w:rsidRPr="00A24443" w:rsidRDefault="008B44F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631C">
            <w:rPr>
              <w:rStyle w:val="PageNumber"/>
              <w:caps w:val="0"/>
              <w:noProof/>
            </w:rPr>
            <w:t>v</w:t>
          </w:r>
          <w:r w:rsidRPr="00A24443">
            <w:rPr>
              <w:rStyle w:val="PageNumber"/>
              <w:caps w:val="0"/>
            </w:rPr>
            <w:fldChar w:fldCharType="end"/>
          </w:r>
        </w:p>
      </w:tc>
    </w:tr>
  </w:tbl>
  <w:p w14:paraId="6F1CED64" w14:textId="77777777" w:rsidR="008B44FD" w:rsidRDefault="008B44FD">
    <w:pPr>
      <w:pStyle w:val="FooterEnd"/>
    </w:pPr>
  </w:p>
  <w:p w14:paraId="43CBFF80" w14:textId="77777777" w:rsidR="008B44FD" w:rsidRDefault="008B44FD">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9EF" w14:textId="77777777" w:rsidTr="0034060E">
      <w:trPr>
        <w:trHeight w:val="567"/>
      </w:trPr>
      <w:tc>
        <w:tcPr>
          <w:tcW w:w="510" w:type="dxa"/>
          <w:tcBorders>
            <w:top w:val="single" w:sz="4" w:space="0" w:color="auto"/>
          </w:tcBorders>
          <w:shd w:val="clear" w:color="auto" w:fill="auto"/>
        </w:tcPr>
        <w:p w14:paraId="00BB39EC" w14:textId="77777777" w:rsidR="007673E4" w:rsidRPr="0034060E" w:rsidRDefault="007673E4"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B44FD">
            <w:rPr>
              <w:rStyle w:val="PageNumber"/>
              <w:noProof/>
            </w:rPr>
            <w:t>4</w:t>
          </w:r>
          <w:r>
            <w:rPr>
              <w:rStyle w:val="PageNumber"/>
            </w:rPr>
            <w:fldChar w:fldCharType="end"/>
          </w:r>
        </w:p>
      </w:tc>
      <w:tc>
        <w:tcPr>
          <w:tcW w:w="7767" w:type="dxa"/>
          <w:tcBorders>
            <w:top w:val="single" w:sz="4" w:space="0" w:color="auto"/>
          </w:tcBorders>
          <w:shd w:val="clear" w:color="auto" w:fill="auto"/>
        </w:tcPr>
        <w:p w14:paraId="00BB39ED" w14:textId="77777777" w:rsidR="007673E4" w:rsidRDefault="007673E4"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00BB39EE" w14:textId="77777777" w:rsidR="007673E4" w:rsidRDefault="007673E4" w:rsidP="0034060E">
          <w:pPr>
            <w:pStyle w:val="Footer"/>
          </w:pPr>
        </w:p>
      </w:tc>
    </w:tr>
  </w:tbl>
  <w:p w14:paraId="00BB39F0" w14:textId="77777777" w:rsidR="007673E4" w:rsidRPr="0034060E" w:rsidRDefault="007673E4" w:rsidP="0034060E">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673E4" w14:paraId="00BB39F4" w14:textId="77777777" w:rsidTr="0034060E">
      <w:trPr>
        <w:trHeight w:val="567"/>
      </w:trPr>
      <w:tc>
        <w:tcPr>
          <w:tcW w:w="510" w:type="dxa"/>
          <w:tcBorders>
            <w:top w:val="single" w:sz="4" w:space="0" w:color="auto"/>
          </w:tcBorders>
          <w:shd w:val="clear" w:color="auto" w:fill="auto"/>
        </w:tcPr>
        <w:p w14:paraId="00BB39F1" w14:textId="77777777" w:rsidR="007673E4" w:rsidRDefault="007673E4" w:rsidP="0034060E">
          <w:pPr>
            <w:pStyle w:val="Footer"/>
          </w:pPr>
        </w:p>
      </w:tc>
      <w:tc>
        <w:tcPr>
          <w:tcW w:w="7767" w:type="dxa"/>
          <w:tcBorders>
            <w:top w:val="single" w:sz="4" w:space="0" w:color="auto"/>
          </w:tcBorders>
          <w:shd w:val="clear" w:color="auto" w:fill="auto"/>
        </w:tcPr>
        <w:p w14:paraId="00BB39F2" w14:textId="77777777" w:rsidR="007673E4" w:rsidRDefault="007673E4" w:rsidP="0034060E">
          <w:pPr>
            <w:pStyle w:val="Footer"/>
            <w:jc w:val="right"/>
          </w:pPr>
          <w:r>
            <w:t>INTRODUCTION</w:t>
          </w:r>
        </w:p>
      </w:tc>
      <w:tc>
        <w:tcPr>
          <w:tcW w:w="510" w:type="dxa"/>
          <w:tcBorders>
            <w:top w:val="single" w:sz="4" w:space="0" w:color="auto"/>
          </w:tcBorders>
          <w:shd w:val="clear" w:color="auto" w:fill="auto"/>
        </w:tcPr>
        <w:p w14:paraId="00BB39F3" w14:textId="77777777" w:rsidR="007673E4" w:rsidRPr="0034060E" w:rsidRDefault="007673E4"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B44FD">
            <w:rPr>
              <w:rStyle w:val="PageNumber"/>
              <w:noProof/>
            </w:rPr>
            <w:t>1</w:t>
          </w:r>
          <w:r>
            <w:rPr>
              <w:rStyle w:val="PageNumber"/>
            </w:rPr>
            <w:fldChar w:fldCharType="end"/>
          </w:r>
        </w:p>
      </w:tc>
    </w:tr>
  </w:tbl>
  <w:p w14:paraId="00BB39F5" w14:textId="77777777" w:rsidR="007673E4" w:rsidRPr="0034060E" w:rsidRDefault="007673E4" w:rsidP="0034060E">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B44FD" w14:paraId="2B9569BB" w14:textId="77777777" w:rsidTr="0034060E">
      <w:trPr>
        <w:trHeight w:val="567"/>
      </w:trPr>
      <w:tc>
        <w:tcPr>
          <w:tcW w:w="510" w:type="dxa"/>
          <w:tcBorders>
            <w:top w:val="single" w:sz="4" w:space="0" w:color="auto"/>
          </w:tcBorders>
          <w:shd w:val="clear" w:color="auto" w:fill="auto"/>
        </w:tcPr>
        <w:p w14:paraId="2C4A2CF4" w14:textId="77777777" w:rsidR="008B44FD" w:rsidRPr="0034060E" w:rsidRDefault="008B44FD" w:rsidP="0034060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2</w:t>
          </w:r>
          <w:r>
            <w:rPr>
              <w:rStyle w:val="PageNumber"/>
            </w:rPr>
            <w:fldChar w:fldCharType="end"/>
          </w:r>
        </w:p>
      </w:tc>
      <w:tc>
        <w:tcPr>
          <w:tcW w:w="7767" w:type="dxa"/>
          <w:tcBorders>
            <w:top w:val="single" w:sz="4" w:space="0" w:color="auto"/>
          </w:tcBorders>
          <w:shd w:val="clear" w:color="auto" w:fill="auto"/>
        </w:tcPr>
        <w:p w14:paraId="34AB643C" w14:textId="77777777" w:rsidR="008B44FD" w:rsidRDefault="008B44FD" w:rsidP="0034060E">
          <w:pPr>
            <w:pStyle w:val="Footer"/>
          </w:pPr>
          <w:proofErr w:type="spellStart"/>
          <w:r>
            <w:t>CGE</w:t>
          </w:r>
          <w:proofErr w:type="spellEnd"/>
          <w:r>
            <w:t xml:space="preserve"> MODELLING OF WORKPLACE RELATIONS</w:t>
          </w:r>
        </w:p>
      </w:tc>
      <w:tc>
        <w:tcPr>
          <w:tcW w:w="510" w:type="dxa"/>
          <w:tcBorders>
            <w:top w:val="single" w:sz="4" w:space="0" w:color="auto"/>
          </w:tcBorders>
          <w:shd w:val="clear" w:color="auto" w:fill="auto"/>
        </w:tcPr>
        <w:p w14:paraId="2E31123D" w14:textId="77777777" w:rsidR="008B44FD" w:rsidRDefault="008B44FD" w:rsidP="0034060E">
          <w:pPr>
            <w:pStyle w:val="Footer"/>
          </w:pPr>
        </w:p>
      </w:tc>
    </w:tr>
  </w:tbl>
  <w:p w14:paraId="1E05EDEC" w14:textId="77777777" w:rsidR="008B44FD" w:rsidRPr="0034060E" w:rsidRDefault="008B44FD" w:rsidP="0034060E">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B44FD" w14:paraId="0945BF57" w14:textId="77777777" w:rsidTr="0034060E">
      <w:trPr>
        <w:trHeight w:val="567"/>
      </w:trPr>
      <w:tc>
        <w:tcPr>
          <w:tcW w:w="510" w:type="dxa"/>
          <w:tcBorders>
            <w:top w:val="single" w:sz="4" w:space="0" w:color="auto"/>
          </w:tcBorders>
          <w:shd w:val="clear" w:color="auto" w:fill="auto"/>
        </w:tcPr>
        <w:p w14:paraId="5AF6C985" w14:textId="77777777" w:rsidR="008B44FD" w:rsidRDefault="008B44FD" w:rsidP="0034060E">
          <w:pPr>
            <w:pStyle w:val="Footer"/>
          </w:pPr>
        </w:p>
      </w:tc>
      <w:tc>
        <w:tcPr>
          <w:tcW w:w="7767" w:type="dxa"/>
          <w:tcBorders>
            <w:top w:val="single" w:sz="4" w:space="0" w:color="auto"/>
          </w:tcBorders>
          <w:shd w:val="clear" w:color="auto" w:fill="auto"/>
        </w:tcPr>
        <w:p w14:paraId="489DDD91" w14:textId="77777777" w:rsidR="008B44FD" w:rsidRDefault="008B44FD" w:rsidP="0034060E">
          <w:pPr>
            <w:pStyle w:val="Footer"/>
            <w:jc w:val="right"/>
          </w:pPr>
          <w:r>
            <w:t>INTRODUCTION</w:t>
          </w:r>
        </w:p>
      </w:tc>
      <w:tc>
        <w:tcPr>
          <w:tcW w:w="510" w:type="dxa"/>
          <w:tcBorders>
            <w:top w:val="single" w:sz="4" w:space="0" w:color="auto"/>
          </w:tcBorders>
          <w:shd w:val="clear" w:color="auto" w:fill="auto"/>
        </w:tcPr>
        <w:p w14:paraId="6B49CCE1" w14:textId="77777777" w:rsidR="008B44FD" w:rsidRPr="0034060E" w:rsidRDefault="008B44FD" w:rsidP="0034060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1631C">
            <w:rPr>
              <w:rStyle w:val="PageNumber"/>
              <w:noProof/>
            </w:rPr>
            <w:t>3</w:t>
          </w:r>
          <w:r>
            <w:rPr>
              <w:rStyle w:val="PageNumber"/>
            </w:rPr>
            <w:fldChar w:fldCharType="end"/>
          </w:r>
        </w:p>
      </w:tc>
    </w:tr>
  </w:tbl>
  <w:p w14:paraId="53CA19C9" w14:textId="77777777" w:rsidR="008B44FD" w:rsidRPr="0034060E" w:rsidRDefault="008B44FD" w:rsidP="0034060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B39E0" w14:textId="77777777" w:rsidR="007673E4" w:rsidRDefault="007673E4">
      <w:r>
        <w:separator/>
      </w:r>
    </w:p>
  </w:footnote>
  <w:footnote w:type="continuationSeparator" w:id="0">
    <w:p w14:paraId="00BB39E1" w14:textId="77777777" w:rsidR="007673E4" w:rsidRDefault="007673E4">
      <w:r>
        <w:continuationSeparator/>
      </w:r>
    </w:p>
  </w:footnote>
  <w:footnote w:id="1">
    <w:p w14:paraId="00BB3A74" w14:textId="7C8FDB08" w:rsidR="007673E4" w:rsidRDefault="007673E4">
      <w:pPr>
        <w:pStyle w:val="FootnoteText"/>
      </w:pPr>
      <w:r w:rsidRPr="007732FB">
        <w:rPr>
          <w:rStyle w:val="FootnoteReference"/>
        </w:rPr>
        <w:footnoteRef/>
      </w:r>
      <w:r>
        <w:tab/>
        <w:t xml:space="preserve">The Productivity Commission has made extensive use of economywide </w:t>
      </w:r>
      <w:proofErr w:type="spellStart"/>
      <w:r>
        <w:t>CGE</w:t>
      </w:r>
      <w:proofErr w:type="spellEnd"/>
      <w:r>
        <w:t xml:space="preserve"> models to assess the economywide impacts of policy reforms (including changes in government industry assistance). In 2012, it used a </w:t>
      </w:r>
      <w:proofErr w:type="spellStart"/>
      <w:r>
        <w:t>CGE</w:t>
      </w:r>
      <w:proofErr w:type="spellEnd"/>
      <w:r>
        <w:t xml:space="preserve"> modelling framework to assess the impacts of Council of Australian Government’s (</w:t>
      </w:r>
      <w:proofErr w:type="spellStart"/>
      <w:r>
        <w:t>COAG</w:t>
      </w:r>
      <w:proofErr w:type="spellEnd"/>
      <w:r>
        <w:t xml:space="preserve">) policy reforms </w:t>
      </w:r>
      <w:r>
        <w:fldChar w:fldCharType="begin"/>
      </w:r>
      <w:r>
        <w:instrText xml:space="preserve"> ADDIN ZOTERO_ITEM CSL_CITATION {"citationID":"25agrkfbth","properties":{"formattedCitation":"{\\rtf (PC\\uc0\\u160{}2012)}","plainCitation":"(PC 2012)"},"citationItems":[{"id":551,"uris":["http://zotero.org/groups/267699/items/GDQKGWJP"],"uri":["http://zotero.org/groups/267699/items/GDQKGWJP"],"itemData":{"id":551,"type":"report","title":"Economywide modelling of impacts of COAG reforms, Supplement to Impacts of COAG Reforms: Business Regulation and VET","publisher-place":"Canberra","event-place":"Canberra","author":[{"family":"Productivity Commission","given":""}],"translator":[{"family":"PC","given":""}],"issued":{"date-parts":[["2012"]]}}}],"schema":"https://github.com/citation-style-language/schema/raw/master/csl-citation.json"} </w:instrText>
      </w:r>
      <w:r>
        <w:fldChar w:fldCharType="separate"/>
      </w:r>
      <w:r w:rsidRPr="00694720">
        <w:rPr>
          <w:szCs w:val="24"/>
        </w:rPr>
        <w:t>(PC 2012)</w:t>
      </w:r>
      <w:r>
        <w:fldChar w:fldCharType="end"/>
      </w:r>
      <w:r>
        <w:t xml:space="preserve"> and, in 2013, it adapted this framework to assess the impacts of prospective changes in Australia’s automotive industry </w:t>
      </w:r>
      <w:r>
        <w:fldChar w:fldCharType="begin"/>
      </w:r>
      <w:r>
        <w:instrText xml:space="preserve"> ADDIN ZOTERO_ITEM CSL_CITATION {"citationID":"99kFkAbo","properties":{"formattedCitation":"{\\rtf (PC\\uc0\\u160{}2014)}","plainCitation":"(PC 2014)"},"citationItems":[{"id":552,"uris":["http://zotero.org/groups/267699/items/2SJSITQN"],"uri":["http://zotero.org/groups/267699/items/2SJSITQN"],"itemData":{"id":552,"type":"report","title":"Economywide Modelling of Automotive Industry Change: Supplement to Australia’s Automotive Manufacturing Industry Inquiry Report","publisher-place":"Canberra","event-place":"Canberra","author":[{"family":"Productivity Commission","given":""}],"translator":[{"family":"PC","given":""}],"issued":{"date-parts":[["2014"]]}}}],"schema":"https://github.com/citation-style-language/schema/raw/master/csl-citation.json"} </w:instrText>
      </w:r>
      <w:r>
        <w:fldChar w:fldCharType="separate"/>
      </w:r>
      <w:r w:rsidRPr="00694720">
        <w:rPr>
          <w:szCs w:val="24"/>
        </w:rPr>
        <w:t>(PC 2014)</w:t>
      </w:r>
      <w:r>
        <w:fldChar w:fldCharType="end"/>
      </w:r>
      <w:r>
        <w:t xml:space="preserve">. </w:t>
      </w:r>
      <w:proofErr w:type="spellStart"/>
      <w:r>
        <w:t>CGE</w:t>
      </w:r>
      <w:proofErr w:type="spellEnd"/>
      <w:r>
        <w:t xml:space="preserve"> modelling is also being used in the Commission inquiry into Australia’s migrant intake </w:t>
      </w:r>
      <w:r>
        <w:fldChar w:fldCharType="begin"/>
      </w:r>
      <w:r>
        <w:instrText xml:space="preserve"> ADDIN ZOTERO_ITEM CSL_CITATION {"citationID":"187engplo3","properties":{"formattedCitation":"{\\rtf (PC\\uc0\\u160{}2015a)}","plainCitation":"(PC 2015a)"},"citationItems":[{"id":553,"uris":["http://zotero.org/groups/267699/items/FA8GPJKP"],"uri":["http://zotero.org/groups/267699/items/FA8GPJKP"],"itemData":{"id":553,"type":"report","title":"Migrant Intake into Australia","publisher-place":"Canberra, 13 November","event-place":"Canberra, 13 November","number":"Draft Report","author":[{"family":"Productivity Commission","given":""}],"translator":[{"family":"PC","given":""}],"issued":{"date-parts":[["2015"]]}}}],"schema":"https://github.com/citation-style-language/schema/raw/master/csl-citation.json"} </w:instrText>
      </w:r>
      <w:r>
        <w:fldChar w:fldCharType="separate"/>
      </w:r>
      <w:r w:rsidRPr="004F0942">
        <w:rPr>
          <w:szCs w:val="24"/>
        </w:rPr>
        <w:t>(PC 2015a)</w:t>
      </w:r>
      <w:r>
        <w:fldChar w:fldCharType="end"/>
      </w:r>
      <w:r>
        <w:t>.</w:t>
      </w:r>
    </w:p>
  </w:footnote>
  <w:footnote w:id="2">
    <w:p w14:paraId="00BB3A75" w14:textId="77777777" w:rsidR="007673E4" w:rsidRDefault="007673E4">
      <w:pPr>
        <w:pStyle w:val="FootnoteText"/>
      </w:pPr>
      <w:r>
        <w:rPr>
          <w:rStyle w:val="FootnoteReference"/>
        </w:rPr>
        <w:footnoteRef/>
      </w:r>
      <w:r>
        <w:tab/>
      </w:r>
      <w:r w:rsidRPr="00FA4172">
        <w:t>Each sensitivity test uses the same shocks and closure settings as the scenario on which they are based.</w:t>
      </w:r>
    </w:p>
  </w:footnote>
  <w:footnote w:id="3">
    <w:p w14:paraId="00BB3A76" w14:textId="77777777" w:rsidR="007673E4" w:rsidRDefault="007673E4">
      <w:pPr>
        <w:pStyle w:val="FootnoteText"/>
      </w:pPr>
      <w:r>
        <w:rPr>
          <w:rStyle w:val="FootnoteReference"/>
        </w:rPr>
        <w:footnoteRef/>
      </w:r>
      <w:r>
        <w:tab/>
      </w:r>
      <w:r w:rsidRPr="008A5C9E">
        <w:t xml:space="preserve">This involved changing the </w:t>
      </w:r>
      <w:proofErr w:type="spellStart"/>
      <w:r w:rsidRPr="008A5C9E">
        <w:t>VUMR</w:t>
      </w:r>
      <w:r>
        <w:noBreakHyphen/>
      </w:r>
      <w:r w:rsidRPr="008A5C9E">
        <w:t>WR</w:t>
      </w:r>
      <w:proofErr w:type="spellEnd"/>
      <w:r w:rsidRPr="008A5C9E">
        <w:t xml:space="preserve"> parameter </w:t>
      </w:r>
      <w:proofErr w:type="spellStart"/>
      <w:r w:rsidRPr="008A5C9E">
        <w:t>SIGMA1FAC</w:t>
      </w:r>
      <w:proofErr w:type="spellEnd"/>
      <w:r w:rsidRPr="008A5C9E">
        <w:t xml:space="preserve"> for all industries and regions. The </w:t>
      </w:r>
      <w:proofErr w:type="spellStart"/>
      <w:r w:rsidRPr="008A5C9E">
        <w:t>VUMR</w:t>
      </w:r>
      <w:r>
        <w:noBreakHyphen/>
      </w:r>
      <w:r w:rsidRPr="008A5C9E">
        <w:t>WR</w:t>
      </w:r>
      <w:proofErr w:type="spellEnd"/>
      <w:r w:rsidRPr="008A5C9E">
        <w:t xml:space="preserve"> equation in which this elasticity appears changes the sign of this elasticity, therefore the parameter in the database has a positive value.</w:t>
      </w:r>
    </w:p>
  </w:footnote>
  <w:footnote w:id="4">
    <w:p w14:paraId="00BB3A77" w14:textId="77777777" w:rsidR="007673E4" w:rsidRDefault="007673E4">
      <w:pPr>
        <w:pStyle w:val="FootnoteText"/>
      </w:pPr>
      <w:r>
        <w:rPr>
          <w:rStyle w:val="FootnoteReference"/>
        </w:rPr>
        <w:footnoteRef/>
      </w:r>
      <w:r>
        <w:tab/>
      </w:r>
      <w:r w:rsidRPr="00F52A3F">
        <w:t xml:space="preserve">This involved changing the </w:t>
      </w:r>
      <w:proofErr w:type="spellStart"/>
      <w:r w:rsidRPr="00F52A3F">
        <w:t>VUMR</w:t>
      </w:r>
      <w:r>
        <w:noBreakHyphen/>
      </w:r>
      <w:r w:rsidRPr="00F52A3F">
        <w:t>WR</w:t>
      </w:r>
      <w:proofErr w:type="spellEnd"/>
      <w:r w:rsidRPr="00F52A3F">
        <w:t xml:space="preserve"> parameter </w:t>
      </w:r>
      <w:proofErr w:type="spellStart"/>
      <w:r w:rsidRPr="00F52A3F">
        <w:t>SIGMA1LABC</w:t>
      </w:r>
      <w:proofErr w:type="spellEnd"/>
      <w:r w:rsidRPr="00F52A3F">
        <w:t xml:space="preserve"> for all industries and regions. The </w:t>
      </w:r>
      <w:proofErr w:type="spellStart"/>
      <w:r w:rsidRPr="00F52A3F">
        <w:t>VUMR</w:t>
      </w:r>
      <w:r>
        <w:noBreakHyphen/>
      </w:r>
      <w:r w:rsidRPr="00F52A3F">
        <w:t>WR</w:t>
      </w:r>
      <w:proofErr w:type="spellEnd"/>
      <w:r w:rsidRPr="00F52A3F">
        <w:t xml:space="preserve"> equation in which this elasticity appears changes the sign of this parameter, therefore the parameter in the database has a positive value.</w:t>
      </w:r>
    </w:p>
  </w:footnote>
  <w:footnote w:id="5">
    <w:p w14:paraId="00BB3A78" w14:textId="77777777" w:rsidR="007673E4" w:rsidRDefault="007673E4" w:rsidP="00453A36">
      <w:pPr>
        <w:pStyle w:val="FootnoteText"/>
      </w:pPr>
      <w:r>
        <w:rPr>
          <w:rStyle w:val="FootnoteReference"/>
        </w:rPr>
        <w:footnoteRef/>
      </w:r>
      <w:r>
        <w:tab/>
        <w:t xml:space="preserve">This involved changing the </w:t>
      </w:r>
      <w:proofErr w:type="spellStart"/>
      <w:r>
        <w:t>VUMR</w:t>
      </w:r>
      <w:r>
        <w:noBreakHyphen/>
        <w:t>WR</w:t>
      </w:r>
      <w:proofErr w:type="spellEnd"/>
      <w:r>
        <w:t xml:space="preserve"> parameter </w:t>
      </w:r>
      <w:proofErr w:type="spellStart"/>
      <w:r>
        <w:t>SIGMALABSC</w:t>
      </w:r>
      <w:proofErr w:type="spellEnd"/>
      <w:r>
        <w:t>.</w:t>
      </w:r>
    </w:p>
  </w:footnote>
  <w:footnote w:id="6">
    <w:p w14:paraId="00BB3A79" w14:textId="77777777" w:rsidR="007673E4" w:rsidRDefault="007673E4" w:rsidP="00453A36">
      <w:pPr>
        <w:pStyle w:val="FootnoteText"/>
      </w:pPr>
      <w:r>
        <w:rPr>
          <w:rStyle w:val="FootnoteReference"/>
        </w:rPr>
        <w:footnoteRef/>
      </w:r>
      <w:r>
        <w:tab/>
        <w:t>The term ‘model closure’ is used to refer to the assignment of the model’s variables between those determined outside the model (exogenous variables) and those determined by the model (endogenous variables).</w:t>
      </w:r>
    </w:p>
  </w:footnote>
  <w:footnote w:id="7">
    <w:p w14:paraId="00BB3A7A" w14:textId="77777777" w:rsidR="007673E4" w:rsidRDefault="007673E4" w:rsidP="00453A36">
      <w:pPr>
        <w:pStyle w:val="FootnoteText"/>
      </w:pPr>
      <w:r>
        <w:rPr>
          <w:rStyle w:val="FootnoteReference"/>
        </w:rPr>
        <w:footnoteRef/>
      </w:r>
      <w:r>
        <w:tab/>
        <w:t xml:space="preserve">In the current implementation of the </w:t>
      </w:r>
      <w:proofErr w:type="spellStart"/>
      <w:r>
        <w:t>VUMR</w:t>
      </w:r>
      <w:r>
        <w:noBreakHyphen/>
        <w:t>WR</w:t>
      </w:r>
      <w:proofErr w:type="spellEnd"/>
      <w:r>
        <w:t xml:space="preserve"> model, real regional government investment is modelled as moving in line with total real regional investment.</w:t>
      </w:r>
    </w:p>
  </w:footnote>
  <w:footnote w:id="8">
    <w:p w14:paraId="00BB3A7B" w14:textId="77777777" w:rsidR="007673E4" w:rsidRDefault="007673E4" w:rsidP="00453A36">
      <w:pPr>
        <w:pStyle w:val="FootnoteText"/>
      </w:pPr>
      <w:r w:rsidRPr="00885F8D">
        <w:rPr>
          <w:rStyle w:val="FootnoteReference"/>
        </w:rPr>
        <w:footnoteRef/>
      </w:r>
      <w:r>
        <w:t xml:space="preserve"> </w:t>
      </w:r>
      <w:r>
        <w:tab/>
        <w:t xml:space="preserve">Additional information on these steps are available from </w:t>
      </w:r>
      <w:proofErr w:type="spellStart"/>
      <w:r>
        <w:t>CoPS</w:t>
      </w:r>
      <w:proofErr w:type="spellEnd"/>
      <w:r>
        <w:t> </w:t>
      </w:r>
      <w:r>
        <w:fldChar w:fldCharType="begin"/>
      </w:r>
      <w:r>
        <w:instrText xml:space="preserve"> ADDIN ZOTERO_ITEM CSL_CITATION {"citationID":"yh8vFThh","properties":{"formattedCitation":"(2014)","plainCitation":"(2014)"},"citationItems":[{"id":3710,"uris":["http://zotero.org/groups/267699/items/69XEG5DM"],"uri":["http://zotero.org/groups/267699/items/69XEG5DM"],"itemData":{"id":3710,"type":"report","title":"MMRF5: Monash Multi-Regional Forecasting Model (Version 5) - A dynamic multi-regional applied general equilibrium model of the Australian economy","publisher":"Victoria University","publisher-place":"Melbourne","event-place":"Melbourne","author":[{"family":"Centre of Policy Studies","given":""}],"translator":[{"family":"CoPS","given":""}],"issued":{"date-parts":[["2014",5]]}},"suppress-author":true}],"schema":"https://github.com/citation-style-language/schema/raw/master/csl-citation.json"} </w:instrText>
      </w:r>
      <w:r>
        <w:fldChar w:fldCharType="separate"/>
      </w:r>
      <w:r w:rsidRPr="00D1603E">
        <w:t>(2014)</w:t>
      </w:r>
      <w:r>
        <w:fldChar w:fldCharType="end"/>
      </w:r>
      <w:r>
        <w:t xml:space="preserve">, </w:t>
      </w:r>
      <w:proofErr w:type="spellStart"/>
      <w:r>
        <w:t>Horridge</w:t>
      </w:r>
      <w:proofErr w:type="spellEnd"/>
      <w:r>
        <w:t xml:space="preserve">, Madden and </w:t>
      </w:r>
      <w:proofErr w:type="spellStart"/>
      <w:r>
        <w:t>Wittwer</w:t>
      </w:r>
      <w:proofErr w:type="spellEnd"/>
      <w:r>
        <w:t> </w:t>
      </w:r>
      <w:r>
        <w:fldChar w:fldCharType="begin"/>
      </w:r>
      <w:r>
        <w:instrText xml:space="preserve"> ADDIN ZOTERO_ITEM CSL_CITATION {"citationID":"mab4u4um4","properties":{"formattedCitation":"(2005)","plainCitation":"(2005)"},"citationItems":[{"id":260,"uris":["http://zotero.org/groups/267699/items/HI3NIZF6"],"uri":["http://zotero.org/groups/267699/items/HI3NIZF6"],"itemData":{"id":260,"type":"article-journal","title":"Using a highly disaggregated multi-regional single-country model to analyse the impacts of the 2002-03 drought in Australia","container-title":"Journal of Policy Modelling","page":"285-308","volume":"27","issue":"3","author":[{"family":"Horridge","given":"M"},{"family":"Madden","given":"J"},{"family":"Wittwer","given":"Glyn"}],"issued":{"date-parts":[["2005"]]}},"suppress-author":true}],"schema":"https://github.com/citation-style-language/schema/raw/master/csl-citation.json"} </w:instrText>
      </w:r>
      <w:r>
        <w:fldChar w:fldCharType="separate"/>
      </w:r>
      <w:r w:rsidRPr="00E82DCC">
        <w:t>(2005)</w:t>
      </w:r>
      <w:r>
        <w:fldChar w:fldCharType="end"/>
      </w:r>
      <w:r>
        <w:t xml:space="preserve"> and </w:t>
      </w:r>
      <w:proofErr w:type="spellStart"/>
      <w:r>
        <w:t>Horridge</w:t>
      </w:r>
      <w:proofErr w:type="spellEnd"/>
      <w:r>
        <w:t> </w:t>
      </w:r>
      <w:r>
        <w:fldChar w:fldCharType="begin"/>
      </w:r>
      <w:r>
        <w:instrText xml:space="preserve"> ADDIN ZOTERO_ITEM CSL_CITATION {"citationID":"1vtb80cr7i","properties":{"formattedCitation":"(2012)","plainCitation":"(2012)"},"citationItems":[{"id":438,"uris":["http://zotero.org/groups/267699/items/VRMCG2VT"],"uri":["http://zotero.org/groups/267699/items/VRMCG2VT"],"itemData":{"id":438,"type":"chapter","title":"The TERM model and its database","container-title":"Economic Modeling of Water, The Australian CGE experience","publisher":"Springer","author":[{"family":"Horridge","given":"M"}],"editor":[{"family":"Wittwer","given":"Glyn"}],"issued":{"date-parts":[["2012"]]}},"suppress-author":true}],"schema":"https://github.com/citation-style-language/schema/raw/master/csl-citation.json"} </w:instrText>
      </w:r>
      <w:r>
        <w:fldChar w:fldCharType="separate"/>
      </w:r>
      <w:r w:rsidRPr="00E82DCC">
        <w:t>(2012)</w:t>
      </w:r>
      <w:r>
        <w:fldChar w:fldCharType="end"/>
      </w:r>
      <w:r>
        <w:t>.</w:t>
      </w:r>
    </w:p>
  </w:footnote>
  <w:footnote w:id="9">
    <w:p w14:paraId="00BB3A7C" w14:textId="3A92CCBB" w:rsidR="007673E4" w:rsidRDefault="007673E4" w:rsidP="00453A36">
      <w:pPr>
        <w:pStyle w:val="FootnoteText"/>
      </w:pPr>
      <w:r>
        <w:rPr>
          <w:rStyle w:val="FootnoteReference"/>
        </w:rPr>
        <w:footnoteRef/>
      </w:r>
      <w:r>
        <w:tab/>
        <w:t xml:space="preserve">In one respect, the award wage is exogenous since the </w:t>
      </w:r>
      <w:proofErr w:type="spellStart"/>
      <w:r>
        <w:t>FWC</w:t>
      </w:r>
      <w:proofErr w:type="spellEnd"/>
      <w:r>
        <w:t xml:space="preserve"> sets it. However, it becomes effectively endogenous when the </w:t>
      </w:r>
      <w:proofErr w:type="spellStart"/>
      <w:r>
        <w:t>FWC</w:t>
      </w:r>
      <w:proofErr w:type="spellEnd"/>
      <w:r>
        <w:t xml:space="preserve"> simply follows the wage growth rate of non-award wages, regardless of that growth 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B44FD" w14:paraId="292B3F26" w14:textId="77777777">
      <w:tc>
        <w:tcPr>
          <w:tcW w:w="2155" w:type="dxa"/>
          <w:tcBorders>
            <w:top w:val="single" w:sz="24" w:space="0" w:color="auto"/>
          </w:tcBorders>
        </w:tcPr>
        <w:p w14:paraId="3BE102BB" w14:textId="77777777" w:rsidR="008B44FD" w:rsidRDefault="008B44FD" w:rsidP="0019293B">
          <w:pPr>
            <w:pStyle w:val="HeaderEven"/>
          </w:pPr>
        </w:p>
      </w:tc>
      <w:tc>
        <w:tcPr>
          <w:tcW w:w="6634" w:type="dxa"/>
          <w:tcBorders>
            <w:top w:val="single" w:sz="6" w:space="0" w:color="auto"/>
          </w:tcBorders>
        </w:tcPr>
        <w:p w14:paraId="42329281" w14:textId="77777777" w:rsidR="008B44FD" w:rsidRDefault="008B44FD" w:rsidP="0019293B">
          <w:pPr>
            <w:pStyle w:val="HeaderEven"/>
          </w:pPr>
        </w:p>
      </w:tc>
    </w:tr>
  </w:tbl>
  <w:p w14:paraId="7B50BECD" w14:textId="77777777" w:rsidR="008B44FD" w:rsidRDefault="008B44FD" w:rsidP="008B44FD">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9F8" w14:textId="77777777" w:rsidTr="0034060E">
      <w:trPr>
        <w:trHeight w:val="300"/>
      </w:trPr>
      <w:tc>
        <w:tcPr>
          <w:tcW w:w="2154" w:type="dxa"/>
          <w:tcBorders>
            <w:top w:val="single" w:sz="24" w:space="0" w:color="auto"/>
          </w:tcBorders>
          <w:shd w:val="clear" w:color="auto" w:fill="auto"/>
        </w:tcPr>
        <w:p w14:paraId="00BB39F6" w14:textId="77777777" w:rsidR="007673E4" w:rsidRDefault="007673E4" w:rsidP="0034060E">
          <w:pPr>
            <w:pStyle w:val="HeaderEven"/>
          </w:pPr>
        </w:p>
      </w:tc>
      <w:tc>
        <w:tcPr>
          <w:tcW w:w="6633" w:type="dxa"/>
          <w:tcBorders>
            <w:top w:val="single" w:sz="6" w:space="0" w:color="auto"/>
          </w:tcBorders>
          <w:shd w:val="clear" w:color="auto" w:fill="auto"/>
        </w:tcPr>
        <w:p w14:paraId="00BB39F7" w14:textId="77777777" w:rsidR="007673E4" w:rsidRDefault="007673E4" w:rsidP="0034060E">
          <w:pPr>
            <w:pStyle w:val="HeaderEven"/>
          </w:pPr>
        </w:p>
      </w:tc>
    </w:tr>
  </w:tbl>
  <w:p w14:paraId="00BB39F9" w14:textId="77777777" w:rsidR="007673E4" w:rsidRPr="0034060E" w:rsidRDefault="007673E4" w:rsidP="0034060E">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9FC" w14:textId="77777777" w:rsidTr="0034060E">
      <w:trPr>
        <w:trHeight w:val="300"/>
      </w:trPr>
      <w:tc>
        <w:tcPr>
          <w:tcW w:w="6633" w:type="dxa"/>
          <w:tcBorders>
            <w:top w:val="single" w:sz="6" w:space="0" w:color="auto"/>
          </w:tcBorders>
          <w:shd w:val="clear" w:color="auto" w:fill="auto"/>
        </w:tcPr>
        <w:p w14:paraId="00BB39FA" w14:textId="77777777" w:rsidR="007673E4" w:rsidRDefault="007673E4" w:rsidP="0034060E">
          <w:pPr>
            <w:pStyle w:val="HeaderOdd"/>
          </w:pPr>
        </w:p>
      </w:tc>
      <w:tc>
        <w:tcPr>
          <w:tcW w:w="2154" w:type="dxa"/>
          <w:tcBorders>
            <w:top w:val="single" w:sz="24" w:space="0" w:color="auto"/>
          </w:tcBorders>
          <w:shd w:val="clear" w:color="auto" w:fill="auto"/>
        </w:tcPr>
        <w:p w14:paraId="00BB39FB" w14:textId="77777777" w:rsidR="007673E4" w:rsidRDefault="007673E4" w:rsidP="0034060E">
          <w:pPr>
            <w:pStyle w:val="HeaderOdd"/>
          </w:pPr>
        </w:p>
      </w:tc>
    </w:tr>
  </w:tbl>
  <w:p w14:paraId="00BB39FD" w14:textId="77777777" w:rsidR="007673E4" w:rsidRPr="0034060E" w:rsidRDefault="007673E4" w:rsidP="0034060E">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0A" w14:textId="77777777" w:rsidTr="0034060E">
      <w:trPr>
        <w:trHeight w:val="300"/>
      </w:trPr>
      <w:tc>
        <w:tcPr>
          <w:tcW w:w="2154" w:type="dxa"/>
          <w:tcBorders>
            <w:top w:val="single" w:sz="24" w:space="0" w:color="auto"/>
          </w:tcBorders>
          <w:shd w:val="clear" w:color="auto" w:fill="auto"/>
        </w:tcPr>
        <w:p w14:paraId="00BB3A08" w14:textId="77777777" w:rsidR="007673E4" w:rsidRDefault="007673E4" w:rsidP="0034060E">
          <w:pPr>
            <w:pStyle w:val="HeaderEven"/>
          </w:pPr>
        </w:p>
      </w:tc>
      <w:tc>
        <w:tcPr>
          <w:tcW w:w="6633" w:type="dxa"/>
          <w:tcBorders>
            <w:top w:val="single" w:sz="6" w:space="0" w:color="auto"/>
          </w:tcBorders>
          <w:shd w:val="clear" w:color="auto" w:fill="auto"/>
        </w:tcPr>
        <w:p w14:paraId="00BB3A09" w14:textId="77777777" w:rsidR="007673E4" w:rsidRDefault="007673E4" w:rsidP="0034060E">
          <w:pPr>
            <w:pStyle w:val="HeaderEven"/>
          </w:pPr>
        </w:p>
      </w:tc>
    </w:tr>
  </w:tbl>
  <w:p w14:paraId="00BB3A0B" w14:textId="77777777" w:rsidR="007673E4" w:rsidRPr="0034060E" w:rsidRDefault="007673E4" w:rsidP="0034060E">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0E" w14:textId="77777777" w:rsidTr="0034060E">
      <w:trPr>
        <w:trHeight w:val="300"/>
      </w:trPr>
      <w:tc>
        <w:tcPr>
          <w:tcW w:w="6633" w:type="dxa"/>
          <w:tcBorders>
            <w:top w:val="single" w:sz="6" w:space="0" w:color="auto"/>
          </w:tcBorders>
          <w:shd w:val="clear" w:color="auto" w:fill="auto"/>
        </w:tcPr>
        <w:p w14:paraId="00BB3A0C" w14:textId="77777777" w:rsidR="007673E4" w:rsidRDefault="007673E4" w:rsidP="0034060E">
          <w:pPr>
            <w:pStyle w:val="HeaderOdd"/>
          </w:pPr>
        </w:p>
      </w:tc>
      <w:tc>
        <w:tcPr>
          <w:tcW w:w="2154" w:type="dxa"/>
          <w:tcBorders>
            <w:top w:val="single" w:sz="24" w:space="0" w:color="auto"/>
          </w:tcBorders>
          <w:shd w:val="clear" w:color="auto" w:fill="auto"/>
        </w:tcPr>
        <w:p w14:paraId="00BB3A0D" w14:textId="77777777" w:rsidR="007673E4" w:rsidRDefault="007673E4" w:rsidP="0034060E">
          <w:pPr>
            <w:pStyle w:val="HeaderOdd"/>
          </w:pPr>
        </w:p>
      </w:tc>
    </w:tr>
  </w:tbl>
  <w:p w14:paraId="00BB3A0F" w14:textId="77777777" w:rsidR="007673E4" w:rsidRPr="0034060E" w:rsidRDefault="007673E4" w:rsidP="0034060E">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1C" w14:textId="77777777" w:rsidTr="0034060E">
      <w:trPr>
        <w:trHeight w:val="300"/>
      </w:trPr>
      <w:tc>
        <w:tcPr>
          <w:tcW w:w="2154" w:type="dxa"/>
          <w:tcBorders>
            <w:top w:val="single" w:sz="24" w:space="0" w:color="auto"/>
          </w:tcBorders>
          <w:shd w:val="clear" w:color="auto" w:fill="auto"/>
        </w:tcPr>
        <w:p w14:paraId="00BB3A1A" w14:textId="77777777" w:rsidR="007673E4" w:rsidRDefault="007673E4" w:rsidP="0034060E">
          <w:pPr>
            <w:pStyle w:val="HeaderEven"/>
          </w:pPr>
        </w:p>
      </w:tc>
      <w:tc>
        <w:tcPr>
          <w:tcW w:w="6633" w:type="dxa"/>
          <w:tcBorders>
            <w:top w:val="single" w:sz="6" w:space="0" w:color="auto"/>
          </w:tcBorders>
          <w:shd w:val="clear" w:color="auto" w:fill="auto"/>
        </w:tcPr>
        <w:p w14:paraId="00BB3A1B" w14:textId="77777777" w:rsidR="007673E4" w:rsidRDefault="007673E4" w:rsidP="0034060E">
          <w:pPr>
            <w:pStyle w:val="HeaderEven"/>
          </w:pPr>
        </w:p>
      </w:tc>
    </w:tr>
  </w:tbl>
  <w:p w14:paraId="00BB3A1D" w14:textId="77777777" w:rsidR="007673E4" w:rsidRPr="0034060E" w:rsidRDefault="007673E4" w:rsidP="0034060E">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20" w14:textId="77777777" w:rsidTr="0034060E">
      <w:trPr>
        <w:trHeight w:val="300"/>
      </w:trPr>
      <w:tc>
        <w:tcPr>
          <w:tcW w:w="6633" w:type="dxa"/>
          <w:tcBorders>
            <w:top w:val="single" w:sz="6" w:space="0" w:color="auto"/>
          </w:tcBorders>
          <w:shd w:val="clear" w:color="auto" w:fill="auto"/>
        </w:tcPr>
        <w:p w14:paraId="00BB3A1E" w14:textId="77777777" w:rsidR="007673E4" w:rsidRDefault="007673E4" w:rsidP="0034060E">
          <w:pPr>
            <w:pStyle w:val="HeaderOdd"/>
          </w:pPr>
        </w:p>
      </w:tc>
      <w:tc>
        <w:tcPr>
          <w:tcW w:w="2154" w:type="dxa"/>
          <w:tcBorders>
            <w:top w:val="single" w:sz="24" w:space="0" w:color="auto"/>
          </w:tcBorders>
          <w:shd w:val="clear" w:color="auto" w:fill="auto"/>
        </w:tcPr>
        <w:p w14:paraId="00BB3A1F" w14:textId="77777777" w:rsidR="007673E4" w:rsidRDefault="007673E4" w:rsidP="0034060E">
          <w:pPr>
            <w:pStyle w:val="HeaderOdd"/>
          </w:pPr>
        </w:p>
      </w:tc>
    </w:tr>
  </w:tbl>
  <w:p w14:paraId="00BB3A21" w14:textId="77777777" w:rsidR="007673E4" w:rsidRPr="0034060E" w:rsidRDefault="007673E4" w:rsidP="0034060E">
    <w:pPr>
      <w:pStyle w:val="HeaderEn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2E" w14:textId="77777777" w:rsidTr="0034060E">
      <w:trPr>
        <w:trHeight w:val="300"/>
      </w:trPr>
      <w:tc>
        <w:tcPr>
          <w:tcW w:w="2154" w:type="dxa"/>
          <w:tcBorders>
            <w:top w:val="single" w:sz="24" w:space="0" w:color="auto"/>
          </w:tcBorders>
          <w:shd w:val="clear" w:color="auto" w:fill="auto"/>
        </w:tcPr>
        <w:p w14:paraId="00BB3A2C" w14:textId="77777777" w:rsidR="007673E4" w:rsidRDefault="007673E4" w:rsidP="0034060E">
          <w:pPr>
            <w:pStyle w:val="HeaderEven"/>
          </w:pPr>
        </w:p>
      </w:tc>
      <w:tc>
        <w:tcPr>
          <w:tcW w:w="6633" w:type="dxa"/>
          <w:tcBorders>
            <w:top w:val="single" w:sz="6" w:space="0" w:color="auto"/>
          </w:tcBorders>
          <w:shd w:val="clear" w:color="auto" w:fill="auto"/>
        </w:tcPr>
        <w:p w14:paraId="00BB3A2D" w14:textId="77777777" w:rsidR="007673E4" w:rsidRDefault="007673E4" w:rsidP="0034060E">
          <w:pPr>
            <w:pStyle w:val="HeaderEven"/>
          </w:pPr>
        </w:p>
      </w:tc>
    </w:tr>
  </w:tbl>
  <w:p w14:paraId="00BB3A2F" w14:textId="77777777" w:rsidR="007673E4" w:rsidRPr="0034060E" w:rsidRDefault="007673E4" w:rsidP="0034060E">
    <w:pPr>
      <w:pStyle w:val="HeaderEn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32" w14:textId="77777777" w:rsidTr="0034060E">
      <w:trPr>
        <w:trHeight w:val="300"/>
      </w:trPr>
      <w:tc>
        <w:tcPr>
          <w:tcW w:w="6633" w:type="dxa"/>
          <w:tcBorders>
            <w:top w:val="single" w:sz="6" w:space="0" w:color="auto"/>
          </w:tcBorders>
          <w:shd w:val="clear" w:color="auto" w:fill="auto"/>
        </w:tcPr>
        <w:p w14:paraId="00BB3A30" w14:textId="77777777" w:rsidR="007673E4" w:rsidRDefault="007673E4" w:rsidP="0034060E">
          <w:pPr>
            <w:pStyle w:val="HeaderOdd"/>
          </w:pPr>
        </w:p>
      </w:tc>
      <w:tc>
        <w:tcPr>
          <w:tcW w:w="2154" w:type="dxa"/>
          <w:tcBorders>
            <w:top w:val="single" w:sz="24" w:space="0" w:color="auto"/>
          </w:tcBorders>
          <w:shd w:val="clear" w:color="auto" w:fill="auto"/>
        </w:tcPr>
        <w:p w14:paraId="00BB3A31" w14:textId="77777777" w:rsidR="007673E4" w:rsidRDefault="007673E4" w:rsidP="0034060E">
          <w:pPr>
            <w:pStyle w:val="HeaderOdd"/>
          </w:pPr>
        </w:p>
      </w:tc>
    </w:tr>
  </w:tbl>
  <w:p w14:paraId="00BB3A33" w14:textId="77777777" w:rsidR="007673E4" w:rsidRPr="0034060E" w:rsidRDefault="007673E4" w:rsidP="0034060E">
    <w:pPr>
      <w:pStyle w:val="HeaderEn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40" w14:textId="77777777" w:rsidTr="0034060E">
      <w:trPr>
        <w:trHeight w:val="300"/>
      </w:trPr>
      <w:tc>
        <w:tcPr>
          <w:tcW w:w="2154" w:type="dxa"/>
          <w:tcBorders>
            <w:top w:val="single" w:sz="24" w:space="0" w:color="auto"/>
          </w:tcBorders>
          <w:shd w:val="clear" w:color="auto" w:fill="auto"/>
        </w:tcPr>
        <w:p w14:paraId="00BB3A3E" w14:textId="77777777" w:rsidR="007673E4" w:rsidRDefault="007673E4" w:rsidP="0034060E">
          <w:pPr>
            <w:pStyle w:val="HeaderEven"/>
          </w:pPr>
        </w:p>
      </w:tc>
      <w:tc>
        <w:tcPr>
          <w:tcW w:w="6633" w:type="dxa"/>
          <w:tcBorders>
            <w:top w:val="single" w:sz="6" w:space="0" w:color="auto"/>
          </w:tcBorders>
          <w:shd w:val="clear" w:color="auto" w:fill="auto"/>
        </w:tcPr>
        <w:p w14:paraId="00BB3A3F" w14:textId="77777777" w:rsidR="007673E4" w:rsidRDefault="007673E4" w:rsidP="0034060E">
          <w:pPr>
            <w:pStyle w:val="HeaderEven"/>
          </w:pPr>
        </w:p>
      </w:tc>
    </w:tr>
  </w:tbl>
  <w:p w14:paraId="00BB3A41" w14:textId="77777777" w:rsidR="007673E4" w:rsidRPr="0034060E" w:rsidRDefault="007673E4" w:rsidP="0034060E">
    <w:pPr>
      <w:pStyle w:val="HeaderEn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44" w14:textId="77777777" w:rsidTr="0034060E">
      <w:trPr>
        <w:trHeight w:val="300"/>
      </w:trPr>
      <w:tc>
        <w:tcPr>
          <w:tcW w:w="6633" w:type="dxa"/>
          <w:tcBorders>
            <w:top w:val="single" w:sz="6" w:space="0" w:color="auto"/>
          </w:tcBorders>
          <w:shd w:val="clear" w:color="auto" w:fill="auto"/>
        </w:tcPr>
        <w:p w14:paraId="00BB3A42" w14:textId="77777777" w:rsidR="007673E4" w:rsidRDefault="007673E4" w:rsidP="0034060E">
          <w:pPr>
            <w:pStyle w:val="HeaderOdd"/>
          </w:pPr>
        </w:p>
      </w:tc>
      <w:tc>
        <w:tcPr>
          <w:tcW w:w="2154" w:type="dxa"/>
          <w:tcBorders>
            <w:top w:val="single" w:sz="24" w:space="0" w:color="auto"/>
          </w:tcBorders>
          <w:shd w:val="clear" w:color="auto" w:fill="auto"/>
        </w:tcPr>
        <w:p w14:paraId="00BB3A43" w14:textId="77777777" w:rsidR="007673E4" w:rsidRDefault="007673E4" w:rsidP="0034060E">
          <w:pPr>
            <w:pStyle w:val="HeaderOdd"/>
          </w:pPr>
        </w:p>
      </w:tc>
    </w:tr>
  </w:tbl>
  <w:p w14:paraId="00BB3A45" w14:textId="77777777" w:rsidR="007673E4" w:rsidRPr="0034060E" w:rsidRDefault="007673E4" w:rsidP="0034060E">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8B44FD" w14:paraId="01C28DE6" w14:textId="77777777">
      <w:tc>
        <w:tcPr>
          <w:tcW w:w="2155" w:type="dxa"/>
          <w:tcBorders>
            <w:top w:val="single" w:sz="24" w:space="0" w:color="auto"/>
          </w:tcBorders>
        </w:tcPr>
        <w:p w14:paraId="677F1676" w14:textId="77777777" w:rsidR="008B44FD" w:rsidRDefault="008B44FD">
          <w:pPr>
            <w:pStyle w:val="Header"/>
          </w:pPr>
        </w:p>
      </w:tc>
      <w:tc>
        <w:tcPr>
          <w:tcW w:w="6634" w:type="dxa"/>
          <w:tcBorders>
            <w:top w:val="single" w:sz="6" w:space="0" w:color="auto"/>
          </w:tcBorders>
        </w:tcPr>
        <w:p w14:paraId="118DA368" w14:textId="77777777" w:rsidR="008B44FD" w:rsidRDefault="008B44FD">
          <w:pPr>
            <w:pStyle w:val="Header"/>
          </w:pPr>
        </w:p>
      </w:tc>
    </w:tr>
  </w:tbl>
  <w:p w14:paraId="1FCA5E1D" w14:textId="77777777" w:rsidR="008B44FD" w:rsidRDefault="008B44FD">
    <w:pPr>
      <w:pStyle w:val="HeaderEn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52" w14:textId="77777777" w:rsidTr="0034060E">
      <w:trPr>
        <w:trHeight w:val="300"/>
      </w:trPr>
      <w:tc>
        <w:tcPr>
          <w:tcW w:w="2154" w:type="dxa"/>
          <w:tcBorders>
            <w:top w:val="single" w:sz="24" w:space="0" w:color="auto"/>
          </w:tcBorders>
          <w:shd w:val="clear" w:color="auto" w:fill="auto"/>
        </w:tcPr>
        <w:p w14:paraId="00BB3A50" w14:textId="77777777" w:rsidR="007673E4" w:rsidRDefault="007673E4" w:rsidP="0034060E">
          <w:pPr>
            <w:pStyle w:val="HeaderEven"/>
          </w:pPr>
        </w:p>
      </w:tc>
      <w:tc>
        <w:tcPr>
          <w:tcW w:w="6633" w:type="dxa"/>
          <w:tcBorders>
            <w:top w:val="single" w:sz="6" w:space="0" w:color="auto"/>
          </w:tcBorders>
          <w:shd w:val="clear" w:color="auto" w:fill="auto"/>
        </w:tcPr>
        <w:p w14:paraId="00BB3A51" w14:textId="77777777" w:rsidR="007673E4" w:rsidRDefault="007673E4" w:rsidP="0034060E">
          <w:pPr>
            <w:pStyle w:val="HeaderEven"/>
          </w:pPr>
        </w:p>
      </w:tc>
    </w:tr>
  </w:tbl>
  <w:p w14:paraId="00BB3A53" w14:textId="77777777" w:rsidR="007673E4" w:rsidRPr="0034060E" w:rsidRDefault="007673E4" w:rsidP="0034060E">
    <w:pPr>
      <w:pStyle w:val="HeaderEn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56" w14:textId="77777777" w:rsidTr="0034060E">
      <w:trPr>
        <w:trHeight w:val="300"/>
      </w:trPr>
      <w:tc>
        <w:tcPr>
          <w:tcW w:w="6633" w:type="dxa"/>
          <w:tcBorders>
            <w:top w:val="single" w:sz="6" w:space="0" w:color="auto"/>
          </w:tcBorders>
          <w:shd w:val="clear" w:color="auto" w:fill="auto"/>
        </w:tcPr>
        <w:p w14:paraId="00BB3A54" w14:textId="77777777" w:rsidR="007673E4" w:rsidRDefault="007673E4" w:rsidP="0034060E">
          <w:pPr>
            <w:pStyle w:val="HeaderOdd"/>
          </w:pPr>
        </w:p>
      </w:tc>
      <w:tc>
        <w:tcPr>
          <w:tcW w:w="2154" w:type="dxa"/>
          <w:tcBorders>
            <w:top w:val="single" w:sz="24" w:space="0" w:color="auto"/>
          </w:tcBorders>
          <w:shd w:val="clear" w:color="auto" w:fill="auto"/>
        </w:tcPr>
        <w:p w14:paraId="00BB3A55" w14:textId="77777777" w:rsidR="007673E4" w:rsidRDefault="007673E4" w:rsidP="0034060E">
          <w:pPr>
            <w:pStyle w:val="HeaderOdd"/>
          </w:pPr>
        </w:p>
      </w:tc>
    </w:tr>
  </w:tbl>
  <w:p w14:paraId="00BB3A57" w14:textId="77777777" w:rsidR="007673E4" w:rsidRPr="0034060E" w:rsidRDefault="007673E4" w:rsidP="0034060E">
    <w:pPr>
      <w:pStyle w:val="HeaderEn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A64" w14:textId="77777777" w:rsidTr="0034060E">
      <w:trPr>
        <w:trHeight w:val="300"/>
      </w:trPr>
      <w:tc>
        <w:tcPr>
          <w:tcW w:w="2154" w:type="dxa"/>
          <w:tcBorders>
            <w:top w:val="single" w:sz="24" w:space="0" w:color="auto"/>
          </w:tcBorders>
          <w:shd w:val="clear" w:color="auto" w:fill="auto"/>
        </w:tcPr>
        <w:p w14:paraId="00BB3A62" w14:textId="77777777" w:rsidR="007673E4" w:rsidRDefault="007673E4" w:rsidP="0034060E">
          <w:pPr>
            <w:pStyle w:val="HeaderEven"/>
          </w:pPr>
        </w:p>
      </w:tc>
      <w:tc>
        <w:tcPr>
          <w:tcW w:w="6633" w:type="dxa"/>
          <w:tcBorders>
            <w:top w:val="single" w:sz="6" w:space="0" w:color="auto"/>
          </w:tcBorders>
          <w:shd w:val="clear" w:color="auto" w:fill="auto"/>
        </w:tcPr>
        <w:p w14:paraId="00BB3A63" w14:textId="77777777" w:rsidR="007673E4" w:rsidRDefault="007673E4" w:rsidP="0034060E">
          <w:pPr>
            <w:pStyle w:val="HeaderEven"/>
          </w:pPr>
        </w:p>
      </w:tc>
    </w:tr>
  </w:tbl>
  <w:p w14:paraId="00BB3A65" w14:textId="77777777" w:rsidR="007673E4" w:rsidRPr="0034060E" w:rsidRDefault="007673E4" w:rsidP="0034060E">
    <w:pPr>
      <w:pStyle w:val="HeaderEn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A68" w14:textId="77777777" w:rsidTr="0034060E">
      <w:trPr>
        <w:trHeight w:val="300"/>
      </w:trPr>
      <w:tc>
        <w:tcPr>
          <w:tcW w:w="6633" w:type="dxa"/>
          <w:tcBorders>
            <w:top w:val="single" w:sz="6" w:space="0" w:color="auto"/>
          </w:tcBorders>
          <w:shd w:val="clear" w:color="auto" w:fill="auto"/>
        </w:tcPr>
        <w:p w14:paraId="00BB3A66" w14:textId="77777777" w:rsidR="007673E4" w:rsidRDefault="007673E4" w:rsidP="0034060E">
          <w:pPr>
            <w:pStyle w:val="HeaderOdd"/>
          </w:pPr>
        </w:p>
      </w:tc>
      <w:tc>
        <w:tcPr>
          <w:tcW w:w="2154" w:type="dxa"/>
          <w:tcBorders>
            <w:top w:val="single" w:sz="24" w:space="0" w:color="auto"/>
          </w:tcBorders>
          <w:shd w:val="clear" w:color="auto" w:fill="auto"/>
        </w:tcPr>
        <w:p w14:paraId="00BB3A67" w14:textId="77777777" w:rsidR="007673E4" w:rsidRDefault="007673E4" w:rsidP="0034060E">
          <w:pPr>
            <w:pStyle w:val="HeaderOdd"/>
          </w:pPr>
        </w:p>
      </w:tc>
    </w:tr>
  </w:tbl>
  <w:p w14:paraId="00BB3A69" w14:textId="77777777" w:rsidR="007673E4" w:rsidRPr="0034060E" w:rsidRDefault="007673E4" w:rsidP="0034060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B44FD" w14:paraId="7A9DB782" w14:textId="77777777" w:rsidTr="005C68FE">
      <w:tc>
        <w:tcPr>
          <w:tcW w:w="6634" w:type="dxa"/>
          <w:tcBorders>
            <w:top w:val="single" w:sz="6" w:space="0" w:color="auto"/>
          </w:tcBorders>
        </w:tcPr>
        <w:p w14:paraId="79D468CB" w14:textId="77777777" w:rsidR="008B44FD" w:rsidRDefault="008B44FD" w:rsidP="005C68FE">
          <w:pPr>
            <w:pStyle w:val="HeaderOdd"/>
          </w:pPr>
        </w:p>
      </w:tc>
      <w:tc>
        <w:tcPr>
          <w:tcW w:w="2155" w:type="dxa"/>
          <w:tcBorders>
            <w:top w:val="single" w:sz="24" w:space="0" w:color="auto"/>
          </w:tcBorders>
        </w:tcPr>
        <w:p w14:paraId="64C52808" w14:textId="77777777" w:rsidR="008B44FD" w:rsidRDefault="008B44FD" w:rsidP="005C68FE">
          <w:pPr>
            <w:pStyle w:val="HeaderOdd"/>
          </w:pPr>
        </w:p>
      </w:tc>
    </w:tr>
  </w:tbl>
  <w:p w14:paraId="0F95F90E" w14:textId="77777777" w:rsidR="008B44FD" w:rsidRPr="005C68FE" w:rsidRDefault="008B44FD" w:rsidP="005C68FE">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B44FD" w14:paraId="0B43C2F4" w14:textId="77777777">
      <w:tc>
        <w:tcPr>
          <w:tcW w:w="2155" w:type="dxa"/>
          <w:tcBorders>
            <w:top w:val="single" w:sz="24" w:space="0" w:color="auto"/>
          </w:tcBorders>
        </w:tcPr>
        <w:p w14:paraId="65583C0A" w14:textId="77777777" w:rsidR="008B44FD" w:rsidRDefault="008B44FD">
          <w:pPr>
            <w:pStyle w:val="HeaderEven"/>
          </w:pPr>
        </w:p>
      </w:tc>
      <w:tc>
        <w:tcPr>
          <w:tcW w:w="6634" w:type="dxa"/>
          <w:tcBorders>
            <w:top w:val="single" w:sz="6" w:space="0" w:color="auto"/>
          </w:tcBorders>
        </w:tcPr>
        <w:p w14:paraId="05042673" w14:textId="77777777" w:rsidR="008B44FD" w:rsidRDefault="008B44FD">
          <w:pPr>
            <w:pStyle w:val="HeaderEven"/>
          </w:pPr>
        </w:p>
      </w:tc>
    </w:tr>
  </w:tbl>
  <w:p w14:paraId="419AAE75" w14:textId="77777777" w:rsidR="008B44FD" w:rsidRDefault="008B44F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B44FD" w14:paraId="2B97C325" w14:textId="77777777">
      <w:tc>
        <w:tcPr>
          <w:tcW w:w="6634" w:type="dxa"/>
          <w:tcBorders>
            <w:top w:val="single" w:sz="6" w:space="0" w:color="auto"/>
          </w:tcBorders>
        </w:tcPr>
        <w:p w14:paraId="7D958547" w14:textId="77777777" w:rsidR="008B44FD" w:rsidRDefault="008B44FD">
          <w:pPr>
            <w:pStyle w:val="HeaderOdd"/>
          </w:pPr>
        </w:p>
      </w:tc>
      <w:tc>
        <w:tcPr>
          <w:tcW w:w="2155" w:type="dxa"/>
          <w:tcBorders>
            <w:top w:val="single" w:sz="24" w:space="0" w:color="auto"/>
            <w:bottom w:val="nil"/>
          </w:tcBorders>
        </w:tcPr>
        <w:p w14:paraId="6C26E7CE" w14:textId="77777777" w:rsidR="008B44FD" w:rsidRDefault="008B44FD">
          <w:pPr>
            <w:pStyle w:val="HeaderOdd"/>
          </w:pPr>
        </w:p>
      </w:tc>
    </w:tr>
  </w:tbl>
  <w:p w14:paraId="78263F46" w14:textId="77777777" w:rsidR="008B44FD" w:rsidRDefault="008B44FD">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7673E4" w14:paraId="00BB39E6" w14:textId="77777777" w:rsidTr="0034060E">
      <w:trPr>
        <w:trHeight w:val="300"/>
      </w:trPr>
      <w:tc>
        <w:tcPr>
          <w:tcW w:w="2154" w:type="dxa"/>
          <w:tcBorders>
            <w:top w:val="single" w:sz="24" w:space="0" w:color="auto"/>
          </w:tcBorders>
          <w:shd w:val="clear" w:color="auto" w:fill="auto"/>
        </w:tcPr>
        <w:p w14:paraId="00BB39E4" w14:textId="77777777" w:rsidR="007673E4" w:rsidRDefault="007673E4" w:rsidP="0034060E">
          <w:pPr>
            <w:pStyle w:val="HeaderEven"/>
          </w:pPr>
        </w:p>
      </w:tc>
      <w:tc>
        <w:tcPr>
          <w:tcW w:w="6633" w:type="dxa"/>
          <w:tcBorders>
            <w:top w:val="single" w:sz="6" w:space="0" w:color="auto"/>
          </w:tcBorders>
          <w:shd w:val="clear" w:color="auto" w:fill="auto"/>
        </w:tcPr>
        <w:p w14:paraId="00BB39E5" w14:textId="77777777" w:rsidR="007673E4" w:rsidRDefault="007673E4" w:rsidP="0034060E">
          <w:pPr>
            <w:pStyle w:val="HeaderEven"/>
          </w:pPr>
        </w:p>
      </w:tc>
    </w:tr>
  </w:tbl>
  <w:p w14:paraId="00BB39E7" w14:textId="77777777" w:rsidR="007673E4" w:rsidRPr="0034060E" w:rsidRDefault="007673E4" w:rsidP="0034060E">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673E4" w14:paraId="00BB39EA" w14:textId="77777777" w:rsidTr="0034060E">
      <w:trPr>
        <w:trHeight w:val="300"/>
      </w:trPr>
      <w:tc>
        <w:tcPr>
          <w:tcW w:w="6633" w:type="dxa"/>
          <w:tcBorders>
            <w:top w:val="single" w:sz="6" w:space="0" w:color="auto"/>
          </w:tcBorders>
          <w:shd w:val="clear" w:color="auto" w:fill="auto"/>
        </w:tcPr>
        <w:p w14:paraId="00BB39E8" w14:textId="77777777" w:rsidR="007673E4" w:rsidRDefault="007673E4" w:rsidP="0034060E">
          <w:pPr>
            <w:pStyle w:val="HeaderOdd"/>
          </w:pPr>
        </w:p>
      </w:tc>
      <w:tc>
        <w:tcPr>
          <w:tcW w:w="2154" w:type="dxa"/>
          <w:tcBorders>
            <w:top w:val="single" w:sz="24" w:space="0" w:color="auto"/>
          </w:tcBorders>
          <w:shd w:val="clear" w:color="auto" w:fill="auto"/>
        </w:tcPr>
        <w:p w14:paraId="00BB39E9" w14:textId="77777777" w:rsidR="007673E4" w:rsidRDefault="007673E4" w:rsidP="0034060E">
          <w:pPr>
            <w:pStyle w:val="HeaderOdd"/>
          </w:pPr>
        </w:p>
      </w:tc>
    </w:tr>
  </w:tbl>
  <w:p w14:paraId="00BB39EB" w14:textId="77777777" w:rsidR="007673E4" w:rsidRPr="0034060E" w:rsidRDefault="007673E4" w:rsidP="0034060E">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8B44FD" w14:paraId="539070DD" w14:textId="77777777" w:rsidTr="0034060E">
      <w:trPr>
        <w:trHeight w:val="300"/>
      </w:trPr>
      <w:tc>
        <w:tcPr>
          <w:tcW w:w="2154" w:type="dxa"/>
          <w:tcBorders>
            <w:top w:val="single" w:sz="24" w:space="0" w:color="auto"/>
          </w:tcBorders>
          <w:shd w:val="clear" w:color="auto" w:fill="auto"/>
        </w:tcPr>
        <w:p w14:paraId="1C2DA59F" w14:textId="77777777" w:rsidR="008B44FD" w:rsidRDefault="008B44FD" w:rsidP="0034060E">
          <w:pPr>
            <w:pStyle w:val="HeaderEven"/>
          </w:pPr>
        </w:p>
      </w:tc>
      <w:tc>
        <w:tcPr>
          <w:tcW w:w="6633" w:type="dxa"/>
          <w:tcBorders>
            <w:top w:val="single" w:sz="6" w:space="0" w:color="auto"/>
          </w:tcBorders>
          <w:shd w:val="clear" w:color="auto" w:fill="auto"/>
        </w:tcPr>
        <w:p w14:paraId="1E378906" w14:textId="77777777" w:rsidR="008B44FD" w:rsidRDefault="008B44FD" w:rsidP="0034060E">
          <w:pPr>
            <w:pStyle w:val="HeaderEven"/>
          </w:pPr>
        </w:p>
      </w:tc>
    </w:tr>
  </w:tbl>
  <w:p w14:paraId="6746A546" w14:textId="77777777" w:rsidR="008B44FD" w:rsidRPr="0034060E" w:rsidRDefault="008B44FD" w:rsidP="0034060E">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B44FD" w14:paraId="2DBF9571" w14:textId="77777777" w:rsidTr="0034060E">
      <w:trPr>
        <w:trHeight w:val="300"/>
      </w:trPr>
      <w:tc>
        <w:tcPr>
          <w:tcW w:w="6633" w:type="dxa"/>
          <w:tcBorders>
            <w:top w:val="single" w:sz="6" w:space="0" w:color="auto"/>
          </w:tcBorders>
          <w:shd w:val="clear" w:color="auto" w:fill="auto"/>
        </w:tcPr>
        <w:p w14:paraId="2A61AC33" w14:textId="77777777" w:rsidR="008B44FD" w:rsidRDefault="008B44FD" w:rsidP="0034060E">
          <w:pPr>
            <w:pStyle w:val="HeaderOdd"/>
          </w:pPr>
        </w:p>
      </w:tc>
      <w:tc>
        <w:tcPr>
          <w:tcW w:w="2154" w:type="dxa"/>
          <w:tcBorders>
            <w:top w:val="single" w:sz="24" w:space="0" w:color="auto"/>
          </w:tcBorders>
          <w:shd w:val="clear" w:color="auto" w:fill="auto"/>
        </w:tcPr>
        <w:p w14:paraId="0017D7D4" w14:textId="77777777" w:rsidR="008B44FD" w:rsidRDefault="008B44FD" w:rsidP="0034060E">
          <w:pPr>
            <w:pStyle w:val="HeaderOdd"/>
          </w:pPr>
        </w:p>
      </w:tc>
    </w:tr>
  </w:tbl>
  <w:p w14:paraId="29D4D716" w14:textId="77777777" w:rsidR="008B44FD" w:rsidRPr="0034060E" w:rsidRDefault="008B44FD" w:rsidP="0034060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54101A"/>
    <w:lvl w:ilvl="0">
      <w:start w:val="1"/>
      <w:numFmt w:val="decimal"/>
      <w:lvlText w:val="%1."/>
      <w:lvlJc w:val="left"/>
      <w:pPr>
        <w:tabs>
          <w:tab w:val="num" w:pos="1492"/>
        </w:tabs>
        <w:ind w:left="1492" w:hanging="360"/>
      </w:pPr>
    </w:lvl>
  </w:abstractNum>
  <w:abstractNum w:abstractNumId="1">
    <w:nsid w:val="FFFFFF7D"/>
    <w:multiLevelType w:val="singleLevel"/>
    <w:tmpl w:val="80E42040"/>
    <w:lvl w:ilvl="0">
      <w:start w:val="1"/>
      <w:numFmt w:val="decimal"/>
      <w:lvlText w:val="%1."/>
      <w:lvlJc w:val="left"/>
      <w:pPr>
        <w:tabs>
          <w:tab w:val="num" w:pos="1209"/>
        </w:tabs>
        <w:ind w:left="1209" w:hanging="360"/>
      </w:pPr>
    </w:lvl>
  </w:abstractNum>
  <w:abstractNum w:abstractNumId="2">
    <w:nsid w:val="FFFFFF80"/>
    <w:multiLevelType w:val="singleLevel"/>
    <w:tmpl w:val="57DE7464"/>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F74CAEE6"/>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7"/>
  </w:num>
  <w:num w:numId="3">
    <w:abstractNumId w:val="18"/>
  </w:num>
  <w:num w:numId="4">
    <w:abstractNumId w:val="8"/>
  </w:num>
  <w:num w:numId="5">
    <w:abstractNumId w:val="23"/>
  </w:num>
  <w:num w:numId="6">
    <w:abstractNumId w:val="20"/>
  </w:num>
  <w:num w:numId="7">
    <w:abstractNumId w:val="12"/>
  </w:num>
  <w:num w:numId="8">
    <w:abstractNumId w:val="19"/>
  </w:num>
  <w:num w:numId="9">
    <w:abstractNumId w:val="11"/>
  </w:num>
  <w:num w:numId="10">
    <w:abstractNumId w:val="10"/>
  </w:num>
  <w:num w:numId="11">
    <w:abstractNumId w:val="14"/>
  </w:num>
  <w:num w:numId="12">
    <w:abstractNumId w:val="15"/>
  </w:num>
  <w:num w:numId="13">
    <w:abstractNumId w:val="9"/>
  </w:num>
  <w:num w:numId="14">
    <w:abstractNumId w:val="21"/>
  </w:num>
  <w:num w:numId="15">
    <w:abstractNumId w:val="24"/>
  </w:num>
  <w:num w:numId="16">
    <w:abstractNumId w:val="17"/>
  </w:num>
  <w:num w:numId="17">
    <w:abstractNumId w:val="25"/>
  </w:num>
  <w:num w:numId="18">
    <w:abstractNumId w:val="4"/>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13"/>
  </w:num>
  <w:num w:numId="22">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3">
    <w:abstractNumId w:val="3"/>
  </w:num>
  <w:num w:numId="24">
    <w:abstractNumId w:val="2"/>
  </w:num>
  <w:num w:numId="25">
    <w:abstractNumId w:val="1"/>
  </w:num>
  <w:num w:numId="26">
    <w:abstractNumId w:val="0"/>
  </w:num>
  <w:num w:numId="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34060E"/>
    <w:rsid w:val="0001631C"/>
    <w:rsid w:val="000227D5"/>
    <w:rsid w:val="000245AA"/>
    <w:rsid w:val="0003664B"/>
    <w:rsid w:val="0004111F"/>
    <w:rsid w:val="00055077"/>
    <w:rsid w:val="000565B3"/>
    <w:rsid w:val="0007150B"/>
    <w:rsid w:val="00082925"/>
    <w:rsid w:val="000938F5"/>
    <w:rsid w:val="00095663"/>
    <w:rsid w:val="00096E55"/>
    <w:rsid w:val="0009783E"/>
    <w:rsid w:val="000B1022"/>
    <w:rsid w:val="000B601B"/>
    <w:rsid w:val="000C207E"/>
    <w:rsid w:val="000D41E9"/>
    <w:rsid w:val="000F0035"/>
    <w:rsid w:val="000F04E7"/>
    <w:rsid w:val="000F060A"/>
    <w:rsid w:val="000F420B"/>
    <w:rsid w:val="00107365"/>
    <w:rsid w:val="00110116"/>
    <w:rsid w:val="00120072"/>
    <w:rsid w:val="001260A8"/>
    <w:rsid w:val="00126EB8"/>
    <w:rsid w:val="001274D4"/>
    <w:rsid w:val="001363AA"/>
    <w:rsid w:val="0013739A"/>
    <w:rsid w:val="00142165"/>
    <w:rsid w:val="00162434"/>
    <w:rsid w:val="00170CFC"/>
    <w:rsid w:val="00183E82"/>
    <w:rsid w:val="001878BB"/>
    <w:rsid w:val="00191AE0"/>
    <w:rsid w:val="0019293B"/>
    <w:rsid w:val="0019426B"/>
    <w:rsid w:val="001A6A4B"/>
    <w:rsid w:val="001B7A6C"/>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724BA"/>
    <w:rsid w:val="0028198B"/>
    <w:rsid w:val="00291B40"/>
    <w:rsid w:val="002B4008"/>
    <w:rsid w:val="002C439F"/>
    <w:rsid w:val="002D0C42"/>
    <w:rsid w:val="002D0E8E"/>
    <w:rsid w:val="002E11D5"/>
    <w:rsid w:val="00301189"/>
    <w:rsid w:val="00301E4A"/>
    <w:rsid w:val="00315C17"/>
    <w:rsid w:val="003168B8"/>
    <w:rsid w:val="00322D64"/>
    <w:rsid w:val="00323E09"/>
    <w:rsid w:val="00333932"/>
    <w:rsid w:val="0034060E"/>
    <w:rsid w:val="003518AA"/>
    <w:rsid w:val="00352165"/>
    <w:rsid w:val="00353182"/>
    <w:rsid w:val="00356237"/>
    <w:rsid w:val="003565D9"/>
    <w:rsid w:val="003602E1"/>
    <w:rsid w:val="0037026F"/>
    <w:rsid w:val="00371240"/>
    <w:rsid w:val="00374731"/>
    <w:rsid w:val="00376E59"/>
    <w:rsid w:val="00377EC1"/>
    <w:rsid w:val="00380340"/>
    <w:rsid w:val="003919F9"/>
    <w:rsid w:val="003920CF"/>
    <w:rsid w:val="003B09CF"/>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53A36"/>
    <w:rsid w:val="00462C59"/>
    <w:rsid w:val="00470737"/>
    <w:rsid w:val="00477144"/>
    <w:rsid w:val="0048740C"/>
    <w:rsid w:val="00491380"/>
    <w:rsid w:val="0049459F"/>
    <w:rsid w:val="004A38DD"/>
    <w:rsid w:val="004B43AE"/>
    <w:rsid w:val="004C30ED"/>
    <w:rsid w:val="004D5675"/>
    <w:rsid w:val="004F0942"/>
    <w:rsid w:val="0051512F"/>
    <w:rsid w:val="00517795"/>
    <w:rsid w:val="00523639"/>
    <w:rsid w:val="00531FE5"/>
    <w:rsid w:val="005402FA"/>
    <w:rsid w:val="00560BAA"/>
    <w:rsid w:val="005729BD"/>
    <w:rsid w:val="00580154"/>
    <w:rsid w:val="00583C39"/>
    <w:rsid w:val="00586A90"/>
    <w:rsid w:val="00587F28"/>
    <w:rsid w:val="005909CF"/>
    <w:rsid w:val="00591E71"/>
    <w:rsid w:val="005A0D41"/>
    <w:rsid w:val="005D329F"/>
    <w:rsid w:val="005D404C"/>
    <w:rsid w:val="005F48ED"/>
    <w:rsid w:val="00606E78"/>
    <w:rsid w:val="00607BF1"/>
    <w:rsid w:val="00630D4D"/>
    <w:rsid w:val="00632A74"/>
    <w:rsid w:val="006356C0"/>
    <w:rsid w:val="00654D42"/>
    <w:rsid w:val="006645A3"/>
    <w:rsid w:val="00666E02"/>
    <w:rsid w:val="00691AD1"/>
    <w:rsid w:val="006A4655"/>
    <w:rsid w:val="006B24A7"/>
    <w:rsid w:val="006B2B3C"/>
    <w:rsid w:val="006C1D81"/>
    <w:rsid w:val="006C7038"/>
    <w:rsid w:val="006E73EF"/>
    <w:rsid w:val="007079C9"/>
    <w:rsid w:val="00714D4D"/>
    <w:rsid w:val="007266D3"/>
    <w:rsid w:val="00732029"/>
    <w:rsid w:val="007604BB"/>
    <w:rsid w:val="007673E4"/>
    <w:rsid w:val="00772909"/>
    <w:rsid w:val="00785232"/>
    <w:rsid w:val="0079701E"/>
    <w:rsid w:val="007A21EB"/>
    <w:rsid w:val="007B1A93"/>
    <w:rsid w:val="007C36C9"/>
    <w:rsid w:val="007C79D6"/>
    <w:rsid w:val="007D6401"/>
    <w:rsid w:val="007E01E4"/>
    <w:rsid w:val="007E3F43"/>
    <w:rsid w:val="007E5C7F"/>
    <w:rsid w:val="007E7A12"/>
    <w:rsid w:val="007F5185"/>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A49A9"/>
    <w:rsid w:val="008B44FD"/>
    <w:rsid w:val="008D0C24"/>
    <w:rsid w:val="008D1A01"/>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50"/>
    <w:rsid w:val="00967CD3"/>
    <w:rsid w:val="00990C2C"/>
    <w:rsid w:val="009A5171"/>
    <w:rsid w:val="009E1844"/>
    <w:rsid w:val="009E47BC"/>
    <w:rsid w:val="009F0D1B"/>
    <w:rsid w:val="009F5BBD"/>
    <w:rsid w:val="009F696D"/>
    <w:rsid w:val="009F6BC6"/>
    <w:rsid w:val="009F74EF"/>
    <w:rsid w:val="00A02826"/>
    <w:rsid w:val="00A15D5A"/>
    <w:rsid w:val="00A16D09"/>
    <w:rsid w:val="00A17328"/>
    <w:rsid w:val="00A23A20"/>
    <w:rsid w:val="00A24443"/>
    <w:rsid w:val="00A268B9"/>
    <w:rsid w:val="00A2703A"/>
    <w:rsid w:val="00A33DFF"/>
    <w:rsid w:val="00A35115"/>
    <w:rsid w:val="00A36D9A"/>
    <w:rsid w:val="00A451DC"/>
    <w:rsid w:val="00A554AB"/>
    <w:rsid w:val="00A57062"/>
    <w:rsid w:val="00A66517"/>
    <w:rsid w:val="00A67781"/>
    <w:rsid w:val="00A761F9"/>
    <w:rsid w:val="00A83351"/>
    <w:rsid w:val="00A92B53"/>
    <w:rsid w:val="00A94FA6"/>
    <w:rsid w:val="00AA49A0"/>
    <w:rsid w:val="00AA6710"/>
    <w:rsid w:val="00AB0681"/>
    <w:rsid w:val="00AC3A15"/>
    <w:rsid w:val="00AD520B"/>
    <w:rsid w:val="00AE3BCC"/>
    <w:rsid w:val="00B22FFA"/>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1607E"/>
    <w:rsid w:val="00C3066D"/>
    <w:rsid w:val="00C45942"/>
    <w:rsid w:val="00C52416"/>
    <w:rsid w:val="00C543F4"/>
    <w:rsid w:val="00C6291C"/>
    <w:rsid w:val="00C633CB"/>
    <w:rsid w:val="00C664CD"/>
    <w:rsid w:val="00C736B7"/>
    <w:rsid w:val="00C75068"/>
    <w:rsid w:val="00C81D4A"/>
    <w:rsid w:val="00C83738"/>
    <w:rsid w:val="00C8762C"/>
    <w:rsid w:val="00CA00F9"/>
    <w:rsid w:val="00CA2961"/>
    <w:rsid w:val="00CA438F"/>
    <w:rsid w:val="00CB50D7"/>
    <w:rsid w:val="00CB7177"/>
    <w:rsid w:val="00CB7CED"/>
    <w:rsid w:val="00CC070F"/>
    <w:rsid w:val="00CC1998"/>
    <w:rsid w:val="00CC4946"/>
    <w:rsid w:val="00CC64A1"/>
    <w:rsid w:val="00CF3B11"/>
    <w:rsid w:val="00D270A4"/>
    <w:rsid w:val="00D31FE9"/>
    <w:rsid w:val="00D34E1B"/>
    <w:rsid w:val="00D376BA"/>
    <w:rsid w:val="00D434A0"/>
    <w:rsid w:val="00D45634"/>
    <w:rsid w:val="00D46F34"/>
    <w:rsid w:val="00D5568A"/>
    <w:rsid w:val="00D63D73"/>
    <w:rsid w:val="00D64452"/>
    <w:rsid w:val="00D66E1E"/>
    <w:rsid w:val="00D70696"/>
    <w:rsid w:val="00D75722"/>
    <w:rsid w:val="00D80CF5"/>
    <w:rsid w:val="00DA5BBA"/>
    <w:rsid w:val="00DB26D2"/>
    <w:rsid w:val="00DB489C"/>
    <w:rsid w:val="00DB67C9"/>
    <w:rsid w:val="00DC0C95"/>
    <w:rsid w:val="00DC4F0B"/>
    <w:rsid w:val="00DD6580"/>
    <w:rsid w:val="00DF42C2"/>
    <w:rsid w:val="00E01D7F"/>
    <w:rsid w:val="00E05C03"/>
    <w:rsid w:val="00E17C72"/>
    <w:rsid w:val="00E21FC6"/>
    <w:rsid w:val="00E379FC"/>
    <w:rsid w:val="00E431A9"/>
    <w:rsid w:val="00E535B8"/>
    <w:rsid w:val="00E62288"/>
    <w:rsid w:val="00E669E2"/>
    <w:rsid w:val="00E759E6"/>
    <w:rsid w:val="00E76135"/>
    <w:rsid w:val="00E82F4F"/>
    <w:rsid w:val="00E864DF"/>
    <w:rsid w:val="00E9331D"/>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2137"/>
    <w:rsid w:val="00F73727"/>
    <w:rsid w:val="00F766A7"/>
    <w:rsid w:val="00F80BCE"/>
    <w:rsid w:val="00F81006"/>
    <w:rsid w:val="00F85325"/>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BB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List Bullet" w:qFormat="1"/>
    <w:lsdException w:name="Body Text" w:qFormat="1"/>
    <w:lsdException w:name="Subtitle" w:qFormat="1"/>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link w:val="ListNumberChar"/>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uiPriority w:val="59"/>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2Char">
    <w:name w:val="Heading 2 Char"/>
    <w:basedOn w:val="DefaultParagraphFont"/>
    <w:link w:val="Heading2"/>
    <w:rsid w:val="0034060E"/>
    <w:rPr>
      <w:rFonts w:ascii="Arial" w:hAnsi="Arial"/>
      <w:b/>
      <w:sz w:val="32"/>
    </w:rPr>
  </w:style>
  <w:style w:type="character" w:customStyle="1" w:styleId="BoxChar">
    <w:name w:val="Box Char"/>
    <w:link w:val="Box"/>
    <w:locked/>
    <w:rsid w:val="0034060E"/>
    <w:rPr>
      <w:rFonts w:ascii="Arial" w:hAnsi="Arial"/>
    </w:rPr>
  </w:style>
  <w:style w:type="character" w:customStyle="1" w:styleId="Heading3Char">
    <w:name w:val="Heading 3 Char"/>
    <w:basedOn w:val="DefaultParagraphFont"/>
    <w:link w:val="Heading3"/>
    <w:rsid w:val="0034060E"/>
    <w:rPr>
      <w:rFonts w:ascii="Arial" w:hAnsi="Arial"/>
      <w:b/>
      <w:sz w:val="26"/>
    </w:rPr>
  </w:style>
  <w:style w:type="character" w:customStyle="1" w:styleId="NoteChar">
    <w:name w:val="Note Char"/>
    <w:link w:val="Note"/>
    <w:locked/>
    <w:rsid w:val="0034060E"/>
    <w:rPr>
      <w:rFonts w:ascii="Arial" w:hAnsi="Arial"/>
      <w:sz w:val="18"/>
    </w:rPr>
  </w:style>
  <w:style w:type="character" w:customStyle="1" w:styleId="SourceChar">
    <w:name w:val="Source Char"/>
    <w:link w:val="Source"/>
    <w:locked/>
    <w:rsid w:val="0034060E"/>
    <w:rPr>
      <w:rFonts w:ascii="Arial" w:hAnsi="Arial"/>
      <w:sz w:val="18"/>
    </w:rPr>
  </w:style>
  <w:style w:type="character" w:customStyle="1" w:styleId="TableBodyTextChar">
    <w:name w:val="Table Body Text Char"/>
    <w:link w:val="TableBodyText"/>
    <w:locked/>
    <w:rsid w:val="0034060E"/>
    <w:rPr>
      <w:rFonts w:ascii="Arial" w:hAnsi="Arial"/>
      <w:sz w:val="18"/>
    </w:rPr>
  </w:style>
  <w:style w:type="character" w:customStyle="1" w:styleId="ListBulletChar">
    <w:name w:val="List Bullet Char"/>
    <w:basedOn w:val="DefaultParagraphFont"/>
    <w:link w:val="ListBullet"/>
    <w:rsid w:val="0034060E"/>
    <w:rPr>
      <w:sz w:val="24"/>
    </w:rPr>
  </w:style>
  <w:style w:type="character" w:customStyle="1" w:styleId="FootnoteTextChar">
    <w:name w:val="Footnote Text Char"/>
    <w:basedOn w:val="DefaultParagraphFont"/>
    <w:link w:val="FootnoteText"/>
    <w:rsid w:val="0034060E"/>
  </w:style>
  <w:style w:type="character" w:customStyle="1" w:styleId="TableTitleChar">
    <w:name w:val="Table Title Char"/>
    <w:basedOn w:val="DefaultParagraphFont"/>
    <w:link w:val="TableTitle"/>
    <w:rsid w:val="0034060E"/>
    <w:rPr>
      <w:rFonts w:ascii="Arial" w:hAnsi="Arial"/>
      <w:b/>
      <w:sz w:val="24"/>
      <w:szCs w:val="24"/>
    </w:rPr>
  </w:style>
  <w:style w:type="character" w:customStyle="1" w:styleId="Heading4Char">
    <w:name w:val="Heading 4 Char"/>
    <w:basedOn w:val="DefaultParagraphFont"/>
    <w:link w:val="Heading4"/>
    <w:rsid w:val="0034060E"/>
    <w:rPr>
      <w:rFonts w:ascii="Arial" w:hAnsi="Arial"/>
      <w:sz w:val="24"/>
    </w:rPr>
  </w:style>
  <w:style w:type="character" w:customStyle="1" w:styleId="ContinuedChar">
    <w:name w:val="Continued Char"/>
    <w:basedOn w:val="DefaultParagraphFont"/>
    <w:link w:val="Continued"/>
    <w:locked/>
    <w:rsid w:val="0034060E"/>
    <w:rPr>
      <w:rFonts w:ascii="Arial" w:hAnsi="Arial"/>
      <w:sz w:val="18"/>
    </w:rPr>
  </w:style>
  <w:style w:type="paragraph" w:styleId="CommentSubject">
    <w:name w:val="annotation subject"/>
    <w:basedOn w:val="CommentText"/>
    <w:next w:val="CommentText"/>
    <w:link w:val="CommentSubjectChar"/>
    <w:rsid w:val="0034060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4060E"/>
    <w:rPr>
      <w:szCs w:val="24"/>
    </w:rPr>
  </w:style>
  <w:style w:type="character" w:customStyle="1" w:styleId="CommentSubjectChar">
    <w:name w:val="Comment Subject Char"/>
    <w:basedOn w:val="CommentTextChar"/>
    <w:link w:val="CommentSubject"/>
    <w:rsid w:val="0034060E"/>
    <w:rPr>
      <w:b/>
      <w:bCs/>
      <w:szCs w:val="24"/>
    </w:rPr>
  </w:style>
  <w:style w:type="paragraph" w:styleId="Bibliography">
    <w:name w:val="Bibliography"/>
    <w:basedOn w:val="Normal"/>
    <w:next w:val="Normal"/>
    <w:uiPriority w:val="37"/>
    <w:unhideWhenUsed/>
    <w:rsid w:val="0034060E"/>
    <w:pPr>
      <w:spacing w:after="240"/>
      <w:ind w:left="720" w:hanging="720"/>
    </w:pPr>
  </w:style>
  <w:style w:type="character" w:customStyle="1" w:styleId="ListNumberChar">
    <w:name w:val="List Number Char"/>
    <w:basedOn w:val="DefaultParagraphFont"/>
    <w:link w:val="ListNumber"/>
    <w:rsid w:val="0034060E"/>
    <w:rPr>
      <w:sz w:val="24"/>
    </w:rPr>
  </w:style>
  <w:style w:type="paragraph" w:styleId="Revision">
    <w:name w:val="Revision"/>
    <w:hidden/>
    <w:uiPriority w:val="99"/>
    <w:semiHidden/>
    <w:rsid w:val="0034060E"/>
    <w:rPr>
      <w:sz w:val="26"/>
      <w:szCs w:val="24"/>
    </w:rPr>
  </w:style>
  <w:style w:type="character" w:styleId="EndnoteReference">
    <w:name w:val="endnote reference"/>
    <w:basedOn w:val="DefaultParagraphFont"/>
    <w:rsid w:val="0034060E"/>
    <w:rPr>
      <w:vertAlign w:val="superscript"/>
    </w:rPr>
  </w:style>
  <w:style w:type="paragraph" w:customStyle="1" w:styleId="Heading2NotTOC">
    <w:name w:val="Heading 2 Not TOC"/>
    <w:basedOn w:val="Heading2"/>
    <w:next w:val="BodyText"/>
    <w:rsid w:val="008B44FD"/>
  </w:style>
  <w:style w:type="paragraph" w:customStyle="1" w:styleId="Heading1NotTOC">
    <w:name w:val="Heading 1 Not TOC"/>
    <w:basedOn w:val="Heading1"/>
    <w:next w:val="BodyText"/>
    <w:rsid w:val="008B44FD"/>
    <w:rPr>
      <w:kern w:val="28"/>
      <w:szCs w:val="26"/>
      <w:lang w:eastAsia="en-US"/>
    </w:rPr>
  </w:style>
  <w:style w:type="paragraph" w:customStyle="1" w:styleId="Copyrightheading">
    <w:name w:val="Copyright heading"/>
    <w:basedOn w:val="TOC1"/>
    <w:link w:val="CopyrightheadingChar"/>
    <w:qFormat/>
    <w:rsid w:val="008B44FD"/>
    <w:pPr>
      <w:spacing w:line="300" w:lineRule="exact"/>
    </w:pPr>
    <w:rPr>
      <w:sz w:val="22"/>
    </w:rPr>
  </w:style>
  <w:style w:type="character" w:customStyle="1" w:styleId="CopyrightheadingChar">
    <w:name w:val="Copyright heading Char"/>
    <w:basedOn w:val="TOC1Char"/>
    <w:link w:val="Copyrightheading"/>
    <w:rsid w:val="008B44FD"/>
    <w:rPr>
      <w:rFonts w:ascii="Arial" w:hAnsi="Arial"/>
      <w:b/>
      <w:sz w:val="22"/>
      <w:szCs w:val="26"/>
      <w:lang w:eastAsia="en-US"/>
    </w:rPr>
  </w:style>
  <w:style w:type="paragraph" w:customStyle="1" w:styleId="Copyrightsubtitle">
    <w:name w:val="Copyright subtitle"/>
    <w:basedOn w:val="BodyText"/>
    <w:rsid w:val="008B44FD"/>
    <w:rPr>
      <w:rFonts w:ascii="Arial" w:hAnsi="Arial"/>
      <w:b/>
      <w:sz w:val="22"/>
      <w:szCs w:val="25"/>
    </w:rPr>
  </w:style>
  <w:style w:type="paragraph" w:customStyle="1" w:styleId="Copyrightbodytext">
    <w:name w:val="Copyright bodytext"/>
    <w:basedOn w:val="BodyText"/>
    <w:link w:val="CopyrightbodytextChar"/>
    <w:qFormat/>
    <w:rsid w:val="008B44FD"/>
    <w:pPr>
      <w:spacing w:before="60"/>
    </w:pPr>
  </w:style>
  <w:style w:type="character" w:customStyle="1" w:styleId="CopyrightbodytextChar">
    <w:name w:val="Copyright bodytext Char"/>
    <w:basedOn w:val="BodyTextChar"/>
    <w:link w:val="Copyrightbodytext"/>
    <w:rsid w:val="008B44F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List Bullet" w:qFormat="1"/>
    <w:lsdException w:name="Body Text" w:qFormat="1"/>
    <w:lsdException w:name="Subtitle" w:qFormat="1"/>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link w:val="ListNumberChar"/>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uiPriority w:val="59"/>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2Char">
    <w:name w:val="Heading 2 Char"/>
    <w:basedOn w:val="DefaultParagraphFont"/>
    <w:link w:val="Heading2"/>
    <w:rsid w:val="0034060E"/>
    <w:rPr>
      <w:rFonts w:ascii="Arial" w:hAnsi="Arial"/>
      <w:b/>
      <w:sz w:val="32"/>
    </w:rPr>
  </w:style>
  <w:style w:type="character" w:customStyle="1" w:styleId="BoxChar">
    <w:name w:val="Box Char"/>
    <w:link w:val="Box"/>
    <w:locked/>
    <w:rsid w:val="0034060E"/>
    <w:rPr>
      <w:rFonts w:ascii="Arial" w:hAnsi="Arial"/>
    </w:rPr>
  </w:style>
  <w:style w:type="character" w:customStyle="1" w:styleId="Heading3Char">
    <w:name w:val="Heading 3 Char"/>
    <w:basedOn w:val="DefaultParagraphFont"/>
    <w:link w:val="Heading3"/>
    <w:rsid w:val="0034060E"/>
    <w:rPr>
      <w:rFonts w:ascii="Arial" w:hAnsi="Arial"/>
      <w:b/>
      <w:sz w:val="26"/>
    </w:rPr>
  </w:style>
  <w:style w:type="character" w:customStyle="1" w:styleId="NoteChar">
    <w:name w:val="Note Char"/>
    <w:link w:val="Note"/>
    <w:locked/>
    <w:rsid w:val="0034060E"/>
    <w:rPr>
      <w:rFonts w:ascii="Arial" w:hAnsi="Arial"/>
      <w:sz w:val="18"/>
    </w:rPr>
  </w:style>
  <w:style w:type="character" w:customStyle="1" w:styleId="SourceChar">
    <w:name w:val="Source Char"/>
    <w:link w:val="Source"/>
    <w:locked/>
    <w:rsid w:val="0034060E"/>
    <w:rPr>
      <w:rFonts w:ascii="Arial" w:hAnsi="Arial"/>
      <w:sz w:val="18"/>
    </w:rPr>
  </w:style>
  <w:style w:type="character" w:customStyle="1" w:styleId="TableBodyTextChar">
    <w:name w:val="Table Body Text Char"/>
    <w:link w:val="TableBodyText"/>
    <w:locked/>
    <w:rsid w:val="0034060E"/>
    <w:rPr>
      <w:rFonts w:ascii="Arial" w:hAnsi="Arial"/>
      <w:sz w:val="18"/>
    </w:rPr>
  </w:style>
  <w:style w:type="character" w:customStyle="1" w:styleId="ListBulletChar">
    <w:name w:val="List Bullet Char"/>
    <w:basedOn w:val="DefaultParagraphFont"/>
    <w:link w:val="ListBullet"/>
    <w:rsid w:val="0034060E"/>
    <w:rPr>
      <w:sz w:val="24"/>
    </w:rPr>
  </w:style>
  <w:style w:type="character" w:customStyle="1" w:styleId="FootnoteTextChar">
    <w:name w:val="Footnote Text Char"/>
    <w:basedOn w:val="DefaultParagraphFont"/>
    <w:link w:val="FootnoteText"/>
    <w:rsid w:val="0034060E"/>
  </w:style>
  <w:style w:type="character" w:customStyle="1" w:styleId="TableTitleChar">
    <w:name w:val="Table Title Char"/>
    <w:basedOn w:val="DefaultParagraphFont"/>
    <w:link w:val="TableTitle"/>
    <w:rsid w:val="0034060E"/>
    <w:rPr>
      <w:rFonts w:ascii="Arial" w:hAnsi="Arial"/>
      <w:b/>
      <w:sz w:val="24"/>
      <w:szCs w:val="24"/>
    </w:rPr>
  </w:style>
  <w:style w:type="character" w:customStyle="1" w:styleId="Heading4Char">
    <w:name w:val="Heading 4 Char"/>
    <w:basedOn w:val="DefaultParagraphFont"/>
    <w:link w:val="Heading4"/>
    <w:rsid w:val="0034060E"/>
    <w:rPr>
      <w:rFonts w:ascii="Arial" w:hAnsi="Arial"/>
      <w:sz w:val="24"/>
    </w:rPr>
  </w:style>
  <w:style w:type="character" w:customStyle="1" w:styleId="ContinuedChar">
    <w:name w:val="Continued Char"/>
    <w:basedOn w:val="DefaultParagraphFont"/>
    <w:link w:val="Continued"/>
    <w:locked/>
    <w:rsid w:val="0034060E"/>
    <w:rPr>
      <w:rFonts w:ascii="Arial" w:hAnsi="Arial"/>
      <w:sz w:val="18"/>
    </w:rPr>
  </w:style>
  <w:style w:type="paragraph" w:styleId="CommentSubject">
    <w:name w:val="annotation subject"/>
    <w:basedOn w:val="CommentText"/>
    <w:next w:val="CommentText"/>
    <w:link w:val="CommentSubjectChar"/>
    <w:rsid w:val="0034060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4060E"/>
    <w:rPr>
      <w:szCs w:val="24"/>
    </w:rPr>
  </w:style>
  <w:style w:type="character" w:customStyle="1" w:styleId="CommentSubjectChar">
    <w:name w:val="Comment Subject Char"/>
    <w:basedOn w:val="CommentTextChar"/>
    <w:link w:val="CommentSubject"/>
    <w:rsid w:val="0034060E"/>
    <w:rPr>
      <w:b/>
      <w:bCs/>
      <w:szCs w:val="24"/>
    </w:rPr>
  </w:style>
  <w:style w:type="paragraph" w:styleId="Bibliography">
    <w:name w:val="Bibliography"/>
    <w:basedOn w:val="Normal"/>
    <w:next w:val="Normal"/>
    <w:uiPriority w:val="37"/>
    <w:unhideWhenUsed/>
    <w:rsid w:val="0034060E"/>
    <w:pPr>
      <w:spacing w:after="240"/>
      <w:ind w:left="720" w:hanging="720"/>
    </w:pPr>
  </w:style>
  <w:style w:type="character" w:customStyle="1" w:styleId="ListNumberChar">
    <w:name w:val="List Number Char"/>
    <w:basedOn w:val="DefaultParagraphFont"/>
    <w:link w:val="ListNumber"/>
    <w:rsid w:val="0034060E"/>
    <w:rPr>
      <w:sz w:val="24"/>
    </w:rPr>
  </w:style>
  <w:style w:type="paragraph" w:styleId="Revision">
    <w:name w:val="Revision"/>
    <w:hidden/>
    <w:uiPriority w:val="99"/>
    <w:semiHidden/>
    <w:rsid w:val="0034060E"/>
    <w:rPr>
      <w:sz w:val="26"/>
      <w:szCs w:val="24"/>
    </w:rPr>
  </w:style>
  <w:style w:type="character" w:styleId="EndnoteReference">
    <w:name w:val="endnote reference"/>
    <w:basedOn w:val="DefaultParagraphFont"/>
    <w:rsid w:val="0034060E"/>
    <w:rPr>
      <w:vertAlign w:val="superscript"/>
    </w:rPr>
  </w:style>
  <w:style w:type="paragraph" w:customStyle="1" w:styleId="Heading2NotTOC">
    <w:name w:val="Heading 2 Not TOC"/>
    <w:basedOn w:val="Heading2"/>
    <w:next w:val="BodyText"/>
    <w:rsid w:val="008B44FD"/>
  </w:style>
  <w:style w:type="paragraph" w:customStyle="1" w:styleId="Heading1NotTOC">
    <w:name w:val="Heading 1 Not TOC"/>
    <w:basedOn w:val="Heading1"/>
    <w:next w:val="BodyText"/>
    <w:rsid w:val="008B44FD"/>
    <w:rPr>
      <w:kern w:val="28"/>
      <w:szCs w:val="26"/>
      <w:lang w:eastAsia="en-US"/>
    </w:rPr>
  </w:style>
  <w:style w:type="paragraph" w:customStyle="1" w:styleId="Copyrightheading">
    <w:name w:val="Copyright heading"/>
    <w:basedOn w:val="TOC1"/>
    <w:link w:val="CopyrightheadingChar"/>
    <w:qFormat/>
    <w:rsid w:val="008B44FD"/>
    <w:pPr>
      <w:spacing w:line="300" w:lineRule="exact"/>
    </w:pPr>
    <w:rPr>
      <w:sz w:val="22"/>
    </w:rPr>
  </w:style>
  <w:style w:type="character" w:customStyle="1" w:styleId="CopyrightheadingChar">
    <w:name w:val="Copyright heading Char"/>
    <w:basedOn w:val="TOC1Char"/>
    <w:link w:val="Copyrightheading"/>
    <w:rsid w:val="008B44FD"/>
    <w:rPr>
      <w:rFonts w:ascii="Arial" w:hAnsi="Arial"/>
      <w:b/>
      <w:sz w:val="22"/>
      <w:szCs w:val="26"/>
      <w:lang w:eastAsia="en-US"/>
    </w:rPr>
  </w:style>
  <w:style w:type="paragraph" w:customStyle="1" w:styleId="Copyrightsubtitle">
    <w:name w:val="Copyright subtitle"/>
    <w:basedOn w:val="BodyText"/>
    <w:rsid w:val="008B44FD"/>
    <w:rPr>
      <w:rFonts w:ascii="Arial" w:hAnsi="Arial"/>
      <w:b/>
      <w:sz w:val="22"/>
      <w:szCs w:val="25"/>
    </w:rPr>
  </w:style>
  <w:style w:type="paragraph" w:customStyle="1" w:styleId="Copyrightbodytext">
    <w:name w:val="Copyright bodytext"/>
    <w:basedOn w:val="BodyText"/>
    <w:link w:val="CopyrightbodytextChar"/>
    <w:qFormat/>
    <w:rsid w:val="008B44FD"/>
    <w:pPr>
      <w:spacing w:before="60"/>
    </w:pPr>
  </w:style>
  <w:style w:type="character" w:customStyle="1" w:styleId="CopyrightbodytextChar">
    <w:name w:val="Copyright bodytext Char"/>
    <w:basedOn w:val="BodyTextChar"/>
    <w:link w:val="Copyrightbodytext"/>
    <w:rsid w:val="008B44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footer" Target="footer3.xml"/><Relationship Id="rId34" Type="http://schemas.openxmlformats.org/officeDocument/2006/relationships/image" Target="media/image3.emf"/><Relationship Id="rId42" Type="http://schemas.openxmlformats.org/officeDocument/2006/relationships/image" Target="media/image4.emf"/><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header" Target="header17.xml"/><Relationship Id="rId63" Type="http://schemas.openxmlformats.org/officeDocument/2006/relationships/header" Target="header19.xml"/><Relationship Id="rId68" Type="http://schemas.openxmlformats.org/officeDocument/2006/relationships/chart" Target="charts/chart9.xml"/><Relationship Id="rId76" Type="http://schemas.openxmlformats.org/officeDocument/2006/relationships/footer" Target="footer23.xml"/><Relationship Id="rId7" Type="http://schemas.openxmlformats.org/officeDocument/2006/relationships/numbering" Target="numbering.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7.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chart" Target="charts/chart2.xml"/><Relationship Id="rId45" Type="http://schemas.openxmlformats.org/officeDocument/2006/relationships/header" Target="header13.xml"/><Relationship Id="rId53" Type="http://schemas.openxmlformats.org/officeDocument/2006/relationships/image" Target="media/image6.emf"/><Relationship Id="rId58" Type="http://schemas.openxmlformats.org/officeDocument/2006/relationships/image" Target="media/image7.emf"/><Relationship Id="rId66" Type="http://schemas.openxmlformats.org/officeDocument/2006/relationships/chart" Target="charts/chart7.xml"/><Relationship Id="rId74"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header" Target="header15.xml"/><Relationship Id="rId57" Type="http://schemas.openxmlformats.org/officeDocument/2006/relationships/footer" Target="footer17.xml"/><Relationship Id="rId61" Type="http://schemas.openxmlformats.org/officeDocument/2006/relationships/chart" Target="charts/chart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eader" Target="header12.xml"/><Relationship Id="rId52" Type="http://schemas.openxmlformats.org/officeDocument/2006/relationships/image" Target="media/image5.emf"/><Relationship Id="rId60" Type="http://schemas.openxmlformats.org/officeDocument/2006/relationships/chart" Target="charts/chart5.xml"/><Relationship Id="rId65" Type="http://schemas.openxmlformats.org/officeDocument/2006/relationships/footer" Target="footer19.xml"/><Relationship Id="rId73" Type="http://schemas.openxmlformats.org/officeDocument/2006/relationships/header" Target="header22.xml"/><Relationship Id="rId78"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chart" Target="charts/chart1.xml"/><Relationship Id="rId43" Type="http://schemas.openxmlformats.org/officeDocument/2006/relationships/chart" Target="charts/chart4.xml"/><Relationship Id="rId48" Type="http://schemas.openxmlformats.org/officeDocument/2006/relationships/header" Target="header14.xml"/><Relationship Id="rId56" Type="http://schemas.openxmlformats.org/officeDocument/2006/relationships/footer" Target="footer16.xml"/><Relationship Id="rId64" Type="http://schemas.openxmlformats.org/officeDocument/2006/relationships/footer" Target="footer18.xml"/><Relationship Id="rId69" Type="http://schemas.openxmlformats.org/officeDocument/2006/relationships/header" Target="header20.xm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15.xml"/><Relationship Id="rId72"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footer" Target="footer12.xml"/><Relationship Id="rId59" Type="http://schemas.openxmlformats.org/officeDocument/2006/relationships/image" Target="media/image8.emf"/><Relationship Id="rId67" Type="http://schemas.openxmlformats.org/officeDocument/2006/relationships/chart" Target="charts/chart8.xml"/><Relationship Id="rId20" Type="http://schemas.openxmlformats.org/officeDocument/2006/relationships/footer" Target="footer2.xml"/><Relationship Id="rId41" Type="http://schemas.openxmlformats.org/officeDocument/2006/relationships/chart" Target="charts/chart3.xml"/><Relationship Id="rId54" Type="http://schemas.openxmlformats.org/officeDocument/2006/relationships/header" Target="header16.xml"/><Relationship Id="rId62" Type="http://schemas.openxmlformats.org/officeDocument/2006/relationships/header" Target="header18.xml"/><Relationship Id="rId70" Type="http://schemas.openxmlformats.org/officeDocument/2006/relationships/header" Target="header21.xm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_compiler.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Award Reliant</c:v>
          </c:tx>
          <c:spPr>
            <a:solidFill>
              <a:srgbClr val="265A9A"/>
            </a:solidFill>
            <a:ln>
              <a:solidFill>
                <a:srgbClr val="265A9A"/>
              </a:solidFill>
            </a:ln>
          </c:spPr>
          <c:invertIfNegative val="0"/>
          <c:dPt>
            <c:idx val="0"/>
            <c:invertIfNegative val="0"/>
            <c:bubble3D val="0"/>
            <c:spPr>
              <a:solidFill>
                <a:srgbClr val="265A9A"/>
              </a:solidFill>
              <a:ln>
                <a:solidFill>
                  <a:srgbClr val="265A9A"/>
                </a:solidFill>
              </a:ln>
            </c:spPr>
          </c:dPt>
          <c:cat>
            <c:numRef>
              <c:f>'fig 2.2'!$A$7:$A$106</c:f>
              <c:numCache>
                <c:formatCode>0</c:formatCode>
                <c:ptCount val="100"/>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pt idx="17">
                  <c:v>95</c:v>
                </c:pt>
                <c:pt idx="18">
                  <c:v>100</c:v>
                </c:pt>
                <c:pt idx="19">
                  <c:v>105</c:v>
                </c:pt>
                <c:pt idx="20">
                  <c:v>110</c:v>
                </c:pt>
                <c:pt idx="21">
                  <c:v>115</c:v>
                </c:pt>
                <c:pt idx="22">
                  <c:v>120</c:v>
                </c:pt>
                <c:pt idx="23">
                  <c:v>125</c:v>
                </c:pt>
                <c:pt idx="24">
                  <c:v>130</c:v>
                </c:pt>
                <c:pt idx="25">
                  <c:v>135</c:v>
                </c:pt>
                <c:pt idx="26">
                  <c:v>140</c:v>
                </c:pt>
                <c:pt idx="27">
                  <c:v>145</c:v>
                </c:pt>
                <c:pt idx="28">
                  <c:v>150</c:v>
                </c:pt>
                <c:pt idx="29">
                  <c:v>155</c:v>
                </c:pt>
                <c:pt idx="30">
                  <c:v>160</c:v>
                </c:pt>
                <c:pt idx="31">
                  <c:v>165</c:v>
                </c:pt>
                <c:pt idx="32">
                  <c:v>170</c:v>
                </c:pt>
                <c:pt idx="33">
                  <c:v>175</c:v>
                </c:pt>
                <c:pt idx="34">
                  <c:v>180</c:v>
                </c:pt>
                <c:pt idx="35">
                  <c:v>185</c:v>
                </c:pt>
                <c:pt idx="36">
                  <c:v>190</c:v>
                </c:pt>
                <c:pt idx="37">
                  <c:v>195</c:v>
                </c:pt>
                <c:pt idx="38">
                  <c:v>200</c:v>
                </c:pt>
                <c:pt idx="39">
                  <c:v>205</c:v>
                </c:pt>
                <c:pt idx="40">
                  <c:v>210</c:v>
                </c:pt>
                <c:pt idx="41">
                  <c:v>215</c:v>
                </c:pt>
                <c:pt idx="42">
                  <c:v>220</c:v>
                </c:pt>
                <c:pt idx="43">
                  <c:v>225</c:v>
                </c:pt>
                <c:pt idx="44">
                  <c:v>230</c:v>
                </c:pt>
                <c:pt idx="45">
                  <c:v>235</c:v>
                </c:pt>
                <c:pt idx="46">
                  <c:v>240</c:v>
                </c:pt>
                <c:pt idx="47">
                  <c:v>245</c:v>
                </c:pt>
                <c:pt idx="48">
                  <c:v>250</c:v>
                </c:pt>
                <c:pt idx="49">
                  <c:v>255</c:v>
                </c:pt>
                <c:pt idx="50">
                  <c:v>260</c:v>
                </c:pt>
                <c:pt idx="51">
                  <c:v>265</c:v>
                </c:pt>
                <c:pt idx="52">
                  <c:v>270</c:v>
                </c:pt>
                <c:pt idx="53">
                  <c:v>275</c:v>
                </c:pt>
                <c:pt idx="54">
                  <c:v>280</c:v>
                </c:pt>
                <c:pt idx="55">
                  <c:v>285</c:v>
                </c:pt>
                <c:pt idx="56">
                  <c:v>290</c:v>
                </c:pt>
                <c:pt idx="57">
                  <c:v>295</c:v>
                </c:pt>
                <c:pt idx="58">
                  <c:v>300</c:v>
                </c:pt>
                <c:pt idx="59">
                  <c:v>305</c:v>
                </c:pt>
                <c:pt idx="60">
                  <c:v>310</c:v>
                </c:pt>
                <c:pt idx="61">
                  <c:v>315</c:v>
                </c:pt>
                <c:pt idx="62">
                  <c:v>320</c:v>
                </c:pt>
                <c:pt idx="63">
                  <c:v>325</c:v>
                </c:pt>
                <c:pt idx="64">
                  <c:v>330</c:v>
                </c:pt>
                <c:pt idx="65">
                  <c:v>335</c:v>
                </c:pt>
                <c:pt idx="66">
                  <c:v>340</c:v>
                </c:pt>
                <c:pt idx="67">
                  <c:v>345</c:v>
                </c:pt>
                <c:pt idx="68">
                  <c:v>350</c:v>
                </c:pt>
                <c:pt idx="69">
                  <c:v>355</c:v>
                </c:pt>
                <c:pt idx="70">
                  <c:v>360</c:v>
                </c:pt>
                <c:pt idx="71">
                  <c:v>365</c:v>
                </c:pt>
                <c:pt idx="72">
                  <c:v>370</c:v>
                </c:pt>
                <c:pt idx="73">
                  <c:v>375</c:v>
                </c:pt>
                <c:pt idx="74">
                  <c:v>380</c:v>
                </c:pt>
                <c:pt idx="75">
                  <c:v>385</c:v>
                </c:pt>
                <c:pt idx="76">
                  <c:v>390</c:v>
                </c:pt>
                <c:pt idx="77">
                  <c:v>395</c:v>
                </c:pt>
                <c:pt idx="78">
                  <c:v>400</c:v>
                </c:pt>
                <c:pt idx="79">
                  <c:v>405</c:v>
                </c:pt>
                <c:pt idx="80">
                  <c:v>410</c:v>
                </c:pt>
                <c:pt idx="81">
                  <c:v>415</c:v>
                </c:pt>
                <c:pt idx="82">
                  <c:v>420</c:v>
                </c:pt>
                <c:pt idx="83">
                  <c:v>425</c:v>
                </c:pt>
                <c:pt idx="84">
                  <c:v>430</c:v>
                </c:pt>
                <c:pt idx="85">
                  <c:v>435</c:v>
                </c:pt>
                <c:pt idx="86">
                  <c:v>440</c:v>
                </c:pt>
                <c:pt idx="87">
                  <c:v>445</c:v>
                </c:pt>
                <c:pt idx="88">
                  <c:v>450</c:v>
                </c:pt>
                <c:pt idx="89">
                  <c:v>455</c:v>
                </c:pt>
                <c:pt idx="90">
                  <c:v>460</c:v>
                </c:pt>
                <c:pt idx="91">
                  <c:v>465</c:v>
                </c:pt>
                <c:pt idx="92">
                  <c:v>470</c:v>
                </c:pt>
                <c:pt idx="93">
                  <c:v>475</c:v>
                </c:pt>
                <c:pt idx="94">
                  <c:v>480</c:v>
                </c:pt>
                <c:pt idx="95">
                  <c:v>485</c:v>
                </c:pt>
                <c:pt idx="96">
                  <c:v>490</c:v>
                </c:pt>
                <c:pt idx="97">
                  <c:v>495</c:v>
                </c:pt>
                <c:pt idx="98">
                  <c:v>500</c:v>
                </c:pt>
                <c:pt idx="99">
                  <c:v>505</c:v>
                </c:pt>
              </c:numCache>
            </c:numRef>
          </c:cat>
          <c:val>
            <c:numRef>
              <c:f>'fig 2.2'!$B$7:$B$106</c:f>
              <c:numCache>
                <c:formatCode>General</c:formatCode>
                <c:ptCount val="100"/>
                <c:pt idx="0">
                  <c:v>2.5337721994304874E-3</c:v>
                </c:pt>
                <c:pt idx="1">
                  <c:v>7.7793088602349271E-3</c:v>
                </c:pt>
                <c:pt idx="2">
                  <c:v>7.4128542032925009E-3</c:v>
                </c:pt>
                <c:pt idx="3">
                  <c:v>1.1443855429659186E-2</c:v>
                </c:pt>
                <c:pt idx="4">
                  <c:v>6.3553707646872145E-3</c:v>
                </c:pt>
                <c:pt idx="5">
                  <c:v>3.0153983199833903E-3</c:v>
                </c:pt>
                <c:pt idx="6">
                  <c:v>1.1998772481600573E-2</c:v>
                </c:pt>
                <c:pt idx="7">
                  <c:v>0</c:v>
                </c:pt>
                <c:pt idx="8">
                  <c:v>2.0207356797110913E-3</c:v>
                </c:pt>
                <c:pt idx="9">
                  <c:v>4.5073922803918386E-2</c:v>
                </c:pt>
                <c:pt idx="10">
                  <c:v>3.8948894966452124E-2</c:v>
                </c:pt>
                <c:pt idx="11">
                  <c:v>2.0877445312662779E-2</c:v>
                </c:pt>
                <c:pt idx="12">
                  <c:v>4.9869243743336414E-2</c:v>
                </c:pt>
                <c:pt idx="13">
                  <c:v>4.1042921577551697E-2</c:v>
                </c:pt>
                <c:pt idx="14">
                  <c:v>0.13236342208760424</c:v>
                </c:pt>
                <c:pt idx="15">
                  <c:v>0.15638190731691637</c:v>
                </c:pt>
                <c:pt idx="16">
                  <c:v>0.19314254447476945</c:v>
                </c:pt>
                <c:pt idx="17">
                  <c:v>0.21245993996216303</c:v>
                </c:pt>
                <c:pt idx="18">
                  <c:v>0.46548117538132489</c:v>
                </c:pt>
                <c:pt idx="19">
                  <c:v>0.85603807861750691</c:v>
                </c:pt>
                <c:pt idx="20">
                  <c:v>1.6276031237432569</c:v>
                </c:pt>
                <c:pt idx="21">
                  <c:v>1.8558415542200553</c:v>
                </c:pt>
                <c:pt idx="22">
                  <c:v>1.4981608687781365</c:v>
                </c:pt>
                <c:pt idx="23">
                  <c:v>1.6627723006766741</c:v>
                </c:pt>
                <c:pt idx="24">
                  <c:v>1.1751572640160268</c:v>
                </c:pt>
                <c:pt idx="25">
                  <c:v>1.1764450903818531</c:v>
                </c:pt>
                <c:pt idx="26">
                  <c:v>1.0458301805145169</c:v>
                </c:pt>
                <c:pt idx="27">
                  <c:v>0.8283131662865485</c:v>
                </c:pt>
                <c:pt idx="28">
                  <c:v>0.72904583478737306</c:v>
                </c:pt>
                <c:pt idx="29">
                  <c:v>0.57013015527102617</c:v>
                </c:pt>
                <c:pt idx="30">
                  <c:v>0.41952776140074466</c:v>
                </c:pt>
                <c:pt idx="31">
                  <c:v>0.38043228457151557</c:v>
                </c:pt>
                <c:pt idx="32">
                  <c:v>0.37225511065517169</c:v>
                </c:pt>
                <c:pt idx="33">
                  <c:v>0.35121014321362098</c:v>
                </c:pt>
                <c:pt idx="34">
                  <c:v>0.25635073773081013</c:v>
                </c:pt>
                <c:pt idx="35">
                  <c:v>0.30246120370722285</c:v>
                </c:pt>
                <c:pt idx="36">
                  <c:v>0.25144024532778164</c:v>
                </c:pt>
                <c:pt idx="37">
                  <c:v>0.23184015624788962</c:v>
                </c:pt>
                <c:pt idx="38">
                  <c:v>0.21911894458545969</c:v>
                </c:pt>
                <c:pt idx="39">
                  <c:v>0.14082328959644652</c:v>
                </c:pt>
                <c:pt idx="40">
                  <c:v>9.9654726422228848E-2</c:v>
                </c:pt>
                <c:pt idx="41">
                  <c:v>0.15659130997802634</c:v>
                </c:pt>
                <c:pt idx="42">
                  <c:v>0.10337162365693059</c:v>
                </c:pt>
                <c:pt idx="43">
                  <c:v>0.11652211077463594</c:v>
                </c:pt>
                <c:pt idx="44">
                  <c:v>0.12392449484487293</c:v>
                </c:pt>
                <c:pt idx="45">
                  <c:v>7.2191567417657906E-2</c:v>
                </c:pt>
                <c:pt idx="46">
                  <c:v>6.7343895812962379E-2</c:v>
                </c:pt>
                <c:pt idx="47">
                  <c:v>7.3008237795986738E-2</c:v>
                </c:pt>
                <c:pt idx="48">
                  <c:v>9.8094676596959668E-2</c:v>
                </c:pt>
                <c:pt idx="49">
                  <c:v>4.0728817585886763E-2</c:v>
                </c:pt>
                <c:pt idx="50">
                  <c:v>4.6979487020019001E-2</c:v>
                </c:pt>
                <c:pt idx="51">
                  <c:v>0.10096349305416608</c:v>
                </c:pt>
                <c:pt idx="52">
                  <c:v>6.0758182121054209E-2</c:v>
                </c:pt>
                <c:pt idx="53">
                  <c:v>7.4505466822922931E-2</c:v>
                </c:pt>
                <c:pt idx="54">
                  <c:v>6.6809919027131986E-2</c:v>
                </c:pt>
                <c:pt idx="55">
                  <c:v>5.0570742658054772E-2</c:v>
                </c:pt>
                <c:pt idx="56">
                  <c:v>5.4214348961368036E-2</c:v>
                </c:pt>
                <c:pt idx="57">
                  <c:v>5.027757893250083E-2</c:v>
                </c:pt>
                <c:pt idx="58">
                  <c:v>3.9734154945614462E-2</c:v>
                </c:pt>
                <c:pt idx="59">
                  <c:v>5.9815870146059401E-2</c:v>
                </c:pt>
                <c:pt idx="60">
                  <c:v>4.6916666221686013E-2</c:v>
                </c:pt>
                <c:pt idx="61">
                  <c:v>3.0509967723720829E-2</c:v>
                </c:pt>
                <c:pt idx="62">
                  <c:v>2.6039220909023233E-2</c:v>
                </c:pt>
                <c:pt idx="63">
                  <c:v>3.0687959985664294E-2</c:v>
                </c:pt>
                <c:pt idx="64">
                  <c:v>3.3651007640370198E-2</c:v>
                </c:pt>
                <c:pt idx="65">
                  <c:v>6.0601130125221746E-2</c:v>
                </c:pt>
                <c:pt idx="66">
                  <c:v>2.2071040480989536E-2</c:v>
                </c:pt>
                <c:pt idx="67">
                  <c:v>3.6771107290908565E-2</c:v>
                </c:pt>
                <c:pt idx="68">
                  <c:v>2.956765574872602E-2</c:v>
                </c:pt>
                <c:pt idx="69">
                  <c:v>1.616588543768873E-2</c:v>
                </c:pt>
                <c:pt idx="70">
                  <c:v>1.1307743699937714E-2</c:v>
                </c:pt>
                <c:pt idx="71">
                  <c:v>1.2742151928540923E-2</c:v>
                </c:pt>
                <c:pt idx="72">
                  <c:v>8.3028155130098202E-3</c:v>
                </c:pt>
                <c:pt idx="73">
                  <c:v>1.8961410963506665E-2</c:v>
                </c:pt>
                <c:pt idx="74">
                  <c:v>1.0040857600222469E-2</c:v>
                </c:pt>
                <c:pt idx="75">
                  <c:v>3.9472401619227021E-3</c:v>
                </c:pt>
                <c:pt idx="76">
                  <c:v>9.1299560243941532E-3</c:v>
                </c:pt>
                <c:pt idx="77">
                  <c:v>1.08784682446623E-2</c:v>
                </c:pt>
                <c:pt idx="78">
                  <c:v>2.8059956588734327E-3</c:v>
                </c:pt>
                <c:pt idx="79">
                  <c:v>7.6222568644024585E-3</c:v>
                </c:pt>
                <c:pt idx="80">
                  <c:v>5.3397678583039197E-3</c:v>
                </c:pt>
                <c:pt idx="81">
                  <c:v>1.1265863167715722E-2</c:v>
                </c:pt>
                <c:pt idx="82">
                  <c:v>0</c:v>
                </c:pt>
                <c:pt idx="83">
                  <c:v>3.8530089644232208E-3</c:v>
                </c:pt>
                <c:pt idx="84">
                  <c:v>3.4342036422033055E-3</c:v>
                </c:pt>
                <c:pt idx="85">
                  <c:v>9.0776053591166642E-3</c:v>
                </c:pt>
                <c:pt idx="86">
                  <c:v>4.962843068305996E-3</c:v>
                </c:pt>
                <c:pt idx="87">
                  <c:v>2.8374060580399264E-3</c:v>
                </c:pt>
                <c:pt idx="88">
                  <c:v>2.8269359249844282E-4</c:v>
                </c:pt>
                <c:pt idx="89">
                  <c:v>6.7008851555186444E-4</c:v>
                </c:pt>
                <c:pt idx="90">
                  <c:v>0</c:v>
                </c:pt>
                <c:pt idx="91">
                  <c:v>5.7271627813573417E-3</c:v>
                </c:pt>
                <c:pt idx="92">
                  <c:v>1.8626366705730733E-2</c:v>
                </c:pt>
                <c:pt idx="93">
                  <c:v>1.957914881378104E-3</c:v>
                </c:pt>
                <c:pt idx="94">
                  <c:v>0</c:v>
                </c:pt>
                <c:pt idx="95">
                  <c:v>0</c:v>
                </c:pt>
                <c:pt idx="96">
                  <c:v>1.4658186277697035E-4</c:v>
                </c:pt>
                <c:pt idx="97">
                  <c:v>0</c:v>
                </c:pt>
                <c:pt idx="98">
                  <c:v>0</c:v>
                </c:pt>
                <c:pt idx="99">
                  <c:v>8.2640760207044792E-2</c:v>
                </c:pt>
              </c:numCache>
            </c:numRef>
          </c:val>
        </c:ser>
        <c:ser>
          <c:idx val="1"/>
          <c:order val="1"/>
          <c:tx>
            <c:v>Non-award reliant</c:v>
          </c:tx>
          <c:spPr>
            <a:solidFill>
              <a:srgbClr val="78A22F"/>
            </a:solidFill>
            <a:ln>
              <a:solidFill>
                <a:srgbClr val="78A22F"/>
              </a:solidFill>
            </a:ln>
          </c:spPr>
          <c:invertIfNegative val="0"/>
          <c:cat>
            <c:numRef>
              <c:f>'fig 2.2'!$A$7:$A$106</c:f>
              <c:numCache>
                <c:formatCode>0</c:formatCode>
                <c:ptCount val="100"/>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pt idx="17">
                  <c:v>95</c:v>
                </c:pt>
                <c:pt idx="18">
                  <c:v>100</c:v>
                </c:pt>
                <c:pt idx="19">
                  <c:v>105</c:v>
                </c:pt>
                <c:pt idx="20">
                  <c:v>110</c:v>
                </c:pt>
                <c:pt idx="21">
                  <c:v>115</c:v>
                </c:pt>
                <c:pt idx="22">
                  <c:v>120</c:v>
                </c:pt>
                <c:pt idx="23">
                  <c:v>125</c:v>
                </c:pt>
                <c:pt idx="24">
                  <c:v>130</c:v>
                </c:pt>
                <c:pt idx="25">
                  <c:v>135</c:v>
                </c:pt>
                <c:pt idx="26">
                  <c:v>140</c:v>
                </c:pt>
                <c:pt idx="27">
                  <c:v>145</c:v>
                </c:pt>
                <c:pt idx="28">
                  <c:v>150</c:v>
                </c:pt>
                <c:pt idx="29">
                  <c:v>155</c:v>
                </c:pt>
                <c:pt idx="30">
                  <c:v>160</c:v>
                </c:pt>
                <c:pt idx="31">
                  <c:v>165</c:v>
                </c:pt>
                <c:pt idx="32">
                  <c:v>170</c:v>
                </c:pt>
                <c:pt idx="33">
                  <c:v>175</c:v>
                </c:pt>
                <c:pt idx="34">
                  <c:v>180</c:v>
                </c:pt>
                <c:pt idx="35">
                  <c:v>185</c:v>
                </c:pt>
                <c:pt idx="36">
                  <c:v>190</c:v>
                </c:pt>
                <c:pt idx="37">
                  <c:v>195</c:v>
                </c:pt>
                <c:pt idx="38">
                  <c:v>200</c:v>
                </c:pt>
                <c:pt idx="39">
                  <c:v>205</c:v>
                </c:pt>
                <c:pt idx="40">
                  <c:v>210</c:v>
                </c:pt>
                <c:pt idx="41">
                  <c:v>215</c:v>
                </c:pt>
                <c:pt idx="42">
                  <c:v>220</c:v>
                </c:pt>
                <c:pt idx="43">
                  <c:v>225</c:v>
                </c:pt>
                <c:pt idx="44">
                  <c:v>230</c:v>
                </c:pt>
                <c:pt idx="45">
                  <c:v>235</c:v>
                </c:pt>
                <c:pt idx="46">
                  <c:v>240</c:v>
                </c:pt>
                <c:pt idx="47">
                  <c:v>245</c:v>
                </c:pt>
                <c:pt idx="48">
                  <c:v>250</c:v>
                </c:pt>
                <c:pt idx="49">
                  <c:v>255</c:v>
                </c:pt>
                <c:pt idx="50">
                  <c:v>260</c:v>
                </c:pt>
                <c:pt idx="51">
                  <c:v>265</c:v>
                </c:pt>
                <c:pt idx="52">
                  <c:v>270</c:v>
                </c:pt>
                <c:pt idx="53">
                  <c:v>275</c:v>
                </c:pt>
                <c:pt idx="54">
                  <c:v>280</c:v>
                </c:pt>
                <c:pt idx="55">
                  <c:v>285</c:v>
                </c:pt>
                <c:pt idx="56">
                  <c:v>290</c:v>
                </c:pt>
                <c:pt idx="57">
                  <c:v>295</c:v>
                </c:pt>
                <c:pt idx="58">
                  <c:v>300</c:v>
                </c:pt>
                <c:pt idx="59">
                  <c:v>305</c:v>
                </c:pt>
                <c:pt idx="60">
                  <c:v>310</c:v>
                </c:pt>
                <c:pt idx="61">
                  <c:v>315</c:v>
                </c:pt>
                <c:pt idx="62">
                  <c:v>320</c:v>
                </c:pt>
                <c:pt idx="63">
                  <c:v>325</c:v>
                </c:pt>
                <c:pt idx="64">
                  <c:v>330</c:v>
                </c:pt>
                <c:pt idx="65">
                  <c:v>335</c:v>
                </c:pt>
                <c:pt idx="66">
                  <c:v>340</c:v>
                </c:pt>
                <c:pt idx="67">
                  <c:v>345</c:v>
                </c:pt>
                <c:pt idx="68">
                  <c:v>350</c:v>
                </c:pt>
                <c:pt idx="69">
                  <c:v>355</c:v>
                </c:pt>
                <c:pt idx="70">
                  <c:v>360</c:v>
                </c:pt>
                <c:pt idx="71">
                  <c:v>365</c:v>
                </c:pt>
                <c:pt idx="72">
                  <c:v>370</c:v>
                </c:pt>
                <c:pt idx="73">
                  <c:v>375</c:v>
                </c:pt>
                <c:pt idx="74">
                  <c:v>380</c:v>
                </c:pt>
                <c:pt idx="75">
                  <c:v>385</c:v>
                </c:pt>
                <c:pt idx="76">
                  <c:v>390</c:v>
                </c:pt>
                <c:pt idx="77">
                  <c:v>395</c:v>
                </c:pt>
                <c:pt idx="78">
                  <c:v>400</c:v>
                </c:pt>
                <c:pt idx="79">
                  <c:v>405</c:v>
                </c:pt>
                <c:pt idx="80">
                  <c:v>410</c:v>
                </c:pt>
                <c:pt idx="81">
                  <c:v>415</c:v>
                </c:pt>
                <c:pt idx="82">
                  <c:v>420</c:v>
                </c:pt>
                <c:pt idx="83">
                  <c:v>425</c:v>
                </c:pt>
                <c:pt idx="84">
                  <c:v>430</c:v>
                </c:pt>
                <c:pt idx="85">
                  <c:v>435</c:v>
                </c:pt>
                <c:pt idx="86">
                  <c:v>440</c:v>
                </c:pt>
                <c:pt idx="87">
                  <c:v>445</c:v>
                </c:pt>
                <c:pt idx="88">
                  <c:v>450</c:v>
                </c:pt>
                <c:pt idx="89">
                  <c:v>455</c:v>
                </c:pt>
                <c:pt idx="90">
                  <c:v>460</c:v>
                </c:pt>
                <c:pt idx="91">
                  <c:v>465</c:v>
                </c:pt>
                <c:pt idx="92">
                  <c:v>470</c:v>
                </c:pt>
                <c:pt idx="93">
                  <c:v>475</c:v>
                </c:pt>
                <c:pt idx="94">
                  <c:v>480</c:v>
                </c:pt>
                <c:pt idx="95">
                  <c:v>485</c:v>
                </c:pt>
                <c:pt idx="96">
                  <c:v>490</c:v>
                </c:pt>
                <c:pt idx="97">
                  <c:v>495</c:v>
                </c:pt>
                <c:pt idx="98">
                  <c:v>500</c:v>
                </c:pt>
                <c:pt idx="99">
                  <c:v>505</c:v>
                </c:pt>
              </c:numCache>
            </c:numRef>
          </c:cat>
          <c:val>
            <c:numRef>
              <c:f>'fig 2.2'!$C$7:$C$106</c:f>
              <c:numCache>
                <c:formatCode>General</c:formatCode>
                <c:ptCount val="100"/>
                <c:pt idx="0">
                  <c:v>9.4231197499480948E-5</c:v>
                </c:pt>
                <c:pt idx="1">
                  <c:v>4.3765156171981148E-3</c:v>
                </c:pt>
                <c:pt idx="2">
                  <c:v>5.7166926483018443E-3</c:v>
                </c:pt>
                <c:pt idx="3">
                  <c:v>1.5213103329638423E-2</c:v>
                </c:pt>
                <c:pt idx="4">
                  <c:v>7.360503538015011E-3</c:v>
                </c:pt>
                <c:pt idx="5">
                  <c:v>8.5122181741197796E-3</c:v>
                </c:pt>
                <c:pt idx="6">
                  <c:v>2.3871903366535171E-3</c:v>
                </c:pt>
                <c:pt idx="7">
                  <c:v>6.0203265069112824E-3</c:v>
                </c:pt>
                <c:pt idx="8">
                  <c:v>6.753235820796134E-3</c:v>
                </c:pt>
                <c:pt idx="9">
                  <c:v>5.7690433135793332E-3</c:v>
                </c:pt>
                <c:pt idx="10">
                  <c:v>2.7735382464013889E-2</c:v>
                </c:pt>
                <c:pt idx="11">
                  <c:v>1.9327865620449091E-2</c:v>
                </c:pt>
                <c:pt idx="12">
                  <c:v>3.0593728788164812E-2</c:v>
                </c:pt>
                <c:pt idx="13">
                  <c:v>2.447917108375405E-2</c:v>
                </c:pt>
                <c:pt idx="14">
                  <c:v>5.2989343393874788E-2</c:v>
                </c:pt>
                <c:pt idx="15">
                  <c:v>0.11280521353993418</c:v>
                </c:pt>
                <c:pt idx="16">
                  <c:v>0.19491199696114858</c:v>
                </c:pt>
                <c:pt idx="17">
                  <c:v>0.28064144641956523</c:v>
                </c:pt>
                <c:pt idx="18">
                  <c:v>0.65327348186473488</c:v>
                </c:pt>
                <c:pt idx="19">
                  <c:v>0.70604295246444426</c:v>
                </c:pt>
                <c:pt idx="20">
                  <c:v>1.2829682240884885</c:v>
                </c:pt>
                <c:pt idx="21">
                  <c:v>1.7216458588477388</c:v>
                </c:pt>
                <c:pt idx="22">
                  <c:v>2.3171346763791809</c:v>
                </c:pt>
                <c:pt idx="23">
                  <c:v>3.1205917467919777</c:v>
                </c:pt>
                <c:pt idx="24">
                  <c:v>2.3926871565076535</c:v>
                </c:pt>
                <c:pt idx="25">
                  <c:v>2.3390800752635048</c:v>
                </c:pt>
                <c:pt idx="26">
                  <c:v>2.576867267086917</c:v>
                </c:pt>
                <c:pt idx="27">
                  <c:v>2.3214588413311015</c:v>
                </c:pt>
                <c:pt idx="28">
                  <c:v>2.4349446135196429</c:v>
                </c:pt>
                <c:pt idx="29">
                  <c:v>2.7320136987032844</c:v>
                </c:pt>
                <c:pt idx="30">
                  <c:v>2.3024660199684286</c:v>
                </c:pt>
                <c:pt idx="31">
                  <c:v>2.1882473384660019</c:v>
                </c:pt>
                <c:pt idx="32">
                  <c:v>1.8784570416199307</c:v>
                </c:pt>
                <c:pt idx="33">
                  <c:v>1.9623542177936351</c:v>
                </c:pt>
                <c:pt idx="34">
                  <c:v>1.7492974802473087</c:v>
                </c:pt>
                <c:pt idx="35">
                  <c:v>1.8959421638226122</c:v>
                </c:pt>
                <c:pt idx="36">
                  <c:v>1.8631915876250145</c:v>
                </c:pt>
                <c:pt idx="37">
                  <c:v>1.6664891979113761</c:v>
                </c:pt>
                <c:pt idx="38">
                  <c:v>1.6092699207630801</c:v>
                </c:pt>
                <c:pt idx="39">
                  <c:v>1.5868428957582035</c:v>
                </c:pt>
                <c:pt idx="40">
                  <c:v>1.3743620155299294</c:v>
                </c:pt>
                <c:pt idx="41">
                  <c:v>1.4101070497813994</c:v>
                </c:pt>
                <c:pt idx="42">
                  <c:v>1.7377698637532055</c:v>
                </c:pt>
                <c:pt idx="43">
                  <c:v>1.1435165219223122</c:v>
                </c:pt>
                <c:pt idx="44">
                  <c:v>1.2091956665794505</c:v>
                </c:pt>
                <c:pt idx="45">
                  <c:v>1.3239378547346519</c:v>
                </c:pt>
                <c:pt idx="46">
                  <c:v>1.0692728084257768</c:v>
                </c:pt>
                <c:pt idx="47">
                  <c:v>1.0742670618932491</c:v>
                </c:pt>
                <c:pt idx="48">
                  <c:v>1.0327529843282002</c:v>
                </c:pt>
                <c:pt idx="49">
                  <c:v>1.0420085819492604</c:v>
                </c:pt>
                <c:pt idx="50">
                  <c:v>0.86999476598048553</c:v>
                </c:pt>
                <c:pt idx="51">
                  <c:v>0.94596605143117829</c:v>
                </c:pt>
                <c:pt idx="52">
                  <c:v>0.92412535387740957</c:v>
                </c:pt>
                <c:pt idx="53">
                  <c:v>1.1245551109588057</c:v>
                </c:pt>
                <c:pt idx="54">
                  <c:v>0.97106296036520656</c:v>
                </c:pt>
                <c:pt idx="55">
                  <c:v>0.75690685884805298</c:v>
                </c:pt>
                <c:pt idx="56">
                  <c:v>0.77553322555378368</c:v>
                </c:pt>
                <c:pt idx="57">
                  <c:v>0.88805574550121946</c:v>
                </c:pt>
                <c:pt idx="58">
                  <c:v>0.80702738578472122</c:v>
                </c:pt>
                <c:pt idx="59">
                  <c:v>0.83727560018205471</c:v>
                </c:pt>
                <c:pt idx="60">
                  <c:v>0.66796307854159842</c:v>
                </c:pt>
                <c:pt idx="61">
                  <c:v>0.48468339940510796</c:v>
                </c:pt>
                <c:pt idx="62">
                  <c:v>0.59659865163532477</c:v>
                </c:pt>
                <c:pt idx="63">
                  <c:v>0.71950754357381452</c:v>
                </c:pt>
                <c:pt idx="64">
                  <c:v>0.53520179139788526</c:v>
                </c:pt>
                <c:pt idx="65">
                  <c:v>0.47589895777154528</c:v>
                </c:pt>
                <c:pt idx="66">
                  <c:v>0.56148182536718494</c:v>
                </c:pt>
                <c:pt idx="67">
                  <c:v>0.54648859483171197</c:v>
                </c:pt>
                <c:pt idx="68">
                  <c:v>0.52093100004324167</c:v>
                </c:pt>
                <c:pt idx="69">
                  <c:v>0.38934236780174425</c:v>
                </c:pt>
                <c:pt idx="70">
                  <c:v>0.5611991317746865</c:v>
                </c:pt>
                <c:pt idx="71">
                  <c:v>0.40496380632054707</c:v>
                </c:pt>
                <c:pt idx="72">
                  <c:v>0.35360780368333</c:v>
                </c:pt>
                <c:pt idx="73">
                  <c:v>0.39119558135256738</c:v>
                </c:pt>
                <c:pt idx="74">
                  <c:v>0.37315554209794455</c:v>
                </c:pt>
                <c:pt idx="75">
                  <c:v>0.30157124239750549</c:v>
                </c:pt>
                <c:pt idx="76">
                  <c:v>0.30979029684607134</c:v>
                </c:pt>
                <c:pt idx="77">
                  <c:v>0.26590996921047971</c:v>
                </c:pt>
                <c:pt idx="78">
                  <c:v>0.23420640631843215</c:v>
                </c:pt>
                <c:pt idx="79">
                  <c:v>0.30317317275499667</c:v>
                </c:pt>
                <c:pt idx="80">
                  <c:v>0.25451846444609805</c:v>
                </c:pt>
                <c:pt idx="81">
                  <c:v>0.27360551700627067</c:v>
                </c:pt>
                <c:pt idx="82">
                  <c:v>0.19307972367643644</c:v>
                </c:pt>
                <c:pt idx="83">
                  <c:v>0.20705735130552611</c:v>
                </c:pt>
                <c:pt idx="84">
                  <c:v>0.1784110672656839</c:v>
                </c:pt>
                <c:pt idx="85">
                  <c:v>0.17173112237627627</c:v>
                </c:pt>
                <c:pt idx="86">
                  <c:v>0.1572718686266337</c:v>
                </c:pt>
                <c:pt idx="87">
                  <c:v>0.14375492685198593</c:v>
                </c:pt>
                <c:pt idx="88">
                  <c:v>0.17696618890402521</c:v>
                </c:pt>
                <c:pt idx="89">
                  <c:v>0.11455372576020234</c:v>
                </c:pt>
                <c:pt idx="90">
                  <c:v>9.1152978381164568E-2</c:v>
                </c:pt>
                <c:pt idx="91">
                  <c:v>0.15448681323387126</c:v>
                </c:pt>
                <c:pt idx="92">
                  <c:v>0.10769578860885122</c:v>
                </c:pt>
                <c:pt idx="93">
                  <c:v>0.15160752664360932</c:v>
                </c:pt>
                <c:pt idx="94">
                  <c:v>0.1379125926070181</c:v>
                </c:pt>
                <c:pt idx="95">
                  <c:v>6.7396246478239871E-2</c:v>
                </c:pt>
                <c:pt idx="96">
                  <c:v>0.15267548021527011</c:v>
                </c:pt>
                <c:pt idx="97">
                  <c:v>0.11108811171883254</c:v>
                </c:pt>
                <c:pt idx="98">
                  <c:v>7.6463381704301045E-2</c:v>
                </c:pt>
                <c:pt idx="99">
                  <c:v>3.1624513387478577</c:v>
                </c:pt>
              </c:numCache>
            </c:numRef>
          </c:val>
        </c:ser>
        <c:dLbls>
          <c:showLegendKey val="0"/>
          <c:showVal val="0"/>
          <c:showCatName val="0"/>
          <c:showSerName val="0"/>
          <c:showPercent val="0"/>
          <c:showBubbleSize val="0"/>
        </c:dLbls>
        <c:gapWidth val="0"/>
        <c:overlap val="100"/>
        <c:axId val="147616896"/>
        <c:axId val="170632320"/>
      </c:barChart>
      <c:catAx>
        <c:axId val="147616896"/>
        <c:scaling>
          <c:orientation val="minMax"/>
        </c:scaling>
        <c:delete val="0"/>
        <c:axPos val="b"/>
        <c:title>
          <c:tx>
            <c:rich>
              <a:bodyPr/>
              <a:lstStyle/>
              <a:p>
                <a:pPr>
                  <a:defRPr/>
                </a:pPr>
                <a:r>
                  <a:rPr lang="en-US"/>
                  <a:t>Ratio of wage to relevant minimum wage (per cent)</a:t>
                </a:r>
              </a:p>
            </c:rich>
          </c:tx>
          <c:layout>
            <c:manualLayout>
              <c:xMode val="edge"/>
              <c:yMode val="edge"/>
              <c:x val="0.2192039530702265"/>
              <c:y val="0.93454877869260511"/>
            </c:manualLayout>
          </c:layout>
          <c:overlay val="0"/>
        </c:title>
        <c:numFmt formatCode="0" sourceLinked="1"/>
        <c:majorTickMark val="out"/>
        <c:minorTickMark val="none"/>
        <c:tickLblPos val="nextTo"/>
        <c:spPr>
          <a:ln>
            <a:solidFill>
              <a:srgbClr val="BFBFBF"/>
            </a:solidFill>
          </a:ln>
        </c:spPr>
        <c:crossAx val="170632320"/>
        <c:crosses val="autoZero"/>
        <c:auto val="1"/>
        <c:lblAlgn val="ctr"/>
        <c:lblOffset val="100"/>
        <c:tickLblSkip val="10"/>
        <c:tickMarkSkip val="5"/>
        <c:noMultiLvlLbl val="0"/>
      </c:catAx>
      <c:valAx>
        <c:axId val="170632320"/>
        <c:scaling>
          <c:orientation val="minMax"/>
          <c:max val="5"/>
        </c:scaling>
        <c:delete val="0"/>
        <c:axPos val="l"/>
        <c:majorGridlines>
          <c:spPr>
            <a:ln>
              <a:noFill/>
            </a:ln>
          </c:spPr>
        </c:majorGridlines>
        <c:title>
          <c:tx>
            <c:rich>
              <a:bodyPr rot="-5400000" vert="horz"/>
              <a:lstStyle/>
              <a:p>
                <a:pPr>
                  <a:defRPr/>
                </a:pPr>
                <a:r>
                  <a:rPr lang="en-US"/>
                  <a:t>Share of employees (per cent)</a:t>
                </a:r>
              </a:p>
            </c:rich>
          </c:tx>
          <c:layout>
            <c:manualLayout>
              <c:xMode val="edge"/>
              <c:yMode val="edge"/>
              <c:x val="1.3348592070389754E-2"/>
              <c:y val="0.1878985669289038"/>
            </c:manualLayout>
          </c:layout>
          <c:overlay val="0"/>
        </c:title>
        <c:numFmt formatCode="#,##0" sourceLinked="0"/>
        <c:majorTickMark val="out"/>
        <c:minorTickMark val="none"/>
        <c:tickLblPos val="nextTo"/>
        <c:spPr>
          <a:ln>
            <a:solidFill>
              <a:srgbClr val="BFBFBF"/>
            </a:solidFill>
          </a:ln>
        </c:spPr>
        <c:crossAx val="147616896"/>
        <c:crosses val="autoZero"/>
        <c:crossBetween val="between"/>
        <c:majorUnit val="1"/>
      </c:valAx>
      <c:spPr>
        <a:noFill/>
        <a:ln>
          <a:noFill/>
        </a:ln>
      </c:spPr>
    </c:plotArea>
    <c:legend>
      <c:legendPos val="r"/>
      <c:layout>
        <c:manualLayout>
          <c:xMode val="edge"/>
          <c:yMode val="edge"/>
          <c:x val="0.63442555555555558"/>
          <c:y val="3.747325016443373E-2"/>
          <c:w val="0.25226370265200931"/>
          <c:h val="9.7017046917188349E-2"/>
        </c:manualLayout>
      </c:layout>
      <c:overlay val="1"/>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'fig 3.1 (identical to fig 4.10)'!$A$7</c:f>
              <c:strCache>
                <c:ptCount val="1"/>
                <c:pt idx="0">
                  <c:v>Scenario 1: award wages grow with other wages in each occupation</c:v>
                </c:pt>
              </c:strCache>
            </c:strRef>
          </c:tx>
          <c:spPr>
            <a:ln>
              <a:solidFill>
                <a:srgbClr val="265A9A"/>
              </a:solidFill>
            </a:ln>
          </c:spPr>
          <c:marker>
            <c:symbol val="none"/>
          </c:marker>
          <c:cat>
            <c:strRef>
              <c:f>'fig 3.1 (identical to fig 4.10)'!$B$6:$M$6</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'fig 3.1 (identical to fig 4.10)'!$B$7:$M$7</c:f>
              <c:numCache>
                <c:formatCode>General</c:formatCode>
                <c:ptCount val="12"/>
                <c:pt idx="0">
                  <c:v>100</c:v>
                </c:pt>
                <c:pt idx="1">
                  <c:v>102.241212</c:v>
                </c:pt>
                <c:pt idx="2">
                  <c:v>103.63604591400696</c:v>
                </c:pt>
                <c:pt idx="3">
                  <c:v>105.00115027439085</c:v>
                </c:pt>
                <c:pt idx="4">
                  <c:v>106.34367188154614</c:v>
                </c:pt>
                <c:pt idx="5">
                  <c:v>107.67455974483354</c:v>
                </c:pt>
                <c:pt idx="6">
                  <c:v>108.9921593347383</c:v>
                </c:pt>
                <c:pt idx="7">
                  <c:v>110.27752893796954</c:v>
                </c:pt>
                <c:pt idx="8">
                  <c:v>111.22575909274497</c:v>
                </c:pt>
                <c:pt idx="9">
                  <c:v>112.17133042432326</c:v>
                </c:pt>
                <c:pt idx="10">
                  <c:v>113.10210681163151</c:v>
                </c:pt>
                <c:pt idx="11">
                  <c:v>114.01844085366119</c:v>
                </c:pt>
              </c:numCache>
            </c:numRef>
          </c:val>
          <c:smooth val="0"/>
        </c:ser>
        <c:ser>
          <c:idx val="0"/>
          <c:order val="1"/>
          <c:tx>
            <c:strRef>
              <c:f>'fig 3.1 (identical to fig 4.10)'!$A$8</c:f>
              <c:strCache>
                <c:ptCount val="1"/>
                <c:pt idx="0">
                  <c:v>Scenario 2: moderate minimum award wage growth</c:v>
                </c:pt>
              </c:strCache>
            </c:strRef>
          </c:tx>
          <c:spPr>
            <a:ln>
              <a:solidFill>
                <a:srgbClr val="78A22F"/>
              </a:solidFill>
            </a:ln>
          </c:spPr>
          <c:marker>
            <c:symbol val="none"/>
          </c:marker>
          <c:cat>
            <c:strRef>
              <c:f>'fig 3.1 (identical to fig 4.10)'!$B$6:$M$6</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'fig 3.1 (identical to fig 4.10)'!$B$8:$M$8</c:f>
              <c:numCache>
                <c:formatCode>General</c:formatCode>
                <c:ptCount val="12"/>
                <c:pt idx="4">
                  <c:v>106.5859397810798</c:v>
                </c:pt>
                <c:pt idx="5">
                  <c:v>108.17832270981893</c:v>
                </c:pt>
                <c:pt idx="6">
                  <c:v>109.77422603451515</c:v>
                </c:pt>
                <c:pt idx="7">
                  <c:v>111.35325535505133</c:v>
                </c:pt>
                <c:pt idx="8">
                  <c:v>112.60648118613699</c:v>
                </c:pt>
                <c:pt idx="9">
                  <c:v>113.5627372583057</c:v>
                </c:pt>
                <c:pt idx="10">
                  <c:v>114.50403570108838</c:v>
                </c:pt>
                <c:pt idx="11">
                  <c:v>115.43083858881388</c:v>
                </c:pt>
              </c:numCache>
            </c:numRef>
          </c:val>
          <c:smooth val="0"/>
        </c:ser>
        <c:dLbls>
          <c:showLegendKey val="0"/>
          <c:showVal val="0"/>
          <c:showCatName val="0"/>
          <c:showSerName val="0"/>
          <c:showPercent val="0"/>
          <c:showBubbleSize val="0"/>
        </c:dLbls>
        <c:marker val="1"/>
        <c:smooth val="0"/>
        <c:axId val="174828160"/>
        <c:axId val="190424192"/>
      </c:lineChart>
      <c:catAx>
        <c:axId val="174828160"/>
        <c:scaling>
          <c:orientation val="minMax"/>
        </c:scaling>
        <c:delete val="0"/>
        <c:axPos val="b"/>
        <c:numFmt formatCode="General" sourceLinked="1"/>
        <c:majorTickMark val="out"/>
        <c:minorTickMark val="none"/>
        <c:tickLblPos val="nextTo"/>
        <c:spPr>
          <a:ln>
            <a:solidFill>
              <a:srgbClr val="BFBFBF"/>
            </a:solidFill>
          </a:ln>
        </c:spPr>
        <c:crossAx val="190424192"/>
        <c:crosses val="autoZero"/>
        <c:auto val="1"/>
        <c:lblAlgn val="ctr"/>
        <c:lblOffset val="100"/>
        <c:tickLblSkip val="4"/>
        <c:tickMarkSkip val="1"/>
        <c:noMultiLvlLbl val="0"/>
      </c:catAx>
      <c:valAx>
        <c:axId val="190424192"/>
        <c:scaling>
          <c:orientation val="minMax"/>
          <c:max val="125"/>
          <c:min val="100"/>
        </c:scaling>
        <c:delete val="0"/>
        <c:axPos val="l"/>
        <c:numFmt formatCode="General" sourceLinked="1"/>
        <c:majorTickMark val="out"/>
        <c:minorTickMark val="none"/>
        <c:tickLblPos val="nextTo"/>
        <c:spPr>
          <a:ln>
            <a:solidFill>
              <a:srgbClr val="BFBFBF"/>
            </a:solidFill>
          </a:ln>
        </c:spPr>
        <c:crossAx val="174828160"/>
        <c:crosses val="autoZero"/>
        <c:crossBetween val="between"/>
        <c:majorUnit val="5"/>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'fig 3.1 (identical to fig 4.10)'!$A$31</c:f>
              <c:strCache>
                <c:ptCount val="1"/>
                <c:pt idx="0">
                  <c:v>Scenario 1: award wages grow with other wages in each occupation</c:v>
                </c:pt>
              </c:strCache>
            </c:strRef>
          </c:tx>
          <c:spPr>
            <a:ln>
              <a:solidFill>
                <a:srgbClr val="265A9A"/>
              </a:solidFill>
              <a:prstDash val="solid"/>
            </a:ln>
          </c:spPr>
          <c:marker>
            <c:symbol val="none"/>
          </c:marker>
          <c:cat>
            <c:strRef>
              <c:f>'fig 3.1 (identical to fig 4.10)'!$B$30:$M$30</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'fig 3.1 (identical to fig 4.10)'!$B$31:$M$31</c:f>
              <c:numCache>
                <c:formatCode>General</c:formatCode>
                <c:ptCount val="12"/>
                <c:pt idx="0">
                  <c:v>100</c:v>
                </c:pt>
                <c:pt idx="1">
                  <c:v>102.25090299999999</c:v>
                </c:pt>
                <c:pt idx="2">
                  <c:v>103.63912158716076</c:v>
                </c:pt>
                <c:pt idx="3">
                  <c:v>104.99884198899512</c:v>
                </c:pt>
                <c:pt idx="4">
                  <c:v>106.33213618436294</c:v>
                </c:pt>
                <c:pt idx="5">
                  <c:v>107.68649923615679</c:v>
                </c:pt>
                <c:pt idx="6">
                  <c:v>109.01985408612903</c:v>
                </c:pt>
                <c:pt idx="7">
                  <c:v>110.31599985294734</c:v>
                </c:pt>
                <c:pt idx="8">
                  <c:v>111.27497573650901</c:v>
                </c:pt>
                <c:pt idx="9">
                  <c:v>112.23068089511763</c:v>
                </c:pt>
                <c:pt idx="10">
                  <c:v>113.171084216474</c:v>
                </c:pt>
                <c:pt idx="11">
                  <c:v>114.09652944054578</c:v>
                </c:pt>
              </c:numCache>
            </c:numRef>
          </c:val>
          <c:smooth val="0"/>
        </c:ser>
        <c:ser>
          <c:idx val="0"/>
          <c:order val="1"/>
          <c:tx>
            <c:strRef>
              <c:f>'fig 3.1 (identical to fig 4.10)'!$A$32</c:f>
              <c:strCache>
                <c:ptCount val="1"/>
                <c:pt idx="0">
                  <c:v>Scenario 2: moderate minimum award wage growth</c:v>
                </c:pt>
              </c:strCache>
            </c:strRef>
          </c:tx>
          <c:spPr>
            <a:ln>
              <a:solidFill>
                <a:srgbClr val="78A22F"/>
              </a:solidFill>
            </a:ln>
          </c:spPr>
          <c:marker>
            <c:symbol val="none"/>
          </c:marker>
          <c:cat>
            <c:strRef>
              <c:f>'fig 3.1 (identical to fig 4.10)'!$B$30:$M$30</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'fig 3.1 (identical to fig 4.10)'!$B$32:$M$32</c:f>
              <c:numCache>
                <c:formatCode>General</c:formatCode>
                <c:ptCount val="12"/>
                <c:pt idx="3">
                  <c:v>104.99884198899512</c:v>
                </c:pt>
                <c:pt idx="4">
                  <c:v>107.92329346018983</c:v>
                </c:pt>
                <c:pt idx="5">
                  <c:v>111.00064816799883</c:v>
                </c:pt>
                <c:pt idx="6">
                  <c:v>114.17012751512284</c:v>
                </c:pt>
                <c:pt idx="7">
                  <c:v>117.40421763165865</c:v>
                </c:pt>
                <c:pt idx="8">
                  <c:v>120.37725984975738</c:v>
                </c:pt>
                <c:pt idx="9">
                  <c:v>121.40952436977209</c:v>
                </c:pt>
                <c:pt idx="10">
                  <c:v>122.42517544143331</c:v>
                </c:pt>
                <c:pt idx="11">
                  <c:v>123.42471369319</c:v>
                </c:pt>
              </c:numCache>
            </c:numRef>
          </c:val>
          <c:smooth val="0"/>
        </c:ser>
        <c:dLbls>
          <c:showLegendKey val="0"/>
          <c:showVal val="0"/>
          <c:showCatName val="0"/>
          <c:showSerName val="0"/>
          <c:showPercent val="0"/>
          <c:showBubbleSize val="0"/>
        </c:dLbls>
        <c:marker val="1"/>
        <c:smooth val="0"/>
        <c:axId val="205223040"/>
        <c:axId val="205224960"/>
      </c:lineChart>
      <c:catAx>
        <c:axId val="205223040"/>
        <c:scaling>
          <c:orientation val="minMax"/>
        </c:scaling>
        <c:delete val="0"/>
        <c:axPos val="b"/>
        <c:numFmt formatCode="General" sourceLinked="1"/>
        <c:majorTickMark val="out"/>
        <c:minorTickMark val="none"/>
        <c:tickLblPos val="nextTo"/>
        <c:spPr>
          <a:ln>
            <a:solidFill>
              <a:srgbClr val="BFBFBF"/>
            </a:solidFill>
          </a:ln>
        </c:spPr>
        <c:crossAx val="205224960"/>
        <c:crosses val="autoZero"/>
        <c:auto val="1"/>
        <c:lblAlgn val="ctr"/>
        <c:lblOffset val="100"/>
        <c:tickLblSkip val="4"/>
        <c:tickMarkSkip val="1"/>
        <c:noMultiLvlLbl val="0"/>
      </c:catAx>
      <c:valAx>
        <c:axId val="205224960"/>
        <c:scaling>
          <c:orientation val="minMax"/>
          <c:max val="125"/>
          <c:min val="100"/>
        </c:scaling>
        <c:delete val="0"/>
        <c:axPos val="l"/>
        <c:numFmt formatCode="General" sourceLinked="1"/>
        <c:majorTickMark val="out"/>
        <c:minorTickMark val="none"/>
        <c:tickLblPos val="nextTo"/>
        <c:spPr>
          <a:ln>
            <a:solidFill>
              <a:srgbClr val="BFBFBF"/>
            </a:solidFill>
          </a:ln>
        </c:spPr>
        <c:crossAx val="205223040"/>
        <c:crosses val="autoZero"/>
        <c:crossBetween val="between"/>
        <c:majorUnit val="5"/>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128896559163"/>
          <c:y val="5.0925925925925923E-2"/>
          <c:w val="0.7586982705928883"/>
          <c:h val="0.75854913969087201"/>
        </c:manualLayout>
      </c:layout>
      <c:barChart>
        <c:barDir val="bar"/>
        <c:grouping val="clustered"/>
        <c:varyColors val="0"/>
        <c:ser>
          <c:idx val="1"/>
          <c:order val="0"/>
          <c:tx>
            <c:strRef>
              <c:f>'vumr data'!$Q$3</c:f>
              <c:strCache>
                <c:ptCount val="1"/>
                <c:pt idx="0">
                  <c:v>Total labour costs</c:v>
                </c:pt>
              </c:strCache>
            </c:strRef>
          </c:tx>
          <c:spPr>
            <a:solidFill>
              <a:srgbClr val="265A9A"/>
            </a:solidFill>
          </c:spPr>
          <c:invertIfNegative val="0"/>
          <c:cat>
            <c:strRef>
              <c:f>'vumr data'!$A$4:$A$7</c:f>
              <c:strCache>
                <c:ptCount val="4"/>
                <c:pt idx="0">
                  <c:v>Agriculture</c:v>
                </c:pt>
                <c:pt idx="1">
                  <c:v>Mining</c:v>
                </c:pt>
                <c:pt idx="2">
                  <c:v>Manufacturing</c:v>
                </c:pt>
                <c:pt idx="3">
                  <c:v>Services</c:v>
                </c:pt>
              </c:strCache>
            </c:strRef>
          </c:cat>
          <c:val>
            <c:numRef>
              <c:f>'vumr data'!$Q$4:$Q$7</c:f>
              <c:numCache>
                <c:formatCode>0</c:formatCode>
                <c:ptCount val="4"/>
                <c:pt idx="0">
                  <c:v>14.613848702731888</c:v>
                </c:pt>
                <c:pt idx="1">
                  <c:v>12.051444009511838</c:v>
                </c:pt>
                <c:pt idx="2">
                  <c:v>18.627443883167533</c:v>
                </c:pt>
                <c:pt idx="3">
                  <c:v>33.446029102604058</c:v>
                </c:pt>
              </c:numCache>
            </c:numRef>
          </c:val>
        </c:ser>
        <c:ser>
          <c:idx val="0"/>
          <c:order val="1"/>
          <c:tx>
            <c:strRef>
              <c:f>'vumr data'!$R$3</c:f>
              <c:strCache>
                <c:ptCount val="1"/>
                <c:pt idx="0">
                  <c:v>Award-reliant labour costs</c:v>
                </c:pt>
              </c:strCache>
            </c:strRef>
          </c:tx>
          <c:spPr>
            <a:solidFill>
              <a:srgbClr val="78A22F"/>
            </a:solidFill>
          </c:spPr>
          <c:invertIfNegative val="0"/>
          <c:cat>
            <c:strRef>
              <c:f>'vumr data'!$A$4:$A$7</c:f>
              <c:strCache>
                <c:ptCount val="4"/>
                <c:pt idx="0">
                  <c:v>Agriculture</c:v>
                </c:pt>
                <c:pt idx="1">
                  <c:v>Mining</c:v>
                </c:pt>
                <c:pt idx="2">
                  <c:v>Manufacturing</c:v>
                </c:pt>
                <c:pt idx="3">
                  <c:v>Services</c:v>
                </c:pt>
              </c:strCache>
            </c:strRef>
          </c:cat>
          <c:val>
            <c:numRef>
              <c:f>'vumr data'!$R$4:$R$7</c:f>
              <c:numCache>
                <c:formatCode>0.0</c:formatCode>
                <c:ptCount val="4"/>
                <c:pt idx="0">
                  <c:v>1.1174890642174162</c:v>
                </c:pt>
                <c:pt idx="1">
                  <c:v>0.92017690235148053</c:v>
                </c:pt>
                <c:pt idx="2">
                  <c:v>1.7203303908546275</c:v>
                </c:pt>
                <c:pt idx="3">
                  <c:v>3.1110343445263333</c:v>
                </c:pt>
              </c:numCache>
            </c:numRef>
          </c:val>
        </c:ser>
        <c:dLbls>
          <c:showLegendKey val="0"/>
          <c:showVal val="0"/>
          <c:showCatName val="0"/>
          <c:showSerName val="0"/>
          <c:showPercent val="0"/>
          <c:showBubbleSize val="0"/>
        </c:dLbls>
        <c:gapWidth val="50"/>
        <c:axId val="205315072"/>
        <c:axId val="206492416"/>
      </c:barChart>
      <c:catAx>
        <c:axId val="205315072"/>
        <c:scaling>
          <c:orientation val="minMax"/>
        </c:scaling>
        <c:delete val="0"/>
        <c:axPos val="l"/>
        <c:majorTickMark val="none"/>
        <c:minorTickMark val="none"/>
        <c:tickLblPos val="nextTo"/>
        <c:crossAx val="206492416"/>
        <c:crosses val="autoZero"/>
        <c:auto val="1"/>
        <c:lblAlgn val="ctr"/>
        <c:lblOffset val="100"/>
        <c:noMultiLvlLbl val="0"/>
      </c:catAx>
      <c:valAx>
        <c:axId val="206492416"/>
        <c:scaling>
          <c:orientation val="minMax"/>
        </c:scaling>
        <c:delete val="0"/>
        <c:axPos val="b"/>
        <c:title>
          <c:tx>
            <c:rich>
              <a:bodyPr/>
              <a:lstStyle/>
              <a:p>
                <a:pPr>
                  <a:defRPr/>
                </a:pPr>
                <a:r>
                  <a:rPr lang="en-AU"/>
                  <a:t>Labour share (%)</a:t>
                </a:r>
              </a:p>
            </c:rich>
          </c:tx>
          <c:layout>
            <c:manualLayout>
              <c:xMode val="edge"/>
              <c:yMode val="edge"/>
              <c:x val="0.51709789486930569"/>
              <c:y val="0.90660469524642751"/>
            </c:manualLayout>
          </c:layout>
          <c:overlay val="0"/>
        </c:title>
        <c:numFmt formatCode="0" sourceLinked="0"/>
        <c:majorTickMark val="out"/>
        <c:minorTickMark val="none"/>
        <c:tickLblPos val="nextTo"/>
        <c:crossAx val="205315072"/>
        <c:crosses val="autoZero"/>
        <c:crossBetween val="between"/>
      </c:valAx>
    </c:plotArea>
    <c:legend>
      <c:legendPos val="r"/>
      <c:layout>
        <c:manualLayout>
          <c:xMode val="edge"/>
          <c:yMode val="edge"/>
          <c:x val="0.6222118518518519"/>
          <c:y val="0.59110173611111116"/>
          <c:w val="0.33984198036889224"/>
          <c:h val="0.14768081073199182"/>
        </c:manualLayout>
      </c:layout>
      <c:overlay val="1"/>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7112962962963"/>
          <c:y val="4.8506944444444443E-2"/>
          <c:w val="0.85841833333333328"/>
          <c:h val="0.85348923611111116"/>
        </c:manualLayout>
      </c:layout>
      <c:barChart>
        <c:barDir val="col"/>
        <c:grouping val="clustered"/>
        <c:varyColors val="0"/>
        <c:ser>
          <c:idx val="0"/>
          <c:order val="0"/>
          <c:tx>
            <c:strRef>
              <c:f>'fig B.2 upper'!$B$6</c:f>
              <c:strCache>
                <c:ptCount val="1"/>
                <c:pt idx="0">
                  <c:v>Actual (ABS)</c:v>
                </c:pt>
              </c:strCache>
            </c:strRef>
          </c:tx>
          <c:spPr>
            <a:solidFill>
              <a:srgbClr val="78A22F"/>
            </a:solidFill>
            <a:ln>
              <a:solidFill>
                <a:srgbClr val="78A22F"/>
              </a:solidFill>
            </a:ln>
          </c:spPr>
          <c:invertIfNegative val="0"/>
          <c:dLbls>
            <c:showLegendKey val="0"/>
            <c:showVal val="1"/>
            <c:showCatName val="0"/>
            <c:showSerName val="0"/>
            <c:showPercent val="0"/>
            <c:showBubbleSize val="0"/>
            <c:showLeaderLines val="0"/>
          </c:dLbls>
          <c:cat>
            <c:strRef>
              <c:f>'fig B.2 upper'!$A$7:$A$10</c:f>
              <c:strCache>
                <c:ptCount val="4"/>
                <c:pt idx="0">
                  <c:v>Agriculture</c:v>
                </c:pt>
                <c:pt idx="1">
                  <c:v>Mining</c:v>
                </c:pt>
                <c:pt idx="2">
                  <c:v>Manufacturing</c:v>
                </c:pt>
                <c:pt idx="3">
                  <c:v>Services</c:v>
                </c:pt>
              </c:strCache>
            </c:strRef>
          </c:cat>
          <c:val>
            <c:numRef>
              <c:f>'fig B.2 upper'!$B$7:$B$10</c:f>
              <c:numCache>
                <c:formatCode>#,##0.0</c:formatCode>
                <c:ptCount val="4"/>
                <c:pt idx="0">
                  <c:v>2.2570112444875767</c:v>
                </c:pt>
                <c:pt idx="1">
                  <c:v>8.1224767411714076</c:v>
                </c:pt>
                <c:pt idx="2">
                  <c:v>6.3198343277933891</c:v>
                </c:pt>
                <c:pt idx="3">
                  <c:v>83.30067768654763</c:v>
                </c:pt>
              </c:numCache>
            </c:numRef>
          </c:val>
        </c:ser>
        <c:ser>
          <c:idx val="1"/>
          <c:order val="1"/>
          <c:tx>
            <c:strRef>
              <c:f>'fig B.2 upper'!$C$6</c:f>
              <c:strCache>
                <c:ptCount val="1"/>
                <c:pt idx="0">
                  <c:v>Projected</c:v>
                </c:pt>
              </c:strCache>
            </c:strRef>
          </c:tx>
          <c:spPr>
            <a:solidFill>
              <a:srgbClr val="265A9A"/>
            </a:solidFill>
            <a:ln>
              <a:solidFill>
                <a:srgbClr val="265A9A"/>
              </a:solidFill>
            </a:ln>
          </c:spPr>
          <c:invertIfNegative val="0"/>
          <c:dLbls>
            <c:showLegendKey val="0"/>
            <c:showVal val="1"/>
            <c:showCatName val="0"/>
            <c:showSerName val="0"/>
            <c:showPercent val="0"/>
            <c:showBubbleSize val="0"/>
            <c:showLeaderLines val="0"/>
          </c:dLbls>
          <c:cat>
            <c:strRef>
              <c:f>'fig B.2 upper'!$A$7:$A$10</c:f>
              <c:strCache>
                <c:ptCount val="4"/>
                <c:pt idx="0">
                  <c:v>Agriculture</c:v>
                </c:pt>
                <c:pt idx="1">
                  <c:v>Mining</c:v>
                </c:pt>
                <c:pt idx="2">
                  <c:v>Manufacturing</c:v>
                </c:pt>
                <c:pt idx="3">
                  <c:v>Services</c:v>
                </c:pt>
              </c:strCache>
            </c:strRef>
          </c:cat>
          <c:val>
            <c:numRef>
              <c:f>'fig B.2 upper'!$C$7:$C$10</c:f>
              <c:numCache>
                <c:formatCode>#,##0.0</c:formatCode>
                <c:ptCount val="4"/>
                <c:pt idx="0">
                  <c:v>1.8089431425760596</c:v>
                </c:pt>
                <c:pt idx="1">
                  <c:v>8.899453485868591</c:v>
                </c:pt>
                <c:pt idx="2">
                  <c:v>8.5015963686239235</c:v>
                </c:pt>
                <c:pt idx="3">
                  <c:v>80.790007002931418</c:v>
                </c:pt>
              </c:numCache>
            </c:numRef>
          </c:val>
        </c:ser>
        <c:dLbls>
          <c:showLegendKey val="0"/>
          <c:showVal val="0"/>
          <c:showCatName val="0"/>
          <c:showSerName val="0"/>
          <c:showPercent val="0"/>
          <c:showBubbleSize val="0"/>
        </c:dLbls>
        <c:gapWidth val="150"/>
        <c:axId val="230325632"/>
        <c:axId val="234935424"/>
      </c:barChart>
      <c:catAx>
        <c:axId val="230325632"/>
        <c:scaling>
          <c:orientation val="minMax"/>
        </c:scaling>
        <c:delete val="0"/>
        <c:axPos val="b"/>
        <c:majorTickMark val="none"/>
        <c:minorTickMark val="none"/>
        <c:tickLblPos val="nextTo"/>
        <c:spPr>
          <a:ln>
            <a:solidFill>
              <a:srgbClr val="BFBFBF"/>
            </a:solidFill>
          </a:ln>
        </c:spPr>
        <c:crossAx val="234935424"/>
        <c:crosses val="autoZero"/>
        <c:auto val="1"/>
        <c:lblAlgn val="ctr"/>
        <c:lblOffset val="100"/>
        <c:noMultiLvlLbl val="0"/>
      </c:catAx>
      <c:valAx>
        <c:axId val="234935424"/>
        <c:scaling>
          <c:orientation val="minMax"/>
        </c:scaling>
        <c:delete val="0"/>
        <c:axPos val="l"/>
        <c:majorGridlines>
          <c:spPr>
            <a:ln>
              <a:noFill/>
            </a:ln>
          </c:spPr>
        </c:majorGridlines>
        <c:title>
          <c:tx>
            <c:rich>
              <a:bodyPr rot="-5400000" vert="horz"/>
              <a:lstStyle/>
              <a:p>
                <a:pPr>
                  <a:defRPr/>
                </a:pPr>
                <a:r>
                  <a:rPr lang="en-AU"/>
                  <a:t>Share of value added (%)</a:t>
                </a:r>
              </a:p>
            </c:rich>
          </c:tx>
          <c:overlay val="0"/>
        </c:title>
        <c:numFmt formatCode="#,##0" sourceLinked="0"/>
        <c:majorTickMark val="out"/>
        <c:minorTickMark val="none"/>
        <c:tickLblPos val="nextTo"/>
        <c:spPr>
          <a:ln>
            <a:solidFill>
              <a:srgbClr val="BFBFBF"/>
            </a:solidFill>
          </a:ln>
        </c:spPr>
        <c:crossAx val="230325632"/>
        <c:crosses val="autoZero"/>
        <c:crossBetween val="between"/>
        <c:majorUnit val="20"/>
      </c:valAx>
      <c:spPr>
        <a:noFill/>
        <a:ln>
          <a:noFill/>
        </a:ln>
      </c:spPr>
    </c:plotArea>
    <c:legend>
      <c:legendPos val="b"/>
      <c:layout>
        <c:manualLayout>
          <c:xMode val="edge"/>
          <c:yMode val="edge"/>
          <c:x val="0.1442235185185185"/>
          <c:y val="8.3000347222222159E-2"/>
          <c:w val="0.26234925925925928"/>
          <c:h val="0.20262465277777775"/>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7112962962963"/>
          <c:y val="4.8506944444444443E-2"/>
          <c:w val="0.85841833333333328"/>
          <c:h val="0.85348923611111116"/>
        </c:manualLayout>
      </c:layout>
      <c:barChart>
        <c:barDir val="col"/>
        <c:grouping val="clustered"/>
        <c:varyColors val="0"/>
        <c:ser>
          <c:idx val="0"/>
          <c:order val="0"/>
          <c:tx>
            <c:strRef>
              <c:f>'fig B.2 lower'!$B$6</c:f>
              <c:strCache>
                <c:ptCount val="1"/>
                <c:pt idx="0">
                  <c:v>Actual (ABS)</c:v>
                </c:pt>
              </c:strCache>
            </c:strRef>
          </c:tx>
          <c:spPr>
            <a:solidFill>
              <a:srgbClr val="78A22F"/>
            </a:solidFill>
            <a:ln>
              <a:solidFill>
                <a:srgbClr val="78A22F"/>
              </a:solidFill>
            </a:ln>
          </c:spPr>
          <c:invertIfNegative val="0"/>
          <c:dLbls>
            <c:showLegendKey val="0"/>
            <c:showVal val="1"/>
            <c:showCatName val="0"/>
            <c:showSerName val="0"/>
            <c:showPercent val="0"/>
            <c:showBubbleSize val="0"/>
            <c:showLeaderLines val="0"/>
          </c:dLbls>
          <c:cat>
            <c:strRef>
              <c:f>'fig B.2 lower'!$A$7:$A$10</c:f>
              <c:strCache>
                <c:ptCount val="4"/>
                <c:pt idx="0">
                  <c:v>Agriculture</c:v>
                </c:pt>
                <c:pt idx="1">
                  <c:v>Mining</c:v>
                </c:pt>
                <c:pt idx="2">
                  <c:v>Manufacturing</c:v>
                </c:pt>
                <c:pt idx="3">
                  <c:v>Services</c:v>
                </c:pt>
              </c:strCache>
            </c:strRef>
          </c:cat>
          <c:val>
            <c:numRef>
              <c:f>'fig B.2 lower'!$B$7:$B$10</c:f>
              <c:numCache>
                <c:formatCode>#,##0.0</c:formatCode>
                <c:ptCount val="4"/>
                <c:pt idx="0">
                  <c:v>2.7151496259298238</c:v>
                </c:pt>
                <c:pt idx="1">
                  <c:v>2.3344268073804701</c:v>
                </c:pt>
                <c:pt idx="2">
                  <c:v>8.0599628993385171</c:v>
                </c:pt>
                <c:pt idx="3">
                  <c:v>86.890460667351192</c:v>
                </c:pt>
              </c:numCache>
            </c:numRef>
          </c:val>
        </c:ser>
        <c:ser>
          <c:idx val="1"/>
          <c:order val="1"/>
          <c:tx>
            <c:strRef>
              <c:f>'fig B.2 lower'!$C$6</c:f>
              <c:strCache>
                <c:ptCount val="1"/>
                <c:pt idx="0">
                  <c:v>Projected</c:v>
                </c:pt>
              </c:strCache>
            </c:strRef>
          </c:tx>
          <c:spPr>
            <a:solidFill>
              <a:srgbClr val="265A9A"/>
            </a:solidFill>
            <a:ln>
              <a:solidFill>
                <a:srgbClr val="265A9A"/>
              </a:solidFill>
            </a:ln>
          </c:spPr>
          <c:invertIfNegative val="0"/>
          <c:dLbls>
            <c:showLegendKey val="0"/>
            <c:showVal val="1"/>
            <c:showCatName val="0"/>
            <c:showSerName val="0"/>
            <c:showPercent val="0"/>
            <c:showBubbleSize val="0"/>
            <c:showLeaderLines val="0"/>
          </c:dLbls>
          <c:cat>
            <c:strRef>
              <c:f>'fig B.2 lower'!$A$7:$A$10</c:f>
              <c:strCache>
                <c:ptCount val="4"/>
                <c:pt idx="0">
                  <c:v>Agriculture</c:v>
                </c:pt>
                <c:pt idx="1">
                  <c:v>Mining</c:v>
                </c:pt>
                <c:pt idx="2">
                  <c:v>Manufacturing</c:v>
                </c:pt>
                <c:pt idx="3">
                  <c:v>Services</c:v>
                </c:pt>
              </c:strCache>
            </c:strRef>
          </c:cat>
          <c:val>
            <c:numRef>
              <c:f>'fig B.2 lower'!$C$7:$C$10</c:f>
              <c:numCache>
                <c:formatCode>#,##0.0</c:formatCode>
                <c:ptCount val="4"/>
                <c:pt idx="0">
                  <c:v>2.3096658391155787</c:v>
                </c:pt>
                <c:pt idx="1">
                  <c:v>1.8763863751355925</c:v>
                </c:pt>
                <c:pt idx="2">
                  <c:v>8.7703346253528203</c:v>
                </c:pt>
                <c:pt idx="3">
                  <c:v>87.043613160396021</c:v>
                </c:pt>
              </c:numCache>
            </c:numRef>
          </c:val>
        </c:ser>
        <c:dLbls>
          <c:showLegendKey val="0"/>
          <c:showVal val="0"/>
          <c:showCatName val="0"/>
          <c:showSerName val="0"/>
          <c:showPercent val="0"/>
          <c:showBubbleSize val="0"/>
        </c:dLbls>
        <c:gapWidth val="150"/>
        <c:axId val="248232192"/>
        <c:axId val="338440192"/>
      </c:barChart>
      <c:catAx>
        <c:axId val="248232192"/>
        <c:scaling>
          <c:orientation val="minMax"/>
        </c:scaling>
        <c:delete val="0"/>
        <c:axPos val="b"/>
        <c:majorTickMark val="none"/>
        <c:minorTickMark val="none"/>
        <c:tickLblPos val="nextTo"/>
        <c:spPr>
          <a:ln>
            <a:solidFill>
              <a:srgbClr val="BFBFBF"/>
            </a:solidFill>
          </a:ln>
        </c:spPr>
        <c:crossAx val="338440192"/>
        <c:crosses val="autoZero"/>
        <c:auto val="1"/>
        <c:lblAlgn val="ctr"/>
        <c:lblOffset val="100"/>
        <c:noMultiLvlLbl val="0"/>
      </c:catAx>
      <c:valAx>
        <c:axId val="338440192"/>
        <c:scaling>
          <c:orientation val="minMax"/>
        </c:scaling>
        <c:delete val="0"/>
        <c:axPos val="l"/>
        <c:majorGridlines>
          <c:spPr>
            <a:ln>
              <a:noFill/>
            </a:ln>
          </c:spPr>
        </c:majorGridlines>
        <c:title>
          <c:tx>
            <c:rich>
              <a:bodyPr rot="-5400000" vert="horz"/>
              <a:lstStyle/>
              <a:p>
                <a:pPr>
                  <a:defRPr/>
                </a:pPr>
                <a:r>
                  <a:rPr lang="en-AU"/>
                  <a:t>Share of employment (%)</a:t>
                </a:r>
              </a:p>
            </c:rich>
          </c:tx>
          <c:overlay val="0"/>
        </c:title>
        <c:numFmt formatCode="#,##0" sourceLinked="0"/>
        <c:majorTickMark val="out"/>
        <c:minorTickMark val="none"/>
        <c:tickLblPos val="nextTo"/>
        <c:spPr>
          <a:ln>
            <a:solidFill>
              <a:srgbClr val="BFBFBF"/>
            </a:solidFill>
          </a:ln>
        </c:spPr>
        <c:crossAx val="248232192"/>
        <c:crosses val="autoZero"/>
        <c:crossBetween val="between"/>
        <c:majorUnit val="20"/>
      </c:valAx>
      <c:spPr>
        <a:noFill/>
        <a:ln>
          <a:noFill/>
        </a:ln>
      </c:spPr>
    </c:plotArea>
    <c:legend>
      <c:legendPos val="b"/>
      <c:layout>
        <c:manualLayout>
          <c:xMode val="edge"/>
          <c:yMode val="edge"/>
          <c:x val="0.1442235185185185"/>
          <c:y val="8.3000347222222159E-2"/>
          <c:w val="0.19884925925925925"/>
          <c:h val="0.16293715277777779"/>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 C.1'!$B$5</c:f>
              <c:strCache>
                <c:ptCount val="1"/>
                <c:pt idx="0">
                  <c:v>Historical (1974-75 to 2013-14)</c:v>
                </c:pt>
              </c:strCache>
            </c:strRef>
          </c:tx>
          <c:spPr>
            <a:solidFill>
              <a:srgbClr val="78A22F"/>
            </a:solidFill>
            <a:ln>
              <a:solidFill>
                <a:srgbClr val="78A22F"/>
              </a:solidFill>
            </a:ln>
          </c:spPr>
          <c:invertIfNegative val="0"/>
          <c:cat>
            <c:strRef>
              <c:f>'fig C.1'!$A$6:$A$8</c:f>
              <c:strCache>
                <c:ptCount val="3"/>
                <c:pt idx="0">
                  <c:v>Capital deepening</c:v>
                </c:pt>
                <c:pt idx="1">
                  <c:v>MFP</c:v>
                </c:pt>
                <c:pt idx="2">
                  <c:v>Labour productivity</c:v>
                </c:pt>
              </c:strCache>
            </c:strRef>
          </c:cat>
          <c:val>
            <c:numRef>
              <c:f>'fig C.1'!$B$6:$B$8</c:f>
              <c:numCache>
                <c:formatCode>#,##0.0</c:formatCode>
                <c:ptCount val="3"/>
                <c:pt idx="0">
                  <c:v>0.98770544965761076</c:v>
                </c:pt>
                <c:pt idx="1">
                  <c:v>0.74085957960789217</c:v>
                </c:pt>
                <c:pt idx="2">
                  <c:v>1.728565029265503</c:v>
                </c:pt>
              </c:numCache>
            </c:numRef>
          </c:val>
        </c:ser>
        <c:ser>
          <c:idx val="1"/>
          <c:order val="1"/>
          <c:tx>
            <c:strRef>
              <c:f>'fig C.1'!$C$5</c:f>
              <c:strCache>
                <c:ptCount val="1"/>
                <c:pt idx="0">
                  <c:v>Projection (2013-14 to 2059-60)</c:v>
                </c:pt>
              </c:strCache>
            </c:strRef>
          </c:tx>
          <c:spPr>
            <a:solidFill>
              <a:srgbClr val="265A9A"/>
            </a:solidFill>
            <a:ln>
              <a:solidFill>
                <a:srgbClr val="265A9A"/>
              </a:solidFill>
            </a:ln>
          </c:spPr>
          <c:invertIfNegative val="0"/>
          <c:cat>
            <c:strRef>
              <c:f>'fig C.1'!$A$6:$A$8</c:f>
              <c:strCache>
                <c:ptCount val="3"/>
                <c:pt idx="0">
                  <c:v>Capital deepening</c:v>
                </c:pt>
                <c:pt idx="1">
                  <c:v>MFP</c:v>
                </c:pt>
                <c:pt idx="2">
                  <c:v>Labour productivity</c:v>
                </c:pt>
              </c:strCache>
            </c:strRef>
          </c:cat>
          <c:val>
            <c:numRef>
              <c:f>'fig C.1'!$C$6:$C$8</c:f>
              <c:numCache>
                <c:formatCode>#,##0.0</c:formatCode>
                <c:ptCount val="3"/>
                <c:pt idx="0">
                  <c:v>0.17629461702127663</c:v>
                </c:pt>
                <c:pt idx="1">
                  <c:v>1.2199757872340427</c:v>
                </c:pt>
                <c:pt idx="2">
                  <c:v>1.3979157234042554</c:v>
                </c:pt>
              </c:numCache>
            </c:numRef>
          </c:val>
        </c:ser>
        <c:dLbls>
          <c:showLegendKey val="0"/>
          <c:showVal val="0"/>
          <c:showCatName val="0"/>
          <c:showSerName val="0"/>
          <c:showPercent val="0"/>
          <c:showBubbleSize val="0"/>
        </c:dLbls>
        <c:gapWidth val="150"/>
        <c:axId val="82932480"/>
        <c:axId val="82934016"/>
      </c:barChart>
      <c:catAx>
        <c:axId val="82932480"/>
        <c:scaling>
          <c:orientation val="minMax"/>
        </c:scaling>
        <c:delete val="0"/>
        <c:axPos val="b"/>
        <c:majorTickMark val="none"/>
        <c:minorTickMark val="none"/>
        <c:tickLblPos val="nextTo"/>
        <c:spPr>
          <a:ln>
            <a:solidFill>
              <a:srgbClr val="BFBFBF"/>
            </a:solidFill>
          </a:ln>
        </c:spPr>
        <c:crossAx val="82934016"/>
        <c:crosses val="autoZero"/>
        <c:auto val="1"/>
        <c:lblAlgn val="ctr"/>
        <c:lblOffset val="100"/>
        <c:noMultiLvlLbl val="0"/>
      </c:catAx>
      <c:valAx>
        <c:axId val="82934016"/>
        <c:scaling>
          <c:orientation val="minMax"/>
        </c:scaling>
        <c:delete val="0"/>
        <c:axPos val="l"/>
        <c:majorGridlines>
          <c:spPr>
            <a:ln>
              <a:noFill/>
            </a:ln>
          </c:spPr>
        </c:majorGridlines>
        <c:title>
          <c:tx>
            <c:rich>
              <a:bodyPr rot="-5400000" vert="horz"/>
              <a:lstStyle/>
              <a:p>
                <a:pPr>
                  <a:defRPr/>
                </a:pPr>
                <a:r>
                  <a:rPr lang="en-AU"/>
                  <a:t>Annual growth rate</a:t>
                </a:r>
                <a:r>
                  <a:rPr lang="en-AU" baseline="0"/>
                  <a:t> (%)</a:t>
                </a:r>
                <a:endParaRPr lang="en-AU"/>
              </a:p>
            </c:rich>
          </c:tx>
          <c:overlay val="0"/>
        </c:title>
        <c:numFmt formatCode="#,##0.0" sourceLinked="1"/>
        <c:majorTickMark val="out"/>
        <c:minorTickMark val="none"/>
        <c:tickLblPos val="nextTo"/>
        <c:spPr>
          <a:ln>
            <a:solidFill>
              <a:srgbClr val="BFBFBF"/>
            </a:solidFill>
          </a:ln>
        </c:spPr>
        <c:crossAx val="82932480"/>
        <c:crosses val="autoZero"/>
        <c:crossBetween val="between"/>
        <c:majorUnit val="0.5"/>
      </c:valAx>
      <c:spPr>
        <a:noFill/>
        <a:ln>
          <a:noFill/>
        </a:ln>
      </c:spPr>
    </c:plotArea>
    <c:legend>
      <c:legendPos val="b"/>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99851851851852"/>
          <c:y val="4.8506944444444443E-2"/>
          <c:w val="0.69948055555555555"/>
          <c:h val="0.81668993055555561"/>
        </c:manualLayout>
      </c:layout>
      <c:barChart>
        <c:barDir val="bar"/>
        <c:grouping val="stacked"/>
        <c:varyColors val="0"/>
        <c:ser>
          <c:idx val="0"/>
          <c:order val="0"/>
          <c:tx>
            <c:strRef>
              <c:f>'fig C.2'!$B$5</c:f>
              <c:strCache>
                <c:ptCount val="1"/>
                <c:pt idx="0">
                  <c:v>MFP</c:v>
                </c:pt>
              </c:strCache>
            </c:strRef>
          </c:tx>
          <c:spPr>
            <a:solidFill>
              <a:srgbClr val="78A22F"/>
            </a:solidFill>
            <a:ln>
              <a:solidFill>
                <a:srgbClr val="78A22F"/>
              </a:solidFill>
            </a:ln>
          </c:spPr>
          <c:invertIfNegative val="0"/>
          <c:cat>
            <c:strRef>
              <c:f>'fig C.2'!$A$6:$A$16</c:f>
              <c:strCache>
                <c:ptCount val="11"/>
                <c:pt idx="0">
                  <c:v>Agriculture</c:v>
                </c:pt>
                <c:pt idx="1">
                  <c:v>Mining</c:v>
                </c:pt>
                <c:pt idx="2">
                  <c:v>Manufacturing</c:v>
                </c:pt>
                <c:pt idx="3">
                  <c:v>EGWWS</c:v>
                </c:pt>
                <c:pt idx="4">
                  <c:v>Construction</c:v>
                </c:pt>
                <c:pt idx="5">
                  <c:v>Wholesale trade</c:v>
                </c:pt>
                <c:pt idx="6">
                  <c:v>Retail trade</c:v>
                </c:pt>
                <c:pt idx="7">
                  <c:v>Accommodation, cafes</c:v>
                </c:pt>
                <c:pt idx="8">
                  <c:v>Transport</c:v>
                </c:pt>
                <c:pt idx="9">
                  <c:v>Communications</c:v>
                </c:pt>
                <c:pt idx="10">
                  <c:v>Finance</c:v>
                </c:pt>
              </c:strCache>
            </c:strRef>
          </c:cat>
          <c:val>
            <c:numRef>
              <c:f>'fig C.2'!$B$6:$B$16</c:f>
              <c:numCache>
                <c:formatCode>#,##0.0_ ;\-#,##0.0\ </c:formatCode>
                <c:ptCount val="11"/>
                <c:pt idx="0">
                  <c:v>3.1890053191489356</c:v>
                </c:pt>
                <c:pt idx="1">
                  <c:v>1.4313737872340433</c:v>
                </c:pt>
                <c:pt idx="2">
                  <c:v>1.707613531914894</c:v>
                </c:pt>
                <c:pt idx="3">
                  <c:v>0.90754061702127642</c:v>
                </c:pt>
                <c:pt idx="4">
                  <c:v>1.4704425319148937</c:v>
                </c:pt>
                <c:pt idx="5">
                  <c:v>2.03539970212766</c:v>
                </c:pt>
                <c:pt idx="6">
                  <c:v>1.9178228936170207</c:v>
                </c:pt>
                <c:pt idx="7">
                  <c:v>0.31311623404255312</c:v>
                </c:pt>
                <c:pt idx="8">
                  <c:v>2.1689469999999997</c:v>
                </c:pt>
                <c:pt idx="9">
                  <c:v>4.4436092553191475</c:v>
                </c:pt>
                <c:pt idx="10">
                  <c:v>2.4804481063829784</c:v>
                </c:pt>
              </c:numCache>
            </c:numRef>
          </c:val>
        </c:ser>
        <c:ser>
          <c:idx val="1"/>
          <c:order val="1"/>
          <c:tx>
            <c:strRef>
              <c:f>'fig C.2'!$C$5</c:f>
              <c:strCache>
                <c:ptCount val="1"/>
                <c:pt idx="0">
                  <c:v>Capital deepening</c:v>
                </c:pt>
              </c:strCache>
            </c:strRef>
          </c:tx>
          <c:spPr>
            <a:solidFill>
              <a:srgbClr val="265A9A"/>
            </a:solidFill>
            <a:ln>
              <a:solidFill>
                <a:srgbClr val="265A9A"/>
              </a:solidFill>
            </a:ln>
          </c:spPr>
          <c:invertIfNegative val="0"/>
          <c:cat>
            <c:strRef>
              <c:f>'fig C.2'!$A$6:$A$16</c:f>
              <c:strCache>
                <c:ptCount val="11"/>
                <c:pt idx="0">
                  <c:v>Agriculture</c:v>
                </c:pt>
                <c:pt idx="1">
                  <c:v>Mining</c:v>
                </c:pt>
                <c:pt idx="2">
                  <c:v>Manufacturing</c:v>
                </c:pt>
                <c:pt idx="3">
                  <c:v>EGWWS</c:v>
                </c:pt>
                <c:pt idx="4">
                  <c:v>Construction</c:v>
                </c:pt>
                <c:pt idx="5">
                  <c:v>Wholesale trade</c:v>
                </c:pt>
                <c:pt idx="6">
                  <c:v>Retail trade</c:v>
                </c:pt>
                <c:pt idx="7">
                  <c:v>Accommodation, cafes</c:v>
                </c:pt>
                <c:pt idx="8">
                  <c:v>Transport</c:v>
                </c:pt>
                <c:pt idx="9">
                  <c:v>Communications</c:v>
                </c:pt>
                <c:pt idx="10">
                  <c:v>Finance</c:v>
                </c:pt>
              </c:strCache>
            </c:strRef>
          </c:cat>
          <c:val>
            <c:numRef>
              <c:f>'fig C.2'!$C$6:$C$16</c:f>
              <c:numCache>
                <c:formatCode>#,##0.0_ ;\-#,##0.0\ </c:formatCode>
                <c:ptCount val="11"/>
                <c:pt idx="0">
                  <c:v>0.20472536170212766</c:v>
                </c:pt>
                <c:pt idx="1">
                  <c:v>0.59041610638297881</c:v>
                </c:pt>
                <c:pt idx="2">
                  <c:v>0.2617147659574468</c:v>
                </c:pt>
                <c:pt idx="3">
                  <c:v>0.6126798297872339</c:v>
                </c:pt>
                <c:pt idx="4">
                  <c:v>9.8190021276595776E-2</c:v>
                </c:pt>
                <c:pt idx="5">
                  <c:v>0.14492457446808504</c:v>
                </c:pt>
                <c:pt idx="6">
                  <c:v>7.7758829787234029E-2</c:v>
                </c:pt>
                <c:pt idx="7">
                  <c:v>0.16141446808510637</c:v>
                </c:pt>
                <c:pt idx="8">
                  <c:v>0.32198982978723401</c:v>
                </c:pt>
                <c:pt idx="9">
                  <c:v>0.70835065957446786</c:v>
                </c:pt>
                <c:pt idx="10">
                  <c:v>0.37994923404255315</c:v>
                </c:pt>
              </c:numCache>
            </c:numRef>
          </c:val>
        </c:ser>
        <c:dLbls>
          <c:showLegendKey val="0"/>
          <c:showVal val="0"/>
          <c:showCatName val="0"/>
          <c:showSerName val="0"/>
          <c:showPercent val="0"/>
          <c:showBubbleSize val="0"/>
        </c:dLbls>
        <c:gapWidth val="30"/>
        <c:overlap val="100"/>
        <c:axId val="82959360"/>
        <c:axId val="82961152"/>
      </c:barChart>
      <c:catAx>
        <c:axId val="82959360"/>
        <c:scaling>
          <c:orientation val="minMax"/>
        </c:scaling>
        <c:delete val="0"/>
        <c:axPos val="l"/>
        <c:majorTickMark val="none"/>
        <c:minorTickMark val="none"/>
        <c:tickLblPos val="nextTo"/>
        <c:spPr>
          <a:ln>
            <a:solidFill>
              <a:srgbClr val="BFBFBF"/>
            </a:solidFill>
          </a:ln>
        </c:spPr>
        <c:crossAx val="82961152"/>
        <c:crosses val="autoZero"/>
        <c:auto val="1"/>
        <c:lblAlgn val="ctr"/>
        <c:lblOffset val="100"/>
        <c:noMultiLvlLbl val="0"/>
      </c:catAx>
      <c:valAx>
        <c:axId val="82961152"/>
        <c:scaling>
          <c:orientation val="minMax"/>
        </c:scaling>
        <c:delete val="0"/>
        <c:axPos val="b"/>
        <c:majorGridlines>
          <c:spPr>
            <a:ln>
              <a:noFill/>
            </a:ln>
          </c:spPr>
        </c:majorGridlines>
        <c:title>
          <c:tx>
            <c:rich>
              <a:bodyPr/>
              <a:lstStyle/>
              <a:p>
                <a:pPr>
                  <a:defRPr/>
                </a:pPr>
                <a:r>
                  <a:rPr lang="en-AU"/>
                  <a:t>Average annual growth rate (%)</a:t>
                </a:r>
              </a:p>
            </c:rich>
          </c:tx>
          <c:overlay val="0"/>
        </c:title>
        <c:numFmt formatCode="#,##0_ ;\-#,##0\ " sourceLinked="0"/>
        <c:majorTickMark val="out"/>
        <c:minorTickMark val="none"/>
        <c:tickLblPos val="nextTo"/>
        <c:spPr>
          <a:ln>
            <a:solidFill>
              <a:srgbClr val="BFBFBF"/>
            </a:solidFill>
          </a:ln>
        </c:spPr>
        <c:crossAx val="82959360"/>
        <c:crosses val="autoZero"/>
        <c:crossBetween val="between"/>
      </c:valAx>
      <c:spPr>
        <a:noFill/>
        <a:ln>
          <a:noFill/>
        </a:ln>
      </c:spPr>
    </c:plotArea>
    <c:legend>
      <c:legendPos val="b"/>
      <c:layout>
        <c:manualLayout>
          <c:xMode val="edge"/>
          <c:yMode val="edge"/>
          <c:x val="0.75120814814814818"/>
          <c:y val="0.35640312499999999"/>
          <c:w val="0.21254648148148148"/>
          <c:h val="0.15411770833333333"/>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46981481481482"/>
          <c:y val="4.8506944444444443E-2"/>
          <c:w val="0.8497081481481481"/>
          <c:h val="0.83585034722222218"/>
        </c:manualLayout>
      </c:layout>
      <c:lineChart>
        <c:grouping val="standard"/>
        <c:varyColors val="0"/>
        <c:ser>
          <c:idx val="0"/>
          <c:order val="0"/>
          <c:tx>
            <c:strRef>
              <c:f>'fig C.3'!$A$6</c:f>
              <c:strCache>
                <c:ptCount val="1"/>
                <c:pt idx="0">
                  <c:v>Scenario 1</c:v>
                </c:pt>
              </c:strCache>
            </c:strRef>
          </c:tx>
          <c:spPr>
            <a:ln>
              <a:solidFill>
                <a:srgbClr val="78A22F"/>
              </a:solidFill>
            </a:ln>
          </c:spPr>
          <c:marker>
            <c:symbol val="none"/>
          </c:marker>
          <c:cat>
            <c:strRef>
              <c:f>'fig C.3'!$B$5:$Z$5</c:f>
              <c:strCache>
                <c:ptCount val="2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pt idx="24">
                  <c:v>2024-25</c:v>
                </c:pt>
              </c:strCache>
            </c:strRef>
          </c:cat>
          <c:val>
            <c:numRef>
              <c:f>'fig C.3'!$B$6:$Z$6</c:f>
              <c:numCache>
                <c:formatCode>General</c:formatCode>
                <c:ptCount val="25"/>
                <c:pt idx="0">
                  <c:v>58.200001999999998</c:v>
                </c:pt>
                <c:pt idx="1">
                  <c:v>58.600003000000001</c:v>
                </c:pt>
                <c:pt idx="2">
                  <c:v>57.499999000000003</c:v>
                </c:pt>
                <c:pt idx="3">
                  <c:v>58.3</c:v>
                </c:pt>
                <c:pt idx="4">
                  <c:v>58.399999000000001</c:v>
                </c:pt>
                <c:pt idx="5">
                  <c:v>57.499999000000003</c:v>
                </c:pt>
                <c:pt idx="6">
                  <c:v>53.799999</c:v>
                </c:pt>
                <c:pt idx="7">
                  <c:v>54.500002000000002</c:v>
                </c:pt>
                <c:pt idx="8">
                  <c:v>52.200000999999993</c:v>
                </c:pt>
                <c:pt idx="9">
                  <c:v>54.400002999999998</c:v>
                </c:pt>
                <c:pt idx="10">
                  <c:v>54.299998000000002</c:v>
                </c:pt>
                <c:pt idx="11">
                  <c:v>53.600000999999999</c:v>
                </c:pt>
                <c:pt idx="12">
                  <c:v>52.700000999999993</c:v>
                </c:pt>
                <c:pt idx="13">
                  <c:v>54.000002000000002</c:v>
                </c:pt>
                <c:pt idx="14">
                  <c:v>54.007609381288134</c:v>
                </c:pt>
                <c:pt idx="15">
                  <c:v>53.903018749776287</c:v>
                </c:pt>
                <c:pt idx="16">
                  <c:v>53.81046463293162</c:v>
                </c:pt>
                <c:pt idx="17">
                  <c:v>53.719431833384448</c:v>
                </c:pt>
                <c:pt idx="18">
                  <c:v>53.793847996947356</c:v>
                </c:pt>
                <c:pt idx="19">
                  <c:v>53.840950969438481</c:v>
                </c:pt>
                <c:pt idx="20">
                  <c:v>53.864726225511163</c:v>
                </c:pt>
                <c:pt idx="21">
                  <c:v>53.883364507399605</c:v>
                </c:pt>
                <c:pt idx="22">
                  <c:v>53.899140401479009</c:v>
                </c:pt>
                <c:pt idx="23">
                  <c:v>53.912814045397504</c:v>
                </c:pt>
                <c:pt idx="24">
                  <c:v>53.924540149896202</c:v>
                </c:pt>
              </c:numCache>
            </c:numRef>
          </c:val>
          <c:smooth val="0"/>
        </c:ser>
        <c:ser>
          <c:idx val="1"/>
          <c:order val="1"/>
          <c:tx>
            <c:strRef>
              <c:f>'fig C.3'!$A$7</c:f>
              <c:strCache>
                <c:ptCount val="1"/>
                <c:pt idx="0">
                  <c:v>Scenario 2</c:v>
                </c:pt>
              </c:strCache>
            </c:strRef>
          </c:tx>
          <c:spPr>
            <a:ln cmpd="sng">
              <a:solidFill>
                <a:srgbClr val="265A9A"/>
              </a:solidFill>
              <a:prstDash val="solid"/>
            </a:ln>
            <a:effectLst/>
          </c:spPr>
          <c:marker>
            <c:symbol val="none"/>
          </c:marker>
          <c:cat>
            <c:strRef>
              <c:f>'fig C.3'!$B$5:$Z$5</c:f>
              <c:strCache>
                <c:ptCount val="2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pt idx="24">
                  <c:v>2024-25</c:v>
                </c:pt>
              </c:strCache>
            </c:strRef>
          </c:cat>
          <c:val>
            <c:numRef>
              <c:f>'fig C.3'!$B$7:$Z$7</c:f>
              <c:numCache>
                <c:formatCode>General</c:formatCode>
                <c:ptCount val="25"/>
                <c:pt idx="0">
                  <c:v>58.200001999999998</c:v>
                </c:pt>
                <c:pt idx="1">
                  <c:v>58.600003000000001</c:v>
                </c:pt>
                <c:pt idx="2">
                  <c:v>57.499999000000003</c:v>
                </c:pt>
                <c:pt idx="3">
                  <c:v>58.3</c:v>
                </c:pt>
                <c:pt idx="4">
                  <c:v>58.399999000000001</c:v>
                </c:pt>
                <c:pt idx="5">
                  <c:v>57.499999000000003</c:v>
                </c:pt>
                <c:pt idx="6">
                  <c:v>53.799999</c:v>
                </c:pt>
                <c:pt idx="7">
                  <c:v>54.500002000000002</c:v>
                </c:pt>
                <c:pt idx="8">
                  <c:v>52.200000999999993</c:v>
                </c:pt>
                <c:pt idx="9">
                  <c:v>54.400002999999998</c:v>
                </c:pt>
                <c:pt idx="10">
                  <c:v>54.299998000000002</c:v>
                </c:pt>
                <c:pt idx="11">
                  <c:v>53.600000999999999</c:v>
                </c:pt>
                <c:pt idx="12">
                  <c:v>52.700000999999993</c:v>
                </c:pt>
                <c:pt idx="13">
                  <c:v>54.000002000000002</c:v>
                </c:pt>
                <c:pt idx="14">
                  <c:v>54.007609381288134</c:v>
                </c:pt>
                <c:pt idx="15">
                  <c:v>53.903018749776287</c:v>
                </c:pt>
                <c:pt idx="16">
                  <c:v>53.81046463293162</c:v>
                </c:pt>
                <c:pt idx="17">
                  <c:v>53.266684447518145</c:v>
                </c:pt>
                <c:pt idx="18">
                  <c:v>52.870810834652005</c:v>
                </c:pt>
                <c:pt idx="19">
                  <c:v>52.439053558765416</c:v>
                </c:pt>
                <c:pt idx="20">
                  <c:v>51.980463436339683</c:v>
                </c:pt>
                <c:pt idx="21">
                  <c:v>51.514371101141322</c:v>
                </c:pt>
                <c:pt idx="22">
                  <c:v>51.528661077779972</c:v>
                </c:pt>
                <c:pt idx="23">
                  <c:v>51.540790367509416</c:v>
                </c:pt>
                <c:pt idx="24">
                  <c:v>51.550930015090444</c:v>
                </c:pt>
              </c:numCache>
            </c:numRef>
          </c:val>
          <c:smooth val="0"/>
        </c:ser>
        <c:dLbls>
          <c:showLegendKey val="0"/>
          <c:showVal val="0"/>
          <c:showCatName val="0"/>
          <c:showSerName val="0"/>
          <c:showPercent val="0"/>
          <c:showBubbleSize val="0"/>
        </c:dLbls>
        <c:marker val="1"/>
        <c:smooth val="0"/>
        <c:axId val="82974208"/>
        <c:axId val="82975744"/>
      </c:lineChart>
      <c:catAx>
        <c:axId val="82974208"/>
        <c:scaling>
          <c:orientation val="minMax"/>
        </c:scaling>
        <c:delete val="0"/>
        <c:axPos val="b"/>
        <c:numFmt formatCode="General" sourceLinked="1"/>
        <c:majorTickMark val="out"/>
        <c:minorTickMark val="none"/>
        <c:tickLblPos val="nextTo"/>
        <c:spPr>
          <a:ln>
            <a:solidFill>
              <a:srgbClr val="BFBFBF"/>
            </a:solidFill>
          </a:ln>
        </c:spPr>
        <c:crossAx val="82975744"/>
        <c:crosses val="autoZero"/>
        <c:auto val="1"/>
        <c:lblAlgn val="ctr"/>
        <c:lblOffset val="100"/>
        <c:tickLblSkip val="4"/>
        <c:noMultiLvlLbl val="0"/>
      </c:catAx>
      <c:valAx>
        <c:axId val="82975744"/>
        <c:scaling>
          <c:orientation val="minMax"/>
          <c:max val="60"/>
          <c:min val="50"/>
        </c:scaling>
        <c:delete val="0"/>
        <c:axPos val="l"/>
        <c:title>
          <c:tx>
            <c:rich>
              <a:bodyPr rot="-5400000" vert="horz"/>
              <a:lstStyle/>
              <a:p>
                <a:pPr>
                  <a:defRPr/>
                </a:pPr>
                <a:r>
                  <a:rPr lang="en-AU"/>
                  <a:t>Minimum wage bite (%)</a:t>
                </a:r>
              </a:p>
            </c:rich>
          </c:tx>
          <c:overlay val="0"/>
        </c:title>
        <c:numFmt formatCode="General" sourceLinked="1"/>
        <c:majorTickMark val="out"/>
        <c:minorTickMark val="none"/>
        <c:tickLblPos val="nextTo"/>
        <c:spPr>
          <a:ln>
            <a:solidFill>
              <a:srgbClr val="BFBFBF"/>
            </a:solidFill>
          </a:ln>
        </c:spPr>
        <c:crossAx val="82974208"/>
        <c:crosses val="autoZero"/>
        <c:crossBetween val="between"/>
        <c:majorUnit val="2"/>
      </c:valAx>
      <c:spPr>
        <a:noFill/>
        <a:ln>
          <a:noFill/>
        </a:ln>
      </c:spPr>
    </c:plotArea>
    <c:legend>
      <c:legendPos val="b"/>
      <c:layout>
        <c:manualLayout>
          <c:xMode val="edge"/>
          <c:yMode val="edge"/>
          <c:x val="0.65562185185185196"/>
          <c:y val="6.0951736111111113E-2"/>
          <c:w val="0.25790425925925925"/>
          <c:h val="0.14970798611111111"/>
        </c:manualLayout>
      </c:layout>
      <c:overlay val="0"/>
      <c:spPr>
        <a:ln>
          <a:noFill/>
        </a:ln>
      </c:spPr>
    </c:legend>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0.08153</cdr:x>
      <cdr:y>0.14086</cdr:y>
    </cdr:from>
    <cdr:to>
      <cdr:x>0.1825</cdr:x>
      <cdr:y>0.33654</cdr:y>
    </cdr:to>
    <cdr:sp macro="" textlink="">
      <cdr:nvSpPr>
        <cdr:cNvPr id="3" name="TextBox 2"/>
        <cdr:cNvSpPr txBox="1"/>
      </cdr:nvSpPr>
      <cdr:spPr>
        <a:xfrm xmlns:a="http://schemas.openxmlformats.org/drawingml/2006/main">
          <a:off x="738352" y="65821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1" PreviousValue="false"/>
</file>

<file path=customXml/item2.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Modelling</TermName>
          <TermId xmlns="http://schemas.microsoft.com/office/infopath/2007/PartnerControls">e0766cc0-ad7c-4a16-93da-099602b25887</TermId>
        </TermInfo>
      </Terms>
    </p7a0baa8c88445a78b6f55906390ba17>
    <Archive xmlns="8044c801-d84b-4ee1-a77e-678f8dcdee17">false</Archive>
    <TaxCatchAll xmlns="3f4bcce7-ac1a-4c9d-aa3e-7e77695652db">
      <Value>286</Value>
    </TaxCatchAll>
    <o939ead9e1484185b390bbb11d2f5254 xmlns="8044c801-d84b-4ee1-a77e-678f8dcdee17">
      <Terms xmlns="http://schemas.microsoft.com/office/infopath/2007/PartnerControls"/>
    </o939ead9e1484185b390bbb11d2f5254>
    <ChNo xmlns="fe035760-d09d-4332-931d-06d8e4aba49f"/>
  </documentManagement>
</p:properties>
</file>

<file path=customXml/item3.xml><?xml version="1.0" encoding="utf-8"?>
<ct:contentTypeSchema xmlns:ct="http://schemas.microsoft.com/office/2006/metadata/contentType" xmlns:ma="http://schemas.microsoft.com/office/2006/metadata/properties/metaAttributes" ct:_="" ma:_="" ma:contentTypeName="Inquiry" ma:contentTypeID="0x0101007916246811615643A710C6FEAFF56A87110100360C14DF2639A3488F66FA8CFB541DEC" ma:contentTypeVersion="13" ma:contentTypeDescription="" ma:contentTypeScope="" ma:versionID="b3a66fa669e356908f63020f4ef8b3bd">
  <xsd:schema xmlns:xsd="http://www.w3.org/2001/XMLSchema" xmlns:xs="http://www.w3.org/2001/XMLSchema" xmlns:p="http://schemas.microsoft.com/office/2006/metadata/properties" xmlns:ns2="3f4bcce7-ac1a-4c9d-aa3e-7e77695652db" xmlns:ns3="8044c801-d84b-4ee1-a77e-678f8dcdee17" xmlns:ns4="fe035760-d09d-4332-931d-06d8e4aba49f" targetNamespace="http://schemas.microsoft.com/office/2006/metadata/properties" ma:root="true" ma:fieldsID="543a1499ff30d885fddfcc37252a5b0f" ns2:_="" ns3:_="" ns4:_="">
    <xsd:import namespace="3f4bcce7-ac1a-4c9d-aa3e-7e77695652db"/>
    <xsd:import namespace="8044c801-d84b-4ee1-a77e-678f8dcdee17"/>
    <xsd:import namespace="fe035760-d09d-4332-931d-06d8e4aba49f"/>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element ref="ns4:Ch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35760-d09d-4332-931d-06d8e4aba49f" elementFormDefault="qualified">
    <xsd:import namespace="http://schemas.microsoft.com/office/2006/documentManagement/types"/>
    <xsd:import namespace="http://schemas.microsoft.com/office/infopath/2007/PartnerControls"/>
    <xsd:element name="ChNo" ma:index="15" nillable="true" ma:displayName="ChNo" ma:list="{f1ccc54f-1e35-4ef1-9662-6734e977c62d}" ma:internalName="ChNo" ma:showField="Ch_x0020_No">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C54E-4895-480D-B7BB-8B69A673B5DF}">
  <ds:schemaRefs>
    <ds:schemaRef ds:uri="Microsoft.SharePoint.Taxonomy.ContentTypeSync"/>
  </ds:schemaRefs>
</ds:datastoreItem>
</file>

<file path=customXml/itemProps2.xml><?xml version="1.0" encoding="utf-8"?>
<ds:datastoreItem xmlns:ds="http://schemas.openxmlformats.org/officeDocument/2006/customXml" ds:itemID="{4CA57DAC-5FA5-41AF-8A0F-BECDA7D87C9F}">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3f4bcce7-ac1a-4c9d-aa3e-7e77695652db"/>
    <ds:schemaRef ds:uri="http://schemas.microsoft.com/office/infopath/2007/PartnerControls"/>
    <ds:schemaRef ds:uri="http://schemas.openxmlformats.org/package/2006/metadata/core-properties"/>
    <ds:schemaRef ds:uri="fe035760-d09d-4332-931d-06d8e4aba49f"/>
    <ds:schemaRef ds:uri="8044c801-d84b-4ee1-a77e-678f8dcdee17"/>
  </ds:schemaRefs>
</ds:datastoreItem>
</file>

<file path=customXml/itemProps3.xml><?xml version="1.0" encoding="utf-8"?>
<ds:datastoreItem xmlns:ds="http://schemas.openxmlformats.org/officeDocument/2006/customXml" ds:itemID="{CFA3044B-7A29-4DB7-A5F3-C8AD64A7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fe035760-d09d-4332-931d-06d8e4aba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5B146-887D-4F0E-A944-F2BAE725650B}">
  <ds:schemaRefs>
    <ds:schemaRef ds:uri="http://schemas.microsoft.com/sharepoint/v3/contenttype/forms"/>
  </ds:schemaRefs>
</ds:datastoreItem>
</file>

<file path=customXml/itemProps5.xml><?xml version="1.0" encoding="utf-8"?>
<ds:datastoreItem xmlns:ds="http://schemas.openxmlformats.org/officeDocument/2006/customXml" ds:itemID="{E423AE43-D887-4B2F-994A-A234A0A5FC0B}">
  <ds:schemaRefs>
    <ds:schemaRef ds:uri="http://schemas.microsoft.com/office/2006/metadata/customXsn"/>
  </ds:schemaRefs>
</ds:datastoreItem>
</file>

<file path=customXml/itemProps6.xml><?xml version="1.0" encoding="utf-8"?>
<ds:datastoreItem xmlns:ds="http://schemas.openxmlformats.org/officeDocument/2006/customXml" ds:itemID="{C890FFF2-60C0-4114-AE3F-997EB0F0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278</TotalTime>
  <Pages>64</Pages>
  <Words>15446</Words>
  <Characters>87432</Characters>
  <Application>Microsoft Office Word</Application>
  <DocSecurity>0</DocSecurity>
  <Lines>3122</Lines>
  <Paragraphs>2143</Paragraphs>
  <ScaleCrop>false</ScaleCrop>
  <HeadingPairs>
    <vt:vector size="2" baseType="variant">
      <vt:variant>
        <vt:lpstr>Title</vt:lpstr>
      </vt:variant>
      <vt:variant>
        <vt:i4>1</vt:i4>
      </vt:variant>
    </vt:vector>
  </HeadingPairs>
  <TitlesOfParts>
    <vt:vector size="1" baseType="lpstr">
      <vt:lpstr>CGE Modelling of Workplace Relations - Technical Supplement - Workplace Relations Framework - Public inquiry</vt:lpstr>
    </vt:vector>
  </TitlesOfParts>
  <Company>Productivity Commission</Company>
  <LinksUpToDate>false</LinksUpToDate>
  <CharactersWithSpaces>100735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CGE Modelling of Workplace Relations - Technical Supplement - Workplace Relations Framework - Public inquiry</dc:title>
  <dc:subject>Report</dc:subject>
  <dc:creator>Productivity Commission</dc:creator>
  <dc:description>1.</dc:description>
  <cp:lastModifiedBy>Michelle Cross</cp:lastModifiedBy>
  <cp:revision>24</cp:revision>
  <cp:lastPrinted>2014-07-13T11:30:00Z</cp:lastPrinted>
  <dcterms:created xsi:type="dcterms:W3CDTF">2016-01-19T04:22:00Z</dcterms:created>
  <dcterms:modified xsi:type="dcterms:W3CDTF">2016-02-08T02:41:00Z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id="f1QLI3NN"/&gt;&lt;style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y fmtid="{D5CDD505-2E9C-101B-9397-08002B2CF9AE}" pid="4" name="ContentTypeId">
    <vt:lpwstr>0x0101007916246811615643A710C6FEAFF56A87110100360C14DF2639A3488F66FA8CFB541DEC</vt:lpwstr>
  </property>
  <property fmtid="{D5CDD505-2E9C-101B-9397-08002B2CF9AE}" pid="5" name="Tags1">
    <vt:lpwstr/>
  </property>
  <property fmtid="{D5CDD505-2E9C-101B-9397-08002B2CF9AE}" pid="6" name="Record_x0020_Tag">
    <vt:lpwstr>286;#Modelling|e0766cc0-ad7c-4a16-93da-099602b25887</vt:lpwstr>
  </property>
  <property fmtid="{D5CDD505-2E9C-101B-9397-08002B2CF9AE}" pid="7" name="Record Tag">
    <vt:lpwstr>286;#Modelling|e0766cc0-ad7c-4a16-93da-099602b25887</vt:lpwstr>
  </property>
</Properties>
</file>