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DFF" w:rsidRDefault="00A41909" w:rsidP="00BF255F">
      <w:pPr>
        <w:pStyle w:val="Heading1"/>
        <w:spacing w:before="0"/>
      </w:pPr>
      <w:bookmarkStart w:id="0" w:name="ChapterTitle"/>
      <w:r>
        <w:t>Productivity</w:t>
      </w:r>
      <w:bookmarkStart w:id="1" w:name="_GoBack"/>
      <w:bookmarkEnd w:id="1"/>
      <w:r>
        <w:t xml:space="preserve"> policies: the ‘to do’ list</w:t>
      </w:r>
      <w:bookmarkEnd w:id="0"/>
      <w:r w:rsidR="00B96B38">
        <w:rPr>
          <w:rStyle w:val="FootnoteReference"/>
        </w:rPr>
        <w:footnoteReference w:id="1"/>
      </w:r>
    </w:p>
    <w:p w:rsidR="00B96B38" w:rsidRPr="00B96B38" w:rsidRDefault="00B96B38" w:rsidP="00B96B38">
      <w:pPr>
        <w:pStyle w:val="BodyText"/>
        <w:jc w:val="center"/>
        <w:rPr>
          <w:sz w:val="32"/>
          <w:szCs w:val="32"/>
        </w:rPr>
      </w:pPr>
      <w:r>
        <w:rPr>
          <w:sz w:val="32"/>
          <w:szCs w:val="32"/>
        </w:rPr>
        <w:t>Gary Banks</w:t>
      </w:r>
      <w:r>
        <w:rPr>
          <w:sz w:val="32"/>
          <w:szCs w:val="32"/>
        </w:rPr>
        <w:br/>
        <w:t>Chairman, Productivity Commission</w:t>
      </w:r>
    </w:p>
    <w:p w:rsidR="00BF255F" w:rsidRDefault="00BF255F" w:rsidP="00BF255F">
      <w:pPr>
        <w:pStyle w:val="Quote"/>
      </w:pPr>
      <w:bookmarkStart w:id="2" w:name="begin"/>
      <w:bookmarkEnd w:id="2"/>
    </w:p>
    <w:p w:rsidR="00DB26D2" w:rsidRDefault="00BF255F" w:rsidP="00DE25A7">
      <w:pPr>
        <w:pStyle w:val="Quote"/>
        <w:ind w:right="567"/>
      </w:pPr>
      <w:r w:rsidRPr="00DE25A7">
        <w:rPr>
          <w:i/>
        </w:rPr>
        <w:t>The Productivity Commission has a long list of things to do. My answer to what we can do about productivity is: go get the list and do</w:t>
      </w:r>
      <w:r w:rsidR="00B827E7" w:rsidRPr="00DE25A7">
        <w:rPr>
          <w:i/>
        </w:rPr>
        <w:t xml:space="preserve"> </w:t>
      </w:r>
      <w:r w:rsidR="008E4354">
        <w:rPr>
          <w:i/>
        </w:rPr>
        <w:t>them.</w:t>
      </w:r>
      <w:r w:rsidR="00A54460">
        <w:t xml:space="preserve"> (Glenn Stevens, June</w:t>
      </w:r>
      <w:r w:rsidR="006009F8">
        <w:t> </w:t>
      </w:r>
      <w:r w:rsidR="00A54460">
        <w:t>2012)</w:t>
      </w:r>
    </w:p>
    <w:p w:rsidR="00F056FC" w:rsidRDefault="00BF255F" w:rsidP="00BF255F">
      <w:pPr>
        <w:pStyle w:val="Heading2"/>
      </w:pPr>
      <w:r>
        <w:t>Introduction</w:t>
      </w:r>
    </w:p>
    <w:p w:rsidR="00BF255F" w:rsidRDefault="00BF255F" w:rsidP="00BF255F">
      <w:pPr>
        <w:pStyle w:val="BodyText"/>
      </w:pPr>
      <w:r>
        <w:t>In the decade and a half since the Productivity Commission was formally established, it has</w:t>
      </w:r>
      <w:r w:rsidR="009D6176">
        <w:t xml:space="preserve"> completed 110</w:t>
      </w:r>
      <w:r>
        <w:t xml:space="preserve"> inquiries and other commissioned studies and made some </w:t>
      </w:r>
      <w:r w:rsidR="009D6176">
        <w:t xml:space="preserve">1500 </w:t>
      </w:r>
      <w:r>
        <w:t>policy recommendations</w:t>
      </w:r>
      <w:r w:rsidR="004C2476" w:rsidRPr="004C2476">
        <w:t xml:space="preserve"> </w:t>
      </w:r>
      <w:r w:rsidR="004C2476">
        <w:t>to governments</w:t>
      </w:r>
      <w:r>
        <w:t>. All of these recommendations were made because the Commission</w:t>
      </w:r>
      <w:r w:rsidR="00E716CB">
        <w:t xml:space="preserve"> judged that their implementation would enhance </w:t>
      </w:r>
      <w:r w:rsidR="004C2476">
        <w:t>Australians’</w:t>
      </w:r>
      <w:r w:rsidR="00E716CB">
        <w:t xml:space="preserve"> living standards </w:t>
      </w:r>
      <w:r w:rsidR="00D501F5">
        <w:t>and</w:t>
      </w:r>
      <w:r w:rsidR="00E716CB">
        <w:t xml:space="preserve"> quality of life. In many cases, </w:t>
      </w:r>
      <w:r w:rsidR="00A54460">
        <w:t>they would do so</w:t>
      </w:r>
      <w:r w:rsidR="00E716CB">
        <w:t xml:space="preserve"> by raising the capacity of Australia’s economy to produce valued goods and services — in other words, by raising its ‘productivity’.</w:t>
      </w:r>
    </w:p>
    <w:p w:rsidR="00E716CB" w:rsidRDefault="00E716CB" w:rsidP="00BF255F">
      <w:pPr>
        <w:pStyle w:val="BodyText"/>
      </w:pPr>
      <w:r>
        <w:t>On a rough reckoning, around two-thirds of the Commission’s recommendations over the years have been accepted and</w:t>
      </w:r>
      <w:r w:rsidR="006B1433">
        <w:t xml:space="preserve"> (more or less) </w:t>
      </w:r>
      <w:r>
        <w:t xml:space="preserve">implemented by </w:t>
      </w:r>
      <w:r w:rsidR="00BC7D8B">
        <w:t xml:space="preserve">governments. </w:t>
      </w:r>
      <w:r w:rsidR="007D6E29">
        <w:t xml:space="preserve">That </w:t>
      </w:r>
      <w:r w:rsidR="00BC7D8B">
        <w:t>is not a bad strike rate</w:t>
      </w:r>
      <w:r>
        <w:t xml:space="preserve">, given that </w:t>
      </w:r>
      <w:r w:rsidR="00C143A5">
        <w:t>our</w:t>
      </w:r>
      <w:r>
        <w:t xml:space="preserve"> reports</w:t>
      </w:r>
      <w:r w:rsidR="00D501F5">
        <w:t xml:space="preserve"> typically</w:t>
      </w:r>
      <w:r>
        <w:t xml:space="preserve"> deal </w:t>
      </w:r>
      <w:r w:rsidR="00A54460">
        <w:t xml:space="preserve">with </w:t>
      </w:r>
      <w:r>
        <w:t>complex</w:t>
      </w:r>
      <w:r w:rsidR="004C2476">
        <w:t xml:space="preserve"> and</w:t>
      </w:r>
      <w:r>
        <w:t xml:space="preserve"> politically contentious areas of public policy, where benefits to the majority can necessitate </w:t>
      </w:r>
      <w:r w:rsidR="00D501F5">
        <w:t>withdrawing</w:t>
      </w:r>
      <w:r>
        <w:t xml:space="preserve"> </w:t>
      </w:r>
      <w:r w:rsidR="00E777A4">
        <w:t>advantages</w:t>
      </w:r>
      <w:r>
        <w:t xml:space="preserve"> from (vocal) minorities. It nevertheless leaves a sizeable residual, to which </w:t>
      </w:r>
      <w:r w:rsidR="00BC7D8B">
        <w:t>Reserve Bank</w:t>
      </w:r>
      <w:r>
        <w:t xml:space="preserve"> Governor </w:t>
      </w:r>
      <w:r w:rsidR="00BC7D8B">
        <w:t>Glenn</w:t>
      </w:r>
      <w:r w:rsidR="00393609">
        <w:t> </w:t>
      </w:r>
      <w:r w:rsidR="00BC7D8B">
        <w:t xml:space="preserve">Stevens </w:t>
      </w:r>
      <w:r>
        <w:t>was no doubt alluding in his much-reported remarks.</w:t>
      </w:r>
      <w:r w:rsidR="00533F06">
        <w:t xml:space="preserve"> Many in the media took him literally though, and were disappointe</w:t>
      </w:r>
      <w:r w:rsidR="00B827E7">
        <w:t>d that the Commission did not in</w:t>
      </w:r>
      <w:r w:rsidR="00A54460">
        <w:t xml:space="preserve"> fact have </w:t>
      </w:r>
      <w:r w:rsidR="00C143A5">
        <w:t>a</w:t>
      </w:r>
      <w:r w:rsidR="00533F06">
        <w:t xml:space="preserve"> ‘lis</w:t>
      </w:r>
      <w:r w:rsidR="00731AFE">
        <w:t xml:space="preserve">t’ at the ready. </w:t>
      </w:r>
    </w:p>
    <w:p w:rsidR="00926663" w:rsidRDefault="00675349" w:rsidP="00B0760B">
      <w:pPr>
        <w:pStyle w:val="BodyText"/>
      </w:pPr>
      <w:r>
        <w:t xml:space="preserve">Many </w:t>
      </w:r>
      <w:r w:rsidR="00C143A5">
        <w:t>of the unimplemented</w:t>
      </w:r>
      <w:r w:rsidR="006B1433">
        <w:t xml:space="preserve"> </w:t>
      </w:r>
      <w:r>
        <w:t xml:space="preserve">recommendations from past </w:t>
      </w:r>
      <w:r w:rsidR="003B4B75">
        <w:t xml:space="preserve">reports remain </w:t>
      </w:r>
      <w:r w:rsidR="00C143A5">
        <w:t xml:space="preserve">directly </w:t>
      </w:r>
      <w:r w:rsidR="003B4B75">
        <w:t>applicable today</w:t>
      </w:r>
      <w:r w:rsidR="007D6E29">
        <w:t xml:space="preserve">, </w:t>
      </w:r>
      <w:r w:rsidR="003B4B75">
        <w:t>b</w:t>
      </w:r>
      <w:r>
        <w:t xml:space="preserve">ut </w:t>
      </w:r>
      <w:r w:rsidR="00E777A4">
        <w:t xml:space="preserve">others </w:t>
      </w:r>
      <w:r w:rsidR="00AF747C">
        <w:t>do not.</w:t>
      </w:r>
      <w:r>
        <w:t xml:space="preserve"> A fair number have been overtaken by subsequent </w:t>
      </w:r>
      <w:r w:rsidR="006B1433">
        <w:t xml:space="preserve">changes to the policy in question or in </w:t>
      </w:r>
      <w:r w:rsidR="004C2476">
        <w:t xml:space="preserve">related </w:t>
      </w:r>
      <w:r w:rsidR="006B1433">
        <w:t xml:space="preserve">areas, changing the ‘context’ from </w:t>
      </w:r>
      <w:r w:rsidR="00DD2976">
        <w:t xml:space="preserve">what it was </w:t>
      </w:r>
      <w:r w:rsidR="006B1433">
        <w:t>when the recommendation</w:t>
      </w:r>
      <w:r w:rsidR="00926663">
        <w:t>s</w:t>
      </w:r>
      <w:r w:rsidR="006B1433">
        <w:t xml:space="preserve"> w</w:t>
      </w:r>
      <w:r w:rsidR="00D4359F">
        <w:t>ere</w:t>
      </w:r>
      <w:r w:rsidR="006B1433">
        <w:t xml:space="preserve"> framed.</w:t>
      </w:r>
      <w:r>
        <w:t xml:space="preserve"> The more detailed </w:t>
      </w:r>
      <w:r w:rsidR="0006278A">
        <w:t xml:space="preserve">or distant </w:t>
      </w:r>
      <w:r>
        <w:t>the recommendation</w:t>
      </w:r>
      <w:r w:rsidR="006B1433">
        <w:t>,</w:t>
      </w:r>
      <w:r>
        <w:t xml:space="preserve"> the more likely that this </w:t>
      </w:r>
      <w:r w:rsidR="00AF747C">
        <w:t>will</w:t>
      </w:r>
      <w:r>
        <w:t xml:space="preserve"> be an issue. </w:t>
      </w:r>
    </w:p>
    <w:p w:rsidR="00D501F5" w:rsidRDefault="007D6E29" w:rsidP="00B0760B">
      <w:pPr>
        <w:pStyle w:val="BodyText"/>
      </w:pPr>
      <w:r>
        <w:lastRenderedPageBreak/>
        <w:t>The upshot is that d</w:t>
      </w:r>
      <w:r w:rsidR="00675349">
        <w:t>evising a list of those recommendations that remain</w:t>
      </w:r>
      <w:r w:rsidR="003B4B75">
        <w:t xml:space="preserve"> </w:t>
      </w:r>
      <w:r w:rsidR="00675349">
        <w:t xml:space="preserve">valid — passing the dual tests of delivering net benefits and being superior to alternative </w:t>
      </w:r>
      <w:r>
        <w:t xml:space="preserve">policy </w:t>
      </w:r>
      <w:r w:rsidR="00675349">
        <w:t xml:space="preserve">options — would generally require at least some </w:t>
      </w:r>
      <w:r w:rsidR="00AF747C">
        <w:t>re</w:t>
      </w:r>
      <w:r w:rsidR="00675349">
        <w:t xml:space="preserve">consideration of the broader settings. </w:t>
      </w:r>
      <w:r w:rsidR="006B1433">
        <w:t>While t</w:t>
      </w:r>
      <w:r w:rsidR="00675349">
        <w:t xml:space="preserve">hat may not always be </w:t>
      </w:r>
      <w:r w:rsidR="00AF747C">
        <w:t>s</w:t>
      </w:r>
      <w:r w:rsidR="00675349">
        <w:t>traight forward</w:t>
      </w:r>
      <w:r w:rsidR="00AF747C">
        <w:t>, it c</w:t>
      </w:r>
      <w:r w:rsidR="006B1433">
        <w:t>an</w:t>
      </w:r>
      <w:r w:rsidR="00AF747C">
        <w:t xml:space="preserve"> of course be done.</w:t>
      </w:r>
      <w:r w:rsidR="00675349">
        <w:t xml:space="preserve"> </w:t>
      </w:r>
      <w:r w:rsidR="00AF747C">
        <w:t>T</w:t>
      </w:r>
      <w:r w:rsidR="00675349">
        <w:t>he reason</w:t>
      </w:r>
      <w:r w:rsidR="00626510">
        <w:t>s</w:t>
      </w:r>
      <w:r w:rsidR="00675349">
        <w:t xml:space="preserve"> why the Commission </w:t>
      </w:r>
      <w:r w:rsidR="006B1433">
        <w:t>has</w:t>
      </w:r>
      <w:r w:rsidR="00675349">
        <w:t xml:space="preserve"> not </w:t>
      </w:r>
      <w:r w:rsidR="00C143A5">
        <w:t xml:space="preserve">actively </w:t>
      </w:r>
      <w:r w:rsidR="00675349">
        <w:t>maintain</w:t>
      </w:r>
      <w:r w:rsidR="006B1433">
        <w:t>ed</w:t>
      </w:r>
      <w:r w:rsidR="00675349">
        <w:t xml:space="preserve"> a list </w:t>
      </w:r>
      <w:r w:rsidR="00E777A4">
        <w:t xml:space="preserve">of this kind </w:t>
      </w:r>
      <w:r w:rsidR="00675349">
        <w:t xml:space="preserve">have more to do with </w:t>
      </w:r>
      <w:r w:rsidR="00D501F5">
        <w:t>what might be called institutional propriety. Having sought the Comm</w:t>
      </w:r>
      <w:r w:rsidR="00E777A4">
        <w:t>ission’s independent</w:t>
      </w:r>
      <w:r w:rsidR="00E23588">
        <w:t xml:space="preserve"> advice on </w:t>
      </w:r>
      <w:r w:rsidR="00D501F5">
        <w:t xml:space="preserve">significant (and </w:t>
      </w:r>
      <w:r w:rsidR="007F1ED1">
        <w:t>f</w:t>
      </w:r>
      <w:r w:rsidR="00675349">
        <w:t>requently</w:t>
      </w:r>
      <w:r w:rsidR="00D501F5">
        <w:t xml:space="preserve"> contentious) area</w:t>
      </w:r>
      <w:r w:rsidR="00E777A4">
        <w:t>s</w:t>
      </w:r>
      <w:r w:rsidR="00D501F5">
        <w:t xml:space="preserve"> of public policy, once an elected government decides for whatever reason not to accept that advice, it would be </w:t>
      </w:r>
      <w:r w:rsidR="006569ED">
        <w:t xml:space="preserve">considered </w:t>
      </w:r>
      <w:r w:rsidR="00D501F5">
        <w:t xml:space="preserve">poor form for the Commission effectively to continue treating </w:t>
      </w:r>
      <w:r w:rsidR="00E777A4">
        <w:t>these as</w:t>
      </w:r>
      <w:r w:rsidR="00D501F5">
        <w:t xml:space="preserve"> ‘live’ issue</w:t>
      </w:r>
      <w:r w:rsidR="00E777A4">
        <w:t>s</w:t>
      </w:r>
      <w:r w:rsidR="00D501F5">
        <w:t xml:space="preserve">. </w:t>
      </w:r>
    </w:p>
    <w:p w:rsidR="00C94878" w:rsidRDefault="00C94878" w:rsidP="00C94878">
      <w:pPr>
        <w:pStyle w:val="Heading4"/>
      </w:pPr>
      <w:r>
        <w:t>Lists from the past</w:t>
      </w:r>
    </w:p>
    <w:p w:rsidR="000F5CCA" w:rsidRDefault="000D1035" w:rsidP="00B0760B">
      <w:pPr>
        <w:pStyle w:val="BodyText"/>
      </w:pPr>
      <w:r>
        <w:t xml:space="preserve">That is not to say that </w:t>
      </w:r>
      <w:r w:rsidR="00D27043">
        <w:t>constructing lists</w:t>
      </w:r>
      <w:r>
        <w:t xml:space="preserve"> </w:t>
      </w:r>
      <w:r w:rsidR="00D501F5">
        <w:t>that include</w:t>
      </w:r>
      <w:r w:rsidR="00955FD4">
        <w:t xml:space="preserve"> previously neglected</w:t>
      </w:r>
      <w:r w:rsidR="008E50EF">
        <w:t>,</w:t>
      </w:r>
      <w:r w:rsidR="00955FD4">
        <w:t xml:space="preserve"> </w:t>
      </w:r>
      <w:r w:rsidR="00D27043">
        <w:t>but still relevant</w:t>
      </w:r>
      <w:r w:rsidR="008E50EF">
        <w:t>,</w:t>
      </w:r>
      <w:r w:rsidR="00D27043">
        <w:t xml:space="preserve"> </w:t>
      </w:r>
      <w:r w:rsidR="00955FD4">
        <w:t xml:space="preserve">reform opportunities </w:t>
      </w:r>
      <w:r w:rsidR="008E50EF">
        <w:t>is never</w:t>
      </w:r>
      <w:r>
        <w:t xml:space="preserve"> </w:t>
      </w:r>
      <w:r w:rsidR="00D501F5">
        <w:t xml:space="preserve">appropriate or </w:t>
      </w:r>
      <w:r>
        <w:t>worthwhile</w:t>
      </w:r>
      <w:r w:rsidR="00D501F5">
        <w:t>.</w:t>
      </w:r>
      <w:r>
        <w:t xml:space="preserve"> </w:t>
      </w:r>
      <w:r w:rsidR="00D501F5">
        <w:t>I</w:t>
      </w:r>
      <w:r>
        <w:t>ndeed</w:t>
      </w:r>
      <w:r w:rsidR="00EE71D1">
        <w:t>,</w:t>
      </w:r>
      <w:r>
        <w:t xml:space="preserve"> </w:t>
      </w:r>
      <w:r w:rsidR="00EE71D1">
        <w:t xml:space="preserve">at times, </w:t>
      </w:r>
      <w:r>
        <w:t xml:space="preserve">the Commission has been asked to do </w:t>
      </w:r>
      <w:r w:rsidR="00361236">
        <w:t>just that</w:t>
      </w:r>
      <w:r>
        <w:t xml:space="preserve">. </w:t>
      </w:r>
      <w:r w:rsidR="00955FD4">
        <w:t xml:space="preserve">The first instance occurred </w:t>
      </w:r>
      <w:r w:rsidR="00D501F5">
        <w:t>while</w:t>
      </w:r>
      <w:r w:rsidR="00955FD4">
        <w:t xml:space="preserve"> the Productivity Commission</w:t>
      </w:r>
      <w:r w:rsidR="00D501F5">
        <w:t>’s</w:t>
      </w:r>
      <w:r w:rsidR="00955FD4">
        <w:t xml:space="preserve"> </w:t>
      </w:r>
      <w:r w:rsidR="00D501F5">
        <w:t>enabling legislation was still before the Parliament</w:t>
      </w:r>
      <w:r w:rsidR="00955FD4">
        <w:t xml:space="preserve">, with the interim organisation </w:t>
      </w:r>
      <w:r w:rsidR="00EE71D1">
        <w:t xml:space="preserve">directed to </w:t>
      </w:r>
      <w:r w:rsidR="00955FD4">
        <w:t>produc</w:t>
      </w:r>
      <w:r w:rsidR="00EE71D1">
        <w:t>e</w:t>
      </w:r>
      <w:r w:rsidR="00955FD4">
        <w:t xml:space="preserve"> a </w:t>
      </w:r>
      <w:r w:rsidR="00361236">
        <w:rPr>
          <w:i/>
        </w:rPr>
        <w:t>S</w:t>
      </w:r>
      <w:r>
        <w:rPr>
          <w:i/>
        </w:rPr>
        <w:t xml:space="preserve">tocktake of </w:t>
      </w:r>
      <w:r w:rsidR="00C94878">
        <w:rPr>
          <w:i/>
        </w:rPr>
        <w:t>M</w:t>
      </w:r>
      <w:r>
        <w:rPr>
          <w:i/>
        </w:rPr>
        <w:t xml:space="preserve">icroeconomic </w:t>
      </w:r>
      <w:r w:rsidR="00C94878">
        <w:rPr>
          <w:i/>
        </w:rPr>
        <w:t>R</w:t>
      </w:r>
      <w:r>
        <w:rPr>
          <w:i/>
        </w:rPr>
        <w:t>eform</w:t>
      </w:r>
      <w:r w:rsidR="00A65A4B">
        <w:rPr>
          <w:i/>
        </w:rPr>
        <w:t>s</w:t>
      </w:r>
      <w:r w:rsidR="00FA2403">
        <w:t xml:space="preserve"> (PC</w:t>
      </w:r>
      <w:r w:rsidR="00645369">
        <w:t xml:space="preserve"> 1996). T</w:t>
      </w:r>
      <w:r w:rsidR="00955FD4">
        <w:t>his</w:t>
      </w:r>
      <w:r>
        <w:t xml:space="preserve"> contained </w:t>
      </w:r>
      <w:r w:rsidR="00235B9B">
        <w:t>over 120</w:t>
      </w:r>
      <w:r w:rsidR="005E5E8A" w:rsidRPr="009B043E">
        <w:rPr>
          <w:color w:val="FF0000"/>
        </w:rPr>
        <w:t xml:space="preserve"> </w:t>
      </w:r>
      <w:r w:rsidR="005E5E8A">
        <w:t>recommendations</w:t>
      </w:r>
      <w:r w:rsidR="00955FD4">
        <w:t xml:space="preserve"> across such diverse policy areas as labour markets, economic infrastructure, competition policy, social services, taxation and industry assistance.</w:t>
      </w:r>
      <w:r w:rsidR="005E5E8A">
        <w:t xml:space="preserve"> These set the scene for a range of reforms </w:t>
      </w:r>
      <w:r w:rsidR="009B043E">
        <w:t>and</w:t>
      </w:r>
      <w:r w:rsidR="005E5E8A">
        <w:t xml:space="preserve"> more detailed </w:t>
      </w:r>
      <w:r w:rsidR="00361236">
        <w:t>follow</w:t>
      </w:r>
      <w:r w:rsidR="00D503C7">
        <w:t>-</w:t>
      </w:r>
      <w:r w:rsidR="00361236">
        <w:t xml:space="preserve">up </w:t>
      </w:r>
      <w:r w:rsidR="005E5E8A">
        <w:t>reviews</w:t>
      </w:r>
      <w:r w:rsidR="008246D1">
        <w:t>.</w:t>
      </w:r>
      <w:r w:rsidR="005E5E8A">
        <w:t xml:space="preserve"> </w:t>
      </w:r>
      <w:r w:rsidR="008246D1">
        <w:t>The Commission’s next major agenda</w:t>
      </w:r>
      <w:r w:rsidR="00D503C7">
        <w:t>-</w:t>
      </w:r>
      <w:r w:rsidR="008246D1">
        <w:t xml:space="preserve">setting report was its 2005 </w:t>
      </w:r>
      <w:r w:rsidR="008246D1">
        <w:rPr>
          <w:i/>
        </w:rPr>
        <w:t>Review of National Competition Policy</w:t>
      </w:r>
      <w:r w:rsidR="00E23588">
        <w:t xml:space="preserve"> (PC </w:t>
      </w:r>
      <w:proofErr w:type="spellStart"/>
      <w:r w:rsidR="00645369">
        <w:t>2005</w:t>
      </w:r>
      <w:r w:rsidR="0062743E">
        <w:t>a</w:t>
      </w:r>
      <w:proofErr w:type="spellEnd"/>
      <w:r w:rsidR="00645369">
        <w:t>)</w:t>
      </w:r>
      <w:r w:rsidR="00E662C5">
        <w:t>,</w:t>
      </w:r>
      <w:r w:rsidR="00645369">
        <w:t xml:space="preserve"> </w:t>
      </w:r>
      <w:r w:rsidR="008246D1">
        <w:t xml:space="preserve">which charted </w:t>
      </w:r>
      <w:r w:rsidR="00955FD4">
        <w:t>reform</w:t>
      </w:r>
      <w:r w:rsidR="008246D1">
        <w:t xml:space="preserve"> </w:t>
      </w:r>
      <w:r w:rsidR="00634F09">
        <w:t>directions</w:t>
      </w:r>
      <w:r w:rsidR="00955FD4">
        <w:t xml:space="preserve"> for </w:t>
      </w:r>
      <w:r w:rsidR="00634F09">
        <w:t>Australia</w:t>
      </w:r>
      <w:r w:rsidR="005E42F8">
        <w:t xml:space="preserve"> </w:t>
      </w:r>
      <w:r w:rsidR="00634F09">
        <w:t>extending</w:t>
      </w:r>
      <w:r w:rsidR="008246D1">
        <w:t xml:space="preserve"> well beyond the comp</w:t>
      </w:r>
      <w:r w:rsidR="00361236">
        <w:t>etition</w:t>
      </w:r>
      <w:r w:rsidR="008246D1">
        <w:t xml:space="preserve"> domain, </w:t>
      </w:r>
      <w:r w:rsidR="000F5CCA">
        <w:t>and</w:t>
      </w:r>
      <w:r w:rsidR="008246D1">
        <w:t xml:space="preserve"> was the precursor to </w:t>
      </w:r>
      <w:proofErr w:type="spellStart"/>
      <w:r w:rsidR="008246D1">
        <w:t>COAG’s</w:t>
      </w:r>
      <w:proofErr w:type="spellEnd"/>
      <w:r w:rsidR="008246D1">
        <w:t xml:space="preserve"> (ongoing)</w:t>
      </w:r>
      <w:r w:rsidR="00D503C7">
        <w:t xml:space="preserve"> National Reform Agenda.</w:t>
      </w:r>
    </w:p>
    <w:p w:rsidR="00B0760B" w:rsidRDefault="009B043E" w:rsidP="00B0760B">
      <w:pPr>
        <w:pStyle w:val="BodyText"/>
      </w:pPr>
      <w:r>
        <w:t>On the issue of</w:t>
      </w:r>
      <w:r w:rsidR="00BA4CDA">
        <w:t xml:space="preserve"> regulatory ‘red tape’</w:t>
      </w:r>
      <w:r w:rsidR="00C94878">
        <w:t>,</w:t>
      </w:r>
      <w:r w:rsidR="00BA4CDA">
        <w:t xml:space="preserve"> </w:t>
      </w:r>
      <w:r w:rsidR="00112E71">
        <w:t xml:space="preserve">the Commission has put forward </w:t>
      </w:r>
      <w:r w:rsidR="007F1ED1">
        <w:t>wide</w:t>
      </w:r>
      <w:r w:rsidR="007F1ED1">
        <w:noBreakHyphen/>
        <w:t xml:space="preserve">ranging </w:t>
      </w:r>
      <w:r>
        <w:t xml:space="preserve">lists of reforms </w:t>
      </w:r>
      <w:r w:rsidR="00BA4CDA">
        <w:t xml:space="preserve">in </w:t>
      </w:r>
      <w:r w:rsidR="00112E71">
        <w:t xml:space="preserve">its </w:t>
      </w:r>
      <w:r w:rsidR="008A7639">
        <w:t xml:space="preserve">series of </w:t>
      </w:r>
      <w:r w:rsidR="008A7639">
        <w:rPr>
          <w:i/>
        </w:rPr>
        <w:t>Stocktakes of Regulatory Burdens</w:t>
      </w:r>
      <w:r w:rsidR="005B63E6">
        <w:t xml:space="preserve"> </w:t>
      </w:r>
      <w:r w:rsidR="008A7639">
        <w:t xml:space="preserve">and its </w:t>
      </w:r>
      <w:r w:rsidR="008A7639" w:rsidRPr="00DE25A7">
        <w:rPr>
          <w:i/>
        </w:rPr>
        <w:t>Regulatory Benchmarking</w:t>
      </w:r>
      <w:r w:rsidR="008A7639">
        <w:t xml:space="preserve"> studies for</w:t>
      </w:r>
      <w:r w:rsidR="00361236">
        <w:t xml:space="preserve"> COAG.</w:t>
      </w:r>
      <w:r w:rsidR="000F5CCA">
        <w:t xml:space="preserve"> And currently the Productivity Commission is engaged in a joint scoping study with its New Zealand namesake to develop a </w:t>
      </w:r>
      <w:r w:rsidR="007F1ED1">
        <w:t xml:space="preserve">comprehensive </w:t>
      </w:r>
      <w:r w:rsidR="006C6DA2">
        <w:t xml:space="preserve">agenda for </w:t>
      </w:r>
      <w:r w:rsidR="00112E71">
        <w:t xml:space="preserve">further </w:t>
      </w:r>
      <w:r w:rsidR="006569ED">
        <w:t>t</w:t>
      </w:r>
      <w:r w:rsidR="006C6DA2">
        <w:t>rans-</w:t>
      </w:r>
      <w:r w:rsidR="000F5CCA">
        <w:t xml:space="preserve">Tasman integration, much of which involves previously traversed </w:t>
      </w:r>
      <w:r>
        <w:t xml:space="preserve">reform </w:t>
      </w:r>
      <w:r w:rsidR="00FA2403">
        <w:t>areas (</w:t>
      </w:r>
      <w:proofErr w:type="spellStart"/>
      <w:r w:rsidR="00FA2403">
        <w:t>APC</w:t>
      </w:r>
      <w:proofErr w:type="spellEnd"/>
      <w:r w:rsidR="00FA2403">
        <w:t xml:space="preserve"> and </w:t>
      </w:r>
      <w:proofErr w:type="spellStart"/>
      <w:r w:rsidR="00FA2403">
        <w:t>NZPC</w:t>
      </w:r>
      <w:proofErr w:type="spellEnd"/>
      <w:r w:rsidR="00645369">
        <w:t xml:space="preserve"> 2012).</w:t>
      </w:r>
    </w:p>
    <w:p w:rsidR="00901F01" w:rsidRDefault="00FC7CF9" w:rsidP="00B0760B">
      <w:pPr>
        <w:pStyle w:val="BodyText"/>
      </w:pPr>
      <w:r>
        <w:t>Also</w:t>
      </w:r>
      <w:r w:rsidR="00901F01">
        <w:t xml:space="preserve">, </w:t>
      </w:r>
      <w:r w:rsidR="009B043E">
        <w:t xml:space="preserve">as </w:t>
      </w:r>
      <w:r w:rsidR="00E12399">
        <w:t xml:space="preserve">the </w:t>
      </w:r>
      <w:r w:rsidR="009B043E">
        <w:t>Commission</w:t>
      </w:r>
      <w:r w:rsidR="00E12399">
        <w:t>’s</w:t>
      </w:r>
      <w:r w:rsidR="009B043E">
        <w:t xml:space="preserve"> Chairman, </w:t>
      </w:r>
      <w:r w:rsidR="004F2C59">
        <w:t>part of my role over the years has been to make</w:t>
      </w:r>
      <w:r w:rsidR="00645369">
        <w:t xml:space="preserve"> speeches at </w:t>
      </w:r>
      <w:r w:rsidR="00901F01">
        <w:t xml:space="preserve">national forums </w:t>
      </w:r>
      <w:r w:rsidR="009B043E">
        <w:t>such as this</w:t>
      </w:r>
      <w:r w:rsidR="006E5E2D">
        <w:t>,</w:t>
      </w:r>
      <w:r w:rsidR="00901F01">
        <w:t xml:space="preserve"> highlight</w:t>
      </w:r>
      <w:r w:rsidR="006E5E2D">
        <w:t>ing</w:t>
      </w:r>
      <w:r w:rsidR="00901F01">
        <w:t xml:space="preserve"> reform themes and policy agendas </w:t>
      </w:r>
      <w:r w:rsidR="005603E2">
        <w:t>emanating</w:t>
      </w:r>
      <w:r w:rsidR="00901F01">
        <w:t xml:space="preserve"> from </w:t>
      </w:r>
      <w:r w:rsidR="00BD2ECD">
        <w:t>our</w:t>
      </w:r>
      <w:r>
        <w:t xml:space="preserve"> </w:t>
      </w:r>
      <w:r w:rsidR="006C6DA2">
        <w:t>work</w:t>
      </w:r>
      <w:r w:rsidR="00EA591C">
        <w:t xml:space="preserve"> (Banks </w:t>
      </w:r>
      <w:proofErr w:type="spellStart"/>
      <w:r w:rsidR="00EA591C">
        <w:t>2010a</w:t>
      </w:r>
      <w:proofErr w:type="spellEnd"/>
      <w:r w:rsidR="00EA591C">
        <w:t xml:space="preserve">, </w:t>
      </w:r>
      <w:proofErr w:type="spellStart"/>
      <w:r w:rsidR="00EA591C">
        <w:t>2011a</w:t>
      </w:r>
      <w:proofErr w:type="spellEnd"/>
      <w:r w:rsidR="00EA591C">
        <w:t xml:space="preserve">, 2012). </w:t>
      </w:r>
      <w:r w:rsidR="007E7D37">
        <w:t>That includes</w:t>
      </w:r>
      <w:r w:rsidR="00645369">
        <w:t xml:space="preserve"> </w:t>
      </w:r>
      <w:r w:rsidR="005603E2">
        <w:t>proposals</w:t>
      </w:r>
      <w:r w:rsidR="00901F01">
        <w:t xml:space="preserve"> from past reports </w:t>
      </w:r>
      <w:r w:rsidR="00645369">
        <w:t>with</w:t>
      </w:r>
      <w:r w:rsidR="00901F01">
        <w:t xml:space="preserve"> enduring </w:t>
      </w:r>
      <w:r>
        <w:t xml:space="preserve">policy </w:t>
      </w:r>
      <w:r w:rsidR="00901F01">
        <w:t>relevance</w:t>
      </w:r>
      <w:r w:rsidR="00EA591C">
        <w:t>.</w:t>
      </w:r>
      <w:r w:rsidR="00645369">
        <w:t xml:space="preserve"> </w:t>
      </w:r>
      <w:r>
        <w:t xml:space="preserve">In view of the </w:t>
      </w:r>
      <w:r w:rsidR="00BC559F">
        <w:t>evident interest in such lists</w:t>
      </w:r>
      <w:r w:rsidR="00901F01">
        <w:t>,</w:t>
      </w:r>
      <w:r w:rsidR="009B043E">
        <w:t xml:space="preserve"> and the ongoing debate about what really matters for productivity growth,</w:t>
      </w:r>
      <w:r w:rsidR="00901F01">
        <w:t xml:space="preserve"> I propose doing so again today — </w:t>
      </w:r>
      <w:r w:rsidR="009B043E">
        <w:t>the</w:t>
      </w:r>
      <w:r w:rsidR="00901F01">
        <w:t xml:space="preserve"> last </w:t>
      </w:r>
      <w:r w:rsidR="009B043E">
        <w:t xml:space="preserve">such </w:t>
      </w:r>
      <w:r w:rsidR="00901F01">
        <w:t xml:space="preserve">opportunity </w:t>
      </w:r>
      <w:r w:rsidR="009B043E">
        <w:t xml:space="preserve">in my current </w:t>
      </w:r>
      <w:r w:rsidR="007E7D37">
        <w:t>job</w:t>
      </w:r>
      <w:r w:rsidR="009B043E">
        <w:t>.</w:t>
      </w:r>
    </w:p>
    <w:p w:rsidR="00901F01" w:rsidRPr="00943C69" w:rsidRDefault="00901F01" w:rsidP="00943C69">
      <w:pPr>
        <w:pStyle w:val="Heading3"/>
      </w:pPr>
      <w:r w:rsidRPr="00943C69">
        <w:lastRenderedPageBreak/>
        <w:t>Why productivity is important (once again)</w:t>
      </w:r>
    </w:p>
    <w:p w:rsidR="00901F01" w:rsidRDefault="00901F01" w:rsidP="00901F01">
      <w:pPr>
        <w:pStyle w:val="BodyText"/>
      </w:pPr>
      <w:r>
        <w:t xml:space="preserve">Back in 1996 when the incoming government amalgamated the Industry Commission, </w:t>
      </w:r>
      <w:proofErr w:type="spellStart"/>
      <w:r>
        <w:t>EPAC</w:t>
      </w:r>
      <w:proofErr w:type="spellEnd"/>
      <w:r>
        <w:t xml:space="preserve"> and </w:t>
      </w:r>
      <w:proofErr w:type="spellStart"/>
      <w:r>
        <w:t>BIE</w:t>
      </w:r>
      <w:proofErr w:type="spellEnd"/>
      <w:r>
        <w:t xml:space="preserve"> to form </w:t>
      </w:r>
      <w:r w:rsidR="001244EA">
        <w:t>the present</w:t>
      </w:r>
      <w:r w:rsidR="003B5BE8">
        <w:t xml:space="preserve"> organisati</w:t>
      </w:r>
      <w:r w:rsidR="00A75B7B">
        <w:t xml:space="preserve">on, </w:t>
      </w:r>
      <w:r w:rsidR="00C94878">
        <w:t>some</w:t>
      </w:r>
      <w:r w:rsidR="00A75B7B">
        <w:t xml:space="preserve"> expressed puzzlement</w:t>
      </w:r>
      <w:r w:rsidR="003B5BE8">
        <w:t xml:space="preserve"> at the name chosen for it. ‘</w:t>
      </w:r>
      <w:r w:rsidR="00A75B7B">
        <w:t>Good idea, but w</w:t>
      </w:r>
      <w:r w:rsidR="003B5BE8">
        <w:t xml:space="preserve">hy call it the </w:t>
      </w:r>
      <w:r w:rsidR="003B5BE8" w:rsidRPr="00195E01">
        <w:rPr>
          <w:i/>
        </w:rPr>
        <w:t>Productivity</w:t>
      </w:r>
      <w:r w:rsidR="003B5BE8" w:rsidRPr="00A75B7B">
        <w:t xml:space="preserve"> Commission?</w:t>
      </w:r>
      <w:r w:rsidR="003B5BE8">
        <w:t xml:space="preserve">’ </w:t>
      </w:r>
      <w:r w:rsidR="009B043E">
        <w:t>more than one person asked me</w:t>
      </w:r>
      <w:r w:rsidR="003B5BE8">
        <w:t xml:space="preserve">. </w:t>
      </w:r>
      <w:r w:rsidR="00A75B7B">
        <w:t>None</w:t>
      </w:r>
      <w:r w:rsidR="003B5BE8">
        <w:t xml:space="preserve"> of the doubters were business people, however, </w:t>
      </w:r>
      <w:r w:rsidR="00195E01">
        <w:t xml:space="preserve">who </w:t>
      </w:r>
      <w:r w:rsidR="001244EA">
        <w:t xml:space="preserve">would have </w:t>
      </w:r>
      <w:r w:rsidR="009B043E">
        <w:t>appreciated the role</w:t>
      </w:r>
      <w:r w:rsidR="00C94878">
        <w:t xml:space="preserve"> that productivity played</w:t>
      </w:r>
      <w:r w:rsidR="003B5BE8">
        <w:t xml:space="preserve"> in </w:t>
      </w:r>
      <w:r w:rsidR="00766564">
        <w:t>their own</w:t>
      </w:r>
      <w:r w:rsidR="00C94878">
        <w:t xml:space="preserve"> enterprise</w:t>
      </w:r>
      <w:r w:rsidR="003B5BE8">
        <w:t>s</w:t>
      </w:r>
      <w:r w:rsidR="00195E01">
        <w:t>.</w:t>
      </w:r>
    </w:p>
    <w:p w:rsidR="00195E01" w:rsidRDefault="00224456" w:rsidP="00901F01">
      <w:pPr>
        <w:pStyle w:val="BodyText"/>
      </w:pPr>
      <w:r>
        <w:t>Community groups have had more difficulty seeing why productivity matters</w:t>
      </w:r>
      <w:r w:rsidR="006D00C5">
        <w:t>,</w:t>
      </w:r>
      <w:r>
        <w:t xml:space="preserve"> and labour unions have traditionally been suspicious of it as providing cover for job cuts or reductions in wages and conditions. A </w:t>
      </w:r>
      <w:r w:rsidR="00A75B7B">
        <w:t>breakthrough occurred in</w:t>
      </w:r>
      <w:r w:rsidR="003B5BE8">
        <w:t xml:space="preserve"> the</w:t>
      </w:r>
      <w:r w:rsidR="00A75B7B">
        <w:t xml:space="preserve"> Accord</w:t>
      </w:r>
      <w:r w:rsidR="00C13192">
        <w:t xml:space="preserve"> </w:t>
      </w:r>
      <w:r w:rsidR="003B5BE8">
        <w:t xml:space="preserve">years, when </w:t>
      </w:r>
      <w:r w:rsidR="00A75B7B">
        <w:t xml:space="preserve">national </w:t>
      </w:r>
      <w:r w:rsidR="003B5BE8">
        <w:t>wage increases were directly linked to productivity gains.</w:t>
      </w:r>
      <w:r w:rsidR="00195E01">
        <w:t xml:space="preserve"> </w:t>
      </w:r>
      <w:r w:rsidR="00A75B7B">
        <w:t>And this new attitude w</w:t>
      </w:r>
      <w:r w:rsidR="00655046">
        <w:t>a</w:t>
      </w:r>
      <w:r w:rsidR="00A75B7B">
        <w:t>s sustained through the move to</w:t>
      </w:r>
      <w:r w:rsidR="00655046">
        <w:t xml:space="preserve"> enterprise bargaining and the advent of National Competition Policy. But some</w:t>
      </w:r>
      <w:r w:rsidR="003B5BE8">
        <w:t xml:space="preserve"> ambivalence </w:t>
      </w:r>
      <w:r w:rsidR="00195E01">
        <w:t>appears to have</w:t>
      </w:r>
      <w:r w:rsidR="003B5BE8">
        <w:t xml:space="preserve"> re-emerged</w:t>
      </w:r>
      <w:r w:rsidR="00EC5C38">
        <w:t xml:space="preserve">. </w:t>
      </w:r>
    </w:p>
    <w:p w:rsidR="00AB267D" w:rsidRDefault="00AB267D" w:rsidP="00AB267D">
      <w:pPr>
        <w:pStyle w:val="Heading4"/>
      </w:pPr>
      <w:r>
        <w:t>Productivity’s</w:t>
      </w:r>
      <w:r w:rsidR="00BC5A2F">
        <w:t xml:space="preserve"> real</w:t>
      </w:r>
      <w:r>
        <w:t xml:space="preserve"> contribution</w:t>
      </w:r>
    </w:p>
    <w:p w:rsidR="003B5BE8" w:rsidRDefault="00EC5C38" w:rsidP="00901F01">
      <w:pPr>
        <w:pStyle w:val="BodyText"/>
      </w:pPr>
      <w:r>
        <w:t>One possible explanation</w:t>
      </w:r>
      <w:r w:rsidR="003B5BE8">
        <w:t xml:space="preserve"> is that </w:t>
      </w:r>
      <w:r w:rsidR="0036224B">
        <w:t>much</w:t>
      </w:r>
      <w:r w:rsidR="00F149D4">
        <w:t xml:space="preserve"> of the rhetoric around productivity </w:t>
      </w:r>
      <w:r>
        <w:t xml:space="preserve">today </w:t>
      </w:r>
      <w:r w:rsidR="00F149D4">
        <w:t xml:space="preserve">treats it </w:t>
      </w:r>
      <w:r w:rsidR="003B5BE8">
        <w:t xml:space="preserve">as if it were a policy objective in its own right. That is wrong and can </w:t>
      </w:r>
      <w:r>
        <w:t>lead to</w:t>
      </w:r>
      <w:r w:rsidR="003B5BE8">
        <w:t xml:space="preserve"> perverse results</w:t>
      </w:r>
      <w:r w:rsidR="00F149D4">
        <w:t>.</w:t>
      </w:r>
      <w:r w:rsidR="001C7AFE">
        <w:t xml:space="preserve"> Productivity, like production, matters not for its own sake, but because </w:t>
      </w:r>
      <w:r w:rsidR="0036224B">
        <w:t xml:space="preserve">growth in </w:t>
      </w:r>
      <w:r w:rsidR="001C7AFE">
        <w:t xml:space="preserve">it can generate the higher incomes and </w:t>
      </w:r>
      <w:r w:rsidR="009E7525">
        <w:t>government</w:t>
      </w:r>
      <w:r w:rsidR="001C7AFE">
        <w:t xml:space="preserve"> revenues needed to raise living standards and rectify disadvantage. Policies to promote productivity need to have these larger ends in view.</w:t>
      </w:r>
    </w:p>
    <w:p w:rsidR="001C7AFE" w:rsidRDefault="00E73A9B" w:rsidP="00901F01">
      <w:pPr>
        <w:pStyle w:val="BodyText"/>
      </w:pPr>
      <w:r>
        <w:t>S</w:t>
      </w:r>
      <w:r w:rsidR="00D1650B">
        <w:t xml:space="preserve">ince tariff </w:t>
      </w:r>
      <w:r w:rsidR="00EC5C38">
        <w:t>liberalisation</w:t>
      </w:r>
      <w:r w:rsidR="00D1650B">
        <w:t xml:space="preserve"> and other microeconomic reforms </w:t>
      </w:r>
      <w:r>
        <w:t>in the mid-</w:t>
      </w:r>
      <w:proofErr w:type="spellStart"/>
      <w:r>
        <w:t>1980s</w:t>
      </w:r>
      <w:proofErr w:type="spellEnd"/>
      <w:r>
        <w:t xml:space="preserve"> </w:t>
      </w:r>
      <w:r w:rsidR="00EC5C38">
        <w:t xml:space="preserve">first began to transform Australia’s industrial landscape, </w:t>
      </w:r>
      <w:r w:rsidR="00D1650B">
        <w:t xml:space="preserve">wages in </w:t>
      </w:r>
      <w:r w:rsidR="00EC5C38">
        <w:t>this country</w:t>
      </w:r>
      <w:r w:rsidR="00D1650B">
        <w:t xml:space="preserve"> have increased by </w:t>
      </w:r>
      <w:r w:rsidR="00BD6690">
        <w:t>one-third in real (inflation adjusted) terms.</w:t>
      </w:r>
      <w:r w:rsidR="00D1650B">
        <w:t xml:space="preserve"> </w:t>
      </w:r>
      <w:r w:rsidR="00224456">
        <w:t>Until recently this was primarily underpinned</w:t>
      </w:r>
      <w:r w:rsidR="001244EA">
        <w:t xml:space="preserve"> by</w:t>
      </w:r>
      <w:r w:rsidR="00D1650B">
        <w:t xml:space="preserve"> productivity growth</w:t>
      </w:r>
      <w:r w:rsidR="00F149D4">
        <w:t xml:space="preserve">. </w:t>
      </w:r>
      <w:r w:rsidR="00E777A4">
        <w:t xml:space="preserve">The </w:t>
      </w:r>
      <w:r w:rsidR="009E7525">
        <w:t>drivers</w:t>
      </w:r>
      <w:r w:rsidR="00352DAC">
        <w:t xml:space="preserve"> of the gains in</w:t>
      </w:r>
      <w:r w:rsidR="00EC5C38">
        <w:t xml:space="preserve"> labour productivity</w:t>
      </w:r>
      <w:r w:rsidR="00352DAC">
        <w:t xml:space="preserve"> were </w:t>
      </w:r>
      <w:r w:rsidR="00224456">
        <w:t xml:space="preserve">capital </w:t>
      </w:r>
      <w:r w:rsidR="00352DAC">
        <w:t>investment, more efficient production</w:t>
      </w:r>
      <w:r w:rsidR="009E7525">
        <w:t xml:space="preserve"> methods within firms</w:t>
      </w:r>
      <w:r w:rsidR="00352DAC">
        <w:t xml:space="preserve"> and </w:t>
      </w:r>
      <w:r w:rsidR="00F149D4">
        <w:t xml:space="preserve">better </w:t>
      </w:r>
      <w:r w:rsidR="00352DAC">
        <w:t>allocation of resources</w:t>
      </w:r>
      <w:r w:rsidR="009E7525">
        <w:t xml:space="preserve"> across industries</w:t>
      </w:r>
      <w:r w:rsidR="00352DAC">
        <w:t xml:space="preserve">; not greater work ‘intensity’ or </w:t>
      </w:r>
      <w:r w:rsidR="009E7525">
        <w:t>harsher</w:t>
      </w:r>
      <w:r w:rsidR="00352DAC">
        <w:t xml:space="preserve"> work</w:t>
      </w:r>
      <w:r w:rsidR="009E7525">
        <w:t>ing</w:t>
      </w:r>
      <w:r w:rsidR="00352DAC">
        <w:t xml:space="preserve"> conditions.</w:t>
      </w:r>
      <w:r w:rsidR="00F149D4" w:rsidRPr="00F149D4">
        <w:t xml:space="preserve"> </w:t>
      </w:r>
      <w:r w:rsidR="00F149D4">
        <w:t>In this</w:t>
      </w:r>
      <w:r w:rsidR="009E7525">
        <w:t xml:space="preserve"> same</w:t>
      </w:r>
      <w:r w:rsidR="00F149D4">
        <w:t xml:space="preserve"> period</w:t>
      </w:r>
      <w:r w:rsidR="006F67F6">
        <w:t xml:space="preserve">, </w:t>
      </w:r>
      <w:r w:rsidR="00F149D4">
        <w:t xml:space="preserve">the number of jobs in the economy increased from </w:t>
      </w:r>
      <w:r w:rsidR="00BD6690">
        <w:t xml:space="preserve">6.9 </w:t>
      </w:r>
      <w:r w:rsidR="00F149D4">
        <w:t xml:space="preserve">million to </w:t>
      </w:r>
      <w:r w:rsidR="00BD6690">
        <w:t>11.5</w:t>
      </w:r>
      <w:r w:rsidR="00686539">
        <w:t xml:space="preserve"> million —</w:t>
      </w:r>
      <w:r w:rsidR="00F149D4">
        <w:t xml:space="preserve"> </w:t>
      </w:r>
      <w:r w:rsidR="009E7525">
        <w:t xml:space="preserve">at a rate </w:t>
      </w:r>
      <w:r w:rsidR="00E247F2">
        <w:t>exceeding</w:t>
      </w:r>
      <w:r w:rsidR="009E7525">
        <w:t xml:space="preserve"> population growth</w:t>
      </w:r>
      <w:r w:rsidR="00BD6690">
        <w:t xml:space="preserve"> </w:t>
      </w:r>
      <w:r w:rsidR="00686539">
        <w:t>—</w:t>
      </w:r>
      <w:r w:rsidR="009E7525">
        <w:t xml:space="preserve"> with</w:t>
      </w:r>
      <w:r w:rsidR="00F149D4">
        <w:t xml:space="preserve"> participation rates </w:t>
      </w:r>
      <w:r w:rsidR="009E7525">
        <w:t xml:space="preserve">rising </w:t>
      </w:r>
      <w:r w:rsidR="00EE6491">
        <w:t xml:space="preserve">significantly </w:t>
      </w:r>
      <w:r w:rsidR="00F149D4">
        <w:t>and unemployment</w:t>
      </w:r>
      <w:r w:rsidR="009E7525">
        <w:t xml:space="preserve"> rates falling</w:t>
      </w:r>
      <w:r w:rsidR="00F149D4">
        <w:t>.</w:t>
      </w:r>
    </w:p>
    <w:p w:rsidR="00D1650B" w:rsidRDefault="00D6063D" w:rsidP="00901F01">
      <w:pPr>
        <w:pStyle w:val="BodyText"/>
      </w:pPr>
      <w:r>
        <w:t xml:space="preserve">Conceptually, productivity is </w:t>
      </w:r>
      <w:r w:rsidR="00EC5C38">
        <w:t xml:space="preserve">simply </w:t>
      </w:r>
      <w:r>
        <w:t>a</w:t>
      </w:r>
      <w:r w:rsidR="00497F23">
        <w:t xml:space="preserve"> measure of</w:t>
      </w:r>
      <w:r>
        <w:t xml:space="preserve"> the relationship between outputs and inputs</w:t>
      </w:r>
      <w:r w:rsidR="009E7525">
        <w:t>,</w:t>
      </w:r>
      <w:r w:rsidR="00EC5C38">
        <w:t xml:space="preserve"> expressed in volume terms.</w:t>
      </w:r>
      <w:r>
        <w:t xml:space="preserve"> </w:t>
      </w:r>
      <w:r w:rsidR="00EC5C38">
        <w:t>A</w:t>
      </w:r>
      <w:r>
        <w:t>t a national level</w:t>
      </w:r>
      <w:r w:rsidR="00CD6649">
        <w:t>, labour productivity</w:t>
      </w:r>
      <w:r w:rsidR="00EC5C38">
        <w:t xml:space="preserve"> can be</w:t>
      </w:r>
      <w:r>
        <w:t xml:space="preserve"> computed as </w:t>
      </w:r>
      <w:r w:rsidR="00E777A4">
        <w:t>national output</w:t>
      </w:r>
      <w:r>
        <w:t xml:space="preserve"> divided by the number of hours worked </w:t>
      </w:r>
      <w:r w:rsidR="00EC5C38">
        <w:t>across</w:t>
      </w:r>
      <w:r>
        <w:t xml:space="preserve"> the economy. This abstracts</w:t>
      </w:r>
      <w:r w:rsidR="007E2368">
        <w:t xml:space="preserve"> </w:t>
      </w:r>
      <w:r>
        <w:t>from what labour happens to have been paid.</w:t>
      </w:r>
      <w:r w:rsidR="00497F23">
        <w:t xml:space="preserve"> Rather</w:t>
      </w:r>
      <w:r w:rsidR="004411BB">
        <w:t>, it depends on labour’s skills</w:t>
      </w:r>
      <w:r w:rsidR="00497F23">
        <w:t xml:space="preserve"> and</w:t>
      </w:r>
      <w:r w:rsidR="004411BB">
        <w:t>,</w:t>
      </w:r>
      <w:r w:rsidR="00497F23">
        <w:t xml:space="preserve"> </w:t>
      </w:r>
      <w:r w:rsidR="004411BB">
        <w:t xml:space="preserve">more importantly, </w:t>
      </w:r>
      <w:r w:rsidR="00497F23">
        <w:t xml:space="preserve">where and how well these are </w:t>
      </w:r>
      <w:r w:rsidR="004411BB">
        <w:lastRenderedPageBreak/>
        <w:t xml:space="preserve">being </w:t>
      </w:r>
      <w:r w:rsidR="00497F23">
        <w:t xml:space="preserve">put to use </w:t>
      </w:r>
      <w:r w:rsidR="00495C87">
        <w:t xml:space="preserve">(and combined with capital) </w:t>
      </w:r>
      <w:r w:rsidR="00497F23">
        <w:t xml:space="preserve">in enterprises and industries </w:t>
      </w:r>
      <w:r w:rsidR="00AB267D">
        <w:t>throughout</w:t>
      </w:r>
      <w:r w:rsidR="00497F23">
        <w:t xml:space="preserve"> the country.</w:t>
      </w:r>
    </w:p>
    <w:p w:rsidR="00623856" w:rsidRDefault="00497F23" w:rsidP="00901F01">
      <w:pPr>
        <w:pStyle w:val="BodyText"/>
      </w:pPr>
      <w:r>
        <w:t xml:space="preserve">There are essentially only two ways of increasing the per capita income of a society over time — by producing more </w:t>
      </w:r>
      <w:r w:rsidRPr="004E6999">
        <w:t>per person</w:t>
      </w:r>
      <w:r>
        <w:t xml:space="preserve"> or by getting </w:t>
      </w:r>
      <w:r w:rsidR="004E6999" w:rsidRPr="004E6999">
        <w:t xml:space="preserve">higher world </w:t>
      </w:r>
      <w:r w:rsidRPr="004E6999">
        <w:t>prices</w:t>
      </w:r>
      <w:r>
        <w:t xml:space="preserve"> for what is produced. Over the past decade, Australia’s failure to do the former has been more than made up for by the latter. Indeed</w:t>
      </w:r>
      <w:r w:rsidR="00112E71">
        <w:t>,</w:t>
      </w:r>
      <w:r>
        <w:t xml:space="preserve"> the decline in our productivity performance and the rise in our terms of trade have </w:t>
      </w:r>
      <w:r w:rsidR="004E6999">
        <w:t>b</w:t>
      </w:r>
      <w:r>
        <w:t xml:space="preserve">een </w:t>
      </w:r>
      <w:r w:rsidR="004E6999">
        <w:t xml:space="preserve">almost equally </w:t>
      </w:r>
      <w:r>
        <w:t>unprecedented</w:t>
      </w:r>
      <w:r w:rsidR="00224456">
        <w:t>.</w:t>
      </w:r>
      <w:r>
        <w:t xml:space="preserve"> But </w:t>
      </w:r>
      <w:r w:rsidR="00623856">
        <w:t>no country (not even a Lucky Country)</w:t>
      </w:r>
      <w:r>
        <w:t xml:space="preserve"> </w:t>
      </w:r>
      <w:r w:rsidR="00112E71">
        <w:t xml:space="preserve">can expect its </w:t>
      </w:r>
      <w:r>
        <w:t xml:space="preserve">terms of trade </w:t>
      </w:r>
      <w:r w:rsidR="00623856">
        <w:t>to</w:t>
      </w:r>
      <w:r>
        <w:t xml:space="preserve"> rise</w:t>
      </w:r>
      <w:r w:rsidR="004411BB">
        <w:t xml:space="preserve"> forever. Their recent </w:t>
      </w:r>
      <w:r w:rsidR="00224456">
        <w:t>decline</w:t>
      </w:r>
      <w:r>
        <w:t xml:space="preserve"> puts the spotlight back on productivity growth as the main conduit for higher incomes into the future. </w:t>
      </w:r>
      <w:r w:rsidR="003B4655">
        <w:t xml:space="preserve">While </w:t>
      </w:r>
      <w:r w:rsidR="00EE6491">
        <w:t xml:space="preserve">the </w:t>
      </w:r>
      <w:r w:rsidR="003B4655">
        <w:t xml:space="preserve">labour force participation </w:t>
      </w:r>
      <w:r w:rsidR="00EE6491">
        <w:t xml:space="preserve">rate </w:t>
      </w:r>
      <w:r w:rsidR="003B4655">
        <w:t>is important, i</w:t>
      </w:r>
      <w:r>
        <w:t xml:space="preserve">t is to productivity growth that we must </w:t>
      </w:r>
      <w:r w:rsidR="004F1E61">
        <w:t xml:space="preserve">primarily </w:t>
      </w:r>
      <w:r>
        <w:t xml:space="preserve">look if we are to meet the </w:t>
      </w:r>
      <w:r w:rsidR="00623856">
        <w:t xml:space="preserve">ongoing </w:t>
      </w:r>
      <w:r w:rsidR="004411BB">
        <w:t>challenges of an ageing society</w:t>
      </w:r>
      <w:r w:rsidR="00224456">
        <w:t xml:space="preserve"> (PC</w:t>
      </w:r>
      <w:r w:rsidR="00FA2403">
        <w:t> </w:t>
      </w:r>
      <w:r w:rsidR="00224456">
        <w:t xml:space="preserve"> 2005).</w:t>
      </w:r>
      <w:r w:rsidR="004411BB">
        <w:t xml:space="preserve"> And it is to productivity growth that we must look </w:t>
      </w:r>
      <w:r>
        <w:t xml:space="preserve">if we are to </w:t>
      </w:r>
      <w:r w:rsidR="004411BB">
        <w:t>succeed in making</w:t>
      </w:r>
      <w:r>
        <w:t xml:space="preserve"> </w:t>
      </w:r>
      <w:r w:rsidR="00623856">
        <w:t xml:space="preserve">necessary </w:t>
      </w:r>
      <w:r>
        <w:t>fiscal repairs</w:t>
      </w:r>
      <w:r w:rsidR="00623856">
        <w:t xml:space="preserve"> in the wake of the Global Financial Crisis</w:t>
      </w:r>
      <w:r>
        <w:t xml:space="preserve">, while addressing important social </w:t>
      </w:r>
      <w:r w:rsidR="00623856">
        <w:t>needs</w:t>
      </w:r>
      <w:r>
        <w:t xml:space="preserve">. </w:t>
      </w:r>
      <w:r w:rsidR="004411BB">
        <w:t>As has been said, a government cannot redistribute what its economy does not produce. Productivity growth is fundamental to this.</w:t>
      </w:r>
    </w:p>
    <w:p w:rsidR="00AB267D" w:rsidRDefault="00AB267D" w:rsidP="00AB267D">
      <w:pPr>
        <w:pStyle w:val="Heading4"/>
      </w:pPr>
      <w:r>
        <w:t>Will it recover?</w:t>
      </w:r>
    </w:p>
    <w:p w:rsidR="00634520" w:rsidRDefault="00112E71" w:rsidP="00901F01">
      <w:pPr>
        <w:pStyle w:val="BodyText"/>
      </w:pPr>
      <w:r>
        <w:t>T</w:t>
      </w:r>
      <w:r w:rsidR="00634520">
        <w:t xml:space="preserve">he end of the </w:t>
      </w:r>
      <w:r w:rsidR="00D01154">
        <w:t xml:space="preserve">mining </w:t>
      </w:r>
      <w:r w:rsidR="00634520">
        <w:t xml:space="preserve">boom will </w:t>
      </w:r>
      <w:r w:rsidR="00623856">
        <w:t xml:space="preserve">in itself </w:t>
      </w:r>
      <w:r w:rsidR="00634520">
        <w:t xml:space="preserve">bring about </w:t>
      </w:r>
      <w:r w:rsidR="00494834">
        <w:t>part</w:t>
      </w:r>
      <w:r w:rsidR="00634520">
        <w:t xml:space="preserve"> of the productivity improvement we need. As the Commission has shown in </w:t>
      </w:r>
      <w:r w:rsidR="002C49FA">
        <w:t>several</w:t>
      </w:r>
      <w:r w:rsidR="00634520">
        <w:t xml:space="preserve"> detailed studies, Australia’s productivity </w:t>
      </w:r>
      <w:r w:rsidR="00634520" w:rsidRPr="00623856">
        <w:t>sl</w:t>
      </w:r>
      <w:r w:rsidR="00E73A9B">
        <w:t>ide</w:t>
      </w:r>
      <w:r w:rsidR="00634520">
        <w:t xml:space="preserve"> </w:t>
      </w:r>
      <w:r w:rsidR="00494834">
        <w:t xml:space="preserve">has had much to do with cyclical and structural forces that are temporary or reversible. Drought is perhaps the clearest example, by curtailing the output and thus productivity of the agricultural sector. It also </w:t>
      </w:r>
      <w:r w:rsidR="00D01154">
        <w:t>affected</w:t>
      </w:r>
      <w:r w:rsidR="00494834">
        <w:t xml:space="preserve"> the measured productivity of public utilities</w:t>
      </w:r>
      <w:r w:rsidR="00AB267D">
        <w:t xml:space="preserve"> for which water is an ‘output’</w:t>
      </w:r>
      <w:r w:rsidR="00494834" w:rsidRPr="006F67F6">
        <w:t xml:space="preserve">. </w:t>
      </w:r>
      <w:r w:rsidR="002C49FA">
        <w:t>T</w:t>
      </w:r>
      <w:r w:rsidR="00494834">
        <w:t xml:space="preserve">he mining boom has been a much stronger influence, with historically high export prices prompting the biggest investment surge in Australia’s history. For reasons that are now well known, this simultaneously dragged down the productivity of capital and subtracted significantly from </w:t>
      </w:r>
      <w:r w:rsidR="00D01154">
        <w:t xml:space="preserve">measured </w:t>
      </w:r>
      <w:r w:rsidR="00494834">
        <w:t>multifactor productivity growth.</w:t>
      </w:r>
    </w:p>
    <w:p w:rsidR="00494834" w:rsidRDefault="00494834" w:rsidP="00901F01">
      <w:pPr>
        <w:pStyle w:val="BodyText"/>
      </w:pPr>
      <w:r>
        <w:t>Thus, as my colleague Dean Parham put it recent</w:t>
      </w:r>
      <w:r w:rsidR="002C49FA">
        <w:t>ly</w:t>
      </w:r>
      <w:r>
        <w:t>, the pronounced decline in productivity has had more to do with ‘adjustment’ than ‘crisis’</w:t>
      </w:r>
      <w:r w:rsidR="00FA2403">
        <w:t xml:space="preserve"> (Parham</w:t>
      </w:r>
      <w:r w:rsidR="00BD6690">
        <w:t xml:space="preserve"> 2012)</w:t>
      </w:r>
      <w:r>
        <w:t>. And a return to more ‘normal’ productivity growth is to be expected as the forces responsible abate. Meanwhile</w:t>
      </w:r>
      <w:r w:rsidR="00AB267D">
        <w:t>,</w:t>
      </w:r>
      <w:r>
        <w:t xml:space="preserve"> during the </w:t>
      </w:r>
      <w:r w:rsidR="00AB267D">
        <w:t>terms of trade boom</w:t>
      </w:r>
      <w:r w:rsidR="004F1E61">
        <w:t>,</w:t>
      </w:r>
      <w:r>
        <w:t xml:space="preserve"> Australia experienced almost the fastest growth in per capita income</w:t>
      </w:r>
      <w:r w:rsidR="00AB267D">
        <w:t>s</w:t>
      </w:r>
      <w:r>
        <w:t xml:space="preserve"> on record, </w:t>
      </w:r>
      <w:r w:rsidR="00AB267D">
        <w:t>notwithstanding</w:t>
      </w:r>
      <w:r>
        <w:t xml:space="preserve"> the G</w:t>
      </w:r>
      <w:r w:rsidR="00AB267D">
        <w:t xml:space="preserve">lobal </w:t>
      </w:r>
      <w:r>
        <w:t>F</w:t>
      </w:r>
      <w:r w:rsidR="00AB267D">
        <w:t xml:space="preserve">inancial </w:t>
      </w:r>
      <w:r>
        <w:t>C</w:t>
      </w:r>
      <w:r w:rsidR="00AB267D">
        <w:t>risis</w:t>
      </w:r>
      <w:r>
        <w:t>.</w:t>
      </w:r>
    </w:p>
    <w:p w:rsidR="00494834" w:rsidRDefault="00494834" w:rsidP="00901F01">
      <w:pPr>
        <w:pStyle w:val="BodyText"/>
      </w:pPr>
      <w:r>
        <w:t xml:space="preserve">The ability of productivity growth to stage a comeback has </w:t>
      </w:r>
      <w:r w:rsidR="007B6233">
        <w:t xml:space="preserve">been illustrated by the </w:t>
      </w:r>
      <w:r w:rsidR="000F14D3">
        <w:t xml:space="preserve">sharp </w:t>
      </w:r>
      <w:r w:rsidR="007B6233">
        <w:t>rebound</w:t>
      </w:r>
      <w:r>
        <w:t xml:space="preserve"> for agriculture following the </w:t>
      </w:r>
      <w:r w:rsidR="00474A2B">
        <w:t xml:space="preserve">end of the </w:t>
      </w:r>
      <w:r>
        <w:t xml:space="preserve">drought. The end of the minerals export price bonanza should see productivity </w:t>
      </w:r>
      <w:r w:rsidR="00495C87">
        <w:t>recover somewhat</w:t>
      </w:r>
      <w:r>
        <w:t xml:space="preserve"> in that </w:t>
      </w:r>
      <w:r>
        <w:lastRenderedPageBreak/>
        <w:t>sector</w:t>
      </w:r>
      <w:r w:rsidR="000F14D3">
        <w:t xml:space="preserve"> too</w:t>
      </w:r>
      <w:r>
        <w:t xml:space="preserve">, as </w:t>
      </w:r>
      <w:r w:rsidR="000F14D3">
        <w:t xml:space="preserve">new </w:t>
      </w:r>
      <w:r>
        <w:t xml:space="preserve">investment subsides and </w:t>
      </w:r>
      <w:r w:rsidR="007E7238">
        <w:t xml:space="preserve">higher output associated with </w:t>
      </w:r>
      <w:r>
        <w:t xml:space="preserve">previously ‘unrequited’ </w:t>
      </w:r>
      <w:r w:rsidR="00BB74DB">
        <w:t>input</w:t>
      </w:r>
      <w:r>
        <w:t xml:space="preserve"> growth </w:t>
      </w:r>
      <w:r w:rsidR="007E7238">
        <w:t>comes on</w:t>
      </w:r>
      <w:r w:rsidR="007B6233">
        <w:t xml:space="preserve"> stream. (A jump in economy</w:t>
      </w:r>
      <w:r w:rsidR="007B6233">
        <w:noBreakHyphen/>
        <w:t>wide labour productivity in the mo</w:t>
      </w:r>
      <w:r w:rsidR="000F14D3">
        <w:t>st</w:t>
      </w:r>
      <w:r w:rsidR="007B6233">
        <w:t xml:space="preserve"> recent quarterly data has been seized on by some, but the proverb ‘one s</w:t>
      </w:r>
      <w:r w:rsidR="002650B4">
        <w:t xml:space="preserve">wallow does not a summer make’ </w:t>
      </w:r>
      <w:r w:rsidR="00860E14">
        <w:t xml:space="preserve">is </w:t>
      </w:r>
      <w:r w:rsidR="007B6233">
        <w:t>apt when assessing productivity trends</w:t>
      </w:r>
      <w:r w:rsidR="006D00C5">
        <w:t>.</w:t>
      </w:r>
      <w:r w:rsidR="007B6233">
        <w:t>)</w:t>
      </w:r>
    </w:p>
    <w:p w:rsidR="00626510" w:rsidRDefault="00CE764B" w:rsidP="00901F01">
      <w:pPr>
        <w:pStyle w:val="BodyText"/>
      </w:pPr>
      <w:r>
        <w:t>While t</w:t>
      </w:r>
      <w:r w:rsidR="004A6C6B">
        <w:t>here is no cause for panic about Australia’s productivity outlook</w:t>
      </w:r>
      <w:r w:rsidR="008F661B">
        <w:t>,</w:t>
      </w:r>
      <w:r w:rsidR="004A6C6B">
        <w:t xml:space="preserve"> there is also little reason for complacency</w:t>
      </w:r>
      <w:r w:rsidR="008F661B">
        <w:t>. Indeed, there are</w:t>
      </w:r>
      <w:r w:rsidR="004A6C6B">
        <w:t xml:space="preserve"> a number of grou</w:t>
      </w:r>
      <w:r w:rsidR="00D0024C">
        <w:t>nds for caution or even concern:</w:t>
      </w:r>
      <w:r w:rsidR="004A6C6B">
        <w:t xml:space="preserve"> </w:t>
      </w:r>
    </w:p>
    <w:p w:rsidR="00626510" w:rsidRDefault="004A6C6B" w:rsidP="00626510">
      <w:pPr>
        <w:pStyle w:val="ListBullet"/>
      </w:pPr>
      <w:r>
        <w:t>For a start,</w:t>
      </w:r>
      <w:r w:rsidR="006F67F6">
        <w:t xml:space="preserve"> while we can </w:t>
      </w:r>
      <w:r w:rsidR="006C3ED3">
        <w:t xml:space="preserve">attribute </w:t>
      </w:r>
      <w:r w:rsidR="006F67F6">
        <w:t>about one-half to two-</w:t>
      </w:r>
      <w:r w:rsidR="00365C16">
        <w:t>thirds</w:t>
      </w:r>
      <w:r>
        <w:t xml:space="preserve"> of the productivity decline in </w:t>
      </w:r>
      <w:r w:rsidR="009734FF">
        <w:t>the last cycle to the ‘usual suspects’, it is less clear what is behind the rest — particularly for the manufacturing sector, which was the single biggest contributor to the overall decline.</w:t>
      </w:r>
      <w:r w:rsidR="00A218DD">
        <w:t xml:space="preserve"> </w:t>
      </w:r>
    </w:p>
    <w:p w:rsidR="00626510" w:rsidRDefault="00A218DD" w:rsidP="00626510">
      <w:pPr>
        <w:pStyle w:val="ListBullet"/>
      </w:pPr>
      <w:r>
        <w:t xml:space="preserve">Secondly, while the surge in capital inputs in mining is likely eventually </w:t>
      </w:r>
      <w:r w:rsidR="004F2E6F">
        <w:t xml:space="preserve">to </w:t>
      </w:r>
      <w:r w:rsidR="008F661B">
        <w:t xml:space="preserve">generate </w:t>
      </w:r>
      <w:r>
        <w:t xml:space="preserve">output </w:t>
      </w:r>
      <w:r w:rsidR="001E0630">
        <w:t xml:space="preserve">broadly </w:t>
      </w:r>
      <w:r>
        <w:t xml:space="preserve">commensurate with the </w:t>
      </w:r>
      <w:r w:rsidR="004F2E6F">
        <w:t xml:space="preserve">massive </w:t>
      </w:r>
      <w:r>
        <w:t xml:space="preserve">outlays, </w:t>
      </w:r>
      <w:r w:rsidR="004365D7">
        <w:t xml:space="preserve">this is much less certain for </w:t>
      </w:r>
      <w:r>
        <w:t>public sector investments in the utilities sector</w:t>
      </w:r>
      <w:r w:rsidR="004F2E6F">
        <w:t>,</w:t>
      </w:r>
      <w:r>
        <w:t xml:space="preserve"> particularly those directed at security or ‘quality’ objectives i</w:t>
      </w:r>
      <w:r w:rsidR="001E0630">
        <w:t xml:space="preserve">n electricity and water. </w:t>
      </w:r>
    </w:p>
    <w:p w:rsidR="00626510" w:rsidRDefault="001E0630" w:rsidP="00626510">
      <w:pPr>
        <w:pStyle w:val="ListBullet"/>
      </w:pPr>
      <w:r>
        <w:t xml:space="preserve">Thirdly, </w:t>
      </w:r>
      <w:r w:rsidR="006C3ED3">
        <w:t xml:space="preserve">with </w:t>
      </w:r>
      <w:r>
        <w:t xml:space="preserve">the transmission of the mining boom to other parts of the economy and, most directly, </w:t>
      </w:r>
      <w:r w:rsidR="006C3ED3">
        <w:t xml:space="preserve">to </w:t>
      </w:r>
      <w:r>
        <w:t xml:space="preserve">those industries supporting mining activities, </w:t>
      </w:r>
      <w:r w:rsidR="006C3ED3">
        <w:t xml:space="preserve">some firms are </w:t>
      </w:r>
      <w:r>
        <w:t xml:space="preserve">likely to have </w:t>
      </w:r>
      <w:r w:rsidR="006C3ED3">
        <w:t xml:space="preserve">tolerated </w:t>
      </w:r>
      <w:r>
        <w:t xml:space="preserve">cost increases and inefficiencies in </w:t>
      </w:r>
      <w:r w:rsidR="006C3ED3">
        <w:t xml:space="preserve">the rush to capture </w:t>
      </w:r>
      <w:r>
        <w:t xml:space="preserve"> higher prices </w:t>
      </w:r>
      <w:r w:rsidR="006C3ED3">
        <w:t>(</w:t>
      </w:r>
      <w:r>
        <w:t>and profits</w:t>
      </w:r>
      <w:r w:rsidR="006C3ED3">
        <w:t>)</w:t>
      </w:r>
      <w:r>
        <w:t xml:space="preserve">. Their legacy may not easily </w:t>
      </w:r>
      <w:r w:rsidR="00B972D2">
        <w:t xml:space="preserve">be </w:t>
      </w:r>
      <w:r>
        <w:t xml:space="preserve">reversed as the boom subsides. </w:t>
      </w:r>
    </w:p>
    <w:p w:rsidR="004A6C6B" w:rsidRDefault="001E0630" w:rsidP="00626510">
      <w:pPr>
        <w:pStyle w:val="ListBullet"/>
      </w:pPr>
      <w:r>
        <w:t>Finally</w:t>
      </w:r>
      <w:r w:rsidR="00A218DD">
        <w:t xml:space="preserve">, there is as yet no firm basis for assessing the causes of the further marked deterioration in productivity performance </w:t>
      </w:r>
      <w:r w:rsidR="004F2E6F">
        <w:t>since</w:t>
      </w:r>
      <w:r w:rsidR="00A218DD">
        <w:t xml:space="preserve"> the end of the last cycle in 2007–08. Moreover</w:t>
      </w:r>
      <w:r w:rsidR="004F2E6F">
        <w:t>,</w:t>
      </w:r>
      <w:r w:rsidR="00A218DD">
        <w:t xml:space="preserve"> this period has seen a number of </w:t>
      </w:r>
      <w:r w:rsidR="004F2E6F">
        <w:t xml:space="preserve">significant </w:t>
      </w:r>
      <w:r w:rsidR="00A218DD">
        <w:t>policy initiatives in areas such as infrastructure, labour markets and environmental regulation for which the productivity impacts are uncertain, but unlikely to be all positive.</w:t>
      </w:r>
    </w:p>
    <w:p w:rsidR="004F2E6F" w:rsidRDefault="004F2E6F" w:rsidP="004F2E6F">
      <w:pPr>
        <w:pStyle w:val="Heading4"/>
      </w:pPr>
      <w:r>
        <w:t>A little improvement can make a big difference</w:t>
      </w:r>
    </w:p>
    <w:p w:rsidR="00A218DD" w:rsidRDefault="00474A2B" w:rsidP="00901F01">
      <w:pPr>
        <w:pStyle w:val="BodyText"/>
      </w:pPr>
      <w:r>
        <w:t>So</w:t>
      </w:r>
      <w:r w:rsidR="00A218DD">
        <w:t xml:space="preserve"> the jury is out on how much of a recovery in productivity we can look forward to. If</w:t>
      </w:r>
      <w:r w:rsidR="00E26B60">
        <w:t xml:space="preserve"> the I</w:t>
      </w:r>
      <w:r w:rsidR="00FB13DB">
        <w:t>nter</w:t>
      </w:r>
      <w:r w:rsidR="008F661B">
        <w:t>-</w:t>
      </w:r>
      <w:r w:rsidR="00E26B60">
        <w:t>G</w:t>
      </w:r>
      <w:r w:rsidR="00FB13DB">
        <w:t xml:space="preserve">enerational </w:t>
      </w:r>
      <w:r w:rsidR="00E26B60">
        <w:t>R</w:t>
      </w:r>
      <w:r w:rsidR="00FB13DB">
        <w:t>eport</w:t>
      </w:r>
      <w:r w:rsidR="00E26B60">
        <w:t>’s projections are indic</w:t>
      </w:r>
      <w:r w:rsidR="00A218DD">
        <w:t>ative, however, we are living in a time of diminished expectations</w:t>
      </w:r>
      <w:r w:rsidR="002E0D05">
        <w:t xml:space="preserve"> when it comes to productivity (as opposed to public spending)</w:t>
      </w:r>
      <w:r w:rsidR="00A218DD">
        <w:t xml:space="preserve">. </w:t>
      </w:r>
      <w:r w:rsidR="004F2E6F">
        <w:t>Between</w:t>
      </w:r>
      <w:r w:rsidR="00A218DD">
        <w:t xml:space="preserve"> the first </w:t>
      </w:r>
      <w:proofErr w:type="spellStart"/>
      <w:r w:rsidR="00A218DD">
        <w:t>IGR</w:t>
      </w:r>
      <w:proofErr w:type="spellEnd"/>
      <w:r w:rsidR="00A218DD">
        <w:t xml:space="preserve"> in </w:t>
      </w:r>
      <w:r w:rsidR="004F2E6F">
        <w:t>2002 and</w:t>
      </w:r>
      <w:r w:rsidR="00A218DD" w:rsidRPr="004F2E6F">
        <w:rPr>
          <w:b/>
        </w:rPr>
        <w:t xml:space="preserve"> </w:t>
      </w:r>
      <w:r w:rsidR="00A218DD" w:rsidRPr="00A218DD">
        <w:t>the third</w:t>
      </w:r>
      <w:r w:rsidR="00860E14">
        <w:t xml:space="preserve"> </w:t>
      </w:r>
      <w:r w:rsidR="009E6743">
        <w:t>a decade later</w:t>
      </w:r>
      <w:r w:rsidR="00E26B60" w:rsidRPr="00E26B60">
        <w:t>,</w:t>
      </w:r>
      <w:r w:rsidR="00E26B60">
        <w:rPr>
          <w:b/>
        </w:rPr>
        <w:t xml:space="preserve"> </w:t>
      </w:r>
      <w:r w:rsidR="00E26B60" w:rsidRPr="00E26B60">
        <w:t>the projected</w:t>
      </w:r>
      <w:r w:rsidR="00E26B60">
        <w:t xml:space="preserve"> rate of econo</w:t>
      </w:r>
      <w:r w:rsidR="00E26B60" w:rsidRPr="00E26B60">
        <w:t>my</w:t>
      </w:r>
      <w:r w:rsidR="00E26B60" w:rsidRPr="00E26B60">
        <w:noBreakHyphen/>
        <w:t>wide labour productivity growth was lowered from 1.75 to</w:t>
      </w:r>
      <w:r w:rsidR="00E26B60">
        <w:t xml:space="preserve"> 1.6 per cent</w:t>
      </w:r>
      <w:r w:rsidR="00C30218">
        <w:t xml:space="preserve"> (Treasury</w:t>
      </w:r>
      <w:r w:rsidR="0062743E">
        <w:t>, 2010)</w:t>
      </w:r>
      <w:r w:rsidR="009E6743">
        <w:t>.</w:t>
      </w:r>
    </w:p>
    <w:p w:rsidR="00E26B60" w:rsidRDefault="00E26B60" w:rsidP="00901F01">
      <w:pPr>
        <w:pStyle w:val="BodyText"/>
      </w:pPr>
      <w:r>
        <w:t>This is a projection, not a forecast</w:t>
      </w:r>
      <w:r w:rsidR="002650B4">
        <w:t>,</w:t>
      </w:r>
      <w:r w:rsidR="009E6743">
        <w:t xml:space="preserve"> and merely reflects the fall in the preceding long term average.</w:t>
      </w:r>
      <w:r>
        <w:t xml:space="preserve"> But it</w:t>
      </w:r>
      <w:r w:rsidR="008F661B">
        <w:t>s effects</w:t>
      </w:r>
      <w:r>
        <w:t xml:space="preserve"> illustrate that small differences in productivity </w:t>
      </w:r>
      <w:r>
        <w:lastRenderedPageBreak/>
        <w:t>performance make for large cumulative differences in future prosp</w:t>
      </w:r>
      <w:r w:rsidR="004365D7">
        <w:t>erity. The 0.15 per</w:t>
      </w:r>
      <w:r>
        <w:t>cent</w:t>
      </w:r>
      <w:r w:rsidR="004365D7">
        <w:t>age point</w:t>
      </w:r>
      <w:r>
        <w:t xml:space="preserve"> difference between the two projections translates to a reduction in per capita GDP of </w:t>
      </w:r>
      <w:r w:rsidR="003E4DB6">
        <w:t xml:space="preserve">nearly </w:t>
      </w:r>
      <w:r>
        <w:t>$</w:t>
      </w:r>
      <w:r w:rsidR="00C35B1E">
        <w:t xml:space="preserve">7000 </w:t>
      </w:r>
      <w:r w:rsidR="003E4DB6">
        <w:t xml:space="preserve">(in today’s dollars) </w:t>
      </w:r>
      <w:r>
        <w:t>by 2050. If in practice we only managed to achieve the pre</w:t>
      </w:r>
      <w:r w:rsidR="001D07ED">
        <w:noBreakHyphen/>
      </w:r>
      <w:proofErr w:type="spellStart"/>
      <w:r w:rsidR="001D07ED">
        <w:t>1990s</w:t>
      </w:r>
      <w:proofErr w:type="spellEnd"/>
      <w:r w:rsidR="001D07ED">
        <w:t xml:space="preserve"> average rate of growth of</w:t>
      </w:r>
      <w:r>
        <w:t xml:space="preserve"> 1.4 per cent, GDP per capita would be reduced by a further $</w:t>
      </w:r>
      <w:r w:rsidR="00C35B1E">
        <w:t>8000</w:t>
      </w:r>
      <w:r>
        <w:t xml:space="preserve">. By contrast, if we could recapture and sustain the exceptional 2 per cent average growth of the </w:t>
      </w:r>
      <w:proofErr w:type="spellStart"/>
      <w:r>
        <w:t>1990s</w:t>
      </w:r>
      <w:proofErr w:type="spellEnd"/>
      <w:r>
        <w:t xml:space="preserve"> — a target set by </w:t>
      </w:r>
      <w:r w:rsidR="00961FCE">
        <w:t xml:space="preserve">Prime Minister Rudd in 2010 — we would </w:t>
      </w:r>
      <w:r w:rsidR="00BD6690">
        <w:t>on average gain</w:t>
      </w:r>
      <w:r w:rsidR="00961FCE">
        <w:t xml:space="preserve"> $</w:t>
      </w:r>
      <w:r w:rsidR="00C35B1E">
        <w:t>18</w:t>
      </w:r>
      <w:r w:rsidR="00FB13DB">
        <w:t xml:space="preserve"> </w:t>
      </w:r>
      <w:r w:rsidR="00C35B1E">
        <w:t>000</w:t>
      </w:r>
      <w:r w:rsidR="00961FCE">
        <w:t xml:space="preserve"> per</w:t>
      </w:r>
      <w:r w:rsidR="00A11B64">
        <w:t> </w:t>
      </w:r>
      <w:r w:rsidR="004D56E5">
        <w:t>capita, with</w:t>
      </w:r>
      <w:r w:rsidR="00961FCE">
        <w:t xml:space="preserve"> GDP </w:t>
      </w:r>
      <w:r w:rsidR="00C35B1E">
        <w:t xml:space="preserve">nearly 20 per cent </w:t>
      </w:r>
      <w:r w:rsidR="009E6743">
        <w:t>g</w:t>
      </w:r>
      <w:r w:rsidR="00961FCE">
        <w:t>reater than otherwise. That would clearly be a stretch, but the closer we can get to it the better</w:t>
      </w:r>
      <w:r w:rsidR="002977B0">
        <w:t xml:space="preserve"> off we stand to be, both economically and socially.</w:t>
      </w:r>
    </w:p>
    <w:p w:rsidR="002977B0" w:rsidRPr="00943C69" w:rsidRDefault="004F0147" w:rsidP="00943C69">
      <w:pPr>
        <w:pStyle w:val="Heading3"/>
      </w:pPr>
      <w:r w:rsidRPr="00943C69">
        <w:t>The</w:t>
      </w:r>
      <w:r w:rsidR="002977B0" w:rsidRPr="00943C69">
        <w:t xml:space="preserve"> policy framework</w:t>
      </w:r>
    </w:p>
    <w:p w:rsidR="002977B0" w:rsidRPr="002977B0" w:rsidRDefault="002977B0" w:rsidP="002977B0">
      <w:pPr>
        <w:pStyle w:val="BodyText"/>
      </w:pPr>
      <w:r>
        <w:t xml:space="preserve">While there </w:t>
      </w:r>
      <w:r w:rsidR="00C35B1E">
        <w:t>is</w:t>
      </w:r>
      <w:r>
        <w:t xml:space="preserve"> widespread agreement that a return to higher productivity growth is desirable, opinions differ considerably as to how governments can best facilitate this. Different interests and </w:t>
      </w:r>
      <w:r w:rsidR="00AC0E9D">
        <w:t>parties</w:t>
      </w:r>
      <w:r w:rsidR="00474A2B">
        <w:t xml:space="preserve"> have focus</w:t>
      </w:r>
      <w:r>
        <w:t>ed on different things and been dism</w:t>
      </w:r>
      <w:r w:rsidR="003E4DB6">
        <w:t>issive of others’ prescriptions, sometimes with good cause.</w:t>
      </w:r>
      <w:r>
        <w:t xml:space="preserve"> Almost any policy proposal having an economic dimension </w:t>
      </w:r>
      <w:r w:rsidR="003E4DB6">
        <w:t xml:space="preserve">has tended to be </w:t>
      </w:r>
      <w:r>
        <w:t>portrayed as ‘pro</w:t>
      </w:r>
      <w:r>
        <w:noBreakHyphen/>
        <w:t xml:space="preserve">productivity’, whether that is </w:t>
      </w:r>
      <w:r w:rsidR="00F02090">
        <w:t>the case</w:t>
      </w:r>
      <w:r>
        <w:t xml:space="preserve"> or not. As a consequence,</w:t>
      </w:r>
      <w:r w:rsidR="003E5880">
        <w:t xml:space="preserve"> the public has become confused or bemused, </w:t>
      </w:r>
      <w:r w:rsidR="00AC0E9D">
        <w:t>ma</w:t>
      </w:r>
      <w:r w:rsidR="00B33AF4">
        <w:t>king</w:t>
      </w:r>
      <w:r w:rsidR="00AC0E9D">
        <w:t xml:space="preserve"> it</w:t>
      </w:r>
      <w:r w:rsidR="003E5880">
        <w:t xml:space="preserve"> difficult to build support for policies and reforms that </w:t>
      </w:r>
      <w:r w:rsidR="00AC0E9D">
        <w:t xml:space="preserve">really </w:t>
      </w:r>
      <w:r w:rsidR="003E5880">
        <w:t>would make a difference.</w:t>
      </w:r>
    </w:p>
    <w:p w:rsidR="002977B0" w:rsidRDefault="003E5880" w:rsidP="00901F01">
      <w:pPr>
        <w:pStyle w:val="BodyText"/>
      </w:pPr>
      <w:r>
        <w:t xml:space="preserve">In </w:t>
      </w:r>
      <w:r w:rsidR="00EE71D1">
        <w:t>various</w:t>
      </w:r>
      <w:r>
        <w:t xml:space="preserve"> studies and reports over the years, and notably in its submission to a parliamentary inquiry in 2009, the Commission has set out a framework that </w:t>
      </w:r>
      <w:r w:rsidR="00121AFC">
        <w:t xml:space="preserve">explains </w:t>
      </w:r>
      <w:r>
        <w:t>how policies can foster or hinder productivity growth, and provides a basis for assessing areas of priority</w:t>
      </w:r>
      <w:r w:rsidR="00FA2403">
        <w:t xml:space="preserve"> (PC</w:t>
      </w:r>
      <w:r w:rsidR="00281BF1">
        <w:t xml:space="preserve"> </w:t>
      </w:r>
      <w:proofErr w:type="spellStart"/>
      <w:r w:rsidR="00D91354">
        <w:t>2009</w:t>
      </w:r>
      <w:r w:rsidR="00474A2B">
        <w:t>a</w:t>
      </w:r>
      <w:proofErr w:type="spellEnd"/>
      <w:r w:rsidR="00C35B1E">
        <w:t>)</w:t>
      </w:r>
      <w:r>
        <w:t>.</w:t>
      </w:r>
    </w:p>
    <w:p w:rsidR="003E5880" w:rsidRDefault="00121AFC" w:rsidP="00901F01">
      <w:pPr>
        <w:pStyle w:val="BodyText"/>
      </w:pPr>
      <w:r>
        <w:t>The essential insight</w:t>
      </w:r>
      <w:r w:rsidR="003E5880">
        <w:t xml:space="preserve"> underlying this policy framework is that productivity begins in workplaces. The ‘headline’ productivity numbers for </w:t>
      </w:r>
      <w:r>
        <w:t>our</w:t>
      </w:r>
      <w:r w:rsidR="003E5880">
        <w:t xml:space="preserve"> economy</w:t>
      </w:r>
      <w:r>
        <w:t>,</w:t>
      </w:r>
      <w:r w:rsidR="003E5880">
        <w:t xml:space="preserve"> or key sectors within it</w:t>
      </w:r>
      <w:r>
        <w:t>,</w:t>
      </w:r>
      <w:r w:rsidR="003E5880">
        <w:t xml:space="preserve"> represent nothing more than the accumulated productivity results achieved by individual enterprises and organisations</w:t>
      </w:r>
      <w:r w:rsidR="004D6364">
        <w:t>.</w:t>
      </w:r>
      <w:r w:rsidR="003E5880">
        <w:t xml:space="preserve"> </w:t>
      </w:r>
      <w:r w:rsidR="00474A2B">
        <w:t>It follows that wh</w:t>
      </w:r>
      <w:r w:rsidR="003E5880">
        <w:t xml:space="preserve">at matters for the productivity performance of individual organisations </w:t>
      </w:r>
      <w:r w:rsidR="004D6364">
        <w:t>— whether in the private or public sectors, and whether operating for profit or not</w:t>
      </w:r>
      <w:r w:rsidR="00474A2B">
        <w:t xml:space="preserve"> — </w:t>
      </w:r>
      <w:r w:rsidR="004D6364">
        <w:t xml:space="preserve"> </w:t>
      </w:r>
      <w:r w:rsidR="003E5880">
        <w:t xml:space="preserve">is also what matters in formulating a </w:t>
      </w:r>
      <w:r w:rsidR="00174241">
        <w:t>‘</w:t>
      </w:r>
      <w:r w:rsidR="003E5880">
        <w:t>productivity policy</w:t>
      </w:r>
      <w:r w:rsidR="00174241">
        <w:t>’</w:t>
      </w:r>
      <w:r w:rsidR="003E5880">
        <w:t xml:space="preserve"> </w:t>
      </w:r>
      <w:r w:rsidR="00174241">
        <w:t>agenda.</w:t>
      </w:r>
    </w:p>
    <w:p w:rsidR="00121AFC" w:rsidRDefault="00121AFC" w:rsidP="00121AFC">
      <w:pPr>
        <w:pStyle w:val="Heading4"/>
      </w:pPr>
      <w:r>
        <w:t>The two contributors to productivity</w:t>
      </w:r>
    </w:p>
    <w:p w:rsidR="00174241" w:rsidRDefault="00121AFC" w:rsidP="00901F01">
      <w:pPr>
        <w:pStyle w:val="BodyText"/>
      </w:pPr>
      <w:r>
        <w:t>There are two</w:t>
      </w:r>
      <w:r w:rsidR="00174241">
        <w:t xml:space="preserve"> crucial determinants of how much firms contribute to a country’s productivity performance: one is ‘innovation’, the other is what economists call ‘creative destruction’.</w:t>
      </w:r>
    </w:p>
    <w:p w:rsidR="00A10A26" w:rsidRDefault="00816776" w:rsidP="00901F01">
      <w:pPr>
        <w:pStyle w:val="BodyText"/>
      </w:pPr>
      <w:r>
        <w:lastRenderedPageBreak/>
        <w:t>An organisation cannot raise its productivity</w:t>
      </w:r>
      <w:r w:rsidR="00174241">
        <w:t xml:space="preserve"> without change — whether through doing new things or doing old things better. In this sense, productivity is virtually synonymous with innovation. However</w:t>
      </w:r>
      <w:r w:rsidR="00E662C5">
        <w:t>,</w:t>
      </w:r>
      <w:r w:rsidR="00174241">
        <w:t xml:space="preserve"> the innovation that </w:t>
      </w:r>
      <w:r w:rsidR="00121AFC">
        <w:t>counts</w:t>
      </w:r>
      <w:r w:rsidR="00174241">
        <w:t xml:space="preserve"> is a much richer concept </w:t>
      </w:r>
      <w:r w:rsidR="00DD1ACB">
        <w:t>than</w:t>
      </w:r>
      <w:r w:rsidR="00174241">
        <w:t xml:space="preserve"> the exogenous </w:t>
      </w:r>
      <w:r w:rsidR="00411E46">
        <w:t>technological</w:t>
      </w:r>
      <w:r w:rsidR="00773209">
        <w:t xml:space="preserve"> advances espoused in</w:t>
      </w:r>
      <w:r w:rsidR="00174241">
        <w:t xml:space="preserve"> economic</w:t>
      </w:r>
      <w:r w:rsidR="00E662C5">
        <w:t>s</w:t>
      </w:r>
      <w:r w:rsidR="00174241">
        <w:t xml:space="preserve"> textbooks. While genuinely new technologies are important in extending the ‘production possib</w:t>
      </w:r>
      <w:r w:rsidR="0079098C">
        <w:t xml:space="preserve">ility frontier’ — particularly </w:t>
      </w:r>
      <w:r w:rsidR="00A10A26">
        <w:t>‘</w:t>
      </w:r>
      <w:r w:rsidR="0079098C">
        <w:t>enabling</w:t>
      </w:r>
      <w:r w:rsidR="00A10A26">
        <w:t>’</w:t>
      </w:r>
      <w:r w:rsidR="00174241">
        <w:t xml:space="preserve"> technologies like electricity </w:t>
      </w:r>
      <w:r w:rsidR="0079098C">
        <w:t xml:space="preserve">or </w:t>
      </w:r>
      <w:proofErr w:type="spellStart"/>
      <w:r w:rsidR="0079098C">
        <w:t>ICT</w:t>
      </w:r>
      <w:proofErr w:type="spellEnd"/>
      <w:r w:rsidR="00174241">
        <w:t xml:space="preserve"> that have multiple applications — </w:t>
      </w:r>
      <w:r w:rsidR="00773209">
        <w:t xml:space="preserve">whether and </w:t>
      </w:r>
      <w:r w:rsidR="00174241">
        <w:t xml:space="preserve">how well </w:t>
      </w:r>
      <w:r w:rsidR="00E662C5">
        <w:t xml:space="preserve">organisations apply </w:t>
      </w:r>
      <w:r w:rsidR="00174241">
        <w:t xml:space="preserve">technologies </w:t>
      </w:r>
      <w:r w:rsidR="003947C4">
        <w:t>in practice</w:t>
      </w:r>
      <w:r w:rsidR="00174241">
        <w:t xml:space="preserve"> is more import</w:t>
      </w:r>
      <w:r w:rsidR="007C2FDF">
        <w:t>ant to a country’s productivity</w:t>
      </w:r>
      <w:r w:rsidR="00FA2403">
        <w:t xml:space="preserve"> (PC</w:t>
      </w:r>
      <w:r w:rsidR="00A10A26">
        <w:t xml:space="preserve"> </w:t>
      </w:r>
      <w:proofErr w:type="spellStart"/>
      <w:r w:rsidR="00A10A26">
        <w:t>2004</w:t>
      </w:r>
      <w:r w:rsidR="0062743E">
        <w:t>a</w:t>
      </w:r>
      <w:proofErr w:type="spellEnd"/>
      <w:r w:rsidR="00A10A26">
        <w:t xml:space="preserve">, </w:t>
      </w:r>
      <w:proofErr w:type="spellStart"/>
      <w:r w:rsidR="00A10A26">
        <w:t>2007a</w:t>
      </w:r>
      <w:proofErr w:type="spellEnd"/>
      <w:r w:rsidR="00A10A26">
        <w:t>)</w:t>
      </w:r>
      <w:r w:rsidR="00174241">
        <w:t xml:space="preserve">. New or different </w:t>
      </w:r>
      <w:r w:rsidR="00773209">
        <w:t>management practi</w:t>
      </w:r>
      <w:r w:rsidR="00626510">
        <w:t>ces, work arrangements and</w:t>
      </w:r>
      <w:r w:rsidR="00A934EC">
        <w:t xml:space="preserve"> supply–chain structures </w:t>
      </w:r>
      <w:r w:rsidR="003947C4">
        <w:t xml:space="preserve">also </w:t>
      </w:r>
      <w:r w:rsidR="00E662C5">
        <w:t>contribute</w:t>
      </w:r>
      <w:r w:rsidR="00174241">
        <w:t xml:space="preserve">, as can improved delivery systems and </w:t>
      </w:r>
      <w:r w:rsidR="00A934EC">
        <w:t>customer r</w:t>
      </w:r>
      <w:r w:rsidR="00174241">
        <w:t>elationships</w:t>
      </w:r>
      <w:r w:rsidR="00A934EC">
        <w:t>.</w:t>
      </w:r>
      <w:r w:rsidR="00174241">
        <w:t xml:space="preserve"> </w:t>
      </w:r>
      <w:r w:rsidR="00A934EC">
        <w:t>Unfortunately</w:t>
      </w:r>
      <w:r w:rsidR="00E662C5">
        <w:t>,</w:t>
      </w:r>
      <w:r w:rsidR="00A934EC">
        <w:t xml:space="preserve"> firm-level data </w:t>
      </w:r>
      <w:r w:rsidR="00A10A26">
        <w:t>on innovation leave</w:t>
      </w:r>
      <w:r w:rsidR="00A934EC">
        <w:t xml:space="preserve"> much to be desired</w:t>
      </w:r>
      <w:r w:rsidR="004A339B">
        <w:t xml:space="preserve"> in seeking to trace this multi-faceted process</w:t>
      </w:r>
      <w:r w:rsidR="00A934EC">
        <w:t xml:space="preserve">. </w:t>
      </w:r>
    </w:p>
    <w:p w:rsidR="001853B0" w:rsidRDefault="001853B0" w:rsidP="00901F01">
      <w:pPr>
        <w:pStyle w:val="BodyText"/>
      </w:pPr>
      <w:r>
        <w:t xml:space="preserve">The productivity of an industry or economy depends not just on the productivity levels of constituent firms or organisations but also on </w:t>
      </w:r>
      <w:r w:rsidR="00424897">
        <w:t>their respective market shares.</w:t>
      </w:r>
      <w:r>
        <w:t xml:space="preserve"> </w:t>
      </w:r>
      <w:r w:rsidR="00245D07">
        <w:t xml:space="preserve">Not all firms in an industry </w:t>
      </w:r>
      <w:r>
        <w:t>are equally productive</w:t>
      </w:r>
      <w:r w:rsidR="003947C4">
        <w:t>.</w:t>
      </w:r>
      <w:r>
        <w:t xml:space="preserve"> </w:t>
      </w:r>
      <w:r w:rsidR="003947C4">
        <w:t>P</w:t>
      </w:r>
      <w:r>
        <w:t>roductivity can be raised in aggregate simply by better performer</w:t>
      </w:r>
      <w:r w:rsidR="0068160F">
        <w:t>s displacing poorer performers</w:t>
      </w:r>
      <w:r w:rsidR="00A10A26">
        <w:t>.</w:t>
      </w:r>
      <w:r w:rsidR="0068160F">
        <w:t xml:space="preserve"> The decline and exit of the weakest performers is thus an important mechanism for delivering </w:t>
      </w:r>
      <w:r w:rsidR="00221F13">
        <w:t xml:space="preserve">aggregate </w:t>
      </w:r>
      <w:r w:rsidR="0068160F">
        <w:t xml:space="preserve">productivity growth. </w:t>
      </w:r>
      <w:r w:rsidR="000528A6">
        <w:t>Indeed, i</w:t>
      </w:r>
      <w:r w:rsidR="00AC791D">
        <w:t>nternational studies attribute between one-fifth and one-half of (labour) productivity growth to such changes in industry composition (Dolman a</w:t>
      </w:r>
      <w:r w:rsidR="00FA2403">
        <w:t xml:space="preserve">nd </w:t>
      </w:r>
      <w:proofErr w:type="spellStart"/>
      <w:r w:rsidR="00FA2403">
        <w:t>Gruen</w:t>
      </w:r>
      <w:proofErr w:type="spellEnd"/>
      <w:r w:rsidR="00AC791D">
        <w:t xml:space="preserve"> 2012). </w:t>
      </w:r>
      <w:r w:rsidR="00EE71D1">
        <w:t xml:space="preserve">The process </w:t>
      </w:r>
      <w:r w:rsidR="00221F13">
        <w:t xml:space="preserve">has been </w:t>
      </w:r>
      <w:r w:rsidR="0068160F">
        <w:t>called ‘creative destruction’</w:t>
      </w:r>
      <w:r w:rsidR="00795558">
        <w:t xml:space="preserve"> because the demise of less successful firms enables the more ‘creative’ (innovative </w:t>
      </w:r>
      <w:r w:rsidR="00221F13">
        <w:t>and</w:t>
      </w:r>
      <w:r w:rsidR="00795558">
        <w:t xml:space="preserve"> productive) use of the released labour and capital in other firms or industries.</w:t>
      </w:r>
    </w:p>
    <w:p w:rsidR="00221F13" w:rsidRDefault="00B46AA0" w:rsidP="00221F13">
      <w:pPr>
        <w:pStyle w:val="Heading4"/>
      </w:pPr>
      <w:r>
        <w:t>The t</w:t>
      </w:r>
      <w:r w:rsidR="00221F13">
        <w:t xml:space="preserve">hree channels of </w:t>
      </w:r>
      <w:r w:rsidR="004A339B">
        <w:t xml:space="preserve">government </w:t>
      </w:r>
      <w:r w:rsidR="00221F13">
        <w:t>influence</w:t>
      </w:r>
    </w:p>
    <w:p w:rsidR="00795558" w:rsidRDefault="00795558" w:rsidP="00901F01">
      <w:pPr>
        <w:pStyle w:val="BodyText"/>
      </w:pPr>
      <w:r>
        <w:t>Decisions that shape the productivity performance (and profitability) of enterprises are ultimately the responsibility of their managers</w:t>
      </w:r>
      <w:r w:rsidR="00245D07">
        <w:t>.</w:t>
      </w:r>
      <w:r w:rsidR="00221F13">
        <w:t xml:space="preserve"> </w:t>
      </w:r>
      <w:r w:rsidR="00245D07">
        <w:t>T</w:t>
      </w:r>
      <w:r w:rsidR="00221F13">
        <w:t>he quality of management is therefore clearly very important — not just in private enterprise (where market disciplines play a useful role) but also within the not</w:t>
      </w:r>
      <w:r w:rsidR="00221F13">
        <w:noBreakHyphen/>
        <w:t>for</w:t>
      </w:r>
      <w:r w:rsidR="00221F13">
        <w:noBreakHyphen/>
        <w:t xml:space="preserve">profit and government sectors. That said, </w:t>
      </w:r>
      <w:r>
        <w:t>managements’ decisions, and the consequences of those decisions</w:t>
      </w:r>
      <w:r w:rsidR="00221F13">
        <w:t>,</w:t>
      </w:r>
      <w:r>
        <w:t xml:space="preserve"> are conditioned by governments — both through the myriad of ‘rules’ within which organisations </w:t>
      </w:r>
      <w:r w:rsidR="00A10A26">
        <w:t xml:space="preserve">must </w:t>
      </w:r>
      <w:r>
        <w:t>operate, and by governments’ taxing and spending behaviours. Policies that en</w:t>
      </w:r>
      <w:r w:rsidR="00D40B68">
        <w:t>courage</w:t>
      </w:r>
      <w:r>
        <w:t xml:space="preserve"> organisations to be cost</w:t>
      </w:r>
      <w:r>
        <w:noBreakHyphen/>
        <w:t xml:space="preserve">conscious and innovative, while not inhibiting better performers from prevailing over weaker ones, can legitimately </w:t>
      </w:r>
      <w:r w:rsidR="0079098C">
        <w:t>be called</w:t>
      </w:r>
      <w:r>
        <w:t xml:space="preserve"> ‘pro</w:t>
      </w:r>
      <w:r>
        <w:noBreakHyphen/>
        <w:t>product</w:t>
      </w:r>
      <w:r w:rsidR="00221F13">
        <w:t>ivity</w:t>
      </w:r>
      <w:r>
        <w:t>’; those having the opposite effects are ‘anti</w:t>
      </w:r>
      <w:r>
        <w:noBreakHyphen/>
        <w:t>productivity’.</w:t>
      </w:r>
    </w:p>
    <w:p w:rsidR="00795558" w:rsidRDefault="00563483" w:rsidP="00901F01">
      <w:pPr>
        <w:pStyle w:val="BodyText"/>
      </w:pPr>
      <w:r>
        <w:t>G</w:t>
      </w:r>
      <w:r w:rsidR="00795558">
        <w:t xml:space="preserve">overnments influence the </w:t>
      </w:r>
      <w:r w:rsidR="00645369">
        <w:t>productivity of firms and organisations</w:t>
      </w:r>
      <w:r w:rsidRPr="00563483">
        <w:t xml:space="preserve"> </w:t>
      </w:r>
      <w:r>
        <w:t>through three main channels</w:t>
      </w:r>
      <w:r w:rsidR="00795558">
        <w:t>:</w:t>
      </w:r>
    </w:p>
    <w:p w:rsidR="00DA7398" w:rsidRDefault="00DA7398" w:rsidP="004F0147">
      <w:pPr>
        <w:pStyle w:val="ListBullet"/>
      </w:pPr>
      <w:r w:rsidRPr="00221F13">
        <w:rPr>
          <w:i/>
        </w:rPr>
        <w:lastRenderedPageBreak/>
        <w:t xml:space="preserve">incentives </w:t>
      </w:r>
      <w:r>
        <w:t>—</w:t>
      </w:r>
      <w:r w:rsidR="00B52EC7">
        <w:t xml:space="preserve"> </w:t>
      </w:r>
      <w:r>
        <w:t xml:space="preserve">the external pressures and disciplines on </w:t>
      </w:r>
      <w:r w:rsidR="00645369">
        <w:t>them</w:t>
      </w:r>
      <w:r>
        <w:t xml:space="preserve"> to perform well</w:t>
      </w:r>
    </w:p>
    <w:p w:rsidR="00DA7398" w:rsidRDefault="00DA7398" w:rsidP="00DA7398">
      <w:pPr>
        <w:pStyle w:val="ListBullet"/>
      </w:pPr>
      <w:r w:rsidRPr="00221F13">
        <w:rPr>
          <w:i/>
        </w:rPr>
        <w:t>capabilities</w:t>
      </w:r>
      <w:r>
        <w:t xml:space="preserve"> — the human resources and knowledge systems, the institutions and infrastructure, needed to devise productivity</w:t>
      </w:r>
      <w:r>
        <w:noBreakHyphen/>
        <w:t xml:space="preserve">enhancing changes and </w:t>
      </w:r>
      <w:r w:rsidR="000E2F67">
        <w:t>support</w:t>
      </w:r>
      <w:r w:rsidR="004F0147">
        <w:t xml:space="preserve"> them effectively</w:t>
      </w:r>
    </w:p>
    <w:p w:rsidR="004F0147" w:rsidRDefault="004F0147" w:rsidP="00DA7398">
      <w:pPr>
        <w:pStyle w:val="ListBullet"/>
      </w:pPr>
      <w:r w:rsidRPr="00221F13">
        <w:rPr>
          <w:i/>
        </w:rPr>
        <w:t>flexibility</w:t>
      </w:r>
      <w:r>
        <w:t xml:space="preserve"> — the scope to make the necessary changes.</w:t>
      </w:r>
    </w:p>
    <w:p w:rsidR="00DA7398" w:rsidRDefault="00DA7398" w:rsidP="00DA7398">
      <w:pPr>
        <w:pStyle w:val="BodyText"/>
      </w:pPr>
      <w:r>
        <w:t xml:space="preserve">The Commission has characterised </w:t>
      </w:r>
      <w:r w:rsidR="0077236B">
        <w:t xml:space="preserve">the </w:t>
      </w:r>
      <w:r w:rsidR="00221F13">
        <w:t>‘</w:t>
      </w:r>
      <w:r>
        <w:t>incentives</w:t>
      </w:r>
      <w:r w:rsidR="00221F13">
        <w:t>’</w:t>
      </w:r>
      <w:r w:rsidR="00A90685">
        <w:t xml:space="preserve"> channel</w:t>
      </w:r>
      <w:r>
        <w:t xml:space="preserve"> as a ‘driver’ of productivity improvements, </w:t>
      </w:r>
      <w:r w:rsidR="00563483">
        <w:t xml:space="preserve">and </w:t>
      </w:r>
      <w:r>
        <w:t>the other two a</w:t>
      </w:r>
      <w:r w:rsidR="00221F13">
        <w:t>s</w:t>
      </w:r>
      <w:r>
        <w:t xml:space="preserve"> ‘enablers’. All three are strongly interactive. </w:t>
      </w:r>
      <w:r w:rsidR="00221F13">
        <w:t>Together,</w:t>
      </w:r>
      <w:r>
        <w:t xml:space="preserve"> they influence the motivation and the ability of organisations to make the changes needed to enhance productivity.</w:t>
      </w:r>
      <w:r w:rsidR="005C4F4D">
        <w:t xml:space="preserve"> The contribution of information t</w:t>
      </w:r>
      <w:r w:rsidR="00C525D9">
        <w:t xml:space="preserve">echnology to productivity growth illustrates this well. </w:t>
      </w:r>
      <w:r w:rsidR="00666FA8">
        <w:t>Both t</w:t>
      </w:r>
      <w:r w:rsidR="00C525D9">
        <w:t xml:space="preserve">heory and evidence </w:t>
      </w:r>
      <w:r w:rsidR="00626510">
        <w:t>demonstrate</w:t>
      </w:r>
      <w:r w:rsidR="00C525D9">
        <w:t xml:space="preserve"> that competition provides a powerful incentive for t</w:t>
      </w:r>
      <w:r w:rsidR="00626510">
        <w:t>he development and uptake of IT. B</w:t>
      </w:r>
      <w:r w:rsidR="00C525D9">
        <w:t>ut new business models at the firm level, including changed work arrangements and skill sets</w:t>
      </w:r>
      <w:r w:rsidR="00626510">
        <w:t>,</w:t>
      </w:r>
      <w:r w:rsidR="00C525D9">
        <w:t xml:space="preserve"> </w:t>
      </w:r>
      <w:r w:rsidR="00563483">
        <w:t>are</w:t>
      </w:r>
      <w:r w:rsidR="005C4F4D">
        <w:t xml:space="preserve"> </w:t>
      </w:r>
      <w:r w:rsidR="00C525D9">
        <w:t xml:space="preserve">needed to </w:t>
      </w:r>
      <w:r w:rsidR="00563483">
        <w:t>fully exploit</w:t>
      </w:r>
      <w:r w:rsidR="00C525D9">
        <w:t xml:space="preserve"> the new technologies</w:t>
      </w:r>
      <w:r w:rsidR="005C4F4D">
        <w:t xml:space="preserve"> (PC</w:t>
      </w:r>
      <w:r w:rsidR="00411E46">
        <w:t xml:space="preserve"> </w:t>
      </w:r>
      <w:proofErr w:type="spellStart"/>
      <w:r w:rsidR="00411E46">
        <w:t>2004</w:t>
      </w:r>
      <w:r w:rsidR="0062743E">
        <w:t>a</w:t>
      </w:r>
      <w:proofErr w:type="spellEnd"/>
      <w:r w:rsidR="005C4F4D">
        <w:t>)</w:t>
      </w:r>
      <w:r w:rsidR="00C525D9">
        <w:t>.</w:t>
      </w:r>
    </w:p>
    <w:p w:rsidR="00C562C1" w:rsidRDefault="00666FA8" w:rsidP="00DA7398">
      <w:pPr>
        <w:pStyle w:val="BodyText"/>
      </w:pPr>
      <w:r>
        <w:t>K</w:t>
      </w:r>
      <w:r w:rsidR="00DA7398">
        <w:t>ey implication</w:t>
      </w:r>
      <w:r>
        <w:t>s</w:t>
      </w:r>
      <w:r w:rsidR="00221F13">
        <w:t xml:space="preserve"> </w:t>
      </w:r>
      <w:r w:rsidR="00626510">
        <w:t>of this</w:t>
      </w:r>
      <w:r w:rsidR="00C525D9">
        <w:t xml:space="preserve"> </w:t>
      </w:r>
      <w:r w:rsidR="00DA7398">
        <w:t xml:space="preserve">framework </w:t>
      </w:r>
      <w:r>
        <w:t xml:space="preserve">are that </w:t>
      </w:r>
      <w:r w:rsidR="00DA7398">
        <w:t>policy needs and priorities could be expected to vary over time</w:t>
      </w:r>
      <w:r>
        <w:t xml:space="preserve"> and</w:t>
      </w:r>
      <w:r w:rsidR="00DA7398">
        <w:t xml:space="preserve"> there is unlikely</w:t>
      </w:r>
      <w:r w:rsidR="00221F13">
        <w:t xml:space="preserve"> ever</w:t>
      </w:r>
      <w:r w:rsidR="00DA7398">
        <w:t xml:space="preserve"> to be a ‘silver bullet’. </w:t>
      </w:r>
      <w:r w:rsidR="006834C3">
        <w:t xml:space="preserve">A related implication is that </w:t>
      </w:r>
      <w:r w:rsidR="00DA7398">
        <w:t xml:space="preserve">productivity is unlikely to improve if policy advances in one channel are countermanded by backsliding </w:t>
      </w:r>
      <w:r w:rsidR="00221F13">
        <w:t>in others</w:t>
      </w:r>
      <w:r w:rsidR="00DA7398">
        <w:t>.</w:t>
      </w:r>
      <w:r w:rsidR="00221F13">
        <w:t xml:space="preserve"> </w:t>
      </w:r>
      <w:r w:rsidR="00C562C1">
        <w:t>A ‘pro</w:t>
      </w:r>
      <w:r w:rsidR="00C562C1">
        <w:noBreakHyphen/>
        <w:t>productivity’ agenda needs to proceed on all three fronts</w:t>
      </w:r>
      <w:r w:rsidR="00C05C15">
        <w:t>.</w:t>
      </w:r>
      <w:r w:rsidR="00C562C1">
        <w:t xml:space="preserve"> Policy consistency is also needed</w:t>
      </w:r>
      <w:r w:rsidR="00221F13">
        <w:t xml:space="preserve"> </w:t>
      </w:r>
      <w:r w:rsidR="00C562C1">
        <w:t xml:space="preserve">to convey the right signals for </w:t>
      </w:r>
      <w:r w:rsidR="006834C3">
        <w:t xml:space="preserve">the </w:t>
      </w:r>
      <w:r w:rsidR="00C562C1">
        <w:t xml:space="preserve">managers </w:t>
      </w:r>
      <w:r w:rsidR="006834C3">
        <w:t xml:space="preserve">and owners of enterprises </w:t>
      </w:r>
      <w:r w:rsidR="00FD38BA">
        <w:t xml:space="preserve">to single-mindedly pursue productivity improvements and </w:t>
      </w:r>
      <w:r w:rsidR="00221F13">
        <w:t>undertake</w:t>
      </w:r>
      <w:r w:rsidR="00C562C1">
        <w:t xml:space="preserve"> </w:t>
      </w:r>
      <w:r w:rsidR="004C306E">
        <w:t xml:space="preserve">the necessary </w:t>
      </w:r>
      <w:r w:rsidR="005C4F4D">
        <w:t>(</w:t>
      </w:r>
      <w:r w:rsidR="00C562C1">
        <w:t>risky</w:t>
      </w:r>
      <w:r w:rsidR="005C4F4D">
        <w:t>)</w:t>
      </w:r>
      <w:r w:rsidR="00C562C1">
        <w:t xml:space="preserve"> innovations and investments</w:t>
      </w:r>
      <w:r w:rsidR="00221F13">
        <w:t>.</w:t>
      </w:r>
      <w:r w:rsidR="005C4F4D">
        <w:t xml:space="preserve"> In more recent years</w:t>
      </w:r>
      <w:r w:rsidR="00563483">
        <w:t>,</w:t>
      </w:r>
      <w:r w:rsidR="005C4F4D">
        <w:t xml:space="preserve"> the signals have become blurred again, prompting a resurgence of rent-seeking behaviour from </w:t>
      </w:r>
      <w:r w:rsidR="00FD38BA">
        <w:t xml:space="preserve">firms and </w:t>
      </w:r>
      <w:r w:rsidR="005C4F4D">
        <w:t>industries under market pressure.</w:t>
      </w:r>
    </w:p>
    <w:p w:rsidR="007937CC" w:rsidRDefault="00F335ED" w:rsidP="00F335ED">
      <w:pPr>
        <w:pStyle w:val="Heading3"/>
      </w:pPr>
      <w:r>
        <w:t>The List</w:t>
      </w:r>
      <w:r w:rsidR="00C4491E">
        <w:t>s</w:t>
      </w:r>
    </w:p>
    <w:p w:rsidR="00E22F50" w:rsidRDefault="00F335ED" w:rsidP="00F335ED">
      <w:pPr>
        <w:pStyle w:val="BodyText"/>
      </w:pPr>
      <w:r>
        <w:t>All three channels of policy influence have been a focus for government initiatives over the years, commencing with the progressive liberalisation of international trade an</w:t>
      </w:r>
      <w:r w:rsidR="00C05C15">
        <w:t xml:space="preserve">d capital flows from the </w:t>
      </w:r>
      <w:proofErr w:type="spellStart"/>
      <w:r w:rsidR="00C05C15">
        <w:t>1980s</w:t>
      </w:r>
      <w:proofErr w:type="spellEnd"/>
      <w:r w:rsidR="00C05C15">
        <w:t>.</w:t>
      </w:r>
    </w:p>
    <w:p w:rsidR="00F335ED" w:rsidRDefault="00F335ED" w:rsidP="00F335ED">
      <w:pPr>
        <w:pStyle w:val="BodyText"/>
      </w:pPr>
      <w:r>
        <w:t xml:space="preserve">But </w:t>
      </w:r>
      <w:r w:rsidR="00E22F50">
        <w:t xml:space="preserve">while governments have </w:t>
      </w:r>
      <w:r w:rsidR="00CE764B">
        <w:t>hardly been</w:t>
      </w:r>
      <w:r w:rsidR="00E22F50">
        <w:t xml:space="preserve"> </w:t>
      </w:r>
      <w:r w:rsidR="00DC3D96">
        <w:t>idle</w:t>
      </w:r>
      <w:r w:rsidR="00E22F50">
        <w:t xml:space="preserve"> on the productivity front, t</w:t>
      </w:r>
      <w:r>
        <w:t xml:space="preserve">here have also been </w:t>
      </w:r>
      <w:r w:rsidR="004C306E">
        <w:t xml:space="preserve">important </w:t>
      </w:r>
      <w:r>
        <w:t xml:space="preserve">omissions and ‘blind spots’. A number of these have been identified by the Commission as requiring action, and should </w:t>
      </w:r>
      <w:r w:rsidR="00DC3D96">
        <w:t xml:space="preserve">continue to </w:t>
      </w:r>
      <w:r w:rsidR="00C05C15">
        <w:t>be on the list</w:t>
      </w:r>
      <w:r w:rsidR="004C306E">
        <w:t xml:space="preserve"> of things for governments to do</w:t>
      </w:r>
      <w:r w:rsidR="00DC3D96">
        <w:t>.</w:t>
      </w:r>
    </w:p>
    <w:p w:rsidR="00F335ED" w:rsidRDefault="00B972D2" w:rsidP="00F335ED">
      <w:pPr>
        <w:pStyle w:val="Heading4"/>
      </w:pPr>
      <w:r>
        <w:lastRenderedPageBreak/>
        <w:t xml:space="preserve">1. </w:t>
      </w:r>
      <w:r w:rsidR="00F335ED">
        <w:t>Incentive policies</w:t>
      </w:r>
    </w:p>
    <w:p w:rsidR="00606141" w:rsidRDefault="00011022" w:rsidP="00F335ED">
      <w:pPr>
        <w:pStyle w:val="BodyText"/>
      </w:pPr>
      <w:r>
        <w:t>As emphasised, productivity improvements generally necessitate changes within organisations and across industries. But change is never</w:t>
      </w:r>
      <w:r w:rsidR="00606141">
        <w:t xml:space="preserve"> easy:</w:t>
      </w:r>
      <w:r>
        <w:t xml:space="preserve"> it requires effort; it can be disruptive, and is often resisted. There need to be good reasons for going to the trouble. </w:t>
      </w:r>
    </w:p>
    <w:p w:rsidR="00606141" w:rsidRDefault="00011022" w:rsidP="00F335ED">
      <w:pPr>
        <w:pStyle w:val="BodyText"/>
      </w:pPr>
      <w:r>
        <w:t>Competition provides such a reason, at least for firms operating in the private sector.</w:t>
      </w:r>
      <w:r w:rsidR="00606141">
        <w:t xml:space="preserve"> </w:t>
      </w:r>
      <w:r>
        <w:t>In competitive markets</w:t>
      </w:r>
      <w:r w:rsidR="00B972D2">
        <w:t>,</w:t>
      </w:r>
      <w:r>
        <w:t xml:space="preserve"> enterprises with relatively low productivity will generally be less profitable than others and will eventually face market</w:t>
      </w:r>
      <w:r w:rsidR="001D07ED">
        <w:t xml:space="preserve"> </w:t>
      </w:r>
      <w:r w:rsidR="00606141">
        <w:t>sanctions.</w:t>
      </w:r>
      <w:r>
        <w:t xml:space="preserve"> As Samuel Johnson famously put it</w:t>
      </w:r>
      <w:r w:rsidR="005C4F4D">
        <w:t xml:space="preserve"> in another context</w:t>
      </w:r>
      <w:r>
        <w:t xml:space="preserve">, </w:t>
      </w:r>
      <w:r w:rsidR="00D45861">
        <w:t>the prospect of a hanging ‘</w:t>
      </w:r>
      <w:r>
        <w:t>concentrates the mind</w:t>
      </w:r>
      <w:r w:rsidR="00D45861">
        <w:t>’</w:t>
      </w:r>
      <w:r>
        <w:t xml:space="preserve">. Competition </w:t>
      </w:r>
      <w:r w:rsidR="00606141">
        <w:t xml:space="preserve">accordingly </w:t>
      </w:r>
      <w:r>
        <w:t xml:space="preserve">drives both innovation and ‘creative destruction’, the dual determinants of a country’s overall productivity performance. </w:t>
      </w:r>
    </w:p>
    <w:p w:rsidR="00011022" w:rsidRDefault="00011022" w:rsidP="00F335ED">
      <w:pPr>
        <w:pStyle w:val="BodyText"/>
      </w:pPr>
      <w:r>
        <w:t xml:space="preserve">Actions that foster competitive markets — including for corporate control — must therefore be fundamental to a </w:t>
      </w:r>
      <w:r w:rsidR="00606141">
        <w:t xml:space="preserve">government’s </w:t>
      </w:r>
      <w:r>
        <w:t>policy agenda to enhance productivity. Exposure to international competition is perhaps the most important area of all, as it obliges local enterprises to strive for world’s best practice.</w:t>
      </w:r>
    </w:p>
    <w:p w:rsidR="00011022" w:rsidRDefault="00011022" w:rsidP="00F335ED">
      <w:pPr>
        <w:pStyle w:val="BodyText"/>
      </w:pPr>
      <w:r>
        <w:t>As noted</w:t>
      </w:r>
      <w:r w:rsidR="000341FD">
        <w:t xml:space="preserve">, Australia has undergone successive rounds of reform directed at opening up industries to </w:t>
      </w:r>
      <w:r w:rsidR="00B52EC7">
        <w:t xml:space="preserve">both </w:t>
      </w:r>
      <w:r w:rsidR="00D813EF">
        <w:t>domestic and foreign</w:t>
      </w:r>
      <w:r w:rsidR="00B52EC7">
        <w:t xml:space="preserve"> competition. These culminated in t</w:t>
      </w:r>
      <w:r w:rsidR="00531261">
        <w:t>he National Competition Policy, w</w:t>
      </w:r>
      <w:r w:rsidR="00B52EC7">
        <w:t>hich remai</w:t>
      </w:r>
      <w:r w:rsidR="00015697">
        <w:t>ns</w:t>
      </w:r>
      <w:r w:rsidR="00B52EC7">
        <w:t xml:space="preserve"> </w:t>
      </w:r>
      <w:r w:rsidR="00531261">
        <w:t xml:space="preserve">embedded </w:t>
      </w:r>
      <w:r w:rsidR="00B52EC7">
        <w:t>in policy-making frameworks today. The benefits to the comm</w:t>
      </w:r>
      <w:r w:rsidR="00FA2403">
        <w:t>unity have been substantial (PC</w:t>
      </w:r>
      <w:r w:rsidR="0062743E">
        <w:t> </w:t>
      </w:r>
      <w:proofErr w:type="spellStart"/>
      <w:r w:rsidR="00B52EC7">
        <w:t>2005</w:t>
      </w:r>
      <w:r w:rsidR="0062743E">
        <w:t>a</w:t>
      </w:r>
      <w:proofErr w:type="spellEnd"/>
      <w:r w:rsidR="00B52EC7">
        <w:t>). I</w:t>
      </w:r>
      <w:r w:rsidR="00804CB0">
        <w:t>t is therefore of concern that</w:t>
      </w:r>
      <w:r w:rsidR="00804CB0" w:rsidRPr="00804CB0">
        <w:t xml:space="preserve"> </w:t>
      </w:r>
      <w:r w:rsidR="00804CB0">
        <w:t xml:space="preserve">progress has stalled </w:t>
      </w:r>
      <w:r w:rsidR="00877768">
        <w:t xml:space="preserve">or even reversed </w:t>
      </w:r>
      <w:r w:rsidR="00804CB0">
        <w:t>i</w:t>
      </w:r>
      <w:r w:rsidR="00B52EC7">
        <w:t xml:space="preserve">n some policy areas. The ‘to do list’ </w:t>
      </w:r>
      <w:r w:rsidR="00531261">
        <w:t xml:space="preserve">among Commission recommendations </w:t>
      </w:r>
      <w:r w:rsidR="00B52EC7">
        <w:t>is still a fairly long one.</w:t>
      </w:r>
    </w:p>
    <w:p w:rsidR="00B52EC7" w:rsidRDefault="00B52EC7" w:rsidP="00B52EC7">
      <w:pPr>
        <w:pStyle w:val="ListBullet"/>
      </w:pPr>
      <w:r>
        <w:rPr>
          <w:i/>
        </w:rPr>
        <w:t>Abolish remaining tariffs (PC</w:t>
      </w:r>
      <w:r w:rsidR="00D813EF">
        <w:rPr>
          <w:i/>
        </w:rPr>
        <w:t xml:space="preserve"> 2000, </w:t>
      </w:r>
      <w:proofErr w:type="spellStart"/>
      <w:r w:rsidR="00D813EF">
        <w:rPr>
          <w:i/>
        </w:rPr>
        <w:t>2008a</w:t>
      </w:r>
      <w:proofErr w:type="spellEnd"/>
      <w:r w:rsidR="00531261">
        <w:rPr>
          <w:i/>
        </w:rPr>
        <w:t xml:space="preserve">, </w:t>
      </w:r>
      <w:proofErr w:type="spellStart"/>
      <w:r w:rsidR="00531261">
        <w:rPr>
          <w:i/>
        </w:rPr>
        <w:t>2010</w:t>
      </w:r>
      <w:r w:rsidR="0062743E">
        <w:rPr>
          <w:i/>
        </w:rPr>
        <w:t>a</w:t>
      </w:r>
      <w:proofErr w:type="spellEnd"/>
      <w:r>
        <w:rPr>
          <w:i/>
        </w:rPr>
        <w:t>)</w:t>
      </w:r>
      <w:r>
        <w:t xml:space="preserve">. Most industries now receive relatively low levels of tariff </w:t>
      </w:r>
      <w:r w:rsidR="00CE7F90">
        <w:t>assistance</w:t>
      </w:r>
      <w:r>
        <w:t xml:space="preserve">, the result of </w:t>
      </w:r>
      <w:r w:rsidR="00DF6144">
        <w:t>incremental reforms over the past 25 or so years. But remaining tariffs still impose unnec</w:t>
      </w:r>
      <w:r w:rsidR="003860E6">
        <w:t>essary costs on the community. T</w:t>
      </w:r>
      <w:r w:rsidR="00DF6144">
        <w:t xml:space="preserve">hey detract from Australia’s productivity </w:t>
      </w:r>
      <w:r w:rsidR="00CE7F90">
        <w:t>primarily by helping to prop</w:t>
      </w:r>
      <w:r w:rsidR="00DF6144">
        <w:t xml:space="preserve"> up an industry’s least productive firms.</w:t>
      </w:r>
      <w:r w:rsidR="00CE7F90">
        <w:t xml:space="preserve"> They also confuse the signals for all industries as to whether their futures lie in the pursuit of productivity or </w:t>
      </w:r>
      <w:r w:rsidR="005C4F4D">
        <w:t>preferment</w:t>
      </w:r>
      <w:r w:rsidR="00CE7F90">
        <w:t>.</w:t>
      </w:r>
    </w:p>
    <w:p w:rsidR="00DC6E3B" w:rsidRDefault="00D813EF">
      <w:pPr>
        <w:pStyle w:val="ListBullet"/>
      </w:pPr>
      <w:r>
        <w:rPr>
          <w:i/>
        </w:rPr>
        <w:t>Limit</w:t>
      </w:r>
      <w:r w:rsidR="00DF6144" w:rsidRPr="00DC6E3B">
        <w:rPr>
          <w:i/>
        </w:rPr>
        <w:t xml:space="preserve"> provisions for anti-‘dumping’ action (PC</w:t>
      </w:r>
      <w:r>
        <w:rPr>
          <w:i/>
        </w:rPr>
        <w:t xml:space="preserve"> </w:t>
      </w:r>
      <w:proofErr w:type="spellStart"/>
      <w:r>
        <w:rPr>
          <w:i/>
        </w:rPr>
        <w:t>2009b</w:t>
      </w:r>
      <w:proofErr w:type="spellEnd"/>
      <w:r w:rsidR="00DF6144" w:rsidRPr="00DC6E3B">
        <w:rPr>
          <w:i/>
        </w:rPr>
        <w:t>)</w:t>
      </w:r>
      <w:r w:rsidR="00DF6144">
        <w:t>. Selling goods abroad at prices below those at home is normal business practice</w:t>
      </w:r>
      <w:r w:rsidR="00531261">
        <w:t xml:space="preserve"> in various circumstances and </w:t>
      </w:r>
      <w:r w:rsidR="00DF6144">
        <w:t xml:space="preserve">one adopted by many Australian firms. Imposing (often sizeable) penalty duties on </w:t>
      </w:r>
      <w:r w:rsidR="003860E6">
        <w:t>such</w:t>
      </w:r>
      <w:r w:rsidR="00DF6144">
        <w:t xml:space="preserve"> imports protects less competitive firms at the </w:t>
      </w:r>
      <w:r w:rsidR="001D07ED">
        <w:t>expense not only of consumers,</w:t>
      </w:r>
      <w:r w:rsidR="00DF6144">
        <w:t xml:space="preserve"> bu</w:t>
      </w:r>
      <w:r w:rsidR="00DC6E3B">
        <w:t xml:space="preserve">t </w:t>
      </w:r>
      <w:r w:rsidR="003860E6">
        <w:t xml:space="preserve">also other </w:t>
      </w:r>
      <w:r w:rsidR="00DC6E3B">
        <w:t>local user industries (as</w:t>
      </w:r>
      <w:r w:rsidR="00DF6144">
        <w:t xml:space="preserve"> </w:t>
      </w:r>
      <w:r w:rsidR="005C4F4D">
        <w:t xml:space="preserve">the </w:t>
      </w:r>
      <w:r w:rsidR="00DF6144">
        <w:t>auto assemblers are finding</w:t>
      </w:r>
      <w:r w:rsidR="00DC6E3B">
        <w:t xml:space="preserve"> right now</w:t>
      </w:r>
      <w:r w:rsidR="00EC19DC">
        <w:t xml:space="preserve"> in relation</w:t>
      </w:r>
      <w:r w:rsidR="00531261">
        <w:t xml:space="preserve"> to their steel inputs</w:t>
      </w:r>
      <w:r w:rsidR="00DC6E3B">
        <w:t xml:space="preserve">). The rules allowing such </w:t>
      </w:r>
      <w:r w:rsidR="00DC6E3B" w:rsidRPr="00DC6E3B">
        <w:lastRenderedPageBreak/>
        <w:t>‘administered protection’ should be tight</w:t>
      </w:r>
      <w:r w:rsidR="005C4F4D">
        <w:t>ened</w:t>
      </w:r>
      <w:r w:rsidR="003860E6">
        <w:t xml:space="preserve"> in the </w:t>
      </w:r>
      <w:r w:rsidR="005C4F4D">
        <w:t xml:space="preserve">true </w:t>
      </w:r>
      <w:r w:rsidR="003860E6">
        <w:t>spirit of the WTO a</w:t>
      </w:r>
      <w:r w:rsidR="00DC6E3B" w:rsidRPr="00DC6E3B">
        <w:t>ccord, not made more permissive</w:t>
      </w:r>
      <w:r w:rsidR="00DC6E3B">
        <w:t>.</w:t>
      </w:r>
      <w:r w:rsidR="008F661B">
        <w:t xml:space="preserve"> </w:t>
      </w:r>
    </w:p>
    <w:p w:rsidR="00DC6E3B" w:rsidRPr="00C100A1" w:rsidRDefault="00DC6E3B">
      <w:pPr>
        <w:pStyle w:val="ListBullet"/>
        <w:rPr>
          <w:i/>
        </w:rPr>
      </w:pPr>
      <w:r>
        <w:rPr>
          <w:i/>
        </w:rPr>
        <w:t xml:space="preserve">Terminate selective industry subsidies that cannot </w:t>
      </w:r>
      <w:r w:rsidR="008F661B">
        <w:rPr>
          <w:i/>
        </w:rPr>
        <w:t xml:space="preserve">deliver </w:t>
      </w:r>
      <w:r>
        <w:rPr>
          <w:i/>
        </w:rPr>
        <w:t>demonstra</w:t>
      </w:r>
      <w:r w:rsidR="008F661B">
        <w:rPr>
          <w:i/>
        </w:rPr>
        <w:t>ble</w:t>
      </w:r>
      <w:r>
        <w:rPr>
          <w:i/>
        </w:rPr>
        <w:t xml:space="preserve"> net social </w:t>
      </w:r>
      <w:r w:rsidRPr="00DC6E3B">
        <w:rPr>
          <w:i/>
        </w:rPr>
        <w:t>benefits (PC</w:t>
      </w:r>
      <w:r w:rsidR="00064CA4">
        <w:rPr>
          <w:i/>
        </w:rPr>
        <w:t xml:space="preserve"> </w:t>
      </w:r>
      <w:proofErr w:type="spellStart"/>
      <w:r w:rsidR="00064CA4">
        <w:rPr>
          <w:i/>
        </w:rPr>
        <w:t>2008a</w:t>
      </w:r>
      <w:proofErr w:type="spellEnd"/>
      <w:r w:rsidR="00F46E4A">
        <w:rPr>
          <w:i/>
        </w:rPr>
        <w:t xml:space="preserve">, </w:t>
      </w:r>
      <w:proofErr w:type="spellStart"/>
      <w:r w:rsidR="00F46E4A">
        <w:rPr>
          <w:i/>
        </w:rPr>
        <w:t>2009c</w:t>
      </w:r>
      <w:proofErr w:type="spellEnd"/>
      <w:r w:rsidRPr="006D00C5">
        <w:rPr>
          <w:i/>
        </w:rPr>
        <w:t>).</w:t>
      </w:r>
      <w:r>
        <w:t xml:space="preserve"> Unless they rectify a (legitimate) market failure, industry subsidies merely serve to sustain the market performance of less productive and competitive firms</w:t>
      </w:r>
      <w:r w:rsidR="00531261">
        <w:t xml:space="preserve"> or activities</w:t>
      </w:r>
      <w:r>
        <w:t>, lowering Australia’s productivity in the process. Such programs</w:t>
      </w:r>
      <w:r w:rsidR="00995F25">
        <w:t>,</w:t>
      </w:r>
      <w:r>
        <w:t xml:space="preserve"> totalling </w:t>
      </w:r>
      <w:r w:rsidR="00531261">
        <w:t>nearly $9 </w:t>
      </w:r>
      <w:r>
        <w:t>billion ann</w:t>
      </w:r>
      <w:r w:rsidR="00995F25">
        <w:t>ually from Australian taxpayers</w:t>
      </w:r>
      <w:r w:rsidR="00064CA4">
        <w:t xml:space="preserve"> (PC </w:t>
      </w:r>
      <w:proofErr w:type="spellStart"/>
      <w:r w:rsidR="00531261">
        <w:t>2012</w:t>
      </w:r>
      <w:r w:rsidR="0062743E">
        <w:t>e</w:t>
      </w:r>
      <w:proofErr w:type="spellEnd"/>
      <w:r w:rsidR="00064CA4">
        <w:t>)</w:t>
      </w:r>
      <w:r w:rsidR="00995F25">
        <w:t>,</w:t>
      </w:r>
      <w:r>
        <w:t xml:space="preserve"> should be terminated if they cannot be demonstrated to yield a net payoff to the </w:t>
      </w:r>
      <w:r w:rsidR="00531261">
        <w:t>community</w:t>
      </w:r>
      <w:r>
        <w:t xml:space="preserve">. </w:t>
      </w:r>
      <w:r w:rsidR="00995F25">
        <w:t>(</w:t>
      </w:r>
      <w:r>
        <w:t>Taxpayer support</w:t>
      </w:r>
      <w:r w:rsidR="00C100A1">
        <w:t xml:space="preserve"> </w:t>
      </w:r>
      <w:r w:rsidR="00CE0C89">
        <w:t>for</w:t>
      </w:r>
      <w:r w:rsidR="00C100A1">
        <w:t xml:space="preserve"> </w:t>
      </w:r>
      <w:r w:rsidR="00D45861">
        <w:t>private sector businesses</w:t>
      </w:r>
      <w:r w:rsidR="00C100A1">
        <w:t xml:space="preserve"> cannot even loosely be characterised as ‘co-investment’ unless </w:t>
      </w:r>
      <w:r w:rsidR="00995F25">
        <w:t xml:space="preserve">this </w:t>
      </w:r>
      <w:r w:rsidR="00C100A1">
        <w:t>test</w:t>
      </w:r>
      <w:r w:rsidR="00995F25">
        <w:t xml:space="preserve"> is satisfied.)</w:t>
      </w:r>
      <w:r w:rsidR="00C100A1">
        <w:t xml:space="preserve"> In particular:</w:t>
      </w:r>
    </w:p>
    <w:p w:rsidR="00C100A1" w:rsidRDefault="00C100A1" w:rsidP="00C100A1">
      <w:pPr>
        <w:pStyle w:val="ListBullet2"/>
      </w:pPr>
      <w:r>
        <w:t>subsidies to</w:t>
      </w:r>
      <w:r w:rsidR="006C3C0E">
        <w:t xml:space="preserve"> support ‘innovation’, including ‘green technologies’, in specific industries (such as the </w:t>
      </w:r>
      <w:r w:rsidR="00995F25">
        <w:t xml:space="preserve">assistance </w:t>
      </w:r>
      <w:r w:rsidR="00D45861">
        <w:t xml:space="preserve">programs for the </w:t>
      </w:r>
      <w:r w:rsidR="006C3C0E">
        <w:t xml:space="preserve">Automotive and Renewable Energy </w:t>
      </w:r>
      <w:r w:rsidR="00D45861">
        <w:t>industries</w:t>
      </w:r>
      <w:r w:rsidR="006C3C0E">
        <w:t xml:space="preserve">) </w:t>
      </w:r>
      <w:r w:rsidR="00531261">
        <w:t xml:space="preserve">which currently amount to over $3 billion, </w:t>
      </w:r>
      <w:r w:rsidR="006C3C0E">
        <w:t xml:space="preserve">need to be able to </w:t>
      </w:r>
      <w:r w:rsidR="00EE71D1">
        <w:t>deliver</w:t>
      </w:r>
      <w:r w:rsidR="006C3C0E">
        <w:t xml:space="preserve"> socially valuable </w:t>
      </w:r>
      <w:proofErr w:type="spellStart"/>
      <w:r w:rsidR="006C3C0E">
        <w:t>spillovers</w:t>
      </w:r>
      <w:proofErr w:type="spellEnd"/>
      <w:r w:rsidR="006C3C0E">
        <w:t xml:space="preserve"> </w:t>
      </w:r>
      <w:r w:rsidR="00064CA4">
        <w:t>over and above</w:t>
      </w:r>
      <w:r w:rsidR="006C3C0E">
        <w:t xml:space="preserve"> </w:t>
      </w:r>
      <w:r w:rsidR="00125B44">
        <w:t xml:space="preserve">those </w:t>
      </w:r>
      <w:r w:rsidR="006C3C0E">
        <w:t>attainable through generic support (such as the R &amp; D Tax Concession)</w:t>
      </w:r>
      <w:r w:rsidR="00EC19DC">
        <w:t>;</w:t>
      </w:r>
    </w:p>
    <w:p w:rsidR="00531261" w:rsidRDefault="00531261" w:rsidP="00C100A1">
      <w:pPr>
        <w:pStyle w:val="ListBullet2"/>
      </w:pPr>
      <w:r>
        <w:t xml:space="preserve">adjustment assistance should facilitate change and be directed primarily at enhancing the skills and mobility of workers, rather than supporting firms under </w:t>
      </w:r>
      <w:r w:rsidR="00EC19DC">
        <w:t xml:space="preserve">competitive </w:t>
      </w:r>
      <w:r>
        <w:t>pressure (PC 200</w:t>
      </w:r>
      <w:r w:rsidR="00EE1B70">
        <w:t>1</w:t>
      </w:r>
      <w:r>
        <w:t xml:space="preserve">, </w:t>
      </w:r>
      <w:proofErr w:type="spellStart"/>
      <w:r>
        <w:t>2012</w:t>
      </w:r>
      <w:r w:rsidR="0062743E">
        <w:t>e</w:t>
      </w:r>
      <w:proofErr w:type="spellEnd"/>
      <w:r>
        <w:t>).</w:t>
      </w:r>
    </w:p>
    <w:p w:rsidR="00BD072B" w:rsidRDefault="00531261" w:rsidP="00BD072B">
      <w:pPr>
        <w:pStyle w:val="ListBullet"/>
      </w:pPr>
      <w:r>
        <w:rPr>
          <w:i/>
        </w:rPr>
        <w:t>Exte</w:t>
      </w:r>
      <w:r w:rsidR="00EC19DC">
        <w:rPr>
          <w:i/>
        </w:rPr>
        <w:t>nd</w:t>
      </w:r>
      <w:r>
        <w:rPr>
          <w:i/>
        </w:rPr>
        <w:t xml:space="preserve"> reforms to</w:t>
      </w:r>
      <w:r w:rsidR="00BD072B">
        <w:rPr>
          <w:i/>
        </w:rPr>
        <w:t xml:space="preserve"> drought support (PC</w:t>
      </w:r>
      <w:r w:rsidR="00064CA4">
        <w:rPr>
          <w:i/>
        </w:rPr>
        <w:t xml:space="preserve"> </w:t>
      </w:r>
      <w:proofErr w:type="spellStart"/>
      <w:r w:rsidR="00064CA4">
        <w:rPr>
          <w:i/>
        </w:rPr>
        <w:t>2009</w:t>
      </w:r>
      <w:r w:rsidR="00F46E4A">
        <w:rPr>
          <w:i/>
        </w:rPr>
        <w:t>d</w:t>
      </w:r>
      <w:proofErr w:type="spellEnd"/>
      <w:r w:rsidR="00BD072B">
        <w:rPr>
          <w:i/>
        </w:rPr>
        <w:t>)</w:t>
      </w:r>
      <w:r w:rsidR="00BD072B">
        <w:t xml:space="preserve"> </w:t>
      </w:r>
      <w:r w:rsidR="00EC19DC">
        <w:t xml:space="preserve">so as </w:t>
      </w:r>
      <w:r>
        <w:t xml:space="preserve">to move from open-ended </w:t>
      </w:r>
      <w:r w:rsidR="00BD072B">
        <w:t xml:space="preserve">assistance for farmers facing hardship, </w:t>
      </w:r>
      <w:r>
        <w:t>to arrangements with</w:t>
      </w:r>
      <w:r w:rsidR="00BD072B">
        <w:t xml:space="preserve"> common criteria and duration provisions.</w:t>
      </w:r>
    </w:p>
    <w:p w:rsidR="006C3C0E" w:rsidRDefault="006C3C0E" w:rsidP="006C3C0E">
      <w:pPr>
        <w:pStyle w:val="ListBullet"/>
      </w:pPr>
      <w:r>
        <w:rPr>
          <w:i/>
        </w:rPr>
        <w:t>Phase out public sector procurement preferences (PC</w:t>
      </w:r>
      <w:r w:rsidR="00064CA4">
        <w:rPr>
          <w:i/>
        </w:rPr>
        <w:t xml:space="preserve"> </w:t>
      </w:r>
      <w:proofErr w:type="spellStart"/>
      <w:r w:rsidR="00064CA4">
        <w:rPr>
          <w:i/>
        </w:rPr>
        <w:t>2008a</w:t>
      </w:r>
      <w:proofErr w:type="spellEnd"/>
      <w:r>
        <w:rPr>
          <w:i/>
        </w:rPr>
        <w:t>).</w:t>
      </w:r>
      <w:r>
        <w:t xml:space="preserve"> Favouring local suppliers on grounds other than price and quality inflates budgetary costs, detracts from government service</w:t>
      </w:r>
      <w:r w:rsidR="009421E6">
        <w:t xml:space="preserve"> performance </w:t>
      </w:r>
      <w:r w:rsidR="00064CA4">
        <w:t xml:space="preserve">(including Australia’s defence capability) </w:t>
      </w:r>
      <w:r w:rsidR="009421E6">
        <w:t>and</w:t>
      </w:r>
      <w:r w:rsidR="00125B44">
        <w:t>,</w:t>
      </w:r>
      <w:r w:rsidR="009421E6">
        <w:t xml:space="preserve"> once again</w:t>
      </w:r>
      <w:r w:rsidR="00125B44">
        <w:t>,</w:t>
      </w:r>
      <w:r w:rsidR="009421E6">
        <w:t xml:space="preserve"> undermines productivity by enabling less productive firms to retain market share and hold onto scarce resources.</w:t>
      </w:r>
    </w:p>
    <w:p w:rsidR="009421E6" w:rsidRDefault="009421E6" w:rsidP="006C3C0E">
      <w:pPr>
        <w:pStyle w:val="ListBullet"/>
      </w:pPr>
      <w:r>
        <w:rPr>
          <w:i/>
        </w:rPr>
        <w:t>Conduct a second, more focussed round of NCP reviews (PC</w:t>
      </w:r>
      <w:r w:rsidR="00064CA4">
        <w:rPr>
          <w:i/>
        </w:rPr>
        <w:t xml:space="preserve"> </w:t>
      </w:r>
      <w:proofErr w:type="spellStart"/>
      <w:r w:rsidR="00064CA4">
        <w:rPr>
          <w:i/>
        </w:rPr>
        <w:t>2005</w:t>
      </w:r>
      <w:r w:rsidR="0062743E">
        <w:rPr>
          <w:i/>
        </w:rPr>
        <w:t>a</w:t>
      </w:r>
      <w:proofErr w:type="spellEnd"/>
      <w:r w:rsidR="00064CA4">
        <w:rPr>
          <w:i/>
        </w:rPr>
        <w:t xml:space="preserve">, </w:t>
      </w:r>
      <w:proofErr w:type="spellStart"/>
      <w:r w:rsidR="00064CA4">
        <w:rPr>
          <w:i/>
        </w:rPr>
        <w:t>20</w:t>
      </w:r>
      <w:r w:rsidR="00EA591C">
        <w:rPr>
          <w:i/>
        </w:rPr>
        <w:t>11i</w:t>
      </w:r>
      <w:proofErr w:type="spellEnd"/>
      <w:r w:rsidR="00EA591C">
        <w:rPr>
          <w:i/>
        </w:rPr>
        <w:t>)</w:t>
      </w:r>
      <w:r>
        <w:t xml:space="preserve"> Reviews need to target the more significant restrictions on competition that avoided</w:t>
      </w:r>
      <w:r w:rsidR="00125B44">
        <w:t>,</w:t>
      </w:r>
      <w:r>
        <w:t xml:space="preserve"> or were not adequately subjected to</w:t>
      </w:r>
      <w:r w:rsidR="00125B44">
        <w:t>,</w:t>
      </w:r>
      <w:r>
        <w:t xml:space="preserve"> </w:t>
      </w:r>
      <w:r w:rsidR="008F661B">
        <w:t xml:space="preserve">rigorous and </w:t>
      </w:r>
      <w:r>
        <w:t>independent scrutiny in the first round of NCP legislative reviews</w:t>
      </w:r>
      <w:r w:rsidR="008F661B">
        <w:t>, or where the economic environment has significantly changed</w:t>
      </w:r>
      <w:r>
        <w:t xml:space="preserve">. </w:t>
      </w:r>
      <w:r w:rsidR="00D45861">
        <w:t>Priorities</w:t>
      </w:r>
      <w:r>
        <w:t xml:space="preserve"> include:</w:t>
      </w:r>
    </w:p>
    <w:p w:rsidR="009421E6" w:rsidRDefault="003E363F" w:rsidP="009421E6">
      <w:pPr>
        <w:pStyle w:val="ListBullet2"/>
      </w:pPr>
      <w:r>
        <w:rPr>
          <w:i/>
        </w:rPr>
        <w:t>p</w:t>
      </w:r>
      <w:r w:rsidR="009421E6">
        <w:rPr>
          <w:i/>
        </w:rPr>
        <w:t>harmacy ownership restrictions</w:t>
      </w:r>
      <w:r w:rsidR="009421E6">
        <w:t>, which add to</w:t>
      </w:r>
      <w:r>
        <w:t xml:space="preserve"> healthcare co</w:t>
      </w:r>
      <w:r w:rsidR="00A97153">
        <w:t>sts for little apparent benefit</w:t>
      </w:r>
    </w:p>
    <w:p w:rsidR="003E363F" w:rsidRDefault="003E363F" w:rsidP="009421E6">
      <w:pPr>
        <w:pStyle w:val="ListBullet2"/>
      </w:pPr>
      <w:r>
        <w:rPr>
          <w:i/>
        </w:rPr>
        <w:t>taxi licence quotas</w:t>
      </w:r>
      <w:r>
        <w:t>, which raise transport costs and make it harder to reduce urban congestion, without demonstrably enh</w:t>
      </w:r>
      <w:r w:rsidR="00A97153">
        <w:t>ancing either safety or quality</w:t>
      </w:r>
    </w:p>
    <w:p w:rsidR="003E363F" w:rsidRDefault="003E363F" w:rsidP="009421E6">
      <w:pPr>
        <w:pStyle w:val="ListBullet2"/>
      </w:pPr>
      <w:r>
        <w:rPr>
          <w:i/>
        </w:rPr>
        <w:lastRenderedPageBreak/>
        <w:t>coastal shipping protection,</w:t>
      </w:r>
      <w:r>
        <w:t xml:space="preserve"> which has recently been strengthened — raising costs to user industries and weakening inter-modal competition — without being subj</w:t>
      </w:r>
      <w:r w:rsidR="00A97153">
        <w:t>ected to a public interest test</w:t>
      </w:r>
    </w:p>
    <w:p w:rsidR="003E363F" w:rsidRDefault="00600A5D" w:rsidP="009421E6">
      <w:pPr>
        <w:pStyle w:val="ListBullet2"/>
      </w:pPr>
      <w:r>
        <w:rPr>
          <w:i/>
        </w:rPr>
        <w:t xml:space="preserve">the </w:t>
      </w:r>
      <w:r w:rsidR="00F32E2C">
        <w:rPr>
          <w:i/>
        </w:rPr>
        <w:t>b</w:t>
      </w:r>
      <w:r w:rsidR="003E363F">
        <w:rPr>
          <w:i/>
        </w:rPr>
        <w:t>an on parallel book imports,</w:t>
      </w:r>
      <w:r w:rsidR="003E363F">
        <w:t xml:space="preserve"> which, although recently re</w:t>
      </w:r>
      <w:r>
        <w:t>tained</w:t>
      </w:r>
      <w:r w:rsidR="003E363F">
        <w:t>, would benefit from a further review in light of ongoing</w:t>
      </w:r>
      <w:r w:rsidR="00453BFF">
        <w:t xml:space="preserve"> market and technol</w:t>
      </w:r>
      <w:r w:rsidR="00A97153">
        <w:t>ogical developments</w:t>
      </w:r>
    </w:p>
    <w:p w:rsidR="003E0E99" w:rsidRDefault="00411E46" w:rsidP="00064CA4">
      <w:pPr>
        <w:pStyle w:val="ListBullet2"/>
      </w:pPr>
      <w:r>
        <w:rPr>
          <w:i/>
        </w:rPr>
        <w:t xml:space="preserve">unduly restrictive </w:t>
      </w:r>
      <w:r w:rsidR="003E0E99">
        <w:rPr>
          <w:i/>
        </w:rPr>
        <w:t>licensing and self-regulation of certain professional services,</w:t>
      </w:r>
      <w:r w:rsidR="003E0E99">
        <w:t xml:space="preserve"> including within the medical and legal fraternities.</w:t>
      </w:r>
    </w:p>
    <w:p w:rsidR="00453BFF" w:rsidRDefault="00D40B8A" w:rsidP="00453BFF">
      <w:pPr>
        <w:pStyle w:val="Heading4"/>
      </w:pPr>
      <w:r>
        <w:t xml:space="preserve">2. </w:t>
      </w:r>
      <w:r w:rsidR="00453BFF">
        <w:t>Capability policies</w:t>
      </w:r>
    </w:p>
    <w:p w:rsidR="00453BFF" w:rsidRDefault="00453BFF" w:rsidP="00453BFF">
      <w:pPr>
        <w:pStyle w:val="BodyText"/>
      </w:pPr>
      <w:r>
        <w:t xml:space="preserve">How well organisations respond to challenges and opportunities in their operating environments comes down to </w:t>
      </w:r>
      <w:r w:rsidR="009B7800">
        <w:t xml:space="preserve">the capability of </w:t>
      </w:r>
      <w:r>
        <w:t xml:space="preserve">their people and the systems that support them. Organisations need managers who can </w:t>
      </w:r>
      <w:r w:rsidR="009B7800">
        <w:t xml:space="preserve">effectively </w:t>
      </w:r>
      <w:r>
        <w:t>seek out and develop better ways of doing things, and employees with the skills</w:t>
      </w:r>
      <w:r w:rsidR="00DD1E5F">
        <w:t xml:space="preserve"> necessary to adapt</w:t>
      </w:r>
      <w:r>
        <w:t xml:space="preserve">. </w:t>
      </w:r>
      <w:r w:rsidR="005947F5">
        <w:t>Investment in h</w:t>
      </w:r>
      <w:r>
        <w:t xml:space="preserve">uman capital development is thus fundamental to innovation and </w:t>
      </w:r>
      <w:r w:rsidR="00DD1E5F">
        <w:t xml:space="preserve">the related </w:t>
      </w:r>
      <w:r>
        <w:t xml:space="preserve">productivity improvements within enterprises. But complementary investments in the systems that support firm-level innovation </w:t>
      </w:r>
      <w:r w:rsidR="00600A5D">
        <w:t xml:space="preserve">are </w:t>
      </w:r>
      <w:r>
        <w:t xml:space="preserve">also important, as </w:t>
      </w:r>
      <w:r w:rsidR="00600A5D">
        <w:t xml:space="preserve">are </w:t>
      </w:r>
      <w:r>
        <w:t>the infrastructure services on which most firms depend.</w:t>
      </w:r>
    </w:p>
    <w:p w:rsidR="00453BFF" w:rsidRDefault="00073E92" w:rsidP="00453BFF">
      <w:pPr>
        <w:pStyle w:val="Heading5"/>
      </w:pPr>
      <w:r>
        <w:t>A</w:t>
      </w:r>
      <w:r w:rsidR="00453BFF">
        <w:t xml:space="preserve"> ‘human capital’ list</w:t>
      </w:r>
    </w:p>
    <w:p w:rsidR="00960F61" w:rsidRDefault="00453BFF" w:rsidP="00453BFF">
      <w:pPr>
        <w:pStyle w:val="BodyText"/>
      </w:pPr>
      <w:r>
        <w:t>Much human capital is inherent in the aptitude</w:t>
      </w:r>
      <w:r w:rsidR="007E63B2">
        <w:t>s</w:t>
      </w:r>
      <w:r>
        <w:t xml:space="preserve"> and life experiences of people. But the demands of the ‘information age’ </w:t>
      </w:r>
      <w:r w:rsidR="007E63B2">
        <w:t xml:space="preserve">increasingly require </w:t>
      </w:r>
      <w:r>
        <w:t xml:space="preserve">higher level skills </w:t>
      </w:r>
      <w:r w:rsidR="007E63B2">
        <w:t>that are best</w:t>
      </w:r>
      <w:r>
        <w:t xml:space="preserve"> acquired through formal education and training. Such skills are of two kinds: specific </w:t>
      </w:r>
      <w:r w:rsidR="00F5157D">
        <w:t>and</w:t>
      </w:r>
      <w:r>
        <w:t xml:space="preserve"> generic</w:t>
      </w:r>
      <w:r w:rsidR="00F5157D">
        <w:t>.</w:t>
      </w:r>
      <w:r>
        <w:t xml:space="preserve"> Both are important, but the innovation and adaptation that underpin productivity growth are placing increasing demands on </w:t>
      </w:r>
      <w:r w:rsidR="007E63B2">
        <w:t xml:space="preserve">the </w:t>
      </w:r>
      <w:r>
        <w:t>more general analytical</w:t>
      </w:r>
      <w:r w:rsidR="00210F8A">
        <w:t xml:space="preserve">, discovery and communication skills. These are grounded in </w:t>
      </w:r>
      <w:r w:rsidR="00600A5D">
        <w:t xml:space="preserve">the </w:t>
      </w:r>
      <w:r w:rsidR="00210F8A">
        <w:t>literacy and numeracy acquired progressively at school and developed th</w:t>
      </w:r>
      <w:r w:rsidR="00B42E7B">
        <w:t>rough</w:t>
      </w:r>
      <w:r w:rsidR="00210F8A">
        <w:t xml:space="preserve"> hi</w:t>
      </w:r>
      <w:r w:rsidR="00B42E7B">
        <w:t xml:space="preserve">gher </w:t>
      </w:r>
      <w:r w:rsidR="00073E92">
        <w:t>education</w:t>
      </w:r>
      <w:r w:rsidR="00B42E7B">
        <w:t xml:space="preserve">. </w:t>
      </w:r>
    </w:p>
    <w:p w:rsidR="00453BFF" w:rsidRDefault="00B42E7B" w:rsidP="00453BFF">
      <w:pPr>
        <w:pStyle w:val="BodyText"/>
      </w:pPr>
      <w:r>
        <w:t>The related policy challenges are many</w:t>
      </w:r>
      <w:r w:rsidR="00EC19DC">
        <w:t>,</w:t>
      </w:r>
      <w:r w:rsidR="007E63B2">
        <w:t xml:space="preserve"> and</w:t>
      </w:r>
      <w:r>
        <w:t xml:space="preserve"> </w:t>
      </w:r>
      <w:r w:rsidR="00EC19DC">
        <w:t xml:space="preserve">they </w:t>
      </w:r>
      <w:r>
        <w:t>vary across the different components of the education system</w:t>
      </w:r>
      <w:r w:rsidR="007E63B2">
        <w:t>. E</w:t>
      </w:r>
      <w:r>
        <w:t xml:space="preserve">nsuring quality teaching </w:t>
      </w:r>
      <w:r w:rsidR="00F5157D">
        <w:t>is</w:t>
      </w:r>
      <w:r>
        <w:t xml:space="preserve"> fundamental </w:t>
      </w:r>
      <w:r w:rsidR="007E63B2">
        <w:t>in all areas, but has</w:t>
      </w:r>
      <w:r>
        <w:t xml:space="preserve"> been a neglected area of education policy. </w:t>
      </w:r>
      <w:r w:rsidR="00B50309">
        <w:t>Indeed cert</w:t>
      </w:r>
      <w:r w:rsidR="005947F5">
        <w:t xml:space="preserve">ain policies have undermined it. </w:t>
      </w:r>
      <w:r>
        <w:t>Recent attempts under COAG to rectify the situation, and enhance the performance of education and training systems generally, have resulted in a proliferation of programs</w:t>
      </w:r>
      <w:r w:rsidR="005947F5">
        <w:t xml:space="preserve">, not all of </w:t>
      </w:r>
      <w:r w:rsidR="007E63B2">
        <w:t>which</w:t>
      </w:r>
      <w:r>
        <w:t xml:space="preserve"> have been evidence-based.</w:t>
      </w:r>
    </w:p>
    <w:p w:rsidR="00B42E7B" w:rsidRDefault="00B42E7B" w:rsidP="00B42E7B">
      <w:pPr>
        <w:pStyle w:val="ListBullet"/>
      </w:pPr>
      <w:r>
        <w:rPr>
          <w:i/>
        </w:rPr>
        <w:t>Re-focus early education programs on disadvantaged children (PC</w:t>
      </w:r>
      <w:r w:rsidR="00064CA4">
        <w:rPr>
          <w:i/>
        </w:rPr>
        <w:t xml:space="preserve"> </w:t>
      </w:r>
      <w:proofErr w:type="spellStart"/>
      <w:r w:rsidR="00064CA4">
        <w:rPr>
          <w:i/>
        </w:rPr>
        <w:t>2011</w:t>
      </w:r>
      <w:r w:rsidR="0062743E">
        <w:rPr>
          <w:i/>
        </w:rPr>
        <w:t>b</w:t>
      </w:r>
      <w:proofErr w:type="spellEnd"/>
      <w:r>
        <w:rPr>
          <w:i/>
        </w:rPr>
        <w:t>).</w:t>
      </w:r>
      <w:r>
        <w:t xml:space="preserve"> It is </w:t>
      </w:r>
      <w:r w:rsidR="00F5157D">
        <w:t>these children</w:t>
      </w:r>
      <w:r>
        <w:t xml:space="preserve"> who most need </w:t>
      </w:r>
      <w:r w:rsidR="00960F61">
        <w:t xml:space="preserve">institutional </w:t>
      </w:r>
      <w:r>
        <w:t>support and for whom empirical studies show the biggest gains from participation in pre-school.</w:t>
      </w:r>
    </w:p>
    <w:p w:rsidR="00B42E7B" w:rsidRDefault="00F5157D" w:rsidP="00B42E7B">
      <w:pPr>
        <w:pStyle w:val="ListBullet"/>
      </w:pPr>
      <w:r>
        <w:rPr>
          <w:i/>
        </w:rPr>
        <w:lastRenderedPageBreak/>
        <w:t xml:space="preserve">Make greater </w:t>
      </w:r>
      <w:r w:rsidR="00444EFE">
        <w:rPr>
          <w:i/>
        </w:rPr>
        <w:t>use</w:t>
      </w:r>
      <w:r>
        <w:rPr>
          <w:i/>
        </w:rPr>
        <w:t xml:space="preserve"> of salary differentials</w:t>
      </w:r>
      <w:r>
        <w:t xml:space="preserve"> to attract and retain quality teachers </w:t>
      </w:r>
      <w:r w:rsidR="007F33AA">
        <w:t>in disciplines where there are persistent shortages</w:t>
      </w:r>
      <w:r>
        <w:t xml:space="preserve"> (maths, science</w:t>
      </w:r>
      <w:r w:rsidR="007F33AA">
        <w:t>, IT</w:t>
      </w:r>
      <w:r>
        <w:t>) and in disadvantaged and remote areas (PC</w:t>
      </w:r>
      <w:r w:rsidR="00064CA4">
        <w:t xml:space="preserve"> </w:t>
      </w:r>
      <w:proofErr w:type="spellStart"/>
      <w:r w:rsidR="00064CA4">
        <w:t>2012a</w:t>
      </w:r>
      <w:proofErr w:type="spellEnd"/>
      <w:r>
        <w:t>).</w:t>
      </w:r>
    </w:p>
    <w:p w:rsidR="00F5157D" w:rsidRDefault="00F5157D" w:rsidP="00B42E7B">
      <w:pPr>
        <w:pStyle w:val="ListBullet"/>
      </w:pPr>
      <w:r>
        <w:rPr>
          <w:i/>
        </w:rPr>
        <w:t>Devolve and enhance performance appraisal</w:t>
      </w:r>
      <w:r>
        <w:t xml:space="preserve"> for teachers, with principals having the authority to hire the best teachers and fire the worst ones (PC</w:t>
      </w:r>
      <w:r w:rsidR="00821B16">
        <w:t xml:space="preserve"> </w:t>
      </w:r>
      <w:proofErr w:type="spellStart"/>
      <w:r w:rsidR="00821B16">
        <w:t>2012a</w:t>
      </w:r>
      <w:proofErr w:type="spellEnd"/>
      <w:r>
        <w:t>).</w:t>
      </w:r>
    </w:p>
    <w:p w:rsidR="00F5157D" w:rsidRDefault="00F5157D" w:rsidP="00B42E7B">
      <w:pPr>
        <w:pStyle w:val="ListBullet"/>
      </w:pPr>
      <w:r>
        <w:rPr>
          <w:i/>
        </w:rPr>
        <w:t>Modify industrial relations arrangements</w:t>
      </w:r>
      <w:r>
        <w:t xml:space="preserve"> for schools and VET colleges to allow greater variation in remuneration and conditions, more flexibility in hiring to meet skil</w:t>
      </w:r>
      <w:r w:rsidR="008C775F">
        <w:t>l</w:t>
      </w:r>
      <w:r>
        <w:t xml:space="preserve"> needs</w:t>
      </w:r>
      <w:r w:rsidR="008C775F">
        <w:t xml:space="preserve"> and more effective management of under-performance (PC</w:t>
      </w:r>
      <w:r w:rsidR="00B50309">
        <w:t xml:space="preserve"> </w:t>
      </w:r>
      <w:r w:rsidR="00FA2403">
        <w:t> </w:t>
      </w:r>
      <w:proofErr w:type="spellStart"/>
      <w:r w:rsidR="00B50309">
        <w:t>2011</w:t>
      </w:r>
      <w:r w:rsidR="0062743E">
        <w:t>e</w:t>
      </w:r>
      <w:proofErr w:type="spellEnd"/>
      <w:r w:rsidR="00B50309">
        <w:t xml:space="preserve">, </w:t>
      </w:r>
      <w:proofErr w:type="spellStart"/>
      <w:r w:rsidR="00B50309">
        <w:t>2012a</w:t>
      </w:r>
      <w:proofErr w:type="spellEnd"/>
      <w:r w:rsidR="008C775F">
        <w:t>).</w:t>
      </w:r>
    </w:p>
    <w:p w:rsidR="008C775F" w:rsidRDefault="008C775F" w:rsidP="00B42E7B">
      <w:pPr>
        <w:pStyle w:val="ListBullet"/>
      </w:pPr>
      <w:r>
        <w:rPr>
          <w:i/>
        </w:rPr>
        <w:t>Raise required ‘threshold scores’</w:t>
      </w:r>
      <w:r>
        <w:t xml:space="preserve"> for school teachers and qualifications required for VET practitioners (PC</w:t>
      </w:r>
      <w:r w:rsidR="00B50309">
        <w:t xml:space="preserve"> </w:t>
      </w:r>
      <w:proofErr w:type="spellStart"/>
      <w:r w:rsidR="00B50309">
        <w:t>2012a</w:t>
      </w:r>
      <w:proofErr w:type="spellEnd"/>
      <w:r>
        <w:t>).</w:t>
      </w:r>
    </w:p>
    <w:p w:rsidR="008C775F" w:rsidRDefault="008C775F" w:rsidP="00B42E7B">
      <w:pPr>
        <w:pStyle w:val="ListBullet"/>
      </w:pPr>
      <w:r>
        <w:rPr>
          <w:i/>
        </w:rPr>
        <w:t xml:space="preserve">Strengthen independent validation and auditing of </w:t>
      </w:r>
      <w:r w:rsidR="00B50309">
        <w:t>service</w:t>
      </w:r>
      <w:r>
        <w:rPr>
          <w:i/>
        </w:rPr>
        <w:t xml:space="preserve"> providers</w:t>
      </w:r>
      <w:r>
        <w:t xml:space="preserve"> to ensure </w:t>
      </w:r>
      <w:r w:rsidR="007F33AA">
        <w:t xml:space="preserve">they deliver to </w:t>
      </w:r>
      <w:r>
        <w:t>the standards needed for proper skill acquisition and advancement</w:t>
      </w:r>
      <w:r w:rsidR="001437CD">
        <w:t xml:space="preserve"> (PC </w:t>
      </w:r>
      <w:proofErr w:type="spellStart"/>
      <w:r w:rsidR="001437CD">
        <w:t>2011</w:t>
      </w:r>
      <w:r w:rsidR="0062743E">
        <w:t>b</w:t>
      </w:r>
      <w:proofErr w:type="spellEnd"/>
      <w:r w:rsidR="0062743E">
        <w:t>,</w:t>
      </w:r>
      <w:r w:rsidR="00EA591C">
        <w:t xml:space="preserve"> </w:t>
      </w:r>
      <w:r w:rsidR="0062743E">
        <w:t>c</w:t>
      </w:r>
      <w:r w:rsidR="00B50309">
        <w:t>)</w:t>
      </w:r>
      <w:r>
        <w:t>.</w:t>
      </w:r>
    </w:p>
    <w:p w:rsidR="00B42E7B" w:rsidRDefault="00B42E7B" w:rsidP="00B42E7B">
      <w:pPr>
        <w:pStyle w:val="Heading5"/>
      </w:pPr>
      <w:r>
        <w:t>A list to enhance the ‘Innovation System’</w:t>
      </w:r>
    </w:p>
    <w:p w:rsidR="008C775F" w:rsidRDefault="008C775F" w:rsidP="008C775F">
      <w:pPr>
        <w:pStyle w:val="BodyText"/>
      </w:pPr>
      <w:r>
        <w:t>The innovations that shape the productivity potential of organisations ca</w:t>
      </w:r>
      <w:r w:rsidR="0073532C">
        <w:t xml:space="preserve">n stem from ‘internal </w:t>
      </w:r>
      <w:proofErr w:type="spellStart"/>
      <w:r w:rsidR="0073532C">
        <w:t>learnings</w:t>
      </w:r>
      <w:proofErr w:type="spellEnd"/>
      <w:r w:rsidR="00A97153">
        <w:t xml:space="preserve">’ </w:t>
      </w:r>
      <w:r>
        <w:t xml:space="preserve">specific to a firm, but commonly involve the absorption and application of knowledge generated externally. The institutions and forces responsible for </w:t>
      </w:r>
      <w:r w:rsidR="00600A5D">
        <w:t>creating</w:t>
      </w:r>
      <w:r>
        <w:t xml:space="preserve"> and </w:t>
      </w:r>
      <w:r w:rsidR="00600A5D">
        <w:t xml:space="preserve">transmitting </w:t>
      </w:r>
      <w:r>
        <w:t xml:space="preserve">knowledge </w:t>
      </w:r>
      <w:r w:rsidR="00600A5D">
        <w:t xml:space="preserve">are </w:t>
      </w:r>
      <w:r>
        <w:t xml:space="preserve">therefore important </w:t>
      </w:r>
      <w:r w:rsidR="00600A5D">
        <w:t>for</w:t>
      </w:r>
      <w:r>
        <w:t xml:space="preserve"> a country’s productivity performance. These include the regulatory regimes f</w:t>
      </w:r>
      <w:r w:rsidR="00A97153">
        <w:t>or trade and foreign investment</w:t>
      </w:r>
      <w:r>
        <w:t xml:space="preserve"> as conduits for access to the much larger stock of knowledge generated overseas.</w:t>
      </w:r>
    </w:p>
    <w:p w:rsidR="00BD0FEC" w:rsidRDefault="00BC7555" w:rsidP="008C775F">
      <w:pPr>
        <w:pStyle w:val="BodyText"/>
      </w:pPr>
      <w:r>
        <w:t xml:space="preserve">Because </w:t>
      </w:r>
      <w:r w:rsidR="008C775F">
        <w:t>knowledge is ha</w:t>
      </w:r>
      <w:r w:rsidR="005E42F8">
        <w:t>r</w:t>
      </w:r>
      <w:r w:rsidR="008C775F">
        <w:t>d to contain within an organisation</w:t>
      </w:r>
      <w:r>
        <w:t>,</w:t>
      </w:r>
      <w:r w:rsidR="008C775F">
        <w:t xml:space="preserve"> </w:t>
      </w:r>
      <w:r w:rsidR="00600A5D">
        <w:t>‘the market’</w:t>
      </w:r>
      <w:r w:rsidR="008C775F">
        <w:t xml:space="preserve"> will tend to under</w:t>
      </w:r>
      <w:r>
        <w:t>-</w:t>
      </w:r>
      <w:r w:rsidR="008C775F">
        <w:t>provide</w:t>
      </w:r>
      <w:r w:rsidR="00600A5D">
        <w:t xml:space="preserve"> it</w:t>
      </w:r>
      <w:r w:rsidR="008C775F">
        <w:t xml:space="preserve">, </w:t>
      </w:r>
      <w:r w:rsidR="00600A5D">
        <w:t xml:space="preserve">leaving space for </w:t>
      </w:r>
      <w:r w:rsidR="008C775F">
        <w:t>government to play a potentially valuable role. Over the years, government</w:t>
      </w:r>
      <w:r w:rsidR="00600A5D">
        <w:t>s</w:t>
      </w:r>
      <w:r w:rsidR="008C775F">
        <w:t xml:space="preserve"> </w:t>
      </w:r>
      <w:r w:rsidR="00600A5D">
        <w:t>have pro</w:t>
      </w:r>
      <w:r>
        <w:t>vi</w:t>
      </w:r>
      <w:r w:rsidR="00600A5D">
        <w:t xml:space="preserve">ded extensive and diverse </w:t>
      </w:r>
      <w:r w:rsidR="008C775F">
        <w:t xml:space="preserve">support for the various components of Australia’s </w:t>
      </w:r>
      <w:r w:rsidR="00C01884">
        <w:t>‘innovation system’ — academic and public research institutions, intellectual property laws, financi</w:t>
      </w:r>
      <w:r w:rsidR="005E42F8">
        <w:t>al assistance for private R&amp;D</w:t>
      </w:r>
      <w:r w:rsidR="00C01884">
        <w:t>, promotion of linkages between firms and research bodies, etc. Indeed</w:t>
      </w:r>
      <w:r w:rsidR="00600A5D">
        <w:t>, innovation policy</w:t>
      </w:r>
      <w:r w:rsidR="00C01884">
        <w:t xml:space="preserve"> has </w:t>
      </w:r>
      <w:r w:rsidR="00600A5D">
        <w:t>s</w:t>
      </w:r>
      <w:r w:rsidR="00C01884">
        <w:t xml:space="preserve">een considerable innovation itself, </w:t>
      </w:r>
      <w:r w:rsidR="008E6442">
        <w:t xml:space="preserve">which </w:t>
      </w:r>
      <w:r w:rsidR="00C01884">
        <w:t xml:space="preserve">has yielded some useful lessons to enhance policy effectiveness. </w:t>
      </w:r>
    </w:p>
    <w:p w:rsidR="00C01884" w:rsidRDefault="00C01884" w:rsidP="008C775F">
      <w:pPr>
        <w:pStyle w:val="BodyText"/>
      </w:pPr>
      <w:r>
        <w:t xml:space="preserve">The ongoing challenge is to allocate support in ways that are likely to yield a net payoff to the community. </w:t>
      </w:r>
      <w:r w:rsidR="007F33AA">
        <w:t>It</w:t>
      </w:r>
      <w:r>
        <w:t xml:space="preserve"> has proven particularly hard </w:t>
      </w:r>
      <w:r w:rsidR="00BC7555">
        <w:t xml:space="preserve">to </w:t>
      </w:r>
      <w:r w:rsidR="007F33AA">
        <w:t>design</w:t>
      </w:r>
      <w:r>
        <w:t xml:space="preserve"> business support</w:t>
      </w:r>
      <w:r w:rsidR="007F33AA">
        <w:t xml:space="preserve"> so as </w:t>
      </w:r>
      <w:r>
        <w:t xml:space="preserve">to generate additional R&amp;D </w:t>
      </w:r>
      <w:r w:rsidR="0082677E">
        <w:t>and associated</w:t>
      </w:r>
      <w:r>
        <w:t xml:space="preserve"> </w:t>
      </w:r>
      <w:proofErr w:type="spellStart"/>
      <w:r>
        <w:t>spillovers</w:t>
      </w:r>
      <w:proofErr w:type="spellEnd"/>
      <w:r>
        <w:t xml:space="preserve"> that are worth more to society than a program</w:t>
      </w:r>
      <w:r w:rsidR="00BD0FEC">
        <w:t>’</w:t>
      </w:r>
      <w:r>
        <w:t>s full costs.</w:t>
      </w:r>
      <w:r w:rsidR="00BD0FEC">
        <w:t xml:space="preserve"> </w:t>
      </w:r>
      <w:r>
        <w:t xml:space="preserve">The </w:t>
      </w:r>
      <w:r w:rsidR="00BC7555">
        <w:t xml:space="preserve">way the </w:t>
      </w:r>
      <w:r>
        <w:t xml:space="preserve">tax concession </w:t>
      </w:r>
      <w:r w:rsidR="00BC7555">
        <w:t xml:space="preserve">has </w:t>
      </w:r>
      <w:r>
        <w:t>evol</w:t>
      </w:r>
      <w:r w:rsidR="00BC7555">
        <w:t>ved</w:t>
      </w:r>
      <w:r>
        <w:t xml:space="preserve"> has generally been consistent with this need</w:t>
      </w:r>
      <w:r w:rsidR="00BC7555">
        <w:t>. However</w:t>
      </w:r>
      <w:r>
        <w:t xml:space="preserve">, it and other programs face </w:t>
      </w:r>
      <w:r>
        <w:lastRenderedPageBreak/>
        <w:t xml:space="preserve">incessant pressure for design changes that will make them more ‘generous’, reinforcing the need for evidence-based policy. </w:t>
      </w:r>
    </w:p>
    <w:p w:rsidR="00C01884" w:rsidRDefault="00C01884" w:rsidP="00C01884">
      <w:pPr>
        <w:pStyle w:val="ListBullet"/>
      </w:pPr>
      <w:r>
        <w:rPr>
          <w:i/>
        </w:rPr>
        <w:t>Conduct rigorous evaluations</w:t>
      </w:r>
      <w:r>
        <w:t xml:space="preserve"> of all government innovation programs to verify that they are achieving ‘</w:t>
      </w:r>
      <w:proofErr w:type="spellStart"/>
      <w:r>
        <w:t>additionality</w:t>
      </w:r>
      <w:proofErr w:type="spellEnd"/>
      <w:r>
        <w:t>’ and are cost effective (PC</w:t>
      </w:r>
      <w:r w:rsidR="00057E45">
        <w:t xml:space="preserve"> </w:t>
      </w:r>
      <w:proofErr w:type="spellStart"/>
      <w:r w:rsidR="00057E45">
        <w:t>2007a</w:t>
      </w:r>
      <w:proofErr w:type="spellEnd"/>
      <w:r>
        <w:t>).</w:t>
      </w:r>
    </w:p>
    <w:p w:rsidR="00A40430" w:rsidRDefault="007F33AA" w:rsidP="00C01884">
      <w:pPr>
        <w:pStyle w:val="ListBullet"/>
      </w:pPr>
      <w:r>
        <w:rPr>
          <w:i/>
        </w:rPr>
        <w:t>Focus</w:t>
      </w:r>
      <w:r w:rsidR="00057E45">
        <w:rPr>
          <w:i/>
        </w:rPr>
        <w:t xml:space="preserve"> government support </w:t>
      </w:r>
      <w:r>
        <w:rPr>
          <w:i/>
        </w:rPr>
        <w:t xml:space="preserve">on </w:t>
      </w:r>
      <w:r w:rsidR="00A40430">
        <w:rPr>
          <w:i/>
        </w:rPr>
        <w:t>basic and strategic research</w:t>
      </w:r>
      <w:r w:rsidR="00A40430">
        <w:t>, where market failures are potentially greatest, rather than commercialisation activities</w:t>
      </w:r>
      <w:r w:rsidR="00B15851">
        <w:t>, which</w:t>
      </w:r>
      <w:r w:rsidR="00A40430">
        <w:t xml:space="preserve"> are more likely to be privately profitable (IC</w:t>
      </w:r>
      <w:r w:rsidR="00057E45">
        <w:t xml:space="preserve"> 1995</w:t>
      </w:r>
      <w:r w:rsidR="00A40430">
        <w:t>, PC</w:t>
      </w:r>
      <w:r w:rsidR="00057E45">
        <w:t xml:space="preserve"> </w:t>
      </w:r>
      <w:r>
        <w:t xml:space="preserve"> 2003, </w:t>
      </w:r>
      <w:proofErr w:type="spellStart"/>
      <w:r w:rsidR="00057E45">
        <w:t>2007a</w:t>
      </w:r>
      <w:proofErr w:type="spellEnd"/>
      <w:r w:rsidR="00A40430">
        <w:t>).</w:t>
      </w:r>
    </w:p>
    <w:p w:rsidR="00A40430" w:rsidRDefault="00A40430" w:rsidP="00C01884">
      <w:pPr>
        <w:pStyle w:val="ListBullet"/>
      </w:pPr>
      <w:r>
        <w:rPr>
          <w:i/>
        </w:rPr>
        <w:t>Facilitate greater cooperative research</w:t>
      </w:r>
      <w:r>
        <w:t xml:space="preserve"> between businesses and public/academic institutions, but adopt more ‘nimble’ mechanisms (PC</w:t>
      </w:r>
      <w:r w:rsidR="00057E45">
        <w:t xml:space="preserve"> </w:t>
      </w:r>
      <w:proofErr w:type="spellStart"/>
      <w:r w:rsidR="00057E45">
        <w:t>2007a</w:t>
      </w:r>
      <w:proofErr w:type="spellEnd"/>
      <w:r>
        <w:t>).</w:t>
      </w:r>
    </w:p>
    <w:p w:rsidR="00A40430" w:rsidRPr="008C775F" w:rsidRDefault="00A40430" w:rsidP="00C01884">
      <w:pPr>
        <w:pStyle w:val="ListBullet"/>
      </w:pPr>
      <w:r>
        <w:rPr>
          <w:i/>
        </w:rPr>
        <w:t>Lower the rate of public funding for Rural Research and Development Corporations</w:t>
      </w:r>
      <w:r>
        <w:t xml:space="preserve">, as the above-average component </w:t>
      </w:r>
      <w:r w:rsidR="00B15851">
        <w:t xml:space="preserve">yields little additional benefit. </w:t>
      </w:r>
      <w:r w:rsidR="00210390">
        <w:t>The</w:t>
      </w:r>
      <w:r>
        <w:t xml:space="preserve"> </w:t>
      </w:r>
      <w:r w:rsidR="00B15851">
        <w:t>savings</w:t>
      </w:r>
      <w:r>
        <w:t xml:space="preserve"> </w:t>
      </w:r>
      <w:r w:rsidR="00210390">
        <w:t xml:space="preserve">should be reallocated </w:t>
      </w:r>
      <w:r>
        <w:t>to a new body that can sponsor more broadly relevant research for the sector</w:t>
      </w:r>
      <w:r w:rsidR="00057E45">
        <w:t xml:space="preserve"> (PC </w:t>
      </w:r>
      <w:proofErr w:type="spellStart"/>
      <w:r w:rsidR="00057E45">
        <w:t>2011</w:t>
      </w:r>
      <w:r w:rsidR="0062743E">
        <w:t>d</w:t>
      </w:r>
      <w:proofErr w:type="spellEnd"/>
      <w:r w:rsidR="00057E45">
        <w:t>)</w:t>
      </w:r>
      <w:r>
        <w:t>.</w:t>
      </w:r>
    </w:p>
    <w:p w:rsidR="00B42E7B" w:rsidRDefault="00073E92" w:rsidP="00B42E7B">
      <w:pPr>
        <w:pStyle w:val="Heading5"/>
      </w:pPr>
      <w:r>
        <w:t>An</w:t>
      </w:r>
      <w:r w:rsidR="00897FCE">
        <w:t xml:space="preserve"> i</w:t>
      </w:r>
      <w:r w:rsidR="00B42E7B">
        <w:t>nfrastructure list</w:t>
      </w:r>
    </w:p>
    <w:p w:rsidR="00483DDB" w:rsidRDefault="00B42E7B" w:rsidP="00B42E7B">
      <w:pPr>
        <w:pStyle w:val="BodyText"/>
      </w:pPr>
      <w:r>
        <w:t xml:space="preserve">The timely and efficient provision of infrastructure services is crucial to firm performance. Transport and communications provide platforms for </w:t>
      </w:r>
      <w:r w:rsidR="00897FCE">
        <w:t xml:space="preserve">production and </w:t>
      </w:r>
      <w:r>
        <w:t xml:space="preserve">innovation in both the private and public sectors. The costs and quality of these </w:t>
      </w:r>
      <w:r w:rsidR="00897FCE">
        <w:t xml:space="preserve">infrastructural </w:t>
      </w:r>
      <w:r>
        <w:t xml:space="preserve">services, as well as </w:t>
      </w:r>
      <w:r w:rsidR="008E6442">
        <w:t xml:space="preserve">of </w:t>
      </w:r>
      <w:r>
        <w:t xml:space="preserve">energy and water, </w:t>
      </w:r>
      <w:r w:rsidR="008E6442">
        <w:t xml:space="preserve">bear strongly </w:t>
      </w:r>
      <w:r>
        <w:t xml:space="preserve">on </w:t>
      </w:r>
      <w:r w:rsidR="008E6442">
        <w:t xml:space="preserve">many </w:t>
      </w:r>
      <w:r>
        <w:t>firms</w:t>
      </w:r>
      <w:r w:rsidR="00B4077E">
        <w:t>’</w:t>
      </w:r>
      <w:r>
        <w:t xml:space="preserve"> international competitiveness. For th</w:t>
      </w:r>
      <w:r w:rsidR="00362AE5">
        <w:t>is</w:t>
      </w:r>
      <w:r w:rsidR="00210390">
        <w:t xml:space="preserve"> reason, the </w:t>
      </w:r>
      <w:r>
        <w:t xml:space="preserve">reductions in import barriers </w:t>
      </w:r>
      <w:r w:rsidR="00897FCE">
        <w:t>from the mid-</w:t>
      </w:r>
      <w:proofErr w:type="spellStart"/>
      <w:r w:rsidR="00897FCE">
        <w:t>1980s</w:t>
      </w:r>
      <w:proofErr w:type="spellEnd"/>
      <w:r w:rsidR="00897FCE">
        <w:t xml:space="preserve"> </w:t>
      </w:r>
      <w:r w:rsidR="00210390">
        <w:t xml:space="preserve">soon </w:t>
      </w:r>
      <w:r w:rsidR="00362AE5">
        <w:t xml:space="preserve">prompted </w:t>
      </w:r>
      <w:r>
        <w:t xml:space="preserve">a focus on infrastructure reforms, particularly </w:t>
      </w:r>
      <w:r w:rsidR="00362AE5">
        <w:t xml:space="preserve">for </w:t>
      </w:r>
      <w:r>
        <w:t xml:space="preserve">inefficient public utility monopolies. </w:t>
      </w:r>
    </w:p>
    <w:p w:rsidR="00B42E7B" w:rsidRDefault="00362AE5" w:rsidP="00B42E7B">
      <w:pPr>
        <w:pStyle w:val="BodyText"/>
      </w:pPr>
      <w:r>
        <w:t>The infrastructure reform</w:t>
      </w:r>
      <w:r w:rsidR="00B42E7B">
        <w:t xml:space="preserve"> task </w:t>
      </w:r>
      <w:r w:rsidR="0081026C">
        <w:t>ha</w:t>
      </w:r>
      <w:r w:rsidR="00B42E7B">
        <w:t xml:space="preserve">s involved a range of </w:t>
      </w:r>
      <w:r>
        <w:t xml:space="preserve">initiatives </w:t>
      </w:r>
      <w:r w:rsidR="00897FCE">
        <w:t xml:space="preserve">to enhance </w:t>
      </w:r>
      <w:r>
        <w:t xml:space="preserve">the </w:t>
      </w:r>
      <w:r w:rsidR="00483DDB">
        <w:t>performance</w:t>
      </w:r>
      <w:r>
        <w:t xml:space="preserve"> of public enterprise</w:t>
      </w:r>
      <w:r w:rsidR="00897FCE">
        <w:t>s</w:t>
      </w:r>
      <w:r>
        <w:t xml:space="preserve"> </w:t>
      </w:r>
      <w:r w:rsidR="00B42E7B">
        <w:t xml:space="preserve">and </w:t>
      </w:r>
      <w:r w:rsidR="00483DDB">
        <w:t>improve</w:t>
      </w:r>
      <w:r>
        <w:t xml:space="preserve"> </w:t>
      </w:r>
      <w:r w:rsidR="00B42E7B">
        <w:t>regulatory frameworks</w:t>
      </w:r>
      <w:r w:rsidR="006037CF">
        <w:t>. These</w:t>
      </w:r>
      <w:r w:rsidR="00B42E7B">
        <w:t xml:space="preserve"> are still evolving today. Among Commission recommendations that remain </w:t>
      </w:r>
      <w:r w:rsidR="0081026C">
        <w:t>crucial</w:t>
      </w:r>
      <w:r w:rsidR="00B42E7B">
        <w:t xml:space="preserve"> to </w:t>
      </w:r>
      <w:r w:rsidR="0081026C">
        <w:t xml:space="preserve">future </w:t>
      </w:r>
      <w:r w:rsidR="00B42E7B">
        <w:t xml:space="preserve">productivity </w:t>
      </w:r>
      <w:r w:rsidR="00897FCE">
        <w:t>improvement</w:t>
      </w:r>
      <w:r w:rsidR="0081026C">
        <w:t>s</w:t>
      </w:r>
      <w:r w:rsidR="00B42E7B">
        <w:t xml:space="preserve"> </w:t>
      </w:r>
      <w:r w:rsidR="00540208">
        <w:t>are the following:</w:t>
      </w:r>
    </w:p>
    <w:p w:rsidR="00540208" w:rsidRDefault="00B62206" w:rsidP="00540208">
      <w:pPr>
        <w:pStyle w:val="ListBullet"/>
      </w:pPr>
      <w:r w:rsidRPr="00960F61">
        <w:rPr>
          <w:i/>
        </w:rPr>
        <w:t>Further reform the governance of public utilities</w:t>
      </w:r>
      <w:r>
        <w:t xml:space="preserve"> to clarify </w:t>
      </w:r>
      <w:r w:rsidR="00FE29CB">
        <w:t xml:space="preserve">the </w:t>
      </w:r>
      <w:r>
        <w:t>primacy of efficiency objectives, and avoid political interference in managerial decisions (PC</w:t>
      </w:r>
      <w:r w:rsidR="00A84FE9">
        <w:t xml:space="preserve"> </w:t>
      </w:r>
      <w:proofErr w:type="spellStart"/>
      <w:r w:rsidR="00A84FE9">
        <w:t>2005</w:t>
      </w:r>
      <w:r w:rsidR="0062743E">
        <w:t>a</w:t>
      </w:r>
      <w:proofErr w:type="spellEnd"/>
      <w:r w:rsidR="00A84FE9">
        <w:t xml:space="preserve">, </w:t>
      </w:r>
      <w:proofErr w:type="spellStart"/>
      <w:r w:rsidR="00210390">
        <w:t>2008</w:t>
      </w:r>
      <w:r w:rsidR="0062743E">
        <w:t>e</w:t>
      </w:r>
      <w:proofErr w:type="spellEnd"/>
      <w:r w:rsidR="00A84FE9">
        <w:t>)</w:t>
      </w:r>
      <w:r w:rsidR="00015444">
        <w:t>.</w:t>
      </w:r>
      <w:r w:rsidR="0081026C">
        <w:t xml:space="preserve"> While the </w:t>
      </w:r>
      <w:r w:rsidR="006E4537">
        <w:t>corporatisation</w:t>
      </w:r>
      <w:r w:rsidR="0081026C">
        <w:t xml:space="preserve"> of public utilities brought initial productivity gains, the evidence is </w:t>
      </w:r>
      <w:r w:rsidR="008E6442">
        <w:t xml:space="preserve">increasingly </w:t>
      </w:r>
      <w:r w:rsidR="0081026C">
        <w:t xml:space="preserve">clear that public ownership of infrastructure </w:t>
      </w:r>
      <w:r w:rsidR="00A84FE9">
        <w:t>can</w:t>
      </w:r>
      <w:r w:rsidR="0081026C">
        <w:t xml:space="preserve"> undermin</w:t>
      </w:r>
      <w:r w:rsidR="00A84FE9">
        <w:t>e</w:t>
      </w:r>
      <w:r w:rsidR="0081026C">
        <w:t xml:space="preserve"> the pot</w:t>
      </w:r>
      <w:r w:rsidR="009607AB">
        <w:t xml:space="preserve">ential for ongoing </w:t>
      </w:r>
      <w:r w:rsidR="00FE29CB">
        <w:t>improvement</w:t>
      </w:r>
      <w:r w:rsidR="00210390">
        <w:t>s</w:t>
      </w:r>
      <w:r w:rsidR="009607AB">
        <w:t>, including in the vital electricity sector (PC</w:t>
      </w:r>
      <w:r w:rsidR="00A84FE9">
        <w:t xml:space="preserve"> </w:t>
      </w:r>
      <w:proofErr w:type="spellStart"/>
      <w:r w:rsidR="00A84FE9">
        <w:t>2012b</w:t>
      </w:r>
      <w:proofErr w:type="spellEnd"/>
      <w:r w:rsidR="009607AB">
        <w:t>).</w:t>
      </w:r>
    </w:p>
    <w:p w:rsidR="00015444" w:rsidRDefault="00015444" w:rsidP="00015444">
      <w:pPr>
        <w:pStyle w:val="ListBullet"/>
      </w:pPr>
      <w:r w:rsidRPr="00960F61">
        <w:rPr>
          <w:i/>
        </w:rPr>
        <w:t>Undertake transparent cost-benefit analysis</w:t>
      </w:r>
      <w:r>
        <w:t xml:space="preserve"> </w:t>
      </w:r>
      <w:r w:rsidR="00A84FE9">
        <w:rPr>
          <w:i/>
        </w:rPr>
        <w:t xml:space="preserve">of all options </w:t>
      </w:r>
      <w:r>
        <w:t>prior to any major public infrastructure investment (PC</w:t>
      </w:r>
      <w:r w:rsidR="00A84FE9">
        <w:t xml:space="preserve"> </w:t>
      </w:r>
      <w:proofErr w:type="spellStart"/>
      <w:r w:rsidR="00210390">
        <w:t>2008</w:t>
      </w:r>
      <w:r w:rsidR="0062743E">
        <w:t>e</w:t>
      </w:r>
      <w:proofErr w:type="spellEnd"/>
      <w:r w:rsidR="00210390">
        <w:t xml:space="preserve">, </w:t>
      </w:r>
      <w:r w:rsidR="0062743E">
        <w:t>f</w:t>
      </w:r>
      <w:r w:rsidR="00210390">
        <w:t>)</w:t>
      </w:r>
      <w:r>
        <w:t xml:space="preserve"> </w:t>
      </w:r>
      <w:r w:rsidR="00960F61">
        <w:t>a</w:t>
      </w:r>
      <w:r>
        <w:t xml:space="preserve">nd when determining quality </w:t>
      </w:r>
      <w:r w:rsidR="00960F61">
        <w:t>or</w:t>
      </w:r>
      <w:r>
        <w:t xml:space="preserve"> environmental standards</w:t>
      </w:r>
      <w:r w:rsidR="009607AB">
        <w:t xml:space="preserve"> (PC</w:t>
      </w:r>
      <w:r w:rsidR="00A84FE9">
        <w:t xml:space="preserve"> </w:t>
      </w:r>
      <w:proofErr w:type="spellStart"/>
      <w:r w:rsidR="00A84FE9">
        <w:t>2012b</w:t>
      </w:r>
      <w:proofErr w:type="spellEnd"/>
      <w:r w:rsidR="009607AB">
        <w:t xml:space="preserve">). Public investments are otherwise prone to ‘optimism bias’ and </w:t>
      </w:r>
      <w:r w:rsidR="00FE29CB">
        <w:t xml:space="preserve">a </w:t>
      </w:r>
      <w:r w:rsidR="009607AB">
        <w:t xml:space="preserve">confusion between political and economic ends. Poor </w:t>
      </w:r>
      <w:r w:rsidR="009607AB">
        <w:lastRenderedPageBreak/>
        <w:t xml:space="preserve">infrastructure decisions </w:t>
      </w:r>
      <w:r w:rsidR="006037CF">
        <w:t xml:space="preserve">have a high opportunity cost and </w:t>
      </w:r>
      <w:r w:rsidR="009607AB">
        <w:t>can be a long-term drag on the economy’s productivity.</w:t>
      </w:r>
    </w:p>
    <w:p w:rsidR="00B62206" w:rsidRDefault="00960F61" w:rsidP="00540208">
      <w:pPr>
        <w:pStyle w:val="ListBullet"/>
      </w:pPr>
      <w:r w:rsidRPr="00960F61">
        <w:rPr>
          <w:i/>
        </w:rPr>
        <w:t>Extend the use of</w:t>
      </w:r>
      <w:r w:rsidR="00B62206" w:rsidRPr="00960F61">
        <w:rPr>
          <w:i/>
        </w:rPr>
        <w:t xml:space="preserve"> cost-reflective pricing</w:t>
      </w:r>
      <w:r w:rsidR="00B62206">
        <w:t>, including to manage peak demands (electricity</w:t>
      </w:r>
      <w:r>
        <w:t>) or supply disruptions (water)</w:t>
      </w:r>
      <w:r w:rsidR="00B62206">
        <w:t xml:space="preserve"> (PC</w:t>
      </w:r>
      <w:r w:rsidR="0043545C">
        <w:t xml:space="preserve"> </w:t>
      </w:r>
      <w:proofErr w:type="spellStart"/>
      <w:r w:rsidR="0043545C">
        <w:t>2011</w:t>
      </w:r>
      <w:r w:rsidR="00747DD6">
        <w:t>e</w:t>
      </w:r>
      <w:proofErr w:type="spellEnd"/>
      <w:r w:rsidR="0043545C">
        <w:t xml:space="preserve">, </w:t>
      </w:r>
      <w:proofErr w:type="spellStart"/>
      <w:r w:rsidR="0043545C">
        <w:t>2012b</w:t>
      </w:r>
      <w:proofErr w:type="spellEnd"/>
      <w:r w:rsidR="00B62206">
        <w:t>)</w:t>
      </w:r>
      <w:r w:rsidR="00015444">
        <w:t>.</w:t>
      </w:r>
      <w:r w:rsidR="00A21C37">
        <w:t xml:space="preserve"> Political aversion to price rises, even where needed to balance supply and demand, </w:t>
      </w:r>
      <w:r w:rsidR="006037CF">
        <w:t xml:space="preserve">can </w:t>
      </w:r>
      <w:r w:rsidR="00A21C37">
        <w:t>suppress or distort investment and may result in higher prices in the long term.</w:t>
      </w:r>
    </w:p>
    <w:p w:rsidR="00015444" w:rsidRDefault="00015444" w:rsidP="00540208">
      <w:pPr>
        <w:pStyle w:val="ListBullet"/>
      </w:pPr>
      <w:r w:rsidRPr="00960F61">
        <w:rPr>
          <w:i/>
        </w:rPr>
        <w:t xml:space="preserve">Ensure that price-regulation regimes do not </w:t>
      </w:r>
      <w:r w:rsidR="00960F61">
        <w:rPr>
          <w:i/>
        </w:rPr>
        <w:t>inhibit</w:t>
      </w:r>
      <w:r w:rsidRPr="00960F61">
        <w:rPr>
          <w:i/>
        </w:rPr>
        <w:t xml:space="preserve"> efficient investment</w:t>
      </w:r>
      <w:r>
        <w:t xml:space="preserve"> and </w:t>
      </w:r>
      <w:r w:rsidR="006037CF">
        <w:t xml:space="preserve">that they </w:t>
      </w:r>
      <w:r>
        <w:t>enable price differentiation</w:t>
      </w:r>
      <w:r w:rsidR="008D7B51">
        <w:t xml:space="preserve"> </w:t>
      </w:r>
      <w:r w:rsidR="00AC791D">
        <w:t>where this can recover costs with</w:t>
      </w:r>
      <w:r w:rsidR="006037CF">
        <w:t xml:space="preserve"> less impact on</w:t>
      </w:r>
      <w:r w:rsidR="00AC791D">
        <w:t xml:space="preserve"> demand </w:t>
      </w:r>
      <w:r w:rsidR="008D7B51">
        <w:t>(PC</w:t>
      </w:r>
      <w:r w:rsidR="0043545C">
        <w:t xml:space="preserve"> </w:t>
      </w:r>
      <w:proofErr w:type="spellStart"/>
      <w:r w:rsidR="00F812F1">
        <w:t>2</w:t>
      </w:r>
      <w:r w:rsidR="0043545C">
        <w:t>012b</w:t>
      </w:r>
      <w:proofErr w:type="spellEnd"/>
      <w:r w:rsidR="008D7B51">
        <w:t>)</w:t>
      </w:r>
      <w:r>
        <w:t>.</w:t>
      </w:r>
    </w:p>
    <w:p w:rsidR="00015444" w:rsidRDefault="00C37488" w:rsidP="00540208">
      <w:pPr>
        <w:pStyle w:val="ListBullet"/>
      </w:pPr>
      <w:r>
        <w:t xml:space="preserve">Specifically for </w:t>
      </w:r>
      <w:r w:rsidRPr="006037CF">
        <w:rPr>
          <w:i/>
        </w:rPr>
        <w:t>land transport</w:t>
      </w:r>
      <w:r>
        <w:t xml:space="preserve"> (PC</w:t>
      </w:r>
      <w:r w:rsidR="0043545C">
        <w:t xml:space="preserve"> </w:t>
      </w:r>
      <w:proofErr w:type="spellStart"/>
      <w:r w:rsidR="0043545C">
        <w:t>2007b</w:t>
      </w:r>
      <w:proofErr w:type="spellEnd"/>
      <w:r>
        <w:t>)</w:t>
      </w:r>
      <w:r w:rsidR="009C62B6">
        <w:t>,</w:t>
      </w:r>
      <w:r>
        <w:t xml:space="preserve"> </w:t>
      </w:r>
      <w:r w:rsidR="00C92E0B" w:rsidRPr="00C92E0B">
        <w:t>i</w:t>
      </w:r>
      <w:r w:rsidR="00D91354" w:rsidRPr="00C92E0B">
        <w:t>ntroduce institutional reforms</w:t>
      </w:r>
      <w:r w:rsidR="006037CF">
        <w:t xml:space="preserve"> for roads</w:t>
      </w:r>
      <w:r w:rsidR="00D91354">
        <w:t xml:space="preserve"> </w:t>
      </w:r>
      <w:r w:rsidR="006037CF">
        <w:t xml:space="preserve">to </w:t>
      </w:r>
      <w:r w:rsidR="00D91354">
        <w:t>c</w:t>
      </w:r>
      <w:r w:rsidR="004D2574">
        <w:t>onn</w:t>
      </w:r>
      <w:r w:rsidR="00D91354">
        <w:t>ect re</w:t>
      </w:r>
      <w:r w:rsidR="006037CF">
        <w:t>venue with spending decisions, while</w:t>
      </w:r>
      <w:r w:rsidR="00D91354">
        <w:t xml:space="preserve"> progressively mo</w:t>
      </w:r>
      <w:r w:rsidR="00C92E0B">
        <w:t>v</w:t>
      </w:r>
      <w:r w:rsidR="006037CF">
        <w:t>ing</w:t>
      </w:r>
      <w:r w:rsidR="00C92E0B">
        <w:t xml:space="preserve"> to location-based </w:t>
      </w:r>
      <w:r w:rsidR="00F812F1">
        <w:t xml:space="preserve">road </w:t>
      </w:r>
      <w:r w:rsidR="00C92E0B">
        <w:t>pricing</w:t>
      </w:r>
      <w:r w:rsidR="008804E5">
        <w:t>, particularly for freight.</w:t>
      </w:r>
    </w:p>
    <w:p w:rsidR="008D7B51" w:rsidRDefault="00C92E0B" w:rsidP="00540208">
      <w:pPr>
        <w:pStyle w:val="ListBullet"/>
      </w:pPr>
      <w:r w:rsidRPr="00C92E0B">
        <w:t xml:space="preserve">Specifically for </w:t>
      </w:r>
      <w:r w:rsidRPr="006037CF">
        <w:rPr>
          <w:i/>
        </w:rPr>
        <w:t>water utilities</w:t>
      </w:r>
      <w:r w:rsidRPr="00C92E0B">
        <w:t xml:space="preserve"> (PC</w:t>
      </w:r>
      <w:r w:rsidR="0043545C">
        <w:t xml:space="preserve"> </w:t>
      </w:r>
      <w:proofErr w:type="spellStart"/>
      <w:r w:rsidR="0043545C">
        <w:t>2011</w:t>
      </w:r>
      <w:r w:rsidR="00747DD6">
        <w:t>e</w:t>
      </w:r>
      <w:proofErr w:type="spellEnd"/>
      <w:r w:rsidRPr="00C92E0B">
        <w:t>)</w:t>
      </w:r>
      <w:r w:rsidR="009C62B6">
        <w:t>,</w:t>
      </w:r>
      <w:r w:rsidRPr="00C92E0B">
        <w:t xml:space="preserve"> a</w:t>
      </w:r>
      <w:r w:rsidR="00D91354" w:rsidRPr="00C92E0B">
        <w:t>lign procurement, pricing and regulatory arrangements</w:t>
      </w:r>
      <w:r w:rsidR="00D91354">
        <w:t xml:space="preserve"> with an o</w:t>
      </w:r>
      <w:r>
        <w:t>verarching efficiency objective</w:t>
      </w:r>
      <w:r w:rsidR="00D91354">
        <w:t>.</w:t>
      </w:r>
      <w:r w:rsidR="008D7B51" w:rsidRPr="008D7B51">
        <w:t xml:space="preserve"> </w:t>
      </w:r>
    </w:p>
    <w:p w:rsidR="00015444" w:rsidRDefault="00C92E0B" w:rsidP="00540208">
      <w:pPr>
        <w:pStyle w:val="ListBullet"/>
      </w:pPr>
      <w:r w:rsidRPr="00C92E0B">
        <w:t xml:space="preserve">Specifically for </w:t>
      </w:r>
      <w:r w:rsidRPr="006037CF">
        <w:rPr>
          <w:i/>
        </w:rPr>
        <w:t>electricity</w:t>
      </w:r>
      <w:r w:rsidRPr="00C92E0B">
        <w:t xml:space="preserve"> (PC</w:t>
      </w:r>
      <w:r w:rsidR="0043545C">
        <w:t xml:space="preserve"> </w:t>
      </w:r>
      <w:proofErr w:type="spellStart"/>
      <w:r w:rsidR="0043545C">
        <w:t>2012b</w:t>
      </w:r>
      <w:proofErr w:type="spellEnd"/>
      <w:r w:rsidRPr="00C92E0B">
        <w:t>)</w:t>
      </w:r>
      <w:r w:rsidR="009C62B6">
        <w:t>,</w:t>
      </w:r>
      <w:r w:rsidRPr="00C92E0B">
        <w:t xml:space="preserve"> p</w:t>
      </w:r>
      <w:r w:rsidR="00D91354" w:rsidRPr="00C92E0B">
        <w:t>hase out retail price regulation,</w:t>
      </w:r>
      <w:r w:rsidR="00D91354">
        <w:t xml:space="preserve"> introduce smart meters, bolster the regulator and modify the regulatory regime </w:t>
      </w:r>
      <w:r>
        <w:t xml:space="preserve">to </w:t>
      </w:r>
      <w:r w:rsidR="009C62B6">
        <w:t>increase</w:t>
      </w:r>
      <w:r w:rsidR="006037CF">
        <w:t xml:space="preserve"> consumer orientation and to </w:t>
      </w:r>
      <w:r>
        <w:t>avoid inefficient investment</w:t>
      </w:r>
      <w:r w:rsidR="00D91354">
        <w:t>.</w:t>
      </w:r>
    </w:p>
    <w:p w:rsidR="00540208" w:rsidRDefault="008D7B51" w:rsidP="009C62B6">
      <w:pPr>
        <w:pStyle w:val="Heading5"/>
        <w:tabs>
          <w:tab w:val="left" w:pos="3495"/>
        </w:tabs>
      </w:pPr>
      <w:r>
        <w:t>A g</w:t>
      </w:r>
      <w:r w:rsidR="00540208">
        <w:t>overnment services</w:t>
      </w:r>
      <w:r>
        <w:t xml:space="preserve"> list</w:t>
      </w:r>
    </w:p>
    <w:p w:rsidR="00804542" w:rsidRDefault="00540208" w:rsidP="00540208">
      <w:pPr>
        <w:pStyle w:val="BodyText"/>
      </w:pPr>
      <w:r>
        <w:t xml:space="preserve">As </w:t>
      </w:r>
      <w:r w:rsidR="003D133A">
        <w:t>for</w:t>
      </w:r>
      <w:r>
        <w:t xml:space="preserve"> public utilities, the efficiency of government administrative and human services can have direct (within the public sector) and indirect impacts on Australia’s productivity. </w:t>
      </w:r>
      <w:r w:rsidR="009C62B6">
        <w:t>Government spending on h</w:t>
      </w:r>
      <w:r>
        <w:t>uman services amount</w:t>
      </w:r>
      <w:r w:rsidR="00B4077E">
        <w:t>s</w:t>
      </w:r>
      <w:r>
        <w:t xml:space="preserve"> to some $</w:t>
      </w:r>
      <w:r w:rsidR="001B0919">
        <w:t>170</w:t>
      </w:r>
      <w:r>
        <w:t xml:space="preserve"> billion</w:t>
      </w:r>
      <w:r w:rsidR="00B4077E">
        <w:t xml:space="preserve"> </w:t>
      </w:r>
      <w:r w:rsidR="00F812F1">
        <w:t>a</w:t>
      </w:r>
      <w:r w:rsidR="00B4077E">
        <w:t xml:space="preserve"> year</w:t>
      </w:r>
      <w:r>
        <w:t xml:space="preserve">, </w:t>
      </w:r>
      <w:r w:rsidR="00804542">
        <w:t xml:space="preserve">equivalent to </w:t>
      </w:r>
      <w:r w:rsidR="001B0919">
        <w:t>nearly 13</w:t>
      </w:r>
      <w:r>
        <w:t xml:space="preserve"> per cent of GDP. Health services alone account for </w:t>
      </w:r>
      <w:r w:rsidR="001B0919">
        <w:t xml:space="preserve">nearly 40 </w:t>
      </w:r>
      <w:r>
        <w:t xml:space="preserve">per cent of this and are growing rapidly in response to the demands of an older and more affluent </w:t>
      </w:r>
      <w:r w:rsidR="004D1B10">
        <w:t xml:space="preserve">population (PC </w:t>
      </w:r>
      <w:proofErr w:type="spellStart"/>
      <w:r w:rsidR="00F812F1">
        <w:t>2005</w:t>
      </w:r>
      <w:r w:rsidR="00747DD6">
        <w:t>b</w:t>
      </w:r>
      <w:proofErr w:type="spellEnd"/>
      <w:r w:rsidR="004D1B10">
        <w:t>)</w:t>
      </w:r>
      <w:r>
        <w:t xml:space="preserve">. </w:t>
      </w:r>
    </w:p>
    <w:p w:rsidR="00540208" w:rsidRDefault="00540208" w:rsidP="004D1B10">
      <w:pPr>
        <w:pStyle w:val="BodyText"/>
      </w:pPr>
      <w:r>
        <w:t xml:space="preserve">Even small productivity improvements </w:t>
      </w:r>
      <w:r w:rsidR="002A152B">
        <w:t xml:space="preserve">in the government sector </w:t>
      </w:r>
      <w:r>
        <w:t xml:space="preserve">would have a substantial cumulative impact. </w:t>
      </w:r>
      <w:r w:rsidR="001B0919">
        <w:t>For example, a 5 per cent gain in the health sector would free up some $4 billion</w:t>
      </w:r>
      <w:r w:rsidR="00F812F1">
        <w:t xml:space="preserve"> (PC </w:t>
      </w:r>
      <w:proofErr w:type="spellStart"/>
      <w:r w:rsidR="00F812F1">
        <w:t>2006a</w:t>
      </w:r>
      <w:proofErr w:type="spellEnd"/>
      <w:r w:rsidR="00F812F1">
        <w:t>)</w:t>
      </w:r>
      <w:r w:rsidR="001B0919">
        <w:t xml:space="preserve">. </w:t>
      </w:r>
      <w:r w:rsidR="00897FCE">
        <w:t>That s</w:t>
      </w:r>
      <w:r>
        <w:t xml:space="preserve">cope clearly exists for gains </w:t>
      </w:r>
      <w:r w:rsidR="00897FCE">
        <w:t>is</w:t>
      </w:r>
      <w:r>
        <w:t xml:space="preserve"> illustrated by </w:t>
      </w:r>
      <w:r w:rsidR="003D133A">
        <w:t xml:space="preserve">differences in the </w:t>
      </w:r>
      <w:r>
        <w:t xml:space="preserve">performance </w:t>
      </w:r>
      <w:r w:rsidR="009C62B6">
        <w:t xml:space="preserve">of </w:t>
      </w:r>
      <w:r w:rsidR="002A152B">
        <w:t>human service</w:t>
      </w:r>
      <w:r w:rsidR="00B313CC">
        <w:t>s</w:t>
      </w:r>
      <w:r w:rsidR="002A152B">
        <w:t xml:space="preserve"> </w:t>
      </w:r>
      <w:r>
        <w:t>across states and territories</w:t>
      </w:r>
      <w:r w:rsidR="009C62B6">
        <w:t>, as</w:t>
      </w:r>
      <w:r>
        <w:t xml:space="preserve"> </w:t>
      </w:r>
      <w:r w:rsidR="002A152B">
        <w:t xml:space="preserve">revealed </w:t>
      </w:r>
      <w:r>
        <w:t>in benchmarking data (</w:t>
      </w:r>
      <w:proofErr w:type="spellStart"/>
      <w:r w:rsidR="00FA2403">
        <w:t>SCRGS</w:t>
      </w:r>
      <w:r w:rsidR="00747DD6">
        <w:t>P</w:t>
      </w:r>
      <w:proofErr w:type="spellEnd"/>
      <w:r w:rsidR="00F812F1">
        <w:t xml:space="preserve"> 2012</w:t>
      </w:r>
      <w:r w:rsidR="004D1B10">
        <w:t>).</w:t>
      </w:r>
    </w:p>
    <w:p w:rsidR="004D1B10" w:rsidRDefault="004D1B10" w:rsidP="004D1B10">
      <w:pPr>
        <w:pStyle w:val="ListBullet"/>
      </w:pPr>
      <w:r w:rsidRPr="00F33A65">
        <w:rPr>
          <w:i/>
        </w:rPr>
        <w:t xml:space="preserve">All major human service programs </w:t>
      </w:r>
      <w:r w:rsidR="000B601E">
        <w:rPr>
          <w:i/>
        </w:rPr>
        <w:t>should</w:t>
      </w:r>
      <w:r w:rsidRPr="00F33A65">
        <w:rPr>
          <w:i/>
        </w:rPr>
        <w:t xml:space="preserve"> be periodically reviewed</w:t>
      </w:r>
      <w:r>
        <w:t xml:space="preserve"> to ensure that they are well-targeted and cost-effectively delivered, including </w:t>
      </w:r>
      <w:r w:rsidR="00F33A65">
        <w:t xml:space="preserve">identifying scope </w:t>
      </w:r>
      <w:r w:rsidR="000B601E">
        <w:t>for design changes that would</w:t>
      </w:r>
      <w:r w:rsidR="00F33A65">
        <w:t xml:space="preserve"> enhance</w:t>
      </w:r>
      <w:r>
        <w:t xml:space="preserve"> consumer choice and contestability</w:t>
      </w:r>
      <w:r w:rsidR="00F33A65">
        <w:t xml:space="preserve"> </w:t>
      </w:r>
      <w:r w:rsidR="001528CD">
        <w:t xml:space="preserve">in provision </w:t>
      </w:r>
      <w:r w:rsidR="00F33A65">
        <w:t>(PC</w:t>
      </w:r>
      <w:r w:rsidR="00713406">
        <w:t xml:space="preserve"> </w:t>
      </w:r>
      <w:proofErr w:type="spellStart"/>
      <w:r w:rsidR="00713406">
        <w:t>2006a</w:t>
      </w:r>
      <w:proofErr w:type="spellEnd"/>
      <w:r w:rsidR="00F33A65">
        <w:t>)</w:t>
      </w:r>
      <w:r>
        <w:t>.</w:t>
      </w:r>
    </w:p>
    <w:p w:rsidR="004D1B10" w:rsidRDefault="004D1B10" w:rsidP="004D1B10">
      <w:pPr>
        <w:pStyle w:val="ListBullet"/>
      </w:pPr>
      <w:r>
        <w:t xml:space="preserve">In the case of aged care, </w:t>
      </w:r>
      <w:r w:rsidR="009C62B6">
        <w:t>after</w:t>
      </w:r>
      <w:r>
        <w:t xml:space="preserve"> the current suite of reforms</w:t>
      </w:r>
      <w:r w:rsidR="009C62B6">
        <w:t xml:space="preserve"> is implemented</w:t>
      </w:r>
      <w:r>
        <w:t xml:space="preserve">, </w:t>
      </w:r>
      <w:r w:rsidRPr="005744B7">
        <w:rPr>
          <w:i/>
        </w:rPr>
        <w:t xml:space="preserve">move progressively to </w:t>
      </w:r>
      <w:r w:rsidR="005744B7">
        <w:rPr>
          <w:i/>
        </w:rPr>
        <w:t>lift</w:t>
      </w:r>
      <w:r w:rsidRPr="005744B7">
        <w:rPr>
          <w:i/>
        </w:rPr>
        <w:t xml:space="preserve"> caps on place numbers for care and  direct funding through individuals</w:t>
      </w:r>
      <w:r>
        <w:t xml:space="preserve"> rather than providers</w:t>
      </w:r>
      <w:r w:rsidR="000B601E">
        <w:t>,</w:t>
      </w:r>
      <w:r>
        <w:t xml:space="preserve"> </w:t>
      </w:r>
      <w:r w:rsidR="005744B7">
        <w:t>and revise asset tests</w:t>
      </w:r>
      <w:r w:rsidR="006E4537">
        <w:t xml:space="preserve"> </w:t>
      </w:r>
      <w:r>
        <w:t>(PC</w:t>
      </w:r>
      <w:r w:rsidR="00713406">
        <w:t xml:space="preserve"> </w:t>
      </w:r>
      <w:proofErr w:type="spellStart"/>
      <w:r w:rsidR="00713406">
        <w:t>2011</w:t>
      </w:r>
      <w:r w:rsidR="00747DD6">
        <w:t>f</w:t>
      </w:r>
      <w:proofErr w:type="spellEnd"/>
      <w:r>
        <w:t>)</w:t>
      </w:r>
      <w:r w:rsidR="005744B7">
        <w:t>.</w:t>
      </w:r>
    </w:p>
    <w:p w:rsidR="004D1B10" w:rsidRDefault="00793765" w:rsidP="004D1B10">
      <w:pPr>
        <w:pStyle w:val="ListBullet"/>
      </w:pPr>
      <w:r>
        <w:lastRenderedPageBreak/>
        <w:t xml:space="preserve">In the case of </w:t>
      </w:r>
      <w:r w:rsidR="00B313CC">
        <w:t xml:space="preserve">the systemic reforms needed to </w:t>
      </w:r>
      <w:r w:rsidRPr="008804E5">
        <w:rPr>
          <w:i/>
        </w:rPr>
        <w:t xml:space="preserve">support people </w:t>
      </w:r>
      <w:r w:rsidR="004A3A5F">
        <w:rPr>
          <w:i/>
        </w:rPr>
        <w:t xml:space="preserve">suffering </w:t>
      </w:r>
      <w:r w:rsidR="00713406">
        <w:rPr>
          <w:i/>
        </w:rPr>
        <w:t>significant</w:t>
      </w:r>
      <w:r w:rsidRPr="008804E5">
        <w:rPr>
          <w:i/>
        </w:rPr>
        <w:t xml:space="preserve"> disability</w:t>
      </w:r>
      <w:r>
        <w:t>, progr</w:t>
      </w:r>
      <w:r w:rsidR="00B313CC">
        <w:t>ess</w:t>
      </w:r>
      <w:r>
        <w:t xml:space="preserve"> the trials and resolve crucial funding issues to ensure a system that is fair and sustainable</w:t>
      </w:r>
      <w:r w:rsidR="00E777A4">
        <w:t xml:space="preserve"> (PC</w:t>
      </w:r>
      <w:r w:rsidR="00713406">
        <w:t xml:space="preserve"> </w:t>
      </w:r>
      <w:proofErr w:type="spellStart"/>
      <w:r w:rsidR="00713406">
        <w:t>2011</w:t>
      </w:r>
      <w:r w:rsidR="00747DD6">
        <w:t>g</w:t>
      </w:r>
      <w:proofErr w:type="spellEnd"/>
      <w:r w:rsidR="00E777A4">
        <w:t>)</w:t>
      </w:r>
      <w:r>
        <w:t>.</w:t>
      </w:r>
    </w:p>
    <w:p w:rsidR="004A3A5F" w:rsidRDefault="004A3A5F" w:rsidP="004D1B10">
      <w:pPr>
        <w:pStyle w:val="ListBullet"/>
      </w:pPr>
      <w:r>
        <w:t xml:space="preserve">For the </w:t>
      </w:r>
      <w:r>
        <w:rPr>
          <w:i/>
        </w:rPr>
        <w:t>health workforce,</w:t>
      </w:r>
      <w:r>
        <w:t xml:space="preserve"> enable services to be provided by those professionals who can most cost-effect</w:t>
      </w:r>
      <w:r w:rsidR="00EA591C">
        <w:t>ively</w:t>
      </w:r>
      <w:r>
        <w:t xml:space="preserve"> do so to required standards</w:t>
      </w:r>
      <w:r w:rsidR="0061545E">
        <w:t xml:space="preserve"> (PC </w:t>
      </w:r>
      <w:proofErr w:type="spellStart"/>
      <w:r w:rsidR="00747DD6">
        <w:t>2005c</w:t>
      </w:r>
      <w:proofErr w:type="spellEnd"/>
      <w:r w:rsidR="0061545E">
        <w:t>)</w:t>
      </w:r>
      <w:r>
        <w:t>.</w:t>
      </w:r>
    </w:p>
    <w:p w:rsidR="00540208" w:rsidRPr="005744B7" w:rsidRDefault="005744B7" w:rsidP="005744B7">
      <w:pPr>
        <w:pStyle w:val="Heading4"/>
      </w:pPr>
      <w:r w:rsidRPr="005744B7">
        <w:t xml:space="preserve">3. </w:t>
      </w:r>
      <w:r w:rsidR="00540208" w:rsidRPr="005744B7">
        <w:t>Flexibility policies</w:t>
      </w:r>
    </w:p>
    <w:p w:rsidR="000B601E" w:rsidRDefault="00540208" w:rsidP="00540208">
      <w:pPr>
        <w:pStyle w:val="BodyText"/>
      </w:pPr>
      <w:r>
        <w:t xml:space="preserve">How well organisations respond to incentives to raise productivity depends not only </w:t>
      </w:r>
      <w:r w:rsidR="0014544B">
        <w:t xml:space="preserve">on </w:t>
      </w:r>
      <w:r>
        <w:t xml:space="preserve">the capability of their people and support systems but also on the scope for them to make the changes needed to realise </w:t>
      </w:r>
      <w:r w:rsidR="001017DC">
        <w:t>an organisation’s</w:t>
      </w:r>
      <w:r>
        <w:t xml:space="preserve"> productive potential. The key policy issues in this area are regulatory</w:t>
      </w:r>
      <w:r w:rsidR="0014544B">
        <w:t>, with a</w:t>
      </w:r>
      <w:r>
        <w:t xml:space="preserve"> myriad of regulations shap</w:t>
      </w:r>
      <w:r w:rsidR="0014544B">
        <w:t>ing</w:t>
      </w:r>
      <w:r>
        <w:t xml:space="preserve"> the behaviour of firms</w:t>
      </w:r>
      <w:r w:rsidR="001017DC">
        <w:t xml:space="preserve"> and other organisations in all parts of the economy</w:t>
      </w:r>
      <w:r>
        <w:t xml:space="preserve">. </w:t>
      </w:r>
    </w:p>
    <w:p w:rsidR="00540208" w:rsidRDefault="00540208" w:rsidP="00540208">
      <w:pPr>
        <w:pStyle w:val="BodyText"/>
      </w:pPr>
      <w:r>
        <w:t xml:space="preserve">While most </w:t>
      </w:r>
      <w:r w:rsidR="0014544B">
        <w:t>of these</w:t>
      </w:r>
      <w:r w:rsidR="005744B7">
        <w:t xml:space="preserve"> regulations</w:t>
      </w:r>
      <w:r w:rsidR="0014544B">
        <w:t xml:space="preserve"> </w:t>
      </w:r>
      <w:r>
        <w:t>have worthy objectives — whether economic, social or environmental — many are formulated without sufficient regard for collateral dam</w:t>
      </w:r>
      <w:r w:rsidR="005744B7">
        <w:t>age on productivity and whether o</w:t>
      </w:r>
      <w:r>
        <w:t>bjectives could be met in more cost-effective ways.</w:t>
      </w:r>
    </w:p>
    <w:p w:rsidR="00540208" w:rsidRDefault="000B517E" w:rsidP="00540208">
      <w:pPr>
        <w:pStyle w:val="BodyText"/>
      </w:pPr>
      <w:r>
        <w:t xml:space="preserve">Regulations that </w:t>
      </w:r>
      <w:r w:rsidR="00C4644C">
        <w:t>affect</w:t>
      </w:r>
      <w:r>
        <w:t xml:space="preserve"> flexibility are essentially of t</w:t>
      </w:r>
      <w:r w:rsidR="001017DC">
        <w:t>hree</w:t>
      </w:r>
      <w:r>
        <w:t xml:space="preserve"> kinds: those that define what enterprises can </w:t>
      </w:r>
      <w:r w:rsidR="00897FCE">
        <w:t>(or can’t</w:t>
      </w:r>
      <w:r w:rsidR="00E444C7">
        <w:t>) do</w:t>
      </w:r>
      <w:r w:rsidR="00C4644C">
        <w:t>;</w:t>
      </w:r>
      <w:r>
        <w:t xml:space="preserve"> those that prescribe how they must go about </w:t>
      </w:r>
      <w:r w:rsidR="001017DC">
        <w:t>their business</w:t>
      </w:r>
      <w:r w:rsidR="00E444C7">
        <w:t>,</w:t>
      </w:r>
      <w:r w:rsidR="001017DC">
        <w:t xml:space="preserve"> and those that otherwise raise the costs of making changes</w:t>
      </w:r>
      <w:r w:rsidR="00E444C7">
        <w:t>.</w:t>
      </w:r>
      <w:r w:rsidR="001017DC">
        <w:t xml:space="preserve"> They</w:t>
      </w:r>
      <w:r>
        <w:t xml:space="preserve"> c</w:t>
      </w:r>
      <w:r w:rsidR="001017DC">
        <w:t>an have effects on productivity</w:t>
      </w:r>
      <w:r>
        <w:t xml:space="preserve"> by </w:t>
      </w:r>
      <w:r w:rsidR="001017DC">
        <w:t xml:space="preserve">constraining and </w:t>
      </w:r>
      <w:r w:rsidR="00E6303D">
        <w:t>condit</w:t>
      </w:r>
      <w:r w:rsidR="00756605">
        <w:t xml:space="preserve">ioning adjustments </w:t>
      </w:r>
      <w:r w:rsidR="00E444C7">
        <w:t xml:space="preserve">not only </w:t>
      </w:r>
      <w:r w:rsidR="00756605">
        <w:t xml:space="preserve">within firms </w:t>
      </w:r>
      <w:r w:rsidR="00E444C7">
        <w:t>but</w:t>
      </w:r>
      <w:r w:rsidR="00897FCE">
        <w:t xml:space="preserve"> also</w:t>
      </w:r>
      <w:r w:rsidR="0014544B">
        <w:t xml:space="preserve"> </w:t>
      </w:r>
      <w:r w:rsidR="00E6303D">
        <w:t>across industries and regions.</w:t>
      </w:r>
      <w:r w:rsidR="00E444C7">
        <w:t xml:space="preserve"> While there have been reforms in </w:t>
      </w:r>
      <w:r w:rsidR="008A1C29">
        <w:t xml:space="preserve">numerous </w:t>
      </w:r>
      <w:r w:rsidR="00E444C7">
        <w:t xml:space="preserve">areas, including under </w:t>
      </w:r>
      <w:proofErr w:type="spellStart"/>
      <w:r w:rsidR="00E444C7">
        <w:t>COAG’s</w:t>
      </w:r>
      <w:proofErr w:type="spellEnd"/>
      <w:r w:rsidR="00E444C7">
        <w:t xml:space="preserve"> Seamless National Economy work streams, many impediments remain. </w:t>
      </w:r>
      <w:r w:rsidR="008A1C29">
        <w:t>Reflecting this</w:t>
      </w:r>
      <w:r w:rsidR="00E444C7">
        <w:t xml:space="preserve">, of the nearly 1000 enterprises responding to an </w:t>
      </w:r>
      <w:proofErr w:type="spellStart"/>
      <w:r w:rsidR="00E444C7">
        <w:t>ACCI</w:t>
      </w:r>
      <w:proofErr w:type="spellEnd"/>
      <w:r w:rsidR="00E444C7">
        <w:t xml:space="preserve"> national survey earlier this year, one-half indicated that regulatory provisions had ‘prevented them making changes needed to </w:t>
      </w:r>
      <w:r w:rsidR="00E634AE">
        <w:t>expand their businesses’ (</w:t>
      </w:r>
      <w:proofErr w:type="spellStart"/>
      <w:r w:rsidR="00E634AE">
        <w:t>ACCI</w:t>
      </w:r>
      <w:proofErr w:type="spellEnd"/>
      <w:r w:rsidR="00E634AE">
        <w:t xml:space="preserve"> </w:t>
      </w:r>
      <w:r w:rsidR="00E444C7">
        <w:t>2012).</w:t>
      </w:r>
    </w:p>
    <w:p w:rsidR="003F08A0" w:rsidRDefault="003F08A0" w:rsidP="00540208">
      <w:pPr>
        <w:pStyle w:val="BodyText"/>
      </w:pPr>
      <w:r>
        <w:t xml:space="preserve">This underlines the ongoing challenge of embedding a proper accounting of costs and benefits into regulation-making practices, including consideration of alternative options. The Commission’s current review of Regulatory Impact Assessment processes has confirmed deficiencies at </w:t>
      </w:r>
      <w:r w:rsidR="00513C6C">
        <w:t>C</w:t>
      </w:r>
      <w:r>
        <w:t>ommonwealth and State levels. S</w:t>
      </w:r>
      <w:r w:rsidR="00D26BEB">
        <w:t xml:space="preserve">ome </w:t>
      </w:r>
      <w:r w:rsidR="00625C5C">
        <w:t>20 broad</w:t>
      </w:r>
      <w:r w:rsidR="00D26BEB">
        <w:t xml:space="preserve"> ‘leading practices’ </w:t>
      </w:r>
      <w:r>
        <w:t>have been identified which, in themselves, constitute an important ‘to do list’ for all jurisdictions</w:t>
      </w:r>
      <w:r w:rsidR="00E634AE">
        <w:t xml:space="preserve"> (PC</w:t>
      </w:r>
      <w:r w:rsidR="00513C6C">
        <w:t xml:space="preserve"> </w:t>
      </w:r>
      <w:proofErr w:type="spellStart"/>
      <w:r w:rsidR="00513C6C">
        <w:t>2012</w:t>
      </w:r>
      <w:r w:rsidR="00747DD6">
        <w:t>g</w:t>
      </w:r>
      <w:proofErr w:type="spellEnd"/>
      <w:r w:rsidR="00513C6C">
        <w:t>)</w:t>
      </w:r>
      <w:r>
        <w:t>.</w:t>
      </w:r>
      <w:r w:rsidR="008D207D">
        <w:t xml:space="preserve"> It is also important to monitor and review existing regulations that affect businesses to ensure that these remain ‘fit for purpose’ and avoid unintended consequences.</w:t>
      </w:r>
    </w:p>
    <w:p w:rsidR="008D207D" w:rsidRDefault="008D207D" w:rsidP="008D207D">
      <w:pPr>
        <w:pStyle w:val="ListBullet"/>
      </w:pPr>
      <w:r>
        <w:t>Re</w:t>
      </w:r>
      <w:r w:rsidR="00EA591C">
        <w:t>quirements for review of</w:t>
      </w:r>
      <w:r>
        <w:t xml:space="preserve"> regulations should be specified when they are being made and embedded in legislation </w:t>
      </w:r>
      <w:r w:rsidR="00EA591C">
        <w:t xml:space="preserve">in cases </w:t>
      </w:r>
      <w:r>
        <w:t>whe</w:t>
      </w:r>
      <w:r w:rsidR="00424941">
        <w:t>re</w:t>
      </w:r>
      <w:r>
        <w:t xml:space="preserve"> there are significant uncertainties</w:t>
      </w:r>
      <w:r w:rsidR="00E634AE">
        <w:t xml:space="preserve"> about the impacts (PC</w:t>
      </w:r>
      <w:r>
        <w:t xml:space="preserve"> </w:t>
      </w:r>
      <w:proofErr w:type="spellStart"/>
      <w:r>
        <w:t>2011</w:t>
      </w:r>
      <w:r w:rsidR="00747DD6">
        <w:t>a</w:t>
      </w:r>
      <w:proofErr w:type="spellEnd"/>
      <w:r>
        <w:t>).</w:t>
      </w:r>
    </w:p>
    <w:p w:rsidR="008D207D" w:rsidRDefault="008D207D" w:rsidP="008D207D">
      <w:pPr>
        <w:pStyle w:val="ListBullet"/>
      </w:pPr>
      <w:r>
        <w:lastRenderedPageBreak/>
        <w:t xml:space="preserve">Review processes for </w:t>
      </w:r>
      <w:r w:rsidR="00243653">
        <w:t xml:space="preserve">key </w:t>
      </w:r>
      <w:r>
        <w:t xml:space="preserve">regulations should be conducted at arms-length from policy departments and </w:t>
      </w:r>
      <w:r w:rsidR="00243653">
        <w:t>include</w:t>
      </w:r>
      <w:r w:rsidR="00E634AE">
        <w:t xml:space="preserve"> a public draft report (PC</w:t>
      </w:r>
      <w:r>
        <w:t xml:space="preserve"> </w:t>
      </w:r>
      <w:proofErr w:type="spellStart"/>
      <w:r>
        <w:t>2011</w:t>
      </w:r>
      <w:r w:rsidR="00747DD6">
        <w:t>a</w:t>
      </w:r>
      <w:proofErr w:type="spellEnd"/>
      <w:r>
        <w:t>).</w:t>
      </w:r>
    </w:p>
    <w:p w:rsidR="0022659A" w:rsidRDefault="0022659A" w:rsidP="0022659A">
      <w:pPr>
        <w:pStyle w:val="Heading5"/>
      </w:pPr>
      <w:r>
        <w:t>Workplace regulation</w:t>
      </w:r>
    </w:p>
    <w:p w:rsidR="00B4077E" w:rsidRPr="003F08A0" w:rsidRDefault="00EB3CB3" w:rsidP="0022659A">
      <w:pPr>
        <w:pStyle w:val="BodyText"/>
      </w:pPr>
      <w:r>
        <w:t xml:space="preserve">Industrial relations regulations are among the most pervasive of all in their coverage of organisations and their influence on work arrangements. Whether they are also among the most important </w:t>
      </w:r>
      <w:r w:rsidR="00430AD9">
        <w:t xml:space="preserve">to get right </w:t>
      </w:r>
      <w:r>
        <w:t>from a productivity perspective is hotly</w:t>
      </w:r>
      <w:r w:rsidR="005F18FD">
        <w:t xml:space="preserve"> contested.</w:t>
      </w:r>
    </w:p>
    <w:p w:rsidR="0022659A" w:rsidRDefault="00F85354" w:rsidP="0022659A">
      <w:pPr>
        <w:pStyle w:val="BodyText"/>
      </w:pPr>
      <w:r>
        <w:t>It was more widely accepted</w:t>
      </w:r>
      <w:r w:rsidR="00EB3CB3">
        <w:t xml:space="preserve"> in the </w:t>
      </w:r>
      <w:proofErr w:type="spellStart"/>
      <w:r w:rsidR="00EB3CB3">
        <w:t>1980s</w:t>
      </w:r>
      <w:proofErr w:type="spellEnd"/>
      <w:r w:rsidR="00EB3CB3">
        <w:t xml:space="preserve"> when the opening of Australia’s economy to international competition (</w:t>
      </w:r>
      <w:r w:rsidR="008A1C29">
        <w:t xml:space="preserve">and, thus, </w:t>
      </w:r>
      <w:r w:rsidR="00EB3CB3">
        <w:t xml:space="preserve">best practice productivity levels) exposed the true cost of rigidities embedded in labour laws and work practices </w:t>
      </w:r>
      <w:r w:rsidR="003F08A0">
        <w:t xml:space="preserve">that had evolved through the era of so-called </w:t>
      </w:r>
      <w:r w:rsidR="00EB3CB3">
        <w:t>‘protection all round’. Since the move to enterprise bargaining under the Hawke-Keating Governments, the industrial landscape has become more accommodating of diversity and change a</w:t>
      </w:r>
      <w:r w:rsidR="006E4537">
        <w:t>mong firms and across regions. T</w:t>
      </w:r>
      <w:r w:rsidR="00EB3CB3">
        <w:t xml:space="preserve">his not only contributed to the </w:t>
      </w:r>
      <w:proofErr w:type="spellStart"/>
      <w:r w:rsidR="00EB3CB3">
        <w:t>1990s</w:t>
      </w:r>
      <w:proofErr w:type="spellEnd"/>
      <w:r w:rsidR="00EB3CB3">
        <w:t xml:space="preserve"> productivity surge, but also to the comparative resilience of employment in subs</w:t>
      </w:r>
      <w:r w:rsidR="0073532C">
        <w:t xml:space="preserve">equent downturns (notably the </w:t>
      </w:r>
      <w:proofErr w:type="spellStart"/>
      <w:r w:rsidR="0073532C">
        <w:t>G</w:t>
      </w:r>
      <w:r w:rsidR="00EB3CB3">
        <w:t>FC</w:t>
      </w:r>
      <w:proofErr w:type="spellEnd"/>
      <w:r w:rsidR="00EB3CB3">
        <w:t>) and the avoidance of a generalise</w:t>
      </w:r>
      <w:r w:rsidR="006A673D">
        <w:t>d ‘wage breakout’ during the mining b</w:t>
      </w:r>
      <w:r w:rsidR="00EB3CB3">
        <w:t>oom (PC</w:t>
      </w:r>
      <w:r w:rsidR="003F08A0">
        <w:t xml:space="preserve"> </w:t>
      </w:r>
      <w:proofErr w:type="spellStart"/>
      <w:r w:rsidR="003F08A0">
        <w:t>201</w:t>
      </w:r>
      <w:r w:rsidR="00243653">
        <w:t>2h</w:t>
      </w:r>
      <w:proofErr w:type="spellEnd"/>
      <w:r w:rsidR="00EE1B70">
        <w:t>,</w:t>
      </w:r>
      <w:r w:rsidR="00492D65">
        <w:t xml:space="preserve"> Lowe 2012)</w:t>
      </w:r>
      <w:r w:rsidR="00EB3CB3">
        <w:t>.</w:t>
      </w:r>
    </w:p>
    <w:p w:rsidR="003A61FE" w:rsidRDefault="003A61FE" w:rsidP="0022659A">
      <w:pPr>
        <w:pStyle w:val="BodyText"/>
      </w:pPr>
      <w:r>
        <w:t>It</w:t>
      </w:r>
      <w:r w:rsidR="000C1B4D">
        <w:t xml:space="preserve"> has to be said, however, </w:t>
      </w:r>
      <w:r w:rsidR="005F18FD">
        <w:t>that</w:t>
      </w:r>
      <w:r w:rsidR="003F08A0">
        <w:t xml:space="preserve"> </w:t>
      </w:r>
      <w:r w:rsidR="00477A11">
        <w:t xml:space="preserve">most of the labour market reforms from the </w:t>
      </w:r>
      <w:proofErr w:type="spellStart"/>
      <w:r w:rsidR="00477A11">
        <w:t>1980s</w:t>
      </w:r>
      <w:proofErr w:type="spellEnd"/>
      <w:r w:rsidR="00477A11">
        <w:t xml:space="preserve"> to the early </w:t>
      </w:r>
      <w:proofErr w:type="spellStart"/>
      <w:r w:rsidR="00477A11">
        <w:t>2000s</w:t>
      </w:r>
      <w:proofErr w:type="spellEnd"/>
      <w:r w:rsidR="00477A11">
        <w:t xml:space="preserve"> were essentially ‘no brainers’ — redressing obvious anti-productivity features of a highly centralised, prescriptive and adversarial system</w:t>
      </w:r>
      <w:r w:rsidR="003F08A0">
        <w:t>.</w:t>
      </w:r>
      <w:r w:rsidR="00477A11">
        <w:t xml:space="preserve"> </w:t>
      </w:r>
      <w:r w:rsidR="000C1B4D">
        <w:t xml:space="preserve">While the </w:t>
      </w:r>
      <w:r w:rsidR="005F18FD">
        <w:t>changes</w:t>
      </w:r>
      <w:r w:rsidR="000C1B4D">
        <w:t xml:space="preserve"> faced political obstacles, there was widespread recognition of the need for </w:t>
      </w:r>
      <w:r w:rsidR="005F18FD">
        <w:t>reform</w:t>
      </w:r>
      <w:r w:rsidR="000C1B4D">
        <w:t xml:space="preserve">. </w:t>
      </w:r>
      <w:r w:rsidR="00477A11">
        <w:t>This changed with the reforms under ‘Work Choices’, the justification</w:t>
      </w:r>
      <w:r w:rsidR="00C30218">
        <w:t>s</w:t>
      </w:r>
      <w:r w:rsidR="00477A11">
        <w:t xml:space="preserve"> for which w</w:t>
      </w:r>
      <w:r w:rsidR="00C30218">
        <w:t>ere</w:t>
      </w:r>
      <w:r w:rsidR="00477A11">
        <w:t xml:space="preserve"> neither adequately explained nor </w:t>
      </w:r>
      <w:r w:rsidR="00430AD9">
        <w:t xml:space="preserve">widely </w:t>
      </w:r>
      <w:r w:rsidR="00477A11">
        <w:t xml:space="preserve">understood by the public. Industrial relations </w:t>
      </w:r>
      <w:r w:rsidR="00430AD9">
        <w:t xml:space="preserve">policy </w:t>
      </w:r>
      <w:r w:rsidR="00477A11">
        <w:t>has been a ‘war zone’ ever since, with re</w:t>
      </w:r>
      <w:r w:rsidR="0073532C">
        <w:t>asoned</w:t>
      </w:r>
      <w:r w:rsidR="00477A11">
        <w:t xml:space="preserve"> public discussion about fairness/productivity trade</w:t>
      </w:r>
      <w:r w:rsidR="00A7735B">
        <w:t>-</w:t>
      </w:r>
      <w:r w:rsidR="00477A11">
        <w:t xml:space="preserve">offs the biggest casualty. It would </w:t>
      </w:r>
      <w:r w:rsidR="00185D5C">
        <w:t>therefore</w:t>
      </w:r>
      <w:r w:rsidR="00477A11">
        <w:t xml:space="preserve"> be astonishing if those trade</w:t>
      </w:r>
      <w:r w:rsidR="00A7735B">
        <w:t>-</w:t>
      </w:r>
      <w:r w:rsidR="00477A11">
        <w:t>offs had been properly accounted for.</w:t>
      </w:r>
    </w:p>
    <w:p w:rsidR="00477A11" w:rsidRDefault="00477A11" w:rsidP="0022659A">
      <w:pPr>
        <w:pStyle w:val="BodyText"/>
      </w:pPr>
      <w:r>
        <w:t>The Productivity Commission has not been required to provide advice about this</w:t>
      </w:r>
      <w:r w:rsidR="00486872">
        <w:t>,</w:t>
      </w:r>
      <w:r>
        <w:t xml:space="preserve"> </w:t>
      </w:r>
      <w:r w:rsidR="00486872">
        <w:t xml:space="preserve">so </w:t>
      </w:r>
      <w:r>
        <w:t>there is no formal list of recommendations from which I can confidently draw. However, the Commission’s reviews into the ‘education work force’ (PC</w:t>
      </w:r>
      <w:r w:rsidR="00DD7D9D">
        <w:t xml:space="preserve"> </w:t>
      </w:r>
      <w:proofErr w:type="spellStart"/>
      <w:r w:rsidR="00DD7D9D">
        <w:t>2011</w:t>
      </w:r>
      <w:r w:rsidR="00747DD6">
        <w:t>b</w:t>
      </w:r>
      <w:proofErr w:type="spellEnd"/>
      <w:r>
        <w:t>,</w:t>
      </w:r>
      <w:r w:rsidR="00DD7D9D">
        <w:t xml:space="preserve"> </w:t>
      </w:r>
      <w:r w:rsidR="00747DD6">
        <w:t>c</w:t>
      </w:r>
      <w:r>
        <w:t>,</w:t>
      </w:r>
      <w:r w:rsidR="00DD7D9D">
        <w:t xml:space="preserve"> </w:t>
      </w:r>
      <w:proofErr w:type="spellStart"/>
      <w:r w:rsidR="00DD7D9D">
        <w:t>2012a</w:t>
      </w:r>
      <w:proofErr w:type="spellEnd"/>
      <w:r>
        <w:t>)</w:t>
      </w:r>
      <w:r w:rsidR="00DD7D9D">
        <w:t>,</w:t>
      </w:r>
      <w:r>
        <w:t xml:space="preserve"> the retail industry (PC</w:t>
      </w:r>
      <w:r w:rsidR="00DD7D9D">
        <w:t xml:space="preserve"> </w:t>
      </w:r>
      <w:proofErr w:type="spellStart"/>
      <w:r w:rsidR="00DD7D9D">
        <w:t>2011</w:t>
      </w:r>
      <w:r w:rsidR="00747DD6">
        <w:t>h</w:t>
      </w:r>
      <w:proofErr w:type="spellEnd"/>
      <w:r>
        <w:t xml:space="preserve">) </w:t>
      </w:r>
      <w:r w:rsidR="00DD7D9D">
        <w:t xml:space="preserve">and electricity (PC </w:t>
      </w:r>
      <w:proofErr w:type="spellStart"/>
      <w:r w:rsidR="00DD7D9D">
        <w:t>2012b</w:t>
      </w:r>
      <w:proofErr w:type="spellEnd"/>
      <w:r w:rsidR="00DD7D9D">
        <w:t xml:space="preserve">) have </w:t>
      </w:r>
      <w:r>
        <w:t>brought to light several features of current arrangements that appear problematic</w:t>
      </w:r>
      <w:r w:rsidR="00DD7D9D">
        <w:t xml:space="preserve"> at a sectoral level</w:t>
      </w:r>
      <w:r>
        <w:t>.</w:t>
      </w:r>
    </w:p>
    <w:p w:rsidR="00477A11" w:rsidRDefault="00477A11" w:rsidP="0022659A">
      <w:pPr>
        <w:pStyle w:val="BodyText"/>
      </w:pPr>
      <w:r>
        <w:t>R</w:t>
      </w:r>
      <w:r w:rsidR="00A7735B">
        <w:t>ecently</w:t>
      </w:r>
      <w:r w:rsidR="00B05383">
        <w:t>,</w:t>
      </w:r>
      <w:r w:rsidR="00A7735B">
        <w:t xml:space="preserve"> I found myself </w:t>
      </w:r>
      <w:r w:rsidR="00CB6656">
        <w:t xml:space="preserve">being </w:t>
      </w:r>
      <w:r w:rsidR="00A7735B">
        <w:t xml:space="preserve">condemned by union leaders for suggesting that such regulations should be treated </w:t>
      </w:r>
      <w:r w:rsidR="00486872">
        <w:t xml:space="preserve">no </w:t>
      </w:r>
      <w:r w:rsidR="00A7735B">
        <w:t xml:space="preserve">differently to other areas of social regulation </w:t>
      </w:r>
      <w:r w:rsidR="00B273AC">
        <w:t>that have</w:t>
      </w:r>
      <w:r w:rsidR="00A7735B">
        <w:t xml:space="preserve"> potentially adverse economic impacts</w:t>
      </w:r>
      <w:r w:rsidR="000B3536">
        <w:t>; namely that t</w:t>
      </w:r>
      <w:r w:rsidR="00A7735B">
        <w:t xml:space="preserve">heir proponents </w:t>
      </w:r>
      <w:r w:rsidR="00A7735B">
        <w:lastRenderedPageBreak/>
        <w:t>should be required to demonstrate that there are public interest benefits</w:t>
      </w:r>
      <w:r w:rsidR="00CB6656">
        <w:t xml:space="preserve"> that exceed the economic costs</w:t>
      </w:r>
      <w:r w:rsidR="001528CD">
        <w:t>,</w:t>
      </w:r>
      <w:r w:rsidR="00A7735B">
        <w:t xml:space="preserve"> and that </w:t>
      </w:r>
      <w:r w:rsidR="00CB6656">
        <w:t>such benefits to society</w:t>
      </w:r>
      <w:r w:rsidR="00A7735B">
        <w:t xml:space="preserve"> could not be achieved in </w:t>
      </w:r>
      <w:r w:rsidR="00E634AE">
        <w:t>more cost-effective ways (Banks</w:t>
      </w:r>
      <w:r w:rsidR="00A7735B">
        <w:t xml:space="preserve"> 2012). </w:t>
      </w:r>
      <w:r w:rsidR="00B273AC">
        <w:t xml:space="preserve">This is not saying that regulation should never favour fairness over productivity in the workplace, only that the justification for this needs to be transparently tested. </w:t>
      </w:r>
      <w:r w:rsidR="001528CD">
        <w:t>T</w:t>
      </w:r>
      <w:r w:rsidR="00A7735B">
        <w:t xml:space="preserve">he </w:t>
      </w:r>
      <w:r w:rsidR="001528CD">
        <w:t xml:space="preserve">very </w:t>
      </w:r>
      <w:r w:rsidR="00CB6656">
        <w:t xml:space="preserve">hostility provoked by </w:t>
      </w:r>
      <w:r w:rsidR="00B273AC">
        <w:t xml:space="preserve">what should be an </w:t>
      </w:r>
      <w:r w:rsidR="00FC7853">
        <w:t>unexceptionable</w:t>
      </w:r>
      <w:r w:rsidR="001528CD">
        <w:t xml:space="preserve"> </w:t>
      </w:r>
      <w:r w:rsidR="00CB6656">
        <w:t>propos</w:t>
      </w:r>
      <w:r w:rsidR="001528CD">
        <w:t xml:space="preserve">al may </w:t>
      </w:r>
      <w:r w:rsidR="001B24E8">
        <w:t xml:space="preserve">be confirmation of the desirability of </w:t>
      </w:r>
      <w:r w:rsidR="00FC7853">
        <w:t>adding it to the list.</w:t>
      </w:r>
    </w:p>
    <w:p w:rsidR="00A7735B" w:rsidRDefault="00A7735B" w:rsidP="00A7735B">
      <w:pPr>
        <w:pStyle w:val="Heading5"/>
      </w:pPr>
      <w:r>
        <w:t>Other regulatory restraints</w:t>
      </w:r>
      <w:r w:rsidR="00C87A7B">
        <w:t xml:space="preserve"> on the list</w:t>
      </w:r>
    </w:p>
    <w:p w:rsidR="00A7735B" w:rsidRDefault="000E39C0" w:rsidP="00A7735B">
      <w:pPr>
        <w:pStyle w:val="BodyText"/>
      </w:pPr>
      <w:r>
        <w:t xml:space="preserve">Various </w:t>
      </w:r>
      <w:r w:rsidR="00A7735B">
        <w:t xml:space="preserve">other </w:t>
      </w:r>
      <w:r>
        <w:t xml:space="preserve">areas of </w:t>
      </w:r>
      <w:r w:rsidR="00A7735B">
        <w:t>regulat</w:t>
      </w:r>
      <w:r>
        <w:t>ion</w:t>
      </w:r>
      <w:r w:rsidR="003A79E0">
        <w:t xml:space="preserve"> </w:t>
      </w:r>
      <w:r>
        <w:t xml:space="preserve">may also </w:t>
      </w:r>
      <w:r w:rsidR="00D36E36">
        <w:t xml:space="preserve">inhibit </w:t>
      </w:r>
      <w:r w:rsidR="00FF270A">
        <w:t>the flexibility that firms and workers need to raise productivity and respond to market pressures</w:t>
      </w:r>
      <w:r w:rsidR="00D36E36">
        <w:t>.</w:t>
      </w:r>
      <w:r w:rsidR="00FF270A">
        <w:t xml:space="preserve"> The</w:t>
      </w:r>
      <w:r>
        <w:t>re are</w:t>
      </w:r>
      <w:r w:rsidR="00FF270A">
        <w:t xml:space="preserve"> regulations that are excessively prescriptive or costly to comply with</w:t>
      </w:r>
      <w:r w:rsidR="003A79E0">
        <w:t>,</w:t>
      </w:r>
      <w:r w:rsidR="00FF270A">
        <w:t xml:space="preserve"> as well as </w:t>
      </w:r>
      <w:r w:rsidR="003A79E0">
        <w:t>some</w:t>
      </w:r>
      <w:r w:rsidR="00FF270A">
        <w:t xml:space="preserve"> that are simply not justified in policy terms. Many have been addressed </w:t>
      </w:r>
      <w:r w:rsidR="003A79E0">
        <w:t>in</w:t>
      </w:r>
      <w:r w:rsidR="00FF270A">
        <w:t xml:space="preserve"> Commissi</w:t>
      </w:r>
      <w:r w:rsidR="00C87A7B">
        <w:t>on reports over the years, b</w:t>
      </w:r>
      <w:r w:rsidR="00FF270A">
        <w:t xml:space="preserve">ut there is still some way to go in implementing identified remedies. Among the </w:t>
      </w:r>
      <w:r w:rsidR="003A79E0">
        <w:t xml:space="preserve">more </w:t>
      </w:r>
      <w:r w:rsidR="00FF270A">
        <w:t xml:space="preserve">significant ones that remain relevant are the following: </w:t>
      </w:r>
    </w:p>
    <w:p w:rsidR="00C92E0B" w:rsidRDefault="00FF270A" w:rsidP="00C92E0B">
      <w:pPr>
        <w:pStyle w:val="ListBullet"/>
      </w:pPr>
      <w:r w:rsidRPr="00A55503">
        <w:rPr>
          <w:i/>
        </w:rPr>
        <w:t>Native vegetation regulation</w:t>
      </w:r>
      <w:r w:rsidR="00A55503">
        <w:t>s</w:t>
      </w:r>
      <w:r w:rsidR="00A55503" w:rsidRPr="00A55503">
        <w:rPr>
          <w:i/>
        </w:rPr>
        <w:t xml:space="preserve"> </w:t>
      </w:r>
      <w:r w:rsidR="00185D5C">
        <w:t xml:space="preserve">are </w:t>
      </w:r>
      <w:r w:rsidR="00A55503">
        <w:t xml:space="preserve">costly and </w:t>
      </w:r>
      <w:r w:rsidR="008804E5">
        <w:t xml:space="preserve">can </w:t>
      </w:r>
      <w:r w:rsidR="00A55503">
        <w:t xml:space="preserve">have perverse impacts. </w:t>
      </w:r>
      <w:r w:rsidR="00AC0C83">
        <w:t>While improvements have been made in some jurisdictions, r</w:t>
      </w:r>
      <w:r w:rsidR="00DA5409">
        <w:t xml:space="preserve">esponsibility </w:t>
      </w:r>
      <w:r w:rsidR="00A55503">
        <w:t xml:space="preserve">needs to be </w:t>
      </w:r>
      <w:r w:rsidR="00DA5409">
        <w:t>devolved</w:t>
      </w:r>
      <w:r w:rsidR="00A55503">
        <w:t xml:space="preserve">, </w:t>
      </w:r>
      <w:r w:rsidR="005C4C7C">
        <w:t xml:space="preserve">with </w:t>
      </w:r>
      <w:r w:rsidR="00A55503">
        <w:t>landholders address</w:t>
      </w:r>
      <w:r w:rsidR="005C4C7C">
        <w:t>ing</w:t>
      </w:r>
      <w:r w:rsidR="00A55503">
        <w:t xml:space="preserve"> local impacts and the wider community subsidi</w:t>
      </w:r>
      <w:r w:rsidR="005C4C7C">
        <w:t>sing</w:t>
      </w:r>
      <w:r w:rsidR="00A55503">
        <w:t xml:space="preserve"> the extra costs of landholders providing public goods (PC </w:t>
      </w:r>
      <w:proofErr w:type="spellStart"/>
      <w:r w:rsidR="00A55503">
        <w:t>2004</w:t>
      </w:r>
      <w:r w:rsidR="00747DD6">
        <w:t>b</w:t>
      </w:r>
      <w:proofErr w:type="spellEnd"/>
      <w:r w:rsidR="00A55503">
        <w:t>).</w:t>
      </w:r>
    </w:p>
    <w:p w:rsidR="00FF270A" w:rsidRPr="00A55503" w:rsidRDefault="00FF270A" w:rsidP="00FF270A">
      <w:pPr>
        <w:pStyle w:val="ListBullet"/>
        <w:rPr>
          <w:i/>
        </w:rPr>
      </w:pPr>
      <w:r w:rsidRPr="00A55503">
        <w:rPr>
          <w:i/>
        </w:rPr>
        <w:t>Heritage regulations</w:t>
      </w:r>
      <w:r w:rsidR="00A55503">
        <w:rPr>
          <w:i/>
        </w:rPr>
        <w:t xml:space="preserve"> </w:t>
      </w:r>
      <w:r w:rsidR="004F412A">
        <w:t>can impose</w:t>
      </w:r>
      <w:r w:rsidR="00A55503">
        <w:t xml:space="preserve"> undue costs </w:t>
      </w:r>
      <w:r w:rsidR="004F412A">
        <w:t xml:space="preserve">on certain people </w:t>
      </w:r>
      <w:r w:rsidR="00A55503">
        <w:t xml:space="preserve">and </w:t>
      </w:r>
      <w:r w:rsidR="005C4C7C">
        <w:t xml:space="preserve">stymie </w:t>
      </w:r>
      <w:r w:rsidR="00A55503">
        <w:t xml:space="preserve">socially valuable developments. They should be restructured to enable up front accounting for the costs </w:t>
      </w:r>
      <w:r w:rsidR="004F412A">
        <w:t xml:space="preserve">as well as benefits </w:t>
      </w:r>
      <w:r w:rsidR="00A55503">
        <w:t xml:space="preserve">of controls </w:t>
      </w:r>
      <w:r w:rsidR="00125030">
        <w:rPr>
          <w:lang w:val="en-US"/>
        </w:rPr>
        <w:t xml:space="preserve">(PC </w:t>
      </w:r>
      <w:proofErr w:type="spellStart"/>
      <w:r w:rsidR="00125030">
        <w:rPr>
          <w:lang w:val="en-US"/>
        </w:rPr>
        <w:t>2006</w:t>
      </w:r>
      <w:r w:rsidR="00AC0C83">
        <w:rPr>
          <w:lang w:val="en-US"/>
        </w:rPr>
        <w:t>b</w:t>
      </w:r>
      <w:proofErr w:type="spellEnd"/>
      <w:r w:rsidR="00125030">
        <w:rPr>
          <w:lang w:val="en-US"/>
        </w:rPr>
        <w:t>).</w:t>
      </w:r>
    </w:p>
    <w:p w:rsidR="00A55503" w:rsidRPr="00125030" w:rsidRDefault="00A55503" w:rsidP="00FF270A">
      <w:pPr>
        <w:pStyle w:val="ListBullet"/>
        <w:rPr>
          <w:i/>
        </w:rPr>
      </w:pPr>
      <w:r w:rsidRPr="00125030">
        <w:rPr>
          <w:i/>
        </w:rPr>
        <w:t>Renewable energy targets</w:t>
      </w:r>
      <w:r w:rsidR="00125030">
        <w:rPr>
          <w:i/>
        </w:rPr>
        <w:t xml:space="preserve"> </w:t>
      </w:r>
      <w:r w:rsidR="00125030">
        <w:t xml:space="preserve">are costly and </w:t>
      </w:r>
      <w:r w:rsidR="009A614B">
        <w:t xml:space="preserve">can be </w:t>
      </w:r>
      <w:r w:rsidR="00125030">
        <w:t>counterproductive</w:t>
      </w:r>
      <w:r w:rsidR="009A614B">
        <w:t xml:space="preserve"> in seeking to reduce carbon emissions</w:t>
      </w:r>
      <w:r w:rsidR="00125030">
        <w:t>. They should be phased out under c</w:t>
      </w:r>
      <w:r w:rsidR="009A614B">
        <w:t>arbon</w:t>
      </w:r>
      <w:r w:rsidR="00125030">
        <w:t xml:space="preserve"> pricing or </w:t>
      </w:r>
      <w:r w:rsidR="009A614B">
        <w:t>other</w:t>
      </w:r>
      <w:r w:rsidR="00125030">
        <w:t xml:space="preserve"> market-based policies (PC</w:t>
      </w:r>
      <w:r w:rsidR="00AC0C83">
        <w:t xml:space="preserve"> </w:t>
      </w:r>
      <w:proofErr w:type="spellStart"/>
      <w:r w:rsidR="00AC0C83">
        <w:t>2008b</w:t>
      </w:r>
      <w:proofErr w:type="spellEnd"/>
      <w:r w:rsidR="00125030">
        <w:t>).</w:t>
      </w:r>
    </w:p>
    <w:p w:rsidR="00FF270A" w:rsidRDefault="00FF270A" w:rsidP="00FF270A">
      <w:pPr>
        <w:pStyle w:val="ListBullet"/>
      </w:pPr>
      <w:r w:rsidRPr="00125030">
        <w:rPr>
          <w:i/>
        </w:rPr>
        <w:t>Development approval processes</w:t>
      </w:r>
      <w:r w:rsidR="00125030" w:rsidRPr="00125030">
        <w:rPr>
          <w:i/>
        </w:rPr>
        <w:t xml:space="preserve"> </w:t>
      </w:r>
      <w:r w:rsidR="00125030">
        <w:t>are complex, duplicative and cause unwarranted delays with high opportunity costs for major projects</w:t>
      </w:r>
      <w:r w:rsidR="00AC0C83">
        <w:t xml:space="preserve"> (PC </w:t>
      </w:r>
      <w:proofErr w:type="spellStart"/>
      <w:r w:rsidR="00AC0C83">
        <w:t>2011</w:t>
      </w:r>
      <w:r w:rsidR="00747DD6">
        <w:t>i</w:t>
      </w:r>
      <w:proofErr w:type="spellEnd"/>
      <w:r w:rsidR="00AC0C83">
        <w:t>)</w:t>
      </w:r>
      <w:r w:rsidR="00125030">
        <w:t>.</w:t>
      </w:r>
    </w:p>
    <w:p w:rsidR="00C92E0B" w:rsidRDefault="00C87A7B" w:rsidP="00FF270A">
      <w:pPr>
        <w:pStyle w:val="ListBullet"/>
      </w:pPr>
      <w:r>
        <w:rPr>
          <w:i/>
        </w:rPr>
        <w:t>Planning an</w:t>
      </w:r>
      <w:r w:rsidR="003D55CD">
        <w:rPr>
          <w:i/>
        </w:rPr>
        <w:t>d z</w:t>
      </w:r>
      <w:r>
        <w:rPr>
          <w:i/>
        </w:rPr>
        <w:t>oning controls</w:t>
      </w:r>
      <w:r w:rsidR="00C92E0B">
        <w:t xml:space="preserve"> </w:t>
      </w:r>
      <w:r>
        <w:t xml:space="preserve">should meet amenity and other objectives without unduly </w:t>
      </w:r>
      <w:r w:rsidR="009A614B">
        <w:t>restrict</w:t>
      </w:r>
      <w:r>
        <w:t>ing</w:t>
      </w:r>
      <w:r w:rsidR="00C92E0B">
        <w:t xml:space="preserve"> retail competition</w:t>
      </w:r>
      <w:r w:rsidR="00AC0C83">
        <w:t xml:space="preserve"> (PC </w:t>
      </w:r>
      <w:proofErr w:type="spellStart"/>
      <w:r>
        <w:t>2008</w:t>
      </w:r>
      <w:r w:rsidR="00747DD6">
        <w:t>b</w:t>
      </w:r>
      <w:proofErr w:type="spellEnd"/>
      <w:r>
        <w:t xml:space="preserve">, </w:t>
      </w:r>
      <w:proofErr w:type="spellStart"/>
      <w:r>
        <w:t>20</w:t>
      </w:r>
      <w:r w:rsidR="00747DD6">
        <w:t>11i</w:t>
      </w:r>
      <w:proofErr w:type="spellEnd"/>
      <w:r w:rsidR="00AC0C83">
        <w:t>)</w:t>
      </w:r>
      <w:r w:rsidR="00B4077E">
        <w:t>.</w:t>
      </w:r>
    </w:p>
    <w:p w:rsidR="00FF270A" w:rsidRPr="00C92E0B" w:rsidRDefault="00FF270A" w:rsidP="00125030">
      <w:pPr>
        <w:pStyle w:val="ListBullet"/>
        <w:rPr>
          <w:i/>
        </w:rPr>
      </w:pPr>
      <w:r w:rsidRPr="00125030">
        <w:rPr>
          <w:i/>
        </w:rPr>
        <w:t>St</w:t>
      </w:r>
      <w:r w:rsidR="00E2140E" w:rsidRPr="00125030">
        <w:rPr>
          <w:i/>
        </w:rPr>
        <w:t xml:space="preserve">amp </w:t>
      </w:r>
      <w:r w:rsidR="00125030">
        <w:rPr>
          <w:i/>
        </w:rPr>
        <w:t>duties</w:t>
      </w:r>
      <w:r w:rsidR="00125030">
        <w:t xml:space="preserve"> on </w:t>
      </w:r>
      <w:proofErr w:type="spellStart"/>
      <w:r w:rsidR="00125030">
        <w:t>conveyancing</w:t>
      </w:r>
      <w:proofErr w:type="spellEnd"/>
      <w:r w:rsidR="00125030">
        <w:t xml:space="preserve"> inhibit housing turnover, contributing to reduced affordab</w:t>
      </w:r>
      <w:r w:rsidR="00C87A7B">
        <w:t xml:space="preserve">ility and lower labour mobility </w:t>
      </w:r>
      <w:r w:rsidR="00C92E0B">
        <w:t>(PC</w:t>
      </w:r>
      <w:r w:rsidR="00AC0C83">
        <w:t xml:space="preserve"> </w:t>
      </w:r>
      <w:proofErr w:type="spellStart"/>
      <w:r w:rsidR="00AC0C83">
        <w:t>2004</w:t>
      </w:r>
      <w:r w:rsidR="00747DD6">
        <w:t>c</w:t>
      </w:r>
      <w:proofErr w:type="spellEnd"/>
      <w:r w:rsidR="00125030">
        <w:t>)</w:t>
      </w:r>
      <w:r w:rsidR="00C92E0B">
        <w:t>.</w:t>
      </w:r>
    </w:p>
    <w:p w:rsidR="00C92E0B" w:rsidRPr="00C92E0B" w:rsidRDefault="00C92E0B" w:rsidP="00125030">
      <w:pPr>
        <w:pStyle w:val="ListBullet"/>
        <w:rPr>
          <w:i/>
        </w:rPr>
      </w:pPr>
      <w:r w:rsidRPr="00AC0C83">
        <w:rPr>
          <w:i/>
        </w:rPr>
        <w:t>Occupational licencing</w:t>
      </w:r>
      <w:r w:rsidR="00AC0C83">
        <w:t xml:space="preserve"> </w:t>
      </w:r>
      <w:r w:rsidR="003D55CD">
        <w:t xml:space="preserve">can inhibit workforce mobility, create barriers to entry and raise business costs. There are potential gains from extending the coverage of reforms </w:t>
      </w:r>
      <w:r w:rsidR="00AC0C83">
        <w:t xml:space="preserve">(PC </w:t>
      </w:r>
      <w:proofErr w:type="spellStart"/>
      <w:r w:rsidR="00AC0C83">
        <w:t>2012</w:t>
      </w:r>
      <w:r w:rsidR="00747DD6">
        <w:t>c</w:t>
      </w:r>
      <w:proofErr w:type="spellEnd"/>
      <w:r w:rsidR="00AC0C83">
        <w:t>).</w:t>
      </w:r>
    </w:p>
    <w:p w:rsidR="00C92E0B" w:rsidRPr="00125030" w:rsidRDefault="00C92E0B" w:rsidP="00125030">
      <w:pPr>
        <w:pStyle w:val="ListBullet"/>
        <w:rPr>
          <w:i/>
        </w:rPr>
      </w:pPr>
      <w:r w:rsidRPr="00AC0C83">
        <w:rPr>
          <w:i/>
        </w:rPr>
        <w:lastRenderedPageBreak/>
        <w:t>Rural water</w:t>
      </w:r>
      <w:r w:rsidR="00AC0C83">
        <w:t xml:space="preserve">, where ongoing </w:t>
      </w:r>
      <w:r w:rsidR="00C87A7B">
        <w:t xml:space="preserve">state-based </w:t>
      </w:r>
      <w:r w:rsidR="00AC0C83">
        <w:t>restrictions on trading in the Murray Darling Basin mean that water is still not fl</w:t>
      </w:r>
      <w:r w:rsidR="00C87A7B">
        <w:t xml:space="preserve">owing to </w:t>
      </w:r>
      <w:r w:rsidR="003D55CD">
        <w:t>its most highly</w:t>
      </w:r>
      <w:r w:rsidR="00C87A7B">
        <w:t xml:space="preserve"> valued use</w:t>
      </w:r>
      <w:r w:rsidR="00AC0C83">
        <w:t xml:space="preserve">s (PC </w:t>
      </w:r>
      <w:proofErr w:type="spellStart"/>
      <w:r w:rsidR="00AC0C83">
        <w:t>201</w:t>
      </w:r>
      <w:r w:rsidR="00747DD6">
        <w:t>0c</w:t>
      </w:r>
      <w:proofErr w:type="spellEnd"/>
      <w:r w:rsidR="00AC0C83">
        <w:t>).</w:t>
      </w:r>
    </w:p>
    <w:p w:rsidR="00C92E0B" w:rsidRPr="00C87A7B" w:rsidRDefault="00FF270A" w:rsidP="00D5225E">
      <w:pPr>
        <w:pStyle w:val="ListBullet"/>
        <w:rPr>
          <w:i/>
        </w:rPr>
      </w:pPr>
      <w:r w:rsidRPr="00C87A7B">
        <w:rPr>
          <w:i/>
        </w:rPr>
        <w:t>Waste management</w:t>
      </w:r>
      <w:r w:rsidR="00125030" w:rsidRPr="00C87A7B">
        <w:rPr>
          <w:i/>
        </w:rPr>
        <w:t xml:space="preserve"> </w:t>
      </w:r>
      <w:r w:rsidR="00125030">
        <w:t xml:space="preserve">programs often have costly targets and collection </w:t>
      </w:r>
      <w:r w:rsidR="009A614B">
        <w:t>methods</w:t>
      </w:r>
      <w:r w:rsidR="00125030">
        <w:t xml:space="preserve">. Policy needs to be refocussed on achieving net social benefits, underpinned by </w:t>
      </w:r>
      <w:r w:rsidR="00C92E0B">
        <w:t xml:space="preserve">cost-benefit analysis (PC </w:t>
      </w:r>
      <w:proofErr w:type="spellStart"/>
      <w:r w:rsidR="00C92E0B">
        <w:t>2006</w:t>
      </w:r>
      <w:r w:rsidR="00E47910">
        <w:t>c</w:t>
      </w:r>
      <w:proofErr w:type="spellEnd"/>
      <w:r w:rsidR="00C92E0B">
        <w:t>).</w:t>
      </w:r>
    </w:p>
    <w:p w:rsidR="00FF270A" w:rsidRPr="00D5225E" w:rsidRDefault="00FF270A" w:rsidP="00FF270A">
      <w:pPr>
        <w:pStyle w:val="ListBullet"/>
        <w:rPr>
          <w:i/>
        </w:rPr>
      </w:pPr>
      <w:r w:rsidRPr="00D5225E">
        <w:rPr>
          <w:i/>
        </w:rPr>
        <w:t>Chemicals</w:t>
      </w:r>
      <w:r w:rsidR="00D5225E" w:rsidRPr="00D5225E">
        <w:rPr>
          <w:i/>
        </w:rPr>
        <w:t xml:space="preserve"> regulations</w:t>
      </w:r>
      <w:r w:rsidR="00D5225E">
        <w:rPr>
          <w:i/>
        </w:rPr>
        <w:t xml:space="preserve"> </w:t>
      </w:r>
      <w:r w:rsidR="00D5225E">
        <w:t xml:space="preserve">are unduly fragmented, lack effectiveness in key areas and impose excessive costs on industry. Governance failures need to be addressed at four levels (PC </w:t>
      </w:r>
      <w:proofErr w:type="spellStart"/>
      <w:r w:rsidR="00D5225E">
        <w:t>2008</w:t>
      </w:r>
      <w:r w:rsidR="00E47910">
        <w:t>d</w:t>
      </w:r>
      <w:proofErr w:type="spellEnd"/>
      <w:r w:rsidR="00D5225E">
        <w:t>).</w:t>
      </w:r>
    </w:p>
    <w:p w:rsidR="00FF270A" w:rsidRPr="00D5225E" w:rsidRDefault="00FF270A" w:rsidP="00FF270A">
      <w:pPr>
        <w:pStyle w:val="ListBullet"/>
        <w:rPr>
          <w:i/>
        </w:rPr>
      </w:pPr>
      <w:r w:rsidRPr="00D5225E">
        <w:rPr>
          <w:i/>
        </w:rPr>
        <w:t>Mutual recogni</w:t>
      </w:r>
      <w:r w:rsidR="00D5225E" w:rsidRPr="00D5225E">
        <w:rPr>
          <w:i/>
        </w:rPr>
        <w:t>tion</w:t>
      </w:r>
      <w:r w:rsidR="00D5225E">
        <w:rPr>
          <w:i/>
        </w:rPr>
        <w:t xml:space="preserve"> </w:t>
      </w:r>
      <w:r w:rsidR="00D5225E">
        <w:t xml:space="preserve">is not realising its potential to lower costs for inter-jurisdictional activities and transactions. </w:t>
      </w:r>
      <w:r w:rsidR="009A614B">
        <w:t>The regime</w:t>
      </w:r>
      <w:r w:rsidR="00D5225E">
        <w:t xml:space="preserve"> needs to be strengthened and exemptions removed</w:t>
      </w:r>
      <w:r w:rsidR="009A614B">
        <w:t xml:space="preserve"> (PC</w:t>
      </w:r>
      <w:r w:rsidR="00AC0C83">
        <w:t xml:space="preserve"> </w:t>
      </w:r>
      <w:proofErr w:type="spellStart"/>
      <w:r w:rsidR="00AC0C83">
        <w:t>2009</w:t>
      </w:r>
      <w:r w:rsidR="00F46E4A">
        <w:t>e</w:t>
      </w:r>
      <w:proofErr w:type="spellEnd"/>
      <w:r w:rsidR="009A614B">
        <w:t>)</w:t>
      </w:r>
      <w:r w:rsidR="00D5225E">
        <w:t>.</w:t>
      </w:r>
    </w:p>
    <w:p w:rsidR="00FF270A" w:rsidRDefault="00FF270A" w:rsidP="00FF270A">
      <w:pPr>
        <w:pStyle w:val="Heading4"/>
      </w:pPr>
      <w:r>
        <w:t>A cross-cutting issue: taxation</w:t>
      </w:r>
    </w:p>
    <w:p w:rsidR="003A79E0" w:rsidRDefault="00FF270A" w:rsidP="00FF270A">
      <w:pPr>
        <w:pStyle w:val="BodyText"/>
      </w:pPr>
      <w:r>
        <w:t>Taxation has a ubiquitous influence on productivity through all three channels</w:t>
      </w:r>
      <w:r w:rsidR="00CC4BFA">
        <w:t xml:space="preserve"> of incentives, capabilities and flexibility</w:t>
      </w:r>
      <w:r w:rsidR="00D36E36">
        <w:t>.</w:t>
      </w:r>
      <w:r>
        <w:t xml:space="preserve"> </w:t>
      </w:r>
      <w:r w:rsidR="005C4C7C">
        <w:t>It affects</w:t>
      </w:r>
      <w:r>
        <w:t xml:space="preserve"> the allocation </w:t>
      </w:r>
      <w:r w:rsidR="008975E1">
        <w:t>and efficiency of resource use. It also affects the incentives for work and entrepreneurship</w:t>
      </w:r>
      <w:r w:rsidR="00E634AE">
        <w:t xml:space="preserve"> (PC 1995, </w:t>
      </w:r>
      <w:proofErr w:type="spellStart"/>
      <w:r w:rsidR="00E634AE">
        <w:t>200</w:t>
      </w:r>
      <w:r w:rsidR="00E20BDD">
        <w:t>5b</w:t>
      </w:r>
      <w:proofErr w:type="spellEnd"/>
      <w:r w:rsidR="00E20BDD">
        <w:t>)</w:t>
      </w:r>
      <w:r w:rsidR="008975E1">
        <w:t xml:space="preserve">. </w:t>
      </w:r>
    </w:p>
    <w:p w:rsidR="00FF270A" w:rsidRDefault="008975E1" w:rsidP="00FF270A">
      <w:pPr>
        <w:pStyle w:val="BodyText"/>
      </w:pPr>
      <w:r>
        <w:t>Notwithstanding various reforms</w:t>
      </w:r>
      <w:r w:rsidR="003A79E0">
        <w:t xml:space="preserve"> over the years</w:t>
      </w:r>
      <w:r>
        <w:t xml:space="preserve">, it is generally accepted that the tax systems of the Commonwealth and States still comprise too many taxes and rely too heavily on </w:t>
      </w:r>
      <w:r w:rsidR="003A79E0">
        <w:t xml:space="preserve">the </w:t>
      </w:r>
      <w:r>
        <w:t>more distortionary ones. Taxes also differ across jurisdictions in ways that needlessly complicate and raise the costs of doing business. Better tax systems — fewer, less distorting taxes with broader bases and lower rates — would enhance labour force participation as well as industry productivity. It was estimated that the ‘Henry Review’s’ list of tax reform</w:t>
      </w:r>
      <w:r w:rsidR="003A79E0">
        <w:t>s</w:t>
      </w:r>
      <w:r>
        <w:t xml:space="preserve"> could raise Australi</w:t>
      </w:r>
      <w:r w:rsidR="00E2140E">
        <w:t xml:space="preserve">a’s GDP by 2-3 per cent </w:t>
      </w:r>
      <w:r w:rsidR="00AC0C83">
        <w:t>(Henr</w:t>
      </w:r>
      <w:r w:rsidR="00E634AE">
        <w:t>y et</w:t>
      </w:r>
      <w:r w:rsidR="002B19F6">
        <w:t>.</w:t>
      </w:r>
      <w:r w:rsidR="00E634AE">
        <w:t xml:space="preserve"> al</w:t>
      </w:r>
      <w:r w:rsidR="002B19F6">
        <w:t>.</w:t>
      </w:r>
      <w:r w:rsidR="00AC0C83">
        <w:t xml:space="preserve"> 2010)</w:t>
      </w:r>
      <w:r w:rsidR="00E2140E">
        <w:t>. M</w:t>
      </w:r>
      <w:r>
        <w:t xml:space="preserve">aking better use of the GST, </w:t>
      </w:r>
      <w:r w:rsidR="00AC0C83">
        <w:t>by broadening it</w:t>
      </w:r>
      <w:r w:rsidR="00CC4BFA">
        <w:t>s coverage and raising its rate</w:t>
      </w:r>
      <w:r w:rsidR="00AC0C83">
        <w:t xml:space="preserve"> as in a number of</w:t>
      </w:r>
      <w:r w:rsidR="003A79E0">
        <w:t xml:space="preserve"> other</w:t>
      </w:r>
      <w:r>
        <w:t xml:space="preserve"> OECD</w:t>
      </w:r>
      <w:r w:rsidR="003A79E0">
        <w:t xml:space="preserve"> countries</w:t>
      </w:r>
      <w:r w:rsidR="00AC0C83">
        <w:t xml:space="preserve"> (including New Zealand)</w:t>
      </w:r>
      <w:r>
        <w:t xml:space="preserve">, would </w:t>
      </w:r>
      <w:r w:rsidR="00AA4854">
        <w:t xml:space="preserve">likely </w:t>
      </w:r>
      <w:r>
        <w:t>deliver additional gains.</w:t>
      </w:r>
    </w:p>
    <w:p w:rsidR="008975E1" w:rsidRDefault="008975E1" w:rsidP="008975E1">
      <w:pPr>
        <w:pStyle w:val="Heading3"/>
      </w:pPr>
      <w:r>
        <w:t>What are the priorities?</w:t>
      </w:r>
    </w:p>
    <w:p w:rsidR="008975E1" w:rsidRDefault="008975E1" w:rsidP="008975E1">
      <w:pPr>
        <w:pStyle w:val="BodyText"/>
      </w:pPr>
      <w:r>
        <w:t>It would seem that there is indeed a ‘long list of things to do’</w:t>
      </w:r>
      <w:r w:rsidR="00295BB9">
        <w:t xml:space="preserve"> — even based just on those areas where the Commission has been asked to report.</w:t>
      </w:r>
      <w:r w:rsidR="00FC58A6">
        <w:t xml:space="preserve"> (A comprehensive list would be longer.) The range of recommendations</w:t>
      </w:r>
      <w:r>
        <w:t xml:space="preserve"> can be summarised as governments needing to (a) </w:t>
      </w:r>
      <w:r w:rsidR="00CC4BFA">
        <w:t>spend</w:t>
      </w:r>
      <w:r>
        <w:t xml:space="preserve"> better and (b) </w:t>
      </w:r>
      <w:r w:rsidR="00CC4BFA">
        <w:t>regulate</w:t>
      </w:r>
      <w:r>
        <w:t xml:space="preserve"> better. Expressed like this, </w:t>
      </w:r>
      <w:r w:rsidR="00D36E36">
        <w:t>the task at hand</w:t>
      </w:r>
      <w:r>
        <w:t xml:space="preserve"> sounds pretty straightforward. The evidence has been assembled. </w:t>
      </w:r>
      <w:r w:rsidR="00C52223">
        <w:t>T</w:t>
      </w:r>
      <w:r w:rsidR="00D36E36">
        <w:t xml:space="preserve">he gains are waiting to be tapped. </w:t>
      </w:r>
      <w:r>
        <w:t xml:space="preserve">Why have </w:t>
      </w:r>
      <w:r w:rsidR="00C521F2">
        <w:t xml:space="preserve">these productivity-enhancing </w:t>
      </w:r>
      <w:r w:rsidR="00CC4BFA">
        <w:t>reforms</w:t>
      </w:r>
      <w:r>
        <w:t xml:space="preserve"> not been done?</w:t>
      </w:r>
    </w:p>
    <w:p w:rsidR="008975E1" w:rsidRDefault="00D36E36" w:rsidP="008975E1">
      <w:pPr>
        <w:pStyle w:val="BodyText"/>
      </w:pPr>
      <w:r>
        <w:lastRenderedPageBreak/>
        <w:t>When making</w:t>
      </w:r>
      <w:r w:rsidR="008975E1">
        <w:t xml:space="preserve"> the remarks cited at the start of this paper, Governor Stevens went on to observe that the things on the Commission’s list were not ‘popular’ and </w:t>
      </w:r>
      <w:r>
        <w:t>had proven</w:t>
      </w:r>
      <w:r w:rsidR="008975E1">
        <w:t xml:space="preserve"> difficult</w:t>
      </w:r>
      <w:r w:rsidR="001238EA">
        <w:t xml:space="preserve"> for governments. Most of them </w:t>
      </w:r>
      <w:r w:rsidR="003E5973">
        <w:t xml:space="preserve">involve arrangements that currently </w:t>
      </w:r>
      <w:r w:rsidR="001238EA">
        <w:t xml:space="preserve">provide significant </w:t>
      </w:r>
      <w:r w:rsidR="005C4C7C">
        <w:t xml:space="preserve">advantages </w:t>
      </w:r>
      <w:r w:rsidR="001238EA">
        <w:t>to particular groups, who naturally take more inter</w:t>
      </w:r>
      <w:r w:rsidR="00E2140E">
        <w:t>est in resisting reform than the</w:t>
      </w:r>
      <w:r w:rsidR="001238EA">
        <w:t xml:space="preserve"> wider electorate takes in supporting it. The fact that the Commission was directed to such policy areas in the first place reflect</w:t>
      </w:r>
      <w:r w:rsidR="005C4C7C">
        <w:t>s</w:t>
      </w:r>
      <w:r w:rsidR="001238EA">
        <w:t xml:space="preserve"> this political difficulty</w:t>
      </w:r>
      <w:r w:rsidR="00C521F2">
        <w:t>,</w:t>
      </w:r>
      <w:r w:rsidR="001238EA">
        <w:t xml:space="preserve"> and </w:t>
      </w:r>
      <w:r w:rsidR="00C521F2">
        <w:t xml:space="preserve">a </w:t>
      </w:r>
      <w:r w:rsidR="001238EA">
        <w:t xml:space="preserve">perceived need not only to have an independent assessment of what to do, but </w:t>
      </w:r>
      <w:r w:rsidR="005C4C7C">
        <w:t xml:space="preserve">also </w:t>
      </w:r>
      <w:r w:rsidR="001238EA">
        <w:t xml:space="preserve">to alert the community to the gains and thereby help to generate more support for </w:t>
      </w:r>
      <w:r>
        <w:t xml:space="preserve">necessary </w:t>
      </w:r>
      <w:r w:rsidR="001238EA">
        <w:t>reform</w:t>
      </w:r>
      <w:r>
        <w:t>s</w:t>
      </w:r>
      <w:r w:rsidR="001238EA">
        <w:t>.</w:t>
      </w:r>
    </w:p>
    <w:p w:rsidR="001238EA" w:rsidRDefault="001238EA" w:rsidP="008975E1">
      <w:pPr>
        <w:pStyle w:val="BodyText"/>
      </w:pPr>
      <w:r>
        <w:t xml:space="preserve">The </w:t>
      </w:r>
      <w:r w:rsidR="00C521F2">
        <w:t>items</w:t>
      </w:r>
      <w:r>
        <w:t xml:space="preserve"> that remain on the </w:t>
      </w:r>
      <w:r w:rsidR="00CC4BFA">
        <w:t xml:space="preserve">Commission’s </w:t>
      </w:r>
      <w:r>
        <w:t>‘to do list’ are generally th</w:t>
      </w:r>
      <w:r w:rsidR="004F29AA">
        <w:t>ose</w:t>
      </w:r>
      <w:r>
        <w:t xml:space="preserve"> for which this ha</w:t>
      </w:r>
      <w:r w:rsidR="00C521F2">
        <w:t xml:space="preserve">s </w:t>
      </w:r>
      <w:r w:rsidR="004F29AA">
        <w:t>proven most difficult</w:t>
      </w:r>
      <w:r>
        <w:t xml:space="preserve"> — the hardest political nuts to crack. Achieving enduring reform </w:t>
      </w:r>
      <w:r w:rsidR="00C521F2">
        <w:t>in such areas</w:t>
      </w:r>
      <w:r>
        <w:t xml:space="preserve"> </w:t>
      </w:r>
      <w:r w:rsidR="005C4C7C">
        <w:t xml:space="preserve">to date </w:t>
      </w:r>
      <w:r>
        <w:t xml:space="preserve">has required </w:t>
      </w:r>
      <w:r w:rsidR="004F29AA">
        <w:t xml:space="preserve">the </w:t>
      </w:r>
      <w:r>
        <w:t xml:space="preserve">concerted </w:t>
      </w:r>
      <w:r w:rsidR="004F29AA">
        <w:t>support and skilful advocacy of</w:t>
      </w:r>
      <w:r w:rsidR="00123E3B">
        <w:t xml:space="preserve"> political leaders</w:t>
      </w:r>
      <w:r>
        <w:t xml:space="preserve"> at both Commonwealth and State levels, and across the political divide</w:t>
      </w:r>
      <w:r w:rsidR="00E634AE">
        <w:t xml:space="preserve"> (Banks</w:t>
      </w:r>
      <w:r w:rsidR="004F29AA">
        <w:t xml:space="preserve"> </w:t>
      </w:r>
      <w:proofErr w:type="spellStart"/>
      <w:r w:rsidR="004F29AA">
        <w:t>2010</w:t>
      </w:r>
      <w:r w:rsidR="00E47910">
        <w:t>b</w:t>
      </w:r>
      <w:proofErr w:type="spellEnd"/>
      <w:r w:rsidR="004F29AA">
        <w:t>)</w:t>
      </w:r>
      <w:r>
        <w:t>. But the political capital and bureaucratic resources needed to advance ‘unpopular’ reforms are not in unlimited supply. They must be harness</w:t>
      </w:r>
      <w:r w:rsidR="00123E3B">
        <w:t xml:space="preserve">ed to focus on priorities and </w:t>
      </w:r>
      <w:r>
        <w:t>sequencing that are manageable and can yield the highest payoffs over time</w:t>
      </w:r>
      <w:r w:rsidR="00C521F2">
        <w:t xml:space="preserve"> (PC</w:t>
      </w:r>
      <w:r w:rsidR="003E5973">
        <w:t xml:space="preserve"> </w:t>
      </w:r>
      <w:proofErr w:type="spellStart"/>
      <w:r w:rsidR="003E5973">
        <w:t>2011</w:t>
      </w:r>
      <w:r w:rsidR="00747DD6">
        <w:t>a</w:t>
      </w:r>
      <w:proofErr w:type="spellEnd"/>
      <w:r w:rsidR="003E5973">
        <w:t xml:space="preserve">, </w:t>
      </w:r>
      <w:proofErr w:type="spellStart"/>
      <w:r w:rsidR="003E5973">
        <w:t>2012</w:t>
      </w:r>
      <w:r w:rsidR="00747DD6">
        <w:t>f</w:t>
      </w:r>
      <w:proofErr w:type="spellEnd"/>
      <w:r w:rsidR="00C521F2">
        <w:t>)</w:t>
      </w:r>
      <w:r>
        <w:t>.</w:t>
      </w:r>
    </w:p>
    <w:p w:rsidR="002569B1" w:rsidRDefault="001238EA" w:rsidP="008975E1">
      <w:pPr>
        <w:pStyle w:val="BodyText"/>
      </w:pPr>
      <w:r>
        <w:t>So</w:t>
      </w:r>
      <w:r w:rsidR="005C4C7C">
        <w:t>,</w:t>
      </w:r>
      <w:r>
        <w:t xml:space="preserve"> where </w:t>
      </w:r>
      <w:r w:rsidR="00B4077E">
        <w:t xml:space="preserve">should </w:t>
      </w:r>
      <w:r>
        <w:t>to</w:t>
      </w:r>
      <w:r w:rsidR="006B0AFA">
        <w:t>day</w:t>
      </w:r>
      <w:r>
        <w:t xml:space="preserve">’s priorities lie? How can governments best advance Australia’s productivity performance by spending </w:t>
      </w:r>
      <w:r w:rsidR="00CC4BFA">
        <w:t xml:space="preserve">and regulating </w:t>
      </w:r>
      <w:r>
        <w:t xml:space="preserve">‘better’? </w:t>
      </w:r>
    </w:p>
    <w:p w:rsidR="001238EA" w:rsidRDefault="001238EA" w:rsidP="008975E1">
      <w:pPr>
        <w:pStyle w:val="BodyText"/>
      </w:pPr>
      <w:r>
        <w:t xml:space="preserve">For </w:t>
      </w:r>
      <w:r w:rsidR="00C521F2">
        <w:t xml:space="preserve">a start, </w:t>
      </w:r>
      <w:r>
        <w:t xml:space="preserve">spending </w:t>
      </w:r>
      <w:r>
        <w:rPr>
          <w:i/>
        </w:rPr>
        <w:t>more</w:t>
      </w:r>
      <w:r>
        <w:t xml:space="preserve"> </w:t>
      </w:r>
      <w:r w:rsidR="00F01F14">
        <w:t xml:space="preserve">no longer </w:t>
      </w:r>
      <w:r w:rsidR="00CC4BFA">
        <w:t xml:space="preserve">represents </w:t>
      </w:r>
      <w:r w:rsidR="00F01F14">
        <w:t>the line of least resistance</w:t>
      </w:r>
      <w:r w:rsidR="00CC4BFA">
        <w:t xml:space="preserve"> in promoting productivity</w:t>
      </w:r>
      <w:r w:rsidR="00F01F14">
        <w:t>.</w:t>
      </w:r>
      <w:r>
        <w:t xml:space="preserve"> Indeed</w:t>
      </w:r>
      <w:r w:rsidR="005D1C01">
        <w:t>,</w:t>
      </w:r>
      <w:r>
        <w:t xml:space="preserve"> the</w:t>
      </w:r>
      <w:r w:rsidR="002E3113">
        <w:t xml:space="preserve"> </w:t>
      </w:r>
      <w:r w:rsidR="00D61AD2">
        <w:t xml:space="preserve">importance of making </w:t>
      </w:r>
      <w:r w:rsidR="002E3113">
        <w:t>room for increased</w:t>
      </w:r>
      <w:r>
        <w:t xml:space="preserve"> expenditure </w:t>
      </w:r>
      <w:r w:rsidR="00D61AD2">
        <w:t>on</w:t>
      </w:r>
      <w:r w:rsidR="002569B1">
        <w:t xml:space="preserve"> key human service reforms, </w:t>
      </w:r>
      <w:r w:rsidR="00CC4BFA">
        <w:t xml:space="preserve">and </w:t>
      </w:r>
      <w:r w:rsidR="002569B1">
        <w:t xml:space="preserve">notably </w:t>
      </w:r>
      <w:r>
        <w:t>disability support (PC</w:t>
      </w:r>
      <w:r w:rsidR="00F01F14">
        <w:t xml:space="preserve"> </w:t>
      </w:r>
      <w:r w:rsidR="00E634AE">
        <w:t> </w:t>
      </w:r>
      <w:proofErr w:type="spellStart"/>
      <w:r w:rsidR="00F01F14">
        <w:t>2011</w:t>
      </w:r>
      <w:r w:rsidR="00E47910">
        <w:t>g</w:t>
      </w:r>
      <w:proofErr w:type="spellEnd"/>
      <w:r>
        <w:t>)</w:t>
      </w:r>
      <w:r w:rsidR="002569B1">
        <w:t>,</w:t>
      </w:r>
      <w:r>
        <w:t xml:space="preserve"> increases the </w:t>
      </w:r>
      <w:r w:rsidR="00E46E35">
        <w:t>need</w:t>
      </w:r>
      <w:r>
        <w:t xml:space="preserve"> to spend </w:t>
      </w:r>
      <w:r>
        <w:rPr>
          <w:i/>
        </w:rPr>
        <w:t>less</w:t>
      </w:r>
      <w:r w:rsidR="00F01F14">
        <w:t xml:space="preserve"> in other areas.</w:t>
      </w:r>
      <w:r w:rsidR="00C521F2">
        <w:t xml:space="preserve"> </w:t>
      </w:r>
      <w:r w:rsidR="002E3113">
        <w:t>The list under the ‘incentives’ heading provides s</w:t>
      </w:r>
      <w:r w:rsidR="00E46E35">
        <w:t>everal</w:t>
      </w:r>
      <w:r w:rsidR="002E3113">
        <w:t xml:space="preserve"> </w:t>
      </w:r>
      <w:r w:rsidR="005D1C01">
        <w:t xml:space="preserve">‘win-win’ </w:t>
      </w:r>
      <w:r w:rsidR="002E3113">
        <w:t>options (</w:t>
      </w:r>
      <w:r w:rsidR="00AA4854">
        <w:t xml:space="preserve">reforms </w:t>
      </w:r>
      <w:r w:rsidR="005D1C01">
        <w:t xml:space="preserve">that would </w:t>
      </w:r>
      <w:r w:rsidR="002E3113">
        <w:t xml:space="preserve">lower </w:t>
      </w:r>
      <w:r w:rsidR="00E46E35">
        <w:t xml:space="preserve">budgetary </w:t>
      </w:r>
      <w:r w:rsidR="002E3113">
        <w:t>outlay</w:t>
      </w:r>
      <w:r w:rsidR="00C521F2">
        <w:t>s</w:t>
      </w:r>
      <w:r w:rsidR="005D1C01">
        <w:t xml:space="preserve"> while lifting </w:t>
      </w:r>
      <w:r w:rsidR="002E3113">
        <w:t>productivity).</w:t>
      </w:r>
    </w:p>
    <w:p w:rsidR="009156E7" w:rsidRDefault="002E3113" w:rsidP="008975E1">
      <w:pPr>
        <w:pStyle w:val="BodyText"/>
      </w:pPr>
      <w:r>
        <w:t xml:space="preserve">In the regulatory area, the structural pressures of the ‘multi-speed’ economy have </w:t>
      </w:r>
      <w:r w:rsidR="00A071B8">
        <w:t>lent</w:t>
      </w:r>
      <w:r>
        <w:t xml:space="preserve"> particular importance </w:t>
      </w:r>
      <w:r w:rsidR="00C54164">
        <w:t>to</w:t>
      </w:r>
      <w:r w:rsidR="005D1C01">
        <w:t xml:space="preserve"> </w:t>
      </w:r>
      <w:r>
        <w:t xml:space="preserve">the need to enhance flexibility and adaptability within enterprises and across industries and regions. This </w:t>
      </w:r>
      <w:r w:rsidR="00C54164">
        <w:t>will remain</w:t>
      </w:r>
      <w:r>
        <w:t xml:space="preserve"> </w:t>
      </w:r>
      <w:r w:rsidR="00A071B8">
        <w:t>the case</w:t>
      </w:r>
      <w:r>
        <w:t xml:space="preserve"> as </w:t>
      </w:r>
      <w:r w:rsidR="00A071B8">
        <w:t>our</w:t>
      </w:r>
      <w:r>
        <w:t xml:space="preserve"> economy changes gears again during the post-boom phase</w:t>
      </w:r>
      <w:r w:rsidR="00C54164">
        <w:t>.</w:t>
      </w:r>
      <w:r>
        <w:t xml:space="preserve"> </w:t>
      </w:r>
      <w:r w:rsidR="00115A9E">
        <w:t>It</w:t>
      </w:r>
      <w:r w:rsidR="00A071B8">
        <w:t xml:space="preserve"> suggests that items on t</w:t>
      </w:r>
      <w:r>
        <w:t xml:space="preserve">he ‘flexibility’ list </w:t>
      </w:r>
      <w:r w:rsidR="00A071B8">
        <w:t xml:space="preserve">should </w:t>
      </w:r>
      <w:r w:rsidR="00115A9E">
        <w:t xml:space="preserve">for the present </w:t>
      </w:r>
      <w:r w:rsidR="00F01F14">
        <w:t>generally take precedence over</w:t>
      </w:r>
      <w:r w:rsidR="00A071B8">
        <w:t xml:space="preserve"> those on the ‘capability’ list, reversing recent </w:t>
      </w:r>
      <w:r w:rsidR="00F01F14">
        <w:t>emphasis</w:t>
      </w:r>
      <w:r w:rsidR="00A071B8">
        <w:t xml:space="preserve">. </w:t>
      </w:r>
    </w:p>
    <w:p w:rsidR="002E3113" w:rsidRDefault="00A071B8" w:rsidP="008975E1">
      <w:pPr>
        <w:pStyle w:val="BodyText"/>
      </w:pPr>
      <w:r>
        <w:t>A</w:t>
      </w:r>
      <w:r w:rsidR="002E3113">
        <w:t xml:space="preserve">s noted, taxation reform </w:t>
      </w:r>
      <w:r>
        <w:t>would</w:t>
      </w:r>
      <w:r w:rsidR="002E3113">
        <w:t xml:space="preserve"> simultaneously address both spe</w:t>
      </w:r>
      <w:r w:rsidR="00717095">
        <w:t>nding and regulatory dimensions</w:t>
      </w:r>
      <w:r w:rsidR="009156E7">
        <w:t>.</w:t>
      </w:r>
      <w:r w:rsidR="00036A0B">
        <w:t xml:space="preserve"> </w:t>
      </w:r>
      <w:r w:rsidR="009156E7">
        <w:t>However,</w:t>
      </w:r>
      <w:r>
        <w:t xml:space="preserve"> </w:t>
      </w:r>
      <w:r w:rsidR="00115A9E">
        <w:t>taxation involves complex interactions</w:t>
      </w:r>
      <w:r w:rsidR="00D73CAC">
        <w:t xml:space="preserve"> and there is scope</w:t>
      </w:r>
      <w:r w:rsidR="00115A9E">
        <w:t xml:space="preserve"> for unintended consequences </w:t>
      </w:r>
      <w:r w:rsidR="000B3536">
        <w:t>if reforms are</w:t>
      </w:r>
      <w:r w:rsidR="00115A9E">
        <w:t xml:space="preserve"> not handled </w:t>
      </w:r>
      <w:r>
        <w:t>in an integrated way</w:t>
      </w:r>
      <w:r w:rsidR="009156E7">
        <w:t>,</w:t>
      </w:r>
      <w:r>
        <w:t xml:space="preserve"> as envisaged in the Henry Report.</w:t>
      </w:r>
    </w:p>
    <w:p w:rsidR="000B3536" w:rsidRDefault="000B3536" w:rsidP="000B3536">
      <w:pPr>
        <w:pStyle w:val="Heading4"/>
      </w:pPr>
      <w:r>
        <w:lastRenderedPageBreak/>
        <w:t>The bottom line</w:t>
      </w:r>
    </w:p>
    <w:p w:rsidR="00132856" w:rsidRPr="002E3113" w:rsidRDefault="002E3113" w:rsidP="00132856">
      <w:pPr>
        <w:pStyle w:val="BodyText"/>
      </w:pPr>
      <w:r>
        <w:t xml:space="preserve">I am conscious that this list of priorities </w:t>
      </w:r>
      <w:r w:rsidR="00A071B8">
        <w:t>may</w:t>
      </w:r>
      <w:r>
        <w:t xml:space="preserve"> look too encompassing </w:t>
      </w:r>
      <w:r w:rsidR="00132856">
        <w:t xml:space="preserve">or complicated </w:t>
      </w:r>
      <w:r>
        <w:t xml:space="preserve">for </w:t>
      </w:r>
      <w:r w:rsidR="006B0AFA">
        <w:t>those se</w:t>
      </w:r>
      <w:r w:rsidR="00132856">
        <w:t>eking</w:t>
      </w:r>
      <w:r>
        <w:t xml:space="preserve"> quick fix</w:t>
      </w:r>
      <w:r w:rsidR="00544736">
        <w:t>es</w:t>
      </w:r>
      <w:r w:rsidR="00D61AD2">
        <w:t xml:space="preserve"> or</w:t>
      </w:r>
      <w:r w:rsidR="00132856">
        <w:t xml:space="preserve"> simple solution</w:t>
      </w:r>
      <w:r w:rsidR="00544736">
        <w:t>s</w:t>
      </w:r>
      <w:r>
        <w:t xml:space="preserve"> — or those who </w:t>
      </w:r>
      <w:r w:rsidR="00A071B8">
        <w:t xml:space="preserve">sometimes </w:t>
      </w:r>
      <w:r>
        <w:t>as</w:t>
      </w:r>
      <w:r w:rsidR="006B0AFA">
        <w:t>k</w:t>
      </w:r>
      <w:r>
        <w:t xml:space="preserve"> </w:t>
      </w:r>
      <w:r w:rsidR="006B0AFA">
        <w:t>at events</w:t>
      </w:r>
      <w:r>
        <w:t xml:space="preserve"> such as this ‘What is the single most important </w:t>
      </w:r>
      <w:r w:rsidR="00132856">
        <w:t>reform to improve Australia’s productivity performance?</w:t>
      </w:r>
      <w:r>
        <w:t>’</w:t>
      </w:r>
      <w:r w:rsidR="00544736">
        <w:t>.</w:t>
      </w:r>
      <w:r>
        <w:t xml:space="preserve"> My usual response</w:t>
      </w:r>
      <w:r w:rsidR="00544736">
        <w:t xml:space="preserve"> to that question</w:t>
      </w:r>
      <w:r>
        <w:t xml:space="preserve">, and the burden of my presentation today, is that there </w:t>
      </w:r>
      <w:r>
        <w:rPr>
          <w:i/>
        </w:rPr>
        <w:t>is</w:t>
      </w:r>
      <w:r>
        <w:t xml:space="preserve"> no </w:t>
      </w:r>
      <w:r w:rsidR="00132856">
        <w:t xml:space="preserve">single thing that can do the job. Indeed, a policy approach </w:t>
      </w:r>
      <w:r w:rsidR="00A071B8">
        <w:t xml:space="preserve">based on </w:t>
      </w:r>
      <w:r w:rsidR="00717095">
        <w:t>such a presumption would be</w:t>
      </w:r>
      <w:r w:rsidR="00132856">
        <w:t xml:space="preserve"> destined for failure.</w:t>
      </w:r>
      <w:r>
        <w:t xml:space="preserve"> </w:t>
      </w:r>
    </w:p>
    <w:p w:rsidR="002E3113" w:rsidRDefault="00D61AD2" w:rsidP="008975E1">
      <w:pPr>
        <w:pStyle w:val="BodyText"/>
      </w:pPr>
      <w:r>
        <w:t>Rather, what</w:t>
      </w:r>
      <w:r w:rsidR="0052046E">
        <w:t xml:space="preserve"> is needed is a</w:t>
      </w:r>
      <w:r w:rsidR="009156E7">
        <w:t>n approach to</w:t>
      </w:r>
      <w:r w:rsidR="0052046E">
        <w:t xml:space="preserve"> ‘productivity policy’ that embraces both the drivers and enablers of firm performance, and is consistently applied. That in turn requires policy-making processes that can achieve clarity about problems</w:t>
      </w:r>
      <w:r w:rsidR="00A071B8">
        <w:t xml:space="preserve">, </w:t>
      </w:r>
      <w:r w:rsidR="00717095">
        <w:t xml:space="preserve">reach </w:t>
      </w:r>
      <w:r w:rsidR="00A071B8">
        <w:t>agreed</w:t>
      </w:r>
      <w:r w:rsidR="0052046E">
        <w:t xml:space="preserve"> objectives and </w:t>
      </w:r>
      <w:r w:rsidR="00717095">
        <w:t xml:space="preserve">ensure </w:t>
      </w:r>
      <w:r w:rsidR="0052046E">
        <w:t>the proper testing of proposed solutions</w:t>
      </w:r>
      <w:r w:rsidR="00971900">
        <w:t xml:space="preserve"> (including on the ‘detail’ and with those most affected)</w:t>
      </w:r>
      <w:r w:rsidR="00544736">
        <w:t xml:space="preserve">. </w:t>
      </w:r>
      <w:r w:rsidR="00971900">
        <w:t xml:space="preserve">The beneficial and enduring structural reforms of the </w:t>
      </w:r>
      <w:proofErr w:type="spellStart"/>
      <w:r w:rsidR="00971900">
        <w:t>1980s</w:t>
      </w:r>
      <w:proofErr w:type="spellEnd"/>
      <w:r w:rsidR="00971900">
        <w:t xml:space="preserve"> and </w:t>
      </w:r>
      <w:proofErr w:type="spellStart"/>
      <w:r w:rsidR="00971900">
        <w:t>1990s</w:t>
      </w:r>
      <w:proofErr w:type="spellEnd"/>
      <w:r w:rsidR="00971900">
        <w:t xml:space="preserve"> </w:t>
      </w:r>
      <w:r w:rsidR="00E20BDD">
        <w:t>are</w:t>
      </w:r>
      <w:r w:rsidR="00971900">
        <w:t xml:space="preserve"> testimony </w:t>
      </w:r>
      <w:r w:rsidR="00E20BDD">
        <w:t>to</w:t>
      </w:r>
      <w:r w:rsidR="00971900">
        <w:t xml:space="preserve"> the value of these </w:t>
      </w:r>
      <w:r w:rsidR="00D149E5">
        <w:t>policy-making f</w:t>
      </w:r>
      <w:r w:rsidR="00971900">
        <w:t xml:space="preserve">undamentals. </w:t>
      </w:r>
      <w:r w:rsidR="00C42FB0">
        <w:t>G</w:t>
      </w:r>
      <w:r w:rsidR="00E20BDD">
        <w:t>ood process</w:t>
      </w:r>
      <w:r w:rsidR="0052046E">
        <w:t xml:space="preserve"> in policy formulation </w:t>
      </w:r>
      <w:r w:rsidR="00717095">
        <w:t>is</w:t>
      </w:r>
      <w:r w:rsidR="0052046E">
        <w:t xml:space="preserve"> accordingly </w:t>
      </w:r>
      <w:r w:rsidR="00717095">
        <w:t>t</w:t>
      </w:r>
      <w:r w:rsidR="0052046E">
        <w:t xml:space="preserve">he most important thing </w:t>
      </w:r>
      <w:r w:rsidR="009156E7">
        <w:t xml:space="preserve">of all </w:t>
      </w:r>
      <w:r w:rsidR="0052046E">
        <w:t>on the ‘to do list’</w:t>
      </w:r>
      <w:r w:rsidR="009156E7">
        <w:t>,</w:t>
      </w:r>
      <w:r w:rsidR="00717095">
        <w:t xml:space="preserve"> if we are serious about</w:t>
      </w:r>
      <w:r w:rsidR="00A071B8">
        <w:t xml:space="preserve"> </w:t>
      </w:r>
      <w:r w:rsidR="00544736">
        <w:t xml:space="preserve">securing Australia’s </w:t>
      </w:r>
      <w:r w:rsidR="00A071B8">
        <w:t xml:space="preserve">future productivity and </w:t>
      </w:r>
      <w:r w:rsidR="00D149E5">
        <w:t xml:space="preserve">the </w:t>
      </w:r>
      <w:r w:rsidR="00A071B8">
        <w:t>prosperity</w:t>
      </w:r>
      <w:r w:rsidR="00D149E5">
        <w:t xml:space="preserve"> that depends on it</w:t>
      </w:r>
      <w:r w:rsidR="009156E7">
        <w:t>.</w:t>
      </w:r>
    </w:p>
    <w:p w:rsidR="00822B5A" w:rsidRDefault="00822B5A" w:rsidP="008975E1">
      <w:pPr>
        <w:pStyle w:val="BodyText"/>
      </w:pPr>
    </w:p>
    <w:p w:rsidR="00822B5A" w:rsidRDefault="00822B5A" w:rsidP="008975E1">
      <w:pPr>
        <w:pStyle w:val="BodyText"/>
      </w:pPr>
    </w:p>
    <w:p w:rsidR="00822B5A" w:rsidRDefault="00822B5A" w:rsidP="008975E1">
      <w:pPr>
        <w:pStyle w:val="BodyText"/>
      </w:pPr>
    </w:p>
    <w:p w:rsidR="00822B5A" w:rsidRDefault="00822B5A" w:rsidP="008975E1">
      <w:pPr>
        <w:pStyle w:val="BodyText"/>
      </w:pPr>
    </w:p>
    <w:p w:rsidR="00822B5A" w:rsidRDefault="00822B5A" w:rsidP="008975E1">
      <w:pPr>
        <w:pStyle w:val="BodyText"/>
      </w:pPr>
    </w:p>
    <w:p w:rsidR="00822B5A" w:rsidRDefault="00822B5A" w:rsidP="008975E1">
      <w:pPr>
        <w:pStyle w:val="BodyText"/>
      </w:pPr>
    </w:p>
    <w:p w:rsidR="00822B5A" w:rsidRDefault="00822B5A" w:rsidP="008975E1">
      <w:pPr>
        <w:pStyle w:val="BodyText"/>
      </w:pPr>
    </w:p>
    <w:p w:rsidR="00822B5A" w:rsidRDefault="00822B5A" w:rsidP="008975E1">
      <w:pPr>
        <w:pStyle w:val="BodyText"/>
      </w:pPr>
    </w:p>
    <w:p w:rsidR="00822B5A" w:rsidRDefault="00822B5A" w:rsidP="008975E1">
      <w:pPr>
        <w:pStyle w:val="BodyText"/>
      </w:pPr>
    </w:p>
    <w:p w:rsidR="00822B5A" w:rsidRDefault="00822B5A" w:rsidP="008975E1">
      <w:pPr>
        <w:pStyle w:val="BodyText"/>
      </w:pPr>
    </w:p>
    <w:p w:rsidR="00822B5A" w:rsidRDefault="00822B5A" w:rsidP="008975E1">
      <w:pPr>
        <w:pStyle w:val="BodyText"/>
      </w:pPr>
    </w:p>
    <w:p w:rsidR="00822B5A" w:rsidRDefault="00822B5A" w:rsidP="008975E1">
      <w:pPr>
        <w:pStyle w:val="BodyText"/>
      </w:pPr>
    </w:p>
    <w:p w:rsidR="00822B5A" w:rsidRDefault="00822B5A" w:rsidP="008975E1">
      <w:pPr>
        <w:pStyle w:val="BodyText"/>
      </w:pPr>
    </w:p>
    <w:p w:rsidR="00822B5A" w:rsidRDefault="00822B5A" w:rsidP="00822B5A">
      <w:pPr>
        <w:pStyle w:val="Heading3"/>
      </w:pPr>
      <w:r>
        <w:lastRenderedPageBreak/>
        <w:t>References</w:t>
      </w:r>
    </w:p>
    <w:p w:rsidR="002B19F6" w:rsidRDefault="002B19F6" w:rsidP="006D00C5">
      <w:pPr>
        <w:pStyle w:val="Reference"/>
      </w:pPr>
      <w:proofErr w:type="spellStart"/>
      <w:r w:rsidRPr="002B19F6">
        <w:t>ACCI</w:t>
      </w:r>
      <w:proofErr w:type="spellEnd"/>
      <w:r w:rsidRPr="002B19F6">
        <w:t xml:space="preserve"> (Australian Chamber of Commerce and Industry) 2012, </w:t>
      </w:r>
      <w:proofErr w:type="spellStart"/>
      <w:r w:rsidRPr="006D00C5">
        <w:rPr>
          <w:i/>
        </w:rPr>
        <w:t>ACCI</w:t>
      </w:r>
      <w:proofErr w:type="spellEnd"/>
      <w:r w:rsidRPr="006D00C5">
        <w:rPr>
          <w:i/>
        </w:rPr>
        <w:t xml:space="preserve"> </w:t>
      </w:r>
      <w:r w:rsidR="00F46035">
        <w:rPr>
          <w:i/>
        </w:rPr>
        <w:t xml:space="preserve">National Red Tape </w:t>
      </w:r>
      <w:r w:rsidRPr="006D00C5">
        <w:rPr>
          <w:i/>
        </w:rPr>
        <w:t>Survey</w:t>
      </w:r>
      <w:r>
        <w:t xml:space="preserve">, </w:t>
      </w:r>
      <w:r w:rsidR="00F46035">
        <w:t>October</w:t>
      </w:r>
      <w:r>
        <w:t xml:space="preserve">. </w:t>
      </w:r>
    </w:p>
    <w:p w:rsidR="008367F9" w:rsidRPr="009B713D" w:rsidRDefault="009B713D" w:rsidP="008367F9">
      <w:pPr>
        <w:pStyle w:val="BodyText"/>
      </w:pPr>
      <w:proofErr w:type="spellStart"/>
      <w:r>
        <w:t>APC</w:t>
      </w:r>
      <w:proofErr w:type="spellEnd"/>
      <w:r>
        <w:t xml:space="preserve"> and NPC (Australian and New Zealand Productivity Commissions) 2012, </w:t>
      </w:r>
      <w:r>
        <w:rPr>
          <w:i/>
        </w:rPr>
        <w:t>Strengthening trans-Tasman Economic Relations</w:t>
      </w:r>
      <w:r>
        <w:t>, Draft</w:t>
      </w:r>
      <w:r w:rsidR="0062743E">
        <w:t xml:space="preserve"> Report</w:t>
      </w:r>
      <w:r>
        <w:t>, September</w:t>
      </w:r>
      <w:r w:rsidR="00163FBC">
        <w:t>.</w:t>
      </w:r>
    </w:p>
    <w:p w:rsidR="00822B5A" w:rsidRDefault="002613D1" w:rsidP="008367F9">
      <w:pPr>
        <w:pStyle w:val="Reference"/>
      </w:pPr>
      <w:r>
        <w:t xml:space="preserve">Banks, G. </w:t>
      </w:r>
      <w:proofErr w:type="spellStart"/>
      <w:r w:rsidR="00822B5A" w:rsidRPr="00E94EB0">
        <w:t>2010</w:t>
      </w:r>
      <w:r w:rsidR="0062743E">
        <w:t>a</w:t>
      </w:r>
      <w:proofErr w:type="spellEnd"/>
      <w:r w:rsidR="00822B5A" w:rsidRPr="00E94EB0">
        <w:t xml:space="preserve">, </w:t>
      </w:r>
      <w:r w:rsidR="00822B5A" w:rsidRPr="00EB16C3">
        <w:rPr>
          <w:i/>
        </w:rPr>
        <w:t>An Economy-wide View: Speeches on Structural Reform</w:t>
      </w:r>
      <w:r w:rsidR="00822B5A" w:rsidRPr="00E94EB0">
        <w:t xml:space="preserve">, Productivity </w:t>
      </w:r>
      <w:r w:rsidR="005E65A2">
        <w:t>Commission, Melbourne, March.</w:t>
      </w:r>
      <w:r w:rsidR="00822B5A" w:rsidRPr="000273FB">
        <w:t xml:space="preserve"> </w:t>
      </w:r>
    </w:p>
    <w:p w:rsidR="00822B5A" w:rsidRDefault="00822B5A" w:rsidP="00822B5A">
      <w:pPr>
        <w:pStyle w:val="Reference"/>
      </w:pPr>
      <w:r w:rsidRPr="000273FB">
        <w:t>—— </w:t>
      </w:r>
      <w:proofErr w:type="spellStart"/>
      <w:r>
        <w:t>2010</w:t>
      </w:r>
      <w:r w:rsidR="0062743E">
        <w:t>b</w:t>
      </w:r>
      <w:proofErr w:type="spellEnd"/>
      <w:r>
        <w:t xml:space="preserve">, </w:t>
      </w:r>
      <w:r>
        <w:rPr>
          <w:i/>
        </w:rPr>
        <w:t xml:space="preserve">Successful Reform: past lessons, future challenges, </w:t>
      </w:r>
      <w:r>
        <w:t>(Keynote address to the Annual Australian Business Economists, Sydney, 8 December 2010), Productivity Commission, Canberra.</w:t>
      </w:r>
    </w:p>
    <w:p w:rsidR="002613D1" w:rsidRDefault="002613D1" w:rsidP="002613D1">
      <w:pPr>
        <w:pStyle w:val="Reference"/>
        <w:rPr>
          <w:rFonts w:ascii="TimesNewRoman" w:hAnsi="TimesNewRoman" w:cs="TimesNewRoman"/>
        </w:rPr>
      </w:pPr>
      <w:r w:rsidRPr="000273FB">
        <w:t>—— </w:t>
      </w:r>
      <w:proofErr w:type="spellStart"/>
      <w:r w:rsidRPr="000273FB">
        <w:t>2011</w:t>
      </w:r>
      <w:r>
        <w:t>a</w:t>
      </w:r>
      <w:proofErr w:type="spellEnd"/>
      <w:r w:rsidRPr="000273FB">
        <w:t xml:space="preserve">, </w:t>
      </w:r>
      <w:r w:rsidRPr="000273FB">
        <w:rPr>
          <w:i/>
        </w:rPr>
        <w:t>Australia’s Mining Boom: What’s the Problem?</w:t>
      </w:r>
      <w:r w:rsidRPr="000273FB">
        <w:t>, Address to the Melbourne Institute and The Australian Economic and Social Outlook Conference, 30 June 2011</w:t>
      </w:r>
      <w:r w:rsidRPr="000273FB">
        <w:rPr>
          <w:rFonts w:ascii="TimesNewRoman" w:hAnsi="TimesNewRoman" w:cs="TimesNewRoman"/>
        </w:rPr>
        <w:t>, Melbourne.</w:t>
      </w:r>
    </w:p>
    <w:p w:rsidR="00822B5A" w:rsidRPr="00822B5A" w:rsidRDefault="00822B5A" w:rsidP="00822B5A">
      <w:pPr>
        <w:pStyle w:val="Reference"/>
      </w:pPr>
      <w:r w:rsidRPr="000273FB">
        <w:t>—— </w:t>
      </w:r>
      <w:proofErr w:type="spellStart"/>
      <w:r>
        <w:t>2011</w:t>
      </w:r>
      <w:r w:rsidR="002613D1">
        <w:t>b</w:t>
      </w:r>
      <w:proofErr w:type="spellEnd"/>
      <w:r>
        <w:t xml:space="preserve">, </w:t>
      </w:r>
      <w:r>
        <w:rPr>
          <w:i/>
        </w:rPr>
        <w:t xml:space="preserve">Industry Assistance in a ‘Patchwork Economy’, </w:t>
      </w:r>
      <w:proofErr w:type="spellStart"/>
      <w:r>
        <w:t>ACCI</w:t>
      </w:r>
      <w:proofErr w:type="spellEnd"/>
      <w:r>
        <w:t xml:space="preserve"> Annual Dinner, 23 November 2011, Canberra</w:t>
      </w:r>
      <w:r w:rsidR="00163FBC">
        <w:t>.</w:t>
      </w:r>
    </w:p>
    <w:p w:rsidR="00822B5A" w:rsidRDefault="00822B5A" w:rsidP="00822B5A">
      <w:pPr>
        <w:pStyle w:val="Reference"/>
      </w:pPr>
      <w:r>
        <w:rPr>
          <w:rFonts w:ascii="TimesNewRoman" w:hAnsi="TimesNewRoman" w:cs="TimesNewRoman"/>
        </w:rPr>
        <w:t xml:space="preserve">—— 2012, </w:t>
      </w:r>
      <w:r>
        <w:rPr>
          <w:i/>
          <w:iCs/>
        </w:rPr>
        <w:t xml:space="preserve">Competition Policy’s regulatory innovations: quo </w:t>
      </w:r>
      <w:proofErr w:type="spellStart"/>
      <w:r>
        <w:rPr>
          <w:i/>
          <w:iCs/>
        </w:rPr>
        <w:t>vadis</w:t>
      </w:r>
      <w:proofErr w:type="spellEnd"/>
      <w:r>
        <w:rPr>
          <w:i/>
          <w:iCs/>
        </w:rPr>
        <w:t>?</w:t>
      </w:r>
      <w:r>
        <w:t xml:space="preserve">, (presented at the Economists Conference Business Symposium, 12 July and the </w:t>
      </w:r>
      <w:proofErr w:type="spellStart"/>
      <w:r>
        <w:t>ACCC</w:t>
      </w:r>
      <w:proofErr w:type="spellEnd"/>
      <w:r>
        <w:t xml:space="preserve"> Annual Regulatory Conference, 26 July), Productivity Commission, Canberra.</w:t>
      </w:r>
    </w:p>
    <w:p w:rsidR="00AB7E36" w:rsidRPr="00AB7E36" w:rsidRDefault="00AB7E36" w:rsidP="00822B5A">
      <w:pPr>
        <w:pStyle w:val="Reference"/>
      </w:pPr>
      <w:r>
        <w:t xml:space="preserve">Dolman, D. and </w:t>
      </w:r>
      <w:proofErr w:type="spellStart"/>
      <w:r>
        <w:t>Gruen</w:t>
      </w:r>
      <w:proofErr w:type="spellEnd"/>
      <w:r>
        <w:t xml:space="preserve">, D. </w:t>
      </w:r>
      <w:r>
        <w:rPr>
          <w:i/>
        </w:rPr>
        <w:t>Productivity and Structural Change,</w:t>
      </w:r>
      <w:r>
        <w:t xml:space="preserve"> 41</w:t>
      </w:r>
      <w:r w:rsidRPr="00AB7E36">
        <w:rPr>
          <w:vertAlign w:val="superscript"/>
        </w:rPr>
        <w:t>st</w:t>
      </w:r>
      <w:r>
        <w:t xml:space="preserve"> Australian Conference of Economists, 10 July.</w:t>
      </w:r>
    </w:p>
    <w:p w:rsidR="002B19F6" w:rsidRPr="006D00C5" w:rsidRDefault="002B19F6" w:rsidP="006D00C5">
      <w:pPr>
        <w:pStyle w:val="Reference"/>
      </w:pPr>
      <w:r w:rsidRPr="006D00C5">
        <w:t xml:space="preserve">Henry, K., Harmer, J., Piggott, J., </w:t>
      </w:r>
      <w:proofErr w:type="spellStart"/>
      <w:r w:rsidRPr="006D00C5">
        <w:t>Ridout</w:t>
      </w:r>
      <w:proofErr w:type="spellEnd"/>
      <w:r w:rsidRPr="006D00C5">
        <w:t xml:space="preserve">, H. and Smith, G. 2010, </w:t>
      </w:r>
      <w:r w:rsidRPr="006D00C5">
        <w:rPr>
          <w:i/>
        </w:rPr>
        <w:t>Australia’s future tax system: Report to the Treasurer</w:t>
      </w:r>
      <w:r w:rsidRPr="006D00C5">
        <w:t xml:space="preserve">, December 2009. </w:t>
      </w:r>
    </w:p>
    <w:p w:rsidR="00822B5A" w:rsidRDefault="00822B5A" w:rsidP="00822B5A">
      <w:pPr>
        <w:pStyle w:val="Reference"/>
      </w:pPr>
      <w:r>
        <w:t xml:space="preserve">IC (Industry Commission) 1995, </w:t>
      </w:r>
      <w:r w:rsidRPr="00D44516">
        <w:rPr>
          <w:i/>
        </w:rPr>
        <w:t>Research and Development</w:t>
      </w:r>
      <w:r w:rsidR="00707D08">
        <w:t>, Report n</w:t>
      </w:r>
      <w:r w:rsidR="00CD7734">
        <w:t xml:space="preserve">o. 44, </w:t>
      </w:r>
      <w:proofErr w:type="spellStart"/>
      <w:r w:rsidR="00CD7734">
        <w:t>AGPS</w:t>
      </w:r>
      <w:proofErr w:type="spellEnd"/>
      <w:r w:rsidR="00CD7734">
        <w:t>, Canberra, May.</w:t>
      </w:r>
      <w:r>
        <w:t xml:space="preserve"> </w:t>
      </w:r>
    </w:p>
    <w:p w:rsidR="002613D1" w:rsidRDefault="002613D1" w:rsidP="00822B5A">
      <w:pPr>
        <w:pStyle w:val="Reference"/>
      </w:pPr>
      <w:r>
        <w:t xml:space="preserve">Lowe, P. 2012, </w:t>
      </w:r>
      <w:r>
        <w:rPr>
          <w:i/>
        </w:rPr>
        <w:t>The Labour Market, Structural Change and Recent Economic Development,</w:t>
      </w:r>
      <w:r>
        <w:t xml:space="preserve"> RBA, October.</w:t>
      </w:r>
    </w:p>
    <w:p w:rsidR="004F6B3C" w:rsidRPr="00CC4528" w:rsidRDefault="004F6B3C" w:rsidP="00822B5A">
      <w:pPr>
        <w:pStyle w:val="Reference"/>
      </w:pPr>
      <w:r>
        <w:t xml:space="preserve">Parham, D. 2012, </w:t>
      </w:r>
      <w:r>
        <w:rPr>
          <w:i/>
        </w:rPr>
        <w:t>Australia’s Productivity Growth Slump: Signs of Cr</w:t>
      </w:r>
      <w:r w:rsidR="00CC4528">
        <w:rPr>
          <w:i/>
        </w:rPr>
        <w:t>isis, Adjustment or Both?</w:t>
      </w:r>
      <w:r w:rsidR="00CC4528">
        <w:t>, Visiting Researcher Paper, Pr</w:t>
      </w:r>
      <w:r w:rsidR="005E65A2">
        <w:t>oductivity Commission, Canberra, April.</w:t>
      </w:r>
    </w:p>
    <w:p w:rsidR="00822B5A" w:rsidRDefault="00822B5A" w:rsidP="00822B5A">
      <w:pPr>
        <w:pStyle w:val="Reference"/>
      </w:pPr>
      <w:r>
        <w:t xml:space="preserve">PC (Productivity Commission) 1996, </w:t>
      </w:r>
      <w:r w:rsidRPr="00D44516">
        <w:rPr>
          <w:i/>
        </w:rPr>
        <w:t>Stocktake of progress in microeconomic reform</w:t>
      </w:r>
      <w:r>
        <w:t xml:space="preserve">, </w:t>
      </w:r>
      <w:r w:rsidR="00BF0C79">
        <w:t xml:space="preserve">Canberra, </w:t>
      </w:r>
      <w:r>
        <w:t xml:space="preserve">June. </w:t>
      </w:r>
    </w:p>
    <w:p w:rsidR="00C42EE0" w:rsidRPr="00C42EE0" w:rsidRDefault="00C42EE0" w:rsidP="00822B5A">
      <w:pPr>
        <w:pStyle w:val="Reference"/>
      </w:pPr>
      <w:r>
        <w:t xml:space="preserve">—— 2000, </w:t>
      </w:r>
      <w:r>
        <w:rPr>
          <w:i/>
        </w:rPr>
        <w:t>Review of Australia’s General Tariff Arrangements,</w:t>
      </w:r>
      <w:r>
        <w:t xml:space="preserve"> Inquiry Report no.  12, Canberra, July.</w:t>
      </w:r>
    </w:p>
    <w:p w:rsidR="0054435F" w:rsidRPr="0054435F" w:rsidRDefault="0054435F" w:rsidP="00822B5A">
      <w:pPr>
        <w:pStyle w:val="Reference"/>
      </w:pPr>
      <w:r>
        <w:t xml:space="preserve">—— 2001, </w:t>
      </w:r>
      <w:r>
        <w:rPr>
          <w:i/>
        </w:rPr>
        <w:t>Structural Adjustment — Key Policy Issues,</w:t>
      </w:r>
      <w:r>
        <w:t xml:space="preserve"> Commission Research Paper, October.</w:t>
      </w:r>
    </w:p>
    <w:p w:rsidR="008126CF" w:rsidRPr="008126CF" w:rsidRDefault="008126CF" w:rsidP="00822B5A">
      <w:pPr>
        <w:pStyle w:val="Reference"/>
      </w:pPr>
      <w:r>
        <w:lastRenderedPageBreak/>
        <w:t xml:space="preserve">—— 2003, </w:t>
      </w:r>
      <w:r>
        <w:rPr>
          <w:i/>
        </w:rPr>
        <w:t xml:space="preserve">Evaluation of the Pharmaceutical Industry </w:t>
      </w:r>
      <w:r w:rsidRPr="008126CF">
        <w:rPr>
          <w:i/>
        </w:rPr>
        <w:t>Investment Program</w:t>
      </w:r>
      <w:r>
        <w:rPr>
          <w:i/>
        </w:rPr>
        <w:t xml:space="preserve">, </w:t>
      </w:r>
      <w:r>
        <w:t>Research Report, Canberra</w:t>
      </w:r>
      <w:r w:rsidR="002613D1">
        <w:t>, February</w:t>
      </w:r>
      <w:r>
        <w:t>.</w:t>
      </w:r>
    </w:p>
    <w:p w:rsidR="0062743E" w:rsidRDefault="0062743E" w:rsidP="0062743E">
      <w:pPr>
        <w:pStyle w:val="Reference"/>
      </w:pPr>
      <w:r w:rsidRPr="000273FB">
        <w:t>—— </w:t>
      </w:r>
      <w:proofErr w:type="spellStart"/>
      <w:r>
        <w:t>2004a</w:t>
      </w:r>
      <w:proofErr w:type="spellEnd"/>
      <w:r>
        <w:t xml:space="preserve">, </w:t>
      </w:r>
      <w:proofErr w:type="spellStart"/>
      <w:r>
        <w:rPr>
          <w:i/>
        </w:rPr>
        <w:t>ICT</w:t>
      </w:r>
      <w:proofErr w:type="spellEnd"/>
      <w:r>
        <w:rPr>
          <w:i/>
        </w:rPr>
        <w:t xml:space="preserve"> Use and Productivity: A Synthesis from Studies of Australian Firms, </w:t>
      </w:r>
      <w:r>
        <w:t>Research Paper, Canberra, July.</w:t>
      </w:r>
    </w:p>
    <w:p w:rsidR="00822B5A" w:rsidRDefault="00822B5A" w:rsidP="00822B5A">
      <w:pPr>
        <w:pStyle w:val="Reference"/>
      </w:pPr>
      <w:r>
        <w:t>—— </w:t>
      </w:r>
      <w:proofErr w:type="spellStart"/>
      <w:r>
        <w:t>2004</w:t>
      </w:r>
      <w:r w:rsidR="0062743E">
        <w:t>b</w:t>
      </w:r>
      <w:proofErr w:type="spellEnd"/>
      <w:r>
        <w:t xml:space="preserve">, </w:t>
      </w:r>
      <w:r w:rsidRPr="00D44516">
        <w:rPr>
          <w:i/>
        </w:rPr>
        <w:t>Impacts of Native Vegetation and Biodiversity Regulations</w:t>
      </w:r>
      <w:r w:rsidRPr="00E94EB0">
        <w:t xml:space="preserve">, Inquiry Report </w:t>
      </w:r>
      <w:r w:rsidR="006D00C5">
        <w:t>n</w:t>
      </w:r>
      <w:r w:rsidRPr="00E94EB0">
        <w:t>o. 29, Melbourne</w:t>
      </w:r>
      <w:r w:rsidR="002613D1">
        <w:t>, August</w:t>
      </w:r>
      <w:r w:rsidRPr="00E94EB0">
        <w:t>.</w:t>
      </w:r>
    </w:p>
    <w:p w:rsidR="00822B5A" w:rsidRDefault="00822B5A" w:rsidP="00822B5A">
      <w:pPr>
        <w:pStyle w:val="Reference"/>
      </w:pPr>
      <w:r>
        <w:t>—— </w:t>
      </w:r>
      <w:proofErr w:type="spellStart"/>
      <w:r>
        <w:t>2004</w:t>
      </w:r>
      <w:r w:rsidR="0062743E">
        <w:t>c</w:t>
      </w:r>
      <w:proofErr w:type="spellEnd"/>
      <w:r>
        <w:t xml:space="preserve">, </w:t>
      </w:r>
      <w:r w:rsidRPr="00E94EB0">
        <w:rPr>
          <w:i/>
        </w:rPr>
        <w:t>First Home Ownership</w:t>
      </w:r>
      <w:r w:rsidRPr="00E94EB0">
        <w:t xml:space="preserve">, Report </w:t>
      </w:r>
      <w:r w:rsidR="006D00C5">
        <w:t>n</w:t>
      </w:r>
      <w:r w:rsidRPr="00E94EB0">
        <w:t>o. 28, Melbourne</w:t>
      </w:r>
      <w:r w:rsidR="002613D1">
        <w:t>, March</w:t>
      </w:r>
      <w:r w:rsidRPr="00E94EB0">
        <w:t>.</w:t>
      </w:r>
    </w:p>
    <w:p w:rsidR="0062743E" w:rsidRPr="00D44516" w:rsidRDefault="0062743E" w:rsidP="0062743E">
      <w:pPr>
        <w:pStyle w:val="Reference"/>
      </w:pPr>
      <w:r w:rsidRPr="00D44516">
        <w:t>—— </w:t>
      </w:r>
      <w:proofErr w:type="spellStart"/>
      <w:r w:rsidRPr="00D44516">
        <w:t>200</w:t>
      </w:r>
      <w:r>
        <w:t>5a</w:t>
      </w:r>
      <w:proofErr w:type="spellEnd"/>
      <w:r w:rsidRPr="00D44516">
        <w:t xml:space="preserve">, </w:t>
      </w:r>
      <w:r w:rsidRPr="00D44516">
        <w:rPr>
          <w:i/>
        </w:rPr>
        <w:t>Review of National Competition Policy Reforms</w:t>
      </w:r>
      <w:r w:rsidR="00C42EE0">
        <w:t>, Inquiry Report n</w:t>
      </w:r>
      <w:r w:rsidRPr="00D44516">
        <w:t>o. 33, Canberr</w:t>
      </w:r>
      <w:r>
        <w:t>a, February</w:t>
      </w:r>
      <w:r w:rsidRPr="00D44516">
        <w:t>.</w:t>
      </w:r>
    </w:p>
    <w:p w:rsidR="00EB16C3" w:rsidRPr="00423FD0" w:rsidRDefault="00EB16C3" w:rsidP="00822B5A">
      <w:pPr>
        <w:pStyle w:val="Reference"/>
      </w:pPr>
      <w:r w:rsidRPr="000273FB">
        <w:t>——</w:t>
      </w:r>
      <w:r>
        <w:t xml:space="preserve"> </w:t>
      </w:r>
      <w:proofErr w:type="spellStart"/>
      <w:r>
        <w:t>2005</w:t>
      </w:r>
      <w:r w:rsidR="0062743E">
        <w:t>b</w:t>
      </w:r>
      <w:proofErr w:type="spellEnd"/>
      <w:r>
        <w:t xml:space="preserve">, </w:t>
      </w:r>
      <w:r>
        <w:rPr>
          <w:i/>
        </w:rPr>
        <w:t xml:space="preserve">Economic Implication of </w:t>
      </w:r>
      <w:r w:rsidR="00423FD0">
        <w:rPr>
          <w:i/>
        </w:rPr>
        <w:t>an Ageing Australia,</w:t>
      </w:r>
      <w:r w:rsidR="00423FD0">
        <w:t xml:space="preserve"> Research Report, Canberra</w:t>
      </w:r>
      <w:r w:rsidR="0094650F">
        <w:t>, March</w:t>
      </w:r>
      <w:r w:rsidR="00423FD0">
        <w:t>.</w:t>
      </w:r>
    </w:p>
    <w:p w:rsidR="00822B5A" w:rsidRDefault="00822B5A" w:rsidP="00822B5A">
      <w:pPr>
        <w:pStyle w:val="Reference"/>
      </w:pPr>
      <w:r>
        <w:t>—— </w:t>
      </w:r>
      <w:proofErr w:type="spellStart"/>
      <w:r>
        <w:t>2006a</w:t>
      </w:r>
      <w:proofErr w:type="spellEnd"/>
      <w:r>
        <w:t xml:space="preserve">, </w:t>
      </w:r>
      <w:r w:rsidRPr="00E94EB0">
        <w:rPr>
          <w:i/>
        </w:rPr>
        <w:t>Potential Benefits of the National Reform Agenda</w:t>
      </w:r>
      <w:r w:rsidRPr="00E94EB0">
        <w:t>, Report to the Council of Australian Governments, Canberra</w:t>
      </w:r>
      <w:r w:rsidR="0094650F">
        <w:t>, December</w:t>
      </w:r>
      <w:r w:rsidRPr="00E94EB0">
        <w:t xml:space="preserve">. </w:t>
      </w:r>
    </w:p>
    <w:p w:rsidR="00822B5A" w:rsidRDefault="00822B5A" w:rsidP="00822B5A">
      <w:pPr>
        <w:pStyle w:val="Reference"/>
      </w:pPr>
      <w:r>
        <w:t>—— </w:t>
      </w:r>
      <w:proofErr w:type="spellStart"/>
      <w:r>
        <w:t>2006b</w:t>
      </w:r>
      <w:proofErr w:type="spellEnd"/>
      <w:r>
        <w:t xml:space="preserve">, </w:t>
      </w:r>
      <w:r w:rsidRPr="00D44516">
        <w:rPr>
          <w:i/>
        </w:rPr>
        <w:t>Conservation of Australia’s Historic Heritage Places</w:t>
      </w:r>
      <w:r w:rsidR="00707D08">
        <w:t>, Report n</w:t>
      </w:r>
      <w:r>
        <w:t>o. 37, Canberra</w:t>
      </w:r>
      <w:r w:rsidR="0094650F">
        <w:t>, April</w:t>
      </w:r>
      <w:r>
        <w:t>.</w:t>
      </w:r>
    </w:p>
    <w:p w:rsidR="00822B5A" w:rsidRDefault="00822B5A" w:rsidP="00822B5A">
      <w:pPr>
        <w:pStyle w:val="Reference"/>
      </w:pPr>
      <w:r>
        <w:t>—— </w:t>
      </w:r>
      <w:proofErr w:type="spellStart"/>
      <w:r>
        <w:t>2006c</w:t>
      </w:r>
      <w:proofErr w:type="spellEnd"/>
      <w:r>
        <w:t xml:space="preserve">, </w:t>
      </w:r>
      <w:r w:rsidRPr="00E94EB0">
        <w:rPr>
          <w:i/>
        </w:rPr>
        <w:t>Waste Management</w:t>
      </w:r>
      <w:r w:rsidR="00707D08">
        <w:t>, Report n</w:t>
      </w:r>
      <w:r w:rsidRPr="00E94EB0">
        <w:t>o. 38, Canberr</w:t>
      </w:r>
      <w:r w:rsidR="0094650F">
        <w:t>a, October</w:t>
      </w:r>
      <w:r w:rsidRPr="00E94EB0">
        <w:t xml:space="preserve">. </w:t>
      </w:r>
    </w:p>
    <w:p w:rsidR="00822B5A" w:rsidRDefault="00822B5A" w:rsidP="00822B5A">
      <w:pPr>
        <w:pStyle w:val="Reference"/>
      </w:pPr>
      <w:r>
        <w:t>—— </w:t>
      </w:r>
      <w:proofErr w:type="spellStart"/>
      <w:r w:rsidRPr="00DB6531">
        <w:t>2007</w:t>
      </w:r>
      <w:r>
        <w:t>a</w:t>
      </w:r>
      <w:proofErr w:type="spellEnd"/>
      <w:r w:rsidRPr="00DB6531">
        <w:t xml:space="preserve">, </w:t>
      </w:r>
      <w:r w:rsidRPr="00D44516">
        <w:rPr>
          <w:i/>
        </w:rPr>
        <w:t>Public Support for Science and Innovation</w:t>
      </w:r>
      <w:r w:rsidRPr="00DB6531">
        <w:t>, Research Report, Canberra</w:t>
      </w:r>
      <w:r w:rsidR="0094650F">
        <w:t>, March</w:t>
      </w:r>
      <w:r w:rsidRPr="00DB6531">
        <w:t>.</w:t>
      </w:r>
    </w:p>
    <w:p w:rsidR="00822B5A" w:rsidRDefault="00822B5A" w:rsidP="00822B5A">
      <w:pPr>
        <w:pStyle w:val="Reference"/>
      </w:pPr>
      <w:r>
        <w:t>—— </w:t>
      </w:r>
      <w:proofErr w:type="spellStart"/>
      <w:r>
        <w:t>2007b</w:t>
      </w:r>
      <w:proofErr w:type="spellEnd"/>
      <w:r>
        <w:t xml:space="preserve">, </w:t>
      </w:r>
      <w:r w:rsidRPr="00E94EB0">
        <w:rPr>
          <w:i/>
        </w:rPr>
        <w:t>Road and Rail Freight Infrastructure pricing</w:t>
      </w:r>
      <w:r w:rsidR="00707D08">
        <w:t>, Inquiry Report n</w:t>
      </w:r>
      <w:r w:rsidRPr="00E94EB0">
        <w:t>o. 41, Productivity Commission, Canberra</w:t>
      </w:r>
      <w:r w:rsidR="0094650F">
        <w:t>, April</w:t>
      </w:r>
      <w:r w:rsidRPr="00E94EB0">
        <w:t>.</w:t>
      </w:r>
    </w:p>
    <w:p w:rsidR="00822B5A" w:rsidRDefault="00822B5A" w:rsidP="00822B5A">
      <w:pPr>
        <w:pStyle w:val="Reference"/>
      </w:pPr>
      <w:r>
        <w:t>—— </w:t>
      </w:r>
      <w:proofErr w:type="spellStart"/>
      <w:r w:rsidRPr="00993A66">
        <w:t>2008</w:t>
      </w:r>
      <w:r>
        <w:t>a</w:t>
      </w:r>
      <w:proofErr w:type="spellEnd"/>
      <w:r w:rsidRPr="00993A66">
        <w:t xml:space="preserve">, </w:t>
      </w:r>
      <w:r w:rsidRPr="00993A66">
        <w:rPr>
          <w:i/>
        </w:rPr>
        <w:t>Trade &amp; Assistance Review 2006-07</w:t>
      </w:r>
      <w:r w:rsidRPr="00993A66">
        <w:t>, Annual Report Series, Productivity Commission, Canberra, March.</w:t>
      </w:r>
    </w:p>
    <w:p w:rsidR="0094650F" w:rsidRPr="008E69D9" w:rsidRDefault="0094650F" w:rsidP="0094650F">
      <w:pPr>
        <w:pStyle w:val="Reference"/>
      </w:pPr>
      <w:r>
        <w:t xml:space="preserve">—— </w:t>
      </w:r>
      <w:proofErr w:type="spellStart"/>
      <w:r>
        <w:t>2008b</w:t>
      </w:r>
      <w:proofErr w:type="spellEnd"/>
      <w:r>
        <w:t xml:space="preserve">, </w:t>
      </w:r>
      <w:r>
        <w:rPr>
          <w:i/>
        </w:rPr>
        <w:t>The Market for Retail Tenancy Leases in Australia,</w:t>
      </w:r>
      <w:r w:rsidR="00707D08">
        <w:t xml:space="preserve"> Inquiry Report n</w:t>
      </w:r>
      <w:r>
        <w:t>o.  43, Canberra, March.</w:t>
      </w:r>
    </w:p>
    <w:p w:rsidR="00822B5A" w:rsidRPr="00E94EB0" w:rsidRDefault="0094650F" w:rsidP="00822B5A">
      <w:pPr>
        <w:pStyle w:val="Reference"/>
      </w:pPr>
      <w:r>
        <w:t>—— </w:t>
      </w:r>
      <w:proofErr w:type="spellStart"/>
      <w:r>
        <w:t>2008c</w:t>
      </w:r>
      <w:proofErr w:type="spellEnd"/>
      <w:r w:rsidR="00822B5A">
        <w:t xml:space="preserve">, </w:t>
      </w:r>
      <w:r w:rsidR="00822B5A" w:rsidRPr="00D44516">
        <w:rPr>
          <w:i/>
        </w:rPr>
        <w:t>What Role for Policies to Supplement an Emissions Trading Scheme?: Productivity Commission Submission to the Garnaut Climate Change Review</w:t>
      </w:r>
      <w:r w:rsidR="00822B5A" w:rsidRPr="00E94EB0">
        <w:t>, May.</w:t>
      </w:r>
    </w:p>
    <w:p w:rsidR="00822B5A" w:rsidRDefault="0094650F" w:rsidP="00822B5A">
      <w:pPr>
        <w:pStyle w:val="Reference"/>
      </w:pPr>
      <w:r>
        <w:t>—— </w:t>
      </w:r>
      <w:proofErr w:type="spellStart"/>
      <w:r>
        <w:t>2008d</w:t>
      </w:r>
      <w:proofErr w:type="spellEnd"/>
      <w:r w:rsidR="00822B5A">
        <w:t xml:space="preserve">, </w:t>
      </w:r>
      <w:r w:rsidR="00822B5A" w:rsidRPr="00E94EB0">
        <w:rPr>
          <w:i/>
        </w:rPr>
        <w:t>Chemicals and Plastics Regulation</w:t>
      </w:r>
      <w:r w:rsidR="00822B5A" w:rsidRPr="00E94EB0">
        <w:t>, Research Report, Melbourne</w:t>
      </w:r>
      <w:r>
        <w:t>, July</w:t>
      </w:r>
      <w:r w:rsidR="00822B5A" w:rsidRPr="00E94EB0">
        <w:t>.</w:t>
      </w:r>
    </w:p>
    <w:p w:rsidR="008126CF" w:rsidRDefault="0094650F" w:rsidP="00822B5A">
      <w:pPr>
        <w:pStyle w:val="Reference"/>
      </w:pPr>
      <w:r>
        <w:t xml:space="preserve">—— </w:t>
      </w:r>
      <w:proofErr w:type="spellStart"/>
      <w:r>
        <w:t>2008e</w:t>
      </w:r>
      <w:proofErr w:type="spellEnd"/>
      <w:r w:rsidR="008126CF">
        <w:t xml:space="preserve">, </w:t>
      </w:r>
      <w:r w:rsidR="008126CF">
        <w:rPr>
          <w:i/>
        </w:rPr>
        <w:t xml:space="preserve">Financial Reporting of </w:t>
      </w:r>
      <w:proofErr w:type="spellStart"/>
      <w:r w:rsidR="008126CF">
        <w:rPr>
          <w:i/>
        </w:rPr>
        <w:t>GTEs</w:t>
      </w:r>
      <w:proofErr w:type="spellEnd"/>
      <w:r w:rsidR="008126CF">
        <w:rPr>
          <w:i/>
        </w:rPr>
        <w:t xml:space="preserve"> 2004-05 to 2006-07, </w:t>
      </w:r>
      <w:r w:rsidR="008126CF">
        <w:t>Commission Research Paper, July.</w:t>
      </w:r>
    </w:p>
    <w:p w:rsidR="008126CF" w:rsidRPr="004B464A" w:rsidRDefault="0094650F" w:rsidP="00822B5A">
      <w:pPr>
        <w:pStyle w:val="Reference"/>
      </w:pPr>
      <w:r>
        <w:t xml:space="preserve">—— </w:t>
      </w:r>
      <w:proofErr w:type="spellStart"/>
      <w:r>
        <w:t>2008f</w:t>
      </w:r>
      <w:proofErr w:type="spellEnd"/>
      <w:r w:rsidR="008126CF">
        <w:t xml:space="preserve">, </w:t>
      </w:r>
      <w:r w:rsidR="004B464A">
        <w:rPr>
          <w:i/>
        </w:rPr>
        <w:t xml:space="preserve">Submission to Infrastructure Australia’s National Infrastructure Audit, </w:t>
      </w:r>
      <w:r w:rsidR="004B464A" w:rsidRPr="004B464A">
        <w:t>Productivity</w:t>
      </w:r>
      <w:r w:rsidR="004B464A">
        <w:rPr>
          <w:i/>
        </w:rPr>
        <w:t xml:space="preserve"> </w:t>
      </w:r>
      <w:r w:rsidR="004B464A">
        <w:t>Commission Submission, September.</w:t>
      </w:r>
    </w:p>
    <w:p w:rsidR="00822B5A" w:rsidRPr="00FF5819" w:rsidRDefault="00822B5A" w:rsidP="00822B5A">
      <w:pPr>
        <w:pStyle w:val="Reference"/>
      </w:pPr>
      <w:r w:rsidRPr="00FF5819">
        <w:t>—— </w:t>
      </w:r>
      <w:proofErr w:type="spellStart"/>
      <w:r w:rsidRPr="00FF5819">
        <w:t>2009a</w:t>
      </w:r>
      <w:proofErr w:type="spellEnd"/>
      <w:r w:rsidRPr="00FF5819">
        <w:t xml:space="preserve">, </w:t>
      </w:r>
      <w:r w:rsidRPr="00AB4175">
        <w:rPr>
          <w:i/>
        </w:rPr>
        <w:t>Submission to the House of Representatives Standing Committee on Economics, Inquiry into Raising the Level of Productivity Growth in the Australian Economy</w:t>
      </w:r>
      <w:r w:rsidRPr="00AB4175">
        <w:t>, Productivity Commission Submission, September.</w:t>
      </w:r>
    </w:p>
    <w:p w:rsidR="00822B5A" w:rsidRDefault="00822B5A" w:rsidP="00822B5A">
      <w:pPr>
        <w:pStyle w:val="Reference"/>
        <w:rPr>
          <w:rFonts w:ascii="TimesNewRoman" w:hAnsi="TimesNewRoman" w:cs="TimesNewRoman"/>
          <w:szCs w:val="26"/>
        </w:rPr>
      </w:pPr>
      <w:r>
        <w:rPr>
          <w:rFonts w:ascii="TimesNewRoman" w:hAnsi="TimesNewRoman" w:cs="TimesNewRoman"/>
        </w:rPr>
        <w:lastRenderedPageBreak/>
        <w:t>—— </w:t>
      </w:r>
      <w:proofErr w:type="spellStart"/>
      <w:r>
        <w:rPr>
          <w:rFonts w:ascii="TimesNewRoman" w:hAnsi="TimesNewRoman" w:cs="TimesNewRoman"/>
        </w:rPr>
        <w:t>2009b</w:t>
      </w:r>
      <w:proofErr w:type="spellEnd"/>
      <w:r>
        <w:rPr>
          <w:rFonts w:ascii="TimesNewRoman" w:hAnsi="TimesNewRoman" w:cs="TimesNewRoman"/>
        </w:rPr>
        <w:t xml:space="preserve">, </w:t>
      </w:r>
      <w:r w:rsidRPr="00AB4175">
        <w:rPr>
          <w:i/>
        </w:rPr>
        <w:t>Australia’s Anti-dumping and Countervailing System</w:t>
      </w:r>
      <w:r>
        <w:rPr>
          <w:rFonts w:ascii="TimesNewRoman" w:hAnsi="TimesNewRoman" w:cs="TimesNewRoman"/>
        </w:rPr>
        <w:t xml:space="preserve">, </w:t>
      </w:r>
      <w:r w:rsidR="00707D08" w:rsidRPr="00707D08">
        <w:rPr>
          <w:rFonts w:ascii="TimesNewRoman" w:hAnsi="TimesNewRoman" w:cs="TimesNewRoman"/>
          <w:szCs w:val="26"/>
        </w:rPr>
        <w:t>Report n</w:t>
      </w:r>
      <w:r w:rsidRPr="00707D08">
        <w:rPr>
          <w:rFonts w:ascii="TimesNewRoman" w:hAnsi="TimesNewRoman" w:cs="TimesNewRoman"/>
          <w:szCs w:val="26"/>
        </w:rPr>
        <w:t>o. 48, Canberra</w:t>
      </w:r>
      <w:r w:rsidR="00F46E4A">
        <w:rPr>
          <w:rFonts w:ascii="TimesNewRoman" w:hAnsi="TimesNewRoman" w:cs="TimesNewRoman"/>
          <w:szCs w:val="26"/>
        </w:rPr>
        <w:t>, December</w:t>
      </w:r>
      <w:r w:rsidRPr="00707D08">
        <w:rPr>
          <w:rFonts w:ascii="TimesNewRoman" w:hAnsi="TimesNewRoman" w:cs="TimesNewRoman"/>
          <w:szCs w:val="26"/>
        </w:rPr>
        <w:t>.</w:t>
      </w:r>
    </w:p>
    <w:p w:rsidR="00F46E4A" w:rsidRPr="00707D08" w:rsidRDefault="00F46E4A" w:rsidP="00822B5A">
      <w:pPr>
        <w:pStyle w:val="Reference"/>
        <w:rPr>
          <w:szCs w:val="26"/>
        </w:rPr>
      </w:pPr>
      <w:r>
        <w:rPr>
          <w:rFonts w:ascii="TimesNewRoman" w:hAnsi="TimesNewRoman" w:cs="TimesNewRoman"/>
          <w:szCs w:val="26"/>
        </w:rPr>
        <w:t>—— </w:t>
      </w:r>
      <w:proofErr w:type="spellStart"/>
      <w:r>
        <w:rPr>
          <w:rFonts w:ascii="TimesNewRoman" w:hAnsi="TimesNewRoman" w:cs="TimesNewRoman"/>
          <w:szCs w:val="26"/>
        </w:rPr>
        <w:t>2009c</w:t>
      </w:r>
      <w:proofErr w:type="spellEnd"/>
      <w:r>
        <w:rPr>
          <w:rFonts w:ascii="TimesNewRoman" w:hAnsi="TimesNewRoman" w:cs="TimesNewRoman"/>
          <w:szCs w:val="26"/>
        </w:rPr>
        <w:t xml:space="preserve">, Annual Report 2008-09, Annual Report Series, Productivity Commission, Canberra, October. </w:t>
      </w:r>
    </w:p>
    <w:p w:rsidR="00822B5A" w:rsidRPr="00AB4175" w:rsidRDefault="00822B5A" w:rsidP="00822B5A">
      <w:pPr>
        <w:pStyle w:val="Reference"/>
        <w:rPr>
          <w:rFonts w:ascii="TimesNewRoman" w:hAnsi="TimesNewRoman" w:cs="TimesNewRoman"/>
        </w:rPr>
      </w:pPr>
      <w:r w:rsidRPr="00AB4175">
        <w:rPr>
          <w:rFonts w:ascii="TimesNewRoman" w:hAnsi="TimesNewRoman" w:cs="TimesNewRoman"/>
        </w:rPr>
        <w:t>—— </w:t>
      </w:r>
      <w:proofErr w:type="spellStart"/>
      <w:r w:rsidRPr="00AB4175">
        <w:rPr>
          <w:rFonts w:ascii="TimesNewRoman" w:hAnsi="TimesNewRoman" w:cs="TimesNewRoman"/>
        </w:rPr>
        <w:t>2009</w:t>
      </w:r>
      <w:r w:rsidR="00F46E4A">
        <w:rPr>
          <w:rFonts w:ascii="TimesNewRoman" w:hAnsi="TimesNewRoman" w:cs="TimesNewRoman"/>
        </w:rPr>
        <w:t>d</w:t>
      </w:r>
      <w:proofErr w:type="spellEnd"/>
      <w:r w:rsidRPr="00AB4175">
        <w:rPr>
          <w:rFonts w:ascii="TimesNewRoman" w:hAnsi="TimesNewRoman" w:cs="TimesNewRoman"/>
        </w:rPr>
        <w:t xml:space="preserve">, </w:t>
      </w:r>
      <w:r w:rsidRPr="00AB4175">
        <w:rPr>
          <w:rFonts w:ascii="TimesNewRoman" w:hAnsi="TimesNewRoman" w:cs="TimesNewRoman"/>
          <w:i/>
        </w:rPr>
        <w:t>Government Drought Support</w:t>
      </w:r>
      <w:r w:rsidRPr="00AB4175">
        <w:rPr>
          <w:rFonts w:ascii="TimesNewRoman" w:hAnsi="TimesNewRoman" w:cs="TimesNewRoman"/>
        </w:rPr>
        <w:t xml:space="preserve">, Report </w:t>
      </w:r>
      <w:r w:rsidR="006D00C5">
        <w:rPr>
          <w:rFonts w:ascii="TimesNewRoman" w:hAnsi="TimesNewRoman" w:cs="TimesNewRoman"/>
        </w:rPr>
        <w:t>n</w:t>
      </w:r>
      <w:r w:rsidRPr="00AB4175">
        <w:rPr>
          <w:rFonts w:ascii="TimesNewRoman" w:hAnsi="TimesNewRoman" w:cs="TimesNewRoman"/>
        </w:rPr>
        <w:t>o. 46, Final Inquiry Report, Melbourne</w:t>
      </w:r>
      <w:r w:rsidR="00F46E4A">
        <w:rPr>
          <w:rFonts w:ascii="TimesNewRoman" w:hAnsi="TimesNewRoman" w:cs="TimesNewRoman"/>
        </w:rPr>
        <w:t>, February</w:t>
      </w:r>
      <w:r w:rsidRPr="00AB4175">
        <w:rPr>
          <w:rFonts w:ascii="TimesNewRoman" w:hAnsi="TimesNewRoman" w:cs="TimesNewRoman"/>
        </w:rPr>
        <w:t>.</w:t>
      </w:r>
    </w:p>
    <w:p w:rsidR="00822B5A" w:rsidRDefault="00822B5A" w:rsidP="00822B5A">
      <w:pPr>
        <w:pStyle w:val="Reference"/>
        <w:rPr>
          <w:rFonts w:ascii="TimesNewRoman" w:hAnsi="TimesNewRoman" w:cs="TimesNewRoman"/>
        </w:rPr>
      </w:pPr>
      <w:r>
        <w:rPr>
          <w:rFonts w:ascii="TimesNewRoman" w:hAnsi="TimesNewRoman" w:cs="TimesNewRoman"/>
        </w:rPr>
        <w:t>—— </w:t>
      </w:r>
      <w:proofErr w:type="spellStart"/>
      <w:r>
        <w:rPr>
          <w:rFonts w:ascii="TimesNewRoman" w:hAnsi="TimesNewRoman" w:cs="TimesNewRoman"/>
        </w:rPr>
        <w:t>2009</w:t>
      </w:r>
      <w:r w:rsidR="00F46E4A">
        <w:rPr>
          <w:rFonts w:ascii="TimesNewRoman" w:hAnsi="TimesNewRoman" w:cs="TimesNewRoman"/>
        </w:rPr>
        <w:t>e</w:t>
      </w:r>
      <w:proofErr w:type="spellEnd"/>
      <w:r>
        <w:rPr>
          <w:rFonts w:ascii="TimesNewRoman" w:hAnsi="TimesNewRoman" w:cs="TimesNewRoman"/>
        </w:rPr>
        <w:t xml:space="preserve">, </w:t>
      </w:r>
      <w:r w:rsidRPr="00D44516">
        <w:rPr>
          <w:i/>
        </w:rPr>
        <w:t>Review of Mutual Recognition Schemes</w:t>
      </w:r>
      <w:r>
        <w:t xml:space="preserve">, </w:t>
      </w:r>
      <w:r>
        <w:rPr>
          <w:rFonts w:ascii="TimesNewRoman" w:hAnsi="TimesNewRoman" w:cs="TimesNewRoman"/>
        </w:rPr>
        <w:t>Research Report, Canberra</w:t>
      </w:r>
      <w:r w:rsidR="00F46E4A">
        <w:rPr>
          <w:rFonts w:ascii="TimesNewRoman" w:hAnsi="TimesNewRoman" w:cs="TimesNewRoman"/>
        </w:rPr>
        <w:t xml:space="preserve">, </w:t>
      </w:r>
      <w:r w:rsidR="009F12D3">
        <w:rPr>
          <w:rFonts w:ascii="TimesNewRoman" w:hAnsi="TimesNewRoman" w:cs="TimesNewRoman"/>
        </w:rPr>
        <w:t>January</w:t>
      </w:r>
      <w:r>
        <w:rPr>
          <w:rFonts w:ascii="TimesNewRoman" w:hAnsi="TimesNewRoman" w:cs="TimesNewRoman"/>
        </w:rPr>
        <w:t>.</w:t>
      </w:r>
    </w:p>
    <w:p w:rsidR="00822B5A" w:rsidRDefault="00822B5A" w:rsidP="00822B5A">
      <w:pPr>
        <w:pStyle w:val="Reference"/>
      </w:pPr>
      <w:r>
        <w:rPr>
          <w:rFonts w:ascii="TimesNewRoman" w:hAnsi="TimesNewRoman" w:cs="TimesNewRoman"/>
        </w:rPr>
        <w:t>—— </w:t>
      </w:r>
      <w:proofErr w:type="spellStart"/>
      <w:r>
        <w:rPr>
          <w:rFonts w:ascii="TimesNewRoman" w:hAnsi="TimesNewRoman" w:cs="TimesNewRoman"/>
        </w:rPr>
        <w:t>2009</w:t>
      </w:r>
      <w:r w:rsidR="00F46E4A">
        <w:rPr>
          <w:rFonts w:ascii="TimesNewRoman" w:hAnsi="TimesNewRoman" w:cs="TimesNewRoman"/>
        </w:rPr>
        <w:t>f</w:t>
      </w:r>
      <w:proofErr w:type="spellEnd"/>
      <w:r>
        <w:rPr>
          <w:rFonts w:ascii="TimesNewRoman" w:hAnsi="TimesNewRoman" w:cs="TimesNewRoman"/>
        </w:rPr>
        <w:t xml:space="preserve">, </w:t>
      </w:r>
      <w:r w:rsidRPr="00D44516">
        <w:rPr>
          <w:i/>
        </w:rPr>
        <w:t>Review of Regulatory Burden on the Upstream Petroleum (Oil and Gas) Sector</w:t>
      </w:r>
      <w:r w:rsidRPr="00E94EB0">
        <w:t>, Research Report, Melbourne</w:t>
      </w:r>
      <w:r w:rsidR="009F12D3">
        <w:t>, April</w:t>
      </w:r>
      <w:r w:rsidRPr="00E94EB0">
        <w:t>.</w:t>
      </w:r>
    </w:p>
    <w:p w:rsidR="008E69D9" w:rsidRPr="008E69D9" w:rsidRDefault="008E69D9" w:rsidP="00822B5A">
      <w:pPr>
        <w:pStyle w:val="Reference"/>
        <w:rPr>
          <w:rFonts w:ascii="TimesNewRoman" w:hAnsi="TimesNewRoman" w:cs="TimesNewRoman"/>
        </w:rPr>
      </w:pPr>
      <w:r>
        <w:t xml:space="preserve">—— </w:t>
      </w:r>
      <w:proofErr w:type="spellStart"/>
      <w:r>
        <w:t>2010</w:t>
      </w:r>
      <w:r w:rsidR="0062743E">
        <w:t>a</w:t>
      </w:r>
      <w:proofErr w:type="spellEnd"/>
      <w:r>
        <w:t xml:space="preserve">, </w:t>
      </w:r>
      <w:r>
        <w:rPr>
          <w:i/>
        </w:rPr>
        <w:t xml:space="preserve">Bilateral and Regional Trade Agreements, </w:t>
      </w:r>
      <w:r>
        <w:t>Productivity Commission Research Report, Canberra</w:t>
      </w:r>
      <w:r w:rsidR="009F12D3">
        <w:t>, November</w:t>
      </w:r>
      <w:r>
        <w:t>.</w:t>
      </w:r>
    </w:p>
    <w:p w:rsidR="00822B5A" w:rsidRDefault="00822B5A" w:rsidP="00822B5A">
      <w:pPr>
        <w:pStyle w:val="Reference"/>
        <w:rPr>
          <w:rFonts w:ascii="TimesNewRoman" w:hAnsi="TimesNewRoman" w:cs="TimesNewRoman"/>
        </w:rPr>
      </w:pPr>
      <w:r>
        <w:rPr>
          <w:rFonts w:ascii="TimesNewRoman" w:hAnsi="TimesNewRoman" w:cs="TimesNewRoman"/>
        </w:rPr>
        <w:t>—— </w:t>
      </w:r>
      <w:proofErr w:type="spellStart"/>
      <w:r>
        <w:rPr>
          <w:rFonts w:ascii="TimesNewRoman" w:hAnsi="TimesNewRoman" w:cs="TimesNewRoman"/>
        </w:rPr>
        <w:t>2010</w:t>
      </w:r>
      <w:r w:rsidR="0062743E">
        <w:rPr>
          <w:rFonts w:ascii="TimesNewRoman" w:hAnsi="TimesNewRoman" w:cs="TimesNewRoman"/>
        </w:rPr>
        <w:t>b</w:t>
      </w:r>
      <w:proofErr w:type="spellEnd"/>
      <w:r>
        <w:rPr>
          <w:rFonts w:ascii="TimesNewRoman" w:hAnsi="TimesNewRoman" w:cs="TimesNewRoman"/>
        </w:rPr>
        <w:t xml:space="preserve">, </w:t>
      </w:r>
      <w:r w:rsidRPr="00D44516">
        <w:rPr>
          <w:i/>
        </w:rPr>
        <w:t>Annual Review of Regulatory Burdens on Business: Business and Consumer Services</w:t>
      </w:r>
      <w:r w:rsidRPr="00E94EB0">
        <w:t>, Draft Research Report, Canberra, June.</w:t>
      </w:r>
    </w:p>
    <w:p w:rsidR="00822B5A" w:rsidRDefault="00822B5A" w:rsidP="00822B5A">
      <w:pPr>
        <w:pStyle w:val="Reference"/>
      </w:pPr>
      <w:r>
        <w:rPr>
          <w:rFonts w:ascii="TimesNewRoman" w:hAnsi="TimesNewRoman" w:cs="TimesNewRoman"/>
        </w:rPr>
        <w:t>—— </w:t>
      </w:r>
      <w:proofErr w:type="spellStart"/>
      <w:r>
        <w:rPr>
          <w:rFonts w:ascii="TimesNewRoman" w:hAnsi="TimesNewRoman" w:cs="TimesNewRoman"/>
        </w:rPr>
        <w:t>2010</w:t>
      </w:r>
      <w:r w:rsidR="0062743E">
        <w:rPr>
          <w:rFonts w:ascii="TimesNewRoman" w:hAnsi="TimesNewRoman" w:cs="TimesNewRoman"/>
        </w:rPr>
        <w:t>c</w:t>
      </w:r>
      <w:proofErr w:type="spellEnd"/>
      <w:r>
        <w:rPr>
          <w:rFonts w:ascii="TimesNewRoman" w:hAnsi="TimesNewRoman" w:cs="TimesNewRoman"/>
        </w:rPr>
        <w:t xml:space="preserve">, </w:t>
      </w:r>
      <w:r w:rsidRPr="00D44516">
        <w:rPr>
          <w:i/>
        </w:rPr>
        <w:t>Market Mechanisms for Recovering Water in the Murray-Darling Basin</w:t>
      </w:r>
      <w:r w:rsidRPr="00E94EB0">
        <w:t>, Research Report, March.</w:t>
      </w:r>
    </w:p>
    <w:p w:rsidR="008E69D9" w:rsidRPr="008E69D9" w:rsidRDefault="008E69D9" w:rsidP="00822B5A">
      <w:pPr>
        <w:pStyle w:val="Reference"/>
        <w:rPr>
          <w:rFonts w:ascii="TimesNewRoman" w:hAnsi="TimesNewRoman" w:cs="TimesNewRoman"/>
        </w:rPr>
      </w:pPr>
      <w:r>
        <w:t xml:space="preserve">—— </w:t>
      </w:r>
      <w:proofErr w:type="spellStart"/>
      <w:r>
        <w:t>2011</w:t>
      </w:r>
      <w:r w:rsidR="0062743E">
        <w:t>a</w:t>
      </w:r>
      <w:proofErr w:type="spellEnd"/>
      <w:r>
        <w:t xml:space="preserve">, </w:t>
      </w:r>
      <w:r>
        <w:rPr>
          <w:i/>
        </w:rPr>
        <w:t xml:space="preserve">Identifying and Evaluating Regulation Reforms, </w:t>
      </w:r>
      <w:r>
        <w:t>Research Report, Canberra</w:t>
      </w:r>
      <w:r w:rsidR="009F12D3">
        <w:t>, December</w:t>
      </w:r>
      <w:r>
        <w:t>.</w:t>
      </w:r>
    </w:p>
    <w:p w:rsidR="00822B5A" w:rsidRDefault="00822B5A" w:rsidP="00822B5A">
      <w:pPr>
        <w:pStyle w:val="Reference"/>
        <w:rPr>
          <w:rFonts w:ascii="TimesNewRoman" w:hAnsi="TimesNewRoman" w:cs="TimesNewRoman"/>
        </w:rPr>
      </w:pPr>
      <w:r w:rsidRPr="00D44516">
        <w:rPr>
          <w:rFonts w:ascii="TimesNewRoman" w:hAnsi="TimesNewRoman" w:cs="TimesNewRoman"/>
        </w:rPr>
        <w:t>—— </w:t>
      </w:r>
      <w:proofErr w:type="spellStart"/>
      <w:r w:rsidRPr="00D44516">
        <w:rPr>
          <w:rFonts w:ascii="TimesNewRoman" w:hAnsi="TimesNewRoman" w:cs="TimesNewRoman"/>
        </w:rPr>
        <w:t>2011</w:t>
      </w:r>
      <w:r w:rsidR="0062743E">
        <w:rPr>
          <w:rFonts w:ascii="TimesNewRoman" w:hAnsi="TimesNewRoman" w:cs="TimesNewRoman"/>
        </w:rPr>
        <w:t>b</w:t>
      </w:r>
      <w:proofErr w:type="spellEnd"/>
      <w:r w:rsidRPr="00D44516">
        <w:rPr>
          <w:rFonts w:ascii="TimesNewRoman" w:hAnsi="TimesNewRoman" w:cs="TimesNewRoman"/>
        </w:rPr>
        <w:t xml:space="preserve">, </w:t>
      </w:r>
      <w:r w:rsidRPr="00D44516">
        <w:rPr>
          <w:rFonts w:ascii="TimesNewRoman" w:hAnsi="TimesNewRoman" w:cs="TimesNewRoman"/>
          <w:i/>
        </w:rPr>
        <w:t>Early Childhood Development Workforce</w:t>
      </w:r>
      <w:r w:rsidRPr="00D44516">
        <w:rPr>
          <w:rFonts w:ascii="TimesNewRoman" w:hAnsi="TimesNewRoman" w:cs="TimesNewRoman"/>
        </w:rPr>
        <w:t>, Research Report, Melbourne</w:t>
      </w:r>
      <w:r w:rsidR="009F12D3">
        <w:rPr>
          <w:rFonts w:ascii="TimesNewRoman" w:hAnsi="TimesNewRoman" w:cs="TimesNewRoman"/>
        </w:rPr>
        <w:t>, November</w:t>
      </w:r>
      <w:r w:rsidRPr="00D44516">
        <w:rPr>
          <w:rFonts w:ascii="TimesNewRoman" w:hAnsi="TimesNewRoman" w:cs="TimesNewRoman"/>
        </w:rPr>
        <w:t>.</w:t>
      </w:r>
    </w:p>
    <w:p w:rsidR="00822B5A" w:rsidRDefault="00822B5A" w:rsidP="00822B5A">
      <w:pPr>
        <w:pStyle w:val="Reference"/>
        <w:rPr>
          <w:rFonts w:ascii="TimesNewRomanPSMT" w:hAnsi="TimesNewRomanPSMT" w:cs="TimesNewRomanPSMT"/>
        </w:rPr>
      </w:pPr>
      <w:r>
        <w:rPr>
          <w:rFonts w:ascii="TimesNewRoman" w:hAnsi="TimesNewRoman" w:cs="TimesNewRoman"/>
        </w:rPr>
        <w:t>—— </w:t>
      </w:r>
      <w:proofErr w:type="spellStart"/>
      <w:r>
        <w:rPr>
          <w:rFonts w:ascii="TimesNewRoman" w:hAnsi="TimesNewRoman" w:cs="TimesNewRoman"/>
        </w:rPr>
        <w:t>2011</w:t>
      </w:r>
      <w:r w:rsidR="0062743E">
        <w:rPr>
          <w:rFonts w:ascii="TimesNewRoman" w:hAnsi="TimesNewRoman" w:cs="TimesNewRoman"/>
        </w:rPr>
        <w:t>c</w:t>
      </w:r>
      <w:proofErr w:type="spellEnd"/>
      <w:r w:rsidR="00C32C0C">
        <w:rPr>
          <w:rFonts w:ascii="TimesNewRoman" w:hAnsi="TimesNewRoman" w:cs="TimesNewRoman"/>
        </w:rPr>
        <w:t>,</w:t>
      </w:r>
      <w:r>
        <w:rPr>
          <w:rFonts w:ascii="TimesNewRomanPSMT" w:hAnsi="TimesNewRomanPSMT" w:cs="TimesNewRomanPSMT"/>
        </w:rPr>
        <w:t xml:space="preserve"> </w:t>
      </w:r>
      <w:r>
        <w:rPr>
          <w:i/>
          <w:iCs/>
        </w:rPr>
        <w:t>Vocational Education and Training Workforce</w:t>
      </w:r>
      <w:r>
        <w:rPr>
          <w:rFonts w:ascii="TimesNewRomanPSMT" w:hAnsi="TimesNewRomanPSMT" w:cs="TimesNewRomanPSMT"/>
        </w:rPr>
        <w:t>, Research Report, Canberra</w:t>
      </w:r>
      <w:r w:rsidR="00105F2D">
        <w:rPr>
          <w:rFonts w:ascii="TimesNewRomanPSMT" w:hAnsi="TimesNewRomanPSMT" w:cs="TimesNewRomanPSMT"/>
        </w:rPr>
        <w:t>, April</w:t>
      </w:r>
      <w:r>
        <w:rPr>
          <w:rFonts w:ascii="TimesNewRomanPSMT" w:hAnsi="TimesNewRomanPSMT" w:cs="TimesNewRomanPSMT"/>
        </w:rPr>
        <w:t>.</w:t>
      </w:r>
    </w:p>
    <w:p w:rsidR="00822B5A" w:rsidRPr="00D44516" w:rsidRDefault="00822B5A" w:rsidP="00822B5A">
      <w:pPr>
        <w:pStyle w:val="Reference"/>
        <w:rPr>
          <w:rFonts w:ascii="TimesNewRoman" w:hAnsi="TimesNewRoman" w:cs="TimesNewRoman"/>
        </w:rPr>
      </w:pPr>
      <w:r>
        <w:rPr>
          <w:rFonts w:ascii="TimesNewRomanPSMT" w:hAnsi="TimesNewRomanPSMT" w:cs="TimesNewRomanPSMT"/>
        </w:rPr>
        <w:t>—— </w:t>
      </w:r>
      <w:proofErr w:type="spellStart"/>
      <w:r>
        <w:t>2011</w:t>
      </w:r>
      <w:r w:rsidR="0062743E">
        <w:t>d</w:t>
      </w:r>
      <w:proofErr w:type="spellEnd"/>
      <w:r>
        <w:t xml:space="preserve">, </w:t>
      </w:r>
      <w:r>
        <w:rPr>
          <w:i/>
          <w:iCs/>
        </w:rPr>
        <w:t>Rural Research and Development Corporations</w:t>
      </w:r>
      <w:r w:rsidR="00AB7E36">
        <w:t>, Report n</w:t>
      </w:r>
      <w:r>
        <w:t>o. 52, Final Inquiry Report, Canberra</w:t>
      </w:r>
      <w:r w:rsidR="00105F2D">
        <w:t>, February</w:t>
      </w:r>
      <w:r>
        <w:t>.</w:t>
      </w:r>
    </w:p>
    <w:p w:rsidR="00822B5A" w:rsidRDefault="00822B5A" w:rsidP="00822B5A">
      <w:pPr>
        <w:pStyle w:val="Reference"/>
        <w:rPr>
          <w:rFonts w:ascii="TimesNewRoman" w:hAnsi="TimesNewRoman" w:cs="TimesNewRoman"/>
        </w:rPr>
      </w:pPr>
      <w:r>
        <w:rPr>
          <w:rFonts w:ascii="TimesNewRoman" w:hAnsi="TimesNewRoman" w:cs="TimesNewRoman"/>
        </w:rPr>
        <w:t>—— </w:t>
      </w:r>
      <w:proofErr w:type="spellStart"/>
      <w:r w:rsidRPr="00E94EB0">
        <w:t>2011</w:t>
      </w:r>
      <w:r w:rsidR="0062743E">
        <w:t>e</w:t>
      </w:r>
      <w:proofErr w:type="spellEnd"/>
      <w:r w:rsidRPr="00E94EB0">
        <w:t xml:space="preserve">, </w:t>
      </w:r>
      <w:r w:rsidRPr="00E94EB0">
        <w:rPr>
          <w:i/>
        </w:rPr>
        <w:t>Australia’s Urban Water Sector</w:t>
      </w:r>
      <w:r w:rsidRPr="00E94EB0">
        <w:t>, Draft Report, Melbourne</w:t>
      </w:r>
      <w:r w:rsidR="00105F2D">
        <w:t>, August</w:t>
      </w:r>
      <w:r w:rsidRPr="00E94EB0">
        <w:t>.</w:t>
      </w:r>
    </w:p>
    <w:p w:rsidR="00822B5A" w:rsidRPr="00D44516" w:rsidRDefault="00822B5A" w:rsidP="00822B5A">
      <w:pPr>
        <w:pStyle w:val="Reference"/>
      </w:pPr>
      <w:r w:rsidRPr="00D44516">
        <w:t>—— </w:t>
      </w:r>
      <w:proofErr w:type="spellStart"/>
      <w:r w:rsidRPr="00D44516">
        <w:t>2011</w:t>
      </w:r>
      <w:r w:rsidR="0062743E">
        <w:t>f</w:t>
      </w:r>
      <w:proofErr w:type="spellEnd"/>
      <w:r w:rsidRPr="00D44516">
        <w:t xml:space="preserve">, </w:t>
      </w:r>
      <w:r w:rsidRPr="00D44516">
        <w:rPr>
          <w:i/>
        </w:rPr>
        <w:t>Caring for Older Australians</w:t>
      </w:r>
      <w:r w:rsidR="00AB7E36">
        <w:t>, Report n</w:t>
      </w:r>
      <w:r w:rsidRPr="00D44516">
        <w:t>o. 53, Final Inquiry Report, Canberra</w:t>
      </w:r>
      <w:r w:rsidR="00105F2D">
        <w:t>, June</w:t>
      </w:r>
      <w:r w:rsidRPr="00D44516">
        <w:t>.</w:t>
      </w:r>
    </w:p>
    <w:p w:rsidR="00822B5A" w:rsidRPr="00D44516" w:rsidRDefault="00822B5A" w:rsidP="00822B5A">
      <w:pPr>
        <w:pStyle w:val="Reference"/>
      </w:pPr>
      <w:r w:rsidRPr="00D44516">
        <w:rPr>
          <w:rStyle w:val="ReferenceChar"/>
        </w:rPr>
        <w:t>—— </w:t>
      </w:r>
      <w:proofErr w:type="spellStart"/>
      <w:r w:rsidRPr="00D44516">
        <w:t>2011</w:t>
      </w:r>
      <w:r w:rsidR="0062743E">
        <w:t>g</w:t>
      </w:r>
      <w:proofErr w:type="spellEnd"/>
      <w:r w:rsidRPr="00D44516">
        <w:t xml:space="preserve">, </w:t>
      </w:r>
      <w:r w:rsidRPr="00D44516">
        <w:rPr>
          <w:i/>
        </w:rPr>
        <w:t>Disability Care and Support</w:t>
      </w:r>
      <w:r w:rsidR="00AB7E36">
        <w:t>, Report n</w:t>
      </w:r>
      <w:r w:rsidRPr="00D44516">
        <w:t>o. 54, Final Inquiry Report, Canberra</w:t>
      </w:r>
      <w:r w:rsidR="00105F2D">
        <w:t>, July</w:t>
      </w:r>
      <w:r w:rsidRPr="00D44516">
        <w:t xml:space="preserve">. </w:t>
      </w:r>
    </w:p>
    <w:p w:rsidR="00822B5A" w:rsidRDefault="00822B5A" w:rsidP="00822B5A">
      <w:pPr>
        <w:pStyle w:val="Reference"/>
        <w:rPr>
          <w:rFonts w:ascii="TimesNewRoman" w:hAnsi="TimesNewRoman" w:cs="TimesNewRoman"/>
        </w:rPr>
      </w:pPr>
      <w:r>
        <w:rPr>
          <w:rFonts w:ascii="TimesNewRoman" w:hAnsi="TimesNewRoman" w:cs="TimesNewRoman"/>
        </w:rPr>
        <w:t>—— </w:t>
      </w:r>
      <w:proofErr w:type="spellStart"/>
      <w:r>
        <w:rPr>
          <w:rFonts w:ascii="TimesNewRoman" w:hAnsi="TimesNewRoman" w:cs="TimesNewRoman"/>
        </w:rPr>
        <w:t>2011</w:t>
      </w:r>
      <w:r w:rsidR="0062743E">
        <w:rPr>
          <w:rFonts w:ascii="TimesNewRoman" w:hAnsi="TimesNewRoman" w:cs="TimesNewRoman"/>
        </w:rPr>
        <w:t>h</w:t>
      </w:r>
      <w:proofErr w:type="spellEnd"/>
      <w:r>
        <w:rPr>
          <w:rFonts w:ascii="TimesNewRoman" w:hAnsi="TimesNewRoman" w:cs="TimesNewRoman"/>
        </w:rPr>
        <w:t xml:space="preserve">, </w:t>
      </w:r>
      <w:r w:rsidRPr="00D44516">
        <w:rPr>
          <w:i/>
        </w:rPr>
        <w:t>Economic Structure and Performance of the Australian Retail Industry</w:t>
      </w:r>
      <w:r>
        <w:t>, Report no. 56, Canberra</w:t>
      </w:r>
      <w:r w:rsidR="00105F2D">
        <w:t>, November</w:t>
      </w:r>
      <w:r>
        <w:t>.</w:t>
      </w:r>
    </w:p>
    <w:p w:rsidR="00822B5A" w:rsidRDefault="00822B5A" w:rsidP="00822B5A">
      <w:pPr>
        <w:pStyle w:val="Reference"/>
      </w:pPr>
      <w:r>
        <w:rPr>
          <w:rFonts w:ascii="TimesNewRoman" w:hAnsi="TimesNewRoman" w:cs="TimesNewRoman"/>
        </w:rPr>
        <w:t>—— </w:t>
      </w:r>
      <w:proofErr w:type="spellStart"/>
      <w:r>
        <w:rPr>
          <w:rFonts w:ascii="TimesNewRoman" w:hAnsi="TimesNewRoman" w:cs="TimesNewRoman"/>
        </w:rPr>
        <w:t>2011</w:t>
      </w:r>
      <w:r w:rsidR="0062743E">
        <w:rPr>
          <w:rFonts w:ascii="TimesNewRoman" w:hAnsi="TimesNewRoman" w:cs="TimesNewRoman"/>
        </w:rPr>
        <w:t>i</w:t>
      </w:r>
      <w:proofErr w:type="spellEnd"/>
      <w:r>
        <w:rPr>
          <w:rFonts w:ascii="TimesNewRoman" w:hAnsi="TimesNewRoman" w:cs="TimesNewRoman"/>
        </w:rPr>
        <w:t xml:space="preserve">, </w:t>
      </w:r>
      <w:r w:rsidRPr="00D44516">
        <w:rPr>
          <w:i/>
        </w:rPr>
        <w:t>Performance Benchmarking of Australian Business Regulation: Planning, Zoning, and Development Assessment</w:t>
      </w:r>
      <w:r w:rsidRPr="00E94EB0">
        <w:t>, Research Report, vol. 1, Canberra</w:t>
      </w:r>
      <w:r w:rsidR="00105F2D">
        <w:t>, April</w:t>
      </w:r>
      <w:r w:rsidRPr="00E94EB0">
        <w:t>.</w:t>
      </w:r>
    </w:p>
    <w:p w:rsidR="00822B5A" w:rsidRDefault="00822B5A" w:rsidP="00822B5A">
      <w:pPr>
        <w:pStyle w:val="Reference"/>
        <w:rPr>
          <w:rFonts w:ascii="TimesNewRoman" w:hAnsi="TimesNewRoman" w:cs="TimesNewRoman"/>
        </w:rPr>
      </w:pPr>
      <w:r w:rsidRPr="00D44516">
        <w:rPr>
          <w:rFonts w:ascii="TimesNewRoman" w:hAnsi="TimesNewRoman" w:cs="TimesNewRoman"/>
        </w:rPr>
        <w:t>—— </w:t>
      </w:r>
      <w:proofErr w:type="spellStart"/>
      <w:r w:rsidRPr="00D44516">
        <w:rPr>
          <w:rFonts w:ascii="TimesNewRoman" w:hAnsi="TimesNewRoman" w:cs="TimesNewRoman"/>
        </w:rPr>
        <w:t>2012</w:t>
      </w:r>
      <w:r>
        <w:rPr>
          <w:rFonts w:ascii="TimesNewRoman" w:hAnsi="TimesNewRoman" w:cs="TimesNewRoman"/>
        </w:rPr>
        <w:t>a</w:t>
      </w:r>
      <w:proofErr w:type="spellEnd"/>
      <w:r w:rsidRPr="00D44516">
        <w:rPr>
          <w:rFonts w:ascii="TimesNewRoman" w:hAnsi="TimesNewRoman" w:cs="TimesNewRoman"/>
        </w:rPr>
        <w:t xml:space="preserve">, </w:t>
      </w:r>
      <w:r w:rsidRPr="00D44516">
        <w:rPr>
          <w:rFonts w:ascii="TimesNewRoman" w:hAnsi="TimesNewRoman" w:cs="TimesNewRoman"/>
          <w:i/>
        </w:rPr>
        <w:t>Schools Workforce</w:t>
      </w:r>
      <w:r w:rsidRPr="00D44516">
        <w:rPr>
          <w:rFonts w:ascii="TimesNewRoman" w:hAnsi="TimesNewRoman" w:cs="TimesNewRoman"/>
        </w:rPr>
        <w:t>, Research Report, Canberra</w:t>
      </w:r>
      <w:r w:rsidR="00105F2D">
        <w:rPr>
          <w:rFonts w:ascii="TimesNewRoman" w:hAnsi="TimesNewRoman" w:cs="TimesNewRoman"/>
        </w:rPr>
        <w:t>, April</w:t>
      </w:r>
      <w:r w:rsidRPr="00D44516">
        <w:rPr>
          <w:rFonts w:ascii="TimesNewRoman" w:hAnsi="TimesNewRoman" w:cs="TimesNewRoman"/>
        </w:rPr>
        <w:t>.</w:t>
      </w:r>
    </w:p>
    <w:p w:rsidR="00822B5A" w:rsidRDefault="00822B5A" w:rsidP="00822B5A">
      <w:pPr>
        <w:pStyle w:val="Reference"/>
      </w:pPr>
      <w:r>
        <w:rPr>
          <w:rFonts w:ascii="TimesNewRoman" w:hAnsi="TimesNewRoman" w:cs="TimesNewRoman"/>
        </w:rPr>
        <w:lastRenderedPageBreak/>
        <w:t>—— </w:t>
      </w:r>
      <w:proofErr w:type="spellStart"/>
      <w:r>
        <w:t>2012b</w:t>
      </w:r>
      <w:proofErr w:type="spellEnd"/>
      <w:r>
        <w:t xml:space="preserve">, </w:t>
      </w:r>
      <w:r w:rsidRPr="00D44516">
        <w:rPr>
          <w:i/>
        </w:rPr>
        <w:t>Electricity Network Regulatory Frameworks</w:t>
      </w:r>
      <w:r>
        <w:t>, Draft Report, Canberra</w:t>
      </w:r>
      <w:r w:rsidR="00105F2D">
        <w:t>, October</w:t>
      </w:r>
      <w:r>
        <w:t>.</w:t>
      </w:r>
    </w:p>
    <w:p w:rsidR="00090C8C" w:rsidRDefault="00090C8C" w:rsidP="00822B5A">
      <w:pPr>
        <w:pStyle w:val="Reference"/>
      </w:pPr>
      <w:r w:rsidRPr="000273FB">
        <w:t>—— </w:t>
      </w:r>
      <w:proofErr w:type="spellStart"/>
      <w:r>
        <w:t>2012c</w:t>
      </w:r>
      <w:proofErr w:type="spellEnd"/>
      <w:r>
        <w:t xml:space="preserve">, </w:t>
      </w:r>
      <w:r>
        <w:rPr>
          <w:i/>
        </w:rPr>
        <w:t xml:space="preserve">Impacts on </w:t>
      </w:r>
      <w:proofErr w:type="spellStart"/>
      <w:r>
        <w:rPr>
          <w:i/>
        </w:rPr>
        <w:t>COAG</w:t>
      </w:r>
      <w:proofErr w:type="spellEnd"/>
      <w:r>
        <w:rPr>
          <w:i/>
        </w:rPr>
        <w:t xml:space="preserve"> Reforms: Business Regulation and VET</w:t>
      </w:r>
      <w:r w:rsidR="00C90240">
        <w:rPr>
          <w:i/>
        </w:rPr>
        <w:t>,</w:t>
      </w:r>
      <w:r w:rsidR="00C90240">
        <w:t xml:space="preserve"> Research Report, Canberra</w:t>
      </w:r>
      <w:r w:rsidR="00105F2D">
        <w:t>, April</w:t>
      </w:r>
      <w:r w:rsidR="008126CF">
        <w:t>.</w:t>
      </w:r>
    </w:p>
    <w:p w:rsidR="00C90240" w:rsidRDefault="00C90240" w:rsidP="00822B5A">
      <w:pPr>
        <w:pStyle w:val="Reference"/>
      </w:pPr>
      <w:r w:rsidRPr="000273FB">
        <w:t>—— </w:t>
      </w:r>
      <w:proofErr w:type="spellStart"/>
      <w:r w:rsidR="008126CF">
        <w:t>2012d</w:t>
      </w:r>
      <w:proofErr w:type="spellEnd"/>
      <w:r>
        <w:t xml:space="preserve"> </w:t>
      </w:r>
      <w:r>
        <w:rPr>
          <w:i/>
        </w:rPr>
        <w:t>Benchmarking of Regulation Impact Assessments,</w:t>
      </w:r>
      <w:r>
        <w:t xml:space="preserve"> Draft Research Report, Canberra</w:t>
      </w:r>
      <w:r w:rsidR="00105F2D">
        <w:t>, August</w:t>
      </w:r>
      <w:r w:rsidR="008126CF">
        <w:t>.</w:t>
      </w:r>
    </w:p>
    <w:p w:rsidR="008126CF" w:rsidRPr="008126CF" w:rsidRDefault="008126CF" w:rsidP="00822B5A">
      <w:pPr>
        <w:pStyle w:val="Reference"/>
      </w:pPr>
      <w:r>
        <w:t xml:space="preserve">—— </w:t>
      </w:r>
      <w:proofErr w:type="spellStart"/>
      <w:r>
        <w:t>2012</w:t>
      </w:r>
      <w:r w:rsidR="00E01F86">
        <w:t>e</w:t>
      </w:r>
      <w:proofErr w:type="spellEnd"/>
      <w:r>
        <w:t xml:space="preserve">, </w:t>
      </w:r>
      <w:r>
        <w:rPr>
          <w:i/>
        </w:rPr>
        <w:t>Trade and Assistance Review</w:t>
      </w:r>
      <w:r w:rsidR="0062743E">
        <w:rPr>
          <w:i/>
        </w:rPr>
        <w:t xml:space="preserve"> 2010-11</w:t>
      </w:r>
      <w:r>
        <w:rPr>
          <w:i/>
        </w:rPr>
        <w:t xml:space="preserve">, </w:t>
      </w:r>
      <w:r>
        <w:t>Annual Report Series, Canberra, May.</w:t>
      </w:r>
    </w:p>
    <w:p w:rsidR="008126CF" w:rsidRDefault="008126CF" w:rsidP="00822B5A">
      <w:pPr>
        <w:pStyle w:val="Reference"/>
      </w:pPr>
      <w:r>
        <w:t xml:space="preserve">—— </w:t>
      </w:r>
      <w:proofErr w:type="spellStart"/>
      <w:r>
        <w:t>2012</w:t>
      </w:r>
      <w:r w:rsidR="00E01F86">
        <w:t>f</w:t>
      </w:r>
      <w:proofErr w:type="spellEnd"/>
      <w:r>
        <w:t xml:space="preserve">, </w:t>
      </w:r>
      <w:r>
        <w:rPr>
          <w:i/>
        </w:rPr>
        <w:t xml:space="preserve">Impacts of </w:t>
      </w:r>
      <w:proofErr w:type="spellStart"/>
      <w:r>
        <w:rPr>
          <w:i/>
        </w:rPr>
        <w:t>COAG</w:t>
      </w:r>
      <w:proofErr w:type="spellEnd"/>
      <w:r>
        <w:rPr>
          <w:i/>
        </w:rPr>
        <w:t xml:space="preserve"> Reforms: Business Regulation and VET,</w:t>
      </w:r>
      <w:r>
        <w:t xml:space="preserve"> Research Report, Canberra, April.</w:t>
      </w:r>
    </w:p>
    <w:p w:rsidR="00E01F86" w:rsidRDefault="00E01F86" w:rsidP="00822B5A">
      <w:pPr>
        <w:pStyle w:val="Reference"/>
      </w:pPr>
      <w:r>
        <w:t xml:space="preserve">—— </w:t>
      </w:r>
      <w:proofErr w:type="spellStart"/>
      <w:r>
        <w:t>2012g</w:t>
      </w:r>
      <w:proofErr w:type="spellEnd"/>
      <w:r>
        <w:t xml:space="preserve">, </w:t>
      </w:r>
      <w:r>
        <w:rPr>
          <w:i/>
        </w:rPr>
        <w:t xml:space="preserve">Regulating Impact Analysis: Benchmarking, </w:t>
      </w:r>
      <w:r w:rsidRPr="00E01F86">
        <w:t>Draft Research Report,</w:t>
      </w:r>
      <w:r>
        <w:t xml:space="preserve"> Canberra, August.</w:t>
      </w:r>
    </w:p>
    <w:p w:rsidR="004253EA" w:rsidRPr="00E01F86" w:rsidRDefault="00163FBC" w:rsidP="00822B5A">
      <w:pPr>
        <w:pStyle w:val="Reference"/>
      </w:pPr>
      <w:r>
        <w:t xml:space="preserve">—— </w:t>
      </w:r>
      <w:proofErr w:type="spellStart"/>
      <w:r w:rsidR="004253EA">
        <w:t>2012h</w:t>
      </w:r>
      <w:proofErr w:type="spellEnd"/>
      <w:r w:rsidR="004253EA">
        <w:t xml:space="preserve">, </w:t>
      </w:r>
      <w:r w:rsidR="004253EA" w:rsidRPr="002E6534">
        <w:rPr>
          <w:i/>
        </w:rPr>
        <w:t>Annual Report 2011-12</w:t>
      </w:r>
      <w:r w:rsidR="004253EA">
        <w:t>, Annual Report Series, Productivity Commission, Canberra.</w:t>
      </w:r>
    </w:p>
    <w:p w:rsidR="008126CF" w:rsidRDefault="008126CF" w:rsidP="00822B5A">
      <w:pPr>
        <w:pStyle w:val="Reference"/>
        <w:rPr>
          <w:rFonts w:ascii="TimesNewRoman" w:hAnsi="TimesNewRoman" w:cs="TimesNewRoman"/>
        </w:rPr>
      </w:pPr>
      <w:proofErr w:type="spellStart"/>
      <w:r>
        <w:rPr>
          <w:rFonts w:ascii="TimesNewRoman" w:hAnsi="TimesNewRoman" w:cs="TimesNewRoman"/>
        </w:rPr>
        <w:t>SCRGS</w:t>
      </w:r>
      <w:r w:rsidR="0062743E">
        <w:rPr>
          <w:rFonts w:ascii="TimesNewRoman" w:hAnsi="TimesNewRoman" w:cs="TimesNewRoman"/>
        </w:rPr>
        <w:t>P</w:t>
      </w:r>
      <w:proofErr w:type="spellEnd"/>
      <w:r>
        <w:rPr>
          <w:rFonts w:ascii="TimesNewRoman" w:hAnsi="TimesNewRoman" w:cs="TimesNewRoman"/>
        </w:rPr>
        <w:t xml:space="preserve"> (Steering Committee for Review of Government Services</w:t>
      </w:r>
      <w:r w:rsidR="0062743E">
        <w:rPr>
          <w:rFonts w:ascii="TimesNewRoman" w:hAnsi="TimesNewRoman" w:cs="TimesNewRoman"/>
        </w:rPr>
        <w:t xml:space="preserve"> Provision</w:t>
      </w:r>
      <w:r>
        <w:rPr>
          <w:rFonts w:ascii="TimesNewRoman" w:hAnsi="TimesNewRoman" w:cs="TimesNewRoman"/>
        </w:rPr>
        <w:t xml:space="preserve">) 2012, </w:t>
      </w:r>
      <w:r>
        <w:rPr>
          <w:rFonts w:ascii="TimesNewRoman" w:hAnsi="TimesNewRoman" w:cs="TimesNewRoman"/>
          <w:i/>
        </w:rPr>
        <w:t xml:space="preserve">Report on Government Services, </w:t>
      </w:r>
      <w:r>
        <w:rPr>
          <w:rFonts w:ascii="TimesNewRoman" w:hAnsi="TimesNewRoman" w:cs="TimesNewRoman"/>
        </w:rPr>
        <w:t xml:space="preserve">2012, </w:t>
      </w:r>
      <w:proofErr w:type="spellStart"/>
      <w:r w:rsidR="006D00C5">
        <w:rPr>
          <w:rFonts w:ascii="TimesNewRoman" w:hAnsi="TimesNewRoman" w:cs="TimesNewRoman"/>
        </w:rPr>
        <w:t>v</w:t>
      </w:r>
      <w:r>
        <w:rPr>
          <w:rFonts w:ascii="TimesNewRoman" w:hAnsi="TimesNewRoman" w:cs="TimesNewRoman"/>
        </w:rPr>
        <w:t>ol</w:t>
      </w:r>
      <w:proofErr w:type="spellEnd"/>
      <w:r>
        <w:rPr>
          <w:rFonts w:ascii="TimesNewRoman" w:hAnsi="TimesNewRoman" w:cs="TimesNewRoman"/>
        </w:rPr>
        <w:t xml:space="preserve"> 1, January.</w:t>
      </w:r>
    </w:p>
    <w:p w:rsidR="007342AB" w:rsidRPr="007342AB" w:rsidRDefault="007342AB" w:rsidP="00822B5A">
      <w:pPr>
        <w:pStyle w:val="Reference"/>
        <w:rPr>
          <w:rFonts w:ascii="TimesNewRoman" w:hAnsi="TimesNewRoman" w:cs="TimesNewRoman"/>
        </w:rPr>
      </w:pPr>
      <w:r>
        <w:rPr>
          <w:rFonts w:ascii="TimesNewRoman" w:hAnsi="TimesNewRoman" w:cs="TimesNewRoman"/>
        </w:rPr>
        <w:t xml:space="preserve">Treasury </w:t>
      </w:r>
      <w:r>
        <w:t xml:space="preserve">2010, </w:t>
      </w:r>
      <w:r>
        <w:rPr>
          <w:i/>
        </w:rPr>
        <w:t>Australia to 2050: Future challenges,</w:t>
      </w:r>
      <w:r>
        <w:t xml:space="preserve"> The 2010 Intergenerational Report, January, prepared by The Australian Treasury, Commonwealth of Australia, Canberra.</w:t>
      </w:r>
    </w:p>
    <w:p w:rsidR="00822B5A" w:rsidRPr="002E3113" w:rsidRDefault="00822B5A" w:rsidP="008975E1">
      <w:pPr>
        <w:pStyle w:val="BodyText"/>
      </w:pPr>
    </w:p>
    <w:sectPr w:rsidR="00822B5A" w:rsidRPr="002E3113" w:rsidSect="0089285E">
      <w:headerReference w:type="even" r:id="rId9"/>
      <w:headerReference w:type="default" r:id="rId10"/>
      <w:footerReference w:type="even" r:id="rId11"/>
      <w:footerReference w:type="default" r:id="rId12"/>
      <w:footnotePr>
        <w:numFmt w:val="chicago"/>
      </w:footnotePr>
      <w:pgSz w:w="11907" w:h="16840" w:code="9"/>
      <w:pgMar w:top="1985" w:right="1304" w:bottom="1418" w:left="1814" w:header="1701" w:footer="567"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C0C" w:rsidRDefault="00C32C0C">
      <w:r>
        <w:separator/>
      </w:r>
    </w:p>
  </w:endnote>
  <w:endnote w:type="continuationSeparator" w:id="0">
    <w:p w:rsidR="00C32C0C" w:rsidRDefault="00C32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510"/>
      <w:gridCol w:w="1644"/>
      <w:gridCol w:w="6634"/>
    </w:tblGrid>
    <w:tr w:rsidR="00C32C0C">
      <w:trPr>
        <w:trHeight w:hRule="exact" w:val="740"/>
      </w:trPr>
      <w:tc>
        <w:tcPr>
          <w:tcW w:w="510" w:type="dxa"/>
          <w:tcBorders>
            <w:top w:val="single" w:sz="6" w:space="0" w:color="auto"/>
          </w:tcBorders>
        </w:tcPr>
        <w:p w:rsidR="00C32C0C" w:rsidRDefault="00C32C0C" w:rsidP="0019293B">
          <w:pPr>
            <w:pStyle w:val="Footer"/>
            <w:tabs>
              <w:tab w:val="left" w:pos="0"/>
            </w:tabs>
            <w:ind w:right="0"/>
            <w:rPr>
              <w:rStyle w:val="PageNumber"/>
            </w:rPr>
          </w:pPr>
          <w:r>
            <w:rPr>
              <w:rStyle w:val="PageNumber"/>
            </w:rPr>
            <w:fldChar w:fldCharType="begin"/>
          </w:r>
          <w:r>
            <w:rPr>
              <w:rStyle w:val="PageNumber"/>
            </w:rPr>
            <w:instrText xml:space="preserve">PAGE  </w:instrText>
          </w:r>
          <w:r>
            <w:rPr>
              <w:rStyle w:val="PageNumber"/>
            </w:rPr>
            <w:fldChar w:fldCharType="separate"/>
          </w:r>
          <w:r w:rsidR="0036540F">
            <w:rPr>
              <w:rStyle w:val="PageNumber"/>
              <w:noProof/>
            </w:rPr>
            <w:t>24</w:t>
          </w:r>
          <w:r>
            <w:rPr>
              <w:rStyle w:val="PageNumber"/>
            </w:rPr>
            <w:fldChar w:fldCharType="end"/>
          </w:r>
        </w:p>
      </w:tc>
      <w:tc>
        <w:tcPr>
          <w:tcW w:w="1644" w:type="dxa"/>
          <w:tcBorders>
            <w:top w:val="single" w:sz="6" w:space="0" w:color="auto"/>
          </w:tcBorders>
        </w:tcPr>
        <w:p w:rsidR="00C32C0C" w:rsidRDefault="00F46035" w:rsidP="0019293B">
          <w:pPr>
            <w:pStyle w:val="Footer"/>
          </w:pPr>
          <w:fldSimple w:instr=" SUBJECT  \* MERGEFORMAT ">
            <w:r w:rsidR="00C32C0C">
              <w:t>Productivity Policies</w:t>
            </w:r>
          </w:fldSimple>
        </w:p>
      </w:tc>
      <w:tc>
        <w:tcPr>
          <w:tcW w:w="6634" w:type="dxa"/>
        </w:tcPr>
        <w:p w:rsidR="00C32C0C" w:rsidRDefault="00C32C0C" w:rsidP="0019293B">
          <w:pPr>
            <w:pStyle w:val="Footer"/>
          </w:pPr>
        </w:p>
      </w:tc>
    </w:tr>
  </w:tbl>
  <w:p w:rsidR="00C32C0C" w:rsidRDefault="00C32C0C"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634"/>
      <w:gridCol w:w="1644"/>
      <w:gridCol w:w="510"/>
    </w:tblGrid>
    <w:tr w:rsidR="00C32C0C">
      <w:trPr>
        <w:trHeight w:hRule="exact" w:val="740"/>
      </w:trPr>
      <w:tc>
        <w:tcPr>
          <w:tcW w:w="6634" w:type="dxa"/>
        </w:tcPr>
        <w:p w:rsidR="00C32C0C" w:rsidRDefault="00C32C0C">
          <w:pPr>
            <w:pStyle w:val="Footer"/>
            <w:ind w:right="360" w:firstLine="360"/>
          </w:pPr>
        </w:p>
      </w:tc>
      <w:tc>
        <w:tcPr>
          <w:tcW w:w="1644" w:type="dxa"/>
          <w:tcBorders>
            <w:top w:val="single" w:sz="6" w:space="0" w:color="auto"/>
          </w:tcBorders>
        </w:tcPr>
        <w:p w:rsidR="00C32C0C" w:rsidRDefault="00F46035">
          <w:pPr>
            <w:pStyle w:val="Footer"/>
          </w:pPr>
          <w:fldSimple w:instr=" TITLE  \* MERGEFORMAT ">
            <w:r w:rsidR="00C32C0C">
              <w:t>Productivity policies</w:t>
            </w:r>
          </w:fldSimple>
        </w:p>
      </w:tc>
      <w:tc>
        <w:tcPr>
          <w:tcW w:w="510" w:type="dxa"/>
          <w:tcBorders>
            <w:top w:val="single" w:sz="6" w:space="0" w:color="auto"/>
          </w:tcBorders>
        </w:tcPr>
        <w:p w:rsidR="00C32C0C" w:rsidRDefault="00C32C0C">
          <w:pPr>
            <w:pStyle w:val="Footer"/>
            <w:jc w:val="right"/>
          </w:pPr>
          <w:r>
            <w:rPr>
              <w:rStyle w:val="PageNumber"/>
            </w:rPr>
            <w:fldChar w:fldCharType="begin"/>
          </w:r>
          <w:r>
            <w:rPr>
              <w:rStyle w:val="PageNumber"/>
            </w:rPr>
            <w:instrText xml:space="preserve">PAGE  </w:instrText>
          </w:r>
          <w:r>
            <w:rPr>
              <w:rStyle w:val="PageNumber"/>
            </w:rPr>
            <w:fldChar w:fldCharType="separate"/>
          </w:r>
          <w:r w:rsidR="0036540F">
            <w:rPr>
              <w:rStyle w:val="PageNumber"/>
              <w:noProof/>
            </w:rPr>
            <w:t>1</w:t>
          </w:r>
          <w:r>
            <w:rPr>
              <w:rStyle w:val="PageNumber"/>
            </w:rPr>
            <w:fldChar w:fldCharType="end"/>
          </w:r>
        </w:p>
      </w:tc>
    </w:tr>
  </w:tbl>
  <w:p w:rsidR="00C32C0C" w:rsidRDefault="00C32C0C">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C0C" w:rsidRDefault="00C32C0C">
      <w:r>
        <w:separator/>
      </w:r>
    </w:p>
  </w:footnote>
  <w:footnote w:type="continuationSeparator" w:id="0">
    <w:p w:rsidR="00C32C0C" w:rsidRDefault="00C32C0C">
      <w:r>
        <w:continuationSeparator/>
      </w:r>
    </w:p>
  </w:footnote>
  <w:footnote w:id="1">
    <w:p w:rsidR="00C32C0C" w:rsidRDefault="00C32C0C">
      <w:pPr>
        <w:pStyle w:val="FootnoteText"/>
      </w:pPr>
      <w:r>
        <w:rPr>
          <w:rStyle w:val="FootnoteReference"/>
        </w:rPr>
        <w:footnoteRef/>
      </w:r>
      <w:r>
        <w:t xml:space="preserve"> Economic and Social Outlook Conference, ‘Securing the Future’, Melbourne, </w:t>
      </w:r>
      <w:r w:rsidR="00B21CDC">
        <w:t>1</w:t>
      </w:r>
      <w:r w:rsidR="00772013">
        <w:t xml:space="preserve"> </w:t>
      </w:r>
      <w:r>
        <w:t>November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C32C0C">
      <w:tc>
        <w:tcPr>
          <w:tcW w:w="2155" w:type="dxa"/>
          <w:tcBorders>
            <w:top w:val="single" w:sz="24" w:space="0" w:color="auto"/>
          </w:tcBorders>
        </w:tcPr>
        <w:p w:rsidR="00C32C0C" w:rsidRDefault="00C32C0C" w:rsidP="0019293B">
          <w:pPr>
            <w:pStyle w:val="HeaderEven"/>
          </w:pPr>
        </w:p>
      </w:tc>
      <w:tc>
        <w:tcPr>
          <w:tcW w:w="6634" w:type="dxa"/>
          <w:tcBorders>
            <w:top w:val="single" w:sz="6" w:space="0" w:color="auto"/>
          </w:tcBorders>
        </w:tcPr>
        <w:p w:rsidR="00C32C0C" w:rsidRDefault="00C32C0C" w:rsidP="0019293B">
          <w:pPr>
            <w:pStyle w:val="HeaderEven"/>
          </w:pPr>
        </w:p>
      </w:tc>
    </w:tr>
  </w:tbl>
  <w:p w:rsidR="00C32C0C" w:rsidRDefault="00C32C0C"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C32C0C">
      <w:tc>
        <w:tcPr>
          <w:tcW w:w="6634" w:type="dxa"/>
          <w:tcBorders>
            <w:top w:val="single" w:sz="6" w:space="0" w:color="auto"/>
          </w:tcBorders>
        </w:tcPr>
        <w:p w:rsidR="00C32C0C" w:rsidRDefault="00C32C0C" w:rsidP="00E669E2">
          <w:pPr>
            <w:pStyle w:val="HeaderOdd"/>
          </w:pPr>
        </w:p>
      </w:tc>
      <w:tc>
        <w:tcPr>
          <w:tcW w:w="2155" w:type="dxa"/>
          <w:tcBorders>
            <w:top w:val="single" w:sz="24" w:space="0" w:color="auto"/>
          </w:tcBorders>
        </w:tcPr>
        <w:p w:rsidR="00C32C0C" w:rsidRDefault="00C32C0C" w:rsidP="00E669E2">
          <w:pPr>
            <w:pStyle w:val="HeaderOdd"/>
          </w:pPr>
        </w:p>
      </w:tc>
    </w:tr>
  </w:tbl>
  <w:p w:rsidR="00C32C0C" w:rsidRDefault="00C32C0C"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ED98921A"/>
    <w:lvl w:ilvl="0">
      <w:start w:val="1"/>
      <w:numFmt w:val="decimal"/>
      <w:lvlText w:val="%1."/>
      <w:lvlJc w:val="left"/>
      <w:pPr>
        <w:tabs>
          <w:tab w:val="num" w:pos="926"/>
        </w:tabs>
        <w:ind w:left="926" w:hanging="360"/>
      </w:pPr>
    </w:lvl>
  </w:abstractNum>
  <w:abstractNum w:abstractNumId="1">
    <w:nsid w:val="FFFFFF7F"/>
    <w:multiLevelType w:val="singleLevel"/>
    <w:tmpl w:val="69042E6A"/>
    <w:lvl w:ilvl="0">
      <w:start w:val="1"/>
      <w:numFmt w:val="decimal"/>
      <w:lvlText w:val="%1."/>
      <w:lvlJc w:val="left"/>
      <w:pPr>
        <w:tabs>
          <w:tab w:val="num" w:pos="643"/>
        </w:tabs>
        <w:ind w:left="643" w:hanging="360"/>
      </w:pPr>
    </w:lvl>
  </w:abstractNum>
  <w:abstractNum w:abstractNumId="2">
    <w:nsid w:val="FFFFFF82"/>
    <w:multiLevelType w:val="singleLevel"/>
    <w:tmpl w:val="3A3A2F0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93104AE2"/>
    <w:lvl w:ilvl="0">
      <w:start w:val="1"/>
      <w:numFmt w:val="decimal"/>
      <w:lvlText w:val="%1."/>
      <w:lvlJc w:val="left"/>
      <w:pPr>
        <w:tabs>
          <w:tab w:val="num" w:pos="360"/>
        </w:tabs>
        <w:ind w:left="360" w:hanging="360"/>
      </w:pPr>
    </w:lvl>
  </w:abstractNum>
  <w:abstractNum w:abstractNumId="5">
    <w:nsid w:val="FFFFFF89"/>
    <w:multiLevelType w:val="singleLevel"/>
    <w:tmpl w:val="0F36FBA8"/>
    <w:lvl w:ilvl="0">
      <w:start w:val="1"/>
      <w:numFmt w:val="bullet"/>
      <w:lvlText w:val=""/>
      <w:lvlJc w:val="left"/>
      <w:pPr>
        <w:tabs>
          <w:tab w:val="num" w:pos="360"/>
        </w:tabs>
        <w:ind w:left="360" w:hanging="360"/>
      </w:pPr>
      <w:rPr>
        <w:rFonts w:ascii="Symbol" w:hAnsi="Symbol" w:hint="default"/>
      </w:rPr>
    </w:lvl>
  </w:abstractNum>
  <w:abstractNum w:abstractNumId="6">
    <w:nsid w:val="FFFFFFFE"/>
    <w:multiLevelType w:val="singleLevel"/>
    <w:tmpl w:val="FFFFFFFF"/>
    <w:lvl w:ilvl="0">
      <w:numFmt w:val="decimal"/>
      <w:lvlText w:val="*"/>
      <w:lvlJc w:val="left"/>
    </w:lvl>
  </w:abstractNum>
  <w:abstractNum w:abstractNumId="7">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033F2413"/>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1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1">
    <w:nsid w:val="06791123"/>
    <w:multiLevelType w:val="hybridMultilevel"/>
    <w:tmpl w:val="5F14156E"/>
    <w:lvl w:ilvl="0" w:tplc="2BD04F64">
      <w:numFmt w:val="bullet"/>
      <w:lvlText w:val=""/>
      <w:lvlJc w:val="left"/>
      <w:pPr>
        <w:ind w:left="1004" w:hanging="360"/>
      </w:pPr>
      <w:rPr>
        <w:rFonts w:ascii="MT Extra" w:hAnsi="MT Extra" w:cs="Times New Roman"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nsid w:val="07057F34"/>
    <w:multiLevelType w:val="singleLevel"/>
    <w:tmpl w:val="ED98921A"/>
    <w:lvl w:ilvl="0">
      <w:start w:val="1"/>
      <w:numFmt w:val="decimal"/>
      <w:lvlText w:val="%1."/>
      <w:legacy w:legacy="1" w:legacySpace="0" w:legacyIndent="340"/>
      <w:lvlJc w:val="left"/>
      <w:pPr>
        <w:ind w:left="340" w:hanging="340"/>
      </w:pPr>
    </w:lvl>
  </w:abstractNum>
  <w:abstractNum w:abstractNumId="13">
    <w:nsid w:val="07405C8A"/>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7">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8">
    <w:nsid w:val="27371796"/>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21">
    <w:nsid w:val="39C335C1"/>
    <w:multiLevelType w:val="multilevel"/>
    <w:tmpl w:val="7DF6C670"/>
    <w:lvl w:ilvl="0">
      <w:start w:val="1"/>
      <w:numFmt w:val="decimal"/>
      <w:lvlText w:val="%1)"/>
      <w:lvlJc w:val="left"/>
      <w:pPr>
        <w:tabs>
          <w:tab w:val="num" w:pos="1134"/>
        </w:tabs>
        <w:ind w:left="1134" w:hanging="340"/>
      </w:pPr>
      <w:rPr>
        <w:rFonts w:hint="default"/>
      </w:rPr>
    </w:lvl>
    <w:lvl w:ilvl="1">
      <w:start w:val="1"/>
      <w:numFmt w:val="lowerLetter"/>
      <w:lvlText w:val="%2)"/>
      <w:lvlJc w:val="left"/>
      <w:pPr>
        <w:tabs>
          <w:tab w:val="num" w:pos="1588"/>
        </w:tabs>
        <w:ind w:left="1588" w:hanging="454"/>
      </w:pPr>
      <w:rPr>
        <w:rFonts w:hint="default"/>
      </w:rPr>
    </w:lvl>
    <w:lvl w:ilvl="2">
      <w:start w:val="1"/>
      <w:numFmt w:val="lowerRoman"/>
      <w:lvlText w:val="%3)"/>
      <w:lvlJc w:val="left"/>
      <w:pPr>
        <w:tabs>
          <w:tab w:val="num" w:pos="2098"/>
        </w:tabs>
        <w:ind w:left="2098" w:hanging="51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22">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D212809"/>
    <w:multiLevelType w:val="hybridMultilevel"/>
    <w:tmpl w:val="01EE78F8"/>
    <w:lvl w:ilvl="0" w:tplc="FEF0DFD2">
      <w:start w:val="1"/>
      <w:numFmt w:val="bullet"/>
      <w:lvlText w:val="–"/>
      <w:lvlJc w:val="left"/>
      <w:pPr>
        <w:ind w:left="700" w:hanging="360"/>
      </w:pPr>
      <w:rPr>
        <w:rFonts w:ascii="Times New Roman" w:hAnsi="Times New Roman" w:cs="Times New Roman" w:hint="default"/>
        <w:b w:val="0"/>
        <w:i w:val="0"/>
        <w:sz w:val="18"/>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4">
    <w:nsid w:val="51F74561"/>
    <w:multiLevelType w:val="singleLevel"/>
    <w:tmpl w:val="ED98921A"/>
    <w:lvl w:ilvl="0">
      <w:start w:val="1"/>
      <w:numFmt w:val="decimal"/>
      <w:lvlText w:val="%1."/>
      <w:legacy w:legacy="1" w:legacySpace="0" w:legacyIndent="340"/>
      <w:lvlJc w:val="left"/>
      <w:pPr>
        <w:ind w:left="340" w:hanging="340"/>
      </w:pPr>
    </w:lvl>
  </w:abstractNum>
  <w:abstractNum w:abstractNumId="25">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6">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7">
    <w:nsid w:val="55532592"/>
    <w:multiLevelType w:val="singleLevel"/>
    <w:tmpl w:val="AD60D3B8"/>
    <w:lvl w:ilvl="0">
      <w:start w:val="1"/>
      <w:numFmt w:val="lowerLetter"/>
      <w:lvlText w:val="(%1)"/>
      <w:legacy w:legacy="1" w:legacySpace="0" w:legacyIndent="340"/>
      <w:lvlJc w:val="left"/>
      <w:pPr>
        <w:ind w:left="680" w:hanging="340"/>
      </w:pPr>
    </w:lvl>
  </w:abstractNum>
  <w:abstractNum w:abstractNumId="28">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9">
    <w:nsid w:val="58A04AF2"/>
    <w:multiLevelType w:val="singleLevel"/>
    <w:tmpl w:val="E9806908"/>
    <w:lvl w:ilvl="0">
      <w:start w:val="1"/>
      <w:numFmt w:val="lowerRoman"/>
      <w:lvlText w:val="(%1)"/>
      <w:legacy w:legacy="1" w:legacySpace="0" w:legacyIndent="340"/>
      <w:lvlJc w:val="left"/>
      <w:pPr>
        <w:ind w:left="1134" w:hanging="340"/>
      </w:pPr>
    </w:lvl>
  </w:abstractNum>
  <w:abstractNum w:abstractNumId="3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1">
    <w:nsid w:val="5A096576"/>
    <w:multiLevelType w:val="singleLevel"/>
    <w:tmpl w:val="ED98921A"/>
    <w:lvl w:ilvl="0">
      <w:start w:val="1"/>
      <w:numFmt w:val="decimal"/>
      <w:lvlText w:val="%1."/>
      <w:legacy w:legacy="1" w:legacySpace="0" w:legacyIndent="340"/>
      <w:lvlJc w:val="left"/>
      <w:pPr>
        <w:ind w:left="340" w:hanging="340"/>
      </w:pPr>
    </w:lvl>
  </w:abstractNum>
  <w:abstractNum w:abstractNumId="32">
    <w:nsid w:val="5BB56A48"/>
    <w:multiLevelType w:val="multilevel"/>
    <w:tmpl w:val="6D248CEA"/>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60055F7F"/>
    <w:multiLevelType w:val="singleLevel"/>
    <w:tmpl w:val="ED98921A"/>
    <w:lvl w:ilvl="0">
      <w:start w:val="1"/>
      <w:numFmt w:val="decimal"/>
      <w:lvlText w:val="%1."/>
      <w:legacy w:legacy="1" w:legacySpace="0" w:legacyIndent="340"/>
      <w:lvlJc w:val="left"/>
      <w:pPr>
        <w:ind w:left="340" w:hanging="340"/>
      </w:pPr>
    </w:lvl>
  </w:abstractNum>
  <w:abstractNum w:abstractNumId="34">
    <w:nsid w:val="608E741E"/>
    <w:multiLevelType w:val="singleLevel"/>
    <w:tmpl w:val="ED98921A"/>
    <w:lvl w:ilvl="0">
      <w:start w:val="1"/>
      <w:numFmt w:val="decimal"/>
      <w:lvlText w:val="%1."/>
      <w:legacy w:legacy="1" w:legacySpace="0" w:legacyIndent="340"/>
      <w:lvlJc w:val="left"/>
      <w:pPr>
        <w:ind w:left="340" w:hanging="340"/>
      </w:pPr>
    </w:lvl>
  </w:abstractNum>
  <w:abstractNum w:abstractNumId="35">
    <w:nsid w:val="61320C1E"/>
    <w:multiLevelType w:val="singleLevel"/>
    <w:tmpl w:val="C444122C"/>
    <w:lvl w:ilvl="0">
      <w:start w:val="1"/>
      <w:numFmt w:val="decimal"/>
      <w:lvlText w:val="%1."/>
      <w:legacy w:legacy="1" w:legacySpace="0" w:legacyIndent="284"/>
      <w:lvlJc w:val="left"/>
      <w:pPr>
        <w:ind w:left="284" w:hanging="284"/>
      </w:pPr>
    </w:lvl>
  </w:abstractNum>
  <w:abstractNum w:abstractNumId="36">
    <w:nsid w:val="627154D2"/>
    <w:multiLevelType w:val="singleLevel"/>
    <w:tmpl w:val="AD60D3B8"/>
    <w:lvl w:ilvl="0">
      <w:start w:val="1"/>
      <w:numFmt w:val="lowerLetter"/>
      <w:lvlText w:val="(%1)"/>
      <w:legacy w:legacy="1" w:legacySpace="0" w:legacyIndent="340"/>
      <w:lvlJc w:val="left"/>
      <w:pPr>
        <w:ind w:left="680" w:hanging="340"/>
      </w:pPr>
    </w:lvl>
  </w:abstractNum>
  <w:abstractNum w:abstractNumId="37">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38">
    <w:nsid w:val="67806EB5"/>
    <w:multiLevelType w:val="singleLevel"/>
    <w:tmpl w:val="AD60D3B8"/>
    <w:lvl w:ilvl="0">
      <w:start w:val="1"/>
      <w:numFmt w:val="lowerLetter"/>
      <w:lvlText w:val="(%1)"/>
      <w:legacy w:legacy="1" w:legacySpace="0" w:legacyIndent="340"/>
      <w:lvlJc w:val="left"/>
      <w:pPr>
        <w:ind w:left="680" w:hanging="340"/>
      </w:pPr>
    </w:lvl>
  </w:abstractNum>
  <w:abstractNum w:abstractNumId="39">
    <w:nsid w:val="707E6FEC"/>
    <w:multiLevelType w:val="singleLevel"/>
    <w:tmpl w:val="E9806908"/>
    <w:lvl w:ilvl="0">
      <w:start w:val="1"/>
      <w:numFmt w:val="lowerRoman"/>
      <w:lvlText w:val="(%1)"/>
      <w:legacy w:legacy="1" w:legacySpace="0" w:legacyIndent="340"/>
      <w:lvlJc w:val="left"/>
      <w:pPr>
        <w:ind w:left="1134" w:hanging="340"/>
      </w:pPr>
    </w:lvl>
  </w:abstractNum>
  <w:abstractNum w:abstractNumId="40">
    <w:nsid w:val="746E6DCF"/>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74E25280"/>
    <w:multiLevelType w:val="singleLevel"/>
    <w:tmpl w:val="AD60D3B8"/>
    <w:lvl w:ilvl="0">
      <w:start w:val="1"/>
      <w:numFmt w:val="lowerLetter"/>
      <w:lvlText w:val="(%1)"/>
      <w:legacy w:legacy="1" w:legacySpace="0" w:legacyIndent="340"/>
      <w:lvlJc w:val="left"/>
      <w:pPr>
        <w:ind w:left="680" w:hanging="340"/>
      </w:pPr>
    </w:lvl>
  </w:abstractNum>
  <w:abstractNum w:abstractNumId="42">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43">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44">
    <w:nsid w:val="7F5B19C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0"/>
  </w:num>
  <w:num w:numId="2">
    <w:abstractNumId w:val="10"/>
  </w:num>
  <w:num w:numId="3">
    <w:abstractNumId w:val="42"/>
  </w:num>
  <w:num w:numId="4">
    <w:abstractNumId w:val="7"/>
  </w:num>
  <w:num w:numId="5">
    <w:abstractNumId w:val="5"/>
  </w:num>
  <w:num w:numId="6">
    <w:abstractNumId w:val="25"/>
  </w:num>
  <w:num w:numId="7">
    <w:abstractNumId w:val="3"/>
  </w:num>
  <w:num w:numId="8">
    <w:abstractNumId w:val="9"/>
  </w:num>
  <w:num w:numId="9">
    <w:abstractNumId w:val="2"/>
  </w:num>
  <w:num w:numId="10">
    <w:abstractNumId w:val="37"/>
  </w:num>
  <w:num w:numId="11">
    <w:abstractNumId w:val="4"/>
  </w:num>
  <w:num w:numId="12">
    <w:abstractNumId w:val="1"/>
  </w:num>
  <w:num w:numId="13">
    <w:abstractNumId w:val="0"/>
  </w:num>
  <w:num w:numId="14">
    <w:abstractNumId w:val="28"/>
  </w:num>
  <w:num w:numId="15">
    <w:abstractNumId w:val="43"/>
  </w:num>
  <w:num w:numId="16">
    <w:abstractNumId w:val="17"/>
  </w:num>
  <w:num w:numId="17">
    <w:abstractNumId w:val="16"/>
  </w:num>
  <w:num w:numId="18">
    <w:abstractNumId w:val="26"/>
  </w:num>
  <w:num w:numId="19">
    <w:abstractNumId w:val="12"/>
  </w:num>
  <w:num w:numId="20">
    <w:abstractNumId w:val="34"/>
  </w:num>
  <w:num w:numId="21">
    <w:abstractNumId w:val="36"/>
  </w:num>
  <w:num w:numId="22">
    <w:abstractNumId w:val="24"/>
  </w:num>
  <w:num w:numId="23">
    <w:abstractNumId w:val="27"/>
  </w:num>
  <w:num w:numId="24">
    <w:abstractNumId w:val="29"/>
  </w:num>
  <w:num w:numId="25">
    <w:abstractNumId w:val="41"/>
  </w:num>
  <w:num w:numId="26">
    <w:abstractNumId w:val="33"/>
  </w:num>
  <w:num w:numId="27">
    <w:abstractNumId w:val="38"/>
  </w:num>
  <w:num w:numId="28">
    <w:abstractNumId w:val="39"/>
  </w:num>
  <w:num w:numId="29">
    <w:abstractNumId w:val="31"/>
  </w:num>
  <w:num w:numId="30">
    <w:abstractNumId w:val="21"/>
  </w:num>
  <w:num w:numId="31">
    <w:abstractNumId w:val="44"/>
  </w:num>
  <w:num w:numId="32">
    <w:abstractNumId w:val="15"/>
  </w:num>
  <w:num w:numId="33">
    <w:abstractNumId w:val="8"/>
  </w:num>
  <w:num w:numId="34">
    <w:abstractNumId w:val="18"/>
  </w:num>
  <w:num w:numId="35">
    <w:abstractNumId w:val="40"/>
  </w:num>
  <w:num w:numId="36">
    <w:abstractNumId w:val="32"/>
  </w:num>
  <w:num w:numId="37">
    <w:abstractNumId w:val="13"/>
  </w:num>
  <w:num w:numId="38">
    <w:abstractNumId w:val="35"/>
  </w:num>
  <w:num w:numId="39">
    <w:abstractNumId w:val="14"/>
  </w:num>
  <w:num w:numId="40">
    <w:abstractNumId w:val="17"/>
  </w:num>
  <w:num w:numId="41">
    <w:abstractNumId w:val="9"/>
  </w:num>
  <w:num w:numId="42">
    <w:abstractNumId w:val="23"/>
  </w:num>
  <w:num w:numId="43">
    <w:abstractNumId w:val="6"/>
    <w:lvlOverride w:ilvl="0">
      <w:lvl w:ilvl="0">
        <w:start w:val="1"/>
        <w:numFmt w:val="bullet"/>
        <w:lvlText w:val=""/>
        <w:legacy w:legacy="1" w:legacySpace="0" w:legacyIndent="340"/>
        <w:lvlJc w:val="left"/>
        <w:pPr>
          <w:ind w:left="340" w:hanging="340"/>
        </w:pPr>
        <w:rPr>
          <w:rFonts w:ascii="Symbol" w:hAnsi="Symbol" w:hint="default"/>
          <w:sz w:val="18"/>
        </w:rPr>
      </w:lvl>
    </w:lvlOverride>
  </w:num>
  <w:num w:numId="44">
    <w:abstractNumId w:val="11"/>
  </w:num>
  <w:num w:numId="45">
    <w:abstractNumId w:val="19"/>
  </w:num>
  <w:num w:numId="46">
    <w:abstractNumId w:val="22"/>
  </w:num>
  <w:num w:numId="47">
    <w:abstractNumId w:val="10"/>
  </w:num>
  <w:num w:numId="48">
    <w:abstractNumId w:val="30"/>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532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Productivity policies"/>
    <w:docVar w:name="ShortReportTitle" w:val="Productivity Policies"/>
  </w:docVars>
  <w:rsids>
    <w:rsidRoot w:val="00BF255F"/>
    <w:rsid w:val="00011022"/>
    <w:rsid w:val="00011E88"/>
    <w:rsid w:val="0001281B"/>
    <w:rsid w:val="00015444"/>
    <w:rsid w:val="00015697"/>
    <w:rsid w:val="00017F1C"/>
    <w:rsid w:val="000220B5"/>
    <w:rsid w:val="000227D5"/>
    <w:rsid w:val="000245AA"/>
    <w:rsid w:val="000341FD"/>
    <w:rsid w:val="0003664B"/>
    <w:rsid w:val="00036A0B"/>
    <w:rsid w:val="0004111F"/>
    <w:rsid w:val="000434F8"/>
    <w:rsid w:val="000528A6"/>
    <w:rsid w:val="000565B3"/>
    <w:rsid w:val="00057E45"/>
    <w:rsid w:val="0006278A"/>
    <w:rsid w:val="00064CA4"/>
    <w:rsid w:val="0007150B"/>
    <w:rsid w:val="00073E92"/>
    <w:rsid w:val="000770D5"/>
    <w:rsid w:val="00090C8C"/>
    <w:rsid w:val="000938F5"/>
    <w:rsid w:val="00096E55"/>
    <w:rsid w:val="000A5484"/>
    <w:rsid w:val="000B3536"/>
    <w:rsid w:val="000B517E"/>
    <w:rsid w:val="000B601B"/>
    <w:rsid w:val="000B601E"/>
    <w:rsid w:val="000C1B4D"/>
    <w:rsid w:val="000C207E"/>
    <w:rsid w:val="000C29A7"/>
    <w:rsid w:val="000D1035"/>
    <w:rsid w:val="000E2F67"/>
    <w:rsid w:val="000E39C0"/>
    <w:rsid w:val="000E5FE3"/>
    <w:rsid w:val="000F0035"/>
    <w:rsid w:val="000F14D3"/>
    <w:rsid w:val="000F420B"/>
    <w:rsid w:val="000F5CCA"/>
    <w:rsid w:val="001017DC"/>
    <w:rsid w:val="0010340A"/>
    <w:rsid w:val="00103C91"/>
    <w:rsid w:val="00105F2D"/>
    <w:rsid w:val="00110116"/>
    <w:rsid w:val="00112E71"/>
    <w:rsid w:val="00115A9E"/>
    <w:rsid w:val="00120072"/>
    <w:rsid w:val="00121AFC"/>
    <w:rsid w:val="00122088"/>
    <w:rsid w:val="001238EA"/>
    <w:rsid w:val="00123E3B"/>
    <w:rsid w:val="001244EA"/>
    <w:rsid w:val="00125030"/>
    <w:rsid w:val="00125B44"/>
    <w:rsid w:val="00126C15"/>
    <w:rsid w:val="00126EB8"/>
    <w:rsid w:val="001274D4"/>
    <w:rsid w:val="00132856"/>
    <w:rsid w:val="00135C55"/>
    <w:rsid w:val="001363AA"/>
    <w:rsid w:val="001437CD"/>
    <w:rsid w:val="0014544B"/>
    <w:rsid w:val="001528CD"/>
    <w:rsid w:val="00163FBC"/>
    <w:rsid w:val="00174241"/>
    <w:rsid w:val="00183E82"/>
    <w:rsid w:val="001853B0"/>
    <w:rsid w:val="00185D5C"/>
    <w:rsid w:val="001878BB"/>
    <w:rsid w:val="0019085F"/>
    <w:rsid w:val="00191AE0"/>
    <w:rsid w:val="0019293B"/>
    <w:rsid w:val="00192973"/>
    <w:rsid w:val="001930A1"/>
    <w:rsid w:val="00193893"/>
    <w:rsid w:val="00195E01"/>
    <w:rsid w:val="001B0919"/>
    <w:rsid w:val="001B24E8"/>
    <w:rsid w:val="001C0865"/>
    <w:rsid w:val="001C3ABA"/>
    <w:rsid w:val="001C7AFE"/>
    <w:rsid w:val="001D07ED"/>
    <w:rsid w:val="001D55EB"/>
    <w:rsid w:val="001E0630"/>
    <w:rsid w:val="001E3C77"/>
    <w:rsid w:val="001E67B2"/>
    <w:rsid w:val="001E7BE8"/>
    <w:rsid w:val="001F0248"/>
    <w:rsid w:val="001F3EB3"/>
    <w:rsid w:val="001F4F86"/>
    <w:rsid w:val="00202C2C"/>
    <w:rsid w:val="00210390"/>
    <w:rsid w:val="00210F8A"/>
    <w:rsid w:val="002128F8"/>
    <w:rsid w:val="002135AB"/>
    <w:rsid w:val="002144BE"/>
    <w:rsid w:val="00217610"/>
    <w:rsid w:val="00221F13"/>
    <w:rsid w:val="00224456"/>
    <w:rsid w:val="0022659A"/>
    <w:rsid w:val="00227B51"/>
    <w:rsid w:val="0023408A"/>
    <w:rsid w:val="00235B9B"/>
    <w:rsid w:val="00242279"/>
    <w:rsid w:val="00243653"/>
    <w:rsid w:val="00245C82"/>
    <w:rsid w:val="00245D07"/>
    <w:rsid w:val="0025410C"/>
    <w:rsid w:val="002569B1"/>
    <w:rsid w:val="002613D1"/>
    <w:rsid w:val="002650B4"/>
    <w:rsid w:val="00267BD7"/>
    <w:rsid w:val="00281BF1"/>
    <w:rsid w:val="00282B78"/>
    <w:rsid w:val="00291B40"/>
    <w:rsid w:val="00295BB9"/>
    <w:rsid w:val="002977B0"/>
    <w:rsid w:val="002A152B"/>
    <w:rsid w:val="002A4CC7"/>
    <w:rsid w:val="002B19F6"/>
    <w:rsid w:val="002B4008"/>
    <w:rsid w:val="002C49FA"/>
    <w:rsid w:val="002C7BFA"/>
    <w:rsid w:val="002D0E8E"/>
    <w:rsid w:val="002E0D05"/>
    <w:rsid w:val="002E3113"/>
    <w:rsid w:val="002E6534"/>
    <w:rsid w:val="00301189"/>
    <w:rsid w:val="00313309"/>
    <w:rsid w:val="00323E09"/>
    <w:rsid w:val="00330D1B"/>
    <w:rsid w:val="00333932"/>
    <w:rsid w:val="00341581"/>
    <w:rsid w:val="00343986"/>
    <w:rsid w:val="003516A9"/>
    <w:rsid w:val="003518AA"/>
    <w:rsid w:val="00352165"/>
    <w:rsid w:val="00352DAC"/>
    <w:rsid w:val="00353182"/>
    <w:rsid w:val="003565D9"/>
    <w:rsid w:val="003602E1"/>
    <w:rsid w:val="0036053C"/>
    <w:rsid w:val="00361236"/>
    <w:rsid w:val="0036224B"/>
    <w:rsid w:val="00362AE5"/>
    <w:rsid w:val="0036540F"/>
    <w:rsid w:val="00365C16"/>
    <w:rsid w:val="0037026F"/>
    <w:rsid w:val="00371240"/>
    <w:rsid w:val="00374731"/>
    <w:rsid w:val="00376E59"/>
    <w:rsid w:val="003860E6"/>
    <w:rsid w:val="003919F9"/>
    <w:rsid w:val="00393609"/>
    <w:rsid w:val="003947C4"/>
    <w:rsid w:val="003A61FE"/>
    <w:rsid w:val="003A79E0"/>
    <w:rsid w:val="003B4655"/>
    <w:rsid w:val="003B4B75"/>
    <w:rsid w:val="003B5BE8"/>
    <w:rsid w:val="003C38B5"/>
    <w:rsid w:val="003C5D99"/>
    <w:rsid w:val="003D133A"/>
    <w:rsid w:val="003D55CD"/>
    <w:rsid w:val="003E0E99"/>
    <w:rsid w:val="003E2F59"/>
    <w:rsid w:val="003E363F"/>
    <w:rsid w:val="003E4DB6"/>
    <w:rsid w:val="003E5880"/>
    <w:rsid w:val="003E5973"/>
    <w:rsid w:val="003F0789"/>
    <w:rsid w:val="003F08A0"/>
    <w:rsid w:val="003F5862"/>
    <w:rsid w:val="00401882"/>
    <w:rsid w:val="004100C8"/>
    <w:rsid w:val="00411DBD"/>
    <w:rsid w:val="00411E46"/>
    <w:rsid w:val="00412ACE"/>
    <w:rsid w:val="00423FD0"/>
    <w:rsid w:val="00424897"/>
    <w:rsid w:val="00424941"/>
    <w:rsid w:val="004253EA"/>
    <w:rsid w:val="004255A3"/>
    <w:rsid w:val="00430AD9"/>
    <w:rsid w:val="00431249"/>
    <w:rsid w:val="00434C19"/>
    <w:rsid w:val="0043545C"/>
    <w:rsid w:val="004365D7"/>
    <w:rsid w:val="00440A52"/>
    <w:rsid w:val="004411BB"/>
    <w:rsid w:val="00444EFE"/>
    <w:rsid w:val="00450810"/>
    <w:rsid w:val="00453BFF"/>
    <w:rsid w:val="00474A2B"/>
    <w:rsid w:val="00477144"/>
    <w:rsid w:val="00477A11"/>
    <w:rsid w:val="00483DDB"/>
    <w:rsid w:val="00486872"/>
    <w:rsid w:val="00491380"/>
    <w:rsid w:val="00492D65"/>
    <w:rsid w:val="0049459F"/>
    <w:rsid w:val="00494834"/>
    <w:rsid w:val="00495C87"/>
    <w:rsid w:val="00497F23"/>
    <w:rsid w:val="004A339B"/>
    <w:rsid w:val="004A38DD"/>
    <w:rsid w:val="004A3A5F"/>
    <w:rsid w:val="004A6C6B"/>
    <w:rsid w:val="004B43AE"/>
    <w:rsid w:val="004B464A"/>
    <w:rsid w:val="004C2476"/>
    <w:rsid w:val="004C306E"/>
    <w:rsid w:val="004C30ED"/>
    <w:rsid w:val="004C426D"/>
    <w:rsid w:val="004D1B10"/>
    <w:rsid w:val="004D2574"/>
    <w:rsid w:val="004D5675"/>
    <w:rsid w:val="004D56E5"/>
    <w:rsid w:val="004D60D0"/>
    <w:rsid w:val="004D6364"/>
    <w:rsid w:val="004E04D4"/>
    <w:rsid w:val="004E3C7D"/>
    <w:rsid w:val="004E6999"/>
    <w:rsid w:val="004F0147"/>
    <w:rsid w:val="004F1E61"/>
    <w:rsid w:val="004F29AA"/>
    <w:rsid w:val="004F2C59"/>
    <w:rsid w:val="004F2E6F"/>
    <w:rsid w:val="004F412A"/>
    <w:rsid w:val="004F53D5"/>
    <w:rsid w:val="004F6B3C"/>
    <w:rsid w:val="00513C6C"/>
    <w:rsid w:val="0052046E"/>
    <w:rsid w:val="00523639"/>
    <w:rsid w:val="00530CC8"/>
    <w:rsid w:val="00531261"/>
    <w:rsid w:val="00531FE5"/>
    <w:rsid w:val="00533F06"/>
    <w:rsid w:val="00540208"/>
    <w:rsid w:val="0054435F"/>
    <w:rsid w:val="00544736"/>
    <w:rsid w:val="0055208F"/>
    <w:rsid w:val="00553499"/>
    <w:rsid w:val="005603E2"/>
    <w:rsid w:val="00563483"/>
    <w:rsid w:val="005744B7"/>
    <w:rsid w:val="00577415"/>
    <w:rsid w:val="00583C39"/>
    <w:rsid w:val="00587F28"/>
    <w:rsid w:val="005909CF"/>
    <w:rsid w:val="00591E71"/>
    <w:rsid w:val="00592C70"/>
    <w:rsid w:val="005947F5"/>
    <w:rsid w:val="00595414"/>
    <w:rsid w:val="005A0D41"/>
    <w:rsid w:val="005A259A"/>
    <w:rsid w:val="005A57E4"/>
    <w:rsid w:val="005A761A"/>
    <w:rsid w:val="005B63E6"/>
    <w:rsid w:val="005C4C7C"/>
    <w:rsid w:val="005C4F4D"/>
    <w:rsid w:val="005D1C01"/>
    <w:rsid w:val="005D3F1C"/>
    <w:rsid w:val="005D5010"/>
    <w:rsid w:val="005E42F8"/>
    <w:rsid w:val="005E5E8A"/>
    <w:rsid w:val="005E65A2"/>
    <w:rsid w:val="005F18FD"/>
    <w:rsid w:val="006009F8"/>
    <w:rsid w:val="00600A5D"/>
    <w:rsid w:val="00600AA3"/>
    <w:rsid w:val="006037CF"/>
    <w:rsid w:val="00604B6A"/>
    <w:rsid w:val="00604F7D"/>
    <w:rsid w:val="00606141"/>
    <w:rsid w:val="00607898"/>
    <w:rsid w:val="00607BF1"/>
    <w:rsid w:val="00613930"/>
    <w:rsid w:val="0061545E"/>
    <w:rsid w:val="00620726"/>
    <w:rsid w:val="00623856"/>
    <w:rsid w:val="00625C5C"/>
    <w:rsid w:val="00626510"/>
    <w:rsid w:val="0062743E"/>
    <w:rsid w:val="00630041"/>
    <w:rsid w:val="00630D4D"/>
    <w:rsid w:val="00632A74"/>
    <w:rsid w:val="00634520"/>
    <w:rsid w:val="00634F09"/>
    <w:rsid w:val="006416D4"/>
    <w:rsid w:val="00645369"/>
    <w:rsid w:val="00655046"/>
    <w:rsid w:val="006569ED"/>
    <w:rsid w:val="00666FA8"/>
    <w:rsid w:val="00675349"/>
    <w:rsid w:val="00677295"/>
    <w:rsid w:val="0068160F"/>
    <w:rsid w:val="006834C3"/>
    <w:rsid w:val="00686539"/>
    <w:rsid w:val="00691402"/>
    <w:rsid w:val="006A1D0F"/>
    <w:rsid w:val="006A4655"/>
    <w:rsid w:val="006A673D"/>
    <w:rsid w:val="006A6C70"/>
    <w:rsid w:val="006B0AFA"/>
    <w:rsid w:val="006B1433"/>
    <w:rsid w:val="006B2B3C"/>
    <w:rsid w:val="006C1D81"/>
    <w:rsid w:val="006C3C0E"/>
    <w:rsid w:val="006C3ED3"/>
    <w:rsid w:val="006C59B5"/>
    <w:rsid w:val="006C6DA2"/>
    <w:rsid w:val="006C7038"/>
    <w:rsid w:val="006D00C5"/>
    <w:rsid w:val="006D3B43"/>
    <w:rsid w:val="006D3C66"/>
    <w:rsid w:val="006D7A1A"/>
    <w:rsid w:val="006E4537"/>
    <w:rsid w:val="006E5E2D"/>
    <w:rsid w:val="006E73EF"/>
    <w:rsid w:val="006F67F6"/>
    <w:rsid w:val="00707D08"/>
    <w:rsid w:val="00713406"/>
    <w:rsid w:val="00714D4D"/>
    <w:rsid w:val="00717095"/>
    <w:rsid w:val="007309AA"/>
    <w:rsid w:val="00731AFE"/>
    <w:rsid w:val="007342AB"/>
    <w:rsid w:val="0073532C"/>
    <w:rsid w:val="007402C4"/>
    <w:rsid w:val="00747DD6"/>
    <w:rsid w:val="00756605"/>
    <w:rsid w:val="007604BB"/>
    <w:rsid w:val="00766564"/>
    <w:rsid w:val="00772013"/>
    <w:rsid w:val="0077236B"/>
    <w:rsid w:val="00773209"/>
    <w:rsid w:val="0078359A"/>
    <w:rsid w:val="00785232"/>
    <w:rsid w:val="0079098C"/>
    <w:rsid w:val="00793765"/>
    <w:rsid w:val="00793775"/>
    <w:rsid w:val="007937CC"/>
    <w:rsid w:val="00794BD5"/>
    <w:rsid w:val="00795558"/>
    <w:rsid w:val="007A21EB"/>
    <w:rsid w:val="007B1A93"/>
    <w:rsid w:val="007B6233"/>
    <w:rsid w:val="007B7669"/>
    <w:rsid w:val="007C0A31"/>
    <w:rsid w:val="007C2FDF"/>
    <w:rsid w:val="007C36C9"/>
    <w:rsid w:val="007C4067"/>
    <w:rsid w:val="007D6401"/>
    <w:rsid w:val="007D6E29"/>
    <w:rsid w:val="007E01E4"/>
    <w:rsid w:val="007E2368"/>
    <w:rsid w:val="007E2B83"/>
    <w:rsid w:val="007E63B2"/>
    <w:rsid w:val="007E7238"/>
    <w:rsid w:val="007E7D37"/>
    <w:rsid w:val="007F1ED1"/>
    <w:rsid w:val="007F33AA"/>
    <w:rsid w:val="007F6F4B"/>
    <w:rsid w:val="007F7107"/>
    <w:rsid w:val="00800D4C"/>
    <w:rsid w:val="00804542"/>
    <w:rsid w:val="00804CB0"/>
    <w:rsid w:val="00805A58"/>
    <w:rsid w:val="0081026C"/>
    <w:rsid w:val="0081030F"/>
    <w:rsid w:val="008126CF"/>
    <w:rsid w:val="00816776"/>
    <w:rsid w:val="0082087D"/>
    <w:rsid w:val="00821B16"/>
    <w:rsid w:val="00822B5A"/>
    <w:rsid w:val="008246D1"/>
    <w:rsid w:val="0082677E"/>
    <w:rsid w:val="00835771"/>
    <w:rsid w:val="008367F9"/>
    <w:rsid w:val="00842933"/>
    <w:rsid w:val="0086082C"/>
    <w:rsid w:val="00860E14"/>
    <w:rsid w:val="00864ADC"/>
    <w:rsid w:val="00877768"/>
    <w:rsid w:val="00877992"/>
    <w:rsid w:val="00880153"/>
    <w:rsid w:val="008804E5"/>
    <w:rsid w:val="00880982"/>
    <w:rsid w:val="00880F97"/>
    <w:rsid w:val="0088133A"/>
    <w:rsid w:val="0089285E"/>
    <w:rsid w:val="008936BB"/>
    <w:rsid w:val="0089436C"/>
    <w:rsid w:val="008975E1"/>
    <w:rsid w:val="00897FCE"/>
    <w:rsid w:val="008A1C29"/>
    <w:rsid w:val="008A4333"/>
    <w:rsid w:val="008A7639"/>
    <w:rsid w:val="008B37D6"/>
    <w:rsid w:val="008C775F"/>
    <w:rsid w:val="008D207D"/>
    <w:rsid w:val="008D365C"/>
    <w:rsid w:val="008D7B51"/>
    <w:rsid w:val="008E4354"/>
    <w:rsid w:val="008E50EF"/>
    <w:rsid w:val="008E6442"/>
    <w:rsid w:val="008E69D9"/>
    <w:rsid w:val="008F032E"/>
    <w:rsid w:val="008F661B"/>
    <w:rsid w:val="00900F18"/>
    <w:rsid w:val="00901F01"/>
    <w:rsid w:val="009030BF"/>
    <w:rsid w:val="0091032F"/>
    <w:rsid w:val="00914368"/>
    <w:rsid w:val="009156E7"/>
    <w:rsid w:val="00926663"/>
    <w:rsid w:val="00931076"/>
    <w:rsid w:val="009345D9"/>
    <w:rsid w:val="00934B15"/>
    <w:rsid w:val="009421E6"/>
    <w:rsid w:val="00942B62"/>
    <w:rsid w:val="00943C69"/>
    <w:rsid w:val="0094650F"/>
    <w:rsid w:val="00955FD4"/>
    <w:rsid w:val="00956A0C"/>
    <w:rsid w:val="00956BD9"/>
    <w:rsid w:val="009607AB"/>
    <w:rsid w:val="00960F61"/>
    <w:rsid w:val="00961FCE"/>
    <w:rsid w:val="00962489"/>
    <w:rsid w:val="00970775"/>
    <w:rsid w:val="00971900"/>
    <w:rsid w:val="009734FF"/>
    <w:rsid w:val="0098441A"/>
    <w:rsid w:val="00990C2C"/>
    <w:rsid w:val="0099303C"/>
    <w:rsid w:val="00995F25"/>
    <w:rsid w:val="009964AD"/>
    <w:rsid w:val="0099785B"/>
    <w:rsid w:val="009A32AD"/>
    <w:rsid w:val="009A614B"/>
    <w:rsid w:val="009B043E"/>
    <w:rsid w:val="009B713D"/>
    <w:rsid w:val="009B7800"/>
    <w:rsid w:val="009C62B6"/>
    <w:rsid w:val="009C7354"/>
    <w:rsid w:val="009C7D23"/>
    <w:rsid w:val="009D6176"/>
    <w:rsid w:val="009E6743"/>
    <w:rsid w:val="009E7525"/>
    <w:rsid w:val="009F0D1B"/>
    <w:rsid w:val="009F12D3"/>
    <w:rsid w:val="009F696D"/>
    <w:rsid w:val="009F6BC6"/>
    <w:rsid w:val="00A071B8"/>
    <w:rsid w:val="00A10A26"/>
    <w:rsid w:val="00A11B64"/>
    <w:rsid w:val="00A17328"/>
    <w:rsid w:val="00A218DD"/>
    <w:rsid w:val="00A21C37"/>
    <w:rsid w:val="00A23A20"/>
    <w:rsid w:val="00A268B9"/>
    <w:rsid w:val="00A2703A"/>
    <w:rsid w:val="00A33DFF"/>
    <w:rsid w:val="00A35115"/>
    <w:rsid w:val="00A36D9A"/>
    <w:rsid w:val="00A40430"/>
    <w:rsid w:val="00A41909"/>
    <w:rsid w:val="00A54460"/>
    <w:rsid w:val="00A554AB"/>
    <w:rsid w:val="00A55503"/>
    <w:rsid w:val="00A57062"/>
    <w:rsid w:val="00A6333A"/>
    <w:rsid w:val="00A65A4B"/>
    <w:rsid w:val="00A75B7B"/>
    <w:rsid w:val="00A76B83"/>
    <w:rsid w:val="00A7735B"/>
    <w:rsid w:val="00A84FE9"/>
    <w:rsid w:val="00A90685"/>
    <w:rsid w:val="00A92B53"/>
    <w:rsid w:val="00A934EC"/>
    <w:rsid w:val="00A94FA6"/>
    <w:rsid w:val="00A97153"/>
    <w:rsid w:val="00AA4854"/>
    <w:rsid w:val="00AA49A0"/>
    <w:rsid w:val="00AA4EA9"/>
    <w:rsid w:val="00AA54F7"/>
    <w:rsid w:val="00AA6710"/>
    <w:rsid w:val="00AB0681"/>
    <w:rsid w:val="00AB18E9"/>
    <w:rsid w:val="00AB267D"/>
    <w:rsid w:val="00AB3273"/>
    <w:rsid w:val="00AB4A6B"/>
    <w:rsid w:val="00AB7E36"/>
    <w:rsid w:val="00AC0C83"/>
    <w:rsid w:val="00AC0E9D"/>
    <w:rsid w:val="00AC2204"/>
    <w:rsid w:val="00AC36A9"/>
    <w:rsid w:val="00AC791D"/>
    <w:rsid w:val="00AD25BB"/>
    <w:rsid w:val="00AD520B"/>
    <w:rsid w:val="00AF747C"/>
    <w:rsid w:val="00B05383"/>
    <w:rsid w:val="00B0760B"/>
    <w:rsid w:val="00B15851"/>
    <w:rsid w:val="00B16431"/>
    <w:rsid w:val="00B21CDC"/>
    <w:rsid w:val="00B273AC"/>
    <w:rsid w:val="00B313CC"/>
    <w:rsid w:val="00B33AF4"/>
    <w:rsid w:val="00B4077E"/>
    <w:rsid w:val="00B40CB8"/>
    <w:rsid w:val="00B425C3"/>
    <w:rsid w:val="00B42E7B"/>
    <w:rsid w:val="00B440AD"/>
    <w:rsid w:val="00B46AA0"/>
    <w:rsid w:val="00B50309"/>
    <w:rsid w:val="00B52EC7"/>
    <w:rsid w:val="00B53E7E"/>
    <w:rsid w:val="00B62206"/>
    <w:rsid w:val="00B6342E"/>
    <w:rsid w:val="00B7113F"/>
    <w:rsid w:val="00B757E7"/>
    <w:rsid w:val="00B827E7"/>
    <w:rsid w:val="00B96B38"/>
    <w:rsid w:val="00B972D2"/>
    <w:rsid w:val="00BA3378"/>
    <w:rsid w:val="00BA39B7"/>
    <w:rsid w:val="00BA4CDA"/>
    <w:rsid w:val="00BA73B6"/>
    <w:rsid w:val="00BA7E27"/>
    <w:rsid w:val="00BB2603"/>
    <w:rsid w:val="00BB4FCD"/>
    <w:rsid w:val="00BB74DB"/>
    <w:rsid w:val="00BC559F"/>
    <w:rsid w:val="00BC5A2F"/>
    <w:rsid w:val="00BC7555"/>
    <w:rsid w:val="00BC7D8B"/>
    <w:rsid w:val="00BD072B"/>
    <w:rsid w:val="00BD0FEC"/>
    <w:rsid w:val="00BD13EA"/>
    <w:rsid w:val="00BD2ECD"/>
    <w:rsid w:val="00BD366C"/>
    <w:rsid w:val="00BD6690"/>
    <w:rsid w:val="00BE2DD0"/>
    <w:rsid w:val="00BE3808"/>
    <w:rsid w:val="00BF0C79"/>
    <w:rsid w:val="00BF255F"/>
    <w:rsid w:val="00C01884"/>
    <w:rsid w:val="00C05C15"/>
    <w:rsid w:val="00C062E9"/>
    <w:rsid w:val="00C07B64"/>
    <w:rsid w:val="00C100A1"/>
    <w:rsid w:val="00C13192"/>
    <w:rsid w:val="00C13721"/>
    <w:rsid w:val="00C143A5"/>
    <w:rsid w:val="00C14FE4"/>
    <w:rsid w:val="00C17189"/>
    <w:rsid w:val="00C27EB6"/>
    <w:rsid w:val="00C30218"/>
    <w:rsid w:val="00C3066D"/>
    <w:rsid w:val="00C32C0C"/>
    <w:rsid w:val="00C35B1E"/>
    <w:rsid w:val="00C36E35"/>
    <w:rsid w:val="00C37488"/>
    <w:rsid w:val="00C42EE0"/>
    <w:rsid w:val="00C42FB0"/>
    <w:rsid w:val="00C4491E"/>
    <w:rsid w:val="00C4644C"/>
    <w:rsid w:val="00C475C9"/>
    <w:rsid w:val="00C521F2"/>
    <w:rsid w:val="00C52223"/>
    <w:rsid w:val="00C525D9"/>
    <w:rsid w:val="00C534BD"/>
    <w:rsid w:val="00C54164"/>
    <w:rsid w:val="00C543F4"/>
    <w:rsid w:val="00C562C1"/>
    <w:rsid w:val="00C6291C"/>
    <w:rsid w:val="00C633CB"/>
    <w:rsid w:val="00C81D4A"/>
    <w:rsid w:val="00C8762C"/>
    <w:rsid w:val="00C87A7B"/>
    <w:rsid w:val="00C90240"/>
    <w:rsid w:val="00C91FBB"/>
    <w:rsid w:val="00C92E0B"/>
    <w:rsid w:val="00C93F27"/>
    <w:rsid w:val="00C94878"/>
    <w:rsid w:val="00CA00F9"/>
    <w:rsid w:val="00CA2961"/>
    <w:rsid w:val="00CA3E14"/>
    <w:rsid w:val="00CB25CA"/>
    <w:rsid w:val="00CB50D7"/>
    <w:rsid w:val="00CB6656"/>
    <w:rsid w:val="00CB7177"/>
    <w:rsid w:val="00CC1998"/>
    <w:rsid w:val="00CC4528"/>
    <w:rsid w:val="00CC4946"/>
    <w:rsid w:val="00CC4BFA"/>
    <w:rsid w:val="00CD6435"/>
    <w:rsid w:val="00CD6649"/>
    <w:rsid w:val="00CD7734"/>
    <w:rsid w:val="00CE0C89"/>
    <w:rsid w:val="00CE764B"/>
    <w:rsid w:val="00CE7F90"/>
    <w:rsid w:val="00D0024C"/>
    <w:rsid w:val="00D01154"/>
    <w:rsid w:val="00D149E5"/>
    <w:rsid w:val="00D1650B"/>
    <w:rsid w:val="00D25F78"/>
    <w:rsid w:val="00D26BEB"/>
    <w:rsid w:val="00D27043"/>
    <w:rsid w:val="00D270A4"/>
    <w:rsid w:val="00D27AF4"/>
    <w:rsid w:val="00D31FE9"/>
    <w:rsid w:val="00D32BE3"/>
    <w:rsid w:val="00D33EEF"/>
    <w:rsid w:val="00D33FCE"/>
    <w:rsid w:val="00D34E1B"/>
    <w:rsid w:val="00D36E36"/>
    <w:rsid w:val="00D376BA"/>
    <w:rsid w:val="00D40B68"/>
    <w:rsid w:val="00D40B8A"/>
    <w:rsid w:val="00D4359F"/>
    <w:rsid w:val="00D45634"/>
    <w:rsid w:val="00D45861"/>
    <w:rsid w:val="00D47FF7"/>
    <w:rsid w:val="00D501F5"/>
    <w:rsid w:val="00D503C7"/>
    <w:rsid w:val="00D511B0"/>
    <w:rsid w:val="00D518C3"/>
    <w:rsid w:val="00D5225E"/>
    <w:rsid w:val="00D5568A"/>
    <w:rsid w:val="00D574BC"/>
    <w:rsid w:val="00D6063D"/>
    <w:rsid w:val="00D61AD2"/>
    <w:rsid w:val="00D63D73"/>
    <w:rsid w:val="00D64452"/>
    <w:rsid w:val="00D66E1E"/>
    <w:rsid w:val="00D70F16"/>
    <w:rsid w:val="00D73CAC"/>
    <w:rsid w:val="00D75722"/>
    <w:rsid w:val="00D80CF5"/>
    <w:rsid w:val="00D813EF"/>
    <w:rsid w:val="00D91354"/>
    <w:rsid w:val="00DA29C4"/>
    <w:rsid w:val="00DA5409"/>
    <w:rsid w:val="00DA5BBA"/>
    <w:rsid w:val="00DA7398"/>
    <w:rsid w:val="00DB26D2"/>
    <w:rsid w:val="00DB67C9"/>
    <w:rsid w:val="00DC0C95"/>
    <w:rsid w:val="00DC3B38"/>
    <w:rsid w:val="00DC3D96"/>
    <w:rsid w:val="00DC6E3B"/>
    <w:rsid w:val="00DD1ACB"/>
    <w:rsid w:val="00DD1E5F"/>
    <w:rsid w:val="00DD25E4"/>
    <w:rsid w:val="00DD2976"/>
    <w:rsid w:val="00DD6580"/>
    <w:rsid w:val="00DD7D9D"/>
    <w:rsid w:val="00DE25A7"/>
    <w:rsid w:val="00DF6144"/>
    <w:rsid w:val="00E0142F"/>
    <w:rsid w:val="00E01F86"/>
    <w:rsid w:val="00E12399"/>
    <w:rsid w:val="00E17C72"/>
    <w:rsid w:val="00E20BDD"/>
    <w:rsid w:val="00E2140E"/>
    <w:rsid w:val="00E21FC6"/>
    <w:rsid w:val="00E22F50"/>
    <w:rsid w:val="00E2302A"/>
    <w:rsid w:val="00E23588"/>
    <w:rsid w:val="00E247F2"/>
    <w:rsid w:val="00E26B60"/>
    <w:rsid w:val="00E302CF"/>
    <w:rsid w:val="00E302EE"/>
    <w:rsid w:val="00E431A9"/>
    <w:rsid w:val="00E444C7"/>
    <w:rsid w:val="00E46E35"/>
    <w:rsid w:val="00E47910"/>
    <w:rsid w:val="00E51F7F"/>
    <w:rsid w:val="00E6303D"/>
    <w:rsid w:val="00E634AE"/>
    <w:rsid w:val="00E662C5"/>
    <w:rsid w:val="00E669E2"/>
    <w:rsid w:val="00E716CB"/>
    <w:rsid w:val="00E73A9B"/>
    <w:rsid w:val="00E76135"/>
    <w:rsid w:val="00E777A4"/>
    <w:rsid w:val="00E82F4F"/>
    <w:rsid w:val="00EA55FE"/>
    <w:rsid w:val="00EA591C"/>
    <w:rsid w:val="00EB16C3"/>
    <w:rsid w:val="00EB3CB3"/>
    <w:rsid w:val="00EC19DC"/>
    <w:rsid w:val="00EC2844"/>
    <w:rsid w:val="00EC5500"/>
    <w:rsid w:val="00EC5C38"/>
    <w:rsid w:val="00ED338D"/>
    <w:rsid w:val="00EE1B70"/>
    <w:rsid w:val="00EE6491"/>
    <w:rsid w:val="00EE71D1"/>
    <w:rsid w:val="00EF6C6C"/>
    <w:rsid w:val="00F01F14"/>
    <w:rsid w:val="00F02090"/>
    <w:rsid w:val="00F056FC"/>
    <w:rsid w:val="00F10476"/>
    <w:rsid w:val="00F135D8"/>
    <w:rsid w:val="00F149D4"/>
    <w:rsid w:val="00F31299"/>
    <w:rsid w:val="00F32E2C"/>
    <w:rsid w:val="00F335ED"/>
    <w:rsid w:val="00F33A65"/>
    <w:rsid w:val="00F3534A"/>
    <w:rsid w:val="00F3752C"/>
    <w:rsid w:val="00F46035"/>
    <w:rsid w:val="00F46E4A"/>
    <w:rsid w:val="00F5157D"/>
    <w:rsid w:val="00F51609"/>
    <w:rsid w:val="00F54804"/>
    <w:rsid w:val="00F66DF2"/>
    <w:rsid w:val="00F7523B"/>
    <w:rsid w:val="00F75370"/>
    <w:rsid w:val="00F812F1"/>
    <w:rsid w:val="00F85325"/>
    <w:rsid w:val="00F85354"/>
    <w:rsid w:val="00F94BAB"/>
    <w:rsid w:val="00FA2403"/>
    <w:rsid w:val="00FB13DB"/>
    <w:rsid w:val="00FC58A6"/>
    <w:rsid w:val="00FC7853"/>
    <w:rsid w:val="00FC7CF9"/>
    <w:rsid w:val="00FD0925"/>
    <w:rsid w:val="00FD22B1"/>
    <w:rsid w:val="00FD38BA"/>
    <w:rsid w:val="00FD3F80"/>
    <w:rsid w:val="00FE29CB"/>
    <w:rsid w:val="00FE3C68"/>
    <w:rsid w:val="00FF270A"/>
    <w:rsid w:val="00FF59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Body Text"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D45634"/>
    <w:rPr>
      <w:sz w:val="26"/>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qFormat/>
    <w:rsid w:val="00A17328"/>
    <w:pPr>
      <w:spacing w:before="480"/>
      <w:outlineLvl w:val="3"/>
    </w:pPr>
    <w:rPr>
      <w:b w:val="0"/>
      <w:i/>
      <w:sz w:val="24"/>
    </w:rPr>
  </w:style>
  <w:style w:type="paragraph" w:styleId="Heading5">
    <w:name w:val="heading 5"/>
    <w:basedOn w:val="Heading4"/>
    <w:next w:val="BodyText"/>
    <w:qFormat/>
    <w:rsid w:val="00A17328"/>
    <w:pPr>
      <w:outlineLvl w:val="4"/>
    </w:pPr>
    <w:rPr>
      <w:rFonts w:ascii="Times New Roman" w:hAnsi="Times New Roman"/>
      <w:sz w:val="26"/>
    </w:rPr>
  </w:style>
  <w:style w:type="paragraph" w:styleId="Heading6">
    <w:name w:val="heading 6"/>
    <w:basedOn w:val="BodyText"/>
    <w:next w:val="BodyText"/>
    <w:rsid w:val="00A17328"/>
    <w:pPr>
      <w:spacing w:after="60"/>
      <w:jc w:val="left"/>
      <w:outlineLvl w:val="5"/>
    </w:pPr>
    <w:rPr>
      <w:i/>
      <w:sz w:val="22"/>
    </w:rPr>
  </w:style>
  <w:style w:type="paragraph" w:styleId="Heading7">
    <w:name w:val="heading 7"/>
    <w:basedOn w:val="BodyText"/>
    <w:next w:val="BodyText"/>
    <w:rsid w:val="00A17328"/>
    <w:pPr>
      <w:spacing w:after="60" w:line="240" w:lineRule="auto"/>
      <w:jc w:val="left"/>
      <w:outlineLvl w:val="6"/>
    </w:pPr>
    <w:rPr>
      <w:rFonts w:ascii="Arial" w:hAnsi="Arial"/>
      <w:sz w:val="20"/>
    </w:rPr>
  </w:style>
  <w:style w:type="paragraph" w:styleId="Heading8">
    <w:name w:val="heading 8"/>
    <w:basedOn w:val="BodyText"/>
    <w:next w:val="BodyText"/>
    <w:rsid w:val="00A17328"/>
    <w:pPr>
      <w:spacing w:after="60" w:line="240" w:lineRule="auto"/>
      <w:jc w:val="left"/>
      <w:outlineLvl w:val="7"/>
    </w:pPr>
    <w:rPr>
      <w:rFonts w:ascii="Arial" w:hAnsi="Arial"/>
      <w:i/>
      <w:sz w:val="20"/>
    </w:rPr>
  </w:style>
  <w:style w:type="paragraph" w:styleId="Heading9">
    <w:name w:val="heading 9"/>
    <w:basedOn w:val="BodyText"/>
    <w:next w:val="BodyText"/>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9345D9"/>
    <w:pPr>
      <w:spacing w:before="240" w:line="320" w:lineRule="atLeast"/>
      <w:jc w:val="both"/>
    </w:pPr>
    <w:rPr>
      <w:sz w:val="26"/>
    </w:rPr>
  </w:style>
  <w:style w:type="paragraph" w:styleId="Footer">
    <w:name w:val="footer"/>
    <w:basedOn w:val="BodyText"/>
    <w:semiHidden/>
    <w:rsid w:val="00A17328"/>
    <w:pPr>
      <w:spacing w:before="80" w:line="200" w:lineRule="exact"/>
      <w:ind w:right="6"/>
      <w:jc w:val="left"/>
    </w:pPr>
    <w:rPr>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A17328"/>
    <w:pPr>
      <w:keepNext/>
      <w:spacing w:before="120" w:line="280" w:lineRule="atLeast"/>
    </w:pPr>
    <w:rPr>
      <w:rFonts w:ascii="Arial" w:hAnsi="Arial"/>
      <w:sz w:val="22"/>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376E59"/>
    <w:pPr>
      <w:keepNext/>
      <w:numPr>
        <w:numId w:val="1"/>
      </w:numPr>
      <w:spacing w:before="60" w:line="280" w:lineRule="atLeast"/>
    </w:pPr>
    <w:rPr>
      <w:rFonts w:ascii="Arial" w:hAnsi="Arial"/>
      <w:sz w:val="22"/>
    </w:rPr>
  </w:style>
  <w:style w:type="paragraph" w:customStyle="1" w:styleId="BoxListBullet2">
    <w:name w:val="Box List Bullet 2"/>
    <w:basedOn w:val="BodyText"/>
    <w:rsid w:val="009F0D1B"/>
    <w:pPr>
      <w:keepNext/>
      <w:numPr>
        <w:numId w:val="47"/>
      </w:numPr>
      <w:spacing w:before="60" w:line="280" w:lineRule="atLeast"/>
    </w:pPr>
    <w:rPr>
      <w:rFonts w:ascii="Arial" w:hAnsi="Arial"/>
      <w:sz w:val="22"/>
    </w:rPr>
  </w:style>
  <w:style w:type="paragraph" w:customStyle="1" w:styleId="BoxListNumber">
    <w:name w:val="Box List Number"/>
    <w:basedOn w:val="BodyText"/>
    <w:rsid w:val="00376E59"/>
    <w:pPr>
      <w:keepNext/>
      <w:numPr>
        <w:numId w:val="39"/>
      </w:numPr>
      <w:spacing w:before="60" w:line="280" w:lineRule="atLeast"/>
    </w:pPr>
    <w:rPr>
      <w:rFonts w:ascii="Arial" w:hAnsi="Arial"/>
      <w:sz w:val="22"/>
    </w:rPr>
  </w:style>
  <w:style w:type="paragraph" w:customStyle="1" w:styleId="BoxListNumber2">
    <w:name w:val="Box List Number 2"/>
    <w:basedOn w:val="BoxListNumber"/>
    <w:rsid w:val="00864ADC"/>
    <w:pPr>
      <w:numPr>
        <w:ilvl w:val="1"/>
      </w:numPr>
    </w:pPr>
  </w:style>
  <w:style w:type="paragraph" w:customStyle="1" w:styleId="BoxQuote">
    <w:name w:val="Box Quote"/>
    <w:basedOn w:val="BodyText"/>
    <w:next w:val="Box"/>
    <w:rsid w:val="00A17328"/>
    <w:pPr>
      <w:keepNext/>
      <w:spacing w:before="60" w:line="260" w:lineRule="exact"/>
      <w:ind w:left="284"/>
    </w:pPr>
    <w:rPr>
      <w:rFonts w:ascii="Arial" w:hAnsi="Arial"/>
      <w:sz w:val="20"/>
    </w:rPr>
  </w:style>
  <w:style w:type="paragraph" w:customStyle="1" w:styleId="Note">
    <w:name w:val="Note"/>
    <w:basedOn w:val="BodyText"/>
    <w:next w:val="BodyText"/>
    <w:rsid w:val="00A17328"/>
    <w:pPr>
      <w:keepLines/>
      <w:spacing w:before="80" w:line="220" w:lineRule="exact"/>
    </w:pPr>
    <w:rPr>
      <w:rFonts w:ascii="Arial" w:hAnsi="Arial"/>
      <w:sz w:val="18"/>
    </w:rPr>
  </w:style>
  <w:style w:type="paragraph" w:customStyle="1" w:styleId="Source">
    <w:name w:val="Source"/>
    <w:basedOn w:val="Note"/>
    <w:next w:val="BodyText"/>
    <w:rsid w:val="00A17328"/>
    <w:pPr>
      <w:spacing w:after="120"/>
    </w:pPr>
  </w:style>
  <w:style w:type="paragraph" w:customStyle="1" w:styleId="BoxSource">
    <w:name w:val="Box Source"/>
    <w:basedOn w:val="Source"/>
    <w:next w:val="BodyText"/>
    <w:rsid w:val="00A17328"/>
    <w:pPr>
      <w:spacing w:before="180" w:after="0"/>
    </w:pPr>
  </w:style>
  <w:style w:type="paragraph" w:customStyle="1" w:styleId="BoxSpace">
    <w:name w:val="Box Spac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D80CF5"/>
    <w:pPr>
      <w:spacing w:before="120" w:after="0"/>
      <w:ind w:left="1304" w:hanging="1304"/>
    </w:pPr>
    <w:rPr>
      <w:sz w:val="24"/>
    </w:rPr>
  </w:style>
  <w:style w:type="paragraph" w:customStyle="1" w:styleId="BoxSubtitle">
    <w:name w:val="Box Subtitle"/>
    <w:basedOn w:val="BoxTitle"/>
    <w:next w:val="Normal"/>
    <w:rsid w:val="00A17328"/>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A17328"/>
    <w:pPr>
      <w:ind w:left="907"/>
    </w:pPr>
    <w:rPr>
      <w:rFonts w:ascii="Arial" w:hAnsi="Arial"/>
      <w:b/>
      <w:sz w:val="22"/>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A17328"/>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D80CF5"/>
    <w:rPr>
      <w:sz w:val="24"/>
    </w:rPr>
  </w:style>
  <w:style w:type="paragraph" w:styleId="Subtitle">
    <w:name w:val="Subtitle"/>
    <w:basedOn w:val="Caption"/>
    <w:link w:val="SubtitleChar"/>
    <w:rsid w:val="00A17328"/>
    <w:pPr>
      <w:spacing w:before="0" w:line="200" w:lineRule="exact"/>
      <w:ind w:firstLine="0"/>
    </w:pPr>
    <w:rPr>
      <w:b w:val="0"/>
      <w:sz w:val="20"/>
    </w:rPr>
  </w:style>
  <w:style w:type="paragraph" w:customStyle="1" w:styleId="Finding">
    <w:name w:val="Finding"/>
    <w:basedOn w:val="BodyText"/>
    <w:rsid w:val="001363AA"/>
    <w:pPr>
      <w:keepLines/>
      <w:spacing w:before="180"/>
    </w:pPr>
    <w:rPr>
      <w:i/>
    </w:rPr>
  </w:style>
  <w:style w:type="paragraph" w:customStyle="1" w:styleId="FindingBullet">
    <w:name w:val="Finding Bullet"/>
    <w:basedOn w:val="Finding"/>
    <w:rsid w:val="00AB0681"/>
    <w:pPr>
      <w:numPr>
        <w:numId w:val="3"/>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Normal"/>
    <w:rsid w:val="000F420B"/>
    <w:pPr>
      <w:keepNext/>
      <w:keepLines/>
    </w:pPr>
    <w:rPr>
      <w:caps/>
      <w:sz w:val="20"/>
    </w:rPr>
  </w:style>
  <w:style w:type="paragraph" w:customStyle="1" w:styleId="FindingTitle">
    <w:name w:val="Finding Title"/>
    <w:basedOn w:val="RecTitle"/>
    <w:next w:val="Finding"/>
    <w:rsid w:val="00A17328"/>
    <w:pPr>
      <w:framePr w:wrap="notBeside" w:hAnchor="text"/>
    </w:pPr>
  </w:style>
  <w:style w:type="character" w:styleId="FootnoteReference">
    <w:name w:val="footnote reference"/>
    <w:basedOn w:val="DefaultParagraphFont"/>
    <w:semiHidden/>
    <w:rsid w:val="00A17328"/>
    <w:rPr>
      <w:rFonts w:ascii="Times New Roman" w:hAnsi="Times New Roman"/>
      <w:position w:val="6"/>
      <w:sz w:val="22"/>
      <w:vertAlign w:val="baseline"/>
    </w:rPr>
  </w:style>
  <w:style w:type="paragraph" w:styleId="FootnoteText">
    <w:name w:val="footnote text"/>
    <w:basedOn w:val="BodyText"/>
    <w:rsid w:val="000227D5"/>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A17328"/>
    <w:pPr>
      <w:spacing w:before="360" w:after="120"/>
    </w:pPr>
    <w:rPr>
      <w:rFonts w:ascii="Arial" w:hAnsi="Arial"/>
      <w:sz w:val="24"/>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4"/>
      </w:numPr>
      <w:spacing w:after="140"/>
      <w:jc w:val="both"/>
    </w:pPr>
    <w:rPr>
      <w:rFonts w:ascii="Arial" w:hAnsi="Arial"/>
      <w:sz w:val="24"/>
      <w:lang w:eastAsia="en-US"/>
    </w:rPr>
  </w:style>
  <w:style w:type="paragraph" w:styleId="ListBullet">
    <w:name w:val="List Bullet"/>
    <w:basedOn w:val="BodyText"/>
    <w:rsid w:val="00DB67C9"/>
    <w:pPr>
      <w:numPr>
        <w:numId w:val="6"/>
      </w:numPr>
      <w:spacing w:before="120"/>
    </w:pPr>
  </w:style>
  <w:style w:type="paragraph" w:styleId="ListBullet2">
    <w:name w:val="List Bullet 2"/>
    <w:basedOn w:val="BodyText"/>
    <w:rsid w:val="00DB67C9"/>
    <w:pPr>
      <w:numPr>
        <w:numId w:val="8"/>
      </w:numPr>
      <w:spacing w:before="120"/>
    </w:pPr>
  </w:style>
  <w:style w:type="paragraph" w:styleId="ListBullet3">
    <w:name w:val="List Bullet 3"/>
    <w:basedOn w:val="BodyText"/>
    <w:rsid w:val="00DB67C9"/>
    <w:pPr>
      <w:numPr>
        <w:numId w:val="10"/>
      </w:numPr>
      <w:spacing w:before="120"/>
    </w:pPr>
  </w:style>
  <w:style w:type="paragraph" w:styleId="ListNumber">
    <w:name w:val="List Number"/>
    <w:basedOn w:val="BodyText"/>
    <w:rsid w:val="00864ADC"/>
    <w:pPr>
      <w:numPr>
        <w:numId w:val="32"/>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14FE4"/>
    <w:pPr>
      <w:numPr>
        <w:ilvl w:val="2"/>
      </w:numPr>
      <w:ind w:left="1248" w:hanging="454"/>
    </w:pPr>
  </w:style>
  <w:style w:type="character" w:customStyle="1" w:styleId="NoteLabel">
    <w:name w:val="Note Label"/>
    <w:basedOn w:val="DefaultParagraphFont"/>
    <w:rsid w:val="00A17328"/>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A17328"/>
    <w:pPr>
      <w:spacing w:before="120" w:line="280" w:lineRule="exact"/>
      <w:ind w:left="340"/>
    </w:pPr>
    <w:rPr>
      <w:sz w:val="24"/>
    </w:rPr>
  </w:style>
  <w:style w:type="paragraph" w:customStyle="1" w:styleId="QuoteBullet">
    <w:name w:val="Quote Bullet"/>
    <w:basedOn w:val="Quote"/>
    <w:rsid w:val="00323E09"/>
    <w:pPr>
      <w:numPr>
        <w:numId w:val="14"/>
      </w:numPr>
    </w:pPr>
  </w:style>
  <w:style w:type="paragraph" w:customStyle="1" w:styleId="Rec">
    <w:name w:val="Rec"/>
    <w:basedOn w:val="BodyText"/>
    <w:rsid w:val="001363AA"/>
    <w:pPr>
      <w:keepLines/>
      <w:spacing w:before="180"/>
    </w:pPr>
    <w:rPr>
      <w:b/>
      <w:i/>
    </w:rPr>
  </w:style>
  <w:style w:type="paragraph" w:customStyle="1" w:styleId="RecBullet">
    <w:name w:val="Rec Bullet"/>
    <w:basedOn w:val="Rec"/>
    <w:rsid w:val="00323E09"/>
    <w:pPr>
      <w:numPr>
        <w:numId w:val="15"/>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40"/>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link w:val="ReferenceChar"/>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sz w:val="24"/>
    </w:rPr>
  </w:style>
  <w:style w:type="paragraph" w:customStyle="1" w:styleId="SideNoteBullet">
    <w:name w:val="Side Note Bullet"/>
    <w:basedOn w:val="SideNote"/>
    <w:next w:val="BodyText"/>
    <w:semiHidden/>
    <w:rsid w:val="00A17328"/>
    <w:pPr>
      <w:framePr w:wrap="around"/>
      <w:numPr>
        <w:numId w:val="1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A17328"/>
    <w:pPr>
      <w:keepNext/>
      <w:keepLines/>
      <w:spacing w:before="0" w:after="40" w:line="220" w:lineRule="atLeast"/>
      <w:ind w:left="6" w:right="113"/>
      <w:jc w:val="right"/>
    </w:pPr>
    <w:rPr>
      <w:rFonts w:ascii="Arial" w:hAnsi="Arial"/>
      <w:sz w:val="20"/>
    </w:rPr>
  </w:style>
  <w:style w:type="paragraph" w:customStyle="1" w:styleId="TableBullet">
    <w:name w:val="Table Bullet"/>
    <w:basedOn w:val="TableBodyText"/>
    <w:rsid w:val="00323E09"/>
    <w:pPr>
      <w:numPr>
        <w:numId w:val="18"/>
      </w:numPr>
      <w:jc w:val="left"/>
    </w:pPr>
  </w:style>
  <w:style w:type="paragraph" w:customStyle="1" w:styleId="TableColumnHeading">
    <w:name w:val="Table Column Heading"/>
    <w:basedOn w:val="TableBodyText"/>
    <w:rsid w:val="00A17328"/>
    <w:pPr>
      <w:spacing w:before="80" w:after="80"/>
    </w:pPr>
    <w:rPr>
      <w:i/>
    </w:rPr>
  </w:style>
  <w:style w:type="paragraph" w:styleId="TOC2">
    <w:name w:val="toc 2"/>
    <w:basedOn w:val="BodyText"/>
    <w:semiHidden/>
    <w:rsid w:val="00A17328"/>
    <w:pPr>
      <w:tabs>
        <w:tab w:val="right" w:pos="8789"/>
      </w:tabs>
      <w:ind w:left="510" w:right="851" w:hanging="510"/>
      <w:jc w:val="left"/>
    </w:pPr>
    <w:rPr>
      <w:b/>
    </w:rPr>
  </w:style>
  <w:style w:type="paragraph" w:styleId="TOC3">
    <w:name w:val="toc 3"/>
    <w:basedOn w:val="TOC2"/>
    <w:semiHidden/>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rsid w:val="00D80CF5"/>
    <w:rPr>
      <w:sz w:val="24"/>
    </w:rPr>
  </w:style>
  <w:style w:type="paragraph" w:customStyle="1" w:styleId="TableUnitsRow">
    <w:name w:val="Table Units Row"/>
    <w:basedOn w:val="TableBodyText"/>
    <w:rsid w:val="00A17328"/>
    <w:pPr>
      <w:spacing w:before="80" w:after="80"/>
    </w:pPr>
  </w:style>
  <w:style w:type="paragraph" w:styleId="TOC1">
    <w:name w:val="toc 1"/>
    <w:basedOn w:val="Normal"/>
    <w:next w:val="TOC2"/>
    <w:semiHidden/>
    <w:rsid w:val="00A17328"/>
    <w:pPr>
      <w:tabs>
        <w:tab w:val="right" w:pos="8789"/>
      </w:tabs>
      <w:spacing w:before="480" w:after="60" w:line="320" w:lineRule="exact"/>
      <w:ind w:left="1191" w:right="851" w:hanging="1191"/>
    </w:pPr>
    <w:rPr>
      <w:b/>
      <w:cap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F10476"/>
    <w:rPr>
      <w:rFonts w:ascii="Arial" w:hAnsi="Arial"/>
      <w:szCs w:val="24"/>
    </w:rPr>
  </w:style>
  <w:style w:type="paragraph" w:customStyle="1" w:styleId="BoxListBullet3">
    <w:name w:val="Box List Bullet 3"/>
    <w:basedOn w:val="ListBullet3"/>
    <w:rsid w:val="009F0D1B"/>
    <w:pPr>
      <w:numPr>
        <w:numId w:val="48"/>
      </w:numPr>
      <w:tabs>
        <w:tab w:val="left" w:pos="1021"/>
      </w:tabs>
      <w:spacing w:before="60" w:line="280" w:lineRule="atLeast"/>
      <w:ind w:left="907" w:hanging="340"/>
    </w:pPr>
    <w:rPr>
      <w:rFonts w:ascii="Arial" w:hAnsi="Arial"/>
      <w:sz w:val="22"/>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C81D4A"/>
    <w:pPr>
      <w:numPr>
        <w:numId w:val="45"/>
      </w:numPr>
      <w:ind w:left="568" w:hanging="284"/>
    </w:pPr>
  </w:style>
  <w:style w:type="paragraph" w:customStyle="1" w:styleId="InformationRequestBullet">
    <w:name w:val="Information Request Bullet"/>
    <w:basedOn w:val="ListBullet"/>
    <w:next w:val="BodyText"/>
    <w:rsid w:val="00BA7E27"/>
    <w:pPr>
      <w:numPr>
        <w:numId w:val="46"/>
      </w:numPr>
      <w:ind w:left="340" w:hanging="340"/>
    </w:pPr>
    <w:rPr>
      <w:rFonts w:ascii="Arial" w:hAnsi="Arial"/>
      <w:i/>
      <w:sz w:val="24"/>
    </w:rPr>
  </w:style>
  <w:style w:type="paragraph" w:styleId="CommentSubject">
    <w:name w:val="annotation subject"/>
    <w:basedOn w:val="CommentText"/>
    <w:next w:val="CommentText"/>
    <w:link w:val="CommentSubjectChar"/>
    <w:rsid w:val="00112E71"/>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112E71"/>
    <w:rPr>
      <w:szCs w:val="24"/>
    </w:rPr>
  </w:style>
  <w:style w:type="character" w:customStyle="1" w:styleId="CommentSubjectChar">
    <w:name w:val="Comment Subject Char"/>
    <w:basedOn w:val="CommentTextChar"/>
    <w:link w:val="CommentSubject"/>
    <w:rsid w:val="00112E71"/>
    <w:rPr>
      <w:b/>
      <w:bCs/>
      <w:szCs w:val="24"/>
    </w:rPr>
  </w:style>
  <w:style w:type="character" w:customStyle="1" w:styleId="Heading3Char">
    <w:name w:val="Heading 3 Char"/>
    <w:basedOn w:val="DefaultParagraphFont"/>
    <w:link w:val="Heading3"/>
    <w:rsid w:val="00822B5A"/>
    <w:rPr>
      <w:rFonts w:ascii="Arial" w:hAnsi="Arial"/>
      <w:b/>
      <w:sz w:val="26"/>
    </w:rPr>
  </w:style>
  <w:style w:type="character" w:customStyle="1" w:styleId="BodyTextChar">
    <w:name w:val="Body Text Char"/>
    <w:basedOn w:val="DefaultParagraphFont"/>
    <w:link w:val="BodyText"/>
    <w:rsid w:val="00822B5A"/>
    <w:rPr>
      <w:sz w:val="26"/>
    </w:rPr>
  </w:style>
  <w:style w:type="character" w:customStyle="1" w:styleId="ReferenceChar">
    <w:name w:val="Reference Char"/>
    <w:basedOn w:val="DefaultParagraphFont"/>
    <w:link w:val="Reference"/>
    <w:locked/>
    <w:rsid w:val="00822B5A"/>
    <w:rPr>
      <w:sz w:val="26"/>
    </w:rPr>
  </w:style>
  <w:style w:type="paragraph" w:customStyle="1" w:styleId="Default">
    <w:name w:val="Default"/>
    <w:rsid w:val="002B19F6"/>
    <w:pPr>
      <w:autoSpaceDE w:val="0"/>
      <w:autoSpaceDN w:val="0"/>
      <w:adjustRightInd w:val="0"/>
    </w:pPr>
    <w:rPr>
      <w:rFonts w:ascii="Century Gothic" w:hAnsi="Century Gothic" w:cs="Century Gothic"/>
      <w:color w:val="000000"/>
      <w:sz w:val="24"/>
      <w:szCs w:val="24"/>
    </w:rPr>
  </w:style>
  <w:style w:type="paragraph" w:customStyle="1" w:styleId="Pa0">
    <w:name w:val="Pa0"/>
    <w:basedOn w:val="Default"/>
    <w:next w:val="Default"/>
    <w:uiPriority w:val="99"/>
    <w:rsid w:val="002B19F6"/>
    <w:pPr>
      <w:spacing w:line="241" w:lineRule="atLeast"/>
    </w:pPr>
    <w:rPr>
      <w:rFonts w:cs="Times New Roman"/>
      <w:color w:val="auto"/>
    </w:rPr>
  </w:style>
  <w:style w:type="character" w:customStyle="1" w:styleId="A0">
    <w:name w:val="A0"/>
    <w:uiPriority w:val="99"/>
    <w:rsid w:val="002B19F6"/>
    <w:rPr>
      <w:rFonts w:cs="Century Gothic"/>
      <w:color w:val="000000"/>
      <w:sz w:val="88"/>
      <w:szCs w:val="8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Body Text"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D45634"/>
    <w:rPr>
      <w:sz w:val="26"/>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qFormat/>
    <w:rsid w:val="00A17328"/>
    <w:pPr>
      <w:spacing w:before="480"/>
      <w:outlineLvl w:val="3"/>
    </w:pPr>
    <w:rPr>
      <w:b w:val="0"/>
      <w:i/>
      <w:sz w:val="24"/>
    </w:rPr>
  </w:style>
  <w:style w:type="paragraph" w:styleId="Heading5">
    <w:name w:val="heading 5"/>
    <w:basedOn w:val="Heading4"/>
    <w:next w:val="BodyText"/>
    <w:qFormat/>
    <w:rsid w:val="00A17328"/>
    <w:pPr>
      <w:outlineLvl w:val="4"/>
    </w:pPr>
    <w:rPr>
      <w:rFonts w:ascii="Times New Roman" w:hAnsi="Times New Roman"/>
      <w:sz w:val="26"/>
    </w:rPr>
  </w:style>
  <w:style w:type="paragraph" w:styleId="Heading6">
    <w:name w:val="heading 6"/>
    <w:basedOn w:val="BodyText"/>
    <w:next w:val="BodyText"/>
    <w:rsid w:val="00A17328"/>
    <w:pPr>
      <w:spacing w:after="60"/>
      <w:jc w:val="left"/>
      <w:outlineLvl w:val="5"/>
    </w:pPr>
    <w:rPr>
      <w:i/>
      <w:sz w:val="22"/>
    </w:rPr>
  </w:style>
  <w:style w:type="paragraph" w:styleId="Heading7">
    <w:name w:val="heading 7"/>
    <w:basedOn w:val="BodyText"/>
    <w:next w:val="BodyText"/>
    <w:rsid w:val="00A17328"/>
    <w:pPr>
      <w:spacing w:after="60" w:line="240" w:lineRule="auto"/>
      <w:jc w:val="left"/>
      <w:outlineLvl w:val="6"/>
    </w:pPr>
    <w:rPr>
      <w:rFonts w:ascii="Arial" w:hAnsi="Arial"/>
      <w:sz w:val="20"/>
    </w:rPr>
  </w:style>
  <w:style w:type="paragraph" w:styleId="Heading8">
    <w:name w:val="heading 8"/>
    <w:basedOn w:val="BodyText"/>
    <w:next w:val="BodyText"/>
    <w:rsid w:val="00A17328"/>
    <w:pPr>
      <w:spacing w:after="60" w:line="240" w:lineRule="auto"/>
      <w:jc w:val="left"/>
      <w:outlineLvl w:val="7"/>
    </w:pPr>
    <w:rPr>
      <w:rFonts w:ascii="Arial" w:hAnsi="Arial"/>
      <w:i/>
      <w:sz w:val="20"/>
    </w:rPr>
  </w:style>
  <w:style w:type="paragraph" w:styleId="Heading9">
    <w:name w:val="heading 9"/>
    <w:basedOn w:val="BodyText"/>
    <w:next w:val="BodyText"/>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9345D9"/>
    <w:pPr>
      <w:spacing w:before="240" w:line="320" w:lineRule="atLeast"/>
      <w:jc w:val="both"/>
    </w:pPr>
    <w:rPr>
      <w:sz w:val="26"/>
    </w:rPr>
  </w:style>
  <w:style w:type="paragraph" w:styleId="Footer">
    <w:name w:val="footer"/>
    <w:basedOn w:val="BodyText"/>
    <w:semiHidden/>
    <w:rsid w:val="00A17328"/>
    <w:pPr>
      <w:spacing w:before="80" w:line="200" w:lineRule="exact"/>
      <w:ind w:right="6"/>
      <w:jc w:val="left"/>
    </w:pPr>
    <w:rPr>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A17328"/>
    <w:pPr>
      <w:keepNext/>
      <w:spacing w:before="120" w:line="280" w:lineRule="atLeast"/>
    </w:pPr>
    <w:rPr>
      <w:rFonts w:ascii="Arial" w:hAnsi="Arial"/>
      <w:sz w:val="22"/>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376E59"/>
    <w:pPr>
      <w:keepNext/>
      <w:numPr>
        <w:numId w:val="1"/>
      </w:numPr>
      <w:spacing w:before="60" w:line="280" w:lineRule="atLeast"/>
    </w:pPr>
    <w:rPr>
      <w:rFonts w:ascii="Arial" w:hAnsi="Arial"/>
      <w:sz w:val="22"/>
    </w:rPr>
  </w:style>
  <w:style w:type="paragraph" w:customStyle="1" w:styleId="BoxListBullet2">
    <w:name w:val="Box List Bullet 2"/>
    <w:basedOn w:val="BodyText"/>
    <w:rsid w:val="009F0D1B"/>
    <w:pPr>
      <w:keepNext/>
      <w:numPr>
        <w:numId w:val="47"/>
      </w:numPr>
      <w:spacing w:before="60" w:line="280" w:lineRule="atLeast"/>
    </w:pPr>
    <w:rPr>
      <w:rFonts w:ascii="Arial" w:hAnsi="Arial"/>
      <w:sz w:val="22"/>
    </w:rPr>
  </w:style>
  <w:style w:type="paragraph" w:customStyle="1" w:styleId="BoxListNumber">
    <w:name w:val="Box List Number"/>
    <w:basedOn w:val="BodyText"/>
    <w:rsid w:val="00376E59"/>
    <w:pPr>
      <w:keepNext/>
      <w:numPr>
        <w:numId w:val="39"/>
      </w:numPr>
      <w:spacing w:before="60" w:line="280" w:lineRule="atLeast"/>
    </w:pPr>
    <w:rPr>
      <w:rFonts w:ascii="Arial" w:hAnsi="Arial"/>
      <w:sz w:val="22"/>
    </w:rPr>
  </w:style>
  <w:style w:type="paragraph" w:customStyle="1" w:styleId="BoxListNumber2">
    <w:name w:val="Box List Number 2"/>
    <w:basedOn w:val="BoxListNumber"/>
    <w:rsid w:val="00864ADC"/>
    <w:pPr>
      <w:numPr>
        <w:ilvl w:val="1"/>
      </w:numPr>
    </w:pPr>
  </w:style>
  <w:style w:type="paragraph" w:customStyle="1" w:styleId="BoxQuote">
    <w:name w:val="Box Quote"/>
    <w:basedOn w:val="BodyText"/>
    <w:next w:val="Box"/>
    <w:rsid w:val="00A17328"/>
    <w:pPr>
      <w:keepNext/>
      <w:spacing w:before="60" w:line="260" w:lineRule="exact"/>
      <w:ind w:left="284"/>
    </w:pPr>
    <w:rPr>
      <w:rFonts w:ascii="Arial" w:hAnsi="Arial"/>
      <w:sz w:val="20"/>
    </w:rPr>
  </w:style>
  <w:style w:type="paragraph" w:customStyle="1" w:styleId="Note">
    <w:name w:val="Note"/>
    <w:basedOn w:val="BodyText"/>
    <w:next w:val="BodyText"/>
    <w:rsid w:val="00A17328"/>
    <w:pPr>
      <w:keepLines/>
      <w:spacing w:before="80" w:line="220" w:lineRule="exact"/>
    </w:pPr>
    <w:rPr>
      <w:rFonts w:ascii="Arial" w:hAnsi="Arial"/>
      <w:sz w:val="18"/>
    </w:rPr>
  </w:style>
  <w:style w:type="paragraph" w:customStyle="1" w:styleId="Source">
    <w:name w:val="Source"/>
    <w:basedOn w:val="Note"/>
    <w:next w:val="BodyText"/>
    <w:rsid w:val="00A17328"/>
    <w:pPr>
      <w:spacing w:after="120"/>
    </w:pPr>
  </w:style>
  <w:style w:type="paragraph" w:customStyle="1" w:styleId="BoxSource">
    <w:name w:val="Box Source"/>
    <w:basedOn w:val="Source"/>
    <w:next w:val="BodyText"/>
    <w:rsid w:val="00A17328"/>
    <w:pPr>
      <w:spacing w:before="180" w:after="0"/>
    </w:pPr>
  </w:style>
  <w:style w:type="paragraph" w:customStyle="1" w:styleId="BoxSpace">
    <w:name w:val="Box Spac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D80CF5"/>
    <w:pPr>
      <w:spacing w:before="120" w:after="0"/>
      <w:ind w:left="1304" w:hanging="1304"/>
    </w:pPr>
    <w:rPr>
      <w:sz w:val="24"/>
    </w:rPr>
  </w:style>
  <w:style w:type="paragraph" w:customStyle="1" w:styleId="BoxSubtitle">
    <w:name w:val="Box Subtitle"/>
    <w:basedOn w:val="BoxTitle"/>
    <w:next w:val="Normal"/>
    <w:rsid w:val="00A17328"/>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A17328"/>
    <w:pPr>
      <w:ind w:left="907"/>
    </w:pPr>
    <w:rPr>
      <w:rFonts w:ascii="Arial" w:hAnsi="Arial"/>
      <w:b/>
      <w:sz w:val="22"/>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A17328"/>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D80CF5"/>
    <w:rPr>
      <w:sz w:val="24"/>
    </w:rPr>
  </w:style>
  <w:style w:type="paragraph" w:styleId="Subtitle">
    <w:name w:val="Subtitle"/>
    <w:basedOn w:val="Caption"/>
    <w:link w:val="SubtitleChar"/>
    <w:rsid w:val="00A17328"/>
    <w:pPr>
      <w:spacing w:before="0" w:line="200" w:lineRule="exact"/>
      <w:ind w:firstLine="0"/>
    </w:pPr>
    <w:rPr>
      <w:b w:val="0"/>
      <w:sz w:val="20"/>
    </w:rPr>
  </w:style>
  <w:style w:type="paragraph" w:customStyle="1" w:styleId="Finding">
    <w:name w:val="Finding"/>
    <w:basedOn w:val="BodyText"/>
    <w:rsid w:val="001363AA"/>
    <w:pPr>
      <w:keepLines/>
      <w:spacing w:before="180"/>
    </w:pPr>
    <w:rPr>
      <w:i/>
    </w:rPr>
  </w:style>
  <w:style w:type="paragraph" w:customStyle="1" w:styleId="FindingBullet">
    <w:name w:val="Finding Bullet"/>
    <w:basedOn w:val="Finding"/>
    <w:rsid w:val="00AB0681"/>
    <w:pPr>
      <w:numPr>
        <w:numId w:val="3"/>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Normal"/>
    <w:rsid w:val="000F420B"/>
    <w:pPr>
      <w:keepNext/>
      <w:keepLines/>
    </w:pPr>
    <w:rPr>
      <w:caps/>
      <w:sz w:val="20"/>
    </w:rPr>
  </w:style>
  <w:style w:type="paragraph" w:customStyle="1" w:styleId="FindingTitle">
    <w:name w:val="Finding Title"/>
    <w:basedOn w:val="RecTitle"/>
    <w:next w:val="Finding"/>
    <w:rsid w:val="00A17328"/>
    <w:pPr>
      <w:framePr w:wrap="notBeside" w:hAnchor="text"/>
    </w:pPr>
  </w:style>
  <w:style w:type="character" w:styleId="FootnoteReference">
    <w:name w:val="footnote reference"/>
    <w:basedOn w:val="DefaultParagraphFont"/>
    <w:semiHidden/>
    <w:rsid w:val="00A17328"/>
    <w:rPr>
      <w:rFonts w:ascii="Times New Roman" w:hAnsi="Times New Roman"/>
      <w:position w:val="6"/>
      <w:sz w:val="22"/>
      <w:vertAlign w:val="baseline"/>
    </w:rPr>
  </w:style>
  <w:style w:type="paragraph" w:styleId="FootnoteText">
    <w:name w:val="footnote text"/>
    <w:basedOn w:val="BodyText"/>
    <w:rsid w:val="000227D5"/>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A17328"/>
    <w:pPr>
      <w:spacing w:before="360" w:after="120"/>
    </w:pPr>
    <w:rPr>
      <w:rFonts w:ascii="Arial" w:hAnsi="Arial"/>
      <w:sz w:val="24"/>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4"/>
      </w:numPr>
      <w:spacing w:after="140"/>
      <w:jc w:val="both"/>
    </w:pPr>
    <w:rPr>
      <w:rFonts w:ascii="Arial" w:hAnsi="Arial"/>
      <w:sz w:val="24"/>
      <w:lang w:eastAsia="en-US"/>
    </w:rPr>
  </w:style>
  <w:style w:type="paragraph" w:styleId="ListBullet">
    <w:name w:val="List Bullet"/>
    <w:basedOn w:val="BodyText"/>
    <w:rsid w:val="00DB67C9"/>
    <w:pPr>
      <w:numPr>
        <w:numId w:val="6"/>
      </w:numPr>
      <w:spacing w:before="120"/>
    </w:pPr>
  </w:style>
  <w:style w:type="paragraph" w:styleId="ListBullet2">
    <w:name w:val="List Bullet 2"/>
    <w:basedOn w:val="BodyText"/>
    <w:rsid w:val="00DB67C9"/>
    <w:pPr>
      <w:numPr>
        <w:numId w:val="8"/>
      </w:numPr>
      <w:spacing w:before="120"/>
    </w:pPr>
  </w:style>
  <w:style w:type="paragraph" w:styleId="ListBullet3">
    <w:name w:val="List Bullet 3"/>
    <w:basedOn w:val="BodyText"/>
    <w:rsid w:val="00DB67C9"/>
    <w:pPr>
      <w:numPr>
        <w:numId w:val="10"/>
      </w:numPr>
      <w:spacing w:before="120"/>
    </w:pPr>
  </w:style>
  <w:style w:type="paragraph" w:styleId="ListNumber">
    <w:name w:val="List Number"/>
    <w:basedOn w:val="BodyText"/>
    <w:rsid w:val="00864ADC"/>
    <w:pPr>
      <w:numPr>
        <w:numId w:val="32"/>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14FE4"/>
    <w:pPr>
      <w:numPr>
        <w:ilvl w:val="2"/>
      </w:numPr>
      <w:ind w:left="1248" w:hanging="454"/>
    </w:pPr>
  </w:style>
  <w:style w:type="character" w:customStyle="1" w:styleId="NoteLabel">
    <w:name w:val="Note Label"/>
    <w:basedOn w:val="DefaultParagraphFont"/>
    <w:rsid w:val="00A17328"/>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A17328"/>
    <w:pPr>
      <w:spacing w:before="120" w:line="280" w:lineRule="exact"/>
      <w:ind w:left="340"/>
    </w:pPr>
    <w:rPr>
      <w:sz w:val="24"/>
    </w:rPr>
  </w:style>
  <w:style w:type="paragraph" w:customStyle="1" w:styleId="QuoteBullet">
    <w:name w:val="Quote Bullet"/>
    <w:basedOn w:val="Quote"/>
    <w:rsid w:val="00323E09"/>
    <w:pPr>
      <w:numPr>
        <w:numId w:val="14"/>
      </w:numPr>
    </w:pPr>
  </w:style>
  <w:style w:type="paragraph" w:customStyle="1" w:styleId="Rec">
    <w:name w:val="Rec"/>
    <w:basedOn w:val="BodyText"/>
    <w:rsid w:val="001363AA"/>
    <w:pPr>
      <w:keepLines/>
      <w:spacing w:before="180"/>
    </w:pPr>
    <w:rPr>
      <w:b/>
      <w:i/>
    </w:rPr>
  </w:style>
  <w:style w:type="paragraph" w:customStyle="1" w:styleId="RecBullet">
    <w:name w:val="Rec Bullet"/>
    <w:basedOn w:val="Rec"/>
    <w:rsid w:val="00323E09"/>
    <w:pPr>
      <w:numPr>
        <w:numId w:val="15"/>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40"/>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link w:val="ReferenceChar"/>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sz w:val="24"/>
    </w:rPr>
  </w:style>
  <w:style w:type="paragraph" w:customStyle="1" w:styleId="SideNoteBullet">
    <w:name w:val="Side Note Bullet"/>
    <w:basedOn w:val="SideNote"/>
    <w:next w:val="BodyText"/>
    <w:semiHidden/>
    <w:rsid w:val="00A17328"/>
    <w:pPr>
      <w:framePr w:wrap="around"/>
      <w:numPr>
        <w:numId w:val="1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A17328"/>
    <w:pPr>
      <w:keepNext/>
      <w:keepLines/>
      <w:spacing w:before="0" w:after="40" w:line="220" w:lineRule="atLeast"/>
      <w:ind w:left="6" w:right="113"/>
      <w:jc w:val="right"/>
    </w:pPr>
    <w:rPr>
      <w:rFonts w:ascii="Arial" w:hAnsi="Arial"/>
      <w:sz w:val="20"/>
    </w:rPr>
  </w:style>
  <w:style w:type="paragraph" w:customStyle="1" w:styleId="TableBullet">
    <w:name w:val="Table Bullet"/>
    <w:basedOn w:val="TableBodyText"/>
    <w:rsid w:val="00323E09"/>
    <w:pPr>
      <w:numPr>
        <w:numId w:val="18"/>
      </w:numPr>
      <w:jc w:val="left"/>
    </w:pPr>
  </w:style>
  <w:style w:type="paragraph" w:customStyle="1" w:styleId="TableColumnHeading">
    <w:name w:val="Table Column Heading"/>
    <w:basedOn w:val="TableBodyText"/>
    <w:rsid w:val="00A17328"/>
    <w:pPr>
      <w:spacing w:before="80" w:after="80"/>
    </w:pPr>
    <w:rPr>
      <w:i/>
    </w:rPr>
  </w:style>
  <w:style w:type="paragraph" w:styleId="TOC2">
    <w:name w:val="toc 2"/>
    <w:basedOn w:val="BodyText"/>
    <w:semiHidden/>
    <w:rsid w:val="00A17328"/>
    <w:pPr>
      <w:tabs>
        <w:tab w:val="right" w:pos="8789"/>
      </w:tabs>
      <w:ind w:left="510" w:right="851" w:hanging="510"/>
      <w:jc w:val="left"/>
    </w:pPr>
    <w:rPr>
      <w:b/>
    </w:rPr>
  </w:style>
  <w:style w:type="paragraph" w:styleId="TOC3">
    <w:name w:val="toc 3"/>
    <w:basedOn w:val="TOC2"/>
    <w:semiHidden/>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rsid w:val="00D80CF5"/>
    <w:rPr>
      <w:sz w:val="24"/>
    </w:rPr>
  </w:style>
  <w:style w:type="paragraph" w:customStyle="1" w:styleId="TableUnitsRow">
    <w:name w:val="Table Units Row"/>
    <w:basedOn w:val="TableBodyText"/>
    <w:rsid w:val="00A17328"/>
    <w:pPr>
      <w:spacing w:before="80" w:after="80"/>
    </w:pPr>
  </w:style>
  <w:style w:type="paragraph" w:styleId="TOC1">
    <w:name w:val="toc 1"/>
    <w:basedOn w:val="Normal"/>
    <w:next w:val="TOC2"/>
    <w:semiHidden/>
    <w:rsid w:val="00A17328"/>
    <w:pPr>
      <w:tabs>
        <w:tab w:val="right" w:pos="8789"/>
      </w:tabs>
      <w:spacing w:before="480" w:after="60" w:line="320" w:lineRule="exact"/>
      <w:ind w:left="1191" w:right="851" w:hanging="1191"/>
    </w:pPr>
    <w:rPr>
      <w:b/>
      <w:cap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F10476"/>
    <w:rPr>
      <w:rFonts w:ascii="Arial" w:hAnsi="Arial"/>
      <w:szCs w:val="24"/>
    </w:rPr>
  </w:style>
  <w:style w:type="paragraph" w:customStyle="1" w:styleId="BoxListBullet3">
    <w:name w:val="Box List Bullet 3"/>
    <w:basedOn w:val="ListBullet3"/>
    <w:rsid w:val="009F0D1B"/>
    <w:pPr>
      <w:numPr>
        <w:numId w:val="48"/>
      </w:numPr>
      <w:tabs>
        <w:tab w:val="left" w:pos="1021"/>
      </w:tabs>
      <w:spacing w:before="60" w:line="280" w:lineRule="atLeast"/>
      <w:ind w:left="907" w:hanging="340"/>
    </w:pPr>
    <w:rPr>
      <w:rFonts w:ascii="Arial" w:hAnsi="Arial"/>
      <w:sz w:val="22"/>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C81D4A"/>
    <w:pPr>
      <w:numPr>
        <w:numId w:val="45"/>
      </w:numPr>
      <w:ind w:left="568" w:hanging="284"/>
    </w:pPr>
  </w:style>
  <w:style w:type="paragraph" w:customStyle="1" w:styleId="InformationRequestBullet">
    <w:name w:val="Information Request Bullet"/>
    <w:basedOn w:val="ListBullet"/>
    <w:next w:val="BodyText"/>
    <w:rsid w:val="00BA7E27"/>
    <w:pPr>
      <w:numPr>
        <w:numId w:val="46"/>
      </w:numPr>
      <w:ind w:left="340" w:hanging="340"/>
    </w:pPr>
    <w:rPr>
      <w:rFonts w:ascii="Arial" w:hAnsi="Arial"/>
      <w:i/>
      <w:sz w:val="24"/>
    </w:rPr>
  </w:style>
  <w:style w:type="paragraph" w:styleId="CommentSubject">
    <w:name w:val="annotation subject"/>
    <w:basedOn w:val="CommentText"/>
    <w:next w:val="CommentText"/>
    <w:link w:val="CommentSubjectChar"/>
    <w:rsid w:val="00112E71"/>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112E71"/>
    <w:rPr>
      <w:szCs w:val="24"/>
    </w:rPr>
  </w:style>
  <w:style w:type="character" w:customStyle="1" w:styleId="CommentSubjectChar">
    <w:name w:val="Comment Subject Char"/>
    <w:basedOn w:val="CommentTextChar"/>
    <w:link w:val="CommentSubject"/>
    <w:rsid w:val="00112E71"/>
    <w:rPr>
      <w:b/>
      <w:bCs/>
      <w:szCs w:val="24"/>
    </w:rPr>
  </w:style>
  <w:style w:type="character" w:customStyle="1" w:styleId="Heading3Char">
    <w:name w:val="Heading 3 Char"/>
    <w:basedOn w:val="DefaultParagraphFont"/>
    <w:link w:val="Heading3"/>
    <w:rsid w:val="00822B5A"/>
    <w:rPr>
      <w:rFonts w:ascii="Arial" w:hAnsi="Arial"/>
      <w:b/>
      <w:sz w:val="26"/>
    </w:rPr>
  </w:style>
  <w:style w:type="character" w:customStyle="1" w:styleId="BodyTextChar">
    <w:name w:val="Body Text Char"/>
    <w:basedOn w:val="DefaultParagraphFont"/>
    <w:link w:val="BodyText"/>
    <w:rsid w:val="00822B5A"/>
    <w:rPr>
      <w:sz w:val="26"/>
    </w:rPr>
  </w:style>
  <w:style w:type="character" w:customStyle="1" w:styleId="ReferenceChar">
    <w:name w:val="Reference Char"/>
    <w:basedOn w:val="DefaultParagraphFont"/>
    <w:link w:val="Reference"/>
    <w:locked/>
    <w:rsid w:val="00822B5A"/>
    <w:rPr>
      <w:sz w:val="26"/>
    </w:rPr>
  </w:style>
  <w:style w:type="paragraph" w:customStyle="1" w:styleId="Default">
    <w:name w:val="Default"/>
    <w:rsid w:val="002B19F6"/>
    <w:pPr>
      <w:autoSpaceDE w:val="0"/>
      <w:autoSpaceDN w:val="0"/>
      <w:adjustRightInd w:val="0"/>
    </w:pPr>
    <w:rPr>
      <w:rFonts w:ascii="Century Gothic" w:hAnsi="Century Gothic" w:cs="Century Gothic"/>
      <w:color w:val="000000"/>
      <w:sz w:val="24"/>
      <w:szCs w:val="24"/>
    </w:rPr>
  </w:style>
  <w:style w:type="paragraph" w:customStyle="1" w:styleId="Pa0">
    <w:name w:val="Pa0"/>
    <w:basedOn w:val="Default"/>
    <w:next w:val="Default"/>
    <w:uiPriority w:val="99"/>
    <w:rsid w:val="002B19F6"/>
    <w:pPr>
      <w:spacing w:line="241" w:lineRule="atLeast"/>
    </w:pPr>
    <w:rPr>
      <w:rFonts w:cs="Times New Roman"/>
      <w:color w:val="auto"/>
    </w:rPr>
  </w:style>
  <w:style w:type="character" w:customStyle="1" w:styleId="A0">
    <w:name w:val="A0"/>
    <w:uiPriority w:val="99"/>
    <w:rsid w:val="002B19F6"/>
    <w:rPr>
      <w:rFonts w:cs="Century Gothic"/>
      <w:color w:val="000000"/>
      <w:sz w:val="88"/>
      <w:szCs w:val="8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313709">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chap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9A68A-4045-4BAD-8623-E70C0F27E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0</TotalTime>
  <Pages>24</Pages>
  <Words>8088</Words>
  <Characters>47229</Characters>
  <Application>Microsoft Office Word</Application>
  <DocSecurity>4</DocSecurity>
  <Lines>393</Lines>
  <Paragraphs>110</Paragraphs>
  <ScaleCrop>false</ScaleCrop>
  <HeadingPairs>
    <vt:vector size="2" baseType="variant">
      <vt:variant>
        <vt:lpstr>Title</vt:lpstr>
      </vt:variant>
      <vt:variant>
        <vt:i4>1</vt:i4>
      </vt:variant>
    </vt:vector>
  </HeadingPairs>
  <TitlesOfParts>
    <vt:vector size="1" baseType="lpstr">
      <vt:lpstr>Productivity policies</vt:lpstr>
    </vt:vector>
  </TitlesOfParts>
  <Company>Productivity Commission</Company>
  <LinksUpToDate>false</LinksUpToDate>
  <CharactersWithSpaces>55207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Productivity policies</dc:title>
  <dc:subject>Productivity Policies</dc:subject>
  <dc:creator>Gary.Banks@pc.gov.au</dc:creator>
  <dc:description>1.</dc:description>
  <cp:lastModifiedBy>Productivity Commission</cp:lastModifiedBy>
  <cp:revision>2</cp:revision>
  <cp:lastPrinted>2012-10-31T04:53:00Z</cp:lastPrinted>
  <dcterms:created xsi:type="dcterms:W3CDTF">2012-11-06T23:01:00Z</dcterms:created>
  <dcterms:modified xsi:type="dcterms:W3CDTF">2012-11-06T23:01:00Z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