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D12" w:rsidRDefault="00F97D12" w:rsidP="001D4B1F">
      <w:pPr>
        <w:pStyle w:val="TOC1"/>
      </w:pPr>
      <w:r>
        <w:rPr>
          <w:noProof/>
          <w:lang w:eastAsia="en-AU"/>
        </w:rPr>
        <w:drawing>
          <wp:anchor distT="0" distB="0" distL="114300" distR="114300" simplePos="0" relativeHeight="251658240" behindDoc="0" locked="0" layoutInCell="1" allowOverlap="1">
            <wp:simplePos x="1152525" y="-6362700"/>
            <wp:positionH relativeFrom="page">
              <wp:align>center</wp:align>
            </wp:positionH>
            <wp:positionV relativeFrom="page">
              <wp:align>bottom</wp:align>
            </wp:positionV>
            <wp:extent cx="7560000" cy="10155600"/>
            <wp:effectExtent l="0" t="0" r="3175" b="0"/>
            <wp:wrapNone/>
            <wp:docPr id="2" name="Picture 2" descr="Cover image.&#10;The Australian Government Productivity Commission logo.&#10;The title is &quot;Advancing the Reforem Agenda: Selected Speeches&quot; by Gary Banks. Published Decem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chairman-speech-compendium-2-v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556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602523">
        <w:t>2012</w:t>
      </w:r>
    </w:p>
    <w:p w:rsidR="00FB4841" w:rsidRPr="007809B8" w:rsidRDefault="00FB4841">
      <w:pPr>
        <w:pStyle w:val="BodyText"/>
        <w:tabs>
          <w:tab w:val="left" w:pos="851"/>
        </w:tabs>
        <w:spacing w:before="200" w:after="120"/>
        <w:jc w:val="left"/>
        <w:rPr>
          <w:b/>
          <w:sz w:val="24"/>
        </w:rPr>
      </w:pPr>
      <w:bookmarkStart w:id="0" w:name="ISSN"/>
      <w:bookmarkEnd w:id="0"/>
      <w:r>
        <w:rPr>
          <w:b/>
          <w:sz w:val="24"/>
        </w:rPr>
        <w:t>ISBN</w:t>
      </w:r>
      <w:r>
        <w:rPr>
          <w:b/>
          <w:sz w:val="24"/>
        </w:rPr>
        <w:tab/>
      </w:r>
      <w:r w:rsidRPr="00FB4841">
        <w:rPr>
          <w:b/>
          <w:sz w:val="24"/>
        </w:rPr>
        <w:t>978-1-74037-422-4</w:t>
      </w:r>
    </w:p>
    <w:p w:rsidR="003E7802" w:rsidRPr="00F4234E" w:rsidRDefault="003E7802" w:rsidP="00F4234E">
      <w:pPr>
        <w:pStyle w:val="BodyText"/>
      </w:pPr>
      <w:r w:rsidRPr="00F4234E">
        <w:t>This work is copyright. Apart from any use as permitted under the</w:t>
      </w:r>
      <w:r w:rsidRPr="00F4234E">
        <w:rPr>
          <w:i/>
        </w:rPr>
        <w:t xml:space="preserve"> Copyright Act</w:t>
      </w:r>
      <w:r w:rsidR="00FB4841">
        <w:rPr>
          <w:i/>
        </w:rPr>
        <w: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FB4841" w:rsidP="00D1209E">
      <w:pPr>
        <w:pStyle w:val="BodyText"/>
        <w:spacing w:before="160" w:after="480" w:line="240" w:lineRule="auto"/>
        <w:rPr>
          <w:sz w:val="24"/>
          <w:szCs w:val="24"/>
        </w:rPr>
      </w:pPr>
      <w:r w:rsidRPr="00FB4841">
        <w:rPr>
          <w:sz w:val="24"/>
          <w:szCs w:val="24"/>
        </w:rPr>
        <w:t>Banks, G. 201</w:t>
      </w:r>
      <w:r>
        <w:rPr>
          <w:sz w:val="24"/>
          <w:szCs w:val="24"/>
        </w:rPr>
        <w:t>2</w:t>
      </w:r>
      <w:r w:rsidRPr="00FB4841">
        <w:rPr>
          <w:sz w:val="24"/>
          <w:szCs w:val="24"/>
        </w:rPr>
        <w:t xml:space="preserve">, </w:t>
      </w:r>
      <w:r w:rsidRPr="00780138">
        <w:rPr>
          <w:i/>
          <w:sz w:val="24"/>
          <w:szCs w:val="24"/>
        </w:rPr>
        <w:t>Advancing the Reform Agenda: Selected Speeches</w:t>
      </w:r>
      <w:r w:rsidRPr="00FB4841">
        <w:rPr>
          <w:sz w:val="24"/>
          <w:szCs w:val="24"/>
        </w:rPr>
        <w:t xml:space="preserve">, Productivity Commission, </w:t>
      </w:r>
      <w:r>
        <w:rPr>
          <w:sz w:val="24"/>
          <w:szCs w:val="24"/>
        </w:rPr>
        <w:t>Canberra</w:t>
      </w:r>
      <w:r w:rsidRPr="00FB4841">
        <w:rPr>
          <w:sz w:val="24"/>
          <w:szCs w:val="24"/>
        </w:rPr>
        <w:t>.</w:t>
      </w:r>
    </w:p>
    <w:p w:rsidR="003E7802" w:rsidRPr="00DC75C7" w:rsidRDefault="003E7802" w:rsidP="00F4234E">
      <w:pPr>
        <w:pStyle w:val="PCBoxHeading"/>
      </w:pPr>
      <w:bookmarkStart w:id="1" w:name="JEL"/>
      <w:bookmarkEnd w:id="1"/>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F97D12">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418" w:right="1304" w:bottom="567" w:left="1814" w:header="1701" w:footer="567" w:gutter="0"/>
          <w:pgNumType w:start="2"/>
          <w:cols w:space="720"/>
          <w:titlePg/>
        </w:sectPr>
      </w:pPr>
      <w:bookmarkStart w:id="2" w:name="cov"/>
      <w:bookmarkEnd w:id="2"/>
    </w:p>
    <w:p w:rsidR="00FB4841" w:rsidRDefault="00FB4841">
      <w:pPr>
        <w:pStyle w:val="Heading1"/>
      </w:pPr>
      <w:bookmarkStart w:id="3" w:name="_Toc340565740"/>
      <w:r>
        <w:lastRenderedPageBreak/>
        <w:t>Foreword</w:t>
      </w:r>
      <w:bookmarkEnd w:id="3"/>
    </w:p>
    <w:p w:rsidR="00A072C6" w:rsidRDefault="00A072C6" w:rsidP="00A072C6">
      <w:pPr>
        <w:pStyle w:val="BodyText"/>
      </w:pPr>
      <w:r>
        <w:t>There is increasing recognition of the fundamental importance of productivity to Australia’s future prosperity. But there is also much contention and confusion about what ‘productivity’ means, what is behind recent declines and how government policy can best promote productivity growth. The essays in this volume are broadly concerned with these questions. They have been chosen from among speeches delivered in a variety of forums since early 2010. They are organised here in two categories: those that focus primarily on the policy agenda and those that are concerned with how to get there.</w:t>
      </w:r>
    </w:p>
    <w:p w:rsidR="00A072C6" w:rsidRDefault="00A072C6" w:rsidP="00A072C6">
      <w:pPr>
        <w:pStyle w:val="BodyText"/>
      </w:pPr>
      <w:r>
        <w:t>As with the speeches published in an earlier compendium, a number were co</w:t>
      </w:r>
      <w:r>
        <w:noBreakHyphen/>
        <w:t xml:space="preserve">written with colleagues. Moreover, every speech benefitted greatly from wider feedback from within the Commission. In particular, a draft of my speech on the ‘to do’ list </w:t>
      </w:r>
      <w:r>
        <w:sym w:font="Symbol" w:char="F0BE"/>
      </w:r>
      <w:r>
        <w:t xml:space="preserve"> the most recent and the first in this volume </w:t>
      </w:r>
      <w:r>
        <w:sym w:font="Symbol" w:char="F0BE"/>
      </w:r>
      <w:r>
        <w:t xml:space="preserve"> was widely circulated among Commissioners and senior staff, whose comments and suggestions helped ensure that the final version was largely a collective view. Of course all of the speeches have had the advantage of drawing on the accumulated store of Commission research and policy advice.</w:t>
      </w:r>
    </w:p>
    <w:p w:rsidR="00A072C6" w:rsidRDefault="00A072C6" w:rsidP="00A072C6">
      <w:pPr>
        <w:pStyle w:val="BodyText"/>
      </w:pPr>
      <w:r>
        <w:t>Finally, with my third term as Chairman coming to an end, I take this opportunity to thank more generally all those with whom I have worked over the years. That includes above all the talented members of staff who have constituted the core of this institution’s capability throughout its history. No doubt for many of our younger people today, the thought of staying on at the Commission as long as its Chairman would be incomprehensible. In my defence, I would say that I can think of no better place of work for someone who wants to make a difference to people’s lives through good public policy, and doesn’t mind how long it can take.</w:t>
      </w:r>
    </w:p>
    <w:p w:rsidR="00B96F9F" w:rsidRDefault="00B96F9F" w:rsidP="00B96F9F">
      <w:pPr>
        <w:pStyle w:val="BodyText"/>
        <w:spacing w:before="480"/>
      </w:pPr>
      <w:r>
        <w:t>Gary Banks AO</w:t>
      </w:r>
    </w:p>
    <w:p w:rsidR="00B96F9F" w:rsidRDefault="00B96F9F" w:rsidP="00B96F9F">
      <w:pPr>
        <w:pStyle w:val="BodyText"/>
        <w:contextualSpacing/>
      </w:pPr>
      <w:r>
        <w:t>Chairman</w:t>
      </w:r>
    </w:p>
    <w:p w:rsidR="000C501E" w:rsidRDefault="00B96F9F" w:rsidP="00B96F9F">
      <w:pPr>
        <w:pStyle w:val="BodyText"/>
        <w:contextualSpacing/>
      </w:pPr>
      <w:r>
        <w:t>December 2012</w:t>
      </w:r>
      <w:r w:rsidR="000C501E">
        <w:br w:type="page"/>
      </w:r>
    </w:p>
    <w:p w:rsidR="00B96F9F" w:rsidRDefault="00B96F9F" w:rsidP="00B96F9F">
      <w:pPr>
        <w:pStyle w:val="BodyText"/>
        <w:contextualSpacing/>
      </w:pPr>
    </w:p>
    <w:p w:rsidR="00FB4841" w:rsidRDefault="00B96F9F" w:rsidP="00FB4841">
      <w:pPr>
        <w:pStyle w:val="Heading1"/>
        <w:spacing w:before="4080" w:after="0"/>
        <w:jc w:val="center"/>
        <w:rPr>
          <w:sz w:val="40"/>
          <w:szCs w:val="40"/>
        </w:rPr>
      </w:pPr>
      <w:bookmarkStart w:id="4" w:name="_GoBack"/>
      <w:r>
        <w:rPr>
          <w:noProof/>
          <w:lang w:eastAsia="en-AU"/>
        </w:rPr>
        <w:drawing>
          <wp:inline distT="0" distB="0" distL="0" distR="0" wp14:anchorId="44562977" wp14:editId="388182E9">
            <wp:extent cx="1897200" cy="2844000"/>
            <wp:effectExtent l="0" t="0" r="8255" b="0"/>
            <wp:docPr id="1" name="Picture 1" descr="Gary Banks 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_preferred_2012.jpg"/>
                    <pic:cNvPicPr/>
                  </pic:nvPicPr>
                  <pic:blipFill>
                    <a:blip r:embed="rId16" cstate="print">
                      <a:grayscl/>
                      <a:extLst>
                        <a:ext uri="{28A0092B-C50C-407E-A947-70E740481C1C}">
                          <a14:useLocalDpi xmlns:a14="http://schemas.microsoft.com/office/drawing/2010/main" val="0"/>
                        </a:ext>
                      </a:extLst>
                    </a:blip>
                    <a:stretch>
                      <a:fillRect/>
                    </a:stretch>
                  </pic:blipFill>
                  <pic:spPr>
                    <a:xfrm>
                      <a:off x="0" y="0"/>
                      <a:ext cx="1897200" cy="2844000"/>
                    </a:xfrm>
                    <a:prstGeom prst="rect">
                      <a:avLst/>
                    </a:prstGeom>
                  </pic:spPr>
                </pic:pic>
              </a:graphicData>
            </a:graphic>
          </wp:inline>
        </w:drawing>
      </w:r>
      <w:bookmarkEnd w:id="4"/>
    </w:p>
    <w:p w:rsidR="00FB4841" w:rsidRPr="002D500D" w:rsidRDefault="00FB4841" w:rsidP="00FB4841">
      <w:pPr>
        <w:pStyle w:val="Heading1"/>
        <w:spacing w:before="240" w:after="120"/>
        <w:jc w:val="center"/>
        <w:rPr>
          <w:sz w:val="40"/>
          <w:szCs w:val="40"/>
        </w:rPr>
      </w:pPr>
      <w:bookmarkStart w:id="5" w:name="_Toc340565742"/>
      <w:r w:rsidRPr="002D500D">
        <w:rPr>
          <w:sz w:val="40"/>
          <w:szCs w:val="40"/>
        </w:rPr>
        <w:t>Gary Banks AO</w:t>
      </w:r>
      <w:bookmarkEnd w:id="5"/>
    </w:p>
    <w:p w:rsidR="00A072C6" w:rsidRDefault="00A072C6" w:rsidP="00A072C6">
      <w:pPr>
        <w:pStyle w:val="BodyText"/>
      </w:pPr>
      <w:r w:rsidRPr="00230DF1">
        <w:t>Gary Banks has been Chairman of the Productivity Commissio</w:t>
      </w:r>
      <w:r>
        <w:t>n since its inception in 1998. Throughout his career, h</w:t>
      </w:r>
      <w:r w:rsidRPr="00230DF1">
        <w:t xml:space="preserve">e has </w:t>
      </w:r>
      <w:r>
        <w:t xml:space="preserve">also </w:t>
      </w:r>
      <w:r w:rsidRPr="00230DF1">
        <w:t xml:space="preserve">worked for all three of the Commission’s predecessors — the Tariff Board, Industries Assistance Commission </w:t>
      </w:r>
      <w:r>
        <w:t>and Industry Commission. He</w:t>
      </w:r>
      <w:r w:rsidRPr="00230DF1">
        <w:t xml:space="preserve"> spent nearly a decade working overseas with the GATT Secretariat in Geneva</w:t>
      </w:r>
      <w:r>
        <w:t xml:space="preserve"> from the mid-</w:t>
      </w:r>
      <w:proofErr w:type="spellStart"/>
      <w:r>
        <w:t>1970s</w:t>
      </w:r>
      <w:proofErr w:type="spellEnd"/>
      <w:r>
        <w:t>, as well as</w:t>
      </w:r>
      <w:r w:rsidRPr="00230DF1">
        <w:t xml:space="preserve"> at the Trade Policy Research Centre, London. In the late </w:t>
      </w:r>
      <w:proofErr w:type="spellStart"/>
      <w:r w:rsidRPr="00230DF1">
        <w:t>1980s</w:t>
      </w:r>
      <w:proofErr w:type="spellEnd"/>
      <w:r w:rsidRPr="00230DF1">
        <w:t>, he was a consultant with the Centre for International Economics in Canberra. Since his first appointment as a Commis</w:t>
      </w:r>
      <w:r>
        <w:t>sioner in March 1990, Gary</w:t>
      </w:r>
      <w:r w:rsidRPr="00230DF1">
        <w:t xml:space="preserve"> has headed </w:t>
      </w:r>
      <w:r>
        <w:t xml:space="preserve">over </w:t>
      </w:r>
      <w:r w:rsidRPr="00230DF1">
        <w:t xml:space="preserve">two dozen public inquiries. </w:t>
      </w:r>
      <w:r>
        <w:t xml:space="preserve">As Productivity Commission Chairman, he has also chaired </w:t>
      </w:r>
      <w:r w:rsidRPr="00230DF1">
        <w:t>the Government Services Review process under the Council of Australian Governments. He headed the Australian Government’s Regulation Taskforce in 2006 and was a member of the 1998 Review of Higher</w:t>
      </w:r>
      <w:r>
        <w:t xml:space="preserve"> Education. He</w:t>
      </w:r>
      <w:r w:rsidRPr="00230DF1">
        <w:t xml:space="preserve"> was made an Officer of the Order of Australia in 2007, for ‘services to the development of public policy</w:t>
      </w:r>
      <w:r>
        <w:t xml:space="preserve"> in microeconomic reform and regulation</w:t>
      </w:r>
      <w:r w:rsidRPr="00230DF1">
        <w:t>’.</w:t>
      </w:r>
    </w:p>
    <w:p w:rsidR="00FB4841" w:rsidRDefault="00A072C6" w:rsidP="00A072C6">
      <w:pPr>
        <w:pStyle w:val="BodyText"/>
      </w:pPr>
      <w:r>
        <w:t>In early 2013, Gary Banks will take up a new role as Dean and Chief Executive of the Australia and New Zealand School of Government, together with a Professorial Fellowship at Melbourne University.</w:t>
      </w:r>
    </w:p>
    <w:p w:rsidR="00FB4841" w:rsidRDefault="00FB4841" w:rsidP="00D21EC8">
      <w:pPr>
        <w:pStyle w:val="BodyText"/>
        <w:sectPr w:rsidR="00FB4841" w:rsidSect="00F97D12">
          <w:headerReference w:type="even" r:id="rId17"/>
          <w:headerReference w:type="default" r:id="rId18"/>
          <w:footerReference w:type="even" r:id="rId19"/>
          <w:footerReference w:type="default" r:id="rId20"/>
          <w:type w:val="oddPage"/>
          <w:pgSz w:w="11907" w:h="16840" w:code="9"/>
          <w:pgMar w:top="1985" w:right="1304" w:bottom="1418" w:left="1814" w:header="1701" w:footer="567" w:gutter="0"/>
          <w:pgNumType w:fmt="lowerRoman" w:start="3"/>
          <w:cols w:space="720"/>
        </w:sectPr>
      </w:pPr>
    </w:p>
    <w:p w:rsidR="00794D27" w:rsidRDefault="00735FEA" w:rsidP="008206EE">
      <w:pPr>
        <w:pStyle w:val="Heading1NotTOC"/>
        <w:rPr>
          <w:noProof/>
        </w:rPr>
      </w:pPr>
      <w:bookmarkStart w:id="6" w:name="Contents"/>
      <w:bookmarkEnd w:id="6"/>
      <w:r w:rsidRPr="00B153C3">
        <w:lastRenderedPageBreak/>
        <w:t>Contents</w:t>
      </w:r>
      <w:bookmarkStart w:id="7" w:name="InsertContents"/>
      <w:bookmarkEnd w:id="7"/>
      <w:r w:rsidR="00794D27">
        <w:fldChar w:fldCharType="begin"/>
      </w:r>
      <w:r w:rsidR="00794D27">
        <w:instrText xml:space="preserve"> TOC \t "Part Title,1,Heading 1,1,chapter,1,Heading 2,2,2,3,3,Heading 2,3" </w:instrText>
      </w:r>
      <w:r w:rsidR="00794D27">
        <w:fldChar w:fldCharType="separate"/>
      </w:r>
    </w:p>
    <w:p w:rsidR="00794D27" w:rsidRDefault="00794D27">
      <w:pPr>
        <w:pStyle w:val="TOC1"/>
        <w:rPr>
          <w:rFonts w:asciiTheme="minorHAnsi" w:eastAsiaTheme="minorEastAsia" w:hAnsiTheme="minorHAnsi" w:cstheme="minorBidi"/>
          <w:b w:val="0"/>
          <w:noProof/>
          <w:sz w:val="22"/>
          <w:szCs w:val="22"/>
          <w:lang w:eastAsia="en-AU"/>
        </w:rPr>
      </w:pPr>
      <w:r>
        <w:rPr>
          <w:noProof/>
        </w:rPr>
        <w:t>Foreword</w:t>
      </w:r>
      <w:r>
        <w:rPr>
          <w:noProof/>
        </w:rPr>
        <w:tab/>
      </w:r>
      <w:r>
        <w:rPr>
          <w:noProof/>
        </w:rPr>
        <w:fldChar w:fldCharType="begin"/>
      </w:r>
      <w:r>
        <w:rPr>
          <w:noProof/>
        </w:rPr>
        <w:instrText xml:space="preserve"> PAGEREF _Toc340565740 \h </w:instrText>
      </w:r>
      <w:r>
        <w:rPr>
          <w:noProof/>
        </w:rPr>
      </w:r>
      <w:r>
        <w:rPr>
          <w:noProof/>
        </w:rPr>
        <w:fldChar w:fldCharType="separate"/>
      </w:r>
      <w:r w:rsidR="00DC0ED8">
        <w:rPr>
          <w:noProof/>
        </w:rPr>
        <w:t>iv</w:t>
      </w:r>
      <w:r>
        <w:rPr>
          <w:noProof/>
        </w:rPr>
        <w:fldChar w:fldCharType="end"/>
      </w:r>
    </w:p>
    <w:p w:rsidR="00794D27" w:rsidRDefault="00794D27">
      <w:pPr>
        <w:pStyle w:val="TOC1"/>
        <w:rPr>
          <w:rFonts w:asciiTheme="minorHAnsi" w:eastAsiaTheme="minorEastAsia" w:hAnsiTheme="minorHAnsi" w:cstheme="minorBidi"/>
          <w:b w:val="0"/>
          <w:noProof/>
          <w:sz w:val="22"/>
          <w:szCs w:val="22"/>
          <w:lang w:eastAsia="en-AU"/>
        </w:rPr>
      </w:pPr>
      <w:r>
        <w:rPr>
          <w:noProof/>
        </w:rPr>
        <w:t>Gary Banks AO</w:t>
      </w:r>
      <w:r>
        <w:rPr>
          <w:noProof/>
        </w:rPr>
        <w:tab/>
      </w:r>
      <w:r>
        <w:rPr>
          <w:noProof/>
        </w:rPr>
        <w:fldChar w:fldCharType="begin"/>
      </w:r>
      <w:r>
        <w:rPr>
          <w:noProof/>
        </w:rPr>
        <w:instrText xml:space="preserve"> PAGEREF _Toc340565742 \h </w:instrText>
      </w:r>
      <w:r>
        <w:rPr>
          <w:noProof/>
        </w:rPr>
      </w:r>
      <w:r>
        <w:rPr>
          <w:noProof/>
        </w:rPr>
        <w:fldChar w:fldCharType="separate"/>
      </w:r>
      <w:r w:rsidR="00DC0ED8">
        <w:rPr>
          <w:noProof/>
        </w:rPr>
        <w:t>iv</w:t>
      </w:r>
      <w:r>
        <w:rPr>
          <w:noProof/>
        </w:rPr>
        <w:fldChar w:fldCharType="end"/>
      </w:r>
    </w:p>
    <w:p w:rsidR="00794D27" w:rsidRPr="00794D27" w:rsidRDefault="00794D27" w:rsidP="00794D27">
      <w:pPr>
        <w:pStyle w:val="TOC1"/>
        <w:spacing w:before="360"/>
        <w:rPr>
          <w:rFonts w:asciiTheme="minorHAnsi" w:eastAsiaTheme="minorEastAsia" w:hAnsiTheme="minorHAnsi" w:cstheme="minorBidi"/>
          <w:b w:val="0"/>
          <w:noProof/>
          <w:sz w:val="22"/>
          <w:szCs w:val="22"/>
          <w:lang w:eastAsia="en-AU"/>
        </w:rPr>
      </w:pPr>
      <w:r w:rsidRPr="00794D27">
        <w:rPr>
          <w:b w:val="0"/>
          <w:smallCaps/>
          <w:noProof/>
          <w:spacing w:val="60"/>
          <w:sz w:val="28"/>
          <w:szCs w:val="28"/>
        </w:rPr>
        <w:t>Part 1 The reform agenda</w:t>
      </w:r>
      <w:r>
        <w:rPr>
          <w:noProof/>
          <w:sz w:val="28"/>
          <w:szCs w:val="28"/>
        </w:rPr>
        <w:tab/>
        <w:t>1</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Productivity policies: the ‘to do’ list</w:t>
      </w:r>
      <w:r>
        <w:rPr>
          <w:noProof/>
        </w:rPr>
        <w:tab/>
        <w:t>3</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Advancing Australia’s ‘</w:t>
      </w:r>
      <w:r w:rsidR="00224DB2">
        <w:rPr>
          <w:noProof/>
        </w:rPr>
        <w:t>h</w:t>
      </w:r>
      <w:r>
        <w:rPr>
          <w:noProof/>
        </w:rPr>
        <w:t xml:space="preserve">uman </w:t>
      </w:r>
      <w:r w:rsidR="00224DB2">
        <w:rPr>
          <w:noProof/>
        </w:rPr>
        <w:t>c</w:t>
      </w:r>
      <w:r>
        <w:rPr>
          <w:noProof/>
        </w:rPr>
        <w:t xml:space="preserve">apital </w:t>
      </w:r>
      <w:r w:rsidR="00224DB2">
        <w:rPr>
          <w:noProof/>
        </w:rPr>
        <w:t>a</w:t>
      </w:r>
      <w:r>
        <w:rPr>
          <w:noProof/>
        </w:rPr>
        <w:t>genda’</w:t>
      </w:r>
      <w:r>
        <w:rPr>
          <w:noProof/>
        </w:rPr>
        <w:tab/>
        <w:t>27</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 xml:space="preserve">Competition Policy’s regulatory innovations: </w:t>
      </w:r>
      <w:r w:rsidRPr="00751189">
        <w:rPr>
          <w:i/>
          <w:noProof/>
        </w:rPr>
        <w:t>quo vadis?</w:t>
      </w:r>
      <w:r>
        <w:rPr>
          <w:noProof/>
        </w:rPr>
        <w:tab/>
        <w:t>45</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Australia’s mining boom: what’s the problem?</w:t>
      </w:r>
      <w:r>
        <w:rPr>
          <w:noProof/>
        </w:rPr>
        <w:tab/>
        <w:t>71</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Industry assistance in a ‘patchwork economy’</w:t>
      </w:r>
      <w:r>
        <w:rPr>
          <w:noProof/>
        </w:rPr>
        <w:tab/>
        <w:t>87</w:t>
      </w:r>
    </w:p>
    <w:p w:rsidR="00794D27" w:rsidRPr="00794D27" w:rsidRDefault="00794D27" w:rsidP="00794D27">
      <w:pPr>
        <w:pStyle w:val="TOC1"/>
        <w:spacing w:before="360"/>
        <w:rPr>
          <w:rFonts w:asciiTheme="minorHAnsi" w:eastAsiaTheme="minorEastAsia" w:hAnsiTheme="minorHAnsi" w:cstheme="minorBidi"/>
          <w:b w:val="0"/>
          <w:noProof/>
          <w:sz w:val="22"/>
          <w:szCs w:val="22"/>
          <w:lang w:eastAsia="en-AU"/>
        </w:rPr>
      </w:pPr>
      <w:r w:rsidRPr="00794D27">
        <w:rPr>
          <w:b w:val="0"/>
          <w:smallCaps/>
          <w:noProof/>
          <w:spacing w:val="60"/>
          <w:sz w:val="28"/>
          <w:szCs w:val="28"/>
        </w:rPr>
        <w:t>Part 2 Achieving successful reform</w:t>
      </w:r>
      <w:r w:rsidRPr="00931577">
        <w:rPr>
          <w:noProof/>
          <w:sz w:val="28"/>
          <w:szCs w:val="28"/>
        </w:rPr>
        <w:tab/>
      </w:r>
      <w:r>
        <w:rPr>
          <w:noProof/>
          <w:sz w:val="28"/>
          <w:szCs w:val="28"/>
        </w:rPr>
        <w:t>101</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 xml:space="preserve">Successful </w:t>
      </w:r>
      <w:r w:rsidR="00224DB2">
        <w:rPr>
          <w:noProof/>
        </w:rPr>
        <w:t>r</w:t>
      </w:r>
      <w:r>
        <w:rPr>
          <w:noProof/>
        </w:rPr>
        <w:t xml:space="preserve">eform: </w:t>
      </w:r>
      <w:r w:rsidR="00224DB2">
        <w:rPr>
          <w:noProof/>
        </w:rPr>
        <w:t>p</w:t>
      </w:r>
      <w:r>
        <w:rPr>
          <w:noProof/>
        </w:rPr>
        <w:t xml:space="preserve">ast </w:t>
      </w:r>
      <w:r w:rsidR="00224DB2">
        <w:rPr>
          <w:noProof/>
        </w:rPr>
        <w:t>l</w:t>
      </w:r>
      <w:r>
        <w:rPr>
          <w:noProof/>
        </w:rPr>
        <w:t xml:space="preserve">essons, </w:t>
      </w:r>
      <w:r w:rsidR="00224DB2">
        <w:rPr>
          <w:noProof/>
        </w:rPr>
        <w:t>f</w:t>
      </w:r>
      <w:r>
        <w:rPr>
          <w:noProof/>
        </w:rPr>
        <w:t xml:space="preserve">uture </w:t>
      </w:r>
      <w:r w:rsidR="00224DB2">
        <w:rPr>
          <w:noProof/>
        </w:rPr>
        <w:t>c</w:t>
      </w:r>
      <w:r>
        <w:rPr>
          <w:noProof/>
        </w:rPr>
        <w:t>hallenges</w:t>
      </w:r>
      <w:r>
        <w:rPr>
          <w:noProof/>
        </w:rPr>
        <w:tab/>
        <w:t>103</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Independent policy advice and the Productivity Commission</w:t>
      </w:r>
      <w:r>
        <w:rPr>
          <w:noProof/>
        </w:rPr>
        <w:tab/>
        <w:t>121</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Economics, economists and public policy in Australia</w:t>
      </w:r>
      <w:r>
        <w:rPr>
          <w:noProof/>
        </w:rPr>
        <w:tab/>
        <w:t>135</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Evidence and social policy: the case of gambling</w:t>
      </w:r>
      <w:r>
        <w:rPr>
          <w:noProof/>
        </w:rPr>
        <w:tab/>
        <w:t>145</w:t>
      </w:r>
    </w:p>
    <w:p w:rsidR="00794D27" w:rsidRDefault="00794D27" w:rsidP="00794D27">
      <w:pPr>
        <w:pStyle w:val="TOC1"/>
        <w:ind w:left="850"/>
        <w:rPr>
          <w:rFonts w:asciiTheme="minorHAnsi" w:eastAsiaTheme="minorEastAsia" w:hAnsiTheme="minorHAnsi" w:cstheme="minorBidi"/>
          <w:b w:val="0"/>
          <w:noProof/>
          <w:sz w:val="22"/>
          <w:szCs w:val="22"/>
          <w:lang w:eastAsia="en-AU"/>
        </w:rPr>
      </w:pPr>
      <w:r>
        <w:rPr>
          <w:noProof/>
        </w:rPr>
        <w:t>Statistics, productivity and reform</w:t>
      </w:r>
      <w:r>
        <w:rPr>
          <w:noProof/>
        </w:rPr>
        <w:tab/>
        <w:t>163</w:t>
      </w:r>
    </w:p>
    <w:p w:rsidR="00794D27" w:rsidRPr="000C02DD" w:rsidRDefault="00794D27" w:rsidP="000C02DD">
      <w:pPr>
        <w:pStyle w:val="BodyText"/>
        <w:rPr>
          <w:rStyle w:val="CommentReference"/>
          <w:b w:val="0"/>
          <w:vanish w:val="0"/>
          <w:color w:val="auto"/>
          <w:sz w:val="26"/>
        </w:rPr>
      </w:pPr>
      <w:r>
        <w:fldChar w:fldCharType="end"/>
      </w:r>
      <w:bookmarkStart w:id="8" w:name="Abbreviations"/>
      <w:bookmarkStart w:id="9" w:name="EndContents"/>
      <w:bookmarkStart w:id="10" w:name="RDnote"/>
      <w:bookmarkStart w:id="11" w:name="Glossary"/>
      <w:bookmarkEnd w:id="8"/>
      <w:bookmarkEnd w:id="9"/>
      <w:bookmarkEnd w:id="10"/>
      <w:bookmarkEnd w:id="11"/>
    </w:p>
    <w:sectPr w:rsidR="00794D27" w:rsidRPr="000C02DD" w:rsidSect="00C55A45">
      <w:headerReference w:type="even" r:id="rId21"/>
      <w:headerReference w:type="default" r:id="rId22"/>
      <w:footerReference w:type="even" r:id="rId23"/>
      <w:footerReference w:type="default" r:id="rId24"/>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F9F" w:rsidRDefault="00B96F9F">
      <w:r>
        <w:separator/>
      </w:r>
    </w:p>
    <w:p w:rsidR="00B96F9F" w:rsidRDefault="00B96F9F"/>
    <w:p w:rsidR="00B96F9F" w:rsidRDefault="00B96F9F"/>
  </w:endnote>
  <w:endnote w:type="continuationSeparator" w:id="0">
    <w:p w:rsidR="00B96F9F" w:rsidRDefault="00B96F9F">
      <w:r>
        <w:continuationSeparator/>
      </w:r>
    </w:p>
    <w:p w:rsidR="00B96F9F" w:rsidRDefault="00B96F9F"/>
    <w:p w:rsidR="00B96F9F" w:rsidRDefault="00B96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8" w:rsidRDefault="00DC0E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8" w:rsidRDefault="00DC0E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8" w:rsidRDefault="00DC0ED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96F9F">
      <w:trPr>
        <w:trHeight w:hRule="exact" w:val="740"/>
      </w:trPr>
      <w:tc>
        <w:tcPr>
          <w:tcW w:w="510" w:type="dxa"/>
          <w:tcBorders>
            <w:top w:val="single" w:sz="6" w:space="0" w:color="auto"/>
          </w:tcBorders>
        </w:tcPr>
        <w:p w:rsidR="00B96F9F" w:rsidRPr="008206EE" w:rsidRDefault="00B96F9F">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8123A">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B96F9F" w:rsidRPr="00603344" w:rsidRDefault="004850C2" w:rsidP="00D21EC8">
          <w:pPr>
            <w:pStyle w:val="Footer"/>
          </w:pPr>
          <w:r>
            <w:t>advancing the reform agenda</w:t>
          </w:r>
          <w:r w:rsidR="00752EEF">
            <w:fldChar w:fldCharType="begin"/>
          </w:r>
          <w:r w:rsidR="00752EEF">
            <w:instrText xml:space="preserve"> STYLEREF "Heading 1" \* MERGEFORMAT </w:instrText>
          </w:r>
          <w:r w:rsidR="00752EEF">
            <w:rPr>
              <w:bCs/>
              <w:noProof/>
              <w:lang w:val="en-US"/>
            </w:rPr>
            <w:fldChar w:fldCharType="end"/>
          </w:r>
        </w:p>
      </w:tc>
      <w:tc>
        <w:tcPr>
          <w:tcW w:w="6634" w:type="dxa"/>
        </w:tcPr>
        <w:p w:rsidR="00B96F9F" w:rsidRPr="00603344" w:rsidRDefault="00B96F9F">
          <w:pPr>
            <w:pStyle w:val="Footer"/>
            <w:rPr>
              <w:caps w:val="0"/>
            </w:rPr>
          </w:pPr>
        </w:p>
      </w:tc>
    </w:tr>
  </w:tbl>
  <w:p w:rsidR="00B96F9F" w:rsidRDefault="00B96F9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96F9F" w:rsidTr="008F7DB7">
      <w:trPr>
        <w:trHeight w:hRule="exact" w:val="740"/>
      </w:trPr>
      <w:tc>
        <w:tcPr>
          <w:tcW w:w="6634" w:type="dxa"/>
        </w:tcPr>
        <w:p w:rsidR="00B96F9F" w:rsidRPr="00B3203C" w:rsidRDefault="00B96F9F">
          <w:pPr>
            <w:pStyle w:val="Footer"/>
          </w:pPr>
        </w:p>
      </w:tc>
      <w:tc>
        <w:tcPr>
          <w:tcW w:w="1644" w:type="dxa"/>
          <w:tcBorders>
            <w:top w:val="single" w:sz="6" w:space="0" w:color="auto"/>
          </w:tcBorders>
        </w:tcPr>
        <w:p w:rsidR="00B96F9F" w:rsidRPr="00B3203C" w:rsidRDefault="00B96F9F" w:rsidP="004850C2">
          <w:pPr>
            <w:pStyle w:val="Footer"/>
            <w:rPr>
              <w:rStyle w:val="PageNumber"/>
              <w:noProof/>
            </w:rPr>
          </w:pPr>
          <w:r>
            <w:t>advancing the reform agenda</w:t>
          </w:r>
          <w:r w:rsidRPr="00B3203C">
            <w:rPr>
              <w:noProof/>
            </w:rPr>
            <w:t xml:space="preserve"> </w:t>
          </w:r>
        </w:p>
      </w:tc>
      <w:tc>
        <w:tcPr>
          <w:tcW w:w="510" w:type="dxa"/>
          <w:tcBorders>
            <w:top w:val="single" w:sz="6" w:space="0" w:color="auto"/>
          </w:tcBorders>
        </w:tcPr>
        <w:p w:rsidR="00B96F9F" w:rsidRPr="00C55A45" w:rsidRDefault="00B96F9F">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8123A">
            <w:rPr>
              <w:rStyle w:val="PageNumber"/>
              <w:caps w:val="0"/>
              <w:noProof/>
            </w:rPr>
            <w:t>iii</w:t>
          </w:r>
          <w:r w:rsidRPr="00C55A45">
            <w:rPr>
              <w:rStyle w:val="PageNumber"/>
              <w:caps w:val="0"/>
              <w:noProof/>
            </w:rPr>
            <w:fldChar w:fldCharType="end"/>
          </w:r>
        </w:p>
      </w:tc>
    </w:tr>
  </w:tbl>
  <w:p w:rsidR="00B96F9F" w:rsidRDefault="00B96F9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9F" w:rsidRDefault="00B96F9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96F9F">
      <w:trPr>
        <w:trHeight w:hRule="exact" w:val="740"/>
      </w:trPr>
      <w:tc>
        <w:tcPr>
          <w:tcW w:w="6663" w:type="dxa"/>
        </w:tcPr>
        <w:p w:rsidR="00B96F9F" w:rsidRDefault="00B96F9F">
          <w:pPr>
            <w:pStyle w:val="Footer"/>
          </w:pPr>
        </w:p>
      </w:tc>
      <w:tc>
        <w:tcPr>
          <w:tcW w:w="1615" w:type="dxa"/>
          <w:tcBorders>
            <w:top w:val="single" w:sz="6" w:space="0" w:color="auto"/>
          </w:tcBorders>
        </w:tcPr>
        <w:p w:rsidR="00B96F9F" w:rsidRDefault="0008123A">
          <w:pPr>
            <w:pStyle w:val="Footer"/>
            <w:rPr>
              <w:rStyle w:val="PageNumber"/>
              <w:b w:val="0"/>
            </w:rPr>
          </w:pPr>
          <w:r>
            <w:fldChar w:fldCharType="begin"/>
          </w:r>
          <w:r>
            <w:instrText xml:space="preserve"> STYLEREF "Heading 1" \* MERGEFORMAT </w:instrText>
          </w:r>
          <w:r>
            <w:fldChar w:fldCharType="separate"/>
          </w:r>
          <w:r>
            <w:rPr>
              <w:noProof/>
            </w:rPr>
            <w:t>Gary Banks AO</w:t>
          </w:r>
          <w:r>
            <w:rPr>
              <w:noProof/>
            </w:rPr>
            <w:fldChar w:fldCharType="end"/>
          </w:r>
        </w:p>
      </w:tc>
      <w:tc>
        <w:tcPr>
          <w:tcW w:w="510" w:type="dxa"/>
          <w:tcBorders>
            <w:top w:val="single" w:sz="6" w:space="0" w:color="auto"/>
          </w:tcBorders>
        </w:tcPr>
        <w:p w:rsidR="00B96F9F" w:rsidRPr="00E15FDC" w:rsidRDefault="00B96F9F">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08123A">
            <w:rPr>
              <w:rStyle w:val="PageNumber"/>
              <w:caps w:val="0"/>
              <w:noProof/>
            </w:rPr>
            <w:t>v</w:t>
          </w:r>
          <w:r w:rsidRPr="00E15FDC">
            <w:rPr>
              <w:rStyle w:val="PageNumber"/>
              <w:caps w:val="0"/>
              <w:noProof/>
            </w:rPr>
            <w:fldChar w:fldCharType="end"/>
          </w:r>
        </w:p>
      </w:tc>
    </w:tr>
  </w:tbl>
  <w:p w:rsidR="00B96F9F" w:rsidRDefault="00B96F9F"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F9F" w:rsidRDefault="00B96F9F">
      <w:r>
        <w:separator/>
      </w:r>
    </w:p>
    <w:p w:rsidR="00B96F9F" w:rsidRDefault="00B96F9F"/>
    <w:p w:rsidR="00B96F9F" w:rsidRDefault="00B96F9F"/>
  </w:footnote>
  <w:footnote w:type="continuationSeparator" w:id="0">
    <w:p w:rsidR="00B96F9F" w:rsidRDefault="00B96F9F">
      <w:r>
        <w:continuationSeparator/>
      </w:r>
    </w:p>
    <w:p w:rsidR="00B96F9F" w:rsidRDefault="00B96F9F"/>
    <w:p w:rsidR="00B96F9F" w:rsidRDefault="00B96F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8" w:rsidRDefault="00DC0E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8" w:rsidRDefault="00DC0E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8" w:rsidRDefault="00DC0ED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96F9F">
      <w:tc>
        <w:tcPr>
          <w:tcW w:w="2155" w:type="dxa"/>
          <w:tcBorders>
            <w:top w:val="single" w:sz="24" w:space="0" w:color="auto"/>
          </w:tcBorders>
        </w:tcPr>
        <w:p w:rsidR="00B96F9F" w:rsidRDefault="00B96F9F">
          <w:pPr>
            <w:pStyle w:val="Header"/>
          </w:pPr>
        </w:p>
      </w:tc>
      <w:tc>
        <w:tcPr>
          <w:tcW w:w="6634" w:type="dxa"/>
          <w:tcBorders>
            <w:top w:val="single" w:sz="6" w:space="0" w:color="auto"/>
          </w:tcBorders>
        </w:tcPr>
        <w:p w:rsidR="00B96F9F" w:rsidRDefault="00B96F9F">
          <w:pPr>
            <w:pStyle w:val="Header"/>
          </w:pPr>
        </w:p>
      </w:tc>
    </w:tr>
  </w:tbl>
  <w:p w:rsidR="00B96F9F" w:rsidRDefault="00B96F9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6F9F" w:rsidTr="005C68FE">
      <w:tc>
        <w:tcPr>
          <w:tcW w:w="6634" w:type="dxa"/>
          <w:tcBorders>
            <w:top w:val="single" w:sz="6" w:space="0" w:color="auto"/>
          </w:tcBorders>
        </w:tcPr>
        <w:p w:rsidR="00B96F9F" w:rsidRDefault="00B96F9F" w:rsidP="005C68FE">
          <w:pPr>
            <w:pStyle w:val="HeaderOdd"/>
          </w:pPr>
        </w:p>
      </w:tc>
      <w:tc>
        <w:tcPr>
          <w:tcW w:w="2155" w:type="dxa"/>
          <w:tcBorders>
            <w:top w:val="single" w:sz="24" w:space="0" w:color="auto"/>
          </w:tcBorders>
        </w:tcPr>
        <w:p w:rsidR="00B96F9F" w:rsidRDefault="00B96F9F" w:rsidP="005C68FE">
          <w:pPr>
            <w:pStyle w:val="HeaderOdd"/>
          </w:pPr>
        </w:p>
      </w:tc>
    </w:tr>
  </w:tbl>
  <w:p w:rsidR="00B96F9F" w:rsidRPr="005C68FE" w:rsidRDefault="00B96F9F"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9F" w:rsidRDefault="00B96F9F" w:rsidP="00D732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6F9F">
      <w:tc>
        <w:tcPr>
          <w:tcW w:w="6634" w:type="dxa"/>
          <w:tcBorders>
            <w:top w:val="single" w:sz="6" w:space="0" w:color="auto"/>
          </w:tcBorders>
        </w:tcPr>
        <w:p w:rsidR="00B96F9F" w:rsidRDefault="00B96F9F">
          <w:pPr>
            <w:pStyle w:val="HeaderOdd"/>
          </w:pPr>
        </w:p>
      </w:tc>
      <w:tc>
        <w:tcPr>
          <w:tcW w:w="2155" w:type="dxa"/>
          <w:tcBorders>
            <w:top w:val="single" w:sz="24" w:space="0" w:color="auto"/>
          </w:tcBorders>
        </w:tcPr>
        <w:p w:rsidR="00B96F9F" w:rsidRDefault="00B96F9F">
          <w:pPr>
            <w:pStyle w:val="HeaderOdd"/>
          </w:pPr>
        </w:p>
      </w:tc>
    </w:tr>
  </w:tbl>
  <w:p w:rsidR="00B96F9F" w:rsidRDefault="00B96F9F"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841"/>
    <w:rsid w:val="00017AFC"/>
    <w:rsid w:val="00025878"/>
    <w:rsid w:val="00026B38"/>
    <w:rsid w:val="000502D3"/>
    <w:rsid w:val="000623BF"/>
    <w:rsid w:val="0008123A"/>
    <w:rsid w:val="00095EEA"/>
    <w:rsid w:val="00097C15"/>
    <w:rsid w:val="000A23C1"/>
    <w:rsid w:val="000B416E"/>
    <w:rsid w:val="000C02DD"/>
    <w:rsid w:val="000C3CA5"/>
    <w:rsid w:val="000C501E"/>
    <w:rsid w:val="000F185F"/>
    <w:rsid w:val="000F2F5F"/>
    <w:rsid w:val="00106041"/>
    <w:rsid w:val="0013399B"/>
    <w:rsid w:val="001809AF"/>
    <w:rsid w:val="00181F4B"/>
    <w:rsid w:val="0019031C"/>
    <w:rsid w:val="00196FB3"/>
    <w:rsid w:val="001A5071"/>
    <w:rsid w:val="001B4E73"/>
    <w:rsid w:val="001B7F1E"/>
    <w:rsid w:val="001D4B1F"/>
    <w:rsid w:val="001D6629"/>
    <w:rsid w:val="001F2270"/>
    <w:rsid w:val="00205A82"/>
    <w:rsid w:val="00211BEE"/>
    <w:rsid w:val="002179C6"/>
    <w:rsid w:val="00224DB2"/>
    <w:rsid w:val="00230DF1"/>
    <w:rsid w:val="00261607"/>
    <w:rsid w:val="00263DD1"/>
    <w:rsid w:val="00264D3B"/>
    <w:rsid w:val="00265685"/>
    <w:rsid w:val="00281D5F"/>
    <w:rsid w:val="002923AD"/>
    <w:rsid w:val="00296592"/>
    <w:rsid w:val="002A0A4B"/>
    <w:rsid w:val="002B636E"/>
    <w:rsid w:val="002B64D6"/>
    <w:rsid w:val="002C12F5"/>
    <w:rsid w:val="002D6FCE"/>
    <w:rsid w:val="00356455"/>
    <w:rsid w:val="003B41E0"/>
    <w:rsid w:val="003D624D"/>
    <w:rsid w:val="003E7802"/>
    <w:rsid w:val="00433C81"/>
    <w:rsid w:val="00446D6B"/>
    <w:rsid w:val="00457B3F"/>
    <w:rsid w:val="00463022"/>
    <w:rsid w:val="00481CF0"/>
    <w:rsid w:val="004850C2"/>
    <w:rsid w:val="004B492A"/>
    <w:rsid w:val="004C0B0C"/>
    <w:rsid w:val="004E52E2"/>
    <w:rsid w:val="004E6BB4"/>
    <w:rsid w:val="00515D43"/>
    <w:rsid w:val="0052544D"/>
    <w:rsid w:val="00551FB8"/>
    <w:rsid w:val="00560F43"/>
    <w:rsid w:val="005654D0"/>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1411"/>
    <w:rsid w:val="0070328D"/>
    <w:rsid w:val="00731F96"/>
    <w:rsid w:val="00734127"/>
    <w:rsid w:val="00735FEA"/>
    <w:rsid w:val="00743460"/>
    <w:rsid w:val="00743A27"/>
    <w:rsid w:val="00752EEF"/>
    <w:rsid w:val="00753DC6"/>
    <w:rsid w:val="0075578C"/>
    <w:rsid w:val="007734B5"/>
    <w:rsid w:val="00780138"/>
    <w:rsid w:val="007809B8"/>
    <w:rsid w:val="00794D27"/>
    <w:rsid w:val="008206EE"/>
    <w:rsid w:val="008214B1"/>
    <w:rsid w:val="00836ED7"/>
    <w:rsid w:val="008453AC"/>
    <w:rsid w:val="00860D09"/>
    <w:rsid w:val="00862044"/>
    <w:rsid w:val="008B78B8"/>
    <w:rsid w:val="008C305F"/>
    <w:rsid w:val="008C3AD2"/>
    <w:rsid w:val="008C7C3D"/>
    <w:rsid w:val="008D6F66"/>
    <w:rsid w:val="008E1BEA"/>
    <w:rsid w:val="008E43D2"/>
    <w:rsid w:val="008F04C9"/>
    <w:rsid w:val="008F7DB7"/>
    <w:rsid w:val="009064D3"/>
    <w:rsid w:val="00915300"/>
    <w:rsid w:val="009271FF"/>
    <w:rsid w:val="00933B0C"/>
    <w:rsid w:val="00935676"/>
    <w:rsid w:val="0098401D"/>
    <w:rsid w:val="009A789F"/>
    <w:rsid w:val="009B12EF"/>
    <w:rsid w:val="009B6185"/>
    <w:rsid w:val="009E1E78"/>
    <w:rsid w:val="00A072C6"/>
    <w:rsid w:val="00A1597D"/>
    <w:rsid w:val="00A46989"/>
    <w:rsid w:val="00A57238"/>
    <w:rsid w:val="00A71CE9"/>
    <w:rsid w:val="00A72A19"/>
    <w:rsid w:val="00A75A30"/>
    <w:rsid w:val="00A93C82"/>
    <w:rsid w:val="00AA7E62"/>
    <w:rsid w:val="00AB2A48"/>
    <w:rsid w:val="00AC3236"/>
    <w:rsid w:val="00AD4874"/>
    <w:rsid w:val="00AE1F8A"/>
    <w:rsid w:val="00B036B2"/>
    <w:rsid w:val="00B153C3"/>
    <w:rsid w:val="00B22087"/>
    <w:rsid w:val="00B722F2"/>
    <w:rsid w:val="00B95339"/>
    <w:rsid w:val="00B96F9F"/>
    <w:rsid w:val="00BB334E"/>
    <w:rsid w:val="00BB5DCF"/>
    <w:rsid w:val="00BF1995"/>
    <w:rsid w:val="00BF59EA"/>
    <w:rsid w:val="00BF79CD"/>
    <w:rsid w:val="00C0721B"/>
    <w:rsid w:val="00C10A5D"/>
    <w:rsid w:val="00C3240A"/>
    <w:rsid w:val="00C34C8C"/>
    <w:rsid w:val="00C50792"/>
    <w:rsid w:val="00C55A45"/>
    <w:rsid w:val="00C904D9"/>
    <w:rsid w:val="00C94C06"/>
    <w:rsid w:val="00CA48BF"/>
    <w:rsid w:val="00CB3ACC"/>
    <w:rsid w:val="00CB4745"/>
    <w:rsid w:val="00CD2163"/>
    <w:rsid w:val="00CD4FE7"/>
    <w:rsid w:val="00CE5D96"/>
    <w:rsid w:val="00CE7344"/>
    <w:rsid w:val="00CF1CA4"/>
    <w:rsid w:val="00CF26EE"/>
    <w:rsid w:val="00D1209E"/>
    <w:rsid w:val="00D21EC8"/>
    <w:rsid w:val="00D310F0"/>
    <w:rsid w:val="00D37AC2"/>
    <w:rsid w:val="00D500A9"/>
    <w:rsid w:val="00D64121"/>
    <w:rsid w:val="00D732FE"/>
    <w:rsid w:val="00D772E9"/>
    <w:rsid w:val="00DA31AB"/>
    <w:rsid w:val="00DA3281"/>
    <w:rsid w:val="00DA6D3E"/>
    <w:rsid w:val="00DC02E8"/>
    <w:rsid w:val="00DC0ED8"/>
    <w:rsid w:val="00DC4AAD"/>
    <w:rsid w:val="00DC75C7"/>
    <w:rsid w:val="00DC78D3"/>
    <w:rsid w:val="00DF4592"/>
    <w:rsid w:val="00E15FDC"/>
    <w:rsid w:val="00E17CD1"/>
    <w:rsid w:val="00E2651B"/>
    <w:rsid w:val="00E6632E"/>
    <w:rsid w:val="00E83625"/>
    <w:rsid w:val="00E90CF2"/>
    <w:rsid w:val="00ED0F61"/>
    <w:rsid w:val="00ED49A7"/>
    <w:rsid w:val="00EE73E1"/>
    <w:rsid w:val="00F12107"/>
    <w:rsid w:val="00F13165"/>
    <w:rsid w:val="00F26640"/>
    <w:rsid w:val="00F4234E"/>
    <w:rsid w:val="00F670DD"/>
    <w:rsid w:val="00F7477E"/>
    <w:rsid w:val="00F85393"/>
    <w:rsid w:val="00F97D12"/>
    <w:rsid w:val="00FA4A24"/>
    <w:rsid w:val="00FB4841"/>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tabs>
        <w:tab w:val="clear" w:pos="360"/>
        <w:tab w:val="left" w:pos="340"/>
      </w:tabs>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customStyle="1" w:styleId="FooterChar">
    <w:name w:val="Footer Char"/>
    <w:basedOn w:val="DefaultParagraphFont"/>
    <w:link w:val="Footer"/>
    <w:rsid w:val="00FB4841"/>
    <w:rPr>
      <w:caps/>
      <w:spacing w:val="-4"/>
      <w:sz w:val="16"/>
      <w:lang w:eastAsia="en-US"/>
    </w:rPr>
  </w:style>
  <w:style w:type="character" w:customStyle="1" w:styleId="Heading1Char">
    <w:name w:val="Heading 1 Char"/>
    <w:basedOn w:val="DefaultParagraphFont"/>
    <w:link w:val="Heading1"/>
    <w:rsid w:val="00FB4841"/>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tabs>
        <w:tab w:val="clear" w:pos="360"/>
        <w:tab w:val="left" w:pos="340"/>
      </w:tabs>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customStyle="1" w:styleId="FooterChar">
    <w:name w:val="Footer Char"/>
    <w:basedOn w:val="DefaultParagraphFont"/>
    <w:link w:val="Footer"/>
    <w:rsid w:val="00FB4841"/>
    <w:rPr>
      <w:caps/>
      <w:spacing w:val="-4"/>
      <w:sz w:val="16"/>
      <w:lang w:eastAsia="en-US"/>
    </w:rPr>
  </w:style>
  <w:style w:type="character" w:customStyle="1" w:styleId="Heading1Char">
    <w:name w:val="Heading 1 Char"/>
    <w:basedOn w:val="DefaultParagraphFont"/>
    <w:link w:val="Heading1"/>
    <w:rsid w:val="00FB4841"/>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40622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B6A7B-205A-485F-9418-986E90433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4</TotalTime>
  <Pages>5</Pages>
  <Words>866</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Gary Banks - Chairman - Productivity Commission</dc:creator>
  <cp:lastModifiedBy>Productivity Commission</cp:lastModifiedBy>
  <cp:revision>6</cp:revision>
  <cp:lastPrinted>2012-11-25T22:32:00Z</cp:lastPrinted>
  <dcterms:created xsi:type="dcterms:W3CDTF">2012-12-06T06:50:00Z</dcterms:created>
  <dcterms:modified xsi:type="dcterms:W3CDTF">2012-12-06T23:26:00Z</dcterms:modified>
</cp:coreProperties>
</file>