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762" w:rsidRDefault="00D85667" w:rsidP="00EA1762">
      <w:pPr>
        <w:pStyle w:val="Heading1"/>
        <w:ind w:left="0" w:firstLine="0"/>
        <w:rPr>
          <w:szCs w:val="52"/>
        </w:rPr>
      </w:pPr>
      <w:r>
        <w:t>Industry assistance in a ‘patchwork economy’</w:t>
      </w:r>
      <w:r w:rsidR="009F0009" w:rsidRPr="00B00898">
        <w:rPr>
          <w:rStyle w:val="FootnoteReference"/>
          <w:sz w:val="52"/>
          <w:szCs w:val="52"/>
        </w:rPr>
        <w:footnoteReference w:id="1"/>
      </w:r>
    </w:p>
    <w:p w:rsidR="00A66119" w:rsidRDefault="009A75F3" w:rsidP="00A35115">
      <w:pPr>
        <w:pStyle w:val="BodyText"/>
      </w:pPr>
      <w:r>
        <w:t>T</w:t>
      </w:r>
      <w:r w:rsidR="00A66119">
        <w:t xml:space="preserve">he Commission’s </w:t>
      </w:r>
      <w:r w:rsidR="00D85667">
        <w:t xml:space="preserve">remit </w:t>
      </w:r>
      <w:r w:rsidR="00A66119">
        <w:t>has evolved cons</w:t>
      </w:r>
      <w:r w:rsidR="00307CD4">
        <w:t>iderably over the years, expandi</w:t>
      </w:r>
      <w:r w:rsidR="00A66119">
        <w:t xml:space="preserve">ng beyond the traditional industry </w:t>
      </w:r>
      <w:r w:rsidR="0093327F">
        <w:t xml:space="preserve">assistance </w:t>
      </w:r>
      <w:r w:rsidR="00A66119">
        <w:t>domain of its predecessor</w:t>
      </w:r>
      <w:r w:rsidR="00D85667">
        <w:t>s</w:t>
      </w:r>
      <w:r w:rsidR="00A66119">
        <w:t>, to encompass not only a wide range of other economic issues</w:t>
      </w:r>
      <w:r w:rsidR="00D85667">
        <w:t>,</w:t>
      </w:r>
      <w:r w:rsidR="00A66119">
        <w:t xml:space="preserve"> but also key areas of </w:t>
      </w:r>
      <w:r w:rsidR="00307CD4">
        <w:t>s</w:t>
      </w:r>
      <w:r w:rsidR="00A66119">
        <w:t xml:space="preserve">ocial and environmental policy and regulation. If we have been able to make a useful contribution in </w:t>
      </w:r>
      <w:r w:rsidR="00D85667">
        <w:t xml:space="preserve">these </w:t>
      </w:r>
      <w:r w:rsidR="00A66119">
        <w:t>areas, this can be attributed</w:t>
      </w:r>
      <w:r w:rsidR="0093327F">
        <w:t>,</w:t>
      </w:r>
      <w:r w:rsidR="00A66119">
        <w:t xml:space="preserve"> in large part</w:t>
      </w:r>
      <w:r w:rsidR="0093327F">
        <w:t>,</w:t>
      </w:r>
      <w:r w:rsidR="00A66119">
        <w:t xml:space="preserve"> to what we have learned from business and community groups along the way. For the Commission, consultation is not a discretionary activity; it is integral to our business model.</w:t>
      </w:r>
    </w:p>
    <w:p w:rsidR="00A66119" w:rsidRDefault="009A75F3" w:rsidP="00A35115">
      <w:pPr>
        <w:pStyle w:val="BodyText"/>
      </w:pPr>
      <w:r>
        <w:t>The Australian Chamber of Commerce and Industry h</w:t>
      </w:r>
      <w:r w:rsidR="00A66119">
        <w:t>as been an important source of information and insight in many of the Commission’s public inquiries and studies.</w:t>
      </w:r>
      <w:r w:rsidR="00330B34">
        <w:t xml:space="preserve"> </w:t>
      </w:r>
      <w:r w:rsidR="00A66119">
        <w:t>This reflects well on those involved in the organisation and their interaction with its membership base. But i</w:t>
      </w:r>
      <w:r w:rsidR="003C1ED2">
        <w:t>t</w:t>
      </w:r>
      <w:r w:rsidR="00A66119">
        <w:t xml:space="preserve"> may also </w:t>
      </w:r>
      <w:r w:rsidR="003C1ED2">
        <w:t xml:space="preserve">result </w:t>
      </w:r>
      <w:r w:rsidR="00A66119">
        <w:t>from the very breadth of that membership, comprising busines</w:t>
      </w:r>
      <w:r w:rsidR="00307CD4">
        <w:t>s</w:t>
      </w:r>
      <w:r w:rsidR="00A66119">
        <w:t xml:space="preserve">es of all sizes in all sectors of Australia’s economy. </w:t>
      </w:r>
      <w:r w:rsidR="00D85667">
        <w:t xml:space="preserve">Such </w:t>
      </w:r>
      <w:r w:rsidR="00A66119">
        <w:t>breadth could be expected to encourage the organisation to focus on the ‘big picture’ – on what matters for the generality</w:t>
      </w:r>
      <w:r w:rsidR="00307CD4">
        <w:t xml:space="preserve"> </w:t>
      </w:r>
      <w:r w:rsidR="00A66119">
        <w:t xml:space="preserve">of Australian business, rather than the diverse and sometimes conflicting concerns of particular </w:t>
      </w:r>
      <w:r w:rsidR="00307CD4">
        <w:t>con</w:t>
      </w:r>
      <w:r w:rsidR="003C1ED2">
        <w:t>stituents</w:t>
      </w:r>
      <w:r w:rsidR="00307CD4">
        <w:t>.</w:t>
      </w:r>
    </w:p>
    <w:p w:rsidR="00307CD4" w:rsidRDefault="00307CD4" w:rsidP="00A35115">
      <w:pPr>
        <w:pStyle w:val="BodyText"/>
      </w:pPr>
      <w:r>
        <w:t>This perspective is a</w:t>
      </w:r>
      <w:r w:rsidR="00D85667">
        <w:t>p</w:t>
      </w:r>
      <w:r>
        <w:t xml:space="preserve">tly illustrated by </w:t>
      </w:r>
      <w:r w:rsidR="00D85667">
        <w:t>the theme</w:t>
      </w:r>
      <w:r>
        <w:t xml:space="preserve"> chosen by ACCI for its </w:t>
      </w:r>
      <w:r w:rsidR="009A75F3">
        <w:t xml:space="preserve">annual </w:t>
      </w:r>
      <w:r>
        <w:t xml:space="preserve">dinner: </w:t>
      </w:r>
      <w:r w:rsidR="00D85667">
        <w:t>‘</w:t>
      </w:r>
      <w:r>
        <w:t>prosperity through productivity</w:t>
      </w:r>
      <w:r w:rsidR="003C1ED2">
        <w:t xml:space="preserve">’. </w:t>
      </w:r>
      <w:r>
        <w:t>It is a theme that recognises not only that prosperity matters to the well-being of societ</w:t>
      </w:r>
      <w:r w:rsidR="00D85667">
        <w:t xml:space="preserve">y – something occasionally contested </w:t>
      </w:r>
      <w:r>
        <w:t xml:space="preserve">in public discussion – but also that how prosperous we become as a nation depends ultimately on how </w:t>
      </w:r>
      <w:r w:rsidR="003C1ED2">
        <w:t>w</w:t>
      </w:r>
      <w:r>
        <w:t>ell we use our resources in the myriad of enterprises that make up our economy.</w:t>
      </w:r>
    </w:p>
    <w:p w:rsidR="00F056FC" w:rsidRPr="00EA1762" w:rsidRDefault="00307CD4" w:rsidP="00EA1762">
      <w:pPr>
        <w:pStyle w:val="BodyText"/>
      </w:pPr>
      <w:r>
        <w:t xml:space="preserve">As Nobel Laureate Paul </w:t>
      </w:r>
      <w:proofErr w:type="spellStart"/>
      <w:r w:rsidR="00BC7FA9">
        <w:t>Krugman</w:t>
      </w:r>
      <w:proofErr w:type="spellEnd"/>
      <w:r w:rsidR="00BC7FA9">
        <w:t xml:space="preserve"> h</w:t>
      </w:r>
      <w:r w:rsidR="00516D54">
        <w:t>a</w:t>
      </w:r>
      <w:r>
        <w:t>s famously put it, “</w:t>
      </w:r>
      <w:r w:rsidR="004B29C1">
        <w:t>produ</w:t>
      </w:r>
      <w:r>
        <w:t>ctivity isn’t ever</w:t>
      </w:r>
      <w:r w:rsidR="004B29C1">
        <w:t>y</w:t>
      </w:r>
      <w:r>
        <w:t xml:space="preserve">thing, but it </w:t>
      </w:r>
      <w:r w:rsidR="004B29C1">
        <w:t xml:space="preserve">in the long run it is </w:t>
      </w:r>
      <w:r w:rsidR="004B29C1" w:rsidRPr="004B29C1">
        <w:rPr>
          <w:i/>
        </w:rPr>
        <w:t>almost</w:t>
      </w:r>
      <w:r w:rsidR="004B29C1" w:rsidRPr="004B29C1">
        <w:t xml:space="preserve"> </w:t>
      </w:r>
      <w:r w:rsidR="004B29C1">
        <w:t>everything.”</w:t>
      </w:r>
      <w:r w:rsidR="00C7356E">
        <w:t xml:space="preserve"> </w:t>
      </w:r>
      <w:r w:rsidR="004B29C1" w:rsidRPr="00EA1762">
        <w:t xml:space="preserve">In a sense </w:t>
      </w:r>
      <w:r w:rsidR="009A75F3">
        <w:t xml:space="preserve">that observation </w:t>
      </w:r>
      <w:r w:rsidR="004B29C1" w:rsidRPr="00EA1762">
        <w:t xml:space="preserve">is not </w:t>
      </w:r>
      <w:r w:rsidR="00DF6FA8">
        <w:t xml:space="preserve">merely </w:t>
      </w:r>
      <w:r w:rsidR="004B29C1" w:rsidRPr="00EA1762">
        <w:t xml:space="preserve">true, it is a truism. Rising per capita </w:t>
      </w:r>
      <w:r w:rsidR="00D85667">
        <w:t xml:space="preserve">incomes </w:t>
      </w:r>
      <w:r w:rsidR="004B29C1" w:rsidRPr="00EA1762">
        <w:t>in a country can only be achieved in two ways</w:t>
      </w:r>
      <w:r w:rsidR="00BC7FA9">
        <w:t>:</w:t>
      </w:r>
      <w:r w:rsidR="00330B34">
        <w:t xml:space="preserve"> </w:t>
      </w:r>
      <w:r w:rsidR="00BC7FA9">
        <w:t>by producing more per capita</w:t>
      </w:r>
      <w:r w:rsidR="004B29C1" w:rsidRPr="00EA1762">
        <w:t xml:space="preserve"> or by getting higher prices for what is produced.</w:t>
      </w:r>
    </w:p>
    <w:p w:rsidR="004B29C1" w:rsidRPr="00EA1762" w:rsidRDefault="004B29C1" w:rsidP="00EA1762">
      <w:pPr>
        <w:pStyle w:val="BodyText"/>
      </w:pPr>
      <w:r w:rsidRPr="00EA1762">
        <w:t>The former route is generally the most enduring or dependable one.</w:t>
      </w:r>
      <w:r w:rsidR="00330B34">
        <w:t xml:space="preserve"> </w:t>
      </w:r>
      <w:r w:rsidRPr="00EA1762">
        <w:t>But i</w:t>
      </w:r>
      <w:r w:rsidR="00D85667">
        <w:t xml:space="preserve">t </w:t>
      </w:r>
      <w:r w:rsidRPr="00EA1762">
        <w:t xml:space="preserve">has been overshadowed somewhat in recent years by the dramatic rise in prices received for </w:t>
      </w:r>
      <w:r w:rsidRPr="00EA1762">
        <w:lastRenderedPageBreak/>
        <w:t>our mineral exports. The surge in Australia’s terms of trade is estimated to have added some 15 per cent to our GDP. Th</w:t>
      </w:r>
      <w:r w:rsidR="009A75F3">
        <w:t>at</w:t>
      </w:r>
      <w:r w:rsidRPr="00EA1762">
        <w:t xml:space="preserve"> is no mean achievement. It has also contributed to the </w:t>
      </w:r>
      <w:r w:rsidR="00D85667">
        <w:t xml:space="preserve">resilience of </w:t>
      </w:r>
      <w:r w:rsidRPr="00EA1762">
        <w:t>Australia</w:t>
      </w:r>
      <w:r w:rsidR="00C7356E">
        <w:t xml:space="preserve">’s </w:t>
      </w:r>
      <w:r w:rsidRPr="00EA1762">
        <w:t>economy</w:t>
      </w:r>
      <w:r w:rsidR="00D85667">
        <w:t xml:space="preserve"> </w:t>
      </w:r>
      <w:r w:rsidRPr="00EA1762">
        <w:t>since the advent of the global financial crisis. Nevertheless, it is important to remind ourselves that</w:t>
      </w:r>
      <w:r w:rsidR="00516D54" w:rsidRPr="00EA1762">
        <w:t xml:space="preserve"> such good fortune cannot last forever, even for a ‘</w:t>
      </w:r>
      <w:r w:rsidR="00C7356E">
        <w:t>L</w:t>
      </w:r>
      <w:r w:rsidR="00516D54" w:rsidRPr="00EA1762">
        <w:t xml:space="preserve">ucky </w:t>
      </w:r>
      <w:r w:rsidR="00C7356E">
        <w:t>C</w:t>
      </w:r>
      <w:r w:rsidR="00516D54" w:rsidRPr="00EA1762">
        <w:t>ountry’</w:t>
      </w:r>
      <w:r w:rsidR="00DF6FA8">
        <w:t xml:space="preserve">. And it is </w:t>
      </w:r>
      <w:r w:rsidR="00D85667">
        <w:t xml:space="preserve">worth </w:t>
      </w:r>
      <w:r w:rsidR="00516D54" w:rsidRPr="00EA1762">
        <w:t>recall</w:t>
      </w:r>
      <w:r w:rsidR="00D85667">
        <w:t>ing</w:t>
      </w:r>
      <w:r w:rsidR="00330B34">
        <w:t xml:space="preserve"> </w:t>
      </w:r>
      <w:r w:rsidR="00516D54" w:rsidRPr="00EA1762">
        <w:t xml:space="preserve">that </w:t>
      </w:r>
      <w:r w:rsidRPr="00EA1762">
        <w:t xml:space="preserve">80-90 per cent </w:t>
      </w:r>
      <w:r w:rsidR="00516D54" w:rsidRPr="00EA1762">
        <w:t>of</w:t>
      </w:r>
      <w:r w:rsidR="009A75F3">
        <w:t xml:space="preserve"> the</w:t>
      </w:r>
      <w:r w:rsidR="00516D54" w:rsidRPr="00EA1762">
        <w:t xml:space="preserve"> per capita income growth in Australia over the preceding five decades </w:t>
      </w:r>
      <w:r w:rsidR="00DF6FA8">
        <w:t xml:space="preserve">came </w:t>
      </w:r>
      <w:r w:rsidR="00516D54" w:rsidRPr="00EA1762">
        <w:t>fr</w:t>
      </w:r>
      <w:r w:rsidR="00D85667">
        <w:t>om (labour) productivity growth. I</w:t>
      </w:r>
      <w:r w:rsidR="00516D54" w:rsidRPr="00EA1762">
        <w:t>t is to productivity growth</w:t>
      </w:r>
      <w:r w:rsidR="00D85667">
        <w:t xml:space="preserve">, therefore, </w:t>
      </w:r>
      <w:r w:rsidR="00516D54" w:rsidRPr="00EA1762">
        <w:t xml:space="preserve">that we </w:t>
      </w:r>
      <w:r w:rsidR="00D85667">
        <w:t xml:space="preserve">must </w:t>
      </w:r>
      <w:r w:rsidR="00516D54" w:rsidRPr="00EA1762">
        <w:t xml:space="preserve">look if we are to secure </w:t>
      </w:r>
      <w:r w:rsidR="00D85667">
        <w:t xml:space="preserve">further </w:t>
      </w:r>
      <w:r w:rsidR="00DF6FA8">
        <w:t xml:space="preserve">increases in </w:t>
      </w:r>
      <w:r w:rsidR="00516D54" w:rsidRPr="00EA1762">
        <w:t>living standards beyond the mining boom – and indeed, if we wish to maximise the benefits of the boom</w:t>
      </w:r>
      <w:r w:rsidR="00902459">
        <w:t>.</w:t>
      </w:r>
    </w:p>
    <w:p w:rsidR="00516D54" w:rsidRPr="00EA1762" w:rsidRDefault="00516D54" w:rsidP="00EA1762">
      <w:pPr>
        <w:pStyle w:val="BodyText"/>
      </w:pPr>
      <w:r w:rsidRPr="00EA1762">
        <w:t xml:space="preserve">With this longer term productivity imperative in mind, the recent picture does not </w:t>
      </w:r>
      <w:r w:rsidR="00D85667">
        <w:t xml:space="preserve">look </w:t>
      </w:r>
      <w:r w:rsidRPr="00EA1762">
        <w:t xml:space="preserve">too promising. </w:t>
      </w:r>
      <w:r w:rsidR="00DF6FA8">
        <w:t>W</w:t>
      </w:r>
      <w:r w:rsidRPr="00EA1762">
        <w:t xml:space="preserve">hile there are indeed </w:t>
      </w:r>
      <w:r w:rsidR="00AA0BA8">
        <w:t xml:space="preserve">reasons </w:t>
      </w:r>
      <w:r w:rsidRPr="00EA1762">
        <w:t xml:space="preserve">to be concerned, close analysis by Commission researchers suggests that at least some of the </w:t>
      </w:r>
      <w:r w:rsidR="00DF6FA8">
        <w:t xml:space="preserve">forces behind </w:t>
      </w:r>
      <w:r w:rsidRPr="00EA1762">
        <w:t xml:space="preserve">the </w:t>
      </w:r>
      <w:r w:rsidR="00DF6FA8">
        <w:t xml:space="preserve">marked </w:t>
      </w:r>
      <w:r w:rsidRPr="00EA1762">
        <w:t>productivity slump this century are likely to be temporary.</w:t>
      </w:r>
    </w:p>
    <w:p w:rsidR="00516D54" w:rsidRPr="00EA1762" w:rsidRDefault="00516D54" w:rsidP="00EA1762">
      <w:pPr>
        <w:pStyle w:val="BodyText"/>
      </w:pPr>
      <w:r w:rsidRPr="00EA1762">
        <w:t xml:space="preserve">One significant contributor has been the mining boom itself. Rising export prices have provoked </w:t>
      </w:r>
      <w:r w:rsidR="00D85667">
        <w:t>massive flow</w:t>
      </w:r>
      <w:r w:rsidR="00DF6FA8">
        <w:t>s</w:t>
      </w:r>
      <w:r w:rsidR="00D85667">
        <w:t xml:space="preserve"> </w:t>
      </w:r>
      <w:r w:rsidR="009212EB">
        <w:t xml:space="preserve">of </w:t>
      </w:r>
      <w:r w:rsidR="00DF6FA8">
        <w:t xml:space="preserve">new capital and labour </w:t>
      </w:r>
      <w:r w:rsidRPr="00EA1762">
        <w:t>in</w:t>
      </w:r>
      <w:r w:rsidR="009212EB">
        <w:t>to</w:t>
      </w:r>
      <w:r w:rsidRPr="00EA1762">
        <w:t xml:space="preserve"> mining to exploit the prospect of higher profits – in</w:t>
      </w:r>
      <w:r w:rsidR="00D475DC">
        <w:t xml:space="preserve">cluding by tapping lower grade ores </w:t>
      </w:r>
      <w:r w:rsidR="00DF6FA8">
        <w:t>– and this</w:t>
      </w:r>
      <w:r w:rsidR="00D475DC">
        <w:t xml:space="preserve"> has been </w:t>
      </w:r>
      <w:r w:rsidR="00190CBE" w:rsidRPr="00EA1762">
        <w:t>outstripping measured output growth. This input expansion, whi</w:t>
      </w:r>
      <w:r w:rsidR="00D475DC">
        <w:t xml:space="preserve">le </w:t>
      </w:r>
      <w:r w:rsidR="000110FC">
        <w:t xml:space="preserve">so far </w:t>
      </w:r>
      <w:r w:rsidR="00D475DC">
        <w:t xml:space="preserve">‘unrequited’ in </w:t>
      </w:r>
      <w:r w:rsidR="00190CBE" w:rsidRPr="00EA1762">
        <w:t xml:space="preserve">physical output terms (reducing measured productivity) has nevertheless yielded rich </w:t>
      </w:r>
      <w:r w:rsidR="00DF6FA8">
        <w:t xml:space="preserve">financial </w:t>
      </w:r>
      <w:r w:rsidR="00190CBE" w:rsidRPr="00EA1762">
        <w:t>rewards to mining companies</w:t>
      </w:r>
      <w:r w:rsidR="00D475DC">
        <w:t xml:space="preserve">, </w:t>
      </w:r>
      <w:r w:rsidR="00190CBE" w:rsidRPr="00EA1762">
        <w:t xml:space="preserve">which </w:t>
      </w:r>
      <w:r w:rsidR="00D475DC">
        <w:t xml:space="preserve">is </w:t>
      </w:r>
      <w:r w:rsidR="00C7356E">
        <w:t xml:space="preserve">naturally their prime </w:t>
      </w:r>
      <w:r w:rsidR="00190CBE" w:rsidRPr="00EA1762">
        <w:t>concern.</w:t>
      </w:r>
    </w:p>
    <w:p w:rsidR="00190CBE" w:rsidRPr="00EA1762" w:rsidRDefault="00190CBE" w:rsidP="00EA1762">
      <w:pPr>
        <w:pStyle w:val="BodyText"/>
      </w:pPr>
      <w:r w:rsidRPr="00EA1762">
        <w:t xml:space="preserve">Notwithstanding the high degree of foreign ownership of these companies, it is estimated that over </w:t>
      </w:r>
      <w:r w:rsidR="00C7356E">
        <w:t>one-</w:t>
      </w:r>
      <w:r w:rsidRPr="00EA1762">
        <w:t>half of this income growth has flowed into the Australian economy. While non-traded activities and i</w:t>
      </w:r>
      <w:r w:rsidR="00AA6C4F" w:rsidRPr="00EA1762">
        <w:t xml:space="preserve">ndustries supplying the mining </w:t>
      </w:r>
      <w:r w:rsidR="00EC6F34">
        <w:t xml:space="preserve">juggernaut </w:t>
      </w:r>
      <w:r w:rsidRPr="00EA1762">
        <w:t xml:space="preserve">have done well out of this, trade-exposed industries that are not in </w:t>
      </w:r>
      <w:r w:rsidR="00DF6FA8">
        <w:t xml:space="preserve">its </w:t>
      </w:r>
      <w:r w:rsidRPr="00EA1762">
        <w:t>a</w:t>
      </w:r>
      <w:r w:rsidR="00EC6F34">
        <w:t>ura</w:t>
      </w:r>
      <w:r w:rsidRPr="00EA1762">
        <w:t xml:space="preserve"> have been forced to ‘make way’ by </w:t>
      </w:r>
      <w:r w:rsidR="00EC6F34">
        <w:t xml:space="preserve">our </w:t>
      </w:r>
      <w:r w:rsidRPr="00EA1762">
        <w:t>rising dollar.</w:t>
      </w:r>
    </w:p>
    <w:p w:rsidR="00190CBE" w:rsidRPr="00EA1762" w:rsidRDefault="00190CBE" w:rsidP="00EA1762">
      <w:pPr>
        <w:pStyle w:val="BodyText"/>
      </w:pPr>
      <w:r w:rsidRPr="00EA1762">
        <w:t>Thus</w:t>
      </w:r>
      <w:r w:rsidR="00AA0BA8">
        <w:t>,</w:t>
      </w:r>
      <w:r w:rsidRPr="00EA1762">
        <w:t xml:space="preserve"> in the midst of plenty</w:t>
      </w:r>
      <w:r w:rsidR="00AA0BA8">
        <w:t>,</w:t>
      </w:r>
      <w:r w:rsidRPr="00EA1762">
        <w:t xml:space="preserve"> there is some pain. </w:t>
      </w:r>
      <w:r w:rsidR="00EC6F34">
        <w:t>V</w:t>
      </w:r>
      <w:r w:rsidRPr="00EA1762">
        <w:t xml:space="preserve">iewed dispassionately, this is integral to the adjustments needed for Australia </w:t>
      </w:r>
      <w:r w:rsidR="00AA0BA8">
        <w:t>to</w:t>
      </w:r>
      <w:r w:rsidR="00DF6FA8">
        <w:t xml:space="preserve"> gain maximum </w:t>
      </w:r>
      <w:r w:rsidR="00AA0BA8">
        <w:t>benefit from the mining boom</w:t>
      </w:r>
      <w:r w:rsidR="00EC6F34">
        <w:t>. However</w:t>
      </w:r>
      <w:r w:rsidR="00C7356E">
        <w:t>,</w:t>
      </w:r>
      <w:r w:rsidR="00EC6F34">
        <w:t xml:space="preserve"> most of </w:t>
      </w:r>
      <w:r w:rsidRPr="00EA1762">
        <w:t>those on the receiving end understandably don’t see it that way.</w:t>
      </w:r>
      <w:r w:rsidR="00330B34">
        <w:t xml:space="preserve"> </w:t>
      </w:r>
      <w:r w:rsidRPr="00EA1762">
        <w:t>There have been st</w:t>
      </w:r>
      <w:r w:rsidR="00AA6C4F" w:rsidRPr="00EA1762">
        <w:t>r</w:t>
      </w:r>
      <w:r w:rsidRPr="00EA1762">
        <w:t>ident calls for government to support industries under pressure, particularly manufacturing (but also tourism and education services). This</w:t>
      </w:r>
      <w:r w:rsidR="00EC6F34">
        <w:t xml:space="preserve">, </w:t>
      </w:r>
      <w:r w:rsidRPr="00EA1762">
        <w:t xml:space="preserve">of course, </w:t>
      </w:r>
      <w:r w:rsidR="00EC6F34">
        <w:t xml:space="preserve">is </w:t>
      </w:r>
      <w:r w:rsidRPr="00EA1762">
        <w:t>not an unprecedented phenomenon</w:t>
      </w:r>
      <w:r w:rsidR="009A75F3">
        <w:t xml:space="preserve"> in Australia</w:t>
      </w:r>
      <w:r w:rsidRPr="00EA1762">
        <w:t>. However</w:t>
      </w:r>
      <w:r w:rsidR="0060195F">
        <w:t>,</w:t>
      </w:r>
      <w:r w:rsidRPr="00EA1762">
        <w:t xml:space="preserve"> it has found a degree of receptivity a</w:t>
      </w:r>
      <w:r w:rsidR="00EC6F34">
        <w:t xml:space="preserve">cross </w:t>
      </w:r>
      <w:r w:rsidRPr="00EA1762">
        <w:t>the political spectrum that h</w:t>
      </w:r>
      <w:r w:rsidR="00DF6FA8">
        <w:t>as not been seen for many years.</w:t>
      </w:r>
      <w:r w:rsidR="00902459">
        <w:t xml:space="preserve"> </w:t>
      </w:r>
      <w:r w:rsidR="00AA2A33" w:rsidRPr="00EA1762">
        <w:t xml:space="preserve">Unchecked, it could pose a threat to the hard-won reforms that commenced in the </w:t>
      </w:r>
      <w:r w:rsidR="0064659B">
        <w:t xml:space="preserve">1980s, </w:t>
      </w:r>
      <w:r w:rsidR="00AA2A33" w:rsidRPr="00EA1762">
        <w:t>compromising Australia’s productivity potential and the future prosperity that will depend on it.</w:t>
      </w:r>
    </w:p>
    <w:p w:rsidR="00AA2A33" w:rsidRPr="00EA1762" w:rsidRDefault="00AA2A33" w:rsidP="00EA1762">
      <w:pPr>
        <w:pStyle w:val="BodyText"/>
      </w:pPr>
      <w:r w:rsidRPr="00EA1762">
        <w:lastRenderedPageBreak/>
        <w:t>So while</w:t>
      </w:r>
      <w:r w:rsidR="00C7356E">
        <w:t xml:space="preserve"> the </w:t>
      </w:r>
      <w:r w:rsidR="009A75F3">
        <w:t xml:space="preserve">Productivity </w:t>
      </w:r>
      <w:r w:rsidR="00C7356E">
        <w:t xml:space="preserve">Commission spends more </w:t>
      </w:r>
      <w:r w:rsidRPr="00EA1762">
        <w:t xml:space="preserve">time </w:t>
      </w:r>
      <w:r w:rsidR="00EC6F34">
        <w:t xml:space="preserve">these days </w:t>
      </w:r>
      <w:r w:rsidRPr="00EA1762">
        <w:t xml:space="preserve">on other policy matters, I’d like to take this opportunity tonight to revisit the question of what role industry assistance should play </w:t>
      </w:r>
      <w:r w:rsidR="00EC6F34">
        <w:t xml:space="preserve">in </w:t>
      </w:r>
      <w:r w:rsidRPr="00EA1762">
        <w:t>our contemporary ‘patchwork</w:t>
      </w:r>
      <w:r w:rsidR="00EC6F34">
        <w:t>’</w:t>
      </w:r>
      <w:r w:rsidRPr="00EA1762">
        <w:t xml:space="preserve"> economy.</w:t>
      </w:r>
    </w:p>
    <w:p w:rsidR="00AA2A33" w:rsidRPr="00EA1762" w:rsidRDefault="00AA2A33" w:rsidP="00EA1762">
      <w:pPr>
        <w:pStyle w:val="BodyText"/>
      </w:pPr>
      <w:r w:rsidRPr="00EA1762">
        <w:t>I hasten to a</w:t>
      </w:r>
      <w:r w:rsidR="00EC6F34">
        <w:t xml:space="preserve">ssure </w:t>
      </w:r>
      <w:r w:rsidRPr="00EA1762">
        <w:t>you</w:t>
      </w:r>
      <w:r w:rsidR="006B3351">
        <w:t xml:space="preserve"> that </w:t>
      </w:r>
      <w:r w:rsidRPr="00EA1762">
        <w:t>I am not going to say it</w:t>
      </w:r>
      <w:r w:rsidR="00822600">
        <w:t xml:space="preserve"> should have </w:t>
      </w:r>
      <w:r w:rsidRPr="00EA1762">
        <w:t>no role at all</w:t>
      </w:r>
      <w:r w:rsidR="00822600">
        <w:t>!</w:t>
      </w:r>
      <w:r w:rsidRPr="00EA1762">
        <w:t xml:space="preserve"> Rather, my message is that we need to tread warily on selective assistance </w:t>
      </w:r>
      <w:r w:rsidR="00A030EA">
        <w:t>schemes</w:t>
      </w:r>
      <w:r w:rsidR="00330B34">
        <w:t xml:space="preserve"> </w:t>
      </w:r>
      <w:r w:rsidRPr="00EA1762">
        <w:t>because of the ri</w:t>
      </w:r>
      <w:r w:rsidR="00822600">
        <w:t xml:space="preserve">sk of doing more harm than good to Australia’s productivity and prosperity. </w:t>
      </w:r>
      <w:r w:rsidR="009A75F3">
        <w:t xml:space="preserve">By the same token, </w:t>
      </w:r>
      <w:r w:rsidRPr="00EA1762">
        <w:t xml:space="preserve">I believe there is scope </w:t>
      </w:r>
      <w:r w:rsidR="00DA6461">
        <w:t xml:space="preserve">for governments to do much more </w:t>
      </w:r>
      <w:r w:rsidRPr="00EA1762">
        <w:t xml:space="preserve">under </w:t>
      </w:r>
      <w:r w:rsidR="009479EA">
        <w:t xml:space="preserve">the </w:t>
      </w:r>
      <w:r w:rsidRPr="00EA1762">
        <w:t>broader ‘industry policy’ banner. Unfortunately, political economy tends to favour the first course more than the second</w:t>
      </w:r>
      <w:r w:rsidR="00DA6461">
        <w:t xml:space="preserve"> </w:t>
      </w:r>
      <w:r w:rsidR="00556C47">
        <w:t>(</w:t>
      </w:r>
      <w:r w:rsidR="00DA6461">
        <w:t>which involves reform</w:t>
      </w:r>
      <w:r w:rsidR="00556C47">
        <w:t>)</w:t>
      </w:r>
      <w:r w:rsidRPr="00EA1762">
        <w:t xml:space="preserve">. </w:t>
      </w:r>
      <w:r w:rsidR="00822600">
        <w:t>But m</w:t>
      </w:r>
      <w:r w:rsidRPr="00EA1762">
        <w:t xml:space="preserve">any of </w:t>
      </w:r>
      <w:r w:rsidR="0060020A" w:rsidRPr="00EA1762">
        <w:t>th</w:t>
      </w:r>
      <w:r w:rsidR="00DA6461">
        <w:t>ose</w:t>
      </w:r>
      <w:r w:rsidR="0060020A" w:rsidRPr="00EA1762">
        <w:t xml:space="preserve"> approaches are no more suitable in today’s circumstances than </w:t>
      </w:r>
      <w:r w:rsidR="009479EA">
        <w:t xml:space="preserve">they were </w:t>
      </w:r>
      <w:r w:rsidR="0060020A" w:rsidRPr="00EA1762">
        <w:t>in the past.</w:t>
      </w:r>
    </w:p>
    <w:p w:rsidR="0060020A" w:rsidRPr="0060020A" w:rsidRDefault="0060020A" w:rsidP="00EA1762">
      <w:pPr>
        <w:pStyle w:val="Heading3"/>
      </w:pPr>
      <w:r w:rsidRPr="0060020A">
        <w:t>Import replacement is a bad ide</w:t>
      </w:r>
      <w:r>
        <w:t>a</w:t>
      </w:r>
    </w:p>
    <w:p w:rsidR="00822600" w:rsidRDefault="00822600" w:rsidP="00A35115">
      <w:pPr>
        <w:pStyle w:val="BodyText"/>
      </w:pPr>
      <w:r>
        <w:t xml:space="preserve">At the top of the list of perennially bad </w:t>
      </w:r>
      <w:r w:rsidR="0060020A">
        <w:t xml:space="preserve">policy measures </w:t>
      </w:r>
      <w:r>
        <w:t xml:space="preserve">are those </w:t>
      </w:r>
      <w:r w:rsidR="0060020A">
        <w:t>that promote Australian industr</w:t>
      </w:r>
      <w:r>
        <w:t>ies</w:t>
      </w:r>
      <w:r w:rsidR="0060020A">
        <w:t xml:space="preserve"> by reducing imports. I am not just referring to tariffs and other </w:t>
      </w:r>
      <w:r>
        <w:t xml:space="preserve">barriers </w:t>
      </w:r>
      <w:r w:rsidR="0060020A">
        <w:t xml:space="preserve">‘at the border’, since their costs are now well </w:t>
      </w:r>
      <w:r w:rsidR="009479EA">
        <w:t xml:space="preserve">recognised </w:t>
      </w:r>
      <w:r w:rsidR="0060020A">
        <w:t>in Australia and few openly advocate a return to them</w:t>
      </w:r>
      <w:r>
        <w:t>.</w:t>
      </w:r>
    </w:p>
    <w:p w:rsidR="0060020A" w:rsidRDefault="0060020A" w:rsidP="00EA1762">
      <w:pPr>
        <w:pStyle w:val="Heading4"/>
      </w:pPr>
      <w:r w:rsidRPr="0060020A">
        <w:t>The attractions of ‘anti-dumping’</w:t>
      </w:r>
    </w:p>
    <w:p w:rsidR="0060020A" w:rsidRDefault="009479EA" w:rsidP="00A35115">
      <w:pPr>
        <w:pStyle w:val="BodyText"/>
      </w:pPr>
      <w:r>
        <w:t>That said, the</w:t>
      </w:r>
      <w:r w:rsidR="0060020A" w:rsidRPr="0060020A">
        <w:t xml:space="preserve">re </w:t>
      </w:r>
      <w:r w:rsidR="0060020A">
        <w:t xml:space="preserve">has been </w:t>
      </w:r>
      <w:r>
        <w:t xml:space="preserve">resurgent interest </w:t>
      </w:r>
      <w:r w:rsidR="005A51A8">
        <w:t>i</w:t>
      </w:r>
      <w:r w:rsidR="0060020A">
        <w:t xml:space="preserve">n the use of </w:t>
      </w:r>
      <w:r w:rsidR="009454FA">
        <w:t>‘</w:t>
      </w:r>
      <w:r w:rsidR="0060020A">
        <w:t>anti-dumping</w:t>
      </w:r>
      <w:r w:rsidR="009454FA">
        <w:t xml:space="preserve">’ </w:t>
      </w:r>
      <w:r w:rsidR="00822600">
        <w:t xml:space="preserve">duties </w:t>
      </w:r>
      <w:r w:rsidR="009454FA">
        <w:t>as a WTO-sanctioned form of protection against ‘unfair trade’. It is not commonly acknowledged</w:t>
      </w:r>
      <w:r>
        <w:t>, however,</w:t>
      </w:r>
      <w:r w:rsidR="009454FA">
        <w:t xml:space="preserve"> that the WTO’s rules were devised primarily to discipline government’s anti-dumping actions, not </w:t>
      </w:r>
      <w:r w:rsidR="00DA6461">
        <w:t>business</w:t>
      </w:r>
      <w:r w:rsidR="0073000A">
        <w:t>es</w:t>
      </w:r>
      <w:r w:rsidR="00DA6461">
        <w:t xml:space="preserve"> choosing to </w:t>
      </w:r>
      <w:r w:rsidR="009454FA">
        <w:t>sell</w:t>
      </w:r>
      <w:r w:rsidR="00DA6461">
        <w:t xml:space="preserve"> </w:t>
      </w:r>
      <w:r w:rsidR="009454FA">
        <w:t>their goods at lower prices overseas.</w:t>
      </w:r>
    </w:p>
    <w:p w:rsidR="009479EA" w:rsidRDefault="009454FA" w:rsidP="00A35115">
      <w:pPr>
        <w:pStyle w:val="BodyText"/>
      </w:pPr>
      <w:r>
        <w:t>B</w:t>
      </w:r>
      <w:r w:rsidR="005A51A8">
        <w:t xml:space="preserve">ut </w:t>
      </w:r>
      <w:r>
        <w:t>public policy is on a hiding to no</w:t>
      </w:r>
      <w:r w:rsidR="009479EA">
        <w:t xml:space="preserve">thing </w:t>
      </w:r>
      <w:r w:rsidR="00DA6461">
        <w:t xml:space="preserve">with this one. </w:t>
      </w:r>
      <w:r>
        <w:t xml:space="preserve">The very use of the term ‘dumping’ – coined initially, I suspect, by a linguistically gifted import competitor – connotes something unsavoury. And </w:t>
      </w:r>
      <w:r w:rsidR="00C77094">
        <w:t xml:space="preserve">if it </w:t>
      </w:r>
      <w:r>
        <w:t xml:space="preserve">causes (or </w:t>
      </w:r>
      <w:r w:rsidR="005A51A8">
        <w:t>threatens</w:t>
      </w:r>
      <w:r>
        <w:t xml:space="preserve">) </w:t>
      </w:r>
      <w:r w:rsidR="009A75F3">
        <w:t>‘</w:t>
      </w:r>
      <w:r>
        <w:t>in</w:t>
      </w:r>
      <w:r w:rsidR="00C7356E">
        <w:t>ju</w:t>
      </w:r>
      <w:r>
        <w:t>ry</w:t>
      </w:r>
      <w:r w:rsidR="009A75F3">
        <w:t>’</w:t>
      </w:r>
      <w:r w:rsidR="00A030EA">
        <w:t xml:space="preserve"> to a local industry, </w:t>
      </w:r>
      <w:r>
        <w:t>then surely it must reduce Australia’s pr</w:t>
      </w:r>
      <w:r w:rsidR="00C77094">
        <w:t>osperity?</w:t>
      </w:r>
    </w:p>
    <w:p w:rsidR="00822600" w:rsidRDefault="00C77094" w:rsidP="00A35115">
      <w:pPr>
        <w:pStyle w:val="BodyText"/>
      </w:pPr>
      <w:r>
        <w:t xml:space="preserve">In fact, shocking </w:t>
      </w:r>
      <w:r w:rsidR="009454FA">
        <w:t xml:space="preserve">as it </w:t>
      </w:r>
      <w:r w:rsidR="00822600">
        <w:t xml:space="preserve">may </w:t>
      </w:r>
      <w:r w:rsidR="009454FA">
        <w:t>sound, neither proposition holds true.</w:t>
      </w:r>
      <w:r w:rsidR="009479EA">
        <w:t xml:space="preserve"> </w:t>
      </w:r>
      <w:r w:rsidR="00DA6461">
        <w:t xml:space="preserve">Employing a less emotive term for a moment, </w:t>
      </w:r>
      <w:r>
        <w:t xml:space="preserve">there are many legitimate reasons, commercially and economically, why a firm might engage in </w:t>
      </w:r>
      <w:r w:rsidR="009479EA">
        <w:t>‘</w:t>
      </w:r>
      <w:r>
        <w:t>differential export pricing.’ There may be higher tariffs or less competition at home th</w:t>
      </w:r>
      <w:r w:rsidR="00822600">
        <w:t>a</w:t>
      </w:r>
      <w:r>
        <w:t>n abroad. The firm may have a surfeit of stocks with high holding costs. Or it may need to counter a lack of brand recognition when entering foreign markets.</w:t>
      </w:r>
      <w:r w:rsidR="00330B34">
        <w:t xml:space="preserve"> </w:t>
      </w:r>
      <w:r>
        <w:t xml:space="preserve">There is nothing inherently ‘unfair’ about any of </w:t>
      </w:r>
      <w:r w:rsidR="00A030EA">
        <w:t xml:space="preserve">these practices. </w:t>
      </w:r>
      <w:r>
        <w:t xml:space="preserve">Australian exporters commonly </w:t>
      </w:r>
      <w:r w:rsidR="00A030EA">
        <w:t xml:space="preserve">engage in them </w:t>
      </w:r>
      <w:r w:rsidR="00DA6461">
        <w:t xml:space="preserve">and </w:t>
      </w:r>
      <w:r>
        <w:t xml:space="preserve">have been encouraged </w:t>
      </w:r>
      <w:r w:rsidR="00A030EA">
        <w:t xml:space="preserve">to do so </w:t>
      </w:r>
      <w:r>
        <w:t xml:space="preserve">by </w:t>
      </w:r>
      <w:r w:rsidR="009479EA">
        <w:t>government agencies</w:t>
      </w:r>
      <w:r w:rsidR="009A75F3">
        <w:t>.</w:t>
      </w:r>
    </w:p>
    <w:p w:rsidR="009454FA" w:rsidRDefault="00C77094" w:rsidP="00A35115">
      <w:pPr>
        <w:pStyle w:val="BodyText"/>
      </w:pPr>
      <w:r>
        <w:lastRenderedPageBreak/>
        <w:t xml:space="preserve">The </w:t>
      </w:r>
      <w:r w:rsidRPr="00DA6461">
        <w:rPr>
          <w:i/>
        </w:rPr>
        <w:t>least</w:t>
      </w:r>
      <w:r>
        <w:t xml:space="preserve"> likely reason </w:t>
      </w:r>
      <w:r w:rsidR="00806474">
        <w:t xml:space="preserve">for differential export pricing is </w:t>
      </w:r>
      <w:r>
        <w:t>‘predation’ (d</w:t>
      </w:r>
      <w:r w:rsidR="005A51A8">
        <w:t>r</w:t>
      </w:r>
      <w:r>
        <w:t>iving out competitors in</w:t>
      </w:r>
      <w:r w:rsidR="00806474">
        <w:t xml:space="preserve"> order to gain local monopoly power) given the existence of other world competitors and </w:t>
      </w:r>
      <w:r w:rsidR="00822600">
        <w:t xml:space="preserve">scope </w:t>
      </w:r>
      <w:r w:rsidR="00806474">
        <w:t>for new entry</w:t>
      </w:r>
      <w:r w:rsidR="00822600">
        <w:t xml:space="preserve"> or re-entry</w:t>
      </w:r>
      <w:r w:rsidR="00806474">
        <w:t>. Ye</w:t>
      </w:r>
      <w:r w:rsidR="00C7356E">
        <w:t>t</w:t>
      </w:r>
      <w:r w:rsidR="00806474">
        <w:t xml:space="preserve"> this seems to be the main cause of its bad reputation.</w:t>
      </w:r>
    </w:p>
    <w:p w:rsidR="00806474" w:rsidRDefault="00806474" w:rsidP="00A35115">
      <w:pPr>
        <w:pStyle w:val="BodyText"/>
      </w:pPr>
      <w:r>
        <w:t>In its recent report on anti-dumping</w:t>
      </w:r>
      <w:r w:rsidR="00822600">
        <w:t>,</w:t>
      </w:r>
      <w:r>
        <w:t xml:space="preserve"> the Commission nevertheless </w:t>
      </w:r>
      <w:r w:rsidR="00DA6461">
        <w:t xml:space="preserve">recognised </w:t>
      </w:r>
      <w:r>
        <w:t>that no</w:t>
      </w:r>
      <w:r w:rsidR="003878CA">
        <w:t xml:space="preserve">tions of unfairness had become </w:t>
      </w:r>
      <w:r>
        <w:t xml:space="preserve">so entrenched that </w:t>
      </w:r>
      <w:r w:rsidR="00822600">
        <w:t xml:space="preserve">retaining </w:t>
      </w:r>
      <w:r>
        <w:t>some form of anti-dumping system was inevitable, and on b</w:t>
      </w:r>
      <w:r w:rsidR="00AA6C4F">
        <w:t>a</w:t>
      </w:r>
      <w:r>
        <w:t>lance may serve to prevent something worse (as i</w:t>
      </w:r>
      <w:r w:rsidR="009479EA">
        <w:t>s</w:t>
      </w:r>
      <w:r>
        <w:t xml:space="preserve"> sometimes said of FIRB). We therefore </w:t>
      </w:r>
      <w:r w:rsidR="009479EA">
        <w:t xml:space="preserve">opted </w:t>
      </w:r>
      <w:r>
        <w:t>simply to moderate its</w:t>
      </w:r>
      <w:r w:rsidR="009479EA">
        <w:t xml:space="preserve"> potential </w:t>
      </w:r>
      <w:r>
        <w:t>to impose costs on</w:t>
      </w:r>
      <w:r w:rsidR="00822600">
        <w:t xml:space="preserve"> </w:t>
      </w:r>
      <w:r>
        <w:t xml:space="preserve">Australian </w:t>
      </w:r>
      <w:r w:rsidR="009479EA">
        <w:t xml:space="preserve">industry and consumers by such means as limiting the scope </w:t>
      </w:r>
      <w:r>
        <w:t>for penalty duties to be applied in perpetuity, and e</w:t>
      </w:r>
      <w:r w:rsidR="00C911F0">
        <w:t xml:space="preserve">nabling </w:t>
      </w:r>
      <w:r>
        <w:t>actions to be avoided where the</w:t>
      </w:r>
      <w:r w:rsidR="003878CA">
        <w:t>s</w:t>
      </w:r>
      <w:r>
        <w:t>e would</w:t>
      </w:r>
      <w:r w:rsidR="00C911F0">
        <w:t xml:space="preserve"> most clearly be </w:t>
      </w:r>
      <w:r w:rsidR="009479EA">
        <w:t xml:space="preserve">counterproductive for our economy </w:t>
      </w:r>
      <w:r w:rsidR="00C911F0">
        <w:t>(such as where large costs would be imposed on downstream industries to little effect</w:t>
      </w:r>
      <w:r w:rsidR="00822600">
        <w:t>,</w:t>
      </w:r>
      <w:r w:rsidR="003878CA">
        <w:t xml:space="preserve"> or where a domestic supplier’s </w:t>
      </w:r>
      <w:r w:rsidR="009479EA">
        <w:t xml:space="preserve">market </w:t>
      </w:r>
      <w:r w:rsidR="00C911F0">
        <w:t xml:space="preserve">power would be </w:t>
      </w:r>
      <w:r w:rsidR="009479EA">
        <w:t xml:space="preserve">significantly </w:t>
      </w:r>
      <w:r w:rsidR="00C911F0">
        <w:t>enhanced).</w:t>
      </w:r>
    </w:p>
    <w:p w:rsidR="00C911F0" w:rsidRDefault="00C911F0" w:rsidP="00A35115">
      <w:pPr>
        <w:pStyle w:val="BodyText"/>
      </w:pPr>
      <w:r>
        <w:t>Most of the Commission’s recommendations were accepted</w:t>
      </w:r>
      <w:r w:rsidR="009A75F3">
        <w:t xml:space="preserve"> by the Government,</w:t>
      </w:r>
      <w:r>
        <w:t xml:space="preserve"> but some of the mo</w:t>
      </w:r>
      <w:r w:rsidR="00822600">
        <w:t>re</w:t>
      </w:r>
      <w:r w:rsidR="000110FC">
        <w:t xml:space="preserve"> important ones were not, and a</w:t>
      </w:r>
      <w:r>
        <w:t>mbiguities remain as to how</w:t>
      </w:r>
      <w:r w:rsidR="009A75F3">
        <w:t xml:space="preserve"> much more </w:t>
      </w:r>
      <w:r w:rsidR="003878CA">
        <w:t xml:space="preserve">restrictive the new regime </w:t>
      </w:r>
      <w:r>
        <w:t xml:space="preserve">will prove to be in practice. </w:t>
      </w:r>
      <w:r w:rsidR="00C7356E">
        <w:t xml:space="preserve">However, no </w:t>
      </w:r>
      <w:r>
        <w:t>such ambiguity is to be found in the Opposition’s recently announced policy</w:t>
      </w:r>
      <w:r w:rsidR="00C7356E">
        <w:t xml:space="preserve">, which pushes the boundaries of allowable restrictions. </w:t>
      </w:r>
      <w:r>
        <w:t>Getting the right balance in anti-dumping policy between addressing perc</w:t>
      </w:r>
      <w:r w:rsidR="001D16E3">
        <w:t>eptions of fairness and avoiding actions that would be costly</w:t>
      </w:r>
      <w:r w:rsidR="009A75F3">
        <w:t xml:space="preserve"> domestically – and </w:t>
      </w:r>
      <w:r w:rsidR="001D16E3">
        <w:t xml:space="preserve">harmful to our bilateral relationships (including with China) </w:t>
      </w:r>
      <w:r w:rsidR="009A75F3">
        <w:t xml:space="preserve">– is </w:t>
      </w:r>
      <w:r w:rsidR="00C7356E">
        <w:t xml:space="preserve">a </w:t>
      </w:r>
      <w:r w:rsidR="009479EA">
        <w:t xml:space="preserve">very </w:t>
      </w:r>
      <w:r w:rsidR="001D16E3">
        <w:t>difficu</w:t>
      </w:r>
      <w:r w:rsidR="00C7356E">
        <w:t xml:space="preserve">lt challenge for policy makers and always has been. </w:t>
      </w:r>
      <w:r w:rsidR="001D16E3">
        <w:t>Unfortunately the Opposition’s policy falls well short of th</w:t>
      </w:r>
      <w:r w:rsidR="00DA6461">
        <w:t xml:space="preserve">e balance required, and has </w:t>
      </w:r>
      <w:r w:rsidR="009A75F3">
        <w:t xml:space="preserve">now </w:t>
      </w:r>
      <w:r w:rsidR="00DA6461">
        <w:t xml:space="preserve">made </w:t>
      </w:r>
      <w:r w:rsidR="00822600">
        <w:t>harder</w:t>
      </w:r>
      <w:r w:rsidR="001D16E3">
        <w:t xml:space="preserve"> the Government’s own efforts </w:t>
      </w:r>
      <w:r w:rsidR="009479EA">
        <w:t>to hold the line</w:t>
      </w:r>
      <w:r w:rsidR="00822600">
        <w:t>.</w:t>
      </w:r>
    </w:p>
    <w:p w:rsidR="00806474" w:rsidRPr="001D16E3" w:rsidRDefault="001D16E3" w:rsidP="00EA1762">
      <w:pPr>
        <w:pStyle w:val="Heading4"/>
      </w:pPr>
      <w:r w:rsidRPr="001D16E3">
        <w:t>Local sourcing rules</w:t>
      </w:r>
    </w:p>
    <w:p w:rsidR="001D16E3" w:rsidRDefault="001D16E3" w:rsidP="00A35115">
      <w:pPr>
        <w:pStyle w:val="BodyText"/>
      </w:pPr>
      <w:r>
        <w:t xml:space="preserve">A form of administered protection that </w:t>
      </w:r>
      <w:r w:rsidR="00FA4E00">
        <w:t xml:space="preserve">operates </w:t>
      </w:r>
      <w:r>
        <w:t>well be</w:t>
      </w:r>
      <w:r w:rsidR="00FA4E00">
        <w:t>hi</w:t>
      </w:r>
      <w:r>
        <w:t>nd the border</w:t>
      </w:r>
      <w:r w:rsidR="00FA4E00">
        <w:t>,</w:t>
      </w:r>
      <w:r>
        <w:t xml:space="preserve"> and that has had a good run recently in Australia</w:t>
      </w:r>
      <w:r w:rsidR="00FA4E00">
        <w:t>,</w:t>
      </w:r>
      <w:r>
        <w:t xml:space="preserve"> involves requirements by government</w:t>
      </w:r>
      <w:r w:rsidR="00FA4E00">
        <w:t>s</w:t>
      </w:r>
      <w:r>
        <w:t xml:space="preserve"> for their own agencies or private firms to </w:t>
      </w:r>
      <w:r w:rsidR="00DA6461">
        <w:t xml:space="preserve">purchase goods and services from domestic sources. (I am not referring here to the more </w:t>
      </w:r>
      <w:r w:rsidR="000110FC">
        <w:t xml:space="preserve">benign </w:t>
      </w:r>
      <w:r w:rsidR="00DA6461">
        <w:t xml:space="preserve">information </w:t>
      </w:r>
      <w:r w:rsidR="000110FC">
        <w:t xml:space="preserve">and </w:t>
      </w:r>
      <w:r w:rsidR="00B35DA0">
        <w:t xml:space="preserve">suasion </w:t>
      </w:r>
      <w:r w:rsidR="00DA6461">
        <w:t xml:space="preserve">campaigns such as </w:t>
      </w:r>
      <w:r w:rsidR="009A75F3">
        <w:t xml:space="preserve">the ‘Australian Made’ logo and </w:t>
      </w:r>
      <w:r w:rsidR="00DA6461">
        <w:t>Buy Australian).</w:t>
      </w:r>
      <w:r>
        <w:t xml:space="preserve"> Unsurprisingly, the WTO has rules about this too. However Australia is one of few developed countries that is not a signatory to the ‘procur</w:t>
      </w:r>
      <w:r w:rsidR="00A6463E">
        <w:t>ement code’</w:t>
      </w:r>
      <w:r>
        <w:t>.</w:t>
      </w:r>
    </w:p>
    <w:p w:rsidR="001D16E3" w:rsidRDefault="001D16E3" w:rsidP="00A35115">
      <w:pPr>
        <w:pStyle w:val="BodyText"/>
      </w:pPr>
      <w:r>
        <w:t xml:space="preserve">Like most WTO rules, </w:t>
      </w:r>
      <w:r w:rsidR="00C7356E">
        <w:t xml:space="preserve">although often seen by domestic </w:t>
      </w:r>
      <w:r w:rsidR="00DA6461">
        <w:t xml:space="preserve">parties </w:t>
      </w:r>
      <w:r w:rsidR="00C7356E" w:rsidRPr="00DA6461">
        <w:t xml:space="preserve">as </w:t>
      </w:r>
      <w:r w:rsidRPr="00DA6461">
        <w:t>serving the interests o</w:t>
      </w:r>
      <w:r>
        <w:t xml:space="preserve">f </w:t>
      </w:r>
      <w:r w:rsidR="00C7356E">
        <w:t xml:space="preserve">foreigners, </w:t>
      </w:r>
      <w:r>
        <w:t xml:space="preserve">the main beneficiaries are the very countries whose </w:t>
      </w:r>
      <w:r w:rsidR="00DA6461">
        <w:t>governmen</w:t>
      </w:r>
      <w:r w:rsidR="00DA6461" w:rsidRPr="00556C47">
        <w:t>ts’</w:t>
      </w:r>
      <w:r w:rsidR="00DA6461">
        <w:t xml:space="preserve"> </w:t>
      </w:r>
      <w:r>
        <w:t>ac</w:t>
      </w:r>
      <w:r w:rsidR="00257982">
        <w:t>tions are curtailed. Local conten</w:t>
      </w:r>
      <w:r>
        <w:t>t rules, to the extent that they are successful in diverting purchases from the lowest cost sources internationally, merely reduce a nation’s purchasing power</w:t>
      </w:r>
      <w:r w:rsidR="00822600">
        <w:t xml:space="preserve">. </w:t>
      </w:r>
      <w:r>
        <w:t>While some lo</w:t>
      </w:r>
      <w:r w:rsidR="001C7869">
        <w:t>c</w:t>
      </w:r>
      <w:r>
        <w:t xml:space="preserve">al firms may do better, </w:t>
      </w:r>
      <w:r>
        <w:lastRenderedPageBreak/>
        <w:t>others will do worse as their competitiveness is eroded.</w:t>
      </w:r>
      <w:r w:rsidR="00330B34">
        <w:t xml:space="preserve"> </w:t>
      </w:r>
      <w:r>
        <w:t xml:space="preserve">Productivity and prosperity are </w:t>
      </w:r>
      <w:r w:rsidR="00257982">
        <w:t xml:space="preserve">both </w:t>
      </w:r>
      <w:r>
        <w:t>impaired.</w:t>
      </w:r>
    </w:p>
    <w:p w:rsidR="001D16E3" w:rsidRDefault="001D16E3" w:rsidP="00A35115">
      <w:pPr>
        <w:pStyle w:val="BodyText"/>
      </w:pPr>
      <w:r>
        <w:t>Admittedly</w:t>
      </w:r>
      <w:r w:rsidR="0060195F">
        <w:t>,</w:t>
      </w:r>
      <w:r>
        <w:t xml:space="preserve"> this kind of economy-wide logic </w:t>
      </w:r>
      <w:r w:rsidR="00257982">
        <w:t>gets</w:t>
      </w:r>
      <w:r>
        <w:t xml:space="preserve"> little </w:t>
      </w:r>
      <w:r w:rsidR="00257982">
        <w:t>purchase</w:t>
      </w:r>
      <w:r>
        <w:t xml:space="preserve"> in the electorate and the costs of such protection are much harder to discern </w:t>
      </w:r>
      <w:r w:rsidR="001C7869">
        <w:t>than for tariffs.</w:t>
      </w:r>
      <w:r w:rsidR="00330B34">
        <w:t xml:space="preserve"> </w:t>
      </w:r>
      <w:r w:rsidR="001C7869">
        <w:t>So, once again, the politics of good policy do not favour the fain</w:t>
      </w:r>
      <w:r w:rsidR="00AC4D5E">
        <w:t>t</w:t>
      </w:r>
      <w:r w:rsidR="001C7869">
        <w:t>-hearted.</w:t>
      </w:r>
      <w:r w:rsidR="00330B34">
        <w:t xml:space="preserve"> </w:t>
      </w:r>
      <w:r w:rsidR="001C7869">
        <w:t>Nevertheless there has been considerable resistance to the most costl</w:t>
      </w:r>
      <w:r w:rsidR="000629C6">
        <w:t xml:space="preserve">y regulatory proposals so far. </w:t>
      </w:r>
      <w:r w:rsidR="001C7869">
        <w:t xml:space="preserve">Even the initiative to ramp up </w:t>
      </w:r>
      <w:r w:rsidR="00AC4D5E">
        <w:t xml:space="preserve">conditionality </w:t>
      </w:r>
      <w:r w:rsidR="001C7869">
        <w:t>requirements on large projects</w:t>
      </w:r>
      <w:r w:rsidR="00AC4D5E">
        <w:t xml:space="preserve">’ </w:t>
      </w:r>
      <w:r w:rsidR="001C7869">
        <w:t xml:space="preserve">access to tariff </w:t>
      </w:r>
      <w:r w:rsidR="00AC4D5E">
        <w:t xml:space="preserve">concessions </w:t>
      </w:r>
      <w:r w:rsidR="00902459">
        <w:t xml:space="preserve">– dubbed </w:t>
      </w:r>
      <w:r w:rsidR="00AC4D5E">
        <w:t xml:space="preserve">‘local content watch’ by one wag </w:t>
      </w:r>
      <w:r w:rsidR="00902459">
        <w:t xml:space="preserve">– </w:t>
      </w:r>
      <w:r w:rsidR="000110FC">
        <w:t xml:space="preserve">may not prove </w:t>
      </w:r>
      <w:r w:rsidR="001C7869">
        <w:t>very costly, mainly because it is unlikely to distort purc</w:t>
      </w:r>
      <w:r w:rsidR="000629C6">
        <w:t xml:space="preserve">hasing </w:t>
      </w:r>
      <w:r w:rsidR="00AC4D5E">
        <w:t xml:space="preserve">decisions </w:t>
      </w:r>
      <w:r w:rsidR="000629C6">
        <w:t>much. L</w:t>
      </w:r>
      <w:r w:rsidR="001C7869">
        <w:t xml:space="preserve">arge mining companies can handle red-tape more easily than smaller enterprises and most already make substantial purchases locally. Indeed, their very </w:t>
      </w:r>
      <w:r w:rsidR="00AC4D5E">
        <w:t>u</w:t>
      </w:r>
      <w:r w:rsidR="001C7869">
        <w:t xml:space="preserve">se of the tariff concession </w:t>
      </w:r>
      <w:r w:rsidR="00AC4D5E">
        <w:t xml:space="preserve">to date </w:t>
      </w:r>
      <w:r w:rsidR="001C7869">
        <w:t xml:space="preserve">indicates that such imports (including </w:t>
      </w:r>
      <w:r w:rsidR="00114F5F">
        <w:t xml:space="preserve">of </w:t>
      </w:r>
      <w:r w:rsidR="001C7869">
        <w:t>heav</w:t>
      </w:r>
      <w:r w:rsidR="00AC4D5E">
        <w:t xml:space="preserve">y machinery) </w:t>
      </w:r>
      <w:r w:rsidR="00114F5F">
        <w:t xml:space="preserve">have been officially </w:t>
      </w:r>
      <w:r w:rsidR="00AC4D5E">
        <w:t>recognised</w:t>
      </w:r>
      <w:r w:rsidR="00DA6461">
        <w:t xml:space="preserve"> not</w:t>
      </w:r>
      <w:r w:rsidR="00AC4D5E">
        <w:t xml:space="preserve"> </w:t>
      </w:r>
      <w:r w:rsidR="001C7869">
        <w:t>to be available locally.</w:t>
      </w:r>
    </w:p>
    <w:p w:rsidR="001C7869" w:rsidRDefault="001C7869" w:rsidP="00A35115">
      <w:pPr>
        <w:pStyle w:val="BodyText"/>
      </w:pPr>
      <w:r>
        <w:t>A legitimate rationale for such r</w:t>
      </w:r>
      <w:r w:rsidR="00DA6461">
        <w:t xml:space="preserve">ules </w:t>
      </w:r>
      <w:r>
        <w:t xml:space="preserve">would </w:t>
      </w:r>
      <w:r w:rsidR="00DA6461">
        <w:t xml:space="preserve">require that there </w:t>
      </w:r>
      <w:r>
        <w:t xml:space="preserve">be </w:t>
      </w:r>
      <w:r w:rsidR="00DA6461">
        <w:t>‘</w:t>
      </w:r>
      <w:r>
        <w:t>information failure</w:t>
      </w:r>
      <w:r w:rsidR="00DA6461">
        <w:t>’</w:t>
      </w:r>
      <w:r>
        <w:t xml:space="preserve"> or other</w:t>
      </w:r>
      <w:r w:rsidR="000629C6">
        <w:t xml:space="preserve"> </w:t>
      </w:r>
      <w:r w:rsidR="00F56694">
        <w:t>possible sources o</w:t>
      </w:r>
      <w:r>
        <w:t>f disadvantage experienced by local suppliers.</w:t>
      </w:r>
      <w:r w:rsidR="00330B34">
        <w:t xml:space="preserve"> </w:t>
      </w:r>
      <w:r>
        <w:t>However this is hard to sustain.</w:t>
      </w:r>
      <w:r w:rsidR="00330B34">
        <w:t xml:space="preserve"> </w:t>
      </w:r>
      <w:r>
        <w:t xml:space="preserve">If anything, local firms typically have significant advantages over foreigners, related to </w:t>
      </w:r>
      <w:r w:rsidR="006A1410">
        <w:t xml:space="preserve">greater </w:t>
      </w:r>
      <w:r>
        <w:t>proximity</w:t>
      </w:r>
      <w:r w:rsidR="006A1410">
        <w:t xml:space="preserve"> and </w:t>
      </w:r>
      <w:r>
        <w:t>familiarity and</w:t>
      </w:r>
      <w:r w:rsidR="006A1410">
        <w:t xml:space="preserve"> fewer </w:t>
      </w:r>
      <w:r>
        <w:t>transaction risks.</w:t>
      </w:r>
      <w:r w:rsidR="00330B34">
        <w:t xml:space="preserve"> </w:t>
      </w:r>
      <w:r>
        <w:t xml:space="preserve">This is in fact the main rationale for </w:t>
      </w:r>
      <w:r w:rsidR="00DA6461">
        <w:t xml:space="preserve">the </w:t>
      </w:r>
      <w:r w:rsidR="00DA6461" w:rsidRPr="00556C47">
        <w:t>exist</w:t>
      </w:r>
      <w:r w:rsidR="004340DD" w:rsidRPr="00556C47">
        <w:t xml:space="preserve">ence of </w:t>
      </w:r>
      <w:proofErr w:type="spellStart"/>
      <w:r w:rsidR="0073000A">
        <w:t>A</w:t>
      </w:r>
      <w:r w:rsidR="00556C47">
        <w:t>us</w:t>
      </w:r>
      <w:r w:rsidR="00AA6C4F" w:rsidRPr="00556C47">
        <w:t>trade</w:t>
      </w:r>
      <w:proofErr w:type="spellEnd"/>
      <w:r w:rsidR="00556C47">
        <w:t xml:space="preserve"> </w:t>
      </w:r>
      <w:r w:rsidR="00F56694">
        <w:t xml:space="preserve">and the support it provides </w:t>
      </w:r>
      <w:r>
        <w:t>to Australian firms seeking to sell in foreign markets.</w:t>
      </w:r>
      <w:r w:rsidR="00330B34">
        <w:t xml:space="preserve"> </w:t>
      </w:r>
      <w:r>
        <w:t xml:space="preserve">When large firms operating </w:t>
      </w:r>
      <w:r w:rsidR="0073000A">
        <w:t xml:space="preserve">here </w:t>
      </w:r>
      <w:r>
        <w:t xml:space="preserve">source </w:t>
      </w:r>
      <w:r w:rsidR="00F04707">
        <w:t>inputs overseas</w:t>
      </w:r>
      <w:r w:rsidR="0073000A">
        <w:t>,</w:t>
      </w:r>
      <w:r w:rsidR="00F04707">
        <w:t xml:space="preserve"> this will typically be because it makes fin</w:t>
      </w:r>
      <w:r w:rsidR="00F56694">
        <w:t>ancial sense for them to do so</w:t>
      </w:r>
      <w:r w:rsidR="006A1410">
        <w:t>. In such cases</w:t>
      </w:r>
      <w:r w:rsidR="00C534AB">
        <w:t>,</w:t>
      </w:r>
      <w:r w:rsidR="006A1410">
        <w:t xml:space="preserve"> </w:t>
      </w:r>
      <w:r w:rsidR="00F56694">
        <w:t xml:space="preserve">it will generally </w:t>
      </w:r>
      <w:r w:rsidR="00F04707">
        <w:t>make sense for Australia</w:t>
      </w:r>
      <w:r w:rsidR="00F56694">
        <w:t>’s economy too.</w:t>
      </w:r>
    </w:p>
    <w:p w:rsidR="00F04707" w:rsidRDefault="00F56694" w:rsidP="00EA1762">
      <w:pPr>
        <w:pStyle w:val="Heading4"/>
      </w:pPr>
      <w:r>
        <w:t>‘</w:t>
      </w:r>
      <w:r w:rsidR="00F04707">
        <w:t>Offshoring</w:t>
      </w:r>
      <w:r>
        <w:t>’</w:t>
      </w:r>
    </w:p>
    <w:p w:rsidR="001D16E3" w:rsidRDefault="00F04707" w:rsidP="00A35115">
      <w:pPr>
        <w:pStyle w:val="BodyText"/>
      </w:pPr>
      <w:r>
        <w:t>This same logic applies to Australian-b</w:t>
      </w:r>
      <w:r w:rsidR="00F56694">
        <w:t xml:space="preserve">ased </w:t>
      </w:r>
      <w:r>
        <w:t xml:space="preserve">firms acquiring inputs of services offshore – such as the ubiquitous call centres with </w:t>
      </w:r>
      <w:r w:rsidR="004340DD">
        <w:t xml:space="preserve">those acquired </w:t>
      </w:r>
      <w:r>
        <w:t>Australian accents</w:t>
      </w:r>
      <w:r w:rsidR="00C3607B">
        <w:t xml:space="preserve"> </w:t>
      </w:r>
      <w:r w:rsidR="00A61AE9">
        <w:t xml:space="preserve">that we </w:t>
      </w:r>
      <w:r w:rsidR="00C3607B">
        <w:t xml:space="preserve">have all </w:t>
      </w:r>
      <w:r w:rsidR="00A61AE9">
        <w:t>come to know.</w:t>
      </w:r>
    </w:p>
    <w:p w:rsidR="008A41F1" w:rsidRDefault="00F04707" w:rsidP="00A35115">
      <w:pPr>
        <w:pStyle w:val="BodyText"/>
      </w:pPr>
      <w:r>
        <w:t xml:space="preserve">Airlines, </w:t>
      </w:r>
      <w:r w:rsidR="0073000A">
        <w:t>banks, t</w:t>
      </w:r>
      <w:r>
        <w:t>elecommunications companies and other business</w:t>
      </w:r>
      <w:r w:rsidR="00F56694">
        <w:t xml:space="preserve">es </w:t>
      </w:r>
      <w:r>
        <w:t>are contracting more of their service inputs overseas.</w:t>
      </w:r>
      <w:r w:rsidR="00330B34">
        <w:t xml:space="preserve"> </w:t>
      </w:r>
      <w:r>
        <w:t>People worry that this is exporting Australian jobs and lower</w:t>
      </w:r>
      <w:r w:rsidR="00F56694">
        <w:t xml:space="preserve">ing </w:t>
      </w:r>
      <w:r w:rsidR="006A1410">
        <w:t>l</w:t>
      </w:r>
      <w:r>
        <w:t xml:space="preserve">iving standards and employment. But the logical flaws that beset instinctive protectionism of local manufacturing apply </w:t>
      </w:r>
      <w:r w:rsidR="000629C6">
        <w:t>equally to fear of offshoring</w:t>
      </w:r>
      <w:r w:rsidR="000A62EA">
        <w:t xml:space="preserve"> of services.</w:t>
      </w:r>
      <w:r w:rsidR="000629C6">
        <w:t xml:space="preserve"> J</w:t>
      </w:r>
      <w:r>
        <w:t xml:space="preserve">ust as </w:t>
      </w:r>
      <w:r w:rsidR="000A62EA">
        <w:t xml:space="preserve">for </w:t>
      </w:r>
      <w:r>
        <w:t xml:space="preserve">trade </w:t>
      </w:r>
      <w:r w:rsidR="008A41F1">
        <w:t>in</w:t>
      </w:r>
      <w:r>
        <w:t xml:space="preserve"> goods, Australia increasingly sells services abroad where we have an adv</w:t>
      </w:r>
      <w:r w:rsidR="00A547BB">
        <w:t>antage (for example, education</w:t>
      </w:r>
      <w:r w:rsidR="000A62EA">
        <w:t xml:space="preserve"> </w:t>
      </w:r>
      <w:r w:rsidR="00A547BB">
        <w:t xml:space="preserve">and specialised medical </w:t>
      </w:r>
      <w:r w:rsidR="000A62EA">
        <w:t>care</w:t>
      </w:r>
      <w:r>
        <w:t>), while buying services abroad where we are not competitive.</w:t>
      </w:r>
    </w:p>
    <w:p w:rsidR="00F04707" w:rsidRDefault="00F04707" w:rsidP="00A35115">
      <w:pPr>
        <w:pStyle w:val="BodyText"/>
      </w:pPr>
      <w:r>
        <w:t xml:space="preserve">The latest </w:t>
      </w:r>
      <w:r w:rsidR="000A62EA">
        <w:t xml:space="preserve">data on </w:t>
      </w:r>
      <w:r>
        <w:t>trade in services supports this positive picture.</w:t>
      </w:r>
      <w:r w:rsidR="008A41F1">
        <w:t xml:space="preserve"> In 2010, Australia exported in total roughly as many services by value as it imported, and has a $6.5 </w:t>
      </w:r>
      <w:r w:rsidR="008A41F1">
        <w:lastRenderedPageBreak/>
        <w:t>billion surplus in services trade with Asia – so</w:t>
      </w:r>
      <w:r w:rsidR="002E4CA5">
        <w:t xml:space="preserve"> in this region</w:t>
      </w:r>
      <w:r w:rsidR="008A41F1">
        <w:t xml:space="preserve"> there is actually more</w:t>
      </w:r>
      <w:r w:rsidR="00A547BB">
        <w:t xml:space="preserve"> ‘</w:t>
      </w:r>
      <w:proofErr w:type="spellStart"/>
      <w:r w:rsidR="00A547BB">
        <w:t>in</w:t>
      </w:r>
      <w:r w:rsidR="008A41F1">
        <w:t>shoring</w:t>
      </w:r>
      <w:proofErr w:type="spellEnd"/>
      <w:r w:rsidR="00A547BB">
        <w:t>’</w:t>
      </w:r>
      <w:r w:rsidR="008A41F1">
        <w:t xml:space="preserve"> to our </w:t>
      </w:r>
      <w:r w:rsidR="00A547BB">
        <w:t xml:space="preserve">country </w:t>
      </w:r>
      <w:r w:rsidR="002E4CA5">
        <w:t xml:space="preserve">going on </w:t>
      </w:r>
      <w:r w:rsidR="00C534AB">
        <w:t>t</w:t>
      </w:r>
      <w:r w:rsidR="00A547BB">
        <w:t>han offshoring.</w:t>
      </w:r>
    </w:p>
    <w:p w:rsidR="00F04707" w:rsidRDefault="00F04707" w:rsidP="00A35115">
      <w:pPr>
        <w:pStyle w:val="BodyText"/>
      </w:pPr>
      <w:r>
        <w:t xml:space="preserve">A capacity for offshoring means that businesses </w:t>
      </w:r>
      <w:r w:rsidR="00D2407F">
        <w:t>reliant</w:t>
      </w:r>
      <w:r w:rsidR="000110FC">
        <w:t xml:space="preserve"> on globally competitive inputs </w:t>
      </w:r>
      <w:r w:rsidR="00C534AB">
        <w:t xml:space="preserve">can </w:t>
      </w:r>
      <w:r w:rsidR="00D2407F">
        <w:t xml:space="preserve">actually compete </w:t>
      </w:r>
      <w:r w:rsidR="00A61AE9">
        <w:t>and survive.</w:t>
      </w:r>
      <w:r w:rsidR="00330B34">
        <w:t xml:space="preserve"> </w:t>
      </w:r>
      <w:r w:rsidR="00D2407F">
        <w:t xml:space="preserve">Creating barriers to offshoring would undermine domestic businesses and adversely impact on </w:t>
      </w:r>
      <w:r w:rsidR="00A547BB">
        <w:t xml:space="preserve">other jobs. </w:t>
      </w:r>
      <w:r w:rsidR="00D2407F">
        <w:t xml:space="preserve">In short, like </w:t>
      </w:r>
      <w:r w:rsidR="00A61AE9">
        <w:t>other i</w:t>
      </w:r>
      <w:r w:rsidR="00D2407F">
        <w:t xml:space="preserve">mport restrictions, barriers to offshoring do not </w:t>
      </w:r>
      <w:r w:rsidR="00A61AE9">
        <w:t xml:space="preserve">secure </w:t>
      </w:r>
      <w:r w:rsidR="00D2407F">
        <w:t>employment</w:t>
      </w:r>
      <w:r w:rsidR="00B526E2">
        <w:t xml:space="preserve"> – not </w:t>
      </w:r>
      <w:r w:rsidR="00A547BB">
        <w:t xml:space="preserve">necessarily </w:t>
      </w:r>
      <w:r w:rsidR="00A61AE9">
        <w:t>even</w:t>
      </w:r>
      <w:r w:rsidR="0073000A">
        <w:t xml:space="preserve"> in </w:t>
      </w:r>
      <w:r w:rsidR="00A61AE9">
        <w:t xml:space="preserve">the activities </w:t>
      </w:r>
      <w:r w:rsidR="00B526E2">
        <w:t>con</w:t>
      </w:r>
      <w:r w:rsidR="00C534AB">
        <w:t>cerned</w:t>
      </w:r>
      <w:r w:rsidR="00330B34">
        <w:t xml:space="preserve"> </w:t>
      </w:r>
      <w:r w:rsidR="00B526E2">
        <w:t xml:space="preserve">– they </w:t>
      </w:r>
      <w:r w:rsidR="00D2407F">
        <w:t>just make Australians poorer.</w:t>
      </w:r>
    </w:p>
    <w:p w:rsidR="00D2407F" w:rsidRDefault="00D2407F" w:rsidP="00EA1762">
      <w:pPr>
        <w:pStyle w:val="Heading4"/>
      </w:pPr>
      <w:r>
        <w:t xml:space="preserve">Job </w:t>
      </w:r>
      <w:r w:rsidR="00A61AE9">
        <w:t>c</w:t>
      </w:r>
      <w:r>
        <w:t>reation?</w:t>
      </w:r>
    </w:p>
    <w:p w:rsidR="00D2407F" w:rsidRDefault="00D2407F" w:rsidP="00A35115">
      <w:pPr>
        <w:pStyle w:val="BodyText"/>
      </w:pPr>
      <w:r>
        <w:t xml:space="preserve">That trade barriers do nothing for overall employment in our </w:t>
      </w:r>
      <w:r w:rsidR="00A61AE9">
        <w:t xml:space="preserve">economy </w:t>
      </w:r>
      <w:r>
        <w:t xml:space="preserve">(other than reducing workers’ </w:t>
      </w:r>
      <w:r w:rsidR="00BC568A">
        <w:t>wages</w:t>
      </w:r>
      <w:r>
        <w:t>) is well illustrated by the steadily rising share of Australia’s population in work since the advent of trade liberalisation in the mid</w:t>
      </w:r>
      <w:r w:rsidR="000629C6">
        <w:t>-</w:t>
      </w:r>
      <w:r>
        <w:t>1980s</w:t>
      </w:r>
      <w:r w:rsidR="000A62EA">
        <w:t>,</w:t>
      </w:r>
      <w:r w:rsidR="00BC568A">
        <w:t xml:space="preserve"> and their rising real incomes. </w:t>
      </w:r>
      <w:r>
        <w:t>(In 1985</w:t>
      </w:r>
      <w:r w:rsidR="00C534AB">
        <w:t>,</w:t>
      </w:r>
      <w:r>
        <w:t xml:space="preserve"> the participation rate was </w:t>
      </w:r>
      <w:r w:rsidR="00C534AB">
        <w:t xml:space="preserve">about </w:t>
      </w:r>
      <w:r w:rsidR="00C534AB" w:rsidRPr="00C02BFF">
        <w:t>60 per cent</w:t>
      </w:r>
      <w:r w:rsidR="00C534AB">
        <w:t xml:space="preserve"> </w:t>
      </w:r>
      <w:r>
        <w:t xml:space="preserve">and the unemployment rate was </w:t>
      </w:r>
      <w:r w:rsidR="00C534AB" w:rsidRPr="00C02BFF">
        <w:t>8</w:t>
      </w:r>
      <w:r w:rsidR="00C02BFF">
        <w:t xml:space="preserve">½ </w:t>
      </w:r>
      <w:r>
        <w:t>per cent</w:t>
      </w:r>
      <w:r w:rsidR="000629C6">
        <w:t xml:space="preserve">; </w:t>
      </w:r>
      <w:r>
        <w:t>today</w:t>
      </w:r>
      <w:r w:rsidR="00C534AB">
        <w:t xml:space="preserve"> participation has risen to 65 per cent and unemployment has fallen to 5 per cent</w:t>
      </w:r>
      <w:r w:rsidR="002E4CA5">
        <w:t>)</w:t>
      </w:r>
      <w:r w:rsidR="00C534AB">
        <w:t xml:space="preserve">. </w:t>
      </w:r>
      <w:r>
        <w:t>Industry assistance directed at job creation can</w:t>
      </w:r>
      <w:r w:rsidR="000629C6">
        <w:t>,</w:t>
      </w:r>
      <w:r>
        <w:t xml:space="preserve"> at best</w:t>
      </w:r>
      <w:r w:rsidR="000629C6">
        <w:t>,</w:t>
      </w:r>
      <w:r>
        <w:t xml:space="preserve"> influence the </w:t>
      </w:r>
      <w:r w:rsidRPr="00A61AE9">
        <w:rPr>
          <w:i/>
        </w:rPr>
        <w:t>pattern</w:t>
      </w:r>
      <w:r>
        <w:t xml:space="preserve"> of employment. But it only achieves this by helping some </w:t>
      </w:r>
      <w:r w:rsidR="00C534AB">
        <w:t>workers at t</w:t>
      </w:r>
      <w:r>
        <w:t>he expense of others.</w:t>
      </w:r>
    </w:p>
    <w:p w:rsidR="00D2407F" w:rsidRDefault="00D2407F" w:rsidP="00A35115">
      <w:pPr>
        <w:pStyle w:val="BodyText"/>
      </w:pPr>
      <w:r>
        <w:t>The main ex</w:t>
      </w:r>
      <w:r w:rsidR="0065060B">
        <w:t>c</w:t>
      </w:r>
      <w:r>
        <w:t xml:space="preserve">eption is in times of high </w:t>
      </w:r>
      <w:r w:rsidR="0095010E">
        <w:t>un</w:t>
      </w:r>
      <w:r>
        <w:t xml:space="preserve">employment. However, notwithstanding the </w:t>
      </w:r>
      <w:r w:rsidR="00AE337B">
        <w:t>G</w:t>
      </w:r>
      <w:r w:rsidR="00D36A15">
        <w:t xml:space="preserve">lobal </w:t>
      </w:r>
      <w:r>
        <w:t>F</w:t>
      </w:r>
      <w:r w:rsidR="00D36A15">
        <w:t xml:space="preserve">inancial </w:t>
      </w:r>
      <w:r>
        <w:t>C</w:t>
      </w:r>
      <w:r w:rsidR="00D36A15">
        <w:t>risis</w:t>
      </w:r>
      <w:r>
        <w:t>, under</w:t>
      </w:r>
      <w:r w:rsidR="0065060B">
        <w:t>-</w:t>
      </w:r>
      <w:r>
        <w:t>utilisation of labour</w:t>
      </w:r>
      <w:r w:rsidR="00BC568A">
        <w:t xml:space="preserve"> has </w:t>
      </w:r>
      <w:r>
        <w:t xml:space="preserve">fortunately not </w:t>
      </w:r>
      <w:r w:rsidR="00BC568A">
        <w:t xml:space="preserve">been </w:t>
      </w:r>
      <w:r>
        <w:t xml:space="preserve">Australia’s </w:t>
      </w:r>
      <w:r w:rsidR="00AE337B">
        <w:t>problem</w:t>
      </w:r>
      <w:r w:rsidR="00BC568A">
        <w:t xml:space="preserve">. On the contrary, </w:t>
      </w:r>
      <w:r w:rsidR="0065060B">
        <w:t xml:space="preserve">there have been increasing calls for the liberalisation of visas for foreign workers </w:t>
      </w:r>
      <w:r w:rsidR="00D36A15">
        <w:t xml:space="preserve">in order </w:t>
      </w:r>
      <w:r w:rsidR="0065060B">
        <w:t>to fill labour shortages. And, notwithstanding that mining activity is confined to certain part</w:t>
      </w:r>
      <w:r w:rsidR="00AE337B">
        <w:t>s</w:t>
      </w:r>
      <w:r w:rsidR="0065060B">
        <w:t xml:space="preserve"> of the country, regional disparities in unemployment have declined since the boom commenced</w:t>
      </w:r>
      <w:r w:rsidR="000629C6">
        <w:t xml:space="preserve"> </w:t>
      </w:r>
      <w:r w:rsidR="00B526E2">
        <w:t xml:space="preserve">– through </w:t>
      </w:r>
      <w:r w:rsidR="0065060B">
        <w:t xml:space="preserve">labour movements and </w:t>
      </w:r>
      <w:r w:rsidR="000A62EA">
        <w:t xml:space="preserve">generally </w:t>
      </w:r>
      <w:r w:rsidR="0065060B">
        <w:t>higher incomes underpinning jobs</w:t>
      </w:r>
      <w:r w:rsidR="000A62EA">
        <w:t>.</w:t>
      </w:r>
    </w:p>
    <w:p w:rsidR="0065060B" w:rsidRDefault="0065060B" w:rsidP="00EA1762">
      <w:pPr>
        <w:pStyle w:val="Heading3"/>
      </w:pPr>
      <w:r>
        <w:t>(Potentially) good assistance</w:t>
      </w:r>
    </w:p>
    <w:p w:rsidR="0065060B" w:rsidRDefault="0065060B" w:rsidP="00A35115">
      <w:pPr>
        <w:pStyle w:val="BodyText"/>
      </w:pPr>
      <w:r>
        <w:t xml:space="preserve">If industry assistance </w:t>
      </w:r>
      <w:r w:rsidR="00AE337B">
        <w:t xml:space="preserve">that </w:t>
      </w:r>
      <w:r>
        <w:t>target</w:t>
      </w:r>
      <w:r w:rsidR="00AE337B">
        <w:t xml:space="preserve">s </w:t>
      </w:r>
      <w:r>
        <w:t>import replacement and job creation in certain sectors is generally ‘bad’ for</w:t>
      </w:r>
      <w:r w:rsidR="00AE337B">
        <w:t xml:space="preserve"> Australia’s </w:t>
      </w:r>
      <w:r>
        <w:t xml:space="preserve">productivity and prosperity, what is </w:t>
      </w:r>
      <w:r w:rsidRPr="0065060B">
        <w:rPr>
          <w:i/>
        </w:rPr>
        <w:t>good</w:t>
      </w:r>
      <w:r>
        <w:t xml:space="preserve"> industry assistance?</w:t>
      </w:r>
      <w:r w:rsidR="00330B34">
        <w:t xml:space="preserve"> </w:t>
      </w:r>
      <w:r>
        <w:t>This is harder to answer as unequivocally, since such assistance not only needs to have a good rationale (which th</w:t>
      </w:r>
      <w:r w:rsidR="00B526E2">
        <w:t>ose</w:t>
      </w:r>
      <w:r>
        <w:t xml:space="preserve"> other for</w:t>
      </w:r>
      <w:r w:rsidR="00AE337B">
        <w:t>m</w:t>
      </w:r>
      <w:r>
        <w:t>s demonstrably lack) but m</w:t>
      </w:r>
      <w:r w:rsidR="00AE337B">
        <w:t>u</w:t>
      </w:r>
      <w:r>
        <w:t>st also be implemented through measures that meet their goal without giving rise to costs that exceed the benefits.</w:t>
      </w:r>
    </w:p>
    <w:p w:rsidR="0065060B" w:rsidRDefault="0065060B" w:rsidP="00EA1762">
      <w:pPr>
        <w:pStyle w:val="Heading4"/>
      </w:pPr>
      <w:r>
        <w:t xml:space="preserve">Innovation </w:t>
      </w:r>
      <w:r w:rsidR="00AA32FF">
        <w:t>p</w:t>
      </w:r>
      <w:r>
        <w:t>olicies</w:t>
      </w:r>
    </w:p>
    <w:p w:rsidR="00D2407F" w:rsidRDefault="0065060B" w:rsidP="00A35115">
      <w:pPr>
        <w:pStyle w:val="BodyText"/>
      </w:pPr>
      <w:r>
        <w:t>Perhaps the best illustration of how hard this can be is industry assistance directed at innovation.</w:t>
      </w:r>
      <w:r w:rsidR="00330B34">
        <w:t xml:space="preserve"> </w:t>
      </w:r>
      <w:r>
        <w:t>No-one can question the importance of innovation to an econ</w:t>
      </w:r>
      <w:r w:rsidR="00AA32FF">
        <w:t xml:space="preserve">omy’s </w:t>
      </w:r>
      <w:r w:rsidR="00AA32FF">
        <w:lastRenderedPageBreak/>
        <w:t xml:space="preserve">productivity performance. </w:t>
      </w:r>
      <w:r>
        <w:t xml:space="preserve">Equally, although </w:t>
      </w:r>
      <w:r w:rsidR="00B526E2">
        <w:t>most</w:t>
      </w:r>
      <w:r>
        <w:t xml:space="preserve"> innovation takes place spontaneously in response to mar</w:t>
      </w:r>
      <w:r w:rsidR="00AA32FF">
        <w:t xml:space="preserve">ket pressures and opportunities, </w:t>
      </w:r>
      <w:r>
        <w:t>we know that some innovation</w:t>
      </w:r>
      <w:r w:rsidR="001D3190">
        <w:t xml:space="preserve">s that may be socially valuable </w:t>
      </w:r>
      <w:r>
        <w:t>will not be privatel</w:t>
      </w:r>
      <w:r w:rsidR="000A62EA">
        <w:t xml:space="preserve">y profitable, </w:t>
      </w:r>
      <w:r w:rsidR="001D3190">
        <w:t>because of an inability for investors to appropriate enough of the returns.</w:t>
      </w:r>
      <w:r w:rsidR="00330B34">
        <w:t xml:space="preserve"> </w:t>
      </w:r>
      <w:r w:rsidR="001D3190">
        <w:t xml:space="preserve">So a </w:t>
      </w:r>
      <w:r w:rsidR="00AA32FF">
        <w:t xml:space="preserve">sound </w:t>
      </w:r>
      <w:r w:rsidR="001D3190">
        <w:t xml:space="preserve">rationale for some form of government intervention </w:t>
      </w:r>
      <w:r w:rsidR="00B526E2">
        <w:t xml:space="preserve">clearly </w:t>
      </w:r>
      <w:r w:rsidR="001D3190">
        <w:t>exists.</w:t>
      </w:r>
    </w:p>
    <w:p w:rsidR="001D3190" w:rsidRDefault="00AA32FF" w:rsidP="00A35115">
      <w:pPr>
        <w:pStyle w:val="BodyText"/>
      </w:pPr>
      <w:r>
        <w:t xml:space="preserve">But that is the easy </w:t>
      </w:r>
      <w:r w:rsidR="001D3190">
        <w:t>bit. The real challenge for assistance policy is to design measures that encourage innovation that would not otherwise have occurred (‘</w:t>
      </w:r>
      <w:proofErr w:type="spellStart"/>
      <w:r w:rsidR="001D3190">
        <w:t>additionality</w:t>
      </w:r>
      <w:proofErr w:type="spellEnd"/>
      <w:r w:rsidR="001D3190">
        <w:t xml:space="preserve">’) and that would generate private and </w:t>
      </w:r>
      <w:proofErr w:type="spellStart"/>
      <w:r w:rsidR="001D3190">
        <w:t>spillover</w:t>
      </w:r>
      <w:proofErr w:type="spellEnd"/>
      <w:r w:rsidR="001D3190">
        <w:t xml:space="preserve"> returns large enough to exceed the costs </w:t>
      </w:r>
      <w:r w:rsidR="005A790A">
        <w:t xml:space="preserve">of the </w:t>
      </w:r>
      <w:r w:rsidR="001D3190">
        <w:t xml:space="preserve">subsidies. That calculus has to take into account that public financing can distort investment and decisions about working, the resource </w:t>
      </w:r>
      <w:r w:rsidR="00AA6C4F">
        <w:t>c</w:t>
      </w:r>
      <w:r w:rsidR="001D3190">
        <w:t>osts of developing, implementing and</w:t>
      </w:r>
      <w:r>
        <w:t xml:space="preserve"> </w:t>
      </w:r>
      <w:r w:rsidR="001D3190">
        <w:t xml:space="preserve">monitoring innovation policies, the costs of selecting poor projects, and the resources that might be wasted </w:t>
      </w:r>
      <w:r w:rsidR="00D36A15">
        <w:t xml:space="preserve">through </w:t>
      </w:r>
      <w:r w:rsidR="00A030EA">
        <w:t>f</w:t>
      </w:r>
      <w:r w:rsidR="001D3190">
        <w:t xml:space="preserve">irms seeking </w:t>
      </w:r>
      <w:r w:rsidR="00D36A15">
        <w:t xml:space="preserve">public support </w:t>
      </w:r>
      <w:r w:rsidR="001D3190">
        <w:t>for privately profitable ventures.</w:t>
      </w:r>
    </w:p>
    <w:p w:rsidR="001D3190" w:rsidRDefault="001D3190" w:rsidP="00A35115">
      <w:pPr>
        <w:pStyle w:val="BodyText"/>
      </w:pPr>
      <w:r>
        <w:t xml:space="preserve">Australia has used a plethora of approaches </w:t>
      </w:r>
      <w:r w:rsidR="000A62EA">
        <w:t xml:space="preserve">over the years </w:t>
      </w:r>
      <w:r>
        <w:t>to stimulate business investment in innovation – perhaps too many, given the uncertainty that continuing policy change poses for business.</w:t>
      </w:r>
      <w:r w:rsidR="005A790A">
        <w:t xml:space="preserve"> </w:t>
      </w:r>
      <w:r>
        <w:t>While i</w:t>
      </w:r>
      <w:r w:rsidR="00D36A15">
        <w:t>ts form has changed considerably</w:t>
      </w:r>
      <w:r>
        <w:t xml:space="preserve"> over time, generic support for business R&amp;D through the tax system has been </w:t>
      </w:r>
      <w:r w:rsidR="00D83FFB">
        <w:t xml:space="preserve">one </w:t>
      </w:r>
      <w:r>
        <w:t xml:space="preserve">of the few constants in the </w:t>
      </w:r>
      <w:r w:rsidR="00A030EA">
        <w:t>i</w:t>
      </w:r>
      <w:r w:rsidR="00AA32FF">
        <w:t>nnovation assistance la</w:t>
      </w:r>
      <w:r>
        <w:t>ndscape. Indeed, over time, it has assumed a bigger role.</w:t>
      </w:r>
      <w:r w:rsidR="00330B34">
        <w:t xml:space="preserve"> </w:t>
      </w:r>
      <w:r>
        <w:t>(It comprised around 40 per cent of budgetary assistance to business innovation in 2001-02 and an estimated 75 per cent by 2010-11). The R&amp;D tax concession has several major advantages over alternative m</w:t>
      </w:r>
      <w:r w:rsidR="00D83FFB">
        <w:t xml:space="preserve">easures such as direct grants. </w:t>
      </w:r>
      <w:r>
        <w:t xml:space="preserve">Businesses, rather than </w:t>
      </w:r>
      <w:r w:rsidR="00AA32FF">
        <w:t xml:space="preserve">an </w:t>
      </w:r>
      <w:r>
        <w:t>interposed judge, make the investment decisions, and the incentive is generic – applying to many different industries and types of innovation.</w:t>
      </w:r>
    </w:p>
    <w:p w:rsidR="001D3190" w:rsidRDefault="0089006D" w:rsidP="00A35115">
      <w:pPr>
        <w:pStyle w:val="BodyText"/>
      </w:pPr>
      <w:r>
        <w:t xml:space="preserve">The biggest hurdles to an effective R&amp;D tax incentive are questions about its ability to achieve </w:t>
      </w:r>
      <w:proofErr w:type="spellStart"/>
      <w:r>
        <w:t>additionality</w:t>
      </w:r>
      <w:proofErr w:type="spellEnd"/>
      <w:r>
        <w:t xml:space="preserve"> and the capacity for activities without much novelty to be classified as R&amp;D. It has always been hard to balance the gains from designing the scheme for higher </w:t>
      </w:r>
      <w:proofErr w:type="spellStart"/>
      <w:r>
        <w:t>additionality</w:t>
      </w:r>
      <w:proofErr w:type="spellEnd"/>
      <w:r>
        <w:t xml:space="preserve"> (for example, through requirements that only projects above some historical base be funded) and the costs</w:t>
      </w:r>
      <w:r w:rsidR="00A030EA">
        <w:t xml:space="preserve"> from the </w:t>
      </w:r>
      <w:r>
        <w:t xml:space="preserve">complexity that such designs entail. Defining R&amp;D has also always been a challenge, particularly discriminating between innovation that involves small developments in existing products and processes (with likely low </w:t>
      </w:r>
      <w:proofErr w:type="spellStart"/>
      <w:r>
        <w:t>s</w:t>
      </w:r>
      <w:r w:rsidR="00D83FFB">
        <w:t>p</w:t>
      </w:r>
      <w:r>
        <w:t>illovers</w:t>
      </w:r>
      <w:proofErr w:type="spellEnd"/>
      <w:r>
        <w:t>) and genuinely novel innovation.</w:t>
      </w:r>
      <w:r w:rsidR="00330B34">
        <w:t xml:space="preserve"> </w:t>
      </w:r>
      <w:r>
        <w:t xml:space="preserve">In its 2007 review of the innovation system, the Commission recommended </w:t>
      </w:r>
      <w:r w:rsidR="00AA32FF">
        <w:t xml:space="preserve">a </w:t>
      </w:r>
      <w:r w:rsidR="00063042">
        <w:t xml:space="preserve">reorientation of support to </w:t>
      </w:r>
      <w:r>
        <w:t>more risky and novel R&amp;D in line with international definitions and</w:t>
      </w:r>
      <w:r w:rsidR="00063042">
        <w:t>, against some opposition,</w:t>
      </w:r>
      <w:r>
        <w:t xml:space="preserve"> </w:t>
      </w:r>
      <w:r w:rsidR="00AA32FF">
        <w:t xml:space="preserve">the </w:t>
      </w:r>
      <w:r>
        <w:t>government recently introduced</w:t>
      </w:r>
      <w:r w:rsidR="00A030EA">
        <w:t xml:space="preserve"> </w:t>
      </w:r>
      <w:r>
        <w:t>a narrower definition i</w:t>
      </w:r>
      <w:r w:rsidR="00AA32FF">
        <w:t xml:space="preserve">n its </w:t>
      </w:r>
      <w:r>
        <w:t>new tax credit.</w:t>
      </w:r>
    </w:p>
    <w:p w:rsidR="00063042" w:rsidRDefault="0089006D" w:rsidP="00A35115">
      <w:pPr>
        <w:pStyle w:val="BodyText"/>
      </w:pPr>
      <w:r>
        <w:t xml:space="preserve">In the past, there have been major loopholes in the scheme that, for example, </w:t>
      </w:r>
      <w:r w:rsidR="00AA32FF">
        <w:t xml:space="preserve">saw </w:t>
      </w:r>
      <w:r>
        <w:t xml:space="preserve">cattle entering pilot plant abattoirs </w:t>
      </w:r>
      <w:r w:rsidR="00AA32FF">
        <w:t xml:space="preserve">being classified </w:t>
      </w:r>
      <w:r>
        <w:t xml:space="preserve">as deductible ‘feedstock’ under </w:t>
      </w:r>
      <w:r>
        <w:lastRenderedPageBreak/>
        <w:t>the tax concession</w:t>
      </w:r>
      <w:r w:rsidR="00AA32FF">
        <w:t>.</w:t>
      </w:r>
      <w:r w:rsidR="00330B34">
        <w:t xml:space="preserve"> </w:t>
      </w:r>
      <w:r w:rsidR="001E1D34">
        <w:t>Another problem was t</w:t>
      </w:r>
      <w:r w:rsidR="00AA32FF">
        <w:t xml:space="preserve">he </w:t>
      </w:r>
      <w:r>
        <w:t>practice of ‘grave digging’ whereby consultants</w:t>
      </w:r>
      <w:r w:rsidR="00AA32FF">
        <w:t xml:space="preserve"> </w:t>
      </w:r>
      <w:r w:rsidR="00063042">
        <w:t>(</w:t>
      </w:r>
      <w:r w:rsidR="00AA32FF">
        <w:t xml:space="preserve">for </w:t>
      </w:r>
      <w:r>
        <w:t xml:space="preserve">a finders’ fee) would trawl through </w:t>
      </w:r>
      <w:r w:rsidR="00AA32FF">
        <w:t xml:space="preserve">a </w:t>
      </w:r>
      <w:r>
        <w:t>company</w:t>
      </w:r>
      <w:r w:rsidR="00063042">
        <w:t>’s</w:t>
      </w:r>
      <w:r>
        <w:t xml:space="preserve"> expenditure </w:t>
      </w:r>
      <w:r w:rsidR="00063042">
        <w:t xml:space="preserve">records </w:t>
      </w:r>
      <w:r>
        <w:t>to identify concessional opportunities. In th</w:t>
      </w:r>
      <w:r w:rsidR="00D36A15">
        <w:t>o</w:t>
      </w:r>
      <w:r>
        <w:t xml:space="preserve">se cases, any subsidy </w:t>
      </w:r>
      <w:r w:rsidR="00A030EA">
        <w:t>that was</w:t>
      </w:r>
      <w:r w:rsidR="00D36A15">
        <w:t xml:space="preserve"> </w:t>
      </w:r>
      <w:r w:rsidR="00AA32FF">
        <w:t xml:space="preserve">granted </w:t>
      </w:r>
      <w:r>
        <w:t>simply</w:t>
      </w:r>
      <w:r w:rsidR="001E1D34">
        <w:t xml:space="preserve"> </w:t>
      </w:r>
      <w:r w:rsidR="00C3607B">
        <w:t>a</w:t>
      </w:r>
      <w:r w:rsidR="00063042">
        <w:t xml:space="preserve">mounted </w:t>
      </w:r>
      <w:r w:rsidR="001E1D34">
        <w:t xml:space="preserve">to a </w:t>
      </w:r>
      <w:r>
        <w:t>transfer with no (desirab</w:t>
      </w:r>
      <w:r w:rsidR="001E1D34">
        <w:t>le) behavioural impacts.</w:t>
      </w:r>
    </w:p>
    <w:p w:rsidR="0089006D" w:rsidRDefault="001E1D34" w:rsidP="00A35115">
      <w:pPr>
        <w:pStyle w:val="BodyText"/>
      </w:pPr>
      <w:r>
        <w:t xml:space="preserve">These </w:t>
      </w:r>
      <w:r w:rsidR="0089006D">
        <w:t>experiences illustrate the risk of</w:t>
      </w:r>
      <w:r w:rsidR="00C534AB">
        <w:t xml:space="preserve"> un</w:t>
      </w:r>
      <w:r w:rsidR="0089006D">
        <w:t>intended consequences with even well-ba</w:t>
      </w:r>
      <w:r w:rsidR="00D83FFB">
        <w:t xml:space="preserve">sed industry assistance. </w:t>
      </w:r>
      <w:r w:rsidR="0089006D">
        <w:t>Understand</w:t>
      </w:r>
      <w:r w:rsidR="00B877B8">
        <w:t>a</w:t>
      </w:r>
      <w:r w:rsidR="0089006D">
        <w:t xml:space="preserve">bly, firms and </w:t>
      </w:r>
      <w:r w:rsidR="00B877B8">
        <w:t>t</w:t>
      </w:r>
      <w:r w:rsidR="0089006D">
        <w:t>heir agents look to maximise the commercial returns from governme</w:t>
      </w:r>
      <w:r w:rsidR="00B877B8">
        <w:t>n</w:t>
      </w:r>
      <w:r w:rsidR="0089006D">
        <w:t>t-funded programs, but that may not be in the national interest.</w:t>
      </w:r>
    </w:p>
    <w:p w:rsidR="00D36A15" w:rsidRDefault="0089006D" w:rsidP="00A35115">
      <w:pPr>
        <w:pStyle w:val="BodyText"/>
      </w:pPr>
      <w:r>
        <w:t xml:space="preserve">These shortcomings </w:t>
      </w:r>
      <w:r w:rsidR="001E1D34">
        <w:t xml:space="preserve">are </w:t>
      </w:r>
      <w:r>
        <w:t>particularly persistent for commerc</w:t>
      </w:r>
      <w:r w:rsidR="00B877B8">
        <w:t>i</w:t>
      </w:r>
      <w:r>
        <w:t>alis</w:t>
      </w:r>
      <w:r w:rsidR="00D83FFB">
        <w:t>ation grants.</w:t>
      </w:r>
      <w:r>
        <w:t xml:space="preserve"> These face the problem that they tend to focus on projects with lower levels of risk and prospects for high private r</w:t>
      </w:r>
      <w:r w:rsidR="00B877B8">
        <w:t>e</w:t>
      </w:r>
      <w:r>
        <w:t>turns</w:t>
      </w:r>
      <w:r w:rsidR="001E1D34">
        <w:t>,</w:t>
      </w:r>
      <w:r>
        <w:t xml:space="preserve"> and therefore for obtaining private financing. (By mid-2010, 82 per cent of completed Commercial Ready projects were considered successful)</w:t>
      </w:r>
      <w:r w:rsidR="00D83FFB">
        <w:t>.</w:t>
      </w:r>
      <w:r w:rsidR="00063042">
        <w:t xml:space="preserve"> </w:t>
      </w:r>
      <w:r w:rsidR="00B877B8">
        <w:t>In comparison, a grant pro</w:t>
      </w:r>
      <w:r w:rsidR="00332795">
        <w:t>gram that successfully targeted genuinely novel innovations – projects with the</w:t>
      </w:r>
      <w:r w:rsidR="001F481C">
        <w:t xml:space="preserve"> highest </w:t>
      </w:r>
      <w:proofErr w:type="spellStart"/>
      <w:r w:rsidR="001F481C">
        <w:t>spill</w:t>
      </w:r>
      <w:r w:rsidR="00332795">
        <w:t>over</w:t>
      </w:r>
      <w:proofErr w:type="spellEnd"/>
      <w:r w:rsidR="00332795">
        <w:t xml:space="preserve"> rates and </w:t>
      </w:r>
      <w:proofErr w:type="spellStart"/>
      <w:r w:rsidR="00332795">
        <w:t>addi</w:t>
      </w:r>
      <w:r w:rsidR="00444660">
        <w:t>ti</w:t>
      </w:r>
      <w:r w:rsidR="00332795">
        <w:t>onality</w:t>
      </w:r>
      <w:proofErr w:type="spellEnd"/>
      <w:r w:rsidR="00332795">
        <w:t xml:space="preserve"> – would be likely to have a sig</w:t>
      </w:r>
      <w:r w:rsidR="00D83FFB">
        <w:t>nificant technical failure rate.</w:t>
      </w:r>
      <w:r w:rsidR="00332795">
        <w:t xml:space="preserve"> </w:t>
      </w:r>
    </w:p>
    <w:p w:rsidR="00332795" w:rsidRDefault="00332795" w:rsidP="00A35115">
      <w:pPr>
        <w:pStyle w:val="BodyText"/>
      </w:pPr>
      <w:r>
        <w:t>These quandaries will be confron</w:t>
      </w:r>
      <w:r w:rsidR="009A3601">
        <w:t>t</w:t>
      </w:r>
      <w:r>
        <w:t>ed</w:t>
      </w:r>
      <w:r w:rsidR="00902459">
        <w:t xml:space="preserve"> by </w:t>
      </w:r>
      <w:r w:rsidR="00444660">
        <w:t xml:space="preserve">the </w:t>
      </w:r>
      <w:r>
        <w:t>recent pro</w:t>
      </w:r>
      <w:r w:rsidR="00444660">
        <w:t xml:space="preserve">grams </w:t>
      </w:r>
      <w:r>
        <w:t>to encourage new</w:t>
      </w:r>
      <w:r w:rsidR="003C23BE">
        <w:t xml:space="preserve"> ‘</w:t>
      </w:r>
      <w:r>
        <w:t>green technologies</w:t>
      </w:r>
      <w:r w:rsidR="003C23BE">
        <w:t>’</w:t>
      </w:r>
      <w:r>
        <w:t>.</w:t>
      </w:r>
      <w:r w:rsidR="00330B34">
        <w:t xml:space="preserve"> </w:t>
      </w:r>
      <w:r>
        <w:t>The amount of money is large, so the stakes are high. The Clean Energy Finance Corporat</w:t>
      </w:r>
      <w:r w:rsidR="00C534AB">
        <w:t xml:space="preserve">ion </w:t>
      </w:r>
      <w:r>
        <w:t xml:space="preserve">is to invest $10 billion in businesses seeking funds to commercialise new </w:t>
      </w:r>
      <w:r w:rsidR="00C534AB">
        <w:t>alternative</w:t>
      </w:r>
      <w:r>
        <w:t xml:space="preserve"> energy technologies</w:t>
      </w:r>
      <w:r w:rsidR="00D36A15">
        <w:t>;</w:t>
      </w:r>
      <w:r>
        <w:t xml:space="preserve"> the Australian Renewable Energy Agency will manage $3.2 billion of grants for R&amp;D and commercialisation of such te</w:t>
      </w:r>
      <w:r w:rsidR="009A3601">
        <w:t>c</w:t>
      </w:r>
      <w:r>
        <w:t>hnologie</w:t>
      </w:r>
      <w:r w:rsidR="009A3601">
        <w:t>s</w:t>
      </w:r>
      <w:r w:rsidR="00D36A15">
        <w:t>,</w:t>
      </w:r>
      <w:r w:rsidR="009A3601">
        <w:t xml:space="preserve"> </w:t>
      </w:r>
      <w:r>
        <w:t xml:space="preserve">and there will </w:t>
      </w:r>
      <w:r w:rsidR="009A3601">
        <w:t>b</w:t>
      </w:r>
      <w:r>
        <w:t>e an additional $200 million for a Clean Technology Innovation Program. Although the three programs share some common purposes, they will be run by three different agencies.</w:t>
      </w:r>
    </w:p>
    <w:p w:rsidR="00332795" w:rsidRDefault="00444660" w:rsidP="00A35115">
      <w:pPr>
        <w:pStyle w:val="BodyText"/>
      </w:pPr>
      <w:r>
        <w:t xml:space="preserve">As noted, there </w:t>
      </w:r>
      <w:r w:rsidR="00332795">
        <w:t xml:space="preserve">are valid arguments for encouraging R&amp;D in </w:t>
      </w:r>
      <w:r w:rsidR="00EF6B60">
        <w:t xml:space="preserve">alternative </w:t>
      </w:r>
      <w:r w:rsidR="00332795">
        <w:t>energy, given that private businesses cannot always appropria</w:t>
      </w:r>
      <w:r w:rsidR="00D36A15">
        <w:t xml:space="preserve">te the gains from their own R&amp;D – and </w:t>
      </w:r>
      <w:r w:rsidR="00332795">
        <w:t>that remains t</w:t>
      </w:r>
      <w:r w:rsidR="009A3601">
        <w:t>r</w:t>
      </w:r>
      <w:r w:rsidR="00332795">
        <w:t xml:space="preserve">ue even with a price </w:t>
      </w:r>
      <w:r>
        <w:t xml:space="preserve">placed </w:t>
      </w:r>
      <w:r w:rsidR="00332795">
        <w:t xml:space="preserve">on carbon emissions. However, it is less certain that there should be R&amp;D incentives </w:t>
      </w:r>
      <w:r w:rsidR="00332795" w:rsidRPr="009A3601">
        <w:rPr>
          <w:i/>
        </w:rPr>
        <w:t>specific</w:t>
      </w:r>
      <w:r w:rsidR="00332795">
        <w:t xml:space="preserve"> to </w:t>
      </w:r>
      <w:r w:rsidR="00EF6B60">
        <w:t>these</w:t>
      </w:r>
      <w:r w:rsidR="000A62EA">
        <w:t xml:space="preserve"> t</w:t>
      </w:r>
      <w:r w:rsidR="00EF6B60">
        <w:t xml:space="preserve">echnologies. </w:t>
      </w:r>
      <w:r w:rsidR="009A3601">
        <w:t>Th</w:t>
      </w:r>
      <w:r w:rsidR="00D36A15">
        <w:t>at</w:t>
      </w:r>
      <w:r w:rsidR="009A3601">
        <w:t xml:space="preserve"> would require induced </w:t>
      </w:r>
      <w:proofErr w:type="spellStart"/>
      <w:r w:rsidR="009A3601">
        <w:t>spillovers</w:t>
      </w:r>
      <w:proofErr w:type="spellEnd"/>
      <w:r w:rsidR="009A3601">
        <w:t xml:space="preserve"> significantly greater than the average.</w:t>
      </w:r>
    </w:p>
    <w:p w:rsidR="009A3601" w:rsidRDefault="009A3601" w:rsidP="00A35115">
      <w:pPr>
        <w:pStyle w:val="BodyText"/>
      </w:pPr>
      <w:r>
        <w:t xml:space="preserve">The long-running Innovation Investment Fund (IIF) may have lessons for the </w:t>
      </w:r>
      <w:r w:rsidR="00D36A15">
        <w:t xml:space="preserve">new </w:t>
      </w:r>
      <w:proofErr w:type="spellStart"/>
      <w:r>
        <w:t>CEFC</w:t>
      </w:r>
      <w:proofErr w:type="spellEnd"/>
      <w:r>
        <w:t>.</w:t>
      </w:r>
      <w:r w:rsidR="00330B34">
        <w:t xml:space="preserve"> </w:t>
      </w:r>
      <w:r>
        <w:t xml:space="preserve">They share the goal of stimulating ultimately viable financing </w:t>
      </w:r>
      <w:r w:rsidR="000A62EA">
        <w:t>fr</w:t>
      </w:r>
      <w:r w:rsidR="000110FC">
        <w:t>om</w:t>
      </w:r>
      <w:r w:rsidR="000A62EA">
        <w:t xml:space="preserve"> the private sector </w:t>
      </w:r>
      <w:r>
        <w:t>of early-stage commercialisation of risky new technologies.</w:t>
      </w:r>
      <w:r w:rsidR="00330B34">
        <w:t xml:space="preserve"> </w:t>
      </w:r>
      <w:r>
        <w:t>However</w:t>
      </w:r>
      <w:r w:rsidR="006D7001">
        <w:t>,</w:t>
      </w:r>
      <w:r>
        <w:t xml:space="preserve"> </w:t>
      </w:r>
      <w:r w:rsidR="006D5F69">
        <w:t>a</w:t>
      </w:r>
      <w:r>
        <w:t>n evaluation of the IIF program last year</w:t>
      </w:r>
      <w:r w:rsidR="006D5F69">
        <w:t>,</w:t>
      </w:r>
      <w:r>
        <w:t xml:space="preserve"> by three British researchers</w:t>
      </w:r>
      <w:r w:rsidR="006D5F69">
        <w:t>,</w:t>
      </w:r>
      <w:r>
        <w:t xml:space="preserve"> concluded that the goal of creating a self-sustaining and privately financed, early-stage venture capital market is unlikely to be realised. They noted that there was negligible evidence that any country had successfully used a public or hybrid venture capital program to achieve such a market.</w:t>
      </w:r>
      <w:r w:rsidR="00330B34">
        <w:t xml:space="preserve"> </w:t>
      </w:r>
    </w:p>
    <w:p w:rsidR="00205A9D" w:rsidRDefault="009A3601" w:rsidP="00A35115">
      <w:pPr>
        <w:pStyle w:val="BodyText"/>
      </w:pPr>
      <w:r>
        <w:lastRenderedPageBreak/>
        <w:t>That said, the losses to taxpayers from the IIF do not appear large, given the modest size of the program and that</w:t>
      </w:r>
      <w:r w:rsidR="001A622C">
        <w:t xml:space="preserve"> there have been some returns. T</w:t>
      </w:r>
      <w:r>
        <w:t>he CEFC faces bigger challenges</w:t>
      </w:r>
      <w:r w:rsidR="00063042">
        <w:t>,</w:t>
      </w:r>
      <w:r>
        <w:t xml:space="preserve"> being a much larger fund and</w:t>
      </w:r>
      <w:r w:rsidR="00063042">
        <w:t xml:space="preserve"> a more </w:t>
      </w:r>
      <w:r>
        <w:t>narrowly focused</w:t>
      </w:r>
      <w:r w:rsidR="006D5F69">
        <w:t xml:space="preserve"> on</w:t>
      </w:r>
      <w:r w:rsidR="00063042">
        <w:t xml:space="preserve">e, involving just one technology group – </w:t>
      </w:r>
      <w:r w:rsidR="00D36A15">
        <w:t>‘</w:t>
      </w:r>
      <w:r w:rsidR="00063042">
        <w:t xml:space="preserve">clean </w:t>
      </w:r>
      <w:r w:rsidR="006D5F69">
        <w:t>energy</w:t>
      </w:r>
      <w:r w:rsidR="00D36A15">
        <w:t>’</w:t>
      </w:r>
      <w:r w:rsidR="006D5F69">
        <w:t>.</w:t>
      </w:r>
      <w:r>
        <w:t xml:space="preserve"> </w:t>
      </w:r>
      <w:r w:rsidR="00FF0F1D">
        <w:t>In fact, the technological opportu</w:t>
      </w:r>
      <w:r w:rsidR="00063042">
        <w:t>nities are even narrower, since c</w:t>
      </w:r>
      <w:r w:rsidR="00FF0F1D">
        <w:t>arbon capture and storage technologies are excluded, being covered by other programs.</w:t>
      </w:r>
      <w:r w:rsidR="00063042">
        <w:t xml:space="preserve"> </w:t>
      </w:r>
      <w:r>
        <w:t xml:space="preserve">That </w:t>
      </w:r>
      <w:r w:rsidR="00D36A15">
        <w:t xml:space="preserve">confronts the added difficulties </w:t>
      </w:r>
      <w:r>
        <w:t xml:space="preserve">that a small country’s innovation capabilities in </w:t>
      </w:r>
      <w:r w:rsidR="00D36A15">
        <w:t xml:space="preserve">alternative </w:t>
      </w:r>
      <w:r>
        <w:t>energy are likely to be cons</w:t>
      </w:r>
      <w:r w:rsidR="006D5F69">
        <w:t>trained</w:t>
      </w:r>
      <w:r w:rsidR="00D36A15">
        <w:t xml:space="preserve"> (particularly with the nuclear alternative disqualified)</w:t>
      </w:r>
      <w:r w:rsidR="006D5F69">
        <w:t>.</w:t>
      </w:r>
      <w:r w:rsidR="00330B34">
        <w:t xml:space="preserve"> </w:t>
      </w:r>
      <w:r>
        <w:t xml:space="preserve">Of course, all this may not matter too much as long as </w:t>
      </w:r>
      <w:r w:rsidR="00064A7B">
        <w:t>the</w:t>
      </w:r>
      <w:r w:rsidR="001A622C">
        <w:t xml:space="preserve"> </w:t>
      </w:r>
      <w:r w:rsidR="006D5F69">
        <w:t>managers o</w:t>
      </w:r>
      <w:r w:rsidR="00064A7B">
        <w:t>f the program</w:t>
      </w:r>
      <w:r w:rsidR="000F79A3">
        <w:t xml:space="preserve"> feel under no ob</w:t>
      </w:r>
      <w:r w:rsidR="003C23BE">
        <w:t>l</w:t>
      </w:r>
      <w:r w:rsidR="000F79A3">
        <w:t>igation</w:t>
      </w:r>
      <w:r w:rsidR="00064A7B">
        <w:t xml:space="preserve"> to </w:t>
      </w:r>
      <w:r>
        <w:t xml:space="preserve">spend </w:t>
      </w:r>
      <w:r w:rsidR="000110FC">
        <w:t xml:space="preserve">all </w:t>
      </w:r>
      <w:r>
        <w:t>the money!</w:t>
      </w:r>
    </w:p>
    <w:p w:rsidR="00063042" w:rsidRPr="005513DB" w:rsidRDefault="00063042" w:rsidP="004E62F5">
      <w:pPr>
        <w:pStyle w:val="Heading4"/>
      </w:pPr>
      <w:r w:rsidRPr="005513DB">
        <w:t>Innovation for adjustment</w:t>
      </w:r>
    </w:p>
    <w:p w:rsidR="006D7001" w:rsidRDefault="00205A9D" w:rsidP="00205A9D">
      <w:pPr>
        <w:pStyle w:val="BodyText"/>
      </w:pPr>
      <w:r>
        <w:t>The fact that there is a potentially sound rational</w:t>
      </w:r>
      <w:r w:rsidR="006D7001">
        <w:t>e</w:t>
      </w:r>
      <w:r>
        <w:t xml:space="preserve"> for assistance to promote innovation has seen it become popular as a label for m</w:t>
      </w:r>
      <w:r w:rsidR="00E95AC9">
        <w:t>a</w:t>
      </w:r>
      <w:r>
        <w:t>ny assistance programs that have little to do with encouraging innovation</w:t>
      </w:r>
      <w:r w:rsidR="006D7001">
        <w:t>, let alon</w:t>
      </w:r>
      <w:r w:rsidR="000A62EA">
        <w:t>e</w:t>
      </w:r>
      <w:r w:rsidR="006D7001">
        <w:t xml:space="preserve"> addressing market failure</w:t>
      </w:r>
      <w:r w:rsidR="006D7001" w:rsidRPr="000A62EA">
        <w:t>s</w:t>
      </w:r>
      <w:r>
        <w:t xml:space="preserve">. For example, all of the major recent structural adjustment packages for declining industries are referred to as ‘innovation’ programs. However, innovation </w:t>
      </w:r>
      <w:r w:rsidR="000A62EA">
        <w:t>does</w:t>
      </w:r>
      <w:r>
        <w:t xml:space="preserve"> not figure much in </w:t>
      </w:r>
      <w:r w:rsidR="000A62EA">
        <w:t xml:space="preserve">most of </w:t>
      </w:r>
      <w:r>
        <w:t xml:space="preserve">them. For example, the only references to innovation in the eligibility criteria for the North East Tasmania Innovation and Investment Fund (a response to the closure of the Tonganah Sawmill in Scottsdale) are to the name of the program. </w:t>
      </w:r>
    </w:p>
    <w:p w:rsidR="009B3561" w:rsidRDefault="009B3561" w:rsidP="00205A9D">
      <w:pPr>
        <w:pStyle w:val="BodyText"/>
      </w:pPr>
      <w:r>
        <w:t xml:space="preserve">More significantly, the sizeable financial support still being provided by taxpayers to the automotive and (to a lesser extent) TCF industries, although presented under the innovation banner – which has a green light </w:t>
      </w:r>
      <w:r w:rsidR="00902459">
        <w:t xml:space="preserve">in </w:t>
      </w:r>
      <w:r>
        <w:t>the WTO – mainly comprises what amounts to production subsidies, which are hard to justify on any ‘market failure’ grounds</w:t>
      </w:r>
      <w:r w:rsidR="00902459">
        <w:t>.</w:t>
      </w:r>
    </w:p>
    <w:p w:rsidR="006D7001" w:rsidRDefault="0064531D" w:rsidP="00A35115">
      <w:pPr>
        <w:pStyle w:val="BodyText"/>
      </w:pPr>
      <w:r>
        <w:t xml:space="preserve">That is not to suggest that government assistance to help industries </w:t>
      </w:r>
      <w:r w:rsidR="00205A9D">
        <w:t>adjust i</w:t>
      </w:r>
      <w:r>
        <w:t>s inappropriate</w:t>
      </w:r>
      <w:r w:rsidR="009B3561">
        <w:t xml:space="preserve"> – on the contrary – but </w:t>
      </w:r>
      <w:r>
        <w:t>again it needs to be target</w:t>
      </w:r>
      <w:r w:rsidR="00341A4F">
        <w:t>e</w:t>
      </w:r>
      <w:r>
        <w:t>d at justifiable</w:t>
      </w:r>
      <w:r w:rsidR="009B3561">
        <w:t xml:space="preserve"> objectives and it needs to </w:t>
      </w:r>
      <w:r>
        <w:t>facilitate</w:t>
      </w:r>
      <w:r w:rsidR="003C23BE">
        <w:t>,</w:t>
      </w:r>
      <w:r>
        <w:t xml:space="preserve"> rather than impede</w:t>
      </w:r>
      <w:r w:rsidR="003C23BE">
        <w:t>,</w:t>
      </w:r>
      <w:r>
        <w:t xml:space="preserve"> adjustment to mark</w:t>
      </w:r>
      <w:r w:rsidR="00341A4F">
        <w:t>et realities.</w:t>
      </w:r>
    </w:p>
    <w:p w:rsidR="00741D26" w:rsidRDefault="00341A4F" w:rsidP="00A35115">
      <w:pPr>
        <w:pStyle w:val="BodyText"/>
      </w:pPr>
      <w:r>
        <w:t>In general, the</w:t>
      </w:r>
      <w:r w:rsidR="001A622C">
        <w:t xml:space="preserve"> </w:t>
      </w:r>
      <w:r w:rsidR="00205A9D">
        <w:t xml:space="preserve">rationale </w:t>
      </w:r>
      <w:r>
        <w:t>for assistance is</w:t>
      </w:r>
      <w:r w:rsidR="001A622C">
        <w:t xml:space="preserve"> </w:t>
      </w:r>
      <w:r w:rsidR="00205A9D">
        <w:t xml:space="preserve">much stronger for workers </w:t>
      </w:r>
      <w:r>
        <w:t>than for business</w:t>
      </w:r>
      <w:r w:rsidR="00205A9D">
        <w:t>es</w:t>
      </w:r>
      <w:r>
        <w:t>.</w:t>
      </w:r>
      <w:r w:rsidR="00330B34">
        <w:t xml:space="preserve"> </w:t>
      </w:r>
      <w:r>
        <w:t xml:space="preserve">Unlike business, most </w:t>
      </w:r>
      <w:r w:rsidR="00205A9D">
        <w:t xml:space="preserve">workers </w:t>
      </w:r>
      <w:r>
        <w:t>cannot readily diversi</w:t>
      </w:r>
      <w:r w:rsidR="001A622C">
        <w:t xml:space="preserve">fy </w:t>
      </w:r>
      <w:r w:rsidR="005F2053">
        <w:t xml:space="preserve">risks </w:t>
      </w:r>
      <w:r>
        <w:t xml:space="preserve">and are poorly informed about such risks when making employment decisions. </w:t>
      </w:r>
      <w:r w:rsidR="00741D26">
        <w:t>Even here, however, there are questions about when selective support is justified (beyond existing generally available wel</w:t>
      </w:r>
      <w:r w:rsidR="000F79A3">
        <w:t>fare and employment programs). S</w:t>
      </w:r>
      <w:r w:rsidR="00741D26">
        <w:t xml:space="preserve">upport has tended to </w:t>
      </w:r>
      <w:r w:rsidR="000F79A3">
        <w:t xml:space="preserve">be directed at </w:t>
      </w:r>
      <w:r w:rsidR="00741D26">
        <w:t>particular instances of job loss that are not different in character to many others. For example, i</w:t>
      </w:r>
      <w:r>
        <w:t xml:space="preserve">n the past five years, adjustment packages totalling </w:t>
      </w:r>
      <w:r>
        <w:lastRenderedPageBreak/>
        <w:t xml:space="preserve">$150 million have been triggered by </w:t>
      </w:r>
      <w:r w:rsidR="00205A9D">
        <w:t>a</w:t>
      </w:r>
      <w:r>
        <w:t xml:space="preserve">round 4,000 job losses – equivalent to </w:t>
      </w:r>
      <w:r w:rsidR="00205A9D">
        <w:t xml:space="preserve">only </w:t>
      </w:r>
      <w:r>
        <w:t>0.1 per cent of total involun</w:t>
      </w:r>
      <w:r w:rsidR="00AC04DD">
        <w:t>tary job losses Australia-wide.</w:t>
      </w:r>
    </w:p>
    <w:p w:rsidR="00341A4F" w:rsidRDefault="00341A4F" w:rsidP="00A35115">
      <w:pPr>
        <w:pStyle w:val="BodyText"/>
      </w:pPr>
      <w:r>
        <w:t>There are also</w:t>
      </w:r>
      <w:r w:rsidR="00205A9D">
        <w:t xml:space="preserve"> risks from moral hazard in some </w:t>
      </w:r>
      <w:r>
        <w:t xml:space="preserve">adjustment programs. For example, in its recent inquiry, the Commission found that some forms of drought support had essentially evolved into an </w:t>
      </w:r>
      <w:r w:rsidR="000A62EA">
        <w:t xml:space="preserve">entitlement, and had frustrated </w:t>
      </w:r>
      <w:r w:rsidR="00AC04DD">
        <w:t>f</w:t>
      </w:r>
      <w:r>
        <w:t>armers</w:t>
      </w:r>
      <w:r w:rsidR="006D7001">
        <w:t>’</w:t>
      </w:r>
      <w:r>
        <w:t xml:space="preserve"> long-term </w:t>
      </w:r>
      <w:r w:rsidR="00205A9D">
        <w:t xml:space="preserve">management of normal </w:t>
      </w:r>
      <w:r>
        <w:t xml:space="preserve">climate </w:t>
      </w:r>
      <w:r w:rsidR="00205A9D">
        <w:t>risk</w:t>
      </w:r>
      <w:r w:rsidR="000F79A3">
        <w:t>s</w:t>
      </w:r>
      <w:r w:rsidR="00205A9D">
        <w:t>.</w:t>
      </w:r>
    </w:p>
    <w:p w:rsidR="00341A4F" w:rsidRPr="00341A4F" w:rsidRDefault="00341A4F" w:rsidP="00EA1762">
      <w:pPr>
        <w:pStyle w:val="Heading3"/>
      </w:pPr>
      <w:r w:rsidRPr="00341A4F">
        <w:t>What about manufacturing?</w:t>
      </w:r>
    </w:p>
    <w:p w:rsidR="00AF7E11" w:rsidRDefault="00341A4F" w:rsidP="00A35115">
      <w:pPr>
        <w:pStyle w:val="BodyText"/>
      </w:pPr>
      <w:r>
        <w:t xml:space="preserve">The adjustment </w:t>
      </w:r>
      <w:r w:rsidR="00205A9D">
        <w:t xml:space="preserve">pressures </w:t>
      </w:r>
      <w:r w:rsidR="003B60C4">
        <w:t>current</w:t>
      </w:r>
      <w:r w:rsidR="00205A9D">
        <w:t xml:space="preserve">ly experienced by manufacturing, </w:t>
      </w:r>
      <w:r w:rsidR="003B60C4">
        <w:t>or at least</w:t>
      </w:r>
      <w:r w:rsidR="00205A9D">
        <w:t xml:space="preserve"> those i</w:t>
      </w:r>
      <w:r w:rsidR="003B60C4">
        <w:t>ndustries not directly benefitting from the mining boom, have been seen by some as a special case for government assistance.</w:t>
      </w:r>
      <w:r w:rsidR="00330B34">
        <w:t xml:space="preserve"> </w:t>
      </w:r>
      <w:r w:rsidR="00205A9D">
        <w:t xml:space="preserve">In </w:t>
      </w:r>
      <w:r w:rsidR="00AF7E11">
        <w:t xml:space="preserve">thinking </w:t>
      </w:r>
      <w:r w:rsidR="00205A9D">
        <w:t xml:space="preserve">about the merits of this, some </w:t>
      </w:r>
      <w:r w:rsidR="003B60C4">
        <w:t>context</w:t>
      </w:r>
      <w:r w:rsidR="00741D26">
        <w:t xml:space="preserve"> may be </w:t>
      </w:r>
      <w:r w:rsidR="00205A9D">
        <w:t xml:space="preserve">instructive. </w:t>
      </w:r>
    </w:p>
    <w:p w:rsidR="003B60C4" w:rsidRDefault="003B60C4" w:rsidP="00A35115">
      <w:pPr>
        <w:pStyle w:val="BodyText"/>
      </w:pPr>
      <w:r>
        <w:t xml:space="preserve">Manufacturing’s place in the Australian economy has </w:t>
      </w:r>
      <w:r w:rsidR="00AF7E11">
        <w:t>act</w:t>
      </w:r>
      <w:r>
        <w:t>ually been in secular decline for</w:t>
      </w:r>
      <w:r w:rsidR="00741D26">
        <w:t xml:space="preserve"> the past </w:t>
      </w:r>
      <w:r>
        <w:t>four decades.</w:t>
      </w:r>
      <w:r w:rsidR="00AF7E11">
        <w:t xml:space="preserve"> </w:t>
      </w:r>
      <w:r>
        <w:t>As with the decline of agriculture in the 19</w:t>
      </w:r>
      <w:r w:rsidRPr="003B60C4">
        <w:rPr>
          <w:vertAlign w:val="superscript"/>
        </w:rPr>
        <w:t>th</w:t>
      </w:r>
      <w:r>
        <w:t xml:space="preserve"> century, this trend </w:t>
      </w:r>
      <w:r w:rsidR="00AF7E11">
        <w:t xml:space="preserve">has been common to all </w:t>
      </w:r>
      <w:r>
        <w:t>advanced econom</w:t>
      </w:r>
      <w:r w:rsidR="00741D26">
        <w:t>ies.</w:t>
      </w:r>
      <w:r w:rsidR="00330B34">
        <w:t xml:space="preserve"> </w:t>
      </w:r>
      <w:r w:rsidR="00741D26">
        <w:t xml:space="preserve">For example, in the USA, the share of manufacturing in </w:t>
      </w:r>
      <w:r>
        <w:t xml:space="preserve">total employment has fallen from </w:t>
      </w:r>
      <w:r w:rsidR="00AF7E11">
        <w:t xml:space="preserve">over </w:t>
      </w:r>
      <w:r>
        <w:t xml:space="preserve">20 per cent in 1970 to less than 10 per cent today. As </w:t>
      </w:r>
      <w:r w:rsidR="00AF7E11">
        <w:t>R</w:t>
      </w:r>
      <w:r>
        <w:t xml:space="preserve">BA </w:t>
      </w:r>
      <w:r w:rsidR="00AF7E11">
        <w:t xml:space="preserve">analysis </w:t>
      </w:r>
      <w:r>
        <w:t xml:space="preserve">has recently demonstrated, the richer </w:t>
      </w:r>
      <w:r w:rsidR="000F79A3">
        <w:t xml:space="preserve">the </w:t>
      </w:r>
      <w:r>
        <w:t>country, the greater the sh</w:t>
      </w:r>
      <w:r w:rsidR="00AF7E11">
        <w:t>a</w:t>
      </w:r>
      <w:r>
        <w:t xml:space="preserve">re of services in </w:t>
      </w:r>
      <w:r w:rsidR="000F79A3">
        <w:t xml:space="preserve">its </w:t>
      </w:r>
      <w:r>
        <w:t>total output. As people’s incomes rise, they want to purchase more restaurant meal</w:t>
      </w:r>
      <w:r w:rsidR="00AF7E11">
        <w:t>s and commercial holidays.</w:t>
      </w:r>
      <w:r w:rsidR="00330B34">
        <w:t xml:space="preserve"> </w:t>
      </w:r>
      <w:r w:rsidR="00AF7E11">
        <w:t xml:space="preserve">And, </w:t>
      </w:r>
      <w:r>
        <w:t>as they age, they want more health services and activities complementary to leisure.</w:t>
      </w:r>
      <w:r w:rsidR="00330B34">
        <w:t xml:space="preserve"> </w:t>
      </w:r>
      <w:r>
        <w:t>It is hard to see this as a symptom of economic failure</w:t>
      </w:r>
      <w:r w:rsidR="000F79A3">
        <w:t>,</w:t>
      </w:r>
      <w:r>
        <w:t xml:space="preserve"> and</w:t>
      </w:r>
      <w:r w:rsidR="00741D26">
        <w:t xml:space="preserve"> </w:t>
      </w:r>
      <w:r w:rsidR="00BF14A3">
        <w:t xml:space="preserve">thus </w:t>
      </w:r>
      <w:r w:rsidR="00741D26">
        <w:t xml:space="preserve">as </w:t>
      </w:r>
      <w:r>
        <w:t>a problem requir</w:t>
      </w:r>
      <w:r w:rsidR="00AF7E11">
        <w:t>ing re</w:t>
      </w:r>
      <w:r>
        <w:t>medial policy action.</w:t>
      </w:r>
    </w:p>
    <w:p w:rsidR="003B60C4" w:rsidRDefault="003B60C4" w:rsidP="00A35115">
      <w:pPr>
        <w:pStyle w:val="BodyText"/>
      </w:pPr>
      <w:r>
        <w:t xml:space="preserve">In Australia, the 1.4 percentage point decline in manufacturing’s share of total employment since 2007 is 0.5 percentage points greater </w:t>
      </w:r>
      <w:r w:rsidR="000F79A3">
        <w:t xml:space="preserve">than </w:t>
      </w:r>
      <w:r>
        <w:t>the long term average rate.</w:t>
      </w:r>
      <w:r w:rsidR="00330B34">
        <w:t xml:space="preserve"> </w:t>
      </w:r>
      <w:r>
        <w:t xml:space="preserve">In other words, the combined effects of the </w:t>
      </w:r>
      <w:r w:rsidR="00AF7E11">
        <w:t>G</w:t>
      </w:r>
      <w:r>
        <w:t>FC and the so-called ‘Du</w:t>
      </w:r>
      <w:r w:rsidR="00E52EDA">
        <w:t>t</w:t>
      </w:r>
      <w:r w:rsidR="00AF7E11">
        <w:t>ch disease</w:t>
      </w:r>
      <w:r w:rsidR="00E52EDA">
        <w:t>’ related to the mining boom</w:t>
      </w:r>
      <w:r w:rsidR="00BF14A3">
        <w:t xml:space="preserve"> since then, </w:t>
      </w:r>
      <w:r w:rsidR="00E52EDA">
        <w:t xml:space="preserve">have brought forward </w:t>
      </w:r>
      <w:r w:rsidR="00BF14A3">
        <w:t xml:space="preserve">ongoing </w:t>
      </w:r>
      <w:r w:rsidR="00E52EDA">
        <w:t xml:space="preserve">trend structural </w:t>
      </w:r>
      <w:r w:rsidR="00AF7E11">
        <w:t>change b</w:t>
      </w:r>
      <w:r w:rsidR="00E52EDA">
        <w:t>y less than 2 years.</w:t>
      </w:r>
    </w:p>
    <w:p w:rsidR="00950DFB" w:rsidRDefault="00283BF9" w:rsidP="00A35115">
      <w:pPr>
        <w:pStyle w:val="BodyText"/>
      </w:pPr>
      <w:r>
        <w:t xml:space="preserve">The </w:t>
      </w:r>
      <w:r w:rsidR="00950DFB">
        <w:t xml:space="preserve">fact that the relative importance of manufacturing is falling does not mean that its </w:t>
      </w:r>
      <w:r w:rsidR="00950DFB" w:rsidRPr="00BF14A3">
        <w:rPr>
          <w:i/>
        </w:rPr>
        <w:t>absolute</w:t>
      </w:r>
      <w:r w:rsidR="00950DFB">
        <w:t xml:space="preserve"> importance has changed that much.</w:t>
      </w:r>
      <w:r w:rsidR="00330B34">
        <w:t xml:space="preserve"> </w:t>
      </w:r>
      <w:r w:rsidR="00950DFB">
        <w:t xml:space="preserve">Real output </w:t>
      </w:r>
      <w:r w:rsidR="00BF14A3">
        <w:t xml:space="preserve">has </w:t>
      </w:r>
      <w:r w:rsidR="00311FF0">
        <w:t xml:space="preserve">actually </w:t>
      </w:r>
      <w:r w:rsidR="00BF14A3">
        <w:t xml:space="preserve">risen </w:t>
      </w:r>
      <w:r w:rsidR="00950DFB">
        <w:t xml:space="preserve">by around </w:t>
      </w:r>
      <w:r w:rsidR="00AC04DD">
        <w:t xml:space="preserve">50 per cent </w:t>
      </w:r>
      <w:r w:rsidR="00BF14A3">
        <w:t xml:space="preserve">since </w:t>
      </w:r>
      <w:r w:rsidR="006D7001">
        <w:t>19</w:t>
      </w:r>
      <w:r w:rsidR="00AC04DD">
        <w:t>84</w:t>
      </w:r>
      <w:r w:rsidR="00BF14A3">
        <w:t>.</w:t>
      </w:r>
      <w:r w:rsidR="00330B34">
        <w:t xml:space="preserve"> </w:t>
      </w:r>
      <w:r w:rsidR="00950DFB">
        <w:t>A shift to more capital-intensive production</w:t>
      </w:r>
      <w:r w:rsidR="00BF14A3">
        <w:t xml:space="preserve"> </w:t>
      </w:r>
      <w:r w:rsidR="00950DFB">
        <w:t>nevertheless saw manufacturing employment fall</w:t>
      </w:r>
      <w:r w:rsidR="000F79A3">
        <w:t xml:space="preserve"> </w:t>
      </w:r>
      <w:r w:rsidR="00950DFB">
        <w:t>from 1.1 million in 1984 to 950</w:t>
      </w:r>
      <w:r w:rsidR="000226A9">
        <w:t>,</w:t>
      </w:r>
      <w:r w:rsidR="00950DFB">
        <w:t>000 in 2011</w:t>
      </w:r>
      <w:r>
        <w:t>,</w:t>
      </w:r>
      <w:r w:rsidR="00950DFB">
        <w:t xml:space="preserve"> but this is a </w:t>
      </w:r>
      <w:r w:rsidR="000226A9">
        <w:t>s</w:t>
      </w:r>
      <w:r w:rsidR="00950DFB">
        <w:t>mall change relative to the economy-wide increase in employment over that period.</w:t>
      </w:r>
    </w:p>
    <w:p w:rsidR="00E52EDA" w:rsidRDefault="00950DFB" w:rsidP="00A35115">
      <w:pPr>
        <w:pStyle w:val="BodyText"/>
      </w:pPr>
      <w:r>
        <w:t xml:space="preserve">Furthermore, official employment numbers </w:t>
      </w:r>
      <w:r w:rsidR="00BF14A3">
        <w:t xml:space="preserve">significantly </w:t>
      </w:r>
      <w:r>
        <w:t>overstate manufacturing’s relative decline</w:t>
      </w:r>
      <w:r w:rsidR="000F79A3">
        <w:t>. P</w:t>
      </w:r>
      <w:r>
        <w:t xml:space="preserve">art of </w:t>
      </w:r>
      <w:r w:rsidR="000F79A3">
        <w:t xml:space="preserve">this </w:t>
      </w:r>
      <w:r>
        <w:t>is a statistical artefact</w:t>
      </w:r>
      <w:r w:rsidR="000A62EA">
        <w:t xml:space="preserve">, with many services once provided ‘in-house’ – such </w:t>
      </w:r>
      <w:r>
        <w:t>as transport, accounting, IT, legal, and design services</w:t>
      </w:r>
      <w:r w:rsidR="00556C47">
        <w:t xml:space="preserve"> – </w:t>
      </w:r>
      <w:r w:rsidR="00556C47">
        <w:lastRenderedPageBreak/>
        <w:t xml:space="preserve">now </w:t>
      </w:r>
      <w:r w:rsidR="003C23BE">
        <w:t xml:space="preserve">being </w:t>
      </w:r>
      <w:r w:rsidR="000F79A3">
        <w:t xml:space="preserve">outsourced, </w:t>
      </w:r>
      <w:r>
        <w:t>and</w:t>
      </w:r>
      <w:r w:rsidR="0073000A">
        <w:t xml:space="preserve"> the jobs</w:t>
      </w:r>
      <w:r w:rsidR="000F79A3">
        <w:t xml:space="preserve"> therefore </w:t>
      </w:r>
      <w:r>
        <w:t xml:space="preserve">no longer </w:t>
      </w:r>
      <w:r w:rsidR="00BF14A3">
        <w:t xml:space="preserve">classified </w:t>
      </w:r>
      <w:r>
        <w:t xml:space="preserve">as </w:t>
      </w:r>
      <w:r w:rsidR="000F79A3">
        <w:t>‘</w:t>
      </w:r>
      <w:r>
        <w:t>manufacturing</w:t>
      </w:r>
      <w:r w:rsidR="000F79A3">
        <w:t>’</w:t>
      </w:r>
      <w:r>
        <w:t xml:space="preserve"> </w:t>
      </w:r>
      <w:r w:rsidR="0073000A">
        <w:t>i</w:t>
      </w:r>
      <w:r>
        <w:t>n official statistics.</w:t>
      </w:r>
    </w:p>
    <w:p w:rsidR="00950DFB" w:rsidRDefault="00950DFB" w:rsidP="00A35115">
      <w:pPr>
        <w:pStyle w:val="BodyText"/>
      </w:pPr>
      <w:r>
        <w:t xml:space="preserve">Indeed, the distinction between ‘manufacturing’ and agriculture, mining and services activities is </w:t>
      </w:r>
      <w:r w:rsidR="00283BF9">
        <w:t xml:space="preserve">becoming </w:t>
      </w:r>
      <w:r>
        <w:t>increasingly tautol</w:t>
      </w:r>
      <w:r w:rsidR="00283BF9">
        <w:t xml:space="preserve">ogical rather than conceptual. Considerable </w:t>
      </w:r>
      <w:r>
        <w:t>transformation occurs in</w:t>
      </w:r>
      <w:r w:rsidR="000F79A3">
        <w:t xml:space="preserve"> both</w:t>
      </w:r>
      <w:r>
        <w:t xml:space="preserve"> mining and agriculture</w:t>
      </w:r>
      <w:r w:rsidR="000F79A3">
        <w:t>,</w:t>
      </w:r>
      <w:r>
        <w:t xml:space="preserve"> and the sophistication of the machinery, the complexity of processes and the level of labour skills to recover the useful outputs from these industries can be </w:t>
      </w:r>
      <w:r w:rsidR="00BF14A3">
        <w:t>much</w:t>
      </w:r>
      <w:r>
        <w:t xml:space="preserve"> greater than </w:t>
      </w:r>
      <w:r w:rsidR="00283BF9">
        <w:t xml:space="preserve">for </w:t>
      </w:r>
      <w:r>
        <w:t xml:space="preserve">many manufacturing operations. For example, </w:t>
      </w:r>
      <w:r w:rsidR="00424B04">
        <w:t xml:space="preserve">bringing oil and gas up to a drilling platform is an extraordinarily complex engineering task, yet it is only after these transformations </w:t>
      </w:r>
      <w:r w:rsidR="00286EBB">
        <w:t xml:space="preserve">have taken </w:t>
      </w:r>
      <w:r w:rsidR="00424B04">
        <w:t xml:space="preserve">place that later transformation is possible. </w:t>
      </w:r>
      <w:r w:rsidR="000226A9">
        <w:t>R</w:t>
      </w:r>
      <w:r w:rsidR="00424B04">
        <w:t>obotics, new metals and remote sensing devices used in mining are at the frontier of technologies.</w:t>
      </w:r>
    </w:p>
    <w:p w:rsidR="00424B04" w:rsidRDefault="00424B04" w:rsidP="00A35115">
      <w:pPr>
        <w:pStyle w:val="BodyText"/>
      </w:pPr>
      <w:r>
        <w:t>Equally, the transformation of raw data into useful information in insurance, finance, health, the internet and mining exploration (to name a few) through remote sensing, neural network software and complex search engines – all services – involve</w:t>
      </w:r>
      <w:r w:rsidR="00BF14A3">
        <w:t>s</w:t>
      </w:r>
      <w:r>
        <w:t xml:space="preserve"> more valuable and complex transformations than </w:t>
      </w:r>
      <w:r w:rsidR="00BF14A3">
        <w:t xml:space="preserve">those from </w:t>
      </w:r>
      <w:r>
        <w:t>a sewing needle or lathe.</w:t>
      </w:r>
    </w:p>
    <w:p w:rsidR="00424B04" w:rsidRDefault="00424B04" w:rsidP="00A35115">
      <w:pPr>
        <w:pStyle w:val="BodyText"/>
      </w:pPr>
      <w:r>
        <w:t>Against that background, the notion that the mining boom is a ‘curse’ because it drives up ex</w:t>
      </w:r>
      <w:r w:rsidR="00286EBB">
        <w:t>change rates misses the point. T</w:t>
      </w:r>
      <w:r>
        <w:t xml:space="preserve">he mining boom involves sophisticated industries, whose discoveries and activities – and the buoyancy of export demand for those – have </w:t>
      </w:r>
      <w:r w:rsidR="005513DB">
        <w:t xml:space="preserve">greatly </w:t>
      </w:r>
      <w:r>
        <w:t xml:space="preserve">increased the buying power of Australian consumers and industries and produced </w:t>
      </w:r>
      <w:r w:rsidR="00286EBB">
        <w:t xml:space="preserve">large </w:t>
      </w:r>
      <w:r>
        <w:t xml:space="preserve">income flows. </w:t>
      </w:r>
      <w:r w:rsidR="000226A9">
        <w:t xml:space="preserve">As The Economist </w:t>
      </w:r>
      <w:r w:rsidR="000F79A3">
        <w:t xml:space="preserve">magazine </w:t>
      </w:r>
      <w:r w:rsidR="000226A9">
        <w:t>has put it:</w:t>
      </w:r>
      <w:r w:rsidR="00330B34">
        <w:t xml:space="preserve"> </w:t>
      </w:r>
      <w:r w:rsidR="000226A9">
        <w:t>“t</w:t>
      </w:r>
      <w:r>
        <w:t>o refer to a vast, valuable energy resource as the source of a ‘disease’ sounds rather ungrateful”.</w:t>
      </w:r>
    </w:p>
    <w:p w:rsidR="00424B04" w:rsidRDefault="00424B04" w:rsidP="00A35115">
      <w:pPr>
        <w:pStyle w:val="BodyText"/>
      </w:pPr>
      <w:r>
        <w:t xml:space="preserve">Ultimately, a dollar is a dollar, regardless of where it is </w:t>
      </w:r>
      <w:r w:rsidR="005513DB">
        <w:t xml:space="preserve">earned or </w:t>
      </w:r>
      <w:r>
        <w:t>spent.</w:t>
      </w:r>
      <w:r w:rsidR="00330B34">
        <w:t xml:space="preserve"> </w:t>
      </w:r>
      <w:r w:rsidR="000226A9">
        <w:t>A</w:t>
      </w:r>
      <w:r>
        <w:t xml:space="preserve">ll output uses scarce resources and a well-functioning, productive economy allocates those resources to where they can yield the biggest payoff. Sometimes that will be in manufacturing, </w:t>
      </w:r>
      <w:r w:rsidR="005513DB">
        <w:t xml:space="preserve">but mostly </w:t>
      </w:r>
      <w:r w:rsidR="000F79A3">
        <w:t xml:space="preserve">these days </w:t>
      </w:r>
      <w:r w:rsidR="005513DB">
        <w:t xml:space="preserve">it will </w:t>
      </w:r>
      <w:r>
        <w:t>not.</w:t>
      </w:r>
    </w:p>
    <w:p w:rsidR="00424B04" w:rsidRDefault="00AA6C4F" w:rsidP="00A35115">
      <w:pPr>
        <w:pStyle w:val="BodyText"/>
      </w:pPr>
      <w:r>
        <w:t>None</w:t>
      </w:r>
      <w:r w:rsidR="00424B04">
        <w:t xml:space="preserve"> of this ignores the reality that many enterprises in the manufacturing sector are doing it tough, particularly with the current</w:t>
      </w:r>
      <w:r w:rsidR="007049F4">
        <w:t>ly</w:t>
      </w:r>
      <w:r w:rsidR="00424B04">
        <w:t xml:space="preserve"> high value of the $A.</w:t>
      </w:r>
      <w:r w:rsidR="00330B34">
        <w:t xml:space="preserve"> </w:t>
      </w:r>
      <w:r w:rsidR="000226A9">
        <w:t>B</w:t>
      </w:r>
      <w:r w:rsidR="00424B04">
        <w:t>ut, again</w:t>
      </w:r>
      <w:r w:rsidR="000226A9">
        <w:t>,</w:t>
      </w:r>
      <w:r w:rsidR="00424B04">
        <w:t xml:space="preserve"> there is little support for the proposition that </w:t>
      </w:r>
      <w:r w:rsidR="00B42D8B">
        <w:t>financial s</w:t>
      </w:r>
      <w:r w:rsidR="00286EBB">
        <w:t>t</w:t>
      </w:r>
      <w:r w:rsidR="005513DB">
        <w:t>r</w:t>
      </w:r>
      <w:r w:rsidR="00286EBB">
        <w:t>uggle</w:t>
      </w:r>
      <w:r w:rsidR="00B42D8B">
        <w:t xml:space="preserve"> is unique to manufacturing. While nearly 30 per cent of manufacturers re</w:t>
      </w:r>
      <w:r w:rsidR="00286EBB">
        <w:t xml:space="preserve">corded </w:t>
      </w:r>
      <w:r w:rsidR="00B42D8B">
        <w:t>a loss in 2009-10, the share was 40 per cent for farmers and 53 per cent for miners.</w:t>
      </w:r>
    </w:p>
    <w:p w:rsidR="00B42D8B" w:rsidRDefault="00B42D8B" w:rsidP="00A35115">
      <w:pPr>
        <w:pStyle w:val="BodyText"/>
      </w:pPr>
      <w:r>
        <w:t xml:space="preserve">What’s more, relative to other industries, manufacturing already </w:t>
      </w:r>
      <w:r w:rsidR="00286EBB">
        <w:t xml:space="preserve">gets a lot of </w:t>
      </w:r>
      <w:r>
        <w:t>government assistance.</w:t>
      </w:r>
      <w:r w:rsidR="005513DB">
        <w:t xml:space="preserve"> </w:t>
      </w:r>
      <w:r>
        <w:t xml:space="preserve">Net tariff assistance alone was </w:t>
      </w:r>
      <w:r w:rsidR="00F634CF">
        <w:t xml:space="preserve">estimated to be around </w:t>
      </w:r>
      <w:r>
        <w:t>some $6.5 billion in 2009-10</w:t>
      </w:r>
      <w:r w:rsidR="005513DB">
        <w:t>,</w:t>
      </w:r>
      <w:r>
        <w:t xml:space="preserve"> with another $2 billion or so in </w:t>
      </w:r>
      <w:r w:rsidR="00286EBB">
        <w:t xml:space="preserve">various </w:t>
      </w:r>
      <w:r>
        <w:t xml:space="preserve">subsidies. Rather than providing more assistance, </w:t>
      </w:r>
      <w:r w:rsidR="005513DB">
        <w:t xml:space="preserve">our </w:t>
      </w:r>
      <w:r>
        <w:t xml:space="preserve">current </w:t>
      </w:r>
      <w:r w:rsidR="005513DB">
        <w:t xml:space="preserve">fiscal settings </w:t>
      </w:r>
      <w:r w:rsidR="00286EBB">
        <w:t xml:space="preserve">suggest that </w:t>
      </w:r>
      <w:r w:rsidR="005513DB">
        <w:t>the</w:t>
      </w:r>
      <w:r w:rsidR="00286EBB">
        <w:t xml:space="preserve"> bigger </w:t>
      </w:r>
      <w:r w:rsidR="00286EBB">
        <w:lastRenderedPageBreak/>
        <w:t xml:space="preserve">priority is to determine what this assistance is achieving </w:t>
      </w:r>
      <w:r w:rsidR="005513DB">
        <w:t xml:space="preserve">for the country </w:t>
      </w:r>
      <w:r w:rsidR="00286EBB">
        <w:t xml:space="preserve">and whether it could be </w:t>
      </w:r>
      <w:r>
        <w:t>better spent</w:t>
      </w:r>
      <w:r w:rsidR="00311FF0">
        <w:t>.</w:t>
      </w:r>
    </w:p>
    <w:p w:rsidR="005513DB" w:rsidRPr="005513DB" w:rsidRDefault="005513DB" w:rsidP="004E62F5">
      <w:pPr>
        <w:pStyle w:val="Heading3"/>
      </w:pPr>
      <w:r w:rsidRPr="005513DB">
        <w:t>More productive industry support</w:t>
      </w:r>
    </w:p>
    <w:p w:rsidR="00B42D8B" w:rsidRDefault="008944DF" w:rsidP="00A35115">
      <w:pPr>
        <w:pStyle w:val="BodyText"/>
      </w:pPr>
      <w:r>
        <w:t xml:space="preserve">It follows that while some forms of industry assistance can </w:t>
      </w:r>
      <w:r w:rsidR="007049F4">
        <w:t xml:space="preserve">potentially </w:t>
      </w:r>
      <w:r>
        <w:t>meet the ‘productivity test’</w:t>
      </w:r>
      <w:r w:rsidR="00D1105F">
        <w:t>, to achieve this</w:t>
      </w:r>
      <w:r>
        <w:t xml:space="preserve"> </w:t>
      </w:r>
      <w:r w:rsidR="000F79A3">
        <w:t xml:space="preserve">in practice </w:t>
      </w:r>
      <w:r>
        <w:t>they need to be not only well targeted, but also well designed.</w:t>
      </w:r>
      <w:r w:rsidR="00330B34">
        <w:t xml:space="preserve"> </w:t>
      </w:r>
      <w:r>
        <w:t xml:space="preserve">Given the difficulties, a degree of program experimentation in areas </w:t>
      </w:r>
      <w:r w:rsidR="00556C47">
        <w:t xml:space="preserve">such </w:t>
      </w:r>
      <w:r>
        <w:t>as innovation policy is not a bad thing (provided any failures can be weeded out).</w:t>
      </w:r>
      <w:r w:rsidR="00330B34">
        <w:t xml:space="preserve"> </w:t>
      </w:r>
      <w:r>
        <w:t>However, too great a focus on finding assistance solutions to industry’s problems could distract us from doing better in the policy areas that really would make a difference – not only to industry</w:t>
      </w:r>
      <w:r w:rsidR="00D1105F">
        <w:t>’s</w:t>
      </w:r>
      <w:r>
        <w:t xml:space="preserve"> productivity and competitiveness, but also </w:t>
      </w:r>
      <w:r w:rsidR="00556C47">
        <w:t xml:space="preserve">to </w:t>
      </w:r>
      <w:r>
        <w:t>the Australian community at large.</w:t>
      </w:r>
    </w:p>
    <w:p w:rsidR="008944DF" w:rsidRDefault="008944DF" w:rsidP="00A35115">
      <w:pPr>
        <w:pStyle w:val="BodyText"/>
      </w:pPr>
      <w:r>
        <w:t xml:space="preserve">The Commission has shown in various studies how the productivity performance of firms is influenced by policy settings in three </w:t>
      </w:r>
      <w:r w:rsidR="00D1105F">
        <w:t xml:space="preserve">key </w:t>
      </w:r>
      <w:r>
        <w:t>areas:</w:t>
      </w:r>
    </w:p>
    <w:p w:rsidR="008944DF" w:rsidRDefault="008944DF" w:rsidP="008944DF">
      <w:pPr>
        <w:pStyle w:val="ListBullet"/>
      </w:pPr>
      <w:r>
        <w:rPr>
          <w:i/>
        </w:rPr>
        <w:t>i</w:t>
      </w:r>
      <w:r w:rsidRPr="008944DF">
        <w:rPr>
          <w:i/>
        </w:rPr>
        <w:t>ncentives</w:t>
      </w:r>
      <w:r>
        <w:t xml:space="preserve"> – the external pressures and disciplines on organisations to perform well;</w:t>
      </w:r>
    </w:p>
    <w:p w:rsidR="008944DF" w:rsidRDefault="008944DF" w:rsidP="008944DF">
      <w:pPr>
        <w:pStyle w:val="ListBullet"/>
      </w:pPr>
      <w:r>
        <w:rPr>
          <w:i/>
        </w:rPr>
        <w:t>f</w:t>
      </w:r>
      <w:r w:rsidRPr="008944DF">
        <w:rPr>
          <w:i/>
        </w:rPr>
        <w:t>lexibility</w:t>
      </w:r>
      <w:r>
        <w:t xml:space="preserve"> – the scope for organisations to make changes in order to respond to market pressures, and</w:t>
      </w:r>
    </w:p>
    <w:p w:rsidR="008944DF" w:rsidRDefault="008944DF" w:rsidP="008944DF">
      <w:pPr>
        <w:pStyle w:val="ListBullet"/>
      </w:pPr>
      <w:r>
        <w:rPr>
          <w:i/>
        </w:rPr>
        <w:t>c</w:t>
      </w:r>
      <w:r w:rsidRPr="008944DF">
        <w:rPr>
          <w:i/>
        </w:rPr>
        <w:t>apabilities</w:t>
      </w:r>
      <w:r>
        <w:t xml:space="preserve"> – the human and knowledge capital, as well as the infrastructure and i</w:t>
      </w:r>
      <w:r w:rsidR="00556C47">
        <w:t>nstitutions,</w:t>
      </w:r>
      <w:r>
        <w:t xml:space="preserve"> needed to devise and implement changes effectively.</w:t>
      </w:r>
    </w:p>
    <w:p w:rsidR="00C02BFF" w:rsidRDefault="008944DF" w:rsidP="00A35115">
      <w:pPr>
        <w:pStyle w:val="BodyText"/>
      </w:pPr>
      <w:r>
        <w:t>The</w:t>
      </w:r>
      <w:r w:rsidR="00D1105F">
        <w:t>se</w:t>
      </w:r>
      <w:r>
        <w:t xml:space="preserve"> </w:t>
      </w:r>
      <w:r w:rsidR="000110FC">
        <w:t xml:space="preserve">areas </w:t>
      </w:r>
      <w:r>
        <w:t>are mutually interactive</w:t>
      </w:r>
      <w:r w:rsidR="000110FC">
        <w:t xml:space="preserve"> and all </w:t>
      </w:r>
      <w:r>
        <w:t>three need to be attended to in a policy framework to en</w:t>
      </w:r>
      <w:r w:rsidR="00934FA4">
        <w:t xml:space="preserve">hance industry performance. </w:t>
      </w:r>
      <w:r>
        <w:t xml:space="preserve">This has as </w:t>
      </w:r>
      <w:r w:rsidR="00934FA4">
        <w:t>much if not more to do with ref</w:t>
      </w:r>
      <w:r>
        <w:t>orming existing policies in place that are shown to detract from pe</w:t>
      </w:r>
      <w:r w:rsidR="00556C47">
        <w:t>rformance, as devising new ones.</w:t>
      </w:r>
      <w:r w:rsidR="00330B34">
        <w:t xml:space="preserve"> </w:t>
      </w:r>
      <w:r w:rsidR="00556C47">
        <w:t>However, t</w:t>
      </w:r>
      <w:r w:rsidR="00934FA4">
        <w:t>he reform of policies impeding productivity is generally a lot harder than implementing them</w:t>
      </w:r>
      <w:r w:rsidR="000F79A3">
        <w:t>. H</w:t>
      </w:r>
      <w:r w:rsidR="00934FA4">
        <w:t>istorically, Australia faced a bigger challenge than most, given its starting point</w:t>
      </w:r>
      <w:r w:rsidR="000F79A3">
        <w:t>.</w:t>
      </w:r>
      <w:r w:rsidR="00330B34">
        <w:t xml:space="preserve"> </w:t>
      </w:r>
      <w:r w:rsidR="000F79A3">
        <w:t>Despite this, m</w:t>
      </w:r>
      <w:r w:rsidR="00556C47">
        <w:t xml:space="preserve">uch </w:t>
      </w:r>
      <w:r w:rsidR="00D1105F">
        <w:t xml:space="preserve">has been achieved, </w:t>
      </w:r>
      <w:r w:rsidR="00934FA4">
        <w:t>commencing with the market-liberalising initiatives of the Hawke-Keating Government in the 1980s.</w:t>
      </w:r>
    </w:p>
    <w:p w:rsidR="00934FA4" w:rsidRDefault="00934FA4" w:rsidP="00A35115">
      <w:pPr>
        <w:pStyle w:val="BodyText"/>
      </w:pPr>
      <w:r>
        <w:t>The</w:t>
      </w:r>
      <w:r w:rsidR="00556C47">
        <w:t xml:space="preserve">se </w:t>
      </w:r>
      <w:r w:rsidR="0073000A">
        <w:t xml:space="preserve">reforms </w:t>
      </w:r>
      <w:r w:rsidR="00556C47">
        <w:t xml:space="preserve">transformed the incentives environment for industry, placing much </w:t>
      </w:r>
      <w:r>
        <w:t>stronger market pressures on Australian companies to lift their game.</w:t>
      </w:r>
      <w:r w:rsidR="00330B34">
        <w:t xml:space="preserve"> </w:t>
      </w:r>
      <w:r>
        <w:t xml:space="preserve">However, their success in </w:t>
      </w:r>
      <w:r w:rsidR="00D1105F">
        <w:t xml:space="preserve">doing </w:t>
      </w:r>
      <w:r>
        <w:t xml:space="preserve">this was facilitated by further reforms to enhance </w:t>
      </w:r>
      <w:r w:rsidR="0073000A">
        <w:t xml:space="preserve">their </w:t>
      </w:r>
      <w:r w:rsidR="00556C47">
        <w:t xml:space="preserve">flexibility and </w:t>
      </w:r>
      <w:r w:rsidR="0073000A">
        <w:t xml:space="preserve">capacity </w:t>
      </w:r>
      <w:r>
        <w:t>to respond to the new pressures and opportunities afforded by more open markets.</w:t>
      </w:r>
    </w:p>
    <w:p w:rsidR="00934FA4" w:rsidRDefault="00934FA4" w:rsidP="00A35115">
      <w:pPr>
        <w:pStyle w:val="BodyText"/>
      </w:pPr>
      <w:r>
        <w:t xml:space="preserve">In </w:t>
      </w:r>
      <w:r w:rsidR="00D1105F">
        <w:t xml:space="preserve">some </w:t>
      </w:r>
      <w:r>
        <w:t>important respects</w:t>
      </w:r>
      <w:r w:rsidR="00556C47">
        <w:t>,</w:t>
      </w:r>
      <w:r w:rsidR="00D1105F">
        <w:t xml:space="preserve"> we are seeing a re-run </w:t>
      </w:r>
      <w:r w:rsidR="00556C47">
        <w:t xml:space="preserve">of </w:t>
      </w:r>
      <w:r>
        <w:t>this scenario</w:t>
      </w:r>
      <w:r w:rsidR="0073000A">
        <w:t xml:space="preserve"> today</w:t>
      </w:r>
      <w:r w:rsidR="00D1105F">
        <w:t xml:space="preserve">, </w:t>
      </w:r>
      <w:r>
        <w:t xml:space="preserve">with the </w:t>
      </w:r>
      <w:r w:rsidR="00D1105F">
        <w:t xml:space="preserve">recent </w:t>
      </w:r>
      <w:r w:rsidR="00694DD7">
        <w:t xml:space="preserve">ramping </w:t>
      </w:r>
      <w:r>
        <w:t xml:space="preserve">up of competitive pressures on Australian </w:t>
      </w:r>
      <w:r w:rsidR="00694DD7">
        <w:t xml:space="preserve">industries. </w:t>
      </w:r>
      <w:r w:rsidR="00556C47">
        <w:t>T</w:t>
      </w:r>
      <w:r>
        <w:t xml:space="preserve">his time, the medium is not tariff liberalisation and other pro-competition reforms, but the strong </w:t>
      </w:r>
      <w:r>
        <w:lastRenderedPageBreak/>
        <w:t xml:space="preserve">appreciation of the Australian dollar and the </w:t>
      </w:r>
      <w:r w:rsidR="00556C47">
        <w:t xml:space="preserve">factor </w:t>
      </w:r>
      <w:r>
        <w:t>demands</w:t>
      </w:r>
      <w:r w:rsidR="00D1105F">
        <w:t xml:space="preserve"> of the booming mining sector. H</w:t>
      </w:r>
      <w:r>
        <w:t>ow w</w:t>
      </w:r>
      <w:r w:rsidR="00694DD7">
        <w:t>e</w:t>
      </w:r>
      <w:r>
        <w:t xml:space="preserve">ll firms and industries </w:t>
      </w:r>
      <w:r w:rsidR="00556C47">
        <w:t xml:space="preserve">manage to </w:t>
      </w:r>
      <w:r>
        <w:t>respond to these pressures (and how w</w:t>
      </w:r>
      <w:r w:rsidR="00694DD7">
        <w:t>e</w:t>
      </w:r>
      <w:r>
        <w:t>ll the economy adjust</w:t>
      </w:r>
      <w:r w:rsidR="00694DD7">
        <w:t>s</w:t>
      </w:r>
      <w:r>
        <w:t xml:space="preserve">) </w:t>
      </w:r>
      <w:r w:rsidR="00D1105F">
        <w:t xml:space="preserve">will again </w:t>
      </w:r>
      <w:r>
        <w:t xml:space="preserve">depend </w:t>
      </w:r>
      <w:r w:rsidR="00556C47">
        <w:t xml:space="preserve">largely </w:t>
      </w:r>
      <w:r>
        <w:t xml:space="preserve">on how much flexibility they have to make the necessary changes – </w:t>
      </w:r>
      <w:r w:rsidR="00556C47">
        <w:t xml:space="preserve">or </w:t>
      </w:r>
      <w:r w:rsidR="00D1105F">
        <w:t xml:space="preserve">to adopt new </w:t>
      </w:r>
      <w:r w:rsidR="007049F4">
        <w:t>“</w:t>
      </w:r>
      <w:r w:rsidR="00D1105F">
        <w:t>business models”</w:t>
      </w:r>
      <w:r w:rsidR="000F79A3">
        <w:t>,</w:t>
      </w:r>
      <w:r w:rsidR="00D1105F">
        <w:t xml:space="preserve"> </w:t>
      </w:r>
      <w:r>
        <w:t xml:space="preserve">as </w:t>
      </w:r>
      <w:r w:rsidR="00556C47">
        <w:t xml:space="preserve">the Treasury’s </w:t>
      </w:r>
      <w:r w:rsidR="00D1105F">
        <w:t>Martin Parkinson has put it.</w:t>
      </w:r>
      <w:r>
        <w:t xml:space="preserve"> </w:t>
      </w:r>
    </w:p>
    <w:p w:rsidR="00C06977" w:rsidRDefault="00D1105F" w:rsidP="00A35115">
      <w:pPr>
        <w:pStyle w:val="BodyText"/>
      </w:pPr>
      <w:r>
        <w:t>This provides a compelling reason for governments to devote more policy effort right now to identifying impediments to the adaptability of enterprise</w:t>
      </w:r>
      <w:r w:rsidR="00C06977">
        <w:t>s</w:t>
      </w:r>
      <w:r>
        <w:t xml:space="preserve"> and employees. Reforms in this area would help industries under pressure compete, while at the same time facilitating resource flows to expanding industries.</w:t>
      </w:r>
    </w:p>
    <w:p w:rsidR="00D1105F" w:rsidRDefault="00D1105F" w:rsidP="00A35115">
      <w:pPr>
        <w:pStyle w:val="BodyText"/>
      </w:pPr>
      <w:r>
        <w:t>So wh</w:t>
      </w:r>
      <w:r w:rsidR="00C83196">
        <w:t>ich</w:t>
      </w:r>
      <w:r>
        <w:t xml:space="preserve"> policy areas are likely to be most ‘prospective’ in promoting flexibility</w:t>
      </w:r>
      <w:r w:rsidR="000F79A3">
        <w:t xml:space="preserve"> and adaptability</w:t>
      </w:r>
      <w:r>
        <w:t>?</w:t>
      </w:r>
      <w:r w:rsidR="00330B34">
        <w:t xml:space="preserve"> </w:t>
      </w:r>
      <w:r>
        <w:t>Given the importance of organisational change to innovation and productivity through</w:t>
      </w:r>
      <w:r w:rsidR="00C06977">
        <w:t>out</w:t>
      </w:r>
      <w:r>
        <w:t xml:space="preserve"> the economy, labour market policies</w:t>
      </w:r>
      <w:r w:rsidR="000F79A3">
        <w:t xml:space="preserve"> and Industrial Relations regulation in particular</w:t>
      </w:r>
      <w:r w:rsidR="00330B34">
        <w:t xml:space="preserve"> </w:t>
      </w:r>
      <w:r>
        <w:t>are clearly one important candidate.</w:t>
      </w:r>
      <w:r w:rsidR="00330B34">
        <w:t xml:space="preserve"> </w:t>
      </w:r>
      <w:r>
        <w:t xml:space="preserve">The taxation system, with its own pervasive effects, including on factor mobility, is another. There is also a range of policies bearing on business start-ups, development approvals and </w:t>
      </w:r>
      <w:r w:rsidR="00C83196">
        <w:t xml:space="preserve">land-use </w:t>
      </w:r>
      <w:r>
        <w:t xml:space="preserve">changes that can be significant </w:t>
      </w:r>
      <w:r w:rsidR="000F79A3">
        <w:t>roadblocks</w:t>
      </w:r>
      <w:r>
        <w:t xml:space="preserve"> to adjustment. And there is the proliferation of red tape in all jurisdictions that imposes dead</w:t>
      </w:r>
      <w:r w:rsidR="000110FC">
        <w:t xml:space="preserve"> </w:t>
      </w:r>
      <w:r>
        <w:t>weight on firms. I could go on.</w:t>
      </w:r>
    </w:p>
    <w:p w:rsidR="000F79A3" w:rsidRDefault="000F79A3" w:rsidP="000F79A3">
      <w:pPr>
        <w:pStyle w:val="Heading4"/>
      </w:pPr>
      <w:r>
        <w:t>The regulatory challenge</w:t>
      </w:r>
    </w:p>
    <w:p w:rsidR="00D04880" w:rsidRDefault="00D1105F" w:rsidP="00A35115">
      <w:pPr>
        <w:pStyle w:val="BodyText"/>
      </w:pPr>
      <w:r>
        <w:t xml:space="preserve">Such policy areas </w:t>
      </w:r>
      <w:r w:rsidR="00D04880">
        <w:t>share in common a reliance on regulation to influence behaviour. Reforms would be needed to remedy deficiencies in the regulatory ‘stock’, as well as to prevent additional problems emerging in new regulation. This is obviously easier said than done. But the rewards are potentially large (with red tape reduction</w:t>
      </w:r>
      <w:r w:rsidR="00C06977">
        <w:t>s</w:t>
      </w:r>
      <w:r w:rsidR="00D04880">
        <w:t xml:space="preserve"> alone estimated to be worth some $12 billion in extra GDP). Governments that </w:t>
      </w:r>
      <w:r w:rsidR="00113991">
        <w:t xml:space="preserve">take the lead </w:t>
      </w:r>
      <w:r w:rsidR="00D04880">
        <w:t xml:space="preserve">in reforming </w:t>
      </w:r>
      <w:r w:rsidR="00C06977">
        <w:t xml:space="preserve">their </w:t>
      </w:r>
      <w:r w:rsidR="00D04880">
        <w:t>regulatory systems can create an important source of national competitive advantage.</w:t>
      </w:r>
    </w:p>
    <w:p w:rsidR="00D1105F" w:rsidRDefault="00D04880" w:rsidP="00A35115">
      <w:pPr>
        <w:pStyle w:val="BodyText"/>
      </w:pPr>
      <w:r>
        <w:t>Poor regulation is often pre-ordained by the processes responsible for it.</w:t>
      </w:r>
      <w:r w:rsidR="00330B34">
        <w:t xml:space="preserve"> </w:t>
      </w:r>
      <w:r>
        <w:t xml:space="preserve">Over the years, governments have sought to instil greater rigour into regulation-making </w:t>
      </w:r>
      <w:r w:rsidR="00C06977">
        <w:t xml:space="preserve">through </w:t>
      </w:r>
      <w:r>
        <w:t>requi</w:t>
      </w:r>
      <w:r w:rsidR="00440F1C">
        <w:t>rements to prepare regulation im</w:t>
      </w:r>
      <w:r>
        <w:t>p</w:t>
      </w:r>
      <w:r w:rsidR="00C06977">
        <w:t>act</w:t>
      </w:r>
      <w:r>
        <w:t xml:space="preserve"> statements containing the key elements of good policy process. Notwithstanding considerable efforts to strengthen the</w:t>
      </w:r>
      <w:r w:rsidR="00C06977">
        <w:t xml:space="preserve">se </w:t>
      </w:r>
      <w:r>
        <w:t>requirem</w:t>
      </w:r>
      <w:r w:rsidR="00C06977">
        <w:t>ents, compliance has remained patchy</w:t>
      </w:r>
      <w:r>
        <w:t>, with considerable resistance apparent within the bureaucracy</w:t>
      </w:r>
      <w:r w:rsidR="00C06977">
        <w:t>.</w:t>
      </w:r>
    </w:p>
    <w:p w:rsidR="00D04880" w:rsidRDefault="00D04880" w:rsidP="00A35115">
      <w:pPr>
        <w:pStyle w:val="BodyText"/>
      </w:pPr>
      <w:r>
        <w:t xml:space="preserve">A disturbing manifestation of this is the growing </w:t>
      </w:r>
      <w:r w:rsidR="00C06977">
        <w:t>resort to exemptions from the RI</w:t>
      </w:r>
      <w:r w:rsidR="00C83196">
        <w:t>S</w:t>
      </w:r>
      <w:r>
        <w:t xml:space="preserve"> process at the Commonwealth level, under an ‘escape clause’ in the </w:t>
      </w:r>
      <w:r w:rsidR="00C06977">
        <w:t>G</w:t>
      </w:r>
      <w:r>
        <w:t>overnment’s ‘</w:t>
      </w:r>
      <w:r w:rsidR="00C06977">
        <w:t>b</w:t>
      </w:r>
      <w:r>
        <w:t xml:space="preserve">est </w:t>
      </w:r>
      <w:r w:rsidR="00C06977">
        <w:t>p</w:t>
      </w:r>
      <w:r>
        <w:t xml:space="preserve">ractice </w:t>
      </w:r>
      <w:r w:rsidR="00C06977">
        <w:t>r</w:t>
      </w:r>
      <w:r>
        <w:t xml:space="preserve">egulation </w:t>
      </w:r>
      <w:r w:rsidR="00C06977">
        <w:t>r</w:t>
      </w:r>
      <w:r>
        <w:t>equirements’. This provides for exemptions</w:t>
      </w:r>
      <w:r w:rsidR="00C06977">
        <w:t xml:space="preserve"> to the requirements</w:t>
      </w:r>
      <w:r>
        <w:t xml:space="preserve"> to be </w:t>
      </w:r>
      <w:r w:rsidR="00C83196">
        <w:t xml:space="preserve">granted </w:t>
      </w:r>
      <w:r>
        <w:t xml:space="preserve">in exceptional circumstances, provided any such </w:t>
      </w:r>
      <w:r>
        <w:lastRenderedPageBreak/>
        <w:t xml:space="preserve">regulations are </w:t>
      </w:r>
      <w:r w:rsidR="00C06977">
        <w:t xml:space="preserve">then </w:t>
      </w:r>
      <w:r>
        <w:t xml:space="preserve">subjected to a ‘post-implementation review’ within 1-2 years. This </w:t>
      </w:r>
      <w:r w:rsidR="00C06977">
        <w:t xml:space="preserve">clause was inserted as a </w:t>
      </w:r>
      <w:r>
        <w:t xml:space="preserve">failsafe to ensure that any regulations made in haste or without adequate </w:t>
      </w:r>
      <w:r w:rsidR="00C06977">
        <w:t xml:space="preserve">scrutiny </w:t>
      </w:r>
      <w:r w:rsidR="00C83196">
        <w:t>under the rules, did not give rise t</w:t>
      </w:r>
      <w:r w:rsidR="00C5357D">
        <w:t>o undue costs or unintended consequences – and could be amended or terminated if they did.</w:t>
      </w:r>
    </w:p>
    <w:p w:rsidR="00440F1C" w:rsidRDefault="00440F1C" w:rsidP="00A35115">
      <w:pPr>
        <w:pStyle w:val="BodyText"/>
      </w:pPr>
      <w:r>
        <w:t>As the Commission observes in its recent draft report on Regulation Reform, it was anticipated in crafting this provision that little use would be made of it.</w:t>
      </w:r>
      <w:r w:rsidR="00330B34">
        <w:t xml:space="preserve"> </w:t>
      </w:r>
      <w:r>
        <w:t xml:space="preserve">However the </w:t>
      </w:r>
      <w:r w:rsidR="004202EE">
        <w:t>number o</w:t>
      </w:r>
      <w:r>
        <w:t>f exemptions has increased exponential</w:t>
      </w:r>
      <w:r w:rsidR="004202EE">
        <w:t>ly s</w:t>
      </w:r>
      <w:r>
        <w:t>ince the new arrangements were introduced</w:t>
      </w:r>
      <w:r w:rsidR="004202EE">
        <w:t>. S</w:t>
      </w:r>
      <w:r>
        <w:t xml:space="preserve">ome 60 regulations </w:t>
      </w:r>
      <w:r w:rsidR="000110FC">
        <w:t>that would normally be subject to the RIS process have received exemption</w:t>
      </w:r>
      <w:r w:rsidR="00113991">
        <w:t>s,</w:t>
      </w:r>
      <w:r w:rsidR="000110FC">
        <w:t xml:space="preserve"> </w:t>
      </w:r>
      <w:r>
        <w:t>half of these in the past 12 months.</w:t>
      </w:r>
      <w:r w:rsidR="006D170B">
        <w:t xml:space="preserve"> They include some important regulatory initiatives, including ones of particular relevance to firm flexibility, such as the Fair Work Act</w:t>
      </w:r>
      <w:r w:rsidR="004202EE">
        <w:t>.</w:t>
      </w:r>
    </w:p>
    <w:p w:rsidR="006D170B" w:rsidRDefault="006D170B" w:rsidP="00A35115">
      <w:pPr>
        <w:pStyle w:val="BodyText"/>
      </w:pPr>
      <w:r>
        <w:t xml:space="preserve">It would appear that, contrary to the original </w:t>
      </w:r>
      <w:r w:rsidR="004202EE">
        <w:t>conception</w:t>
      </w:r>
      <w:r w:rsidR="000110FC">
        <w:t>,</w:t>
      </w:r>
      <w:r w:rsidR="004202EE">
        <w:t xml:space="preserve"> </w:t>
      </w:r>
      <w:r>
        <w:t>some departments may have anticipated that post-implementation reviews would only address relatively limit</w:t>
      </w:r>
      <w:r w:rsidR="004202EE">
        <w:t>ed implementation matters. The C</w:t>
      </w:r>
      <w:r>
        <w:t>ommission has a</w:t>
      </w:r>
      <w:r w:rsidR="004202EE">
        <w:t xml:space="preserve">rgued </w:t>
      </w:r>
      <w:r>
        <w:t xml:space="preserve">that if the integrity of the Government’s best practice requirements is to be sustained, these failsafe reviews need to be able to assess all the impacts of </w:t>
      </w:r>
      <w:r w:rsidR="004202EE">
        <w:t xml:space="preserve">such </w:t>
      </w:r>
      <w:r>
        <w:t xml:space="preserve">regulations and recommend any necessary modifications. It also argued that in the case of regulations with pervasive impacts, reviews </w:t>
      </w:r>
      <w:r w:rsidR="00113991">
        <w:t xml:space="preserve">need to </w:t>
      </w:r>
      <w:r>
        <w:t>be conducted at arm’s length from the responsible policy department. (This approach has since been announced by the Government for the review of the Fair Work Act and related regulation early next year).</w:t>
      </w:r>
    </w:p>
    <w:p w:rsidR="004202EE" w:rsidRDefault="004202EE" w:rsidP="004202EE">
      <w:pPr>
        <w:pStyle w:val="Heading3"/>
      </w:pPr>
      <w:r>
        <w:t xml:space="preserve">Concluding </w:t>
      </w:r>
      <w:r w:rsidR="000110FC">
        <w:t>c</w:t>
      </w:r>
      <w:r>
        <w:t>omment</w:t>
      </w:r>
    </w:p>
    <w:p w:rsidR="00DE4BB6" w:rsidRPr="00DE4BB6" w:rsidRDefault="00DE4BB6" w:rsidP="00DE4BB6">
      <w:pPr>
        <w:pStyle w:val="BodyText"/>
      </w:pPr>
      <w:r>
        <w:t>At the dawn of the 20</w:t>
      </w:r>
      <w:r w:rsidRPr="00DE4BB6">
        <w:rPr>
          <w:vertAlign w:val="superscript"/>
        </w:rPr>
        <w:t>th</w:t>
      </w:r>
      <w:r>
        <w:t xml:space="preserve"> century, Australia was the most prosperous country in the world. This was partly the luck of having ample resources that the world </w:t>
      </w:r>
      <w:r w:rsidR="00113991">
        <w:t xml:space="preserve">happened to </w:t>
      </w:r>
      <w:r>
        <w:t xml:space="preserve">value highly, as Donald Horne highlighted. </w:t>
      </w:r>
      <w:r w:rsidR="00113991">
        <w:t>Nevertheless o</w:t>
      </w:r>
      <w:r>
        <w:t>ur subsequent decline</w:t>
      </w:r>
      <w:r w:rsidR="00113991">
        <w:t xml:space="preserve"> – from top position to </w:t>
      </w:r>
      <w:r w:rsidR="007049F4">
        <w:t xml:space="preserve">eighteenth </w:t>
      </w:r>
      <w:r w:rsidR="00113991">
        <w:t xml:space="preserve">in the world in per capita GDP by the 1980s – was </w:t>
      </w:r>
      <w:r w:rsidR="00A24798">
        <w:t xml:space="preserve">largely </w:t>
      </w:r>
      <w:r>
        <w:t>self-inflicted, through polic</w:t>
      </w:r>
      <w:r w:rsidR="000110FC">
        <w:t>i</w:t>
      </w:r>
      <w:r>
        <w:t xml:space="preserve">es </w:t>
      </w:r>
      <w:r w:rsidR="000110FC">
        <w:t xml:space="preserve">built on the myth that interests could </w:t>
      </w:r>
      <w:r w:rsidR="002E04E4">
        <w:t>b</w:t>
      </w:r>
      <w:r w:rsidR="000110FC">
        <w:t xml:space="preserve">e protected </w:t>
      </w:r>
      <w:r>
        <w:t xml:space="preserve">‘all round’ from the realities of </w:t>
      </w:r>
      <w:r w:rsidR="00A24798">
        <w:t xml:space="preserve">markets. </w:t>
      </w:r>
      <w:r>
        <w:t>One hundred years later, having reversed many of the policy-related c</w:t>
      </w:r>
      <w:r w:rsidR="00A24798">
        <w:t xml:space="preserve">auses </w:t>
      </w:r>
      <w:r>
        <w:t>of our previous decline, we find ourselves yet again blessed by burgeoning global demand for our natural resources. This has be</w:t>
      </w:r>
      <w:r w:rsidR="00A24798">
        <w:t>en a further boon</w:t>
      </w:r>
      <w:r>
        <w:t xml:space="preserve"> to our economy and </w:t>
      </w:r>
      <w:r w:rsidR="007C31A2">
        <w:t xml:space="preserve">to </w:t>
      </w:r>
      <w:r w:rsidR="00113991">
        <w:t xml:space="preserve">Australia’s </w:t>
      </w:r>
      <w:r>
        <w:t>prosperity, but it does not negate the need for us to be productive if we are to remain prosperous into the future. How we now handle the structural</w:t>
      </w:r>
      <w:r w:rsidR="00A24798">
        <w:t xml:space="preserve"> tensions </w:t>
      </w:r>
      <w:r>
        <w:t xml:space="preserve">emanating from our </w:t>
      </w:r>
      <w:r w:rsidR="00113991">
        <w:t xml:space="preserve">present </w:t>
      </w:r>
      <w:r>
        <w:t>good fortune will determine whether we have learnt the lessons of our own history.</w:t>
      </w:r>
      <w:bookmarkStart w:id="0" w:name="_GoBack"/>
      <w:bookmarkEnd w:id="0"/>
    </w:p>
    <w:sectPr w:rsidR="00DE4BB6" w:rsidRPr="00DE4BB6" w:rsidSect="00B00898">
      <w:headerReference w:type="even" r:id="rId9"/>
      <w:headerReference w:type="default" r:id="rId10"/>
      <w:footerReference w:type="even" r:id="rId11"/>
      <w:footerReference w:type="default" r:id="rId12"/>
      <w:footnotePr>
        <w:numFmt w:val="chicago"/>
      </w:footnotePr>
      <w:pgSz w:w="11907" w:h="16840" w:code="9"/>
      <w:pgMar w:top="1985" w:right="1304" w:bottom="1418" w:left="1814" w:header="1701" w:footer="567" w:gutter="0"/>
      <w:pgNumType w:start="8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DE8" w:rsidRDefault="00684DE8">
      <w:r>
        <w:separator/>
      </w:r>
    </w:p>
  </w:endnote>
  <w:endnote w:type="continuationSeparator" w:id="0">
    <w:p w:rsidR="00684DE8" w:rsidRDefault="006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67"/>
      <w:gridCol w:w="1587"/>
      <w:gridCol w:w="6634"/>
    </w:tblGrid>
    <w:tr w:rsidR="000F79A3" w:rsidTr="00FC11FA">
      <w:trPr>
        <w:trHeight w:hRule="exact" w:val="740"/>
      </w:trPr>
      <w:tc>
        <w:tcPr>
          <w:tcW w:w="567" w:type="dxa"/>
          <w:tcBorders>
            <w:top w:val="single" w:sz="6" w:space="0" w:color="auto"/>
          </w:tcBorders>
        </w:tcPr>
        <w:p w:rsidR="000F79A3" w:rsidRDefault="000F79A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30B34">
            <w:rPr>
              <w:rStyle w:val="PageNumber"/>
              <w:noProof/>
            </w:rPr>
            <w:t>100</w:t>
          </w:r>
          <w:r>
            <w:rPr>
              <w:rStyle w:val="PageNumber"/>
            </w:rPr>
            <w:fldChar w:fldCharType="end"/>
          </w:r>
        </w:p>
      </w:tc>
      <w:tc>
        <w:tcPr>
          <w:tcW w:w="1587" w:type="dxa"/>
          <w:tcBorders>
            <w:top w:val="single" w:sz="6" w:space="0" w:color="auto"/>
          </w:tcBorders>
        </w:tcPr>
        <w:p w:rsidR="000F79A3" w:rsidRDefault="00B00898" w:rsidP="0019293B">
          <w:pPr>
            <w:pStyle w:val="Footer"/>
          </w:pPr>
          <w:r>
            <w:t>advancing the reform agenda</w:t>
          </w:r>
        </w:p>
      </w:tc>
      <w:tc>
        <w:tcPr>
          <w:tcW w:w="6634" w:type="dxa"/>
        </w:tcPr>
        <w:p w:rsidR="000F79A3" w:rsidRDefault="000F79A3" w:rsidP="0019293B">
          <w:pPr>
            <w:pStyle w:val="Footer"/>
          </w:pPr>
        </w:p>
      </w:tc>
    </w:tr>
  </w:tbl>
  <w:p w:rsidR="000F79A3" w:rsidRDefault="000F79A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F79A3">
      <w:trPr>
        <w:trHeight w:hRule="exact" w:val="740"/>
      </w:trPr>
      <w:tc>
        <w:tcPr>
          <w:tcW w:w="6634" w:type="dxa"/>
        </w:tcPr>
        <w:p w:rsidR="000F79A3" w:rsidRDefault="000F79A3">
          <w:pPr>
            <w:pStyle w:val="Footer"/>
            <w:ind w:right="360" w:firstLine="360"/>
          </w:pPr>
        </w:p>
      </w:tc>
      <w:tc>
        <w:tcPr>
          <w:tcW w:w="1644" w:type="dxa"/>
          <w:tcBorders>
            <w:top w:val="single" w:sz="6" w:space="0" w:color="auto"/>
          </w:tcBorders>
        </w:tcPr>
        <w:p w:rsidR="000F79A3" w:rsidRDefault="00B00898">
          <w:pPr>
            <w:pStyle w:val="Footer"/>
          </w:pPr>
          <w:r>
            <w:t>industry assistance</w:t>
          </w:r>
        </w:p>
      </w:tc>
      <w:tc>
        <w:tcPr>
          <w:tcW w:w="510" w:type="dxa"/>
          <w:tcBorders>
            <w:top w:val="single" w:sz="6" w:space="0" w:color="auto"/>
          </w:tcBorders>
        </w:tcPr>
        <w:p w:rsidR="000F79A3" w:rsidRDefault="000F79A3">
          <w:pPr>
            <w:pStyle w:val="Footer"/>
            <w:jc w:val="right"/>
          </w:pPr>
          <w:r>
            <w:rPr>
              <w:rStyle w:val="PageNumber"/>
            </w:rPr>
            <w:fldChar w:fldCharType="begin"/>
          </w:r>
          <w:r>
            <w:rPr>
              <w:rStyle w:val="PageNumber"/>
            </w:rPr>
            <w:instrText xml:space="preserve">PAGE  </w:instrText>
          </w:r>
          <w:r>
            <w:rPr>
              <w:rStyle w:val="PageNumber"/>
            </w:rPr>
            <w:fldChar w:fldCharType="separate"/>
          </w:r>
          <w:r w:rsidR="00330B34">
            <w:rPr>
              <w:rStyle w:val="PageNumber"/>
              <w:noProof/>
            </w:rPr>
            <w:t>99</w:t>
          </w:r>
          <w:r>
            <w:rPr>
              <w:rStyle w:val="PageNumber"/>
            </w:rPr>
            <w:fldChar w:fldCharType="end"/>
          </w:r>
        </w:p>
      </w:tc>
    </w:tr>
  </w:tbl>
  <w:p w:rsidR="000F79A3" w:rsidRDefault="000F79A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DE8" w:rsidRDefault="00684DE8">
      <w:r>
        <w:separator/>
      </w:r>
    </w:p>
  </w:footnote>
  <w:footnote w:type="continuationSeparator" w:id="0">
    <w:p w:rsidR="00684DE8" w:rsidRDefault="00684DE8">
      <w:r>
        <w:continuationSeparator/>
      </w:r>
    </w:p>
  </w:footnote>
  <w:footnote w:id="1">
    <w:p w:rsidR="009F0009" w:rsidRDefault="009F0009">
      <w:pPr>
        <w:pStyle w:val="FootnoteText"/>
      </w:pPr>
      <w:r>
        <w:rPr>
          <w:rStyle w:val="FootnoteReference"/>
        </w:rPr>
        <w:footnoteRef/>
      </w:r>
      <w:r w:rsidR="00B00898">
        <w:tab/>
      </w:r>
      <w:proofErr w:type="spellStart"/>
      <w:r>
        <w:t>ACCI</w:t>
      </w:r>
      <w:proofErr w:type="spellEnd"/>
      <w:r>
        <w:t xml:space="preserve"> Annual Dinner, Canberra</w:t>
      </w:r>
      <w:r w:rsidR="00B00898">
        <w:t>,</w:t>
      </w:r>
      <w:r>
        <w:t xml:space="preserve"> 23 November 2011</w:t>
      </w:r>
      <w:r w:rsidR="00B00898">
        <w:t>. (Co-authored with Ralph Lattimore.)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F79A3">
      <w:tc>
        <w:tcPr>
          <w:tcW w:w="2155" w:type="dxa"/>
          <w:tcBorders>
            <w:top w:val="single" w:sz="24" w:space="0" w:color="auto"/>
          </w:tcBorders>
        </w:tcPr>
        <w:p w:rsidR="000F79A3" w:rsidRDefault="000F79A3" w:rsidP="0019293B">
          <w:pPr>
            <w:pStyle w:val="HeaderEven"/>
          </w:pPr>
        </w:p>
      </w:tc>
      <w:tc>
        <w:tcPr>
          <w:tcW w:w="6634" w:type="dxa"/>
          <w:tcBorders>
            <w:top w:val="single" w:sz="6" w:space="0" w:color="auto"/>
          </w:tcBorders>
        </w:tcPr>
        <w:p w:rsidR="000F79A3" w:rsidRDefault="000F79A3" w:rsidP="0019293B">
          <w:pPr>
            <w:pStyle w:val="HeaderEven"/>
          </w:pPr>
        </w:p>
      </w:tc>
    </w:tr>
  </w:tbl>
  <w:p w:rsidR="000F79A3" w:rsidRDefault="000F79A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F79A3">
      <w:tc>
        <w:tcPr>
          <w:tcW w:w="6634" w:type="dxa"/>
          <w:tcBorders>
            <w:top w:val="single" w:sz="6" w:space="0" w:color="auto"/>
          </w:tcBorders>
        </w:tcPr>
        <w:p w:rsidR="000F79A3" w:rsidRDefault="000F79A3" w:rsidP="00E669E2">
          <w:pPr>
            <w:pStyle w:val="HeaderOdd"/>
          </w:pPr>
        </w:p>
      </w:tc>
      <w:tc>
        <w:tcPr>
          <w:tcW w:w="2155" w:type="dxa"/>
          <w:tcBorders>
            <w:top w:val="single" w:sz="24" w:space="0" w:color="auto"/>
          </w:tcBorders>
        </w:tcPr>
        <w:p w:rsidR="000F79A3" w:rsidRDefault="000F79A3" w:rsidP="00E669E2">
          <w:pPr>
            <w:pStyle w:val="HeaderOdd"/>
          </w:pPr>
        </w:p>
      </w:tc>
    </w:tr>
  </w:tbl>
  <w:p w:rsidR="000F79A3" w:rsidRDefault="000F79A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D3E23CA"/>
    <w:multiLevelType w:val="hybridMultilevel"/>
    <w:tmpl w:val="57D85F48"/>
    <w:lvl w:ilvl="0" w:tplc="84CE543E">
      <w:numFmt w:val="bullet"/>
      <w:lvlText w:val=""/>
      <w:lvlJc w:val="left"/>
      <w:pPr>
        <w:ind w:left="1080" w:hanging="360"/>
      </w:pPr>
      <w:rPr>
        <w:rFonts w:ascii="Symbol" w:eastAsia="Times New Roman"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341D08"/>
    <w:multiLevelType w:val="hybridMultilevel"/>
    <w:tmpl w:val="2B1E9162"/>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4"/>
  </w:num>
  <w:num w:numId="4">
    <w:abstractNumId w:val="7"/>
  </w:num>
  <w:num w:numId="5">
    <w:abstractNumId w:val="5"/>
  </w:num>
  <w:num w:numId="6">
    <w:abstractNumId w:val="26"/>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29"/>
  </w:num>
  <w:num w:numId="15">
    <w:abstractNumId w:val="45"/>
  </w:num>
  <w:num w:numId="16">
    <w:abstractNumId w:val="18"/>
  </w:num>
  <w:num w:numId="17">
    <w:abstractNumId w:val="17"/>
  </w:num>
  <w:num w:numId="18">
    <w:abstractNumId w:val="27"/>
  </w:num>
  <w:num w:numId="19">
    <w:abstractNumId w:val="12"/>
  </w:num>
  <w:num w:numId="20">
    <w:abstractNumId w:val="36"/>
  </w:num>
  <w:num w:numId="21">
    <w:abstractNumId w:val="38"/>
  </w:num>
  <w:num w:numId="22">
    <w:abstractNumId w:val="25"/>
  </w:num>
  <w:num w:numId="23">
    <w:abstractNumId w:val="28"/>
  </w:num>
  <w:num w:numId="24">
    <w:abstractNumId w:val="30"/>
  </w:num>
  <w:num w:numId="25">
    <w:abstractNumId w:val="43"/>
  </w:num>
  <w:num w:numId="26">
    <w:abstractNumId w:val="35"/>
  </w:num>
  <w:num w:numId="27">
    <w:abstractNumId w:val="40"/>
  </w:num>
  <w:num w:numId="28">
    <w:abstractNumId w:val="41"/>
  </w:num>
  <w:num w:numId="29">
    <w:abstractNumId w:val="32"/>
  </w:num>
  <w:num w:numId="30">
    <w:abstractNumId w:val="22"/>
  </w:num>
  <w:num w:numId="31">
    <w:abstractNumId w:val="46"/>
  </w:num>
  <w:num w:numId="32">
    <w:abstractNumId w:val="16"/>
  </w:num>
  <w:num w:numId="33">
    <w:abstractNumId w:val="8"/>
  </w:num>
  <w:num w:numId="34">
    <w:abstractNumId w:val="19"/>
  </w:num>
  <w:num w:numId="35">
    <w:abstractNumId w:val="42"/>
  </w:num>
  <w:num w:numId="36">
    <w:abstractNumId w:val="34"/>
  </w:num>
  <w:num w:numId="37">
    <w:abstractNumId w:val="13"/>
  </w:num>
  <w:num w:numId="38">
    <w:abstractNumId w:val="37"/>
  </w:num>
  <w:num w:numId="39">
    <w:abstractNumId w:val="15"/>
  </w:num>
  <w:num w:numId="40">
    <w:abstractNumId w:val="18"/>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33"/>
  </w:num>
  <w:num w:numId="46">
    <w:abstractNumId w:val="14"/>
  </w:num>
  <w:num w:numId="47">
    <w:abstractNumId w:val="20"/>
  </w:num>
  <w:num w:numId="48">
    <w:abstractNumId w:val="23"/>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1"/>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A66119"/>
    <w:rsid w:val="000110FC"/>
    <w:rsid w:val="000226A9"/>
    <w:rsid w:val="000245AA"/>
    <w:rsid w:val="0003664B"/>
    <w:rsid w:val="0004111F"/>
    <w:rsid w:val="000565B3"/>
    <w:rsid w:val="000629C6"/>
    <w:rsid w:val="00063042"/>
    <w:rsid w:val="00064A7B"/>
    <w:rsid w:val="0007150B"/>
    <w:rsid w:val="00073597"/>
    <w:rsid w:val="000938F5"/>
    <w:rsid w:val="000A62EA"/>
    <w:rsid w:val="000B601B"/>
    <w:rsid w:val="000C207E"/>
    <w:rsid w:val="000E3040"/>
    <w:rsid w:val="000F79A3"/>
    <w:rsid w:val="00110116"/>
    <w:rsid w:val="00113991"/>
    <w:rsid w:val="00114F5F"/>
    <w:rsid w:val="00126EB8"/>
    <w:rsid w:val="001363AA"/>
    <w:rsid w:val="00162287"/>
    <w:rsid w:val="00183E82"/>
    <w:rsid w:val="00190CBE"/>
    <w:rsid w:val="0019293B"/>
    <w:rsid w:val="001952CC"/>
    <w:rsid w:val="001A4904"/>
    <w:rsid w:val="001A622C"/>
    <w:rsid w:val="001C0865"/>
    <w:rsid w:val="001C3ABA"/>
    <w:rsid w:val="001C71C0"/>
    <w:rsid w:val="001C7869"/>
    <w:rsid w:val="001D16E3"/>
    <w:rsid w:val="001D3190"/>
    <w:rsid w:val="001E1D34"/>
    <w:rsid w:val="001E7BE8"/>
    <w:rsid w:val="001F0248"/>
    <w:rsid w:val="001F1D19"/>
    <w:rsid w:val="001F3EB3"/>
    <w:rsid w:val="001F481C"/>
    <w:rsid w:val="00202C2C"/>
    <w:rsid w:val="00205A9D"/>
    <w:rsid w:val="00242279"/>
    <w:rsid w:val="00245C82"/>
    <w:rsid w:val="00257982"/>
    <w:rsid w:val="00283BF9"/>
    <w:rsid w:val="00286EBB"/>
    <w:rsid w:val="00291B40"/>
    <w:rsid w:val="002B4008"/>
    <w:rsid w:val="002D0E8E"/>
    <w:rsid w:val="002E04E4"/>
    <w:rsid w:val="002E4676"/>
    <w:rsid w:val="002E4CA5"/>
    <w:rsid w:val="00301189"/>
    <w:rsid w:val="00307CD4"/>
    <w:rsid w:val="00310D43"/>
    <w:rsid w:val="00311FF0"/>
    <w:rsid w:val="00314305"/>
    <w:rsid w:val="00323E09"/>
    <w:rsid w:val="00330B34"/>
    <w:rsid w:val="00332795"/>
    <w:rsid w:val="00333932"/>
    <w:rsid w:val="00341A4F"/>
    <w:rsid w:val="003518AA"/>
    <w:rsid w:val="00352165"/>
    <w:rsid w:val="00353182"/>
    <w:rsid w:val="003565D9"/>
    <w:rsid w:val="003602E1"/>
    <w:rsid w:val="0037026F"/>
    <w:rsid w:val="00371240"/>
    <w:rsid w:val="00374731"/>
    <w:rsid w:val="003878CA"/>
    <w:rsid w:val="003919F9"/>
    <w:rsid w:val="003A3086"/>
    <w:rsid w:val="003B60C4"/>
    <w:rsid w:val="003C1ED2"/>
    <w:rsid w:val="003C23BE"/>
    <w:rsid w:val="003C38B5"/>
    <w:rsid w:val="003C5D99"/>
    <w:rsid w:val="003F0789"/>
    <w:rsid w:val="00401882"/>
    <w:rsid w:val="004100C8"/>
    <w:rsid w:val="00412ACE"/>
    <w:rsid w:val="004202EE"/>
    <w:rsid w:val="00424B04"/>
    <w:rsid w:val="00431249"/>
    <w:rsid w:val="004340DD"/>
    <w:rsid w:val="00434C19"/>
    <w:rsid w:val="00440F1C"/>
    <w:rsid w:val="00444660"/>
    <w:rsid w:val="00450810"/>
    <w:rsid w:val="00477144"/>
    <w:rsid w:val="0049459F"/>
    <w:rsid w:val="004A38DD"/>
    <w:rsid w:val="004B29C1"/>
    <w:rsid w:val="004B43AE"/>
    <w:rsid w:val="004C30ED"/>
    <w:rsid w:val="004D5675"/>
    <w:rsid w:val="004E3313"/>
    <w:rsid w:val="004E436E"/>
    <w:rsid w:val="004E62F5"/>
    <w:rsid w:val="00516D54"/>
    <w:rsid w:val="00523639"/>
    <w:rsid w:val="005513DB"/>
    <w:rsid w:val="00556C47"/>
    <w:rsid w:val="00582A69"/>
    <w:rsid w:val="00583C39"/>
    <w:rsid w:val="005909CF"/>
    <w:rsid w:val="00591E71"/>
    <w:rsid w:val="005A0D41"/>
    <w:rsid w:val="005A51A8"/>
    <w:rsid w:val="005A790A"/>
    <w:rsid w:val="005D50B6"/>
    <w:rsid w:val="005F2053"/>
    <w:rsid w:val="0060020A"/>
    <w:rsid w:val="0060195F"/>
    <w:rsid w:val="00607BF1"/>
    <w:rsid w:val="006130B6"/>
    <w:rsid w:val="00617022"/>
    <w:rsid w:val="00630D4D"/>
    <w:rsid w:val="00632A74"/>
    <w:rsid w:val="00636B40"/>
    <w:rsid w:val="0064531D"/>
    <w:rsid w:val="0064659B"/>
    <w:rsid w:val="0065060B"/>
    <w:rsid w:val="006533E6"/>
    <w:rsid w:val="00656CBD"/>
    <w:rsid w:val="00684DE8"/>
    <w:rsid w:val="00694DD7"/>
    <w:rsid w:val="006A1410"/>
    <w:rsid w:val="006A4655"/>
    <w:rsid w:val="006B2B3C"/>
    <w:rsid w:val="006B3351"/>
    <w:rsid w:val="006C7038"/>
    <w:rsid w:val="006D170B"/>
    <w:rsid w:val="006D1D54"/>
    <w:rsid w:val="006D5AB5"/>
    <w:rsid w:val="006D5F69"/>
    <w:rsid w:val="006D7001"/>
    <w:rsid w:val="006E73EF"/>
    <w:rsid w:val="007049F4"/>
    <w:rsid w:val="00714D4D"/>
    <w:rsid w:val="007157E3"/>
    <w:rsid w:val="00727925"/>
    <w:rsid w:val="0073000A"/>
    <w:rsid w:val="00741D26"/>
    <w:rsid w:val="007604BB"/>
    <w:rsid w:val="00763F42"/>
    <w:rsid w:val="00785232"/>
    <w:rsid w:val="007867BA"/>
    <w:rsid w:val="007A21EB"/>
    <w:rsid w:val="007C31A2"/>
    <w:rsid w:val="007C36C9"/>
    <w:rsid w:val="007D3A76"/>
    <w:rsid w:val="007E01E4"/>
    <w:rsid w:val="007E03E6"/>
    <w:rsid w:val="007F7107"/>
    <w:rsid w:val="00806474"/>
    <w:rsid w:val="0081030F"/>
    <w:rsid w:val="00813FF3"/>
    <w:rsid w:val="0082087D"/>
    <w:rsid w:val="00820B30"/>
    <w:rsid w:val="00822600"/>
    <w:rsid w:val="0084011E"/>
    <w:rsid w:val="00842081"/>
    <w:rsid w:val="00842933"/>
    <w:rsid w:val="0086082C"/>
    <w:rsid w:val="00864ADC"/>
    <w:rsid w:val="00880153"/>
    <w:rsid w:val="00880F97"/>
    <w:rsid w:val="0088133A"/>
    <w:rsid w:val="008844CB"/>
    <w:rsid w:val="0089006D"/>
    <w:rsid w:val="0089285E"/>
    <w:rsid w:val="0089436C"/>
    <w:rsid w:val="008944DF"/>
    <w:rsid w:val="008A3C0C"/>
    <w:rsid w:val="008A41F1"/>
    <w:rsid w:val="008A6C7A"/>
    <w:rsid w:val="008D365C"/>
    <w:rsid w:val="00902459"/>
    <w:rsid w:val="009030BF"/>
    <w:rsid w:val="00914368"/>
    <w:rsid w:val="009212EB"/>
    <w:rsid w:val="00931076"/>
    <w:rsid w:val="0093327F"/>
    <w:rsid w:val="009345D9"/>
    <w:rsid w:val="00934B15"/>
    <w:rsid w:val="00934FA4"/>
    <w:rsid w:val="00942B62"/>
    <w:rsid w:val="009454FA"/>
    <w:rsid w:val="009479EA"/>
    <w:rsid w:val="0095010E"/>
    <w:rsid w:val="00950DFB"/>
    <w:rsid w:val="00956A0C"/>
    <w:rsid w:val="00956BD9"/>
    <w:rsid w:val="00962489"/>
    <w:rsid w:val="00990C2C"/>
    <w:rsid w:val="0099647A"/>
    <w:rsid w:val="009A3601"/>
    <w:rsid w:val="009A75F3"/>
    <w:rsid w:val="009B3561"/>
    <w:rsid w:val="009F0009"/>
    <w:rsid w:val="009F696D"/>
    <w:rsid w:val="009F6BC6"/>
    <w:rsid w:val="00A030EA"/>
    <w:rsid w:val="00A17328"/>
    <w:rsid w:val="00A23A20"/>
    <w:rsid w:val="00A24798"/>
    <w:rsid w:val="00A268B9"/>
    <w:rsid w:val="00A2703A"/>
    <w:rsid w:val="00A33DFF"/>
    <w:rsid w:val="00A35115"/>
    <w:rsid w:val="00A547BB"/>
    <w:rsid w:val="00A554AB"/>
    <w:rsid w:val="00A61AE9"/>
    <w:rsid w:val="00A6463E"/>
    <w:rsid w:val="00A66119"/>
    <w:rsid w:val="00A87831"/>
    <w:rsid w:val="00A87A28"/>
    <w:rsid w:val="00A92B53"/>
    <w:rsid w:val="00A94FA6"/>
    <w:rsid w:val="00AA0BA8"/>
    <w:rsid w:val="00AA2A33"/>
    <w:rsid w:val="00AA32FF"/>
    <w:rsid w:val="00AA49A0"/>
    <w:rsid w:val="00AA6710"/>
    <w:rsid w:val="00AA6C4F"/>
    <w:rsid w:val="00AB0681"/>
    <w:rsid w:val="00AB2054"/>
    <w:rsid w:val="00AC04DD"/>
    <w:rsid w:val="00AC4D5E"/>
    <w:rsid w:val="00AE337B"/>
    <w:rsid w:val="00AF7E11"/>
    <w:rsid w:val="00B00898"/>
    <w:rsid w:val="00B35DA0"/>
    <w:rsid w:val="00B42D8B"/>
    <w:rsid w:val="00B440AD"/>
    <w:rsid w:val="00B526E2"/>
    <w:rsid w:val="00B53E7E"/>
    <w:rsid w:val="00B61C24"/>
    <w:rsid w:val="00B6342E"/>
    <w:rsid w:val="00B7113F"/>
    <w:rsid w:val="00B877B8"/>
    <w:rsid w:val="00BA73B6"/>
    <w:rsid w:val="00BB4FCD"/>
    <w:rsid w:val="00BC568A"/>
    <w:rsid w:val="00BC7FA9"/>
    <w:rsid w:val="00BD13EA"/>
    <w:rsid w:val="00BE3808"/>
    <w:rsid w:val="00BE69E8"/>
    <w:rsid w:val="00BF14A3"/>
    <w:rsid w:val="00C025CD"/>
    <w:rsid w:val="00C02BFF"/>
    <w:rsid w:val="00C062E9"/>
    <w:rsid w:val="00C06977"/>
    <w:rsid w:val="00C07B64"/>
    <w:rsid w:val="00C13721"/>
    <w:rsid w:val="00C3066D"/>
    <w:rsid w:val="00C3607B"/>
    <w:rsid w:val="00C534AB"/>
    <w:rsid w:val="00C5357D"/>
    <w:rsid w:val="00C543F4"/>
    <w:rsid w:val="00C6291C"/>
    <w:rsid w:val="00C633CB"/>
    <w:rsid w:val="00C7356E"/>
    <w:rsid w:val="00C77094"/>
    <w:rsid w:val="00C80A35"/>
    <w:rsid w:val="00C83196"/>
    <w:rsid w:val="00C8762C"/>
    <w:rsid w:val="00C911F0"/>
    <w:rsid w:val="00CA00F9"/>
    <w:rsid w:val="00CA2961"/>
    <w:rsid w:val="00CB50D7"/>
    <w:rsid w:val="00CB7177"/>
    <w:rsid w:val="00CC1998"/>
    <w:rsid w:val="00CC4946"/>
    <w:rsid w:val="00D04880"/>
    <w:rsid w:val="00D1105F"/>
    <w:rsid w:val="00D2276A"/>
    <w:rsid w:val="00D2407F"/>
    <w:rsid w:val="00D270A4"/>
    <w:rsid w:val="00D34E1B"/>
    <w:rsid w:val="00D36A15"/>
    <w:rsid w:val="00D376BA"/>
    <w:rsid w:val="00D46DDF"/>
    <w:rsid w:val="00D475DC"/>
    <w:rsid w:val="00D5568A"/>
    <w:rsid w:val="00D63D73"/>
    <w:rsid w:val="00D66E1E"/>
    <w:rsid w:val="00D74BA3"/>
    <w:rsid w:val="00D75722"/>
    <w:rsid w:val="00D83FFB"/>
    <w:rsid w:val="00D85667"/>
    <w:rsid w:val="00D917AA"/>
    <w:rsid w:val="00DA5BBA"/>
    <w:rsid w:val="00DA6461"/>
    <w:rsid w:val="00DB67C9"/>
    <w:rsid w:val="00DC0C95"/>
    <w:rsid w:val="00DD45E4"/>
    <w:rsid w:val="00DD6580"/>
    <w:rsid w:val="00DE4BB6"/>
    <w:rsid w:val="00DF6FA8"/>
    <w:rsid w:val="00DF7547"/>
    <w:rsid w:val="00E17C72"/>
    <w:rsid w:val="00E21FC6"/>
    <w:rsid w:val="00E52EDA"/>
    <w:rsid w:val="00E669E2"/>
    <w:rsid w:val="00E76135"/>
    <w:rsid w:val="00E95AC9"/>
    <w:rsid w:val="00EA1762"/>
    <w:rsid w:val="00EC2844"/>
    <w:rsid w:val="00EC6F34"/>
    <w:rsid w:val="00EF6B60"/>
    <w:rsid w:val="00EF6C6C"/>
    <w:rsid w:val="00F04707"/>
    <w:rsid w:val="00F056FC"/>
    <w:rsid w:val="00F10476"/>
    <w:rsid w:val="00F135D8"/>
    <w:rsid w:val="00F31299"/>
    <w:rsid w:val="00F3534A"/>
    <w:rsid w:val="00F56694"/>
    <w:rsid w:val="00F634CF"/>
    <w:rsid w:val="00F82E0E"/>
    <w:rsid w:val="00F85325"/>
    <w:rsid w:val="00FA4E00"/>
    <w:rsid w:val="00FB254F"/>
    <w:rsid w:val="00FC11FA"/>
    <w:rsid w:val="00FD22B1"/>
    <w:rsid w:val="00FF0F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30B34"/>
    <w:rPr>
      <w:sz w:val="26"/>
      <w:szCs w:val="24"/>
    </w:rPr>
  </w:style>
  <w:style w:type="paragraph" w:styleId="Heading1">
    <w:name w:val="heading 1"/>
    <w:basedOn w:val="BodyText"/>
    <w:next w:val="BodyText"/>
    <w:rsid w:val="00330B3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30B3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30B34"/>
    <w:pPr>
      <w:spacing w:before="560" w:line="320" w:lineRule="exact"/>
      <w:ind w:left="0" w:firstLine="0"/>
      <w:outlineLvl w:val="2"/>
    </w:pPr>
    <w:rPr>
      <w:sz w:val="26"/>
    </w:rPr>
  </w:style>
  <w:style w:type="paragraph" w:styleId="Heading4">
    <w:name w:val="heading 4"/>
    <w:basedOn w:val="Heading3"/>
    <w:next w:val="BodyText"/>
    <w:qFormat/>
    <w:rsid w:val="00330B34"/>
    <w:pPr>
      <w:spacing w:before="480"/>
      <w:outlineLvl w:val="3"/>
    </w:pPr>
    <w:rPr>
      <w:b w:val="0"/>
      <w:i/>
      <w:sz w:val="24"/>
    </w:rPr>
  </w:style>
  <w:style w:type="paragraph" w:styleId="Heading5">
    <w:name w:val="heading 5"/>
    <w:basedOn w:val="Heading4"/>
    <w:next w:val="BodyText"/>
    <w:qFormat/>
    <w:rsid w:val="00330B34"/>
    <w:pPr>
      <w:outlineLvl w:val="4"/>
    </w:pPr>
    <w:rPr>
      <w:rFonts w:ascii="Times New Roman" w:hAnsi="Times New Roman"/>
      <w:sz w:val="26"/>
    </w:rPr>
  </w:style>
  <w:style w:type="paragraph" w:styleId="Heading6">
    <w:name w:val="heading 6"/>
    <w:basedOn w:val="BodyText"/>
    <w:next w:val="BodyText"/>
    <w:rsid w:val="00330B34"/>
    <w:pPr>
      <w:spacing w:after="60"/>
      <w:jc w:val="left"/>
      <w:outlineLvl w:val="5"/>
    </w:pPr>
    <w:rPr>
      <w:i/>
      <w:sz w:val="22"/>
    </w:rPr>
  </w:style>
  <w:style w:type="paragraph" w:styleId="Heading7">
    <w:name w:val="heading 7"/>
    <w:basedOn w:val="BodyText"/>
    <w:next w:val="BodyText"/>
    <w:rsid w:val="00330B34"/>
    <w:pPr>
      <w:spacing w:after="60" w:line="240" w:lineRule="auto"/>
      <w:jc w:val="left"/>
      <w:outlineLvl w:val="6"/>
    </w:pPr>
    <w:rPr>
      <w:rFonts w:ascii="Arial" w:hAnsi="Arial"/>
      <w:sz w:val="20"/>
    </w:rPr>
  </w:style>
  <w:style w:type="paragraph" w:styleId="Heading8">
    <w:name w:val="heading 8"/>
    <w:basedOn w:val="BodyText"/>
    <w:next w:val="BodyText"/>
    <w:rsid w:val="00330B34"/>
    <w:pPr>
      <w:spacing w:after="60" w:line="240" w:lineRule="auto"/>
      <w:jc w:val="left"/>
      <w:outlineLvl w:val="7"/>
    </w:pPr>
    <w:rPr>
      <w:rFonts w:ascii="Arial" w:hAnsi="Arial"/>
      <w:i/>
      <w:sz w:val="20"/>
    </w:rPr>
  </w:style>
  <w:style w:type="paragraph" w:styleId="Heading9">
    <w:name w:val="heading 9"/>
    <w:basedOn w:val="BodyText"/>
    <w:next w:val="BodyText"/>
    <w:rsid w:val="00330B3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30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B34"/>
  </w:style>
  <w:style w:type="paragraph" w:styleId="BodyText">
    <w:name w:val="Body Text"/>
    <w:qFormat/>
    <w:rsid w:val="00330B34"/>
    <w:pPr>
      <w:spacing w:before="240" w:line="320" w:lineRule="atLeast"/>
      <w:jc w:val="both"/>
    </w:pPr>
    <w:rPr>
      <w:sz w:val="26"/>
    </w:rPr>
  </w:style>
  <w:style w:type="paragraph" w:styleId="Footer">
    <w:name w:val="footer"/>
    <w:basedOn w:val="BodyText"/>
    <w:semiHidden/>
    <w:rsid w:val="00330B34"/>
    <w:pPr>
      <w:spacing w:before="80" w:line="200" w:lineRule="exact"/>
      <w:ind w:right="6"/>
      <w:jc w:val="left"/>
    </w:pPr>
    <w:rPr>
      <w:caps/>
      <w:spacing w:val="-4"/>
      <w:sz w:val="16"/>
    </w:rPr>
  </w:style>
  <w:style w:type="paragraph" w:customStyle="1" w:styleId="FooterEnd">
    <w:name w:val="Footer End"/>
    <w:basedOn w:val="Footer"/>
    <w:rsid w:val="00330B34"/>
    <w:pPr>
      <w:spacing w:before="0" w:line="20" w:lineRule="exact"/>
    </w:pPr>
  </w:style>
  <w:style w:type="paragraph" w:styleId="Header">
    <w:name w:val="header"/>
    <w:basedOn w:val="BodyText"/>
    <w:rsid w:val="00330B3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30B34"/>
    <w:pPr>
      <w:spacing w:line="20" w:lineRule="exact"/>
    </w:pPr>
    <w:rPr>
      <w:sz w:val="16"/>
    </w:rPr>
  </w:style>
  <w:style w:type="paragraph" w:customStyle="1" w:styleId="HeaderEven">
    <w:name w:val="Header Even"/>
    <w:basedOn w:val="Header"/>
    <w:semiHidden/>
    <w:rsid w:val="00330B34"/>
  </w:style>
  <w:style w:type="paragraph" w:customStyle="1" w:styleId="HeaderOdd">
    <w:name w:val="Header Odd"/>
    <w:basedOn w:val="Header"/>
    <w:semiHidden/>
    <w:rsid w:val="00330B34"/>
  </w:style>
  <w:style w:type="character" w:styleId="PageNumber">
    <w:name w:val="page number"/>
    <w:basedOn w:val="DefaultParagraphFont"/>
    <w:rsid w:val="00330B34"/>
    <w:rPr>
      <w:rFonts w:ascii="Arial" w:hAnsi="Arial"/>
      <w:b/>
      <w:sz w:val="16"/>
    </w:rPr>
  </w:style>
  <w:style w:type="paragraph" w:customStyle="1" w:styleId="Abbreviation">
    <w:name w:val="Abbreviation"/>
    <w:basedOn w:val="BodyText"/>
    <w:rsid w:val="00330B34"/>
    <w:pPr>
      <w:spacing w:before="120"/>
      <w:ind w:left="2381" w:hanging="2381"/>
      <w:jc w:val="left"/>
    </w:pPr>
  </w:style>
  <w:style w:type="paragraph" w:customStyle="1" w:styleId="Box">
    <w:name w:val="Box"/>
    <w:basedOn w:val="BodyText"/>
    <w:qFormat/>
    <w:rsid w:val="00330B34"/>
    <w:pPr>
      <w:keepNext/>
      <w:spacing w:before="120" w:line="280" w:lineRule="atLeast"/>
    </w:pPr>
    <w:rPr>
      <w:rFonts w:ascii="Arial" w:hAnsi="Arial"/>
      <w:sz w:val="22"/>
    </w:rPr>
  </w:style>
  <w:style w:type="paragraph" w:customStyle="1" w:styleId="BoxContinued">
    <w:name w:val="Box Continued"/>
    <w:basedOn w:val="BodyText"/>
    <w:next w:val="BodyText"/>
    <w:semiHidden/>
    <w:rsid w:val="00330B34"/>
    <w:pPr>
      <w:spacing w:before="180" w:line="220" w:lineRule="exact"/>
      <w:jc w:val="right"/>
    </w:pPr>
    <w:rPr>
      <w:rFonts w:ascii="Arial" w:hAnsi="Arial"/>
      <w:sz w:val="18"/>
    </w:rPr>
  </w:style>
  <w:style w:type="paragraph" w:customStyle="1" w:styleId="BoxHeading1">
    <w:name w:val="Box Heading 1"/>
    <w:basedOn w:val="BodyText"/>
    <w:next w:val="Box"/>
    <w:rsid w:val="00330B34"/>
    <w:pPr>
      <w:keepNext/>
      <w:spacing w:before="200" w:line="280" w:lineRule="atLeast"/>
    </w:pPr>
    <w:rPr>
      <w:rFonts w:ascii="Arial" w:hAnsi="Arial"/>
      <w:b/>
      <w:sz w:val="22"/>
    </w:rPr>
  </w:style>
  <w:style w:type="paragraph" w:customStyle="1" w:styleId="BoxHeading2">
    <w:name w:val="Box Heading 2"/>
    <w:basedOn w:val="BoxHeading1"/>
    <w:next w:val="Normal"/>
    <w:rsid w:val="00330B34"/>
    <w:rPr>
      <w:b w:val="0"/>
      <w:i/>
    </w:rPr>
  </w:style>
  <w:style w:type="paragraph" w:customStyle="1" w:styleId="BoxListBullet">
    <w:name w:val="Box List Bullet"/>
    <w:basedOn w:val="BodyText"/>
    <w:rsid w:val="00330B34"/>
    <w:pPr>
      <w:keepNext/>
      <w:numPr>
        <w:numId w:val="1"/>
      </w:numPr>
      <w:spacing w:before="60" w:line="280" w:lineRule="atLeast"/>
    </w:pPr>
    <w:rPr>
      <w:rFonts w:ascii="Arial" w:hAnsi="Arial"/>
      <w:sz w:val="22"/>
    </w:rPr>
  </w:style>
  <w:style w:type="paragraph" w:customStyle="1" w:styleId="BoxListBullet2">
    <w:name w:val="Box List Bullet 2"/>
    <w:basedOn w:val="BodyText"/>
    <w:rsid w:val="00330B34"/>
    <w:pPr>
      <w:keepNext/>
      <w:numPr>
        <w:numId w:val="2"/>
      </w:numPr>
      <w:spacing w:before="60" w:line="280" w:lineRule="atLeast"/>
    </w:pPr>
    <w:rPr>
      <w:rFonts w:ascii="Arial" w:hAnsi="Arial"/>
      <w:sz w:val="22"/>
    </w:rPr>
  </w:style>
  <w:style w:type="paragraph" w:customStyle="1" w:styleId="BoxListNumber">
    <w:name w:val="Box List Number"/>
    <w:basedOn w:val="BodyText"/>
    <w:rsid w:val="00330B34"/>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330B34"/>
    <w:pPr>
      <w:numPr>
        <w:ilvl w:val="1"/>
      </w:numPr>
    </w:pPr>
  </w:style>
  <w:style w:type="paragraph" w:customStyle="1" w:styleId="BoxQuote">
    <w:name w:val="Box Quote"/>
    <w:basedOn w:val="BodyText"/>
    <w:next w:val="Box"/>
    <w:rsid w:val="00330B34"/>
    <w:pPr>
      <w:keepNext/>
      <w:spacing w:before="60" w:line="260" w:lineRule="exact"/>
      <w:ind w:left="284"/>
    </w:pPr>
    <w:rPr>
      <w:rFonts w:ascii="Arial" w:hAnsi="Arial"/>
      <w:sz w:val="20"/>
    </w:rPr>
  </w:style>
  <w:style w:type="paragraph" w:customStyle="1" w:styleId="Note">
    <w:name w:val="Note"/>
    <w:basedOn w:val="BodyText"/>
    <w:next w:val="BodyText"/>
    <w:rsid w:val="00330B34"/>
    <w:pPr>
      <w:keepLines/>
      <w:spacing w:before="80" w:line="220" w:lineRule="exact"/>
    </w:pPr>
    <w:rPr>
      <w:rFonts w:ascii="Arial" w:hAnsi="Arial"/>
      <w:sz w:val="18"/>
    </w:rPr>
  </w:style>
  <w:style w:type="paragraph" w:customStyle="1" w:styleId="Source">
    <w:name w:val="Source"/>
    <w:basedOn w:val="Note"/>
    <w:next w:val="BodyText"/>
    <w:rsid w:val="00330B34"/>
    <w:pPr>
      <w:spacing w:after="120"/>
    </w:pPr>
  </w:style>
  <w:style w:type="paragraph" w:customStyle="1" w:styleId="BoxSource">
    <w:name w:val="Box Source"/>
    <w:basedOn w:val="Source"/>
    <w:next w:val="BodyText"/>
    <w:rsid w:val="00330B34"/>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30B3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30B34"/>
    <w:pPr>
      <w:spacing w:before="120" w:after="0"/>
      <w:ind w:left="1304" w:hanging="1304"/>
    </w:pPr>
    <w:rPr>
      <w:sz w:val="24"/>
    </w:rPr>
  </w:style>
  <w:style w:type="paragraph" w:customStyle="1" w:styleId="BoxSubtitle">
    <w:name w:val="Box Subtitle"/>
    <w:basedOn w:val="BoxTitle"/>
    <w:next w:val="Normal"/>
    <w:rsid w:val="00330B34"/>
    <w:pPr>
      <w:spacing w:after="80" w:line="200" w:lineRule="exact"/>
      <w:ind w:firstLine="0"/>
    </w:pPr>
    <w:rPr>
      <w:b w:val="0"/>
      <w:sz w:val="20"/>
    </w:rPr>
  </w:style>
  <w:style w:type="paragraph" w:customStyle="1" w:styleId="Chapter">
    <w:name w:val="Chapter"/>
    <w:basedOn w:val="Heading1"/>
    <w:next w:val="BodyText"/>
    <w:semiHidden/>
    <w:rsid w:val="00330B34"/>
    <w:pPr>
      <w:ind w:left="0" w:firstLine="0"/>
      <w:outlineLvl w:val="9"/>
    </w:pPr>
  </w:style>
  <w:style w:type="paragraph" w:customStyle="1" w:styleId="ChapterSummary">
    <w:name w:val="Chapter Summary"/>
    <w:basedOn w:val="BodyText"/>
    <w:rsid w:val="00330B34"/>
    <w:pPr>
      <w:ind w:left="907"/>
    </w:pPr>
    <w:rPr>
      <w:rFonts w:ascii="Arial" w:hAnsi="Arial"/>
      <w:b/>
      <w:sz w:val="22"/>
    </w:rPr>
  </w:style>
  <w:style w:type="character" w:styleId="CommentReference">
    <w:name w:val="annotation reference"/>
    <w:basedOn w:val="DefaultParagraphFont"/>
    <w:semiHidden/>
    <w:rsid w:val="00330B34"/>
    <w:rPr>
      <w:b/>
      <w:vanish/>
      <w:color w:val="FF00FF"/>
      <w:sz w:val="20"/>
    </w:rPr>
  </w:style>
  <w:style w:type="paragraph" w:styleId="CommentText">
    <w:name w:val="annotation text"/>
    <w:basedOn w:val="Normal"/>
    <w:semiHidden/>
    <w:rsid w:val="00330B34"/>
    <w:pPr>
      <w:spacing w:before="120" w:line="240" w:lineRule="atLeast"/>
      <w:ind w:left="567" w:hanging="567"/>
    </w:pPr>
    <w:rPr>
      <w:sz w:val="20"/>
    </w:rPr>
  </w:style>
  <w:style w:type="paragraph" w:customStyle="1" w:styleId="Continued">
    <w:name w:val="Continued"/>
    <w:basedOn w:val="BoxContinued"/>
    <w:next w:val="BodyText"/>
    <w:rsid w:val="00330B34"/>
  </w:style>
  <w:style w:type="character" w:customStyle="1" w:styleId="DocumentInfo">
    <w:name w:val="Document Info"/>
    <w:basedOn w:val="DefaultParagraphFont"/>
    <w:semiHidden/>
    <w:rsid w:val="00330B34"/>
    <w:rPr>
      <w:rFonts w:ascii="Arial" w:hAnsi="Arial"/>
      <w:sz w:val="14"/>
    </w:rPr>
  </w:style>
  <w:style w:type="character" w:customStyle="1" w:styleId="DraftingNote">
    <w:name w:val="Drafting Note"/>
    <w:basedOn w:val="DefaultParagraphFont"/>
    <w:rsid w:val="00330B34"/>
    <w:rPr>
      <w:b/>
      <w:color w:val="FF0000"/>
      <w:sz w:val="24"/>
      <w:u w:val="dotted"/>
    </w:rPr>
  </w:style>
  <w:style w:type="paragraph" w:customStyle="1" w:styleId="Figure">
    <w:name w:val="Figure"/>
    <w:basedOn w:val="BodyText"/>
    <w:rsid w:val="00330B34"/>
    <w:pPr>
      <w:keepNext/>
      <w:spacing w:before="120" w:after="120" w:line="240" w:lineRule="atLeast"/>
      <w:jc w:val="center"/>
    </w:pPr>
  </w:style>
  <w:style w:type="paragraph" w:customStyle="1" w:styleId="FigureTitle">
    <w:name w:val="Figure Title"/>
    <w:basedOn w:val="Caption"/>
    <w:next w:val="Subtitle"/>
    <w:rsid w:val="00330B34"/>
    <w:rPr>
      <w:sz w:val="24"/>
    </w:rPr>
  </w:style>
  <w:style w:type="paragraph" w:styleId="Subtitle">
    <w:name w:val="Subtitle"/>
    <w:basedOn w:val="Caption"/>
    <w:link w:val="SubtitleChar"/>
    <w:rsid w:val="00330B34"/>
    <w:pPr>
      <w:spacing w:before="0" w:line="200" w:lineRule="exact"/>
      <w:ind w:firstLine="0"/>
    </w:pPr>
    <w:rPr>
      <w:b w:val="0"/>
      <w:sz w:val="20"/>
    </w:rPr>
  </w:style>
  <w:style w:type="paragraph" w:customStyle="1" w:styleId="Finding">
    <w:name w:val="Finding"/>
    <w:basedOn w:val="BodyText"/>
    <w:rsid w:val="00330B34"/>
    <w:pPr>
      <w:keepLines/>
      <w:spacing w:before="180"/>
    </w:pPr>
    <w:rPr>
      <w:i/>
    </w:rPr>
  </w:style>
  <w:style w:type="paragraph" w:customStyle="1" w:styleId="FindingBullet">
    <w:name w:val="Finding Bullet"/>
    <w:basedOn w:val="Finding"/>
    <w:rsid w:val="00330B34"/>
    <w:pPr>
      <w:numPr>
        <w:numId w:val="3"/>
      </w:numPr>
      <w:spacing w:before="80"/>
    </w:pPr>
  </w:style>
  <w:style w:type="paragraph" w:customStyle="1" w:styleId="FindingNoTitle">
    <w:name w:val="Finding NoTitle"/>
    <w:basedOn w:val="Finding"/>
    <w:rsid w:val="00330B34"/>
    <w:pPr>
      <w:spacing w:before="240"/>
    </w:pPr>
  </w:style>
  <w:style w:type="paragraph" w:customStyle="1" w:styleId="RecTitle">
    <w:name w:val="Rec Title"/>
    <w:basedOn w:val="BodyText"/>
    <w:next w:val="Normal"/>
    <w:rsid w:val="00330B34"/>
    <w:pPr>
      <w:keepNext/>
      <w:keepLines/>
    </w:pPr>
    <w:rPr>
      <w:caps/>
      <w:sz w:val="20"/>
    </w:rPr>
  </w:style>
  <w:style w:type="paragraph" w:customStyle="1" w:styleId="FindingTitle">
    <w:name w:val="Finding Title"/>
    <w:basedOn w:val="RecTitle"/>
    <w:next w:val="Finding"/>
    <w:rsid w:val="00330B34"/>
    <w:pPr>
      <w:framePr w:wrap="notBeside" w:hAnchor="text"/>
    </w:pPr>
  </w:style>
  <w:style w:type="character" w:styleId="FootnoteReference">
    <w:name w:val="footnote reference"/>
    <w:basedOn w:val="DefaultParagraphFont"/>
    <w:semiHidden/>
    <w:rsid w:val="00330B34"/>
    <w:rPr>
      <w:rFonts w:ascii="Times New Roman" w:hAnsi="Times New Roman"/>
      <w:position w:val="6"/>
      <w:sz w:val="22"/>
      <w:vertAlign w:val="baseline"/>
    </w:rPr>
  </w:style>
  <w:style w:type="paragraph" w:styleId="FootnoteText">
    <w:name w:val="footnote text"/>
    <w:basedOn w:val="BodyText"/>
    <w:rsid w:val="00330B34"/>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30B34"/>
    <w:pPr>
      <w:spacing w:before="360" w:after="120"/>
    </w:pPr>
    <w:rPr>
      <w:rFonts w:ascii="Arial" w:hAnsi="Arial"/>
      <w:sz w:val="24"/>
    </w:rPr>
  </w:style>
  <w:style w:type="paragraph" w:customStyle="1" w:styleId="Jurisdictioncommentsbodytext">
    <w:name w:val="Jurisdiction comments body text"/>
    <w:rsid w:val="00330B34"/>
    <w:pPr>
      <w:spacing w:after="140"/>
      <w:jc w:val="both"/>
    </w:pPr>
    <w:rPr>
      <w:rFonts w:ascii="Arial" w:hAnsi="Arial"/>
      <w:sz w:val="24"/>
      <w:lang w:eastAsia="en-US"/>
    </w:rPr>
  </w:style>
  <w:style w:type="paragraph" w:customStyle="1" w:styleId="Jurisdictioncommentsheading">
    <w:name w:val="Jurisdiction comments heading"/>
    <w:rsid w:val="00330B3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30B34"/>
    <w:pPr>
      <w:numPr>
        <w:numId w:val="4"/>
      </w:numPr>
      <w:spacing w:after="140"/>
      <w:jc w:val="both"/>
    </w:pPr>
    <w:rPr>
      <w:rFonts w:ascii="Arial" w:hAnsi="Arial"/>
      <w:sz w:val="24"/>
      <w:lang w:eastAsia="en-US"/>
    </w:rPr>
  </w:style>
  <w:style w:type="paragraph" w:styleId="ListBullet">
    <w:name w:val="List Bullet"/>
    <w:basedOn w:val="BodyText"/>
    <w:rsid w:val="00330B34"/>
    <w:pPr>
      <w:numPr>
        <w:numId w:val="6"/>
      </w:numPr>
      <w:spacing w:before="120"/>
    </w:pPr>
  </w:style>
  <w:style w:type="paragraph" w:styleId="ListBullet2">
    <w:name w:val="List Bullet 2"/>
    <w:basedOn w:val="BodyText"/>
    <w:rsid w:val="00330B34"/>
    <w:pPr>
      <w:numPr>
        <w:numId w:val="8"/>
      </w:numPr>
      <w:spacing w:before="120"/>
    </w:pPr>
  </w:style>
  <w:style w:type="paragraph" w:styleId="ListBullet3">
    <w:name w:val="List Bullet 3"/>
    <w:basedOn w:val="BodyText"/>
    <w:rsid w:val="00330B34"/>
    <w:pPr>
      <w:numPr>
        <w:numId w:val="10"/>
      </w:numPr>
      <w:spacing w:before="120"/>
    </w:pPr>
  </w:style>
  <w:style w:type="paragraph" w:styleId="ListNumber">
    <w:name w:val="List Number"/>
    <w:basedOn w:val="BodyText"/>
    <w:rsid w:val="00330B34"/>
    <w:pPr>
      <w:numPr>
        <w:numId w:val="32"/>
      </w:numPr>
      <w:spacing w:before="120"/>
    </w:pPr>
  </w:style>
  <w:style w:type="paragraph" w:styleId="ListNumber2">
    <w:name w:val="List Number 2"/>
    <w:basedOn w:val="ListNumber"/>
    <w:rsid w:val="00330B34"/>
    <w:pPr>
      <w:numPr>
        <w:ilvl w:val="1"/>
      </w:numPr>
    </w:pPr>
  </w:style>
  <w:style w:type="paragraph" w:styleId="ListNumber3">
    <w:name w:val="List Number 3"/>
    <w:basedOn w:val="ListNumber2"/>
    <w:rsid w:val="00330B34"/>
    <w:pPr>
      <w:numPr>
        <w:ilvl w:val="2"/>
      </w:numPr>
    </w:pPr>
  </w:style>
  <w:style w:type="character" w:customStyle="1" w:styleId="NoteLabel">
    <w:name w:val="Note Label"/>
    <w:basedOn w:val="DefaultParagraphFont"/>
    <w:rsid w:val="00330B34"/>
    <w:rPr>
      <w:rFonts w:ascii="Arial" w:hAnsi="Arial"/>
      <w:b/>
      <w:position w:val="6"/>
      <w:sz w:val="18"/>
    </w:rPr>
  </w:style>
  <w:style w:type="paragraph" w:customStyle="1" w:styleId="PartDivider">
    <w:name w:val="Part Divider"/>
    <w:basedOn w:val="BodyText"/>
    <w:next w:val="BodyText"/>
    <w:semiHidden/>
    <w:rsid w:val="00330B34"/>
    <w:pPr>
      <w:spacing w:before="0" w:line="40" w:lineRule="exact"/>
      <w:jc w:val="right"/>
    </w:pPr>
    <w:rPr>
      <w:smallCaps/>
      <w:sz w:val="16"/>
    </w:rPr>
  </w:style>
  <w:style w:type="paragraph" w:customStyle="1" w:styleId="PartNumber">
    <w:name w:val="Part Number"/>
    <w:basedOn w:val="BodyText"/>
    <w:next w:val="BodyText"/>
    <w:semiHidden/>
    <w:rsid w:val="00330B34"/>
    <w:pPr>
      <w:spacing w:before="4000" w:line="320" w:lineRule="exact"/>
      <w:ind w:left="6634"/>
      <w:jc w:val="right"/>
    </w:pPr>
    <w:rPr>
      <w:smallCaps/>
      <w:spacing w:val="60"/>
      <w:sz w:val="32"/>
    </w:rPr>
  </w:style>
  <w:style w:type="paragraph" w:customStyle="1" w:styleId="PartTitle">
    <w:name w:val="Part Title"/>
    <w:basedOn w:val="BodyText"/>
    <w:semiHidden/>
    <w:rsid w:val="00330B34"/>
    <w:pPr>
      <w:spacing w:before="160" w:after="1360" w:line="520" w:lineRule="exact"/>
      <w:ind w:right="2381"/>
      <w:jc w:val="right"/>
    </w:pPr>
    <w:rPr>
      <w:smallCaps/>
      <w:sz w:val="52"/>
    </w:rPr>
  </w:style>
  <w:style w:type="paragraph" w:styleId="Quote">
    <w:name w:val="Quote"/>
    <w:basedOn w:val="BodyText"/>
    <w:next w:val="BodyText"/>
    <w:qFormat/>
    <w:rsid w:val="00330B34"/>
    <w:pPr>
      <w:spacing w:before="120" w:line="280" w:lineRule="exact"/>
      <w:ind w:left="340"/>
    </w:pPr>
    <w:rPr>
      <w:sz w:val="24"/>
    </w:rPr>
  </w:style>
  <w:style w:type="paragraph" w:customStyle="1" w:styleId="QuoteBullet">
    <w:name w:val="Quote Bullet"/>
    <w:basedOn w:val="Quote"/>
    <w:rsid w:val="00330B34"/>
    <w:pPr>
      <w:numPr>
        <w:numId w:val="14"/>
      </w:numPr>
    </w:pPr>
  </w:style>
  <w:style w:type="paragraph" w:customStyle="1" w:styleId="Rec">
    <w:name w:val="Rec"/>
    <w:basedOn w:val="BodyText"/>
    <w:rsid w:val="00330B34"/>
    <w:pPr>
      <w:keepLines/>
      <w:spacing w:before="180"/>
    </w:pPr>
    <w:rPr>
      <w:b/>
      <w:i/>
    </w:rPr>
  </w:style>
  <w:style w:type="paragraph" w:customStyle="1" w:styleId="RecBullet">
    <w:name w:val="Rec Bullet"/>
    <w:basedOn w:val="Rec"/>
    <w:rsid w:val="00330B34"/>
    <w:pPr>
      <w:numPr>
        <w:numId w:val="15"/>
      </w:numPr>
      <w:spacing w:before="80"/>
    </w:pPr>
  </w:style>
  <w:style w:type="paragraph" w:customStyle="1" w:styleId="RecB">
    <w:name w:val="RecB"/>
    <w:basedOn w:val="Normal"/>
    <w:rsid w:val="00330B3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30B34"/>
    <w:pPr>
      <w:numPr>
        <w:numId w:val="16"/>
      </w:numPr>
      <w:spacing w:before="80"/>
    </w:pPr>
  </w:style>
  <w:style w:type="paragraph" w:customStyle="1" w:styleId="RecBNoTitle">
    <w:name w:val="RecB NoTitle"/>
    <w:basedOn w:val="RecB"/>
    <w:rsid w:val="00330B34"/>
    <w:pPr>
      <w:spacing w:before="240"/>
    </w:pPr>
  </w:style>
  <w:style w:type="paragraph" w:customStyle="1" w:styleId="Reference">
    <w:name w:val="Reference"/>
    <w:basedOn w:val="BodyText"/>
    <w:rsid w:val="00330B34"/>
    <w:pPr>
      <w:spacing w:before="120"/>
      <w:ind w:left="340" w:hanging="340"/>
    </w:pPr>
  </w:style>
  <w:style w:type="paragraph" w:customStyle="1" w:styleId="SequenceInfo">
    <w:name w:val="Sequence Info"/>
    <w:basedOn w:val="BodyText"/>
    <w:semiHidden/>
    <w:rsid w:val="00330B34"/>
    <w:rPr>
      <w:vanish/>
      <w:sz w:val="16"/>
    </w:rPr>
  </w:style>
  <w:style w:type="paragraph" w:customStyle="1" w:styleId="SideNote">
    <w:name w:val="Side Note"/>
    <w:basedOn w:val="BodyText"/>
    <w:next w:val="BodyText"/>
    <w:semiHidden/>
    <w:rsid w:val="00330B3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30B34"/>
    <w:pPr>
      <w:framePr w:wrap="around"/>
      <w:numPr>
        <w:numId w:val="17"/>
      </w:numPr>
      <w:tabs>
        <w:tab w:val="left" w:pos="227"/>
      </w:tabs>
    </w:pPr>
  </w:style>
  <w:style w:type="paragraph" w:customStyle="1" w:styleId="SideNoteGraphic">
    <w:name w:val="Side Note Graphic"/>
    <w:basedOn w:val="SideNote"/>
    <w:next w:val="BodyText"/>
    <w:semiHidden/>
    <w:rsid w:val="00330B34"/>
    <w:pPr>
      <w:framePr w:wrap="around"/>
    </w:pPr>
  </w:style>
  <w:style w:type="paragraph" w:customStyle="1" w:styleId="TableBodyText">
    <w:name w:val="Table Body Text"/>
    <w:basedOn w:val="BodyText"/>
    <w:rsid w:val="00330B3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30B34"/>
    <w:pPr>
      <w:numPr>
        <w:numId w:val="18"/>
      </w:numPr>
      <w:jc w:val="left"/>
    </w:pPr>
  </w:style>
  <w:style w:type="paragraph" w:customStyle="1" w:styleId="TableColumnHeading">
    <w:name w:val="Table Column Heading"/>
    <w:basedOn w:val="TableBodyText"/>
    <w:rsid w:val="00330B34"/>
    <w:pPr>
      <w:spacing w:before="80" w:after="80"/>
    </w:pPr>
    <w:rPr>
      <w:i/>
    </w:rPr>
  </w:style>
  <w:style w:type="paragraph" w:styleId="TOC2">
    <w:name w:val="toc 2"/>
    <w:basedOn w:val="BodyText"/>
    <w:semiHidden/>
    <w:rsid w:val="00330B34"/>
    <w:pPr>
      <w:tabs>
        <w:tab w:val="right" w:pos="8789"/>
      </w:tabs>
      <w:ind w:left="510" w:right="851" w:hanging="510"/>
      <w:jc w:val="left"/>
    </w:pPr>
    <w:rPr>
      <w:b/>
    </w:rPr>
  </w:style>
  <w:style w:type="paragraph" w:styleId="TOC3">
    <w:name w:val="toc 3"/>
    <w:basedOn w:val="TOC2"/>
    <w:semiHidden/>
    <w:rsid w:val="00330B34"/>
    <w:pPr>
      <w:spacing w:before="60"/>
      <w:ind w:left="1190" w:hanging="680"/>
    </w:pPr>
    <w:rPr>
      <w:b w:val="0"/>
    </w:rPr>
  </w:style>
  <w:style w:type="paragraph" w:styleId="TableofFigures">
    <w:name w:val="table of figures"/>
    <w:basedOn w:val="TOC3"/>
    <w:next w:val="BodyText"/>
    <w:semiHidden/>
    <w:rsid w:val="00330B34"/>
    <w:pPr>
      <w:ind w:left="737" w:hanging="737"/>
    </w:pPr>
  </w:style>
  <w:style w:type="paragraph" w:customStyle="1" w:styleId="TableTitle">
    <w:name w:val="Table Title"/>
    <w:basedOn w:val="Caption"/>
    <w:next w:val="Subtitle"/>
    <w:rsid w:val="00330B34"/>
    <w:rPr>
      <w:sz w:val="24"/>
    </w:rPr>
  </w:style>
  <w:style w:type="paragraph" w:customStyle="1" w:styleId="TableUnitsRow">
    <w:name w:val="Table Units Row"/>
    <w:basedOn w:val="TableBodyText"/>
    <w:rsid w:val="00330B34"/>
    <w:pPr>
      <w:spacing w:before="80" w:after="80"/>
    </w:pPr>
  </w:style>
  <w:style w:type="paragraph" w:styleId="TOC1">
    <w:name w:val="toc 1"/>
    <w:basedOn w:val="Normal"/>
    <w:next w:val="TOC2"/>
    <w:semiHidden/>
    <w:rsid w:val="00330B34"/>
    <w:pPr>
      <w:tabs>
        <w:tab w:val="right" w:pos="8789"/>
      </w:tabs>
      <w:spacing w:before="480" w:after="60" w:line="320" w:lineRule="exact"/>
      <w:ind w:left="1191" w:right="851" w:hanging="1191"/>
    </w:pPr>
    <w:rPr>
      <w:b/>
      <w:caps/>
    </w:rPr>
  </w:style>
  <w:style w:type="paragraph" w:styleId="TOC4">
    <w:name w:val="toc 4"/>
    <w:basedOn w:val="TOC3"/>
    <w:semiHidden/>
    <w:rsid w:val="00330B34"/>
    <w:pPr>
      <w:ind w:left="1191" w:firstLine="0"/>
    </w:pPr>
  </w:style>
  <w:style w:type="paragraph" w:customStyle="1" w:styleId="RecBBullet2">
    <w:name w:val="RecB Bullet 2"/>
    <w:basedOn w:val="ListBullet2"/>
    <w:rsid w:val="00330B34"/>
    <w:pPr>
      <w:pBdr>
        <w:left w:val="single" w:sz="24" w:space="29" w:color="C0C0C0"/>
      </w:pBdr>
    </w:pPr>
    <w:rPr>
      <w:b/>
      <w:i/>
    </w:rPr>
  </w:style>
  <w:style w:type="paragraph" w:styleId="BalloonText">
    <w:name w:val="Balloon Text"/>
    <w:basedOn w:val="Normal"/>
    <w:link w:val="BalloonTextChar"/>
    <w:rsid w:val="00330B34"/>
    <w:rPr>
      <w:rFonts w:ascii="Tahoma" w:hAnsi="Tahoma" w:cs="Tahoma"/>
      <w:sz w:val="16"/>
      <w:szCs w:val="16"/>
    </w:rPr>
  </w:style>
  <w:style w:type="character" w:customStyle="1" w:styleId="BalloonTextChar">
    <w:name w:val="Balloon Text Char"/>
    <w:basedOn w:val="DefaultParagraphFont"/>
    <w:link w:val="BalloonText"/>
    <w:rsid w:val="00330B34"/>
    <w:rPr>
      <w:rFonts w:ascii="Tahoma" w:hAnsi="Tahoma" w:cs="Tahoma"/>
      <w:sz w:val="16"/>
      <w:szCs w:val="16"/>
    </w:rPr>
  </w:style>
  <w:style w:type="character" w:customStyle="1" w:styleId="SubtitleChar">
    <w:name w:val="Subtitle Char"/>
    <w:basedOn w:val="DefaultParagraphFont"/>
    <w:link w:val="Subtitle"/>
    <w:rsid w:val="00330B34"/>
    <w:rPr>
      <w:rFonts w:ascii="Arial" w:hAnsi="Arial"/>
      <w:szCs w:val="24"/>
    </w:rPr>
  </w:style>
  <w:style w:type="paragraph" w:customStyle="1" w:styleId="BoxListBullet3">
    <w:name w:val="Box List Bullet 3"/>
    <w:basedOn w:val="ListBullet3"/>
    <w:rsid w:val="00330B34"/>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30B34"/>
    <w:rPr>
      <w:i/>
      <w:iCs/>
    </w:rPr>
  </w:style>
  <w:style w:type="paragraph" w:customStyle="1" w:styleId="BoxSpaceAbove">
    <w:name w:val="Box Space Above"/>
    <w:basedOn w:val="BodyText"/>
    <w:rsid w:val="00330B34"/>
    <w:pPr>
      <w:keepNext/>
      <w:spacing w:before="360" w:line="80" w:lineRule="exact"/>
      <w:jc w:val="left"/>
    </w:pPr>
  </w:style>
  <w:style w:type="paragraph" w:customStyle="1" w:styleId="BoxQuoteBullet">
    <w:name w:val="Box Quote Bullet"/>
    <w:basedOn w:val="BoxQuote"/>
    <w:next w:val="Box"/>
    <w:rsid w:val="00330B34"/>
    <w:pPr>
      <w:numPr>
        <w:numId w:val="47"/>
      </w:numPr>
      <w:ind w:left="568" w:hanging="284"/>
    </w:pPr>
  </w:style>
  <w:style w:type="paragraph" w:customStyle="1" w:styleId="InformationRequestBullet">
    <w:name w:val="Information Request Bullet"/>
    <w:basedOn w:val="ListBullet"/>
    <w:next w:val="BodyText"/>
    <w:rsid w:val="00330B34"/>
    <w:pPr>
      <w:numPr>
        <w:numId w:val="48"/>
      </w:numPr>
      <w:ind w:left="340" w:hanging="340"/>
    </w:pPr>
    <w:rPr>
      <w:rFonts w:ascii="Arial" w:hAnsi="Arial"/>
      <w:i/>
      <w:sz w:val="24"/>
    </w:rPr>
  </w:style>
  <w:style w:type="paragraph" w:customStyle="1" w:styleId="BoxSpaceBelow">
    <w:name w:val="Box Space Below"/>
    <w:basedOn w:val="Box"/>
    <w:rsid w:val="00330B3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30B34"/>
    <w:rPr>
      <w:sz w:val="26"/>
      <w:szCs w:val="24"/>
    </w:rPr>
  </w:style>
  <w:style w:type="paragraph" w:styleId="Heading1">
    <w:name w:val="heading 1"/>
    <w:basedOn w:val="BodyText"/>
    <w:next w:val="BodyText"/>
    <w:rsid w:val="00330B3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30B3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30B34"/>
    <w:pPr>
      <w:spacing w:before="560" w:line="320" w:lineRule="exact"/>
      <w:ind w:left="0" w:firstLine="0"/>
      <w:outlineLvl w:val="2"/>
    </w:pPr>
    <w:rPr>
      <w:sz w:val="26"/>
    </w:rPr>
  </w:style>
  <w:style w:type="paragraph" w:styleId="Heading4">
    <w:name w:val="heading 4"/>
    <w:basedOn w:val="Heading3"/>
    <w:next w:val="BodyText"/>
    <w:qFormat/>
    <w:rsid w:val="00330B34"/>
    <w:pPr>
      <w:spacing w:before="480"/>
      <w:outlineLvl w:val="3"/>
    </w:pPr>
    <w:rPr>
      <w:b w:val="0"/>
      <w:i/>
      <w:sz w:val="24"/>
    </w:rPr>
  </w:style>
  <w:style w:type="paragraph" w:styleId="Heading5">
    <w:name w:val="heading 5"/>
    <w:basedOn w:val="Heading4"/>
    <w:next w:val="BodyText"/>
    <w:qFormat/>
    <w:rsid w:val="00330B34"/>
    <w:pPr>
      <w:outlineLvl w:val="4"/>
    </w:pPr>
    <w:rPr>
      <w:rFonts w:ascii="Times New Roman" w:hAnsi="Times New Roman"/>
      <w:sz w:val="26"/>
    </w:rPr>
  </w:style>
  <w:style w:type="paragraph" w:styleId="Heading6">
    <w:name w:val="heading 6"/>
    <w:basedOn w:val="BodyText"/>
    <w:next w:val="BodyText"/>
    <w:rsid w:val="00330B34"/>
    <w:pPr>
      <w:spacing w:after="60"/>
      <w:jc w:val="left"/>
      <w:outlineLvl w:val="5"/>
    </w:pPr>
    <w:rPr>
      <w:i/>
      <w:sz w:val="22"/>
    </w:rPr>
  </w:style>
  <w:style w:type="paragraph" w:styleId="Heading7">
    <w:name w:val="heading 7"/>
    <w:basedOn w:val="BodyText"/>
    <w:next w:val="BodyText"/>
    <w:rsid w:val="00330B34"/>
    <w:pPr>
      <w:spacing w:after="60" w:line="240" w:lineRule="auto"/>
      <w:jc w:val="left"/>
      <w:outlineLvl w:val="6"/>
    </w:pPr>
    <w:rPr>
      <w:rFonts w:ascii="Arial" w:hAnsi="Arial"/>
      <w:sz w:val="20"/>
    </w:rPr>
  </w:style>
  <w:style w:type="paragraph" w:styleId="Heading8">
    <w:name w:val="heading 8"/>
    <w:basedOn w:val="BodyText"/>
    <w:next w:val="BodyText"/>
    <w:rsid w:val="00330B34"/>
    <w:pPr>
      <w:spacing w:after="60" w:line="240" w:lineRule="auto"/>
      <w:jc w:val="left"/>
      <w:outlineLvl w:val="7"/>
    </w:pPr>
    <w:rPr>
      <w:rFonts w:ascii="Arial" w:hAnsi="Arial"/>
      <w:i/>
      <w:sz w:val="20"/>
    </w:rPr>
  </w:style>
  <w:style w:type="paragraph" w:styleId="Heading9">
    <w:name w:val="heading 9"/>
    <w:basedOn w:val="BodyText"/>
    <w:next w:val="BodyText"/>
    <w:rsid w:val="00330B3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30B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0B34"/>
  </w:style>
  <w:style w:type="paragraph" w:styleId="BodyText">
    <w:name w:val="Body Text"/>
    <w:qFormat/>
    <w:rsid w:val="00330B34"/>
    <w:pPr>
      <w:spacing w:before="240" w:line="320" w:lineRule="atLeast"/>
      <w:jc w:val="both"/>
    </w:pPr>
    <w:rPr>
      <w:sz w:val="26"/>
    </w:rPr>
  </w:style>
  <w:style w:type="paragraph" w:styleId="Footer">
    <w:name w:val="footer"/>
    <w:basedOn w:val="BodyText"/>
    <w:semiHidden/>
    <w:rsid w:val="00330B34"/>
    <w:pPr>
      <w:spacing w:before="80" w:line="200" w:lineRule="exact"/>
      <w:ind w:right="6"/>
      <w:jc w:val="left"/>
    </w:pPr>
    <w:rPr>
      <w:caps/>
      <w:spacing w:val="-4"/>
      <w:sz w:val="16"/>
    </w:rPr>
  </w:style>
  <w:style w:type="paragraph" w:customStyle="1" w:styleId="FooterEnd">
    <w:name w:val="Footer End"/>
    <w:basedOn w:val="Footer"/>
    <w:rsid w:val="00330B34"/>
    <w:pPr>
      <w:spacing w:before="0" w:line="20" w:lineRule="exact"/>
    </w:pPr>
  </w:style>
  <w:style w:type="paragraph" w:styleId="Header">
    <w:name w:val="header"/>
    <w:basedOn w:val="BodyText"/>
    <w:rsid w:val="00330B3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30B34"/>
    <w:pPr>
      <w:spacing w:line="20" w:lineRule="exact"/>
    </w:pPr>
    <w:rPr>
      <w:sz w:val="16"/>
    </w:rPr>
  </w:style>
  <w:style w:type="paragraph" w:customStyle="1" w:styleId="HeaderEven">
    <w:name w:val="Header Even"/>
    <w:basedOn w:val="Header"/>
    <w:semiHidden/>
    <w:rsid w:val="00330B34"/>
  </w:style>
  <w:style w:type="paragraph" w:customStyle="1" w:styleId="HeaderOdd">
    <w:name w:val="Header Odd"/>
    <w:basedOn w:val="Header"/>
    <w:semiHidden/>
    <w:rsid w:val="00330B34"/>
  </w:style>
  <w:style w:type="character" w:styleId="PageNumber">
    <w:name w:val="page number"/>
    <w:basedOn w:val="DefaultParagraphFont"/>
    <w:rsid w:val="00330B34"/>
    <w:rPr>
      <w:rFonts w:ascii="Arial" w:hAnsi="Arial"/>
      <w:b/>
      <w:sz w:val="16"/>
    </w:rPr>
  </w:style>
  <w:style w:type="paragraph" w:customStyle="1" w:styleId="Abbreviation">
    <w:name w:val="Abbreviation"/>
    <w:basedOn w:val="BodyText"/>
    <w:rsid w:val="00330B34"/>
    <w:pPr>
      <w:spacing w:before="120"/>
      <w:ind w:left="2381" w:hanging="2381"/>
      <w:jc w:val="left"/>
    </w:pPr>
  </w:style>
  <w:style w:type="paragraph" w:customStyle="1" w:styleId="Box">
    <w:name w:val="Box"/>
    <w:basedOn w:val="BodyText"/>
    <w:qFormat/>
    <w:rsid w:val="00330B34"/>
    <w:pPr>
      <w:keepNext/>
      <w:spacing w:before="120" w:line="280" w:lineRule="atLeast"/>
    </w:pPr>
    <w:rPr>
      <w:rFonts w:ascii="Arial" w:hAnsi="Arial"/>
      <w:sz w:val="22"/>
    </w:rPr>
  </w:style>
  <w:style w:type="paragraph" w:customStyle="1" w:styleId="BoxContinued">
    <w:name w:val="Box Continued"/>
    <w:basedOn w:val="BodyText"/>
    <w:next w:val="BodyText"/>
    <w:semiHidden/>
    <w:rsid w:val="00330B34"/>
    <w:pPr>
      <w:spacing w:before="180" w:line="220" w:lineRule="exact"/>
      <w:jc w:val="right"/>
    </w:pPr>
    <w:rPr>
      <w:rFonts w:ascii="Arial" w:hAnsi="Arial"/>
      <w:sz w:val="18"/>
    </w:rPr>
  </w:style>
  <w:style w:type="paragraph" w:customStyle="1" w:styleId="BoxHeading1">
    <w:name w:val="Box Heading 1"/>
    <w:basedOn w:val="BodyText"/>
    <w:next w:val="Box"/>
    <w:rsid w:val="00330B34"/>
    <w:pPr>
      <w:keepNext/>
      <w:spacing w:before="200" w:line="280" w:lineRule="atLeast"/>
    </w:pPr>
    <w:rPr>
      <w:rFonts w:ascii="Arial" w:hAnsi="Arial"/>
      <w:b/>
      <w:sz w:val="22"/>
    </w:rPr>
  </w:style>
  <w:style w:type="paragraph" w:customStyle="1" w:styleId="BoxHeading2">
    <w:name w:val="Box Heading 2"/>
    <w:basedOn w:val="BoxHeading1"/>
    <w:next w:val="Normal"/>
    <w:rsid w:val="00330B34"/>
    <w:rPr>
      <w:b w:val="0"/>
      <w:i/>
    </w:rPr>
  </w:style>
  <w:style w:type="paragraph" w:customStyle="1" w:styleId="BoxListBullet">
    <w:name w:val="Box List Bullet"/>
    <w:basedOn w:val="BodyText"/>
    <w:rsid w:val="00330B34"/>
    <w:pPr>
      <w:keepNext/>
      <w:numPr>
        <w:numId w:val="1"/>
      </w:numPr>
      <w:spacing w:before="60" w:line="280" w:lineRule="atLeast"/>
    </w:pPr>
    <w:rPr>
      <w:rFonts w:ascii="Arial" w:hAnsi="Arial"/>
      <w:sz w:val="22"/>
    </w:rPr>
  </w:style>
  <w:style w:type="paragraph" w:customStyle="1" w:styleId="BoxListBullet2">
    <w:name w:val="Box List Bullet 2"/>
    <w:basedOn w:val="BodyText"/>
    <w:rsid w:val="00330B34"/>
    <w:pPr>
      <w:keepNext/>
      <w:numPr>
        <w:numId w:val="2"/>
      </w:numPr>
      <w:spacing w:before="60" w:line="280" w:lineRule="atLeast"/>
    </w:pPr>
    <w:rPr>
      <w:rFonts w:ascii="Arial" w:hAnsi="Arial"/>
      <w:sz w:val="22"/>
    </w:rPr>
  </w:style>
  <w:style w:type="paragraph" w:customStyle="1" w:styleId="BoxListNumber">
    <w:name w:val="Box List Number"/>
    <w:basedOn w:val="BodyText"/>
    <w:rsid w:val="00330B34"/>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330B34"/>
    <w:pPr>
      <w:numPr>
        <w:ilvl w:val="1"/>
      </w:numPr>
    </w:pPr>
  </w:style>
  <w:style w:type="paragraph" w:customStyle="1" w:styleId="BoxQuote">
    <w:name w:val="Box Quote"/>
    <w:basedOn w:val="BodyText"/>
    <w:next w:val="Box"/>
    <w:rsid w:val="00330B34"/>
    <w:pPr>
      <w:keepNext/>
      <w:spacing w:before="60" w:line="260" w:lineRule="exact"/>
      <w:ind w:left="284"/>
    </w:pPr>
    <w:rPr>
      <w:rFonts w:ascii="Arial" w:hAnsi="Arial"/>
      <w:sz w:val="20"/>
    </w:rPr>
  </w:style>
  <w:style w:type="paragraph" w:customStyle="1" w:styleId="Note">
    <w:name w:val="Note"/>
    <w:basedOn w:val="BodyText"/>
    <w:next w:val="BodyText"/>
    <w:rsid w:val="00330B34"/>
    <w:pPr>
      <w:keepLines/>
      <w:spacing w:before="80" w:line="220" w:lineRule="exact"/>
    </w:pPr>
    <w:rPr>
      <w:rFonts w:ascii="Arial" w:hAnsi="Arial"/>
      <w:sz w:val="18"/>
    </w:rPr>
  </w:style>
  <w:style w:type="paragraph" w:customStyle="1" w:styleId="Source">
    <w:name w:val="Source"/>
    <w:basedOn w:val="Note"/>
    <w:next w:val="BodyText"/>
    <w:rsid w:val="00330B34"/>
    <w:pPr>
      <w:spacing w:after="120"/>
    </w:pPr>
  </w:style>
  <w:style w:type="paragraph" w:customStyle="1" w:styleId="BoxSource">
    <w:name w:val="Box Source"/>
    <w:basedOn w:val="Source"/>
    <w:next w:val="BodyText"/>
    <w:rsid w:val="00330B34"/>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30B3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30B34"/>
    <w:pPr>
      <w:spacing w:before="120" w:after="0"/>
      <w:ind w:left="1304" w:hanging="1304"/>
    </w:pPr>
    <w:rPr>
      <w:sz w:val="24"/>
    </w:rPr>
  </w:style>
  <w:style w:type="paragraph" w:customStyle="1" w:styleId="BoxSubtitle">
    <w:name w:val="Box Subtitle"/>
    <w:basedOn w:val="BoxTitle"/>
    <w:next w:val="Normal"/>
    <w:rsid w:val="00330B34"/>
    <w:pPr>
      <w:spacing w:after="80" w:line="200" w:lineRule="exact"/>
      <w:ind w:firstLine="0"/>
    </w:pPr>
    <w:rPr>
      <w:b w:val="0"/>
      <w:sz w:val="20"/>
    </w:rPr>
  </w:style>
  <w:style w:type="paragraph" w:customStyle="1" w:styleId="Chapter">
    <w:name w:val="Chapter"/>
    <w:basedOn w:val="Heading1"/>
    <w:next w:val="BodyText"/>
    <w:semiHidden/>
    <w:rsid w:val="00330B34"/>
    <w:pPr>
      <w:ind w:left="0" w:firstLine="0"/>
      <w:outlineLvl w:val="9"/>
    </w:pPr>
  </w:style>
  <w:style w:type="paragraph" w:customStyle="1" w:styleId="ChapterSummary">
    <w:name w:val="Chapter Summary"/>
    <w:basedOn w:val="BodyText"/>
    <w:rsid w:val="00330B34"/>
    <w:pPr>
      <w:ind w:left="907"/>
    </w:pPr>
    <w:rPr>
      <w:rFonts w:ascii="Arial" w:hAnsi="Arial"/>
      <w:b/>
      <w:sz w:val="22"/>
    </w:rPr>
  </w:style>
  <w:style w:type="character" w:styleId="CommentReference">
    <w:name w:val="annotation reference"/>
    <w:basedOn w:val="DefaultParagraphFont"/>
    <w:semiHidden/>
    <w:rsid w:val="00330B34"/>
    <w:rPr>
      <w:b/>
      <w:vanish/>
      <w:color w:val="FF00FF"/>
      <w:sz w:val="20"/>
    </w:rPr>
  </w:style>
  <w:style w:type="paragraph" w:styleId="CommentText">
    <w:name w:val="annotation text"/>
    <w:basedOn w:val="Normal"/>
    <w:semiHidden/>
    <w:rsid w:val="00330B34"/>
    <w:pPr>
      <w:spacing w:before="120" w:line="240" w:lineRule="atLeast"/>
      <w:ind w:left="567" w:hanging="567"/>
    </w:pPr>
    <w:rPr>
      <w:sz w:val="20"/>
    </w:rPr>
  </w:style>
  <w:style w:type="paragraph" w:customStyle="1" w:styleId="Continued">
    <w:name w:val="Continued"/>
    <w:basedOn w:val="BoxContinued"/>
    <w:next w:val="BodyText"/>
    <w:rsid w:val="00330B34"/>
  </w:style>
  <w:style w:type="character" w:customStyle="1" w:styleId="DocumentInfo">
    <w:name w:val="Document Info"/>
    <w:basedOn w:val="DefaultParagraphFont"/>
    <w:semiHidden/>
    <w:rsid w:val="00330B34"/>
    <w:rPr>
      <w:rFonts w:ascii="Arial" w:hAnsi="Arial"/>
      <w:sz w:val="14"/>
    </w:rPr>
  </w:style>
  <w:style w:type="character" w:customStyle="1" w:styleId="DraftingNote">
    <w:name w:val="Drafting Note"/>
    <w:basedOn w:val="DefaultParagraphFont"/>
    <w:rsid w:val="00330B34"/>
    <w:rPr>
      <w:b/>
      <w:color w:val="FF0000"/>
      <w:sz w:val="24"/>
      <w:u w:val="dotted"/>
    </w:rPr>
  </w:style>
  <w:style w:type="paragraph" w:customStyle="1" w:styleId="Figure">
    <w:name w:val="Figure"/>
    <w:basedOn w:val="BodyText"/>
    <w:rsid w:val="00330B34"/>
    <w:pPr>
      <w:keepNext/>
      <w:spacing w:before="120" w:after="120" w:line="240" w:lineRule="atLeast"/>
      <w:jc w:val="center"/>
    </w:pPr>
  </w:style>
  <w:style w:type="paragraph" w:customStyle="1" w:styleId="FigureTitle">
    <w:name w:val="Figure Title"/>
    <w:basedOn w:val="Caption"/>
    <w:next w:val="Subtitle"/>
    <w:rsid w:val="00330B34"/>
    <w:rPr>
      <w:sz w:val="24"/>
    </w:rPr>
  </w:style>
  <w:style w:type="paragraph" w:styleId="Subtitle">
    <w:name w:val="Subtitle"/>
    <w:basedOn w:val="Caption"/>
    <w:link w:val="SubtitleChar"/>
    <w:rsid w:val="00330B34"/>
    <w:pPr>
      <w:spacing w:before="0" w:line="200" w:lineRule="exact"/>
      <w:ind w:firstLine="0"/>
    </w:pPr>
    <w:rPr>
      <w:b w:val="0"/>
      <w:sz w:val="20"/>
    </w:rPr>
  </w:style>
  <w:style w:type="paragraph" w:customStyle="1" w:styleId="Finding">
    <w:name w:val="Finding"/>
    <w:basedOn w:val="BodyText"/>
    <w:rsid w:val="00330B34"/>
    <w:pPr>
      <w:keepLines/>
      <w:spacing w:before="180"/>
    </w:pPr>
    <w:rPr>
      <w:i/>
    </w:rPr>
  </w:style>
  <w:style w:type="paragraph" w:customStyle="1" w:styleId="FindingBullet">
    <w:name w:val="Finding Bullet"/>
    <w:basedOn w:val="Finding"/>
    <w:rsid w:val="00330B34"/>
    <w:pPr>
      <w:numPr>
        <w:numId w:val="3"/>
      </w:numPr>
      <w:spacing w:before="80"/>
    </w:pPr>
  </w:style>
  <w:style w:type="paragraph" w:customStyle="1" w:styleId="FindingNoTitle">
    <w:name w:val="Finding NoTitle"/>
    <w:basedOn w:val="Finding"/>
    <w:rsid w:val="00330B34"/>
    <w:pPr>
      <w:spacing w:before="240"/>
    </w:pPr>
  </w:style>
  <w:style w:type="paragraph" w:customStyle="1" w:styleId="RecTitle">
    <w:name w:val="Rec Title"/>
    <w:basedOn w:val="BodyText"/>
    <w:next w:val="Normal"/>
    <w:rsid w:val="00330B34"/>
    <w:pPr>
      <w:keepNext/>
      <w:keepLines/>
    </w:pPr>
    <w:rPr>
      <w:caps/>
      <w:sz w:val="20"/>
    </w:rPr>
  </w:style>
  <w:style w:type="paragraph" w:customStyle="1" w:styleId="FindingTitle">
    <w:name w:val="Finding Title"/>
    <w:basedOn w:val="RecTitle"/>
    <w:next w:val="Finding"/>
    <w:rsid w:val="00330B34"/>
    <w:pPr>
      <w:framePr w:wrap="notBeside" w:hAnchor="text"/>
    </w:pPr>
  </w:style>
  <w:style w:type="character" w:styleId="FootnoteReference">
    <w:name w:val="footnote reference"/>
    <w:basedOn w:val="DefaultParagraphFont"/>
    <w:semiHidden/>
    <w:rsid w:val="00330B34"/>
    <w:rPr>
      <w:rFonts w:ascii="Times New Roman" w:hAnsi="Times New Roman"/>
      <w:position w:val="6"/>
      <w:sz w:val="22"/>
      <w:vertAlign w:val="baseline"/>
    </w:rPr>
  </w:style>
  <w:style w:type="paragraph" w:styleId="FootnoteText">
    <w:name w:val="footnote text"/>
    <w:basedOn w:val="BodyText"/>
    <w:rsid w:val="00330B34"/>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30B34"/>
    <w:pPr>
      <w:spacing w:before="360" w:after="120"/>
    </w:pPr>
    <w:rPr>
      <w:rFonts w:ascii="Arial" w:hAnsi="Arial"/>
      <w:sz w:val="24"/>
    </w:rPr>
  </w:style>
  <w:style w:type="paragraph" w:customStyle="1" w:styleId="Jurisdictioncommentsbodytext">
    <w:name w:val="Jurisdiction comments body text"/>
    <w:rsid w:val="00330B34"/>
    <w:pPr>
      <w:spacing w:after="140"/>
      <w:jc w:val="both"/>
    </w:pPr>
    <w:rPr>
      <w:rFonts w:ascii="Arial" w:hAnsi="Arial"/>
      <w:sz w:val="24"/>
      <w:lang w:eastAsia="en-US"/>
    </w:rPr>
  </w:style>
  <w:style w:type="paragraph" w:customStyle="1" w:styleId="Jurisdictioncommentsheading">
    <w:name w:val="Jurisdiction comments heading"/>
    <w:rsid w:val="00330B3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30B34"/>
    <w:pPr>
      <w:numPr>
        <w:numId w:val="4"/>
      </w:numPr>
      <w:spacing w:after="140"/>
      <w:jc w:val="both"/>
    </w:pPr>
    <w:rPr>
      <w:rFonts w:ascii="Arial" w:hAnsi="Arial"/>
      <w:sz w:val="24"/>
      <w:lang w:eastAsia="en-US"/>
    </w:rPr>
  </w:style>
  <w:style w:type="paragraph" w:styleId="ListBullet">
    <w:name w:val="List Bullet"/>
    <w:basedOn w:val="BodyText"/>
    <w:rsid w:val="00330B34"/>
    <w:pPr>
      <w:numPr>
        <w:numId w:val="6"/>
      </w:numPr>
      <w:spacing w:before="120"/>
    </w:pPr>
  </w:style>
  <w:style w:type="paragraph" w:styleId="ListBullet2">
    <w:name w:val="List Bullet 2"/>
    <w:basedOn w:val="BodyText"/>
    <w:rsid w:val="00330B34"/>
    <w:pPr>
      <w:numPr>
        <w:numId w:val="8"/>
      </w:numPr>
      <w:spacing w:before="120"/>
    </w:pPr>
  </w:style>
  <w:style w:type="paragraph" w:styleId="ListBullet3">
    <w:name w:val="List Bullet 3"/>
    <w:basedOn w:val="BodyText"/>
    <w:rsid w:val="00330B34"/>
    <w:pPr>
      <w:numPr>
        <w:numId w:val="10"/>
      </w:numPr>
      <w:spacing w:before="120"/>
    </w:pPr>
  </w:style>
  <w:style w:type="paragraph" w:styleId="ListNumber">
    <w:name w:val="List Number"/>
    <w:basedOn w:val="BodyText"/>
    <w:rsid w:val="00330B34"/>
    <w:pPr>
      <w:numPr>
        <w:numId w:val="32"/>
      </w:numPr>
      <w:spacing w:before="120"/>
    </w:pPr>
  </w:style>
  <w:style w:type="paragraph" w:styleId="ListNumber2">
    <w:name w:val="List Number 2"/>
    <w:basedOn w:val="ListNumber"/>
    <w:rsid w:val="00330B34"/>
    <w:pPr>
      <w:numPr>
        <w:ilvl w:val="1"/>
      </w:numPr>
    </w:pPr>
  </w:style>
  <w:style w:type="paragraph" w:styleId="ListNumber3">
    <w:name w:val="List Number 3"/>
    <w:basedOn w:val="ListNumber2"/>
    <w:rsid w:val="00330B34"/>
    <w:pPr>
      <w:numPr>
        <w:ilvl w:val="2"/>
      </w:numPr>
    </w:pPr>
  </w:style>
  <w:style w:type="character" w:customStyle="1" w:styleId="NoteLabel">
    <w:name w:val="Note Label"/>
    <w:basedOn w:val="DefaultParagraphFont"/>
    <w:rsid w:val="00330B34"/>
    <w:rPr>
      <w:rFonts w:ascii="Arial" w:hAnsi="Arial"/>
      <w:b/>
      <w:position w:val="6"/>
      <w:sz w:val="18"/>
    </w:rPr>
  </w:style>
  <w:style w:type="paragraph" w:customStyle="1" w:styleId="PartDivider">
    <w:name w:val="Part Divider"/>
    <w:basedOn w:val="BodyText"/>
    <w:next w:val="BodyText"/>
    <w:semiHidden/>
    <w:rsid w:val="00330B34"/>
    <w:pPr>
      <w:spacing w:before="0" w:line="40" w:lineRule="exact"/>
      <w:jc w:val="right"/>
    </w:pPr>
    <w:rPr>
      <w:smallCaps/>
      <w:sz w:val="16"/>
    </w:rPr>
  </w:style>
  <w:style w:type="paragraph" w:customStyle="1" w:styleId="PartNumber">
    <w:name w:val="Part Number"/>
    <w:basedOn w:val="BodyText"/>
    <w:next w:val="BodyText"/>
    <w:semiHidden/>
    <w:rsid w:val="00330B34"/>
    <w:pPr>
      <w:spacing w:before="4000" w:line="320" w:lineRule="exact"/>
      <w:ind w:left="6634"/>
      <w:jc w:val="right"/>
    </w:pPr>
    <w:rPr>
      <w:smallCaps/>
      <w:spacing w:val="60"/>
      <w:sz w:val="32"/>
    </w:rPr>
  </w:style>
  <w:style w:type="paragraph" w:customStyle="1" w:styleId="PartTitle">
    <w:name w:val="Part Title"/>
    <w:basedOn w:val="BodyText"/>
    <w:semiHidden/>
    <w:rsid w:val="00330B34"/>
    <w:pPr>
      <w:spacing w:before="160" w:after="1360" w:line="520" w:lineRule="exact"/>
      <w:ind w:right="2381"/>
      <w:jc w:val="right"/>
    </w:pPr>
    <w:rPr>
      <w:smallCaps/>
      <w:sz w:val="52"/>
    </w:rPr>
  </w:style>
  <w:style w:type="paragraph" w:styleId="Quote">
    <w:name w:val="Quote"/>
    <w:basedOn w:val="BodyText"/>
    <w:next w:val="BodyText"/>
    <w:qFormat/>
    <w:rsid w:val="00330B34"/>
    <w:pPr>
      <w:spacing w:before="120" w:line="280" w:lineRule="exact"/>
      <w:ind w:left="340"/>
    </w:pPr>
    <w:rPr>
      <w:sz w:val="24"/>
    </w:rPr>
  </w:style>
  <w:style w:type="paragraph" w:customStyle="1" w:styleId="QuoteBullet">
    <w:name w:val="Quote Bullet"/>
    <w:basedOn w:val="Quote"/>
    <w:rsid w:val="00330B34"/>
    <w:pPr>
      <w:numPr>
        <w:numId w:val="14"/>
      </w:numPr>
    </w:pPr>
  </w:style>
  <w:style w:type="paragraph" w:customStyle="1" w:styleId="Rec">
    <w:name w:val="Rec"/>
    <w:basedOn w:val="BodyText"/>
    <w:rsid w:val="00330B34"/>
    <w:pPr>
      <w:keepLines/>
      <w:spacing w:before="180"/>
    </w:pPr>
    <w:rPr>
      <w:b/>
      <w:i/>
    </w:rPr>
  </w:style>
  <w:style w:type="paragraph" w:customStyle="1" w:styleId="RecBullet">
    <w:name w:val="Rec Bullet"/>
    <w:basedOn w:val="Rec"/>
    <w:rsid w:val="00330B34"/>
    <w:pPr>
      <w:numPr>
        <w:numId w:val="15"/>
      </w:numPr>
      <w:spacing w:before="80"/>
    </w:pPr>
  </w:style>
  <w:style w:type="paragraph" w:customStyle="1" w:styleId="RecB">
    <w:name w:val="RecB"/>
    <w:basedOn w:val="Normal"/>
    <w:rsid w:val="00330B3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30B34"/>
    <w:pPr>
      <w:numPr>
        <w:numId w:val="16"/>
      </w:numPr>
      <w:spacing w:before="80"/>
    </w:pPr>
  </w:style>
  <w:style w:type="paragraph" w:customStyle="1" w:styleId="RecBNoTitle">
    <w:name w:val="RecB NoTitle"/>
    <w:basedOn w:val="RecB"/>
    <w:rsid w:val="00330B34"/>
    <w:pPr>
      <w:spacing w:before="240"/>
    </w:pPr>
  </w:style>
  <w:style w:type="paragraph" w:customStyle="1" w:styleId="Reference">
    <w:name w:val="Reference"/>
    <w:basedOn w:val="BodyText"/>
    <w:rsid w:val="00330B34"/>
    <w:pPr>
      <w:spacing w:before="120"/>
      <w:ind w:left="340" w:hanging="340"/>
    </w:pPr>
  </w:style>
  <w:style w:type="paragraph" w:customStyle="1" w:styleId="SequenceInfo">
    <w:name w:val="Sequence Info"/>
    <w:basedOn w:val="BodyText"/>
    <w:semiHidden/>
    <w:rsid w:val="00330B34"/>
    <w:rPr>
      <w:vanish/>
      <w:sz w:val="16"/>
    </w:rPr>
  </w:style>
  <w:style w:type="paragraph" w:customStyle="1" w:styleId="SideNote">
    <w:name w:val="Side Note"/>
    <w:basedOn w:val="BodyText"/>
    <w:next w:val="BodyText"/>
    <w:semiHidden/>
    <w:rsid w:val="00330B3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30B34"/>
    <w:pPr>
      <w:framePr w:wrap="around"/>
      <w:numPr>
        <w:numId w:val="17"/>
      </w:numPr>
      <w:tabs>
        <w:tab w:val="left" w:pos="227"/>
      </w:tabs>
    </w:pPr>
  </w:style>
  <w:style w:type="paragraph" w:customStyle="1" w:styleId="SideNoteGraphic">
    <w:name w:val="Side Note Graphic"/>
    <w:basedOn w:val="SideNote"/>
    <w:next w:val="BodyText"/>
    <w:semiHidden/>
    <w:rsid w:val="00330B34"/>
    <w:pPr>
      <w:framePr w:wrap="around"/>
    </w:pPr>
  </w:style>
  <w:style w:type="paragraph" w:customStyle="1" w:styleId="TableBodyText">
    <w:name w:val="Table Body Text"/>
    <w:basedOn w:val="BodyText"/>
    <w:rsid w:val="00330B3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30B34"/>
    <w:pPr>
      <w:numPr>
        <w:numId w:val="18"/>
      </w:numPr>
      <w:jc w:val="left"/>
    </w:pPr>
  </w:style>
  <w:style w:type="paragraph" w:customStyle="1" w:styleId="TableColumnHeading">
    <w:name w:val="Table Column Heading"/>
    <w:basedOn w:val="TableBodyText"/>
    <w:rsid w:val="00330B34"/>
    <w:pPr>
      <w:spacing w:before="80" w:after="80"/>
    </w:pPr>
    <w:rPr>
      <w:i/>
    </w:rPr>
  </w:style>
  <w:style w:type="paragraph" w:styleId="TOC2">
    <w:name w:val="toc 2"/>
    <w:basedOn w:val="BodyText"/>
    <w:semiHidden/>
    <w:rsid w:val="00330B34"/>
    <w:pPr>
      <w:tabs>
        <w:tab w:val="right" w:pos="8789"/>
      </w:tabs>
      <w:ind w:left="510" w:right="851" w:hanging="510"/>
      <w:jc w:val="left"/>
    </w:pPr>
    <w:rPr>
      <w:b/>
    </w:rPr>
  </w:style>
  <w:style w:type="paragraph" w:styleId="TOC3">
    <w:name w:val="toc 3"/>
    <w:basedOn w:val="TOC2"/>
    <w:semiHidden/>
    <w:rsid w:val="00330B34"/>
    <w:pPr>
      <w:spacing w:before="60"/>
      <w:ind w:left="1190" w:hanging="680"/>
    </w:pPr>
    <w:rPr>
      <w:b w:val="0"/>
    </w:rPr>
  </w:style>
  <w:style w:type="paragraph" w:styleId="TableofFigures">
    <w:name w:val="table of figures"/>
    <w:basedOn w:val="TOC3"/>
    <w:next w:val="BodyText"/>
    <w:semiHidden/>
    <w:rsid w:val="00330B34"/>
    <w:pPr>
      <w:ind w:left="737" w:hanging="737"/>
    </w:pPr>
  </w:style>
  <w:style w:type="paragraph" w:customStyle="1" w:styleId="TableTitle">
    <w:name w:val="Table Title"/>
    <w:basedOn w:val="Caption"/>
    <w:next w:val="Subtitle"/>
    <w:rsid w:val="00330B34"/>
    <w:rPr>
      <w:sz w:val="24"/>
    </w:rPr>
  </w:style>
  <w:style w:type="paragraph" w:customStyle="1" w:styleId="TableUnitsRow">
    <w:name w:val="Table Units Row"/>
    <w:basedOn w:val="TableBodyText"/>
    <w:rsid w:val="00330B34"/>
    <w:pPr>
      <w:spacing w:before="80" w:after="80"/>
    </w:pPr>
  </w:style>
  <w:style w:type="paragraph" w:styleId="TOC1">
    <w:name w:val="toc 1"/>
    <w:basedOn w:val="Normal"/>
    <w:next w:val="TOC2"/>
    <w:semiHidden/>
    <w:rsid w:val="00330B34"/>
    <w:pPr>
      <w:tabs>
        <w:tab w:val="right" w:pos="8789"/>
      </w:tabs>
      <w:spacing w:before="480" w:after="60" w:line="320" w:lineRule="exact"/>
      <w:ind w:left="1191" w:right="851" w:hanging="1191"/>
    </w:pPr>
    <w:rPr>
      <w:b/>
      <w:caps/>
    </w:rPr>
  </w:style>
  <w:style w:type="paragraph" w:styleId="TOC4">
    <w:name w:val="toc 4"/>
    <w:basedOn w:val="TOC3"/>
    <w:semiHidden/>
    <w:rsid w:val="00330B34"/>
    <w:pPr>
      <w:ind w:left="1191" w:firstLine="0"/>
    </w:pPr>
  </w:style>
  <w:style w:type="paragraph" w:customStyle="1" w:styleId="RecBBullet2">
    <w:name w:val="RecB Bullet 2"/>
    <w:basedOn w:val="ListBullet2"/>
    <w:rsid w:val="00330B34"/>
    <w:pPr>
      <w:pBdr>
        <w:left w:val="single" w:sz="24" w:space="29" w:color="C0C0C0"/>
      </w:pBdr>
    </w:pPr>
    <w:rPr>
      <w:b/>
      <w:i/>
    </w:rPr>
  </w:style>
  <w:style w:type="paragraph" w:styleId="BalloonText">
    <w:name w:val="Balloon Text"/>
    <w:basedOn w:val="Normal"/>
    <w:link w:val="BalloonTextChar"/>
    <w:rsid w:val="00330B34"/>
    <w:rPr>
      <w:rFonts w:ascii="Tahoma" w:hAnsi="Tahoma" w:cs="Tahoma"/>
      <w:sz w:val="16"/>
      <w:szCs w:val="16"/>
    </w:rPr>
  </w:style>
  <w:style w:type="character" w:customStyle="1" w:styleId="BalloonTextChar">
    <w:name w:val="Balloon Text Char"/>
    <w:basedOn w:val="DefaultParagraphFont"/>
    <w:link w:val="BalloonText"/>
    <w:rsid w:val="00330B34"/>
    <w:rPr>
      <w:rFonts w:ascii="Tahoma" w:hAnsi="Tahoma" w:cs="Tahoma"/>
      <w:sz w:val="16"/>
      <w:szCs w:val="16"/>
    </w:rPr>
  </w:style>
  <w:style w:type="character" w:customStyle="1" w:styleId="SubtitleChar">
    <w:name w:val="Subtitle Char"/>
    <w:basedOn w:val="DefaultParagraphFont"/>
    <w:link w:val="Subtitle"/>
    <w:rsid w:val="00330B34"/>
    <w:rPr>
      <w:rFonts w:ascii="Arial" w:hAnsi="Arial"/>
      <w:szCs w:val="24"/>
    </w:rPr>
  </w:style>
  <w:style w:type="paragraph" w:customStyle="1" w:styleId="BoxListBullet3">
    <w:name w:val="Box List Bullet 3"/>
    <w:basedOn w:val="ListBullet3"/>
    <w:rsid w:val="00330B34"/>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30B34"/>
    <w:rPr>
      <w:i/>
      <w:iCs/>
    </w:rPr>
  </w:style>
  <w:style w:type="paragraph" w:customStyle="1" w:styleId="BoxSpaceAbove">
    <w:name w:val="Box Space Above"/>
    <w:basedOn w:val="BodyText"/>
    <w:rsid w:val="00330B34"/>
    <w:pPr>
      <w:keepNext/>
      <w:spacing w:before="360" w:line="80" w:lineRule="exact"/>
      <w:jc w:val="left"/>
    </w:pPr>
  </w:style>
  <w:style w:type="paragraph" w:customStyle="1" w:styleId="BoxQuoteBullet">
    <w:name w:val="Box Quote Bullet"/>
    <w:basedOn w:val="BoxQuote"/>
    <w:next w:val="Box"/>
    <w:rsid w:val="00330B34"/>
    <w:pPr>
      <w:numPr>
        <w:numId w:val="47"/>
      </w:numPr>
      <w:ind w:left="568" w:hanging="284"/>
    </w:pPr>
  </w:style>
  <w:style w:type="paragraph" w:customStyle="1" w:styleId="InformationRequestBullet">
    <w:name w:val="Information Request Bullet"/>
    <w:basedOn w:val="ListBullet"/>
    <w:next w:val="BodyText"/>
    <w:rsid w:val="00330B34"/>
    <w:pPr>
      <w:numPr>
        <w:numId w:val="48"/>
      </w:numPr>
      <w:ind w:left="340" w:hanging="340"/>
    </w:pPr>
    <w:rPr>
      <w:rFonts w:ascii="Arial" w:hAnsi="Arial"/>
      <w:i/>
      <w:sz w:val="24"/>
    </w:rPr>
  </w:style>
  <w:style w:type="paragraph" w:customStyle="1" w:styleId="BoxSpaceBelow">
    <w:name w:val="Box Space Below"/>
    <w:basedOn w:val="Box"/>
    <w:rsid w:val="00330B3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F89B3-2D61-4A73-93D8-288ED6FC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TotalTime>
  <Pages>14</Pages>
  <Words>5632</Words>
  <Characters>30948</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Industry Assistance in a 'Patchwork Economy'</vt:lpstr>
    </vt:vector>
  </TitlesOfParts>
  <Company>Productivity Commission</Company>
  <LinksUpToDate>false</LinksUpToDate>
  <CharactersWithSpaces>36507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Industry Assistance in a 'Patchwork Economy'</dc:title>
  <dc:creator>Gary Banks - Chairman - Productivity Commission</dc:creator>
  <cp:lastModifiedBy>Cross, Michelle</cp:lastModifiedBy>
  <cp:revision>4</cp:revision>
  <cp:lastPrinted>2011-11-23T22:33:00Z</cp:lastPrinted>
  <dcterms:created xsi:type="dcterms:W3CDTF">2012-11-12T20:52:00Z</dcterms:created>
  <dcterms:modified xsi:type="dcterms:W3CDTF">2012-11-13T00:19:00Z</dcterms:modified>
</cp:coreProperties>
</file>