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817865" w:rsidP="007268BC">
      <w:pPr>
        <w:pStyle w:val="Heading2"/>
      </w:pPr>
      <w:bookmarkStart w:id="0" w:name="_GoBack"/>
      <w:bookmarkEnd w:id="0"/>
      <w:r>
        <w:t>Whither trans</w:t>
      </w:r>
      <w:r>
        <w:noBreakHyphen/>
        <w:t xml:space="preserve">Tasman </w:t>
      </w:r>
      <w:r w:rsidR="00A335C5">
        <w:t xml:space="preserve">economic </w:t>
      </w:r>
      <w:r>
        <w:t>relations</w:t>
      </w:r>
      <w:r w:rsidR="00095769">
        <w:t>?</w:t>
      </w:r>
      <w:r w:rsidR="00815F1B" w:rsidRPr="00815F1B">
        <w:t xml:space="preserve"> </w:t>
      </w:r>
      <w:r w:rsidR="009D55E0">
        <w:t xml:space="preserve">Some </w:t>
      </w:r>
      <w:r>
        <w:t>e</w:t>
      </w:r>
      <w:r w:rsidR="00815F1B" w:rsidRPr="00815F1B">
        <w:t xml:space="preserve">merging </w:t>
      </w:r>
      <w:r>
        <w:t>themes</w:t>
      </w:r>
    </w:p>
    <w:p w:rsidR="00A9078E" w:rsidRPr="00A9078E" w:rsidRDefault="00A9078E" w:rsidP="00A9078E">
      <w:pPr>
        <w:pStyle w:val="BodyText"/>
        <w:rPr>
          <w:i/>
          <w:sz w:val="22"/>
          <w:szCs w:val="22"/>
        </w:rPr>
      </w:pPr>
      <w:r w:rsidRPr="00A9078E">
        <w:rPr>
          <w:i/>
        </w:rPr>
        <w:t xml:space="preserve">This paper was presented by Gary Banks to </w:t>
      </w:r>
      <w:proofErr w:type="spellStart"/>
      <w:r w:rsidRPr="00A9078E">
        <w:rPr>
          <w:i/>
        </w:rPr>
        <w:t>CEDA’s</w:t>
      </w:r>
      <w:proofErr w:type="spellEnd"/>
      <w:r w:rsidRPr="00A9078E">
        <w:rPr>
          <w:i/>
        </w:rPr>
        <w:t xml:space="preserve"> State of the Nation Conference in Canberra on 18 June. It was prepared as part of the joint study by the Australian and New Zealand Productivity Commissions on ‘Strengthening economic relations between Australia and New Zealand.</w:t>
      </w:r>
      <w:r w:rsidR="00095769">
        <w:rPr>
          <w:i/>
        </w:rPr>
        <w:t>’</w:t>
      </w:r>
    </w:p>
    <w:p w:rsidR="00F46337" w:rsidRDefault="00815F1B" w:rsidP="00815F1B">
      <w:pPr>
        <w:pStyle w:val="Heading2"/>
      </w:pPr>
      <w:bookmarkStart w:id="1" w:name="Begin"/>
      <w:bookmarkEnd w:id="1"/>
      <w:r>
        <w:t>Introduction</w:t>
      </w:r>
    </w:p>
    <w:p w:rsidR="00020B4A" w:rsidRDefault="00020B4A" w:rsidP="00020B4A">
      <w:pPr>
        <w:pStyle w:val="BodyText"/>
      </w:pPr>
      <w:r>
        <w:t>N</w:t>
      </w:r>
      <w:r w:rsidRPr="00020B4A">
        <w:t>ext year ma</w:t>
      </w:r>
      <w:r w:rsidR="005D71F3">
        <w:t xml:space="preserve">rks the 30th </w:t>
      </w:r>
      <w:r w:rsidRPr="00020B4A">
        <w:t>anniversary of the Closer Economic Relations (</w:t>
      </w:r>
      <w:proofErr w:type="spellStart"/>
      <w:r w:rsidRPr="00020B4A">
        <w:t>CER</w:t>
      </w:r>
      <w:proofErr w:type="spellEnd"/>
      <w:r w:rsidRPr="00020B4A">
        <w:t>) agreement between Australia and New Zealand.</w:t>
      </w:r>
      <w:r>
        <w:t xml:space="preserve"> Over that time, </w:t>
      </w:r>
      <w:r w:rsidR="00B04BB2">
        <w:t xml:space="preserve">our economic relations have become </w:t>
      </w:r>
      <w:r w:rsidR="00A335C5">
        <w:t xml:space="preserve">a lot </w:t>
      </w:r>
      <w:r w:rsidR="00B04BB2">
        <w:t>closer. T</w:t>
      </w:r>
      <w:r>
        <w:t xml:space="preserve">ariffs </w:t>
      </w:r>
      <w:r w:rsidR="00B04BB2">
        <w:t xml:space="preserve">on merchandise trade </w:t>
      </w:r>
      <w:r>
        <w:t xml:space="preserve">between the two countries have been all but eliminated. Many barriers to trade in services and </w:t>
      </w:r>
      <w:r w:rsidR="0019189E">
        <w:t xml:space="preserve">to </w:t>
      </w:r>
      <w:r>
        <w:t xml:space="preserve">the </w:t>
      </w:r>
      <w:r w:rsidR="0019189E">
        <w:t xml:space="preserve">flow </w:t>
      </w:r>
      <w:r>
        <w:t xml:space="preserve">of people and capital have </w:t>
      </w:r>
      <w:r w:rsidR="00A14E64">
        <w:t xml:space="preserve">also </w:t>
      </w:r>
      <w:r>
        <w:t>been removed. These changes have increased</w:t>
      </w:r>
      <w:r w:rsidR="00095769">
        <w:t xml:space="preserve"> trade, investment</w:t>
      </w:r>
      <w:r>
        <w:t xml:space="preserve"> </w:t>
      </w:r>
      <w:r w:rsidR="00B04BB2">
        <w:t xml:space="preserve">and people movements </w:t>
      </w:r>
      <w:r>
        <w:t>between Australia and New Zealand</w:t>
      </w:r>
      <w:r w:rsidR="004E001E">
        <w:t xml:space="preserve"> and yielded benefits for both countries</w:t>
      </w:r>
      <w:r w:rsidR="00ED22EA">
        <w:t>.</w:t>
      </w:r>
    </w:p>
    <w:p w:rsidR="00020B4A" w:rsidRDefault="008854EB" w:rsidP="00020B4A">
      <w:pPr>
        <w:pStyle w:val="BodyText"/>
      </w:pPr>
      <w:r>
        <w:t xml:space="preserve">But is there more that could usefully be done? </w:t>
      </w:r>
      <w:r w:rsidR="004E001E">
        <w:t xml:space="preserve">In March, </w:t>
      </w:r>
      <w:r>
        <w:t xml:space="preserve">Prime Ministers Gillard and Key asked the </w:t>
      </w:r>
      <w:r w:rsidRPr="008854EB">
        <w:t xml:space="preserve">Productivity Commissions of each country </w:t>
      </w:r>
      <w:r w:rsidR="00F748B8">
        <w:t>– the New Zealand on</w:t>
      </w:r>
      <w:r w:rsidR="00095769">
        <w:t>e</w:t>
      </w:r>
      <w:r w:rsidR="00F748B8">
        <w:t xml:space="preserve"> having been es</w:t>
      </w:r>
      <w:r w:rsidR="004E001E">
        <w:t>tablished just over a year ago –</w:t>
      </w:r>
      <w:r w:rsidR="00F748B8">
        <w:t xml:space="preserve"> </w:t>
      </w:r>
      <w:r>
        <w:t>to</w:t>
      </w:r>
      <w:r w:rsidRPr="008854EB">
        <w:t xml:space="preserve"> conduct a </w:t>
      </w:r>
      <w:r w:rsidR="00F748B8">
        <w:t>‘</w:t>
      </w:r>
      <w:r w:rsidRPr="008854EB">
        <w:t xml:space="preserve">joint </w:t>
      </w:r>
      <w:r w:rsidR="000D0A14">
        <w:t xml:space="preserve">scoping </w:t>
      </w:r>
      <w:r w:rsidRPr="008854EB">
        <w:t>study</w:t>
      </w:r>
      <w:r w:rsidR="00095769">
        <w:t>’</w:t>
      </w:r>
      <w:r w:rsidRPr="008854EB">
        <w:t xml:space="preserve"> </w:t>
      </w:r>
      <w:r>
        <w:t xml:space="preserve">to explore this question and </w:t>
      </w:r>
      <w:r w:rsidRPr="008854EB">
        <w:t xml:space="preserve">identify </w:t>
      </w:r>
      <w:r w:rsidR="00F748B8">
        <w:t>r</w:t>
      </w:r>
      <w:r w:rsidRPr="008854EB">
        <w:t xml:space="preserve">eforms that would </w:t>
      </w:r>
      <w:r w:rsidR="00F748B8">
        <w:t xml:space="preserve">further </w:t>
      </w:r>
      <w:r w:rsidRPr="008854EB">
        <w:t>enhance economic integration and improve economic outcomes for both countries</w:t>
      </w:r>
      <w:r w:rsidR="001F6BE0">
        <w:t xml:space="preserve">. </w:t>
      </w:r>
    </w:p>
    <w:p w:rsidR="000E2231" w:rsidRPr="00275B8A" w:rsidRDefault="00A9078E" w:rsidP="00275B8A">
      <w:pPr>
        <w:spacing w:before="240" w:line="320" w:lineRule="atLeast"/>
        <w:jc w:val="both"/>
        <w:rPr>
          <w:rFonts w:ascii="Arial" w:hAnsi="Arial"/>
          <w:color w:val="1C1C1C"/>
          <w:sz w:val="24"/>
          <w:szCs w:val="20"/>
        </w:rPr>
      </w:pPr>
      <w:r w:rsidRPr="00A9078E">
        <w:rPr>
          <w:rFonts w:ascii="Arial" w:hAnsi="Arial"/>
          <w:color w:val="1C1C1C"/>
          <w:sz w:val="24"/>
          <w:szCs w:val="20"/>
        </w:rPr>
        <w:t xml:space="preserve">We have now been at it for </w:t>
      </w:r>
      <w:r w:rsidR="00095769">
        <w:rPr>
          <w:rFonts w:ascii="Arial" w:hAnsi="Arial"/>
          <w:color w:val="1C1C1C"/>
          <w:sz w:val="24"/>
          <w:szCs w:val="20"/>
        </w:rPr>
        <w:t>nearly three months,</w:t>
      </w:r>
      <w:r w:rsidRPr="00A9078E">
        <w:rPr>
          <w:rFonts w:ascii="Arial" w:hAnsi="Arial"/>
          <w:color w:val="1C1C1C"/>
          <w:sz w:val="24"/>
          <w:szCs w:val="20"/>
        </w:rPr>
        <w:t xml:space="preserve"> and have undertaken </w:t>
      </w:r>
      <w:r w:rsidR="00095769">
        <w:rPr>
          <w:rFonts w:ascii="Arial" w:hAnsi="Arial"/>
          <w:color w:val="1C1C1C"/>
          <w:sz w:val="24"/>
          <w:szCs w:val="20"/>
        </w:rPr>
        <w:t>consultations</w:t>
      </w:r>
      <w:r w:rsidRPr="00A9078E">
        <w:rPr>
          <w:rFonts w:ascii="Arial" w:hAnsi="Arial"/>
          <w:color w:val="1C1C1C"/>
          <w:sz w:val="24"/>
          <w:szCs w:val="20"/>
        </w:rPr>
        <w:t xml:space="preserve"> with government, busines</w:t>
      </w:r>
      <w:r w:rsidR="00095769">
        <w:rPr>
          <w:rFonts w:ascii="Arial" w:hAnsi="Arial"/>
          <w:color w:val="1C1C1C"/>
          <w:sz w:val="24"/>
          <w:szCs w:val="20"/>
        </w:rPr>
        <w:t>s and community groups as well a</w:t>
      </w:r>
      <w:r w:rsidRPr="00A9078E">
        <w:rPr>
          <w:rFonts w:ascii="Arial" w:hAnsi="Arial"/>
          <w:color w:val="1C1C1C"/>
          <w:sz w:val="24"/>
          <w:szCs w:val="20"/>
        </w:rPr>
        <w:t>s receiving around 60 submissions.</w:t>
      </w:r>
      <w:r>
        <w:rPr>
          <w:rFonts w:ascii="Arial" w:hAnsi="Arial"/>
          <w:color w:val="1C1C1C"/>
          <w:sz w:val="24"/>
          <w:szCs w:val="20"/>
        </w:rPr>
        <w:t xml:space="preserve"> </w:t>
      </w:r>
      <w:r w:rsidR="0083771B" w:rsidRPr="00A9078E">
        <w:rPr>
          <w:rFonts w:ascii="Arial" w:hAnsi="Arial"/>
          <w:color w:val="1C1C1C"/>
          <w:sz w:val="24"/>
          <w:szCs w:val="20"/>
        </w:rPr>
        <w:t xml:space="preserve">A message from </w:t>
      </w:r>
      <w:r w:rsidR="00F748B8" w:rsidRPr="00A9078E">
        <w:rPr>
          <w:rFonts w:ascii="Arial" w:hAnsi="Arial"/>
          <w:color w:val="1C1C1C"/>
          <w:sz w:val="24"/>
          <w:szCs w:val="20"/>
        </w:rPr>
        <w:t xml:space="preserve">some of </w:t>
      </w:r>
      <w:r w:rsidR="0083771B" w:rsidRPr="00A9078E">
        <w:rPr>
          <w:rFonts w:ascii="Arial" w:hAnsi="Arial"/>
          <w:color w:val="1C1C1C"/>
          <w:sz w:val="24"/>
          <w:szCs w:val="20"/>
        </w:rPr>
        <w:t xml:space="preserve">our consultations is </w:t>
      </w:r>
      <w:r w:rsidR="000E2231" w:rsidRPr="00A9078E">
        <w:rPr>
          <w:rFonts w:ascii="Arial" w:hAnsi="Arial"/>
          <w:color w:val="1C1C1C"/>
          <w:sz w:val="24"/>
          <w:szCs w:val="20"/>
        </w:rPr>
        <w:t>that p</w:t>
      </w:r>
      <w:r w:rsidR="00A670E8" w:rsidRPr="00A9078E">
        <w:rPr>
          <w:rFonts w:ascii="Arial" w:hAnsi="Arial"/>
          <w:color w:val="1C1C1C"/>
          <w:sz w:val="24"/>
          <w:szCs w:val="20"/>
        </w:rPr>
        <w:t xml:space="preserve">rogress on integration </w:t>
      </w:r>
      <w:r w:rsidR="00F748B8" w:rsidRPr="00A9078E">
        <w:rPr>
          <w:rFonts w:ascii="Arial" w:hAnsi="Arial"/>
          <w:color w:val="1C1C1C"/>
          <w:sz w:val="24"/>
          <w:szCs w:val="20"/>
        </w:rPr>
        <w:t xml:space="preserve">seems to have </w:t>
      </w:r>
      <w:r w:rsidR="00A670E8" w:rsidRPr="00A9078E">
        <w:rPr>
          <w:rFonts w:ascii="Arial" w:hAnsi="Arial"/>
          <w:color w:val="1C1C1C"/>
          <w:sz w:val="24"/>
          <w:szCs w:val="20"/>
        </w:rPr>
        <w:t>lost momentum</w:t>
      </w:r>
      <w:r w:rsidR="00D53E82" w:rsidRPr="00A9078E">
        <w:rPr>
          <w:rFonts w:ascii="Arial" w:hAnsi="Arial"/>
          <w:color w:val="1C1C1C"/>
          <w:sz w:val="24"/>
          <w:szCs w:val="20"/>
        </w:rPr>
        <w:t xml:space="preserve">. </w:t>
      </w:r>
      <w:r w:rsidRPr="00275B8A">
        <w:rPr>
          <w:rFonts w:ascii="Arial" w:hAnsi="Arial"/>
          <w:color w:val="1C1C1C"/>
          <w:sz w:val="24"/>
          <w:szCs w:val="20"/>
        </w:rPr>
        <w:t xml:space="preserve">There is recognition that much has been achieved, but also indications that more could be. Our task is to assess this and </w:t>
      </w:r>
      <w:r w:rsidR="00095769" w:rsidRPr="00275B8A">
        <w:rPr>
          <w:rFonts w:ascii="Arial" w:hAnsi="Arial"/>
          <w:color w:val="1C1C1C"/>
          <w:sz w:val="24"/>
          <w:szCs w:val="20"/>
        </w:rPr>
        <w:t>make proposals</w:t>
      </w:r>
      <w:r w:rsidRPr="00275B8A">
        <w:rPr>
          <w:rFonts w:ascii="Arial" w:hAnsi="Arial"/>
          <w:color w:val="1C1C1C"/>
          <w:sz w:val="24"/>
          <w:szCs w:val="20"/>
        </w:rPr>
        <w:t xml:space="preserve"> for consideration by t</w:t>
      </w:r>
      <w:r w:rsidR="005A7FE9" w:rsidRPr="00A9078E">
        <w:rPr>
          <w:rFonts w:ascii="Arial" w:hAnsi="Arial"/>
          <w:color w:val="1C1C1C"/>
          <w:sz w:val="24"/>
          <w:szCs w:val="20"/>
        </w:rPr>
        <w:t xml:space="preserve">he </w:t>
      </w:r>
      <w:r w:rsidR="00095769">
        <w:rPr>
          <w:rFonts w:ascii="Arial" w:hAnsi="Arial"/>
          <w:color w:val="1C1C1C"/>
          <w:sz w:val="24"/>
          <w:szCs w:val="20"/>
        </w:rPr>
        <w:t xml:space="preserve">two </w:t>
      </w:r>
      <w:r w:rsidR="00D53E82" w:rsidRPr="00A9078E">
        <w:rPr>
          <w:rFonts w:ascii="Arial" w:hAnsi="Arial"/>
          <w:color w:val="1C1C1C"/>
          <w:sz w:val="24"/>
          <w:szCs w:val="20"/>
        </w:rPr>
        <w:t xml:space="preserve">Prime Ministers </w:t>
      </w:r>
      <w:r w:rsidR="00095769">
        <w:rPr>
          <w:rFonts w:ascii="Arial" w:hAnsi="Arial"/>
          <w:color w:val="1C1C1C"/>
          <w:sz w:val="24"/>
          <w:szCs w:val="20"/>
        </w:rPr>
        <w:t>at</w:t>
      </w:r>
      <w:r w:rsidR="00F748B8" w:rsidRPr="00A9078E">
        <w:rPr>
          <w:rFonts w:ascii="Arial" w:hAnsi="Arial"/>
          <w:color w:val="1C1C1C"/>
          <w:sz w:val="24"/>
          <w:szCs w:val="20"/>
        </w:rPr>
        <w:t xml:space="preserve"> their next meeting </w:t>
      </w:r>
      <w:r w:rsidR="00EF4AE2" w:rsidRPr="00A9078E">
        <w:rPr>
          <w:rFonts w:ascii="Arial" w:hAnsi="Arial"/>
          <w:color w:val="1C1C1C"/>
          <w:sz w:val="24"/>
          <w:szCs w:val="20"/>
        </w:rPr>
        <w:t>in early 2013</w:t>
      </w:r>
      <w:r w:rsidR="005A7FE9" w:rsidRPr="00A9078E">
        <w:rPr>
          <w:rFonts w:ascii="Arial" w:hAnsi="Arial"/>
          <w:color w:val="1C1C1C"/>
          <w:sz w:val="24"/>
          <w:szCs w:val="20"/>
        </w:rPr>
        <w:t>.</w:t>
      </w:r>
    </w:p>
    <w:p w:rsidR="001F6BE0" w:rsidRDefault="004E001E" w:rsidP="00020B4A">
      <w:pPr>
        <w:pStyle w:val="BodyText"/>
      </w:pPr>
      <w:r>
        <w:t>It should be acknowledged that e</w:t>
      </w:r>
      <w:r w:rsidR="001F6BE0">
        <w:t>conomic i</w:t>
      </w:r>
      <w:r w:rsidR="001F6BE0" w:rsidRPr="001F6BE0">
        <w:t xml:space="preserve">ntegration </w:t>
      </w:r>
      <w:r w:rsidR="005A7FE9">
        <w:t xml:space="preserve">has been getting a bad press of late, courtesy of the European debt crisis. </w:t>
      </w:r>
      <w:r w:rsidR="00A9078E" w:rsidRPr="00F810A0">
        <w:rPr>
          <w:rFonts w:cs="Arial"/>
          <w:szCs w:val="24"/>
        </w:rPr>
        <w:t>But it is important not to lose sight of the benefits that greater inte</w:t>
      </w:r>
      <w:r w:rsidR="00095769">
        <w:rPr>
          <w:rFonts w:cs="Arial"/>
          <w:szCs w:val="24"/>
        </w:rPr>
        <w:t>gration can bring</w:t>
      </w:r>
      <w:r w:rsidR="00A9078E" w:rsidRPr="00F810A0">
        <w:rPr>
          <w:rFonts w:cs="Arial"/>
          <w:szCs w:val="24"/>
        </w:rPr>
        <w:t xml:space="preserve"> </w:t>
      </w:r>
      <w:r w:rsidR="00095769">
        <w:rPr>
          <w:rFonts w:cs="Arial"/>
          <w:szCs w:val="24"/>
        </w:rPr>
        <w:t>f</w:t>
      </w:r>
      <w:r w:rsidR="00A9078E" w:rsidRPr="00F810A0">
        <w:rPr>
          <w:rFonts w:cs="Arial"/>
          <w:szCs w:val="24"/>
        </w:rPr>
        <w:t xml:space="preserve">or </w:t>
      </w:r>
      <w:r w:rsidR="005A7FE9">
        <w:t xml:space="preserve">living standards </w:t>
      </w:r>
      <w:r>
        <w:t xml:space="preserve">in the countries concerned </w:t>
      </w:r>
      <w:r w:rsidR="00275B8A" w:rsidRPr="00DE168A">
        <w:rPr>
          <w:rFonts w:eastAsiaTheme="minorHAnsi" w:cs="Arial"/>
          <w:color w:val="auto"/>
          <w:szCs w:val="24"/>
          <w:lang w:eastAsia="en-US"/>
        </w:rPr>
        <w:t>—</w:t>
      </w:r>
      <w:r w:rsidR="00275B8A">
        <w:rPr>
          <w:rFonts w:eastAsiaTheme="minorHAnsi" w:cs="Arial"/>
          <w:color w:val="auto"/>
          <w:szCs w:val="24"/>
          <w:lang w:eastAsia="en-US"/>
        </w:rPr>
        <w:t xml:space="preserve"> </w:t>
      </w:r>
      <w:r w:rsidR="005A7FE9">
        <w:t xml:space="preserve">by </w:t>
      </w:r>
      <w:r w:rsidR="001F6BE0" w:rsidRPr="001F6BE0">
        <w:t>reducing transactions costs that inhibit the excha</w:t>
      </w:r>
      <w:r>
        <w:t xml:space="preserve">nge of goods, services, capital and </w:t>
      </w:r>
      <w:r w:rsidR="001F6BE0" w:rsidRPr="001F6BE0">
        <w:t>technology and the movement of people (for work</w:t>
      </w:r>
      <w:r w:rsidR="00F748B8">
        <w:t xml:space="preserve"> and tourism</w:t>
      </w:r>
      <w:r w:rsidR="001F6BE0" w:rsidRPr="001F6BE0">
        <w:t>)</w:t>
      </w:r>
      <w:r w:rsidR="00DC2D8F">
        <w:t>.</w:t>
      </w:r>
      <w:r w:rsidR="001F6BE0">
        <w:t xml:space="preserve"> </w:t>
      </w:r>
      <w:r w:rsidR="00ED22EA">
        <w:t>While much economic integration is driven by the actions of profit-</w:t>
      </w:r>
      <w:r w:rsidR="00ED22EA">
        <w:lastRenderedPageBreak/>
        <w:t>motivated businesses and individuals, g</w:t>
      </w:r>
      <w:r w:rsidR="00D22D10">
        <w:t>overnments can do things to reduce t</w:t>
      </w:r>
      <w:r w:rsidR="00ED22EA">
        <w:t>ransaction</w:t>
      </w:r>
      <w:r w:rsidR="00D22D10">
        <w:t xml:space="preserve"> costs directly (like reducing tariffs) </w:t>
      </w:r>
      <w:r w:rsidR="00ED22EA">
        <w:t>as well as</w:t>
      </w:r>
      <w:r w:rsidR="00FD2926">
        <w:t xml:space="preserve"> </w:t>
      </w:r>
      <w:r w:rsidR="008E0229">
        <w:t>prompt</w:t>
      </w:r>
      <w:r w:rsidR="006737A4">
        <w:t xml:space="preserve"> markets to driv</w:t>
      </w:r>
      <w:r w:rsidR="00A14E64">
        <w:t>e</w:t>
      </w:r>
      <w:r w:rsidR="006737A4">
        <w:t xml:space="preserve"> costs down (for example, by making it easier for new firms to compete). </w:t>
      </w:r>
      <w:r w:rsidR="00D22D10">
        <w:t xml:space="preserve"> </w:t>
      </w:r>
    </w:p>
    <w:p w:rsidR="00DC2D8F" w:rsidRPr="00020B4A" w:rsidRDefault="004E001E" w:rsidP="00020B4A">
      <w:pPr>
        <w:pStyle w:val="BodyText"/>
      </w:pPr>
      <w:r>
        <w:t>It should also be recognised that t</w:t>
      </w:r>
      <w:r w:rsidR="00D22D10" w:rsidRPr="00D22D10">
        <w:t>he world</w:t>
      </w:r>
      <w:r>
        <w:t xml:space="preserve"> economy</w:t>
      </w:r>
      <w:r w:rsidR="00D22D10">
        <w:t>,</w:t>
      </w:r>
      <w:r w:rsidR="00D22D10" w:rsidRPr="00D22D10">
        <w:t xml:space="preserve"> and the Asian region in particular</w:t>
      </w:r>
      <w:r w:rsidR="00D22D10">
        <w:t>,</w:t>
      </w:r>
      <w:r w:rsidR="00D22D10" w:rsidRPr="00D22D10">
        <w:t xml:space="preserve"> have undergone extraordinary changes since the signing of the </w:t>
      </w:r>
      <w:proofErr w:type="spellStart"/>
      <w:r w:rsidR="00D22D10" w:rsidRPr="00D22D10">
        <w:t>CER</w:t>
      </w:r>
      <w:proofErr w:type="spellEnd"/>
      <w:r w:rsidR="00D22D10" w:rsidRPr="00D22D10">
        <w:t xml:space="preserve"> 30 years ago</w:t>
      </w:r>
      <w:r w:rsidR="00AF7671">
        <w:t>, and so have our economic relations</w:t>
      </w:r>
      <w:r>
        <w:t xml:space="preserve"> with other countries</w:t>
      </w:r>
      <w:r w:rsidR="00095769">
        <w:t xml:space="preserve">. </w:t>
      </w:r>
      <w:r w:rsidR="001217C5">
        <w:t>The Commissions will endeavour to map out a trans</w:t>
      </w:r>
      <w:r w:rsidR="001217C5">
        <w:noBreakHyphen/>
        <w:t xml:space="preserve">Tasman integration agenda that is relevant to </w:t>
      </w:r>
      <w:r>
        <w:t xml:space="preserve">these wider horizons </w:t>
      </w:r>
      <w:r w:rsidR="001217C5">
        <w:t xml:space="preserve">and </w:t>
      </w:r>
      <w:r w:rsidR="000173E0">
        <w:t>the</w:t>
      </w:r>
      <w:r>
        <w:t>ir</w:t>
      </w:r>
      <w:r w:rsidR="000173E0">
        <w:t xml:space="preserve"> opportunities and challenges</w:t>
      </w:r>
      <w:r>
        <w:t>.</w:t>
      </w:r>
      <w:r w:rsidR="001217C5">
        <w:t xml:space="preserve"> </w:t>
      </w:r>
    </w:p>
    <w:p w:rsidR="003502E3" w:rsidRDefault="003502E3" w:rsidP="003502E3">
      <w:pPr>
        <w:pStyle w:val="Heading2"/>
      </w:pPr>
      <w:r>
        <w:t>What has been achieved?</w:t>
      </w:r>
    </w:p>
    <w:p w:rsidR="002B527A" w:rsidRDefault="002B527A" w:rsidP="0073262E">
      <w:pPr>
        <w:pStyle w:val="BodyText"/>
      </w:pPr>
      <w:r>
        <w:t xml:space="preserve">The genesis of the </w:t>
      </w:r>
      <w:proofErr w:type="spellStart"/>
      <w:r>
        <w:t>CER</w:t>
      </w:r>
      <w:proofErr w:type="spellEnd"/>
      <w:r>
        <w:t xml:space="preserve"> goes back to a meeting of Prime Ministers Fraser and Muldoon in Wellington in 1980, when it was agreed that</w:t>
      </w:r>
      <w:r w:rsidR="00275B8A">
        <w:t>,</w:t>
      </w:r>
      <w:r>
        <w:t xml:space="preserve"> </w:t>
      </w:r>
      <w:r w:rsidR="00D73923">
        <w:t>as the Australian Prime M</w:t>
      </w:r>
      <w:r w:rsidR="00F748B8">
        <w:t>inister expressed it:</w:t>
      </w:r>
      <w:r>
        <w:t xml:space="preserve"> </w:t>
      </w:r>
    </w:p>
    <w:p w:rsidR="002B527A" w:rsidRPr="005F2357" w:rsidRDefault="002B527A" w:rsidP="005F2357">
      <w:pPr>
        <w:pStyle w:val="Quote"/>
        <w:rPr>
          <w:sz w:val="28"/>
        </w:rPr>
      </w:pPr>
      <w:r>
        <w:t xml:space="preserve">If the two countries can cooperate more closely in their own trading relationship, with each concentrating on what it does best, it will help both countries to grow stronger and to compete </w:t>
      </w:r>
      <w:r w:rsidR="005F2357">
        <w:t>in wider markets. We agreed in Wellington that any closer economic relationship must be outward</w:t>
      </w:r>
      <w:r w:rsidR="005F2357">
        <w:noBreakHyphen/>
        <w:t>looking</w:t>
      </w:r>
      <w:r w:rsidR="00F748B8">
        <w:t>…</w:t>
      </w:r>
      <w:r w:rsidR="005F2357">
        <w:t xml:space="preserve"> </w:t>
      </w:r>
    </w:p>
    <w:p w:rsidR="00D53E9C" w:rsidRDefault="00D53E9C" w:rsidP="0073262E">
      <w:pPr>
        <w:pStyle w:val="BodyText"/>
      </w:pPr>
      <w:r w:rsidRPr="00D53E9C">
        <w:t xml:space="preserve">The </w:t>
      </w:r>
      <w:proofErr w:type="spellStart"/>
      <w:r w:rsidRPr="00D53E9C">
        <w:t>CER</w:t>
      </w:r>
      <w:proofErr w:type="spellEnd"/>
      <w:r w:rsidRPr="00D53E9C">
        <w:t xml:space="preserve"> agenda initially focused on goods trade</w:t>
      </w:r>
      <w:r w:rsidR="00D73923">
        <w:t>,</w:t>
      </w:r>
      <w:r w:rsidRPr="00D53E9C">
        <w:t xml:space="preserve"> but </w:t>
      </w:r>
      <w:r w:rsidR="00F748B8">
        <w:t xml:space="preserve">it </w:t>
      </w:r>
      <w:r w:rsidRPr="00D53E9C">
        <w:t xml:space="preserve">has evolved </w:t>
      </w:r>
      <w:r w:rsidR="00F748B8">
        <w:t xml:space="preserve">considerably </w:t>
      </w:r>
      <w:r w:rsidRPr="00D53E9C">
        <w:t>to also cover trade in services, investment, business environment, taxation</w:t>
      </w:r>
      <w:r w:rsidR="00FF3AB7">
        <w:t xml:space="preserve"> and</w:t>
      </w:r>
      <w:r w:rsidRPr="00D53E9C">
        <w:t xml:space="preserve"> government procurement. </w:t>
      </w:r>
      <w:r w:rsidR="00A9078E" w:rsidRPr="00F810A0">
        <w:rPr>
          <w:rFonts w:cs="Arial"/>
          <w:szCs w:val="24"/>
        </w:rPr>
        <w:t xml:space="preserve">By 2004, these extensions were </w:t>
      </w:r>
      <w:r w:rsidR="00D73923">
        <w:rPr>
          <w:rFonts w:cs="Arial"/>
          <w:szCs w:val="24"/>
        </w:rPr>
        <w:t>encompassed</w:t>
      </w:r>
      <w:r w:rsidR="00A9078E" w:rsidRPr="00F810A0">
        <w:rPr>
          <w:rFonts w:cs="Arial"/>
          <w:szCs w:val="24"/>
        </w:rPr>
        <w:t xml:space="preserve"> in the</w:t>
      </w:r>
      <w:r w:rsidR="00A9078E" w:rsidRPr="00D53E9C">
        <w:t xml:space="preserve"> </w:t>
      </w:r>
      <w:r w:rsidRPr="00D53E9C">
        <w:t xml:space="preserve">ambition </w:t>
      </w:r>
      <w:r w:rsidR="00112934">
        <w:t>of</w:t>
      </w:r>
      <w:r w:rsidRPr="00D53E9C">
        <w:t xml:space="preserve"> creating a </w:t>
      </w:r>
      <w:r w:rsidR="005F2357">
        <w:t>‘</w:t>
      </w:r>
      <w:r w:rsidRPr="00D53E9C">
        <w:t>single economic market</w:t>
      </w:r>
      <w:r w:rsidR="005F2357">
        <w:t>’</w:t>
      </w:r>
      <w:r w:rsidR="00F748B8">
        <w:t>.</w:t>
      </w:r>
      <w:r w:rsidRPr="00D53E9C">
        <w:t xml:space="preserve"> The current work program is </w:t>
      </w:r>
      <w:r w:rsidR="005F2357">
        <w:t xml:space="preserve">directed at </w:t>
      </w:r>
      <w:r w:rsidRPr="00D53E9C">
        <w:t xml:space="preserve">this, with the aim of enabling business, consumers and investors to conduct operations </w:t>
      </w:r>
      <w:r w:rsidR="009337F6">
        <w:t xml:space="preserve">‘seamlessly’ </w:t>
      </w:r>
      <w:r w:rsidRPr="00D53E9C">
        <w:t>across the Tasman</w:t>
      </w:r>
      <w:r w:rsidR="009337F6">
        <w:t>.</w:t>
      </w:r>
    </w:p>
    <w:p w:rsidR="00A9078E" w:rsidRDefault="00A9078E" w:rsidP="0073262E">
      <w:pPr>
        <w:pStyle w:val="BodyText"/>
      </w:pPr>
      <w:r w:rsidRPr="00F810A0">
        <w:rPr>
          <w:rFonts w:cs="Arial"/>
          <w:szCs w:val="24"/>
        </w:rPr>
        <w:t xml:space="preserve">It will not surprise an Australian audience </w:t>
      </w:r>
      <w:r w:rsidR="00D73923">
        <w:rPr>
          <w:rFonts w:cs="Arial"/>
          <w:szCs w:val="24"/>
        </w:rPr>
        <w:t>that such</w:t>
      </w:r>
      <w:r w:rsidRPr="00F810A0">
        <w:rPr>
          <w:rFonts w:cs="Arial"/>
          <w:szCs w:val="24"/>
        </w:rPr>
        <w:t xml:space="preserve"> a seamless regulatory environment has yet to be </w:t>
      </w:r>
      <w:r w:rsidR="00275B8A">
        <w:rPr>
          <w:rFonts w:cs="Arial"/>
          <w:szCs w:val="24"/>
        </w:rPr>
        <w:t>realised</w:t>
      </w:r>
      <w:r w:rsidRPr="00F810A0">
        <w:rPr>
          <w:rFonts w:cs="Arial"/>
          <w:szCs w:val="24"/>
        </w:rPr>
        <w:t xml:space="preserve">, given the </w:t>
      </w:r>
      <w:r w:rsidR="00D73923">
        <w:rPr>
          <w:rFonts w:cs="Arial"/>
          <w:szCs w:val="24"/>
        </w:rPr>
        <w:t>lack of one</w:t>
      </w:r>
      <w:r w:rsidRPr="00F810A0">
        <w:rPr>
          <w:rFonts w:cs="Arial"/>
          <w:szCs w:val="24"/>
        </w:rPr>
        <w:t xml:space="preserve"> across our own country. But much has been achieved, and the </w:t>
      </w:r>
      <w:r w:rsidR="00D73923">
        <w:rPr>
          <w:rFonts w:cs="Arial"/>
          <w:szCs w:val="24"/>
        </w:rPr>
        <w:t>results</w:t>
      </w:r>
      <w:r w:rsidRPr="00F810A0">
        <w:rPr>
          <w:rFonts w:cs="Arial"/>
          <w:szCs w:val="24"/>
        </w:rPr>
        <w:t xml:space="preserve"> are reflected in our econom</w:t>
      </w:r>
      <w:r w:rsidR="00275B8A">
        <w:rPr>
          <w:rFonts w:cs="Arial"/>
          <w:szCs w:val="24"/>
        </w:rPr>
        <w:t xml:space="preserve">ic </w:t>
      </w:r>
      <w:r w:rsidRPr="00F810A0">
        <w:rPr>
          <w:rFonts w:cs="Arial"/>
          <w:szCs w:val="24"/>
        </w:rPr>
        <w:t>dealings. For example</w:t>
      </w:r>
      <w:r>
        <w:rPr>
          <w:rFonts w:cs="Arial"/>
          <w:szCs w:val="24"/>
        </w:rPr>
        <w:t>:</w:t>
      </w:r>
    </w:p>
    <w:p w:rsidR="007B7A13" w:rsidRDefault="008E6B7D" w:rsidP="00A75B1E">
      <w:pPr>
        <w:pStyle w:val="ListBullet"/>
      </w:pPr>
      <w:r>
        <w:t xml:space="preserve">the value of two-way merchandise trade between Australia and New Zealand has grown at an average annual rate of </w:t>
      </w:r>
      <w:r w:rsidR="00813ABD">
        <w:t>8 per cent, which is higher than growth in Australia’s trade overall</w:t>
      </w:r>
    </w:p>
    <w:p w:rsidR="007B7A13" w:rsidRDefault="007B7A13" w:rsidP="00A75B1E">
      <w:pPr>
        <w:pStyle w:val="ListBullet"/>
      </w:pPr>
      <w:r>
        <w:t>services trade via commercial presence in the partner country has expanded greatly in sectors such as banking and telecommunications</w:t>
      </w:r>
    </w:p>
    <w:p w:rsidR="007B7A13" w:rsidRDefault="000E6BDC" w:rsidP="00A75B1E">
      <w:pPr>
        <w:pStyle w:val="ListBullet"/>
      </w:pPr>
      <w:r>
        <w:t xml:space="preserve">the New Zealand born population in Australia (a group that has a high workforce participation rate) has </w:t>
      </w:r>
      <w:r w:rsidR="00264222">
        <w:t>nearly tripled</w:t>
      </w:r>
      <w:r w:rsidR="008B6A79">
        <w:t xml:space="preserve"> </w:t>
      </w:r>
    </w:p>
    <w:p w:rsidR="00AF7965" w:rsidRDefault="009337F6" w:rsidP="0073262E">
      <w:pPr>
        <w:pStyle w:val="BodyText"/>
      </w:pPr>
      <w:r>
        <w:lastRenderedPageBreak/>
        <w:t xml:space="preserve">As noted, such </w:t>
      </w:r>
      <w:r w:rsidR="00D73923">
        <w:t>increased e</w:t>
      </w:r>
      <w:r w:rsidR="00D5203C">
        <w:t>conomic integration</w:t>
      </w:r>
      <w:r w:rsidR="0019189E">
        <w:t>,</w:t>
      </w:r>
      <w:r w:rsidR="00D5203C">
        <w:t xml:space="preserve"> </w:t>
      </w:r>
      <w:r w:rsidR="00ED22EA">
        <w:t>by expanding the extent of the market enables</w:t>
      </w:r>
      <w:r>
        <w:t xml:space="preserve"> </w:t>
      </w:r>
      <w:r w:rsidR="00D5203C">
        <w:t xml:space="preserve">countries to </w:t>
      </w:r>
      <w:r w:rsidR="00ED22EA">
        <w:t>capture</w:t>
      </w:r>
      <w:r w:rsidR="00D73923">
        <w:t xml:space="preserve"> greater scale advantages and </w:t>
      </w:r>
      <w:r w:rsidR="00D5203C">
        <w:t xml:space="preserve">specialise </w:t>
      </w:r>
      <w:r w:rsidR="00757213">
        <w:t xml:space="preserve">more </w:t>
      </w:r>
      <w:r w:rsidR="00D5203C">
        <w:t xml:space="preserve">in </w:t>
      </w:r>
      <w:r w:rsidR="001C75A3">
        <w:t xml:space="preserve">those things </w:t>
      </w:r>
      <w:r w:rsidR="0019189E">
        <w:t>they</w:t>
      </w:r>
      <w:r>
        <w:t xml:space="preserve"> do relatively well,</w:t>
      </w:r>
      <w:r w:rsidR="001C75A3">
        <w:t xml:space="preserve"> </w:t>
      </w:r>
      <w:r>
        <w:t>with</w:t>
      </w:r>
      <w:r w:rsidR="008C6C9E">
        <w:t xml:space="preserve"> lower priced imports tak</w:t>
      </w:r>
      <w:r>
        <w:t>ing</w:t>
      </w:r>
      <w:r w:rsidR="008C6C9E">
        <w:t xml:space="preserve"> the place of </w:t>
      </w:r>
      <w:r>
        <w:t xml:space="preserve">more costly </w:t>
      </w:r>
      <w:r w:rsidR="00D73923">
        <w:t>domestically</w:t>
      </w:r>
      <w:r w:rsidR="008C6C9E">
        <w:t xml:space="preserve"> produced</w:t>
      </w:r>
      <w:r w:rsidR="001C75A3">
        <w:t xml:space="preserve"> </w:t>
      </w:r>
      <w:r w:rsidR="008C6C9E">
        <w:t>goods and services</w:t>
      </w:r>
      <w:r>
        <w:t xml:space="preserve"> in</w:t>
      </w:r>
      <w:r w:rsidR="008C6C9E">
        <w:t xml:space="preserve"> a dynamic </w:t>
      </w:r>
      <w:r>
        <w:t xml:space="preserve">competitive </w:t>
      </w:r>
      <w:r w:rsidR="008C6C9E">
        <w:t>process</w:t>
      </w:r>
      <w:r w:rsidR="00D73923">
        <w:t>.</w:t>
      </w:r>
      <w:r w:rsidR="008C6C9E">
        <w:t xml:space="preserve"> Consumers benefit from </w:t>
      </w:r>
      <w:r>
        <w:t>lower prices and greater choice. And the i</w:t>
      </w:r>
      <w:r w:rsidR="008C6C9E">
        <w:t>ntegration of labour markets, a prominent feature of the trans</w:t>
      </w:r>
      <w:r w:rsidR="008C6C9E">
        <w:noBreakHyphen/>
        <w:t>Tasman relationship, opens up opportunities</w:t>
      </w:r>
      <w:r w:rsidR="006A5D3C">
        <w:t xml:space="preserve"> for people to </w:t>
      </w:r>
      <w:r w:rsidR="00D73923">
        <w:t xml:space="preserve">develop and apply their </w:t>
      </w:r>
      <w:r w:rsidR="006A5D3C">
        <w:t>skills and earn higher wages.</w:t>
      </w:r>
    </w:p>
    <w:p w:rsidR="008E6B7D" w:rsidRDefault="006A5D3C" w:rsidP="0073262E">
      <w:pPr>
        <w:pStyle w:val="BodyText"/>
      </w:pPr>
      <w:r>
        <w:t xml:space="preserve">But where integration is pursued bilaterally, there is </w:t>
      </w:r>
      <w:r w:rsidR="009337F6">
        <w:t xml:space="preserve">also </w:t>
      </w:r>
      <w:r>
        <w:t xml:space="preserve">the possibility that </w:t>
      </w:r>
      <w:r w:rsidR="009337F6">
        <w:t xml:space="preserve">it </w:t>
      </w:r>
      <w:r w:rsidR="00BA5CC8" w:rsidRPr="00BA5CC8">
        <w:t>might come at the expense of integration with other countries</w:t>
      </w:r>
      <w:r w:rsidR="00BA5CC8">
        <w:t xml:space="preserve">. </w:t>
      </w:r>
      <w:r w:rsidR="00176BE7">
        <w:t xml:space="preserve">For example, </w:t>
      </w:r>
      <w:r w:rsidR="00BA5CC8" w:rsidRPr="00BA5CC8">
        <w:t xml:space="preserve">some studies </w:t>
      </w:r>
      <w:r w:rsidR="009337F6">
        <w:t>indicate</w:t>
      </w:r>
      <w:r w:rsidR="00BA5CC8" w:rsidRPr="00BA5CC8">
        <w:t xml:space="preserve"> that </w:t>
      </w:r>
      <w:r>
        <w:t xml:space="preserve">the </w:t>
      </w:r>
      <w:proofErr w:type="spellStart"/>
      <w:r>
        <w:t>CER</w:t>
      </w:r>
      <w:proofErr w:type="spellEnd"/>
      <w:r>
        <w:t xml:space="preserve"> </w:t>
      </w:r>
      <w:r w:rsidR="009337F6">
        <w:t xml:space="preserve">has </w:t>
      </w:r>
      <w:r>
        <w:t xml:space="preserve">resulted in </w:t>
      </w:r>
      <w:r w:rsidR="00BA5CC8" w:rsidRPr="00BA5CC8">
        <w:t>trade diversion</w:t>
      </w:r>
      <w:r w:rsidR="009337F6">
        <w:t xml:space="preserve"> – switching </w:t>
      </w:r>
      <w:r w:rsidR="00D73923">
        <w:t xml:space="preserve">imports </w:t>
      </w:r>
      <w:r w:rsidR="009337F6">
        <w:t xml:space="preserve">from lower-cost third country suppliers - </w:t>
      </w:r>
      <w:r w:rsidR="00BA5CC8" w:rsidRPr="00BA5CC8">
        <w:t>and, therefore, that the net benefits may not have been as large as thought (some studies even suggest net losses).</w:t>
      </w:r>
      <w:r w:rsidR="00E27169">
        <w:t xml:space="preserve"> </w:t>
      </w:r>
    </w:p>
    <w:p w:rsidR="00867FA7" w:rsidRDefault="009337F6" w:rsidP="0073262E">
      <w:pPr>
        <w:pStyle w:val="BodyText"/>
      </w:pPr>
      <w:r>
        <w:t xml:space="preserve">It should be said that such </w:t>
      </w:r>
      <w:r w:rsidR="000578AC">
        <w:t xml:space="preserve">studies </w:t>
      </w:r>
      <w:r w:rsidR="00404F01">
        <w:t xml:space="preserve">have </w:t>
      </w:r>
      <w:r w:rsidR="00452955">
        <w:t>some limitations</w:t>
      </w:r>
      <w:r w:rsidR="00275B8A">
        <w:t>,</w:t>
      </w:r>
      <w:r w:rsidR="00452955">
        <w:t xml:space="preserve"> including the difficulty in isolating </w:t>
      </w:r>
      <w:proofErr w:type="spellStart"/>
      <w:r w:rsidR="00404F01">
        <w:t>CER</w:t>
      </w:r>
      <w:proofErr w:type="spellEnd"/>
      <w:r w:rsidR="00A26619">
        <w:noBreakHyphen/>
      </w:r>
      <w:r w:rsidR="00404F01">
        <w:t xml:space="preserve">induced effects </w:t>
      </w:r>
      <w:r w:rsidR="00A26619">
        <w:t xml:space="preserve">on trade from those caused by changes in market conditions and other policy settings. </w:t>
      </w:r>
      <w:r w:rsidR="000578AC">
        <w:t>And</w:t>
      </w:r>
      <w:r w:rsidR="00A26619">
        <w:t xml:space="preserve"> </w:t>
      </w:r>
      <w:r w:rsidR="00512480">
        <w:t xml:space="preserve">they mostly focus on merchandise trade, whereas the </w:t>
      </w:r>
      <w:proofErr w:type="spellStart"/>
      <w:r w:rsidR="00512480">
        <w:t>CER</w:t>
      </w:r>
      <w:proofErr w:type="spellEnd"/>
      <w:r w:rsidR="00512480">
        <w:t xml:space="preserve"> agenda </w:t>
      </w:r>
      <w:r w:rsidR="00452955">
        <w:t>has expanded to encompass</w:t>
      </w:r>
      <w:r w:rsidR="00512480">
        <w:t xml:space="preserve"> services trade and investment.</w:t>
      </w:r>
    </w:p>
    <w:p w:rsidR="00D04853" w:rsidRDefault="00A26619" w:rsidP="0073262E">
      <w:pPr>
        <w:pStyle w:val="BodyText"/>
      </w:pPr>
      <w:r>
        <w:t xml:space="preserve">It is also possible that </w:t>
      </w:r>
      <w:proofErr w:type="spellStart"/>
      <w:r>
        <w:t>CER</w:t>
      </w:r>
      <w:proofErr w:type="spellEnd"/>
      <w:r>
        <w:t xml:space="preserve"> </w:t>
      </w:r>
      <w:r w:rsidR="00452955">
        <w:t xml:space="preserve">helped engender reform to </w:t>
      </w:r>
      <w:r>
        <w:t xml:space="preserve">broader policy </w:t>
      </w:r>
      <w:r w:rsidR="000578AC">
        <w:t>settings in Australia</w:t>
      </w:r>
      <w:r>
        <w:t xml:space="preserve"> and New Zealand. I</w:t>
      </w:r>
      <w:r w:rsidR="00D04853">
        <w:t xml:space="preserve">t has been suggested that the </w:t>
      </w:r>
      <w:proofErr w:type="spellStart"/>
      <w:r w:rsidR="00D04853">
        <w:t>CER</w:t>
      </w:r>
      <w:proofErr w:type="spellEnd"/>
      <w:r w:rsidR="00D04853">
        <w:t xml:space="preserve"> helped to change opinions about trade protection for manufacturing and pave</w:t>
      </w:r>
      <w:r>
        <w:t>d</w:t>
      </w:r>
      <w:r w:rsidR="00D04853">
        <w:t xml:space="preserve"> the way for unilateral reductions in tariffs</w:t>
      </w:r>
      <w:r w:rsidR="000578AC">
        <w:t xml:space="preserve"> generally</w:t>
      </w:r>
      <w:r w:rsidR="00D04853">
        <w:t>, particularly in New Zealand (</w:t>
      </w:r>
      <w:proofErr w:type="spellStart"/>
      <w:r w:rsidR="00D04853">
        <w:t>Scollay</w:t>
      </w:r>
      <w:proofErr w:type="spellEnd"/>
      <w:r w:rsidR="00D04853">
        <w:t>, Findlay and Kaufmann 2011).</w:t>
      </w:r>
      <w:r w:rsidR="00A072CC">
        <w:t xml:space="preserve"> </w:t>
      </w:r>
      <w:r w:rsidR="00A30098">
        <w:t xml:space="preserve">In this way, </w:t>
      </w:r>
      <w:r>
        <w:t xml:space="preserve">and unlike some other agreements, </w:t>
      </w:r>
      <w:proofErr w:type="spellStart"/>
      <w:r w:rsidR="00A072CC">
        <w:t>CER</w:t>
      </w:r>
      <w:proofErr w:type="spellEnd"/>
      <w:r w:rsidR="00A072CC">
        <w:t xml:space="preserve"> </w:t>
      </w:r>
      <w:r>
        <w:t xml:space="preserve">appears to have acted </w:t>
      </w:r>
      <w:r w:rsidR="000578AC">
        <w:t xml:space="preserve">more </w:t>
      </w:r>
      <w:r>
        <w:t>as a ‘</w:t>
      </w:r>
      <w:r w:rsidR="00A072CC">
        <w:t xml:space="preserve">building block’ than ‘stumbling block’ in </w:t>
      </w:r>
      <w:r w:rsidR="00452955">
        <w:t>the pu</w:t>
      </w:r>
      <w:r w:rsidR="000578AC">
        <w:t xml:space="preserve">rsuit of wider </w:t>
      </w:r>
      <w:r w:rsidR="00A072CC">
        <w:t>integration</w:t>
      </w:r>
      <w:r w:rsidR="000578AC">
        <w:t>.</w:t>
      </w:r>
    </w:p>
    <w:p w:rsidR="00A73478" w:rsidRDefault="00A73478" w:rsidP="00A73478">
      <w:pPr>
        <w:pStyle w:val="BodyText"/>
        <w:spacing w:before="0"/>
      </w:pPr>
    </w:p>
    <w:p w:rsidR="00A9078E" w:rsidRPr="00A9078E" w:rsidRDefault="00A9078E" w:rsidP="00A9078E">
      <w:pPr>
        <w:spacing w:after="200" w:line="276" w:lineRule="auto"/>
        <w:jc w:val="both"/>
        <w:rPr>
          <w:rFonts w:ascii="Arial" w:eastAsiaTheme="minorHAnsi" w:hAnsi="Arial" w:cs="Arial"/>
          <w:sz w:val="24"/>
          <w:lang w:eastAsia="en-US"/>
        </w:rPr>
      </w:pPr>
      <w:r w:rsidRPr="00A9078E">
        <w:rPr>
          <w:rFonts w:ascii="Arial" w:eastAsiaTheme="minorHAnsi" w:hAnsi="Arial" w:cs="Arial"/>
          <w:sz w:val="24"/>
          <w:lang w:eastAsia="en-US"/>
        </w:rPr>
        <w:t xml:space="preserve">The </w:t>
      </w:r>
      <w:r w:rsidR="00452955">
        <w:rPr>
          <w:rFonts w:ascii="Arial" w:eastAsiaTheme="minorHAnsi" w:hAnsi="Arial" w:cs="Arial"/>
          <w:sz w:val="24"/>
          <w:lang w:eastAsia="en-US"/>
        </w:rPr>
        <w:t>quantitative studies nevertheless</w:t>
      </w:r>
      <w:r w:rsidRPr="00A9078E">
        <w:rPr>
          <w:rFonts w:ascii="Arial" w:eastAsiaTheme="minorHAnsi" w:hAnsi="Arial" w:cs="Arial"/>
          <w:sz w:val="24"/>
          <w:lang w:eastAsia="en-US"/>
        </w:rPr>
        <w:t xml:space="preserve"> underscore an important point: the ultimate test of policy initiatives across the Tasman is not whether they simply increase mutual trade or investment, but whether in doing so they yield net benefits overall for our </w:t>
      </w:r>
      <w:r w:rsidR="00452955">
        <w:rPr>
          <w:rFonts w:ascii="Arial" w:eastAsiaTheme="minorHAnsi" w:hAnsi="Arial" w:cs="Arial"/>
          <w:sz w:val="24"/>
          <w:lang w:eastAsia="en-US"/>
        </w:rPr>
        <w:t>populations</w:t>
      </w:r>
      <w:r w:rsidRPr="00A9078E">
        <w:rPr>
          <w:rFonts w:ascii="Arial" w:eastAsiaTheme="minorHAnsi" w:hAnsi="Arial" w:cs="Arial"/>
          <w:sz w:val="24"/>
          <w:lang w:eastAsia="en-US"/>
        </w:rPr>
        <w:t>, accounting for broader regional relationships and interactions. That is th</w:t>
      </w:r>
      <w:r w:rsidR="00452955">
        <w:rPr>
          <w:rFonts w:ascii="Arial" w:eastAsiaTheme="minorHAnsi" w:hAnsi="Arial" w:cs="Arial"/>
          <w:sz w:val="24"/>
          <w:lang w:eastAsia="en-US"/>
        </w:rPr>
        <w:t>e test that the two Commissions</w:t>
      </w:r>
      <w:r w:rsidRPr="00A9078E">
        <w:rPr>
          <w:rFonts w:ascii="Arial" w:eastAsiaTheme="minorHAnsi" w:hAnsi="Arial" w:cs="Arial"/>
          <w:sz w:val="24"/>
          <w:lang w:eastAsia="en-US"/>
        </w:rPr>
        <w:t xml:space="preserve"> will be applying in the agenda we ultimately propose.</w:t>
      </w:r>
    </w:p>
    <w:p w:rsidR="00F11278" w:rsidRDefault="00A9078E" w:rsidP="00F11278">
      <w:pPr>
        <w:pStyle w:val="BodyText"/>
      </w:pPr>
      <w:r w:rsidRPr="00F810A0">
        <w:rPr>
          <w:rFonts w:cs="Arial"/>
          <w:szCs w:val="24"/>
        </w:rPr>
        <w:t>This will not be straight forward, since</w:t>
      </w:r>
      <w:r>
        <w:rPr>
          <w:rFonts w:cs="Arial"/>
          <w:szCs w:val="24"/>
        </w:rPr>
        <w:t>,</w:t>
      </w:r>
      <w:r>
        <w:t xml:space="preserve"> </w:t>
      </w:r>
      <w:r w:rsidR="000578AC">
        <w:t>l</w:t>
      </w:r>
      <w:r w:rsidR="00533855">
        <w:t>ooking beyond the current work program, i</w:t>
      </w:r>
      <w:r w:rsidR="00C35205">
        <w:t>t is clear from our consultations and work thus far that m</w:t>
      </w:r>
      <w:r w:rsidR="0019189E">
        <w:t>uch</w:t>
      </w:r>
      <w:r w:rsidR="00C35205">
        <w:t xml:space="preserve"> of the ‘low hanging fruit’ has been picked. </w:t>
      </w:r>
      <w:r w:rsidR="00452955">
        <w:t>E</w:t>
      </w:r>
      <w:r w:rsidR="000578AC">
        <w:t>xtending</w:t>
      </w:r>
      <w:r w:rsidR="007529B4">
        <w:t xml:space="preserve"> </w:t>
      </w:r>
      <w:r w:rsidR="0019189E">
        <w:t xml:space="preserve">or deepening </w:t>
      </w:r>
      <w:r w:rsidR="007529B4">
        <w:t>the</w:t>
      </w:r>
      <w:r w:rsidR="00B57AEB">
        <w:t xml:space="preserve"> trans</w:t>
      </w:r>
      <w:r w:rsidR="00B57AEB">
        <w:noBreakHyphen/>
        <w:t xml:space="preserve">Tasman integration agenda </w:t>
      </w:r>
      <w:r w:rsidR="00452955">
        <w:t>will require</w:t>
      </w:r>
      <w:r w:rsidR="000578AC">
        <w:t xml:space="preserve"> tackling</w:t>
      </w:r>
      <w:r w:rsidR="00B57AEB">
        <w:t xml:space="preserve"> </w:t>
      </w:r>
      <w:r w:rsidR="00C16266">
        <w:t xml:space="preserve">some </w:t>
      </w:r>
      <w:r w:rsidR="00B57AEB">
        <w:t>more complex and contentious areas</w:t>
      </w:r>
      <w:r w:rsidR="000578AC">
        <w:t xml:space="preserve"> of policy </w:t>
      </w:r>
      <w:r w:rsidR="0019189E">
        <w:t>and regulation.</w:t>
      </w:r>
    </w:p>
    <w:p w:rsidR="00E804A3" w:rsidRDefault="00E576A3" w:rsidP="00E804A3">
      <w:pPr>
        <w:pStyle w:val="Heading2"/>
      </w:pPr>
      <w:r>
        <w:lastRenderedPageBreak/>
        <w:t>Some e</w:t>
      </w:r>
      <w:r w:rsidR="00E804A3">
        <w:t>merging themes</w:t>
      </w:r>
    </w:p>
    <w:p w:rsidR="007E20AC" w:rsidRDefault="00BF11D5" w:rsidP="0052468D">
      <w:pPr>
        <w:pStyle w:val="BodyText"/>
      </w:pPr>
      <w:r>
        <w:t xml:space="preserve">Some </w:t>
      </w:r>
      <w:r w:rsidR="00E0577D">
        <w:t xml:space="preserve">themes are </w:t>
      </w:r>
      <w:r w:rsidR="000578AC">
        <w:t xml:space="preserve">already </w:t>
      </w:r>
      <w:r w:rsidR="00E0577D">
        <w:t xml:space="preserve">emerging from </w:t>
      </w:r>
      <w:r>
        <w:t xml:space="preserve">consultations </w:t>
      </w:r>
      <w:r w:rsidR="000578AC">
        <w:t xml:space="preserve">and submissions </w:t>
      </w:r>
      <w:r>
        <w:t xml:space="preserve">and </w:t>
      </w:r>
      <w:r w:rsidR="000578AC">
        <w:t xml:space="preserve">from </w:t>
      </w:r>
      <w:r>
        <w:t>our own deliberations</w:t>
      </w:r>
      <w:r w:rsidR="005932B7">
        <w:t>, which help to frame the more detailed assessments of policy options.</w:t>
      </w:r>
    </w:p>
    <w:p w:rsidR="005932B7" w:rsidRDefault="000578AC" w:rsidP="005932B7">
      <w:pPr>
        <w:pStyle w:val="Heading4"/>
      </w:pPr>
      <w:r>
        <w:t>Closer, but not too close</w:t>
      </w:r>
      <w:r w:rsidR="005932B7">
        <w:t>?</w:t>
      </w:r>
    </w:p>
    <w:p w:rsidR="00DC5767" w:rsidRDefault="00957BC1" w:rsidP="00FD4151">
      <w:pPr>
        <w:pStyle w:val="BodyText"/>
      </w:pPr>
      <w:r>
        <w:t>Our Issues P</w:t>
      </w:r>
      <w:r w:rsidR="000578AC">
        <w:t>aper included</w:t>
      </w:r>
      <w:r w:rsidR="00FD4151">
        <w:t xml:space="preserve"> a stylised representation of different levels of integration, commencing with free trade </w:t>
      </w:r>
      <w:r w:rsidR="000578AC">
        <w:t xml:space="preserve">at one end </w:t>
      </w:r>
      <w:r w:rsidR="00FD4151">
        <w:t>and economic and political union</w:t>
      </w:r>
      <w:r w:rsidR="000578AC">
        <w:t xml:space="preserve"> at the other</w:t>
      </w:r>
      <w:r w:rsidR="00FD4151">
        <w:t>. None of these levels is necessarily superior to the others, as their impacts on economic outcomes can be ambiguous</w:t>
      </w:r>
      <w:r w:rsidR="00DC5767">
        <w:t xml:space="preserve">. </w:t>
      </w:r>
      <w:r w:rsidR="00BE1077">
        <w:t>Current trans</w:t>
      </w:r>
      <w:r w:rsidR="00BE1077">
        <w:noBreakHyphen/>
      </w:r>
      <w:r w:rsidR="00BE1077" w:rsidRPr="00BE1077">
        <w:t>Tasman arrangements embody elements of free trade and a common market</w:t>
      </w:r>
      <w:r w:rsidR="00BE1077">
        <w:t>.</w:t>
      </w:r>
      <w:r w:rsidR="000578AC">
        <w:t xml:space="preserve"> Could or should we go further?</w:t>
      </w:r>
    </w:p>
    <w:p w:rsidR="00AE4A02" w:rsidRDefault="00AE4A02" w:rsidP="00AE4A02">
      <w:pPr>
        <w:pStyle w:val="BodyText"/>
        <w:spacing w:before="0"/>
      </w:pPr>
    </w:p>
    <w:p w:rsidR="005C16D6" w:rsidRPr="005C16D6" w:rsidRDefault="005C16D6" w:rsidP="005C16D6">
      <w:pPr>
        <w:spacing w:after="200" w:line="276" w:lineRule="auto"/>
        <w:jc w:val="both"/>
        <w:rPr>
          <w:rFonts w:ascii="Arial" w:eastAsiaTheme="minorHAnsi" w:hAnsi="Arial" w:cs="Arial"/>
          <w:sz w:val="24"/>
          <w:lang w:eastAsia="en-US"/>
        </w:rPr>
      </w:pPr>
      <w:r w:rsidRPr="005C16D6">
        <w:rPr>
          <w:rFonts w:ascii="Arial" w:eastAsiaTheme="minorHAnsi" w:hAnsi="Arial" w:cs="Arial"/>
          <w:sz w:val="24"/>
          <w:lang w:eastAsia="en-US"/>
        </w:rPr>
        <w:t xml:space="preserve">On the basis of </w:t>
      </w:r>
      <w:r w:rsidR="00251270">
        <w:rPr>
          <w:rFonts w:ascii="Arial" w:eastAsiaTheme="minorHAnsi" w:hAnsi="Arial" w:cs="Arial"/>
          <w:sz w:val="24"/>
          <w:lang w:eastAsia="en-US"/>
        </w:rPr>
        <w:t>w</w:t>
      </w:r>
      <w:r w:rsidRPr="005C16D6">
        <w:rPr>
          <w:rFonts w:ascii="Arial" w:eastAsiaTheme="minorHAnsi" w:hAnsi="Arial" w:cs="Arial"/>
          <w:sz w:val="24"/>
          <w:lang w:eastAsia="en-US"/>
        </w:rPr>
        <w:t xml:space="preserve">hat we have been hearing thus far, the answer </w:t>
      </w:r>
      <w:r w:rsidR="00957BC1">
        <w:rPr>
          <w:rFonts w:ascii="Arial" w:eastAsiaTheme="minorHAnsi" w:hAnsi="Arial" w:cs="Arial"/>
          <w:sz w:val="24"/>
          <w:lang w:eastAsia="en-US"/>
        </w:rPr>
        <w:t>would seem to be ‘not too much</w:t>
      </w:r>
      <w:r w:rsidR="005168DA">
        <w:rPr>
          <w:rFonts w:ascii="Arial" w:eastAsiaTheme="minorHAnsi" w:hAnsi="Arial" w:cs="Arial"/>
          <w:sz w:val="24"/>
          <w:lang w:eastAsia="en-US"/>
        </w:rPr>
        <w:t xml:space="preserve"> further</w:t>
      </w:r>
      <w:r w:rsidR="00957BC1">
        <w:rPr>
          <w:rFonts w:ascii="Arial" w:eastAsiaTheme="minorHAnsi" w:hAnsi="Arial" w:cs="Arial"/>
          <w:sz w:val="24"/>
          <w:lang w:eastAsia="en-US"/>
        </w:rPr>
        <w:t>’, at least in this textbook categorization of the options.</w:t>
      </w:r>
      <w:r w:rsidRPr="005C16D6">
        <w:rPr>
          <w:rFonts w:ascii="Arial" w:eastAsiaTheme="minorHAnsi" w:hAnsi="Arial" w:cs="Arial"/>
          <w:sz w:val="24"/>
          <w:lang w:eastAsia="en-US"/>
        </w:rPr>
        <w:t xml:space="preserve"> Political union — a real prospect at the dawn of Australia’s Federation and </w:t>
      </w:r>
      <w:r w:rsidR="00957BC1">
        <w:rPr>
          <w:rFonts w:ascii="Arial" w:eastAsiaTheme="minorHAnsi" w:hAnsi="Arial" w:cs="Arial"/>
          <w:sz w:val="24"/>
          <w:lang w:eastAsia="en-US"/>
        </w:rPr>
        <w:t>still</w:t>
      </w:r>
      <w:r w:rsidRPr="005C16D6">
        <w:rPr>
          <w:rFonts w:ascii="Arial" w:eastAsiaTheme="minorHAnsi" w:hAnsi="Arial" w:cs="Arial"/>
          <w:sz w:val="24"/>
          <w:lang w:eastAsia="en-US"/>
        </w:rPr>
        <w:t xml:space="preserve"> contemplated in our Constitution — is clearly no longer a live option. (</w:t>
      </w:r>
      <w:r w:rsidR="00251270">
        <w:rPr>
          <w:rFonts w:ascii="Arial" w:eastAsiaTheme="minorHAnsi" w:hAnsi="Arial" w:cs="Arial"/>
          <w:sz w:val="24"/>
          <w:lang w:eastAsia="en-US"/>
        </w:rPr>
        <w:t>As an aside, w</w:t>
      </w:r>
      <w:r w:rsidRPr="005C16D6">
        <w:rPr>
          <w:rFonts w:ascii="Arial" w:eastAsiaTheme="minorHAnsi" w:hAnsi="Arial" w:cs="Arial"/>
          <w:sz w:val="24"/>
          <w:lang w:eastAsia="en-US"/>
        </w:rPr>
        <w:t xml:space="preserve">ith the upcoming London Olympics in mind, some might be aware that in the 1908 and 1912 Olympics we fielded a joint team. This could well be characterised as our integration high point! For example, there was no </w:t>
      </w:r>
      <w:r w:rsidR="00957BC1">
        <w:rPr>
          <w:rFonts w:ascii="Arial" w:eastAsiaTheme="minorHAnsi" w:hAnsi="Arial" w:cs="Arial"/>
          <w:sz w:val="24"/>
          <w:lang w:eastAsia="en-US"/>
        </w:rPr>
        <w:t>dissent</w:t>
      </w:r>
      <w:r w:rsidRPr="005C16D6">
        <w:rPr>
          <w:rFonts w:ascii="Arial" w:eastAsiaTheme="minorHAnsi" w:hAnsi="Arial" w:cs="Arial"/>
          <w:sz w:val="24"/>
          <w:lang w:eastAsia="en-US"/>
        </w:rPr>
        <w:t xml:space="preserve"> at one of our </w:t>
      </w:r>
      <w:r w:rsidR="00251270">
        <w:rPr>
          <w:rFonts w:ascii="Arial" w:eastAsiaTheme="minorHAnsi" w:hAnsi="Arial" w:cs="Arial"/>
          <w:sz w:val="24"/>
          <w:lang w:eastAsia="en-US"/>
        </w:rPr>
        <w:t xml:space="preserve">recent </w:t>
      </w:r>
      <w:r w:rsidRPr="005C16D6">
        <w:rPr>
          <w:rFonts w:ascii="Arial" w:eastAsiaTheme="minorHAnsi" w:hAnsi="Arial" w:cs="Arial"/>
          <w:sz w:val="24"/>
          <w:lang w:eastAsia="en-US"/>
        </w:rPr>
        <w:t>roundtables when a New Zealander ruled out the prospect of a joint national rugby team!)</w:t>
      </w:r>
    </w:p>
    <w:p w:rsidR="005C16D6" w:rsidRPr="005C16D6" w:rsidRDefault="005C16D6" w:rsidP="005C16D6">
      <w:pPr>
        <w:spacing w:after="200" w:line="276" w:lineRule="auto"/>
        <w:jc w:val="both"/>
        <w:rPr>
          <w:rFonts w:ascii="Arial" w:eastAsiaTheme="minorHAnsi" w:hAnsi="Arial" w:cs="Arial"/>
          <w:sz w:val="24"/>
          <w:lang w:eastAsia="en-US"/>
        </w:rPr>
      </w:pPr>
      <w:r w:rsidRPr="005C16D6">
        <w:rPr>
          <w:rFonts w:ascii="Arial" w:eastAsiaTheme="minorHAnsi" w:hAnsi="Arial" w:cs="Arial"/>
          <w:sz w:val="24"/>
          <w:lang w:eastAsia="en-US"/>
        </w:rPr>
        <w:t xml:space="preserve">That political union is a step too far is therefore generally accepted. However a less </w:t>
      </w:r>
      <w:r w:rsidR="00957BC1">
        <w:rPr>
          <w:rFonts w:ascii="Arial" w:eastAsiaTheme="minorHAnsi" w:hAnsi="Arial" w:cs="Arial"/>
          <w:sz w:val="24"/>
          <w:lang w:eastAsia="en-US"/>
        </w:rPr>
        <w:t>recognised implication</w:t>
      </w:r>
      <w:r w:rsidRPr="005C16D6">
        <w:rPr>
          <w:rFonts w:ascii="Arial" w:eastAsiaTheme="minorHAnsi" w:hAnsi="Arial" w:cs="Arial"/>
          <w:sz w:val="24"/>
          <w:lang w:eastAsia="en-US"/>
        </w:rPr>
        <w:t xml:space="preserve"> is that this </w:t>
      </w:r>
      <w:r w:rsidR="005168DA">
        <w:rPr>
          <w:rFonts w:ascii="Arial" w:eastAsiaTheme="minorHAnsi" w:hAnsi="Arial" w:cs="Arial"/>
          <w:sz w:val="24"/>
          <w:lang w:eastAsia="en-US"/>
        </w:rPr>
        <w:t>also</w:t>
      </w:r>
      <w:r w:rsidRPr="005C16D6">
        <w:rPr>
          <w:rFonts w:ascii="Arial" w:eastAsiaTheme="minorHAnsi" w:hAnsi="Arial" w:cs="Arial"/>
          <w:sz w:val="24"/>
          <w:lang w:eastAsia="en-US"/>
        </w:rPr>
        <w:t xml:space="preserve"> rules out or limits the scope for key elements of economic union as well, to </w:t>
      </w:r>
      <w:r w:rsidR="00251270">
        <w:rPr>
          <w:rFonts w:ascii="Arial" w:eastAsiaTheme="minorHAnsi" w:hAnsi="Arial" w:cs="Arial"/>
          <w:sz w:val="24"/>
          <w:lang w:eastAsia="en-US"/>
        </w:rPr>
        <w:t>the</w:t>
      </w:r>
      <w:r w:rsidRPr="005C16D6">
        <w:rPr>
          <w:rFonts w:ascii="Arial" w:eastAsiaTheme="minorHAnsi" w:hAnsi="Arial" w:cs="Arial"/>
          <w:sz w:val="24"/>
          <w:lang w:eastAsia="en-US"/>
        </w:rPr>
        <w:t xml:space="preserve"> extent that th</w:t>
      </w:r>
      <w:r w:rsidR="00251270">
        <w:rPr>
          <w:rFonts w:ascii="Arial" w:eastAsiaTheme="minorHAnsi" w:hAnsi="Arial" w:cs="Arial"/>
          <w:sz w:val="24"/>
          <w:lang w:eastAsia="en-US"/>
        </w:rPr>
        <w:t>ey</w:t>
      </w:r>
      <w:r w:rsidRPr="005C16D6">
        <w:rPr>
          <w:rFonts w:ascii="Arial" w:eastAsiaTheme="minorHAnsi" w:hAnsi="Arial" w:cs="Arial"/>
          <w:sz w:val="24"/>
          <w:lang w:eastAsia="en-US"/>
        </w:rPr>
        <w:t xml:space="preserve"> wo</w:t>
      </w:r>
      <w:r w:rsidR="00957BC1">
        <w:rPr>
          <w:rFonts w:ascii="Arial" w:eastAsiaTheme="minorHAnsi" w:hAnsi="Arial" w:cs="Arial"/>
          <w:sz w:val="24"/>
          <w:lang w:eastAsia="en-US"/>
        </w:rPr>
        <w:t>u</w:t>
      </w:r>
      <w:r w:rsidRPr="005C16D6">
        <w:rPr>
          <w:rFonts w:ascii="Arial" w:eastAsiaTheme="minorHAnsi" w:hAnsi="Arial" w:cs="Arial"/>
          <w:sz w:val="24"/>
          <w:lang w:eastAsia="en-US"/>
        </w:rPr>
        <w:t xml:space="preserve">ld effectively </w:t>
      </w:r>
      <w:r w:rsidR="00957BC1">
        <w:rPr>
          <w:rFonts w:ascii="Arial" w:eastAsiaTheme="minorHAnsi" w:hAnsi="Arial" w:cs="Arial"/>
          <w:sz w:val="24"/>
          <w:lang w:eastAsia="en-US"/>
        </w:rPr>
        <w:t>necessitate</w:t>
      </w:r>
      <w:r w:rsidRPr="005C16D6">
        <w:rPr>
          <w:rFonts w:ascii="Arial" w:eastAsiaTheme="minorHAnsi" w:hAnsi="Arial" w:cs="Arial"/>
          <w:sz w:val="24"/>
          <w:lang w:eastAsia="en-US"/>
        </w:rPr>
        <w:t xml:space="preserve"> </w:t>
      </w:r>
      <w:r w:rsidR="00957BC1" w:rsidRPr="005C16D6">
        <w:rPr>
          <w:rFonts w:ascii="Arial" w:eastAsiaTheme="minorHAnsi" w:hAnsi="Arial" w:cs="Arial"/>
          <w:sz w:val="24"/>
          <w:lang w:eastAsia="en-US"/>
        </w:rPr>
        <w:t>adher</w:t>
      </w:r>
      <w:r w:rsidR="00957BC1">
        <w:rPr>
          <w:rFonts w:ascii="Arial" w:eastAsiaTheme="minorHAnsi" w:hAnsi="Arial" w:cs="Arial"/>
          <w:sz w:val="24"/>
          <w:lang w:eastAsia="en-US"/>
        </w:rPr>
        <w:t>ence</w:t>
      </w:r>
      <w:r w:rsidRPr="005C16D6">
        <w:rPr>
          <w:rFonts w:ascii="Arial" w:eastAsiaTheme="minorHAnsi" w:hAnsi="Arial" w:cs="Arial"/>
          <w:sz w:val="24"/>
          <w:lang w:eastAsia="en-US"/>
        </w:rPr>
        <w:t xml:space="preserve"> to common policy/political positions over time. </w:t>
      </w:r>
      <w:r w:rsidR="00957BC1">
        <w:rPr>
          <w:rFonts w:ascii="Arial" w:eastAsiaTheme="minorHAnsi" w:hAnsi="Arial" w:cs="Arial"/>
          <w:sz w:val="24"/>
          <w:lang w:eastAsia="en-US"/>
        </w:rPr>
        <w:t>(</w:t>
      </w:r>
      <w:r w:rsidRPr="005C16D6">
        <w:rPr>
          <w:rFonts w:ascii="Arial" w:eastAsiaTheme="minorHAnsi" w:hAnsi="Arial" w:cs="Arial"/>
          <w:sz w:val="24"/>
          <w:lang w:eastAsia="en-US"/>
        </w:rPr>
        <w:t xml:space="preserve">Recent developments </w:t>
      </w:r>
      <w:r w:rsidR="00957BC1">
        <w:rPr>
          <w:rFonts w:ascii="Arial" w:eastAsiaTheme="minorHAnsi" w:hAnsi="Arial" w:cs="Arial"/>
          <w:sz w:val="24"/>
          <w:lang w:eastAsia="en-US"/>
        </w:rPr>
        <w:t>in</w:t>
      </w:r>
      <w:r w:rsidRPr="005C16D6">
        <w:rPr>
          <w:rFonts w:ascii="Arial" w:eastAsiaTheme="minorHAnsi" w:hAnsi="Arial" w:cs="Arial"/>
          <w:sz w:val="24"/>
          <w:lang w:eastAsia="en-US"/>
        </w:rPr>
        <w:t xml:space="preserve"> the European Union </w:t>
      </w:r>
      <w:r w:rsidR="00957BC1">
        <w:rPr>
          <w:rFonts w:ascii="Arial" w:eastAsiaTheme="minorHAnsi" w:hAnsi="Arial" w:cs="Arial"/>
          <w:sz w:val="24"/>
          <w:lang w:eastAsia="en-US"/>
        </w:rPr>
        <w:t>have been</w:t>
      </w:r>
      <w:r w:rsidRPr="005C16D6">
        <w:rPr>
          <w:rFonts w:ascii="Arial" w:eastAsiaTheme="minorHAnsi" w:hAnsi="Arial" w:cs="Arial"/>
          <w:sz w:val="24"/>
          <w:lang w:eastAsia="en-US"/>
        </w:rPr>
        <w:t xml:space="preserve"> instructive in this respect.</w:t>
      </w:r>
      <w:r w:rsidR="00957BC1">
        <w:rPr>
          <w:rFonts w:ascii="Arial" w:eastAsiaTheme="minorHAnsi" w:hAnsi="Arial" w:cs="Arial"/>
          <w:sz w:val="24"/>
          <w:lang w:eastAsia="en-US"/>
        </w:rPr>
        <w:t>)</w:t>
      </w:r>
    </w:p>
    <w:p w:rsidR="00395548" w:rsidRDefault="005C16D6" w:rsidP="005C16D6">
      <w:pPr>
        <w:spacing w:after="200" w:line="276" w:lineRule="auto"/>
        <w:jc w:val="both"/>
        <w:rPr>
          <w:rFonts w:ascii="Arial" w:eastAsiaTheme="minorHAnsi" w:hAnsi="Arial" w:cs="Arial"/>
          <w:sz w:val="24"/>
          <w:lang w:eastAsia="en-US"/>
        </w:rPr>
      </w:pPr>
      <w:r w:rsidRPr="005C16D6">
        <w:rPr>
          <w:rFonts w:ascii="Arial" w:eastAsiaTheme="minorHAnsi" w:hAnsi="Arial" w:cs="Arial"/>
          <w:sz w:val="24"/>
          <w:lang w:eastAsia="en-US"/>
        </w:rPr>
        <w:t>This was und</w:t>
      </w:r>
      <w:r w:rsidR="00957BC1">
        <w:rPr>
          <w:rFonts w:ascii="Arial" w:eastAsiaTheme="minorHAnsi" w:hAnsi="Arial" w:cs="Arial"/>
          <w:sz w:val="24"/>
          <w:lang w:eastAsia="en-US"/>
        </w:rPr>
        <w:t>erlined</w:t>
      </w:r>
      <w:r w:rsidRPr="005C16D6">
        <w:rPr>
          <w:rFonts w:ascii="Arial" w:eastAsiaTheme="minorHAnsi" w:hAnsi="Arial" w:cs="Arial"/>
          <w:sz w:val="24"/>
          <w:lang w:eastAsia="en-US"/>
        </w:rPr>
        <w:t xml:space="preserve"> by the react</w:t>
      </w:r>
      <w:r w:rsidR="00957BC1">
        <w:rPr>
          <w:rFonts w:ascii="Arial" w:eastAsiaTheme="minorHAnsi" w:hAnsi="Arial" w:cs="Arial"/>
          <w:sz w:val="24"/>
          <w:lang w:eastAsia="en-US"/>
        </w:rPr>
        <w:t>ion on both sides of the Tasman</w:t>
      </w:r>
      <w:r w:rsidRPr="005C16D6">
        <w:rPr>
          <w:rFonts w:ascii="Arial" w:eastAsiaTheme="minorHAnsi" w:hAnsi="Arial" w:cs="Arial"/>
          <w:sz w:val="24"/>
          <w:lang w:eastAsia="en-US"/>
        </w:rPr>
        <w:t xml:space="preserve"> to the brief mention </w:t>
      </w:r>
      <w:r w:rsidR="00957BC1">
        <w:rPr>
          <w:rFonts w:ascii="Arial" w:eastAsiaTheme="minorHAnsi" w:hAnsi="Arial" w:cs="Arial"/>
          <w:sz w:val="24"/>
          <w:lang w:eastAsia="en-US"/>
        </w:rPr>
        <w:t>in our Issues Paper</w:t>
      </w:r>
      <w:r w:rsidR="00395548">
        <w:rPr>
          <w:rFonts w:ascii="Arial" w:eastAsiaTheme="minorHAnsi" w:hAnsi="Arial" w:cs="Arial"/>
          <w:sz w:val="24"/>
          <w:lang w:eastAsia="en-US"/>
        </w:rPr>
        <w:t xml:space="preserve"> of a common currency</w:t>
      </w:r>
      <w:r w:rsidR="00957BC1">
        <w:rPr>
          <w:rFonts w:ascii="Arial" w:eastAsiaTheme="minorHAnsi" w:hAnsi="Arial" w:cs="Arial"/>
          <w:sz w:val="24"/>
          <w:lang w:eastAsia="en-US"/>
        </w:rPr>
        <w:t xml:space="preserve">. </w:t>
      </w:r>
      <w:r w:rsidRPr="005C16D6">
        <w:rPr>
          <w:rFonts w:ascii="Arial" w:eastAsiaTheme="minorHAnsi" w:hAnsi="Arial" w:cs="Arial"/>
          <w:sz w:val="24"/>
          <w:lang w:eastAsia="en-US"/>
        </w:rPr>
        <w:t xml:space="preserve">This is an idea that has been raised and rejected more than once in the past. A key argument against it is manifest in Australia’s recent mining boom and the appreciation of </w:t>
      </w:r>
      <w:r w:rsidR="00251270">
        <w:rPr>
          <w:rFonts w:ascii="Arial" w:eastAsiaTheme="minorHAnsi" w:hAnsi="Arial" w:cs="Arial"/>
          <w:sz w:val="24"/>
          <w:lang w:eastAsia="en-US"/>
        </w:rPr>
        <w:t>Australia’s dollar</w:t>
      </w:r>
      <w:r w:rsidRPr="005C16D6">
        <w:rPr>
          <w:rFonts w:ascii="Arial" w:eastAsiaTheme="minorHAnsi" w:hAnsi="Arial" w:cs="Arial"/>
          <w:sz w:val="24"/>
          <w:lang w:eastAsia="en-US"/>
        </w:rPr>
        <w:t xml:space="preserve"> relative to </w:t>
      </w:r>
      <w:r w:rsidR="00395548">
        <w:rPr>
          <w:rFonts w:ascii="Arial" w:eastAsiaTheme="minorHAnsi" w:hAnsi="Arial" w:cs="Arial"/>
          <w:sz w:val="24"/>
          <w:lang w:eastAsia="en-US"/>
        </w:rPr>
        <w:t xml:space="preserve">that of </w:t>
      </w:r>
      <w:r w:rsidRPr="005C16D6">
        <w:rPr>
          <w:rFonts w:ascii="Arial" w:eastAsiaTheme="minorHAnsi" w:hAnsi="Arial" w:cs="Arial"/>
          <w:sz w:val="24"/>
          <w:lang w:eastAsia="en-US"/>
        </w:rPr>
        <w:t xml:space="preserve">New Zealand. </w:t>
      </w:r>
    </w:p>
    <w:p w:rsidR="00395548" w:rsidRDefault="005C16D6" w:rsidP="005C16D6">
      <w:pPr>
        <w:spacing w:after="200" w:line="276" w:lineRule="auto"/>
        <w:jc w:val="both"/>
        <w:rPr>
          <w:rFonts w:ascii="Arial" w:eastAsiaTheme="minorHAnsi" w:hAnsi="Arial" w:cs="Arial"/>
          <w:sz w:val="24"/>
          <w:lang w:eastAsia="en-US"/>
        </w:rPr>
      </w:pPr>
      <w:r w:rsidRPr="005C16D6">
        <w:rPr>
          <w:rFonts w:ascii="Arial" w:eastAsiaTheme="minorHAnsi" w:hAnsi="Arial" w:cs="Arial"/>
          <w:sz w:val="24"/>
          <w:lang w:eastAsia="en-US"/>
        </w:rPr>
        <w:t xml:space="preserve">Countries with different economic structures and conditions will face differential pressures for adjustment through their exchange rates. Within a Federation the adverse impacts stemming from the absence of such a mechanism can be </w:t>
      </w:r>
      <w:r w:rsidR="00395548">
        <w:rPr>
          <w:rFonts w:ascii="Arial" w:eastAsiaTheme="minorHAnsi" w:hAnsi="Arial" w:cs="Arial"/>
          <w:sz w:val="24"/>
          <w:lang w:eastAsia="en-US"/>
        </w:rPr>
        <w:t>at least partly alleviated</w:t>
      </w:r>
      <w:r w:rsidRPr="005C16D6">
        <w:rPr>
          <w:rFonts w:ascii="Arial" w:eastAsiaTheme="minorHAnsi" w:hAnsi="Arial" w:cs="Arial"/>
          <w:sz w:val="24"/>
          <w:lang w:eastAsia="en-US"/>
        </w:rPr>
        <w:t xml:space="preserve"> th</w:t>
      </w:r>
      <w:r w:rsidR="00395548">
        <w:rPr>
          <w:rFonts w:ascii="Arial" w:eastAsiaTheme="minorHAnsi" w:hAnsi="Arial" w:cs="Arial"/>
          <w:sz w:val="24"/>
          <w:lang w:eastAsia="en-US"/>
        </w:rPr>
        <w:t>r</w:t>
      </w:r>
      <w:r w:rsidRPr="005C16D6">
        <w:rPr>
          <w:rFonts w:ascii="Arial" w:eastAsiaTheme="minorHAnsi" w:hAnsi="Arial" w:cs="Arial"/>
          <w:sz w:val="24"/>
          <w:lang w:eastAsia="en-US"/>
        </w:rPr>
        <w:t>ough fiscal</w:t>
      </w:r>
      <w:r w:rsidR="00395548">
        <w:rPr>
          <w:rFonts w:ascii="Arial" w:eastAsiaTheme="minorHAnsi" w:hAnsi="Arial" w:cs="Arial"/>
          <w:sz w:val="24"/>
          <w:lang w:eastAsia="en-US"/>
        </w:rPr>
        <w:t xml:space="preserve"> transfers. But that requires </w:t>
      </w:r>
      <w:r w:rsidR="005926B0">
        <w:rPr>
          <w:rFonts w:ascii="Arial" w:eastAsiaTheme="minorHAnsi" w:hAnsi="Arial" w:cs="Arial"/>
          <w:sz w:val="24"/>
          <w:lang w:eastAsia="en-US"/>
        </w:rPr>
        <w:t>a ‘</w:t>
      </w:r>
      <w:r w:rsidR="00395548">
        <w:rPr>
          <w:rFonts w:ascii="Arial" w:eastAsiaTheme="minorHAnsi" w:hAnsi="Arial" w:cs="Arial"/>
          <w:sz w:val="24"/>
          <w:lang w:eastAsia="en-US"/>
        </w:rPr>
        <w:t>n</w:t>
      </w:r>
      <w:r w:rsidRPr="005C16D6">
        <w:rPr>
          <w:rFonts w:ascii="Arial" w:eastAsiaTheme="minorHAnsi" w:hAnsi="Arial" w:cs="Arial"/>
          <w:sz w:val="24"/>
          <w:lang w:eastAsia="en-US"/>
        </w:rPr>
        <w:t>ational</w:t>
      </w:r>
      <w:r w:rsidR="005926B0">
        <w:rPr>
          <w:rFonts w:ascii="Arial" w:eastAsiaTheme="minorHAnsi" w:hAnsi="Arial" w:cs="Arial"/>
          <w:sz w:val="24"/>
          <w:lang w:eastAsia="en-US"/>
        </w:rPr>
        <w:t>’ government</w:t>
      </w:r>
      <w:r w:rsidR="00395548">
        <w:rPr>
          <w:rFonts w:ascii="Arial" w:eastAsiaTheme="minorHAnsi" w:hAnsi="Arial" w:cs="Arial"/>
          <w:sz w:val="24"/>
          <w:lang w:eastAsia="en-US"/>
        </w:rPr>
        <w:t>. (A</w:t>
      </w:r>
      <w:r w:rsidRPr="005C16D6">
        <w:rPr>
          <w:rFonts w:ascii="Arial" w:eastAsiaTheme="minorHAnsi" w:hAnsi="Arial" w:cs="Arial"/>
          <w:sz w:val="24"/>
          <w:lang w:eastAsia="en-US"/>
        </w:rPr>
        <w:t xml:space="preserve">nd even then </w:t>
      </w:r>
      <w:r w:rsidR="00395548">
        <w:rPr>
          <w:rFonts w:ascii="Arial" w:eastAsiaTheme="minorHAnsi" w:hAnsi="Arial" w:cs="Arial"/>
          <w:sz w:val="24"/>
          <w:lang w:eastAsia="en-US"/>
        </w:rPr>
        <w:t xml:space="preserve">it </w:t>
      </w:r>
      <w:r w:rsidRPr="005C16D6">
        <w:rPr>
          <w:rFonts w:ascii="Arial" w:eastAsiaTheme="minorHAnsi" w:hAnsi="Arial" w:cs="Arial"/>
          <w:sz w:val="24"/>
          <w:lang w:eastAsia="en-US"/>
        </w:rPr>
        <w:t xml:space="preserve">is not without difficulties, as the recent controversy over the </w:t>
      </w:r>
      <w:r w:rsidRPr="005C16D6">
        <w:rPr>
          <w:rFonts w:ascii="Arial" w:eastAsiaTheme="minorHAnsi" w:hAnsi="Arial" w:cs="Arial"/>
          <w:sz w:val="24"/>
          <w:lang w:eastAsia="en-US"/>
        </w:rPr>
        <w:lastRenderedPageBreak/>
        <w:t>extent of the transfers under A</w:t>
      </w:r>
      <w:r w:rsidR="00D468ED">
        <w:rPr>
          <w:rFonts w:ascii="Arial" w:eastAsiaTheme="minorHAnsi" w:hAnsi="Arial" w:cs="Arial"/>
          <w:sz w:val="24"/>
          <w:lang w:eastAsia="en-US"/>
        </w:rPr>
        <w:t>ustralia’s elaborate system of Horizontal Fiscal Equalisation</w:t>
      </w:r>
      <w:r w:rsidRPr="005C16D6">
        <w:rPr>
          <w:rFonts w:ascii="Arial" w:eastAsiaTheme="minorHAnsi" w:hAnsi="Arial" w:cs="Arial"/>
          <w:sz w:val="24"/>
          <w:lang w:eastAsia="en-US"/>
        </w:rPr>
        <w:t xml:space="preserve"> demonstrates). </w:t>
      </w:r>
    </w:p>
    <w:p w:rsidR="005C16D6" w:rsidRPr="005C16D6" w:rsidRDefault="005C16D6" w:rsidP="005C16D6">
      <w:pPr>
        <w:spacing w:after="200" w:line="276" w:lineRule="auto"/>
        <w:jc w:val="both"/>
        <w:rPr>
          <w:rFonts w:ascii="Arial" w:eastAsiaTheme="minorHAnsi" w:hAnsi="Arial" w:cs="Arial"/>
          <w:sz w:val="24"/>
          <w:lang w:eastAsia="en-US"/>
        </w:rPr>
      </w:pPr>
      <w:r w:rsidRPr="005C16D6">
        <w:rPr>
          <w:rFonts w:ascii="Arial" w:eastAsiaTheme="minorHAnsi" w:hAnsi="Arial" w:cs="Arial"/>
          <w:sz w:val="24"/>
          <w:lang w:eastAsia="en-US"/>
        </w:rPr>
        <w:t>Even if two countries had identical economic structures, and therefore identical ‘shocks’ through trade, their fiscal and m</w:t>
      </w:r>
      <w:r w:rsidR="00856460">
        <w:rPr>
          <w:rFonts w:ascii="Arial" w:eastAsiaTheme="minorHAnsi" w:hAnsi="Arial" w:cs="Arial"/>
          <w:sz w:val="24"/>
          <w:lang w:eastAsia="en-US"/>
        </w:rPr>
        <w:t>onetary</w:t>
      </w:r>
      <w:r w:rsidRPr="005C16D6">
        <w:rPr>
          <w:rFonts w:ascii="Arial" w:eastAsiaTheme="minorHAnsi" w:hAnsi="Arial" w:cs="Arial"/>
          <w:sz w:val="24"/>
          <w:lang w:eastAsia="en-US"/>
        </w:rPr>
        <w:t xml:space="preserve"> policies may diverge for  reasons </w:t>
      </w:r>
      <w:r w:rsidR="00856460">
        <w:rPr>
          <w:rFonts w:ascii="Arial" w:eastAsiaTheme="minorHAnsi" w:hAnsi="Arial" w:cs="Arial"/>
          <w:sz w:val="24"/>
          <w:lang w:eastAsia="en-US"/>
        </w:rPr>
        <w:t>that</w:t>
      </w:r>
      <w:r w:rsidRPr="005C16D6">
        <w:rPr>
          <w:rFonts w:ascii="Arial" w:eastAsiaTheme="minorHAnsi" w:hAnsi="Arial" w:cs="Arial"/>
          <w:sz w:val="24"/>
          <w:lang w:eastAsia="en-US"/>
        </w:rPr>
        <w:t xml:space="preserve"> have more to do with democracy than economics. And under a common currency any </w:t>
      </w:r>
      <w:r w:rsidR="00856460">
        <w:rPr>
          <w:rFonts w:ascii="Arial" w:eastAsiaTheme="minorHAnsi" w:hAnsi="Arial" w:cs="Arial"/>
          <w:sz w:val="24"/>
          <w:lang w:eastAsia="en-US"/>
        </w:rPr>
        <w:t>such</w:t>
      </w:r>
      <w:r w:rsidRPr="005C16D6">
        <w:rPr>
          <w:rFonts w:ascii="Arial" w:eastAsiaTheme="minorHAnsi" w:hAnsi="Arial" w:cs="Arial"/>
          <w:sz w:val="24"/>
          <w:lang w:eastAsia="en-US"/>
        </w:rPr>
        <w:t xml:space="preserve"> divergence would give ris</w:t>
      </w:r>
      <w:r w:rsidR="00856460">
        <w:rPr>
          <w:rFonts w:ascii="Arial" w:eastAsiaTheme="minorHAnsi" w:hAnsi="Arial" w:cs="Arial"/>
          <w:sz w:val="24"/>
          <w:lang w:eastAsia="en-US"/>
        </w:rPr>
        <w:t>e</w:t>
      </w:r>
      <w:r w:rsidRPr="005C16D6">
        <w:rPr>
          <w:rFonts w:ascii="Arial" w:eastAsiaTheme="minorHAnsi" w:hAnsi="Arial" w:cs="Arial"/>
          <w:sz w:val="24"/>
          <w:lang w:eastAsia="en-US"/>
        </w:rPr>
        <w:t xml:space="preserve"> to costs for on</w:t>
      </w:r>
      <w:r w:rsidR="00856460">
        <w:rPr>
          <w:rFonts w:ascii="Arial" w:eastAsiaTheme="minorHAnsi" w:hAnsi="Arial" w:cs="Arial"/>
          <w:sz w:val="24"/>
          <w:lang w:eastAsia="en-US"/>
        </w:rPr>
        <w:t>e</w:t>
      </w:r>
      <w:r w:rsidRPr="005C16D6">
        <w:rPr>
          <w:rFonts w:ascii="Arial" w:eastAsiaTheme="minorHAnsi" w:hAnsi="Arial" w:cs="Arial"/>
          <w:sz w:val="24"/>
          <w:lang w:eastAsia="en-US"/>
        </w:rPr>
        <w:t xml:space="preserve"> party.</w:t>
      </w:r>
    </w:p>
    <w:p w:rsidR="00251270" w:rsidRDefault="005C16D6" w:rsidP="005C16D6">
      <w:pPr>
        <w:spacing w:after="200" w:line="276" w:lineRule="auto"/>
        <w:jc w:val="both"/>
        <w:rPr>
          <w:rFonts w:ascii="Arial" w:eastAsiaTheme="minorHAnsi" w:hAnsi="Arial" w:cs="Arial"/>
          <w:sz w:val="24"/>
          <w:lang w:eastAsia="en-US"/>
        </w:rPr>
      </w:pPr>
      <w:r w:rsidRPr="005C16D6">
        <w:rPr>
          <w:rFonts w:ascii="Arial" w:eastAsiaTheme="minorHAnsi" w:hAnsi="Arial" w:cs="Arial"/>
          <w:sz w:val="24"/>
          <w:lang w:eastAsia="en-US"/>
        </w:rPr>
        <w:t>Regulatory harmonisation also test</w:t>
      </w:r>
      <w:r w:rsidR="00856460">
        <w:rPr>
          <w:rFonts w:ascii="Arial" w:eastAsiaTheme="minorHAnsi" w:hAnsi="Arial" w:cs="Arial"/>
          <w:sz w:val="24"/>
          <w:lang w:eastAsia="en-US"/>
        </w:rPr>
        <w:t>s</w:t>
      </w:r>
      <w:r w:rsidRPr="005C16D6">
        <w:rPr>
          <w:rFonts w:ascii="Arial" w:eastAsiaTheme="minorHAnsi" w:hAnsi="Arial" w:cs="Arial"/>
          <w:sz w:val="24"/>
          <w:lang w:eastAsia="en-US"/>
        </w:rPr>
        <w:t xml:space="preserve"> the boundaries of </w:t>
      </w:r>
      <w:r w:rsidR="00856460" w:rsidRPr="005C16D6">
        <w:rPr>
          <w:rFonts w:ascii="Arial" w:eastAsiaTheme="minorHAnsi" w:hAnsi="Arial" w:cs="Arial"/>
          <w:sz w:val="24"/>
          <w:lang w:eastAsia="en-US"/>
        </w:rPr>
        <w:t>sovereign</w:t>
      </w:r>
      <w:r w:rsidR="00856460">
        <w:rPr>
          <w:rFonts w:ascii="Arial" w:eastAsiaTheme="minorHAnsi" w:hAnsi="Arial" w:cs="Arial"/>
          <w:sz w:val="24"/>
          <w:lang w:eastAsia="en-US"/>
        </w:rPr>
        <w:t>ty. G</w:t>
      </w:r>
      <w:r w:rsidRPr="005C16D6">
        <w:rPr>
          <w:rFonts w:ascii="Arial" w:eastAsiaTheme="minorHAnsi" w:hAnsi="Arial" w:cs="Arial"/>
          <w:sz w:val="24"/>
          <w:lang w:eastAsia="en-US"/>
        </w:rPr>
        <w:t>overnments will cede aut</w:t>
      </w:r>
      <w:r w:rsidR="00856460">
        <w:rPr>
          <w:rFonts w:ascii="Arial" w:eastAsiaTheme="minorHAnsi" w:hAnsi="Arial" w:cs="Arial"/>
          <w:sz w:val="24"/>
          <w:lang w:eastAsia="en-US"/>
        </w:rPr>
        <w:t>onomy</w:t>
      </w:r>
      <w:r w:rsidRPr="005C16D6">
        <w:rPr>
          <w:rFonts w:ascii="Arial" w:eastAsiaTheme="minorHAnsi" w:hAnsi="Arial" w:cs="Arial"/>
          <w:sz w:val="24"/>
          <w:lang w:eastAsia="en-US"/>
        </w:rPr>
        <w:t xml:space="preserve"> over those areas of regulation where they see  larger benefits to their constituencies — either through the reduction of transaction costs or to constrain decisions that could otherwise favour speci</w:t>
      </w:r>
      <w:r w:rsidR="00856460">
        <w:rPr>
          <w:rFonts w:ascii="Arial" w:eastAsiaTheme="minorHAnsi" w:hAnsi="Arial" w:cs="Arial"/>
          <w:sz w:val="24"/>
          <w:lang w:eastAsia="en-US"/>
        </w:rPr>
        <w:t>al interests at collective cost</w:t>
      </w:r>
      <w:r w:rsidRPr="005C16D6">
        <w:rPr>
          <w:rFonts w:ascii="Arial" w:eastAsiaTheme="minorHAnsi" w:hAnsi="Arial" w:cs="Arial"/>
          <w:sz w:val="24"/>
          <w:lang w:eastAsia="en-US"/>
        </w:rPr>
        <w:t xml:space="preserve">. Tariff policy is a case in point (though other forms of protection have </w:t>
      </w:r>
      <w:r w:rsidR="00856460">
        <w:rPr>
          <w:rFonts w:ascii="Arial" w:eastAsiaTheme="minorHAnsi" w:hAnsi="Arial" w:cs="Arial"/>
          <w:sz w:val="24"/>
          <w:lang w:eastAsia="en-US"/>
        </w:rPr>
        <w:t>had a habit of breaking out</w:t>
      </w:r>
      <w:r w:rsidRPr="005C16D6">
        <w:rPr>
          <w:rFonts w:ascii="Arial" w:eastAsiaTheme="minorHAnsi" w:hAnsi="Arial" w:cs="Arial"/>
          <w:sz w:val="24"/>
          <w:lang w:eastAsia="en-US"/>
        </w:rPr>
        <w:t xml:space="preserve">). </w:t>
      </w:r>
    </w:p>
    <w:p w:rsidR="005C16D6" w:rsidRDefault="005168DA" w:rsidP="005C16D6">
      <w:pPr>
        <w:spacing w:after="200" w:line="276" w:lineRule="auto"/>
        <w:jc w:val="both"/>
        <w:rPr>
          <w:rFonts w:ascii="Arial" w:eastAsiaTheme="minorHAnsi" w:hAnsi="Arial" w:cs="Arial"/>
          <w:sz w:val="24"/>
          <w:lang w:eastAsia="en-US"/>
        </w:rPr>
      </w:pPr>
      <w:r>
        <w:rPr>
          <w:rFonts w:ascii="Arial" w:eastAsiaTheme="minorHAnsi" w:hAnsi="Arial" w:cs="Arial"/>
          <w:sz w:val="24"/>
          <w:lang w:eastAsia="en-US"/>
        </w:rPr>
        <w:t>M</w:t>
      </w:r>
      <w:r w:rsidR="005C16D6" w:rsidRPr="005C16D6">
        <w:rPr>
          <w:rFonts w:ascii="Arial" w:eastAsiaTheme="minorHAnsi" w:hAnsi="Arial" w:cs="Arial"/>
          <w:sz w:val="24"/>
          <w:lang w:eastAsia="en-US"/>
        </w:rPr>
        <w:t>any areas of regulation reflect local circumstances or preference</w:t>
      </w:r>
      <w:r w:rsidR="002E5848">
        <w:rPr>
          <w:rFonts w:ascii="Arial" w:eastAsiaTheme="minorHAnsi" w:hAnsi="Arial" w:cs="Arial"/>
          <w:sz w:val="24"/>
          <w:lang w:eastAsia="en-US"/>
        </w:rPr>
        <w:t>s</w:t>
      </w:r>
      <w:r w:rsidR="005C16D6" w:rsidRPr="005C16D6">
        <w:rPr>
          <w:rFonts w:ascii="Arial" w:eastAsiaTheme="minorHAnsi" w:hAnsi="Arial" w:cs="Arial"/>
          <w:sz w:val="24"/>
          <w:lang w:eastAsia="en-US"/>
        </w:rPr>
        <w:t xml:space="preserve"> — economic,  environmental or s</w:t>
      </w:r>
      <w:r w:rsidR="002E5848">
        <w:rPr>
          <w:rFonts w:ascii="Arial" w:eastAsiaTheme="minorHAnsi" w:hAnsi="Arial" w:cs="Arial"/>
          <w:sz w:val="24"/>
          <w:lang w:eastAsia="en-US"/>
        </w:rPr>
        <w:t>ocial</w:t>
      </w:r>
      <w:r w:rsidR="005C16D6" w:rsidRPr="005C16D6">
        <w:rPr>
          <w:rFonts w:ascii="Arial" w:eastAsiaTheme="minorHAnsi" w:hAnsi="Arial" w:cs="Arial"/>
          <w:sz w:val="24"/>
          <w:lang w:eastAsia="en-US"/>
        </w:rPr>
        <w:t xml:space="preserve"> — and governments rightly resist </w:t>
      </w:r>
      <w:r w:rsidR="002E5848">
        <w:rPr>
          <w:rFonts w:ascii="Arial" w:eastAsiaTheme="minorHAnsi" w:hAnsi="Arial" w:cs="Arial"/>
          <w:sz w:val="24"/>
          <w:lang w:eastAsia="en-US"/>
        </w:rPr>
        <w:t>ceding</w:t>
      </w:r>
      <w:r w:rsidR="005C16D6" w:rsidRPr="005C16D6">
        <w:rPr>
          <w:rFonts w:ascii="Arial" w:eastAsiaTheme="minorHAnsi" w:hAnsi="Arial" w:cs="Arial"/>
          <w:sz w:val="24"/>
          <w:lang w:eastAsia="en-US"/>
        </w:rPr>
        <w:t xml:space="preserve"> autonomy whe</w:t>
      </w:r>
      <w:r w:rsidR="002E5848">
        <w:rPr>
          <w:rFonts w:ascii="Arial" w:eastAsiaTheme="minorHAnsi" w:hAnsi="Arial" w:cs="Arial"/>
          <w:sz w:val="24"/>
          <w:lang w:eastAsia="en-US"/>
        </w:rPr>
        <w:t>re their electorates expect them</w:t>
      </w:r>
      <w:r w:rsidR="005C16D6" w:rsidRPr="005C16D6">
        <w:rPr>
          <w:rFonts w:ascii="Arial" w:eastAsiaTheme="minorHAnsi" w:hAnsi="Arial" w:cs="Arial"/>
          <w:sz w:val="24"/>
          <w:lang w:eastAsia="en-US"/>
        </w:rPr>
        <w:t xml:space="preserve"> to be responsive and will hold them accountable. So it wo</w:t>
      </w:r>
      <w:r w:rsidR="002E5848">
        <w:rPr>
          <w:rFonts w:ascii="Arial" w:eastAsiaTheme="minorHAnsi" w:hAnsi="Arial" w:cs="Arial"/>
          <w:sz w:val="24"/>
          <w:lang w:eastAsia="en-US"/>
        </w:rPr>
        <w:t>u</w:t>
      </w:r>
      <w:r w:rsidR="005C16D6" w:rsidRPr="005C16D6">
        <w:rPr>
          <w:rFonts w:ascii="Arial" w:eastAsiaTheme="minorHAnsi" w:hAnsi="Arial" w:cs="Arial"/>
          <w:sz w:val="24"/>
          <w:lang w:eastAsia="en-US"/>
        </w:rPr>
        <w:t xml:space="preserve">ld be idle to expect our two governments to agree to harmonise many environmental regulations, for example, even where </w:t>
      </w:r>
      <w:r w:rsidR="002E5848">
        <w:rPr>
          <w:rFonts w:ascii="Arial" w:eastAsiaTheme="minorHAnsi" w:hAnsi="Arial" w:cs="Arial"/>
          <w:sz w:val="24"/>
          <w:lang w:eastAsia="en-US"/>
        </w:rPr>
        <w:t>existing</w:t>
      </w:r>
      <w:r w:rsidR="005C16D6" w:rsidRPr="005C16D6">
        <w:rPr>
          <w:rFonts w:ascii="Arial" w:eastAsiaTheme="minorHAnsi" w:hAnsi="Arial" w:cs="Arial"/>
          <w:sz w:val="24"/>
          <w:lang w:eastAsia="en-US"/>
        </w:rPr>
        <w:t xml:space="preserve"> differences impose costs on business. Even in areas of business regulation harmonisation can  be difficult to achieve, as Australia’s experience in areas such as rail safety, Chemicals and OHS illustrates. To be achievable, </w:t>
      </w:r>
      <w:r w:rsidR="002E5848">
        <w:rPr>
          <w:rFonts w:ascii="Arial" w:eastAsiaTheme="minorHAnsi" w:hAnsi="Arial" w:cs="Arial"/>
          <w:sz w:val="24"/>
          <w:lang w:eastAsia="en-US"/>
        </w:rPr>
        <w:t xml:space="preserve">the </w:t>
      </w:r>
      <w:r w:rsidR="005C16D6" w:rsidRPr="005C16D6">
        <w:rPr>
          <w:rFonts w:ascii="Arial" w:eastAsiaTheme="minorHAnsi" w:hAnsi="Arial" w:cs="Arial"/>
          <w:sz w:val="24"/>
          <w:lang w:eastAsia="en-US"/>
        </w:rPr>
        <w:t>harmonisation of sovereign areas of regulation requires a common understanding that the benefits of the harmonised option will exceed the costs</w:t>
      </w:r>
      <w:r w:rsidR="002E5848">
        <w:rPr>
          <w:rFonts w:ascii="Arial" w:eastAsiaTheme="minorHAnsi" w:hAnsi="Arial" w:cs="Arial"/>
          <w:sz w:val="24"/>
          <w:lang w:eastAsia="en-US"/>
        </w:rPr>
        <w:t xml:space="preserve"> for both parties</w:t>
      </w:r>
      <w:r w:rsidR="005C16D6" w:rsidRPr="005C16D6">
        <w:rPr>
          <w:rFonts w:ascii="Arial" w:eastAsiaTheme="minorHAnsi" w:hAnsi="Arial" w:cs="Arial"/>
          <w:sz w:val="24"/>
          <w:lang w:eastAsia="en-US"/>
        </w:rPr>
        <w:t>,</w:t>
      </w:r>
      <w:r w:rsidR="002E5848">
        <w:rPr>
          <w:rFonts w:ascii="Arial" w:eastAsiaTheme="minorHAnsi" w:hAnsi="Arial" w:cs="Arial"/>
          <w:sz w:val="24"/>
          <w:lang w:eastAsia="en-US"/>
        </w:rPr>
        <w:t xml:space="preserve"> not only in the immediate term</w:t>
      </w:r>
      <w:r w:rsidR="005C16D6" w:rsidRPr="005C16D6">
        <w:rPr>
          <w:rFonts w:ascii="Arial" w:eastAsiaTheme="minorHAnsi" w:hAnsi="Arial" w:cs="Arial"/>
          <w:sz w:val="24"/>
          <w:lang w:eastAsia="en-US"/>
        </w:rPr>
        <w:t xml:space="preserve"> but </w:t>
      </w:r>
      <w:r>
        <w:rPr>
          <w:rFonts w:ascii="Arial" w:eastAsiaTheme="minorHAnsi" w:hAnsi="Arial" w:cs="Arial"/>
          <w:sz w:val="24"/>
          <w:lang w:eastAsia="en-US"/>
        </w:rPr>
        <w:t xml:space="preserve">also </w:t>
      </w:r>
      <w:r w:rsidR="005C16D6" w:rsidRPr="005C16D6">
        <w:rPr>
          <w:rFonts w:ascii="Arial" w:eastAsiaTheme="minorHAnsi" w:hAnsi="Arial" w:cs="Arial"/>
          <w:sz w:val="24"/>
          <w:lang w:eastAsia="en-US"/>
        </w:rPr>
        <w:t>into the (uncertain) future.</w:t>
      </w:r>
    </w:p>
    <w:p w:rsidR="00813ABD" w:rsidRDefault="000578AC" w:rsidP="00333B2F">
      <w:pPr>
        <w:pStyle w:val="BodyText"/>
      </w:pPr>
      <w:r>
        <w:t>While</w:t>
      </w:r>
      <w:r w:rsidR="00BE1077">
        <w:t xml:space="preserve"> the ‘highest’ levels of integration </w:t>
      </w:r>
      <w:r>
        <w:t>in the textbook hierarchy are therefore unlikely to eventuate, s</w:t>
      </w:r>
      <w:r w:rsidR="0002281A">
        <w:t>imil</w:t>
      </w:r>
      <w:r w:rsidR="005932B7">
        <w:t xml:space="preserve">arities in culture, institutions and values bode well for </w:t>
      </w:r>
      <w:r w:rsidR="00BB72FF">
        <w:t>deeper</w:t>
      </w:r>
      <w:r w:rsidR="005932B7">
        <w:t xml:space="preserve"> economic integration between </w:t>
      </w:r>
      <w:r w:rsidR="00E01854">
        <w:t>our</w:t>
      </w:r>
      <w:r w:rsidR="005932B7">
        <w:t xml:space="preserve"> two countries</w:t>
      </w:r>
      <w:r w:rsidR="0002281A">
        <w:t xml:space="preserve"> than could be expected </w:t>
      </w:r>
      <w:r w:rsidR="00BA5B0F">
        <w:t>wi</w:t>
      </w:r>
      <w:r w:rsidR="004A1829">
        <w:t>th</w:t>
      </w:r>
      <w:r w:rsidR="0002281A">
        <w:t xml:space="preserve"> any third country</w:t>
      </w:r>
      <w:r w:rsidR="005932B7">
        <w:t xml:space="preserve">. </w:t>
      </w:r>
      <w:r w:rsidR="005C16D6" w:rsidRPr="00F810A0">
        <w:rPr>
          <w:rFonts w:cs="Arial"/>
          <w:szCs w:val="24"/>
        </w:rPr>
        <w:t>As Australia’s Prime Minister recently exp</w:t>
      </w:r>
      <w:r w:rsidR="004A1829">
        <w:rPr>
          <w:rFonts w:cs="Arial"/>
          <w:szCs w:val="24"/>
        </w:rPr>
        <w:t>ressed</w:t>
      </w:r>
      <w:r w:rsidR="005C16D6" w:rsidRPr="00F810A0">
        <w:rPr>
          <w:rFonts w:cs="Arial"/>
          <w:szCs w:val="24"/>
        </w:rPr>
        <w:t xml:space="preserve"> it, New Zealand is ‘family’. That also means that decisions about our economic relations wi</w:t>
      </w:r>
      <w:r w:rsidR="004A1829">
        <w:rPr>
          <w:rFonts w:cs="Arial"/>
          <w:szCs w:val="24"/>
        </w:rPr>
        <w:t>ll</w:t>
      </w:r>
      <w:r w:rsidR="005C16D6" w:rsidRPr="00F810A0">
        <w:rPr>
          <w:rFonts w:cs="Arial"/>
          <w:szCs w:val="24"/>
        </w:rPr>
        <w:t xml:space="preserve"> inevitably </w:t>
      </w:r>
      <w:r w:rsidR="00BA5B0F">
        <w:rPr>
          <w:rFonts w:cs="Arial"/>
          <w:szCs w:val="24"/>
        </w:rPr>
        <w:t xml:space="preserve">be driven by </w:t>
      </w:r>
      <w:r w:rsidR="005C16D6" w:rsidRPr="00F810A0">
        <w:rPr>
          <w:rFonts w:cs="Arial"/>
          <w:szCs w:val="24"/>
        </w:rPr>
        <w:t xml:space="preserve">more than a narrow </w:t>
      </w:r>
      <w:r w:rsidR="00BA5B0F">
        <w:rPr>
          <w:rFonts w:cs="Arial"/>
          <w:szCs w:val="24"/>
        </w:rPr>
        <w:t>economic calculation</w:t>
      </w:r>
      <w:r w:rsidR="005C16D6" w:rsidRPr="00F810A0">
        <w:rPr>
          <w:rFonts w:cs="Arial"/>
          <w:szCs w:val="24"/>
        </w:rPr>
        <w:t xml:space="preserve"> of national benefit on either side of the Tasman</w:t>
      </w:r>
      <w:r w:rsidR="005C16D6">
        <w:rPr>
          <w:rFonts w:cs="Arial"/>
          <w:szCs w:val="24"/>
        </w:rPr>
        <w:t>.</w:t>
      </w:r>
    </w:p>
    <w:p w:rsidR="005932B7" w:rsidRDefault="00E01854" w:rsidP="005932B7">
      <w:pPr>
        <w:pStyle w:val="Heading4"/>
      </w:pPr>
      <w:r>
        <w:t>T</w:t>
      </w:r>
      <w:r w:rsidR="005932B7">
        <w:t xml:space="preserve">he benefits </w:t>
      </w:r>
      <w:r w:rsidR="00BA5B0F">
        <w:t xml:space="preserve">must </w:t>
      </w:r>
      <w:r>
        <w:t>outweigh the costs (overall)</w:t>
      </w:r>
    </w:p>
    <w:p w:rsidR="00BA5B0F" w:rsidRDefault="00724DA8" w:rsidP="005C16D6">
      <w:pPr>
        <w:pStyle w:val="BodyText"/>
        <w:rPr>
          <w:rFonts w:eastAsiaTheme="minorHAnsi" w:cs="Arial"/>
          <w:color w:val="auto"/>
          <w:szCs w:val="24"/>
          <w:lang w:eastAsia="en-US"/>
        </w:rPr>
      </w:pPr>
      <w:r>
        <w:t xml:space="preserve">There is </w:t>
      </w:r>
      <w:r w:rsidR="00BA5B0F">
        <w:t xml:space="preserve">nevertheless </w:t>
      </w:r>
      <w:r>
        <w:t>agreement that the integration agenda should result in net ben</w:t>
      </w:r>
      <w:r w:rsidR="005C16D6">
        <w:t>efits overall for each country</w:t>
      </w:r>
      <w:r w:rsidR="005C16D6" w:rsidRPr="005C16D6">
        <w:rPr>
          <w:rFonts w:eastAsiaTheme="minorHAnsi" w:cs="Arial"/>
          <w:color w:val="auto"/>
          <w:szCs w:val="24"/>
          <w:lang w:eastAsia="en-US"/>
        </w:rPr>
        <w:t xml:space="preserve">, as specified in the Terms of Reference. The Commissions are also </w:t>
      </w:r>
      <w:r w:rsidR="00BA5B0F">
        <w:rPr>
          <w:rFonts w:eastAsiaTheme="minorHAnsi" w:cs="Arial"/>
          <w:color w:val="auto"/>
          <w:szCs w:val="24"/>
          <w:lang w:eastAsia="en-US"/>
        </w:rPr>
        <w:t>asked to identif</w:t>
      </w:r>
      <w:r w:rsidR="005C16D6" w:rsidRPr="005C16D6">
        <w:rPr>
          <w:rFonts w:eastAsiaTheme="minorHAnsi" w:cs="Arial"/>
          <w:color w:val="auto"/>
          <w:szCs w:val="24"/>
          <w:lang w:eastAsia="en-US"/>
        </w:rPr>
        <w:t xml:space="preserve">y those areas of reform where ‘joint net benefits’ appear highest. </w:t>
      </w:r>
    </w:p>
    <w:p w:rsidR="005C16D6" w:rsidRPr="005C16D6" w:rsidRDefault="005C16D6" w:rsidP="005C16D6">
      <w:pPr>
        <w:pStyle w:val="BodyText"/>
        <w:rPr>
          <w:rFonts w:eastAsiaTheme="minorHAnsi" w:cs="Arial"/>
          <w:color w:val="auto"/>
          <w:szCs w:val="24"/>
          <w:lang w:eastAsia="en-US"/>
        </w:rPr>
      </w:pPr>
      <w:r w:rsidRPr="005C16D6">
        <w:rPr>
          <w:rFonts w:eastAsiaTheme="minorHAnsi" w:cs="Arial"/>
          <w:color w:val="auto"/>
          <w:szCs w:val="24"/>
          <w:lang w:eastAsia="en-US"/>
        </w:rPr>
        <w:lastRenderedPageBreak/>
        <w:t>What is not referred to is how the benefits should be distributed across the two count</w:t>
      </w:r>
      <w:r w:rsidR="00B471BF">
        <w:rPr>
          <w:rFonts w:eastAsiaTheme="minorHAnsi" w:cs="Arial"/>
          <w:color w:val="auto"/>
          <w:szCs w:val="24"/>
          <w:lang w:eastAsia="en-US"/>
        </w:rPr>
        <w:t>r</w:t>
      </w:r>
      <w:r w:rsidRPr="005C16D6">
        <w:rPr>
          <w:rFonts w:eastAsiaTheme="minorHAnsi" w:cs="Arial"/>
          <w:color w:val="auto"/>
          <w:szCs w:val="24"/>
          <w:lang w:eastAsia="en-US"/>
        </w:rPr>
        <w:t>ies, or at what level of policy aggregation the net benefit calculation should be made. Those participants who have addressed</w:t>
      </w:r>
      <w:r>
        <w:rPr>
          <w:rFonts w:eastAsiaTheme="minorHAnsi" w:cs="Arial"/>
          <w:color w:val="auto"/>
          <w:szCs w:val="24"/>
          <w:lang w:eastAsia="en-US"/>
        </w:rPr>
        <w:t xml:space="preserve"> this question, which was raise</w:t>
      </w:r>
      <w:r w:rsidRPr="005C16D6">
        <w:rPr>
          <w:rFonts w:eastAsiaTheme="minorHAnsi" w:cs="Arial"/>
          <w:color w:val="auto"/>
          <w:szCs w:val="24"/>
          <w:lang w:eastAsia="en-US"/>
        </w:rPr>
        <w:t>d</w:t>
      </w:r>
      <w:r>
        <w:rPr>
          <w:rFonts w:eastAsiaTheme="minorHAnsi" w:cs="Arial"/>
          <w:color w:val="auto"/>
          <w:szCs w:val="24"/>
          <w:lang w:eastAsia="en-US"/>
        </w:rPr>
        <w:t xml:space="preserve"> </w:t>
      </w:r>
      <w:r w:rsidRPr="005C16D6">
        <w:rPr>
          <w:rFonts w:eastAsiaTheme="minorHAnsi" w:cs="Arial"/>
          <w:color w:val="auto"/>
          <w:szCs w:val="24"/>
          <w:lang w:eastAsia="en-US"/>
        </w:rPr>
        <w:t>in our Issues Paper, have generally argued that the fact that there may be uneven distribution of benefits, or even losses to one party</w:t>
      </w:r>
      <w:r w:rsidR="002529DF">
        <w:rPr>
          <w:rFonts w:eastAsiaTheme="minorHAnsi" w:cs="Arial"/>
          <w:color w:val="auto"/>
          <w:szCs w:val="24"/>
          <w:lang w:eastAsia="en-US"/>
        </w:rPr>
        <w:t>,</w:t>
      </w:r>
      <w:r w:rsidRPr="005C16D6">
        <w:rPr>
          <w:rFonts w:eastAsiaTheme="minorHAnsi" w:cs="Arial"/>
          <w:color w:val="auto"/>
          <w:szCs w:val="24"/>
          <w:lang w:eastAsia="en-US"/>
        </w:rPr>
        <w:t xml:space="preserve"> from actions on a specific item, s</w:t>
      </w:r>
      <w:r w:rsidR="006D62B4">
        <w:rPr>
          <w:rFonts w:eastAsiaTheme="minorHAnsi" w:cs="Arial"/>
          <w:color w:val="auto"/>
          <w:szCs w:val="24"/>
          <w:lang w:eastAsia="en-US"/>
        </w:rPr>
        <w:t>hould not matter provided a ‘win-win’ outcome</w:t>
      </w:r>
      <w:r w:rsidRPr="005C16D6">
        <w:rPr>
          <w:rFonts w:eastAsiaTheme="minorHAnsi" w:cs="Arial"/>
          <w:color w:val="auto"/>
          <w:szCs w:val="24"/>
          <w:lang w:eastAsia="en-US"/>
        </w:rPr>
        <w:t xml:space="preserve"> is achieved ‘over</w:t>
      </w:r>
      <w:r w:rsidR="006D62B4">
        <w:rPr>
          <w:rFonts w:eastAsiaTheme="minorHAnsi" w:cs="Arial"/>
          <w:color w:val="auto"/>
          <w:szCs w:val="24"/>
          <w:lang w:eastAsia="en-US"/>
        </w:rPr>
        <w:t>all</w:t>
      </w:r>
      <w:r w:rsidRPr="005C16D6">
        <w:rPr>
          <w:rFonts w:eastAsiaTheme="minorHAnsi" w:cs="Arial"/>
          <w:color w:val="auto"/>
          <w:szCs w:val="24"/>
          <w:lang w:eastAsia="en-US"/>
        </w:rPr>
        <w:t>’. The level of aggregation that ‘overall’</w:t>
      </w:r>
      <w:r w:rsidR="006D62B4">
        <w:rPr>
          <w:rFonts w:eastAsiaTheme="minorHAnsi" w:cs="Arial"/>
          <w:color w:val="auto"/>
          <w:szCs w:val="24"/>
          <w:lang w:eastAsia="en-US"/>
        </w:rPr>
        <w:t xml:space="preserve"> might apply </w:t>
      </w:r>
      <w:r w:rsidRPr="005C16D6">
        <w:rPr>
          <w:rFonts w:eastAsiaTheme="minorHAnsi" w:cs="Arial"/>
          <w:color w:val="auto"/>
          <w:szCs w:val="24"/>
          <w:lang w:eastAsia="en-US"/>
        </w:rPr>
        <w:t xml:space="preserve">to will </w:t>
      </w:r>
      <w:r w:rsidR="006D62B4">
        <w:rPr>
          <w:rFonts w:eastAsiaTheme="minorHAnsi" w:cs="Arial"/>
          <w:color w:val="auto"/>
          <w:szCs w:val="24"/>
          <w:lang w:eastAsia="en-US"/>
        </w:rPr>
        <w:t xml:space="preserve">likely </w:t>
      </w:r>
      <w:r w:rsidRPr="005C16D6">
        <w:rPr>
          <w:rFonts w:eastAsiaTheme="minorHAnsi" w:cs="Arial"/>
          <w:color w:val="auto"/>
          <w:szCs w:val="24"/>
          <w:lang w:eastAsia="en-US"/>
        </w:rPr>
        <w:t>depend on the linkage</w:t>
      </w:r>
      <w:r w:rsidR="006D62B4">
        <w:rPr>
          <w:rFonts w:eastAsiaTheme="minorHAnsi" w:cs="Arial"/>
          <w:color w:val="auto"/>
          <w:szCs w:val="24"/>
          <w:lang w:eastAsia="en-US"/>
        </w:rPr>
        <w:t>s</w:t>
      </w:r>
      <w:r w:rsidRPr="005C16D6">
        <w:rPr>
          <w:rFonts w:eastAsiaTheme="minorHAnsi" w:cs="Arial"/>
          <w:color w:val="auto"/>
          <w:szCs w:val="24"/>
          <w:lang w:eastAsia="en-US"/>
        </w:rPr>
        <w:t xml:space="preserve"> among different components of the reform agenda as politically agreed. Our </w:t>
      </w:r>
      <w:r w:rsidR="006D62B4">
        <w:rPr>
          <w:rFonts w:eastAsiaTheme="minorHAnsi" w:cs="Arial"/>
          <w:color w:val="auto"/>
          <w:szCs w:val="24"/>
          <w:lang w:eastAsia="en-US"/>
        </w:rPr>
        <w:t xml:space="preserve">main </w:t>
      </w:r>
      <w:r w:rsidRPr="005C16D6">
        <w:rPr>
          <w:rFonts w:eastAsiaTheme="minorHAnsi" w:cs="Arial"/>
          <w:color w:val="auto"/>
          <w:szCs w:val="24"/>
          <w:lang w:eastAsia="en-US"/>
        </w:rPr>
        <w:t xml:space="preserve">job is to try to determine the values for the individual components of the calculus. </w:t>
      </w:r>
    </w:p>
    <w:p w:rsidR="005C16D6" w:rsidRDefault="006D62B4" w:rsidP="005C16D6">
      <w:pPr>
        <w:pStyle w:val="BodyText"/>
      </w:pPr>
      <w:r>
        <w:rPr>
          <w:rFonts w:eastAsiaTheme="minorHAnsi" w:cs="Arial"/>
          <w:color w:val="auto"/>
          <w:szCs w:val="24"/>
          <w:lang w:eastAsia="en-US"/>
        </w:rPr>
        <w:t>Asymmetry in the distribution of gains</w:t>
      </w:r>
      <w:r w:rsidR="005C16D6" w:rsidRPr="005C16D6">
        <w:rPr>
          <w:rFonts w:eastAsiaTheme="minorHAnsi" w:cs="Arial"/>
          <w:color w:val="auto"/>
          <w:szCs w:val="24"/>
          <w:lang w:eastAsia="en-US"/>
        </w:rPr>
        <w:t xml:space="preserve"> is probably inevitable in most policy areas, given the size of the two countries and their different relative significance to each other. For example</w:t>
      </w:r>
      <w:r>
        <w:rPr>
          <w:rFonts w:eastAsiaTheme="minorHAnsi" w:cs="Arial"/>
          <w:color w:val="auto"/>
          <w:szCs w:val="24"/>
          <w:lang w:eastAsia="en-US"/>
        </w:rPr>
        <w:t>, while Australia accounts for around 20</w:t>
      </w:r>
      <w:r w:rsidR="005C16D6" w:rsidRPr="005C16D6">
        <w:rPr>
          <w:rFonts w:eastAsiaTheme="minorHAnsi" w:cs="Arial"/>
          <w:color w:val="auto"/>
          <w:szCs w:val="24"/>
          <w:lang w:eastAsia="en-US"/>
        </w:rPr>
        <w:t xml:space="preserve"> per cent of New Zealand’s trade, New Zealand accounts for only </w:t>
      </w:r>
      <w:r>
        <w:rPr>
          <w:rFonts w:eastAsiaTheme="minorHAnsi" w:cs="Arial"/>
          <w:color w:val="auto"/>
          <w:szCs w:val="24"/>
          <w:lang w:eastAsia="en-US"/>
        </w:rPr>
        <w:t>3-4</w:t>
      </w:r>
      <w:r w:rsidR="005C16D6" w:rsidRPr="005C16D6">
        <w:rPr>
          <w:rFonts w:eastAsiaTheme="minorHAnsi" w:cs="Arial"/>
          <w:color w:val="auto"/>
          <w:szCs w:val="24"/>
          <w:lang w:eastAsia="en-US"/>
        </w:rPr>
        <w:t xml:space="preserve"> per cent of Australia’s. </w:t>
      </w:r>
      <w:r w:rsidR="004A1829">
        <w:rPr>
          <w:rFonts w:eastAsiaTheme="minorHAnsi" w:cs="Arial"/>
          <w:color w:val="auto"/>
          <w:szCs w:val="24"/>
          <w:lang w:eastAsia="en-US"/>
        </w:rPr>
        <w:t>(T</w:t>
      </w:r>
      <w:r w:rsidR="005C16D6" w:rsidRPr="005C16D6">
        <w:rPr>
          <w:rFonts w:eastAsiaTheme="minorHAnsi" w:cs="Arial"/>
          <w:color w:val="auto"/>
          <w:szCs w:val="24"/>
          <w:lang w:eastAsia="en-US"/>
        </w:rPr>
        <w:t>his underlying asymmetry is reflected in the greater interest in the inquiry and its likely outcomes displayed in New Zealand than in Australia thus far.</w:t>
      </w:r>
      <w:r w:rsidR="004A1829">
        <w:rPr>
          <w:rFonts w:eastAsiaTheme="minorHAnsi" w:cs="Arial"/>
          <w:color w:val="auto"/>
          <w:szCs w:val="24"/>
          <w:lang w:eastAsia="en-US"/>
        </w:rPr>
        <w:t>)</w:t>
      </w:r>
    </w:p>
    <w:p w:rsidR="001244A5" w:rsidRDefault="001244A5" w:rsidP="001244A5">
      <w:pPr>
        <w:pStyle w:val="BodyText"/>
      </w:pPr>
      <w:r>
        <w:t xml:space="preserve">Some </w:t>
      </w:r>
      <w:r w:rsidR="00E01854">
        <w:t>participants</w:t>
      </w:r>
      <w:r>
        <w:t xml:space="preserve"> have expressed concerns about integration leading to a ‘hollowing </w:t>
      </w:r>
      <w:r w:rsidR="00E01854">
        <w:t xml:space="preserve">out’ of the New Zealand economy; </w:t>
      </w:r>
      <w:r w:rsidR="004A1829">
        <w:t xml:space="preserve">for example, </w:t>
      </w:r>
      <w:r w:rsidR="00E01854">
        <w:t>t</w:t>
      </w:r>
      <w:r>
        <w:t xml:space="preserve">hat skilled New Zealanders </w:t>
      </w:r>
      <w:r w:rsidR="006D62B4">
        <w:t>are being attracted</w:t>
      </w:r>
      <w:r>
        <w:t xml:space="preserve"> to large </w:t>
      </w:r>
      <w:r w:rsidR="006D62B4">
        <w:t xml:space="preserve">Australian </w:t>
      </w:r>
      <w:r>
        <w:t>cities such as Sydney</w:t>
      </w:r>
      <w:r w:rsidR="006D62B4">
        <w:t xml:space="preserve"> or Melbourne</w:t>
      </w:r>
      <w:r>
        <w:t>, where knowledge</w:t>
      </w:r>
      <w:r w:rsidR="002529DF">
        <w:t>-</w:t>
      </w:r>
      <w:r>
        <w:t xml:space="preserve">intensive activities tend to </w:t>
      </w:r>
      <w:r w:rsidR="00E01854">
        <w:t>cluster and remuneration is higher.</w:t>
      </w:r>
      <w:r>
        <w:t xml:space="preserve"> </w:t>
      </w:r>
    </w:p>
    <w:p w:rsidR="0087283D" w:rsidRDefault="004A7493" w:rsidP="001244A5">
      <w:pPr>
        <w:pStyle w:val="BodyText"/>
        <w:rPr>
          <w:rFonts w:cs="Arial"/>
          <w:szCs w:val="24"/>
        </w:rPr>
      </w:pPr>
      <w:r w:rsidRPr="00F810A0">
        <w:rPr>
          <w:rFonts w:cs="Arial"/>
          <w:szCs w:val="24"/>
        </w:rPr>
        <w:t xml:space="preserve">This concern should not be ignored or lightly dismissed. But a number of </w:t>
      </w:r>
      <w:r w:rsidR="006D62B4">
        <w:rPr>
          <w:rFonts w:cs="Arial"/>
          <w:szCs w:val="24"/>
        </w:rPr>
        <w:t>matters are relevant</w:t>
      </w:r>
      <w:r w:rsidRPr="00F810A0">
        <w:rPr>
          <w:rFonts w:cs="Arial"/>
          <w:szCs w:val="24"/>
        </w:rPr>
        <w:t xml:space="preserve"> in assessing it. One is understanding what has been happening in practice. </w:t>
      </w:r>
      <w:r w:rsidR="004A1829">
        <w:rPr>
          <w:rFonts w:cs="Arial"/>
          <w:szCs w:val="24"/>
        </w:rPr>
        <w:t xml:space="preserve">For example, there has clearly </w:t>
      </w:r>
      <w:r w:rsidRPr="00F810A0">
        <w:rPr>
          <w:rFonts w:cs="Arial"/>
          <w:szCs w:val="24"/>
        </w:rPr>
        <w:t xml:space="preserve">been </w:t>
      </w:r>
      <w:r w:rsidR="004A1829">
        <w:rPr>
          <w:rFonts w:cs="Arial"/>
          <w:szCs w:val="24"/>
        </w:rPr>
        <w:t xml:space="preserve">a </w:t>
      </w:r>
      <w:r w:rsidRPr="00F810A0">
        <w:rPr>
          <w:rFonts w:cs="Arial"/>
          <w:szCs w:val="24"/>
        </w:rPr>
        <w:t xml:space="preserve">sharp rise </w:t>
      </w:r>
      <w:r w:rsidR="00B23513">
        <w:rPr>
          <w:rFonts w:cs="Arial"/>
          <w:szCs w:val="24"/>
        </w:rPr>
        <w:t>in New Zealanders cross</w:t>
      </w:r>
      <w:r w:rsidR="006D62B4">
        <w:rPr>
          <w:rFonts w:cs="Arial"/>
          <w:szCs w:val="24"/>
        </w:rPr>
        <w:t>ing</w:t>
      </w:r>
      <w:r w:rsidR="00B23513">
        <w:rPr>
          <w:rFonts w:cs="Arial"/>
          <w:szCs w:val="24"/>
        </w:rPr>
        <w:t xml:space="preserve"> the Tas</w:t>
      </w:r>
      <w:r w:rsidRPr="00F810A0">
        <w:rPr>
          <w:rFonts w:cs="Arial"/>
          <w:szCs w:val="24"/>
        </w:rPr>
        <w:t xml:space="preserve">man to work in Australia. But the old </w:t>
      </w:r>
      <w:r w:rsidR="006D62B4">
        <w:rPr>
          <w:rFonts w:cs="Arial"/>
          <w:szCs w:val="24"/>
        </w:rPr>
        <w:t>joke</w:t>
      </w:r>
      <w:r w:rsidRPr="00F810A0">
        <w:rPr>
          <w:rFonts w:cs="Arial"/>
          <w:szCs w:val="24"/>
        </w:rPr>
        <w:t xml:space="preserve"> about this enhancing both nations suggests that not all these workers have </w:t>
      </w:r>
      <w:r w:rsidR="006D62B4">
        <w:rPr>
          <w:rFonts w:cs="Arial"/>
          <w:szCs w:val="24"/>
        </w:rPr>
        <w:t xml:space="preserve">been </w:t>
      </w:r>
      <w:r w:rsidRPr="00F810A0">
        <w:rPr>
          <w:rFonts w:cs="Arial"/>
          <w:szCs w:val="24"/>
        </w:rPr>
        <w:t xml:space="preserve">the most highly skilled. This is reflected in available </w:t>
      </w:r>
      <w:r w:rsidR="006D62B4">
        <w:rPr>
          <w:rFonts w:cs="Arial"/>
          <w:szCs w:val="24"/>
        </w:rPr>
        <w:t>statistics</w:t>
      </w:r>
      <w:r w:rsidR="00D468ED">
        <w:rPr>
          <w:rFonts w:cs="Arial"/>
          <w:szCs w:val="24"/>
        </w:rPr>
        <w:t xml:space="preserve"> relating to skills</w:t>
      </w:r>
      <w:r w:rsidRPr="00F810A0">
        <w:rPr>
          <w:rFonts w:cs="Arial"/>
          <w:szCs w:val="24"/>
        </w:rPr>
        <w:t>. There is also the counterfactual to consider</w:t>
      </w:r>
      <w:r w:rsidR="002529DF">
        <w:rPr>
          <w:rFonts w:cs="Arial"/>
          <w:szCs w:val="24"/>
        </w:rPr>
        <w:t>:</w:t>
      </w:r>
      <w:r w:rsidRPr="00F810A0">
        <w:rPr>
          <w:rFonts w:cs="Arial"/>
          <w:szCs w:val="24"/>
        </w:rPr>
        <w:t xml:space="preserve"> to what extent in the absence of formal integration initiatives, labour outflows would have occurred anyway — either to Australia or </w:t>
      </w:r>
      <w:r w:rsidR="006D62B4">
        <w:rPr>
          <w:rFonts w:cs="Arial"/>
          <w:szCs w:val="24"/>
        </w:rPr>
        <w:t xml:space="preserve">to </w:t>
      </w:r>
      <w:r w:rsidRPr="00F810A0">
        <w:rPr>
          <w:rFonts w:cs="Arial"/>
          <w:szCs w:val="24"/>
        </w:rPr>
        <w:t>other count</w:t>
      </w:r>
      <w:r w:rsidR="002529DF">
        <w:rPr>
          <w:rFonts w:cs="Arial"/>
          <w:szCs w:val="24"/>
        </w:rPr>
        <w:t>r</w:t>
      </w:r>
      <w:r w:rsidRPr="00F810A0">
        <w:rPr>
          <w:rFonts w:cs="Arial"/>
          <w:szCs w:val="24"/>
        </w:rPr>
        <w:t>ies. And there is also the question of how to treat the enhanced incomes of (t</w:t>
      </w:r>
      <w:r w:rsidR="0087283D">
        <w:rPr>
          <w:rFonts w:cs="Arial"/>
          <w:szCs w:val="24"/>
        </w:rPr>
        <w:t>emporary</w:t>
      </w:r>
      <w:r w:rsidRPr="00F810A0">
        <w:rPr>
          <w:rFonts w:cs="Arial"/>
          <w:szCs w:val="24"/>
        </w:rPr>
        <w:t xml:space="preserve">) expatriates in a calculation of </w:t>
      </w:r>
      <w:r w:rsidR="004A1829">
        <w:rPr>
          <w:rFonts w:cs="Arial"/>
          <w:szCs w:val="24"/>
        </w:rPr>
        <w:t xml:space="preserve">net </w:t>
      </w:r>
      <w:r w:rsidRPr="00F810A0">
        <w:rPr>
          <w:rFonts w:cs="Arial"/>
          <w:szCs w:val="24"/>
        </w:rPr>
        <w:t>national benefits</w:t>
      </w:r>
      <w:r>
        <w:rPr>
          <w:rFonts w:cs="Arial"/>
          <w:szCs w:val="24"/>
        </w:rPr>
        <w:t xml:space="preserve">. </w:t>
      </w:r>
    </w:p>
    <w:p w:rsidR="001244A5" w:rsidRDefault="001244A5" w:rsidP="001244A5">
      <w:pPr>
        <w:pStyle w:val="BodyText"/>
      </w:pPr>
      <w:r>
        <w:t xml:space="preserve">Concerns about ‘hollowing out’ focus on a subset of the costs and benefits of integration and there is a need to look at the whole picture. It may </w:t>
      </w:r>
      <w:r w:rsidR="0087283D">
        <w:t xml:space="preserve">also </w:t>
      </w:r>
      <w:r>
        <w:t xml:space="preserve">be that the best policy response to these concerns is </w:t>
      </w:r>
      <w:r w:rsidR="00E01854">
        <w:t>to accelerate</w:t>
      </w:r>
      <w:r>
        <w:t xml:space="preserve"> domestic reforms that increase the attractiveness of doing business in </w:t>
      </w:r>
      <w:r w:rsidR="004A1829">
        <w:t>both countries.</w:t>
      </w:r>
    </w:p>
    <w:p w:rsidR="005932B7" w:rsidRDefault="005932B7" w:rsidP="005932B7">
      <w:pPr>
        <w:pStyle w:val="Heading4"/>
      </w:pPr>
      <w:r>
        <w:lastRenderedPageBreak/>
        <w:t xml:space="preserve">The </w:t>
      </w:r>
      <w:r w:rsidR="00E01854">
        <w:t>bigger</w:t>
      </w:r>
      <w:r>
        <w:t xml:space="preserve"> regional picture is important</w:t>
      </w:r>
    </w:p>
    <w:p w:rsidR="004E7B9E" w:rsidRPr="004E7B9E" w:rsidRDefault="00AD6B67" w:rsidP="004E7B9E">
      <w:pPr>
        <w:pStyle w:val="BodyText"/>
        <w:rPr>
          <w:rFonts w:asciiTheme="minorHAnsi" w:eastAsiaTheme="minorHAnsi" w:hAnsiTheme="minorHAnsi" w:cstheme="minorBidi"/>
          <w:color w:val="auto"/>
          <w:sz w:val="22"/>
          <w:szCs w:val="22"/>
          <w:lang w:eastAsia="en-US"/>
        </w:rPr>
      </w:pPr>
      <w:r>
        <w:t>The trans</w:t>
      </w:r>
      <w:r>
        <w:noBreakHyphen/>
        <w:t xml:space="preserve">Tasman integration agenda needs to </w:t>
      </w:r>
      <w:r w:rsidR="00EB5AE7">
        <w:t>‘fit’ with</w:t>
      </w:r>
      <w:r>
        <w:t xml:space="preserve"> </w:t>
      </w:r>
      <w:r w:rsidR="00EB5AE7">
        <w:t xml:space="preserve">the broader </w:t>
      </w:r>
      <w:r>
        <w:t>challenges</w:t>
      </w:r>
      <w:r w:rsidR="00EB5AE7">
        <w:t xml:space="preserve"> and opportunities in </w:t>
      </w:r>
      <w:r w:rsidR="00E01854">
        <w:t xml:space="preserve"> what is becoming known as </w:t>
      </w:r>
      <w:r w:rsidR="00EB5AE7">
        <w:t xml:space="preserve">the </w:t>
      </w:r>
      <w:r w:rsidR="00E01854">
        <w:t>‘</w:t>
      </w:r>
      <w:r w:rsidR="00EB5AE7">
        <w:t>Asian century</w:t>
      </w:r>
      <w:r w:rsidR="00E01854">
        <w:t>’</w:t>
      </w:r>
      <w:r w:rsidR="00EB5AE7">
        <w:t>.</w:t>
      </w:r>
      <w:r w:rsidR="00F92B01">
        <w:t xml:space="preserve"> </w:t>
      </w:r>
      <w:r w:rsidR="00F31A4C">
        <w:t>This has always been true</w:t>
      </w:r>
      <w:r w:rsidR="004E7B9E" w:rsidRPr="004E7B9E">
        <w:t xml:space="preserve"> and</w:t>
      </w:r>
      <w:r w:rsidR="00F31A4C">
        <w:t>,</w:t>
      </w:r>
      <w:r w:rsidR="004E7B9E" w:rsidRPr="004E7B9E">
        <w:t xml:space="preserve"> as noted, was acknowledged at the inception of the </w:t>
      </w:r>
      <w:proofErr w:type="spellStart"/>
      <w:r w:rsidR="004E7B9E" w:rsidRPr="004E7B9E">
        <w:t>CER</w:t>
      </w:r>
      <w:proofErr w:type="spellEnd"/>
      <w:r w:rsidR="004E7B9E" w:rsidRPr="004E7B9E">
        <w:t xml:space="preserve"> agreement. But much has cha</w:t>
      </w:r>
      <w:r w:rsidR="0019189E">
        <w:t>n</w:t>
      </w:r>
      <w:r w:rsidR="004E7B9E" w:rsidRPr="004E7B9E">
        <w:t>ged internationally and within each country since that agreement was signed in 1983.</w:t>
      </w:r>
    </w:p>
    <w:p w:rsidR="00724DA8" w:rsidRDefault="00724DA8" w:rsidP="00724DA8">
      <w:pPr>
        <w:pStyle w:val="BodyText"/>
      </w:pPr>
      <w:r>
        <w:t>For example:</w:t>
      </w:r>
    </w:p>
    <w:p w:rsidR="00724DA8" w:rsidRPr="00F4663A" w:rsidRDefault="00724DA8" w:rsidP="00724DA8">
      <w:pPr>
        <w:pStyle w:val="ListBullet"/>
        <w:rPr>
          <w:rStyle w:val="DraftingNote"/>
          <w:b w:val="0"/>
          <w:color w:val="1C1C1C"/>
          <w:u w:val="none"/>
        </w:rPr>
      </w:pPr>
      <w:r w:rsidRPr="00930D92">
        <w:t xml:space="preserve">Australia and New Zealand have undertaken major economic reforms (including </w:t>
      </w:r>
      <w:r w:rsidR="002529DF">
        <w:t xml:space="preserve">substantially reducing their </w:t>
      </w:r>
      <w:r w:rsidR="00F31A4C">
        <w:t>import barriers generally</w:t>
      </w:r>
      <w:r>
        <w:t>), which have furthered international integration</w:t>
      </w:r>
      <w:r w:rsidR="0019189E">
        <w:t>.</w:t>
      </w:r>
      <w:r w:rsidR="00C7629B">
        <w:t xml:space="preserve"> </w:t>
      </w:r>
    </w:p>
    <w:p w:rsidR="00F4663A" w:rsidRPr="00F4663A" w:rsidRDefault="00F4663A" w:rsidP="00F4663A">
      <w:pPr>
        <w:pStyle w:val="ListBullet"/>
      </w:pPr>
      <w:r w:rsidRPr="00F4663A">
        <w:t>Capital has become much more mobile across national borders, with global financial flows increasing from around 17 per cent of global production to 54 per cent (PC 2010)</w:t>
      </w:r>
      <w:r w:rsidR="0019189E">
        <w:t>.</w:t>
      </w:r>
    </w:p>
    <w:p w:rsidR="00724DA8" w:rsidRPr="00930D92" w:rsidRDefault="00724DA8" w:rsidP="00724DA8">
      <w:pPr>
        <w:pStyle w:val="ListBullet"/>
      </w:pPr>
      <w:r w:rsidRPr="00930D92">
        <w:t xml:space="preserve">Market driven integration has been given </w:t>
      </w:r>
      <w:r w:rsidR="00E01854">
        <w:t>a boo</w:t>
      </w:r>
      <w:r w:rsidRPr="00930D92">
        <w:t xml:space="preserve">st from technological progress </w:t>
      </w:r>
      <w:r w:rsidR="00741A7F">
        <w:t xml:space="preserve">and cost reductions </w:t>
      </w:r>
      <w:r w:rsidRPr="00930D92">
        <w:t xml:space="preserve">in </w:t>
      </w:r>
      <w:r w:rsidR="00E01854">
        <w:t>international communications</w:t>
      </w:r>
      <w:r w:rsidRPr="00930D92">
        <w:t xml:space="preserve"> a</w:t>
      </w:r>
      <w:r w:rsidR="00E01854">
        <w:t xml:space="preserve">nd </w:t>
      </w:r>
      <w:r w:rsidR="00F4663A">
        <w:t>transport</w:t>
      </w:r>
      <w:r w:rsidR="0019189E">
        <w:t>.</w:t>
      </w:r>
    </w:p>
    <w:p w:rsidR="00724DA8" w:rsidRDefault="00F31A4C" w:rsidP="00724DA8">
      <w:pPr>
        <w:pStyle w:val="ListBullet"/>
      </w:pPr>
      <w:r>
        <w:t>T</w:t>
      </w:r>
      <w:r w:rsidR="00E01854">
        <w:t>he rise of Asia has seen</w:t>
      </w:r>
      <w:r w:rsidR="00E01854" w:rsidRPr="00E01854">
        <w:rPr>
          <w:rStyle w:val="DraftingNote"/>
          <w:b w:val="0"/>
          <w:color w:val="1C1C1C"/>
          <w:u w:val="none"/>
        </w:rPr>
        <w:t xml:space="preserve"> </w:t>
      </w:r>
      <w:r w:rsidR="00E01854">
        <w:rPr>
          <w:rStyle w:val="DraftingNote"/>
          <w:b w:val="0"/>
          <w:color w:val="1C1C1C"/>
          <w:u w:val="none"/>
        </w:rPr>
        <w:t>t</w:t>
      </w:r>
      <w:r w:rsidR="00E01854" w:rsidRPr="00C7629B">
        <w:rPr>
          <w:rStyle w:val="DraftingNote"/>
          <w:b w:val="0"/>
          <w:color w:val="1C1C1C"/>
          <w:u w:val="none"/>
        </w:rPr>
        <w:t>he share of global GDP within 10</w:t>
      </w:r>
      <w:r w:rsidR="00E01854">
        <w:rPr>
          <w:rStyle w:val="DraftingNote"/>
          <w:b w:val="0"/>
          <w:color w:val="1C1C1C"/>
          <w:u w:val="none"/>
        </w:rPr>
        <w:t> </w:t>
      </w:r>
      <w:r w:rsidR="00E01854" w:rsidRPr="00C7629B">
        <w:rPr>
          <w:rStyle w:val="DraftingNote"/>
          <w:b w:val="0"/>
          <w:color w:val="1C1C1C"/>
          <w:u w:val="none"/>
        </w:rPr>
        <w:t xml:space="preserve">000 kilometres of Australia and New Zealand double </w:t>
      </w:r>
      <w:r w:rsidR="00E01854">
        <w:rPr>
          <w:rStyle w:val="DraftingNote"/>
          <w:b w:val="0"/>
          <w:color w:val="1C1C1C"/>
          <w:u w:val="none"/>
        </w:rPr>
        <w:t xml:space="preserve">in the last 50 years. </w:t>
      </w:r>
      <w:r>
        <w:rPr>
          <w:rStyle w:val="DraftingNote"/>
          <w:b w:val="0"/>
          <w:color w:val="1C1C1C"/>
          <w:u w:val="none"/>
        </w:rPr>
        <w:t>And s</w:t>
      </w:r>
      <w:r w:rsidR="00E01854">
        <w:rPr>
          <w:rStyle w:val="DraftingNote"/>
          <w:b w:val="0"/>
          <w:color w:val="1C1C1C"/>
          <w:u w:val="none"/>
        </w:rPr>
        <w:t>ince 1983:</w:t>
      </w:r>
      <w:r w:rsidR="00E01854">
        <w:t xml:space="preserve"> </w:t>
      </w:r>
    </w:p>
    <w:p w:rsidR="00724DA8" w:rsidRPr="00C7629B" w:rsidRDefault="00724DA8" w:rsidP="00724DA8">
      <w:pPr>
        <w:pStyle w:val="ListBullet2"/>
        <w:rPr>
          <w:rStyle w:val="DraftingNote"/>
          <w:b w:val="0"/>
          <w:color w:val="1C1C1C"/>
          <w:u w:val="none"/>
        </w:rPr>
      </w:pPr>
      <w:r w:rsidRPr="00930D92">
        <w:t xml:space="preserve">Asia’s share of global output </w:t>
      </w:r>
      <w:r w:rsidR="00F31A4C">
        <w:t xml:space="preserve">has </w:t>
      </w:r>
      <w:r w:rsidRPr="00930D92">
        <w:t>increase</w:t>
      </w:r>
      <w:r w:rsidR="00F92B01">
        <w:t>d</w:t>
      </w:r>
      <w:r w:rsidRPr="00930D92">
        <w:t xml:space="preserve"> from 17 per cent to 26 per cent</w:t>
      </w:r>
      <w:r w:rsidR="002529DF">
        <w:t xml:space="preserve"> (and it is forecast to reach 50 </w:t>
      </w:r>
      <w:r>
        <w:t>per cent by 2050)</w:t>
      </w:r>
      <w:r w:rsidR="0019189E">
        <w:t>;</w:t>
      </w:r>
      <w:r w:rsidRPr="00930D92">
        <w:t xml:space="preserve"> </w:t>
      </w:r>
    </w:p>
    <w:p w:rsidR="00724DA8" w:rsidRDefault="00724DA8" w:rsidP="00724DA8">
      <w:pPr>
        <w:pStyle w:val="ListBullet2"/>
      </w:pPr>
      <w:r>
        <w:t xml:space="preserve">the proportion of Australia’s trade accounted for by Asia </w:t>
      </w:r>
      <w:r w:rsidR="00F31A4C">
        <w:t xml:space="preserve">has </w:t>
      </w:r>
      <w:r>
        <w:t>increase</w:t>
      </w:r>
      <w:r w:rsidR="00F92B01">
        <w:t>d</w:t>
      </w:r>
      <w:r>
        <w:t xml:space="preserve"> from ar</w:t>
      </w:r>
      <w:r w:rsidR="002529DF">
        <w:t>ound 41 per cent to 64 per cent</w:t>
      </w:r>
      <w:r w:rsidR="0019189E">
        <w:t>;</w:t>
      </w:r>
    </w:p>
    <w:p w:rsidR="00B713EB" w:rsidRPr="00B713EB" w:rsidRDefault="00724DA8" w:rsidP="00B713EB">
      <w:pPr>
        <w:pStyle w:val="ListBullet2"/>
        <w:numPr>
          <w:ilvl w:val="0"/>
          <w:numId w:val="46"/>
        </w:numPr>
        <w:tabs>
          <w:tab w:val="left" w:pos="720"/>
        </w:tabs>
        <w:rPr>
          <w:rStyle w:val="DraftingNote"/>
          <w:b w:val="0"/>
          <w:color w:val="000000"/>
        </w:rPr>
      </w:pPr>
      <w:r w:rsidRPr="003039CA">
        <w:t xml:space="preserve">the proportion of </w:t>
      </w:r>
      <w:r>
        <w:t>New Zealand’s</w:t>
      </w:r>
      <w:r w:rsidRPr="003039CA">
        <w:t xml:space="preserve"> trade accounted for by Asia </w:t>
      </w:r>
      <w:r w:rsidR="00F31A4C">
        <w:t xml:space="preserve">has </w:t>
      </w:r>
      <w:r>
        <w:t>increase</w:t>
      </w:r>
      <w:r w:rsidR="00F92B01">
        <w:t>d</w:t>
      </w:r>
      <w:r w:rsidRPr="003039CA">
        <w:t xml:space="preserve"> from around </w:t>
      </w:r>
      <w:r>
        <w:t>29</w:t>
      </w:r>
      <w:r w:rsidRPr="003039CA">
        <w:t xml:space="preserve"> per cent to </w:t>
      </w:r>
      <w:r>
        <w:t>43</w:t>
      </w:r>
      <w:r w:rsidRPr="003039CA">
        <w:t xml:space="preserve"> per cent</w:t>
      </w:r>
      <w:r w:rsidR="0019189E">
        <w:t>.</w:t>
      </w:r>
      <w:r w:rsidR="00B713EB">
        <w:t xml:space="preserve"> </w:t>
      </w:r>
    </w:p>
    <w:p w:rsidR="00724DA8" w:rsidRDefault="00724DA8" w:rsidP="00926EB8">
      <w:pPr>
        <w:pStyle w:val="BodyText"/>
      </w:pPr>
      <w:r>
        <w:t xml:space="preserve">At the same time, multilateral efforts to promote trade liberalisation have </w:t>
      </w:r>
      <w:r w:rsidR="00E01854">
        <w:t xml:space="preserve">clearly </w:t>
      </w:r>
      <w:r>
        <w:t xml:space="preserve">lost momentum. The Doha Round began 12 years ago, but is yet to be concluded and its future is uncertain. </w:t>
      </w:r>
      <w:r w:rsidR="00926EB8">
        <w:t xml:space="preserve">By contrast, bilateral and regional trade agreements have proliferated. When </w:t>
      </w:r>
      <w:proofErr w:type="spellStart"/>
      <w:r w:rsidR="00926EB8">
        <w:t>CER</w:t>
      </w:r>
      <w:proofErr w:type="spellEnd"/>
      <w:r w:rsidR="00926EB8">
        <w:t xml:space="preserve"> was signed there were </w:t>
      </w:r>
      <w:r w:rsidR="005A42F6">
        <w:t>fewer than</w:t>
      </w:r>
      <w:r w:rsidR="00926EB8">
        <w:t xml:space="preserve"> 20 </w:t>
      </w:r>
      <w:r w:rsidR="005A42F6">
        <w:t xml:space="preserve">other </w:t>
      </w:r>
      <w:r w:rsidR="00F31A4C">
        <w:t xml:space="preserve">such </w:t>
      </w:r>
      <w:r w:rsidR="00926EB8">
        <w:t>agreements in place</w:t>
      </w:r>
      <w:r w:rsidR="005A42F6">
        <w:t xml:space="preserve"> —</w:t>
      </w:r>
      <w:r w:rsidR="00926EB8">
        <w:t xml:space="preserve"> by 2010 there were 288</w:t>
      </w:r>
      <w:r w:rsidR="00E01854">
        <w:t>,</w:t>
      </w:r>
      <w:r w:rsidR="005A42F6">
        <w:t xml:space="preserve"> with more being negotiated</w:t>
      </w:r>
      <w:r w:rsidR="00F31A4C">
        <w:t>, including by Australia and New Zealand</w:t>
      </w:r>
      <w:r w:rsidR="00926EB8">
        <w:t xml:space="preserve"> (WTO</w:t>
      </w:r>
      <w:r w:rsidR="005A42F6">
        <w:t> </w:t>
      </w:r>
      <w:r w:rsidR="00926EB8">
        <w:t>2010).</w:t>
      </w:r>
    </w:p>
    <w:p w:rsidR="00DE168A" w:rsidRPr="00DE168A" w:rsidRDefault="00724DA8" w:rsidP="00DE168A">
      <w:pPr>
        <w:pStyle w:val="BodyText"/>
        <w:rPr>
          <w:rFonts w:eastAsiaTheme="minorHAnsi" w:cs="Arial"/>
          <w:color w:val="auto"/>
          <w:szCs w:val="24"/>
          <w:lang w:eastAsia="en-US"/>
        </w:rPr>
      </w:pPr>
      <w:r>
        <w:t xml:space="preserve">All of this </w:t>
      </w:r>
      <w:r w:rsidR="00E01854">
        <w:t>has reinforced the need</w:t>
      </w:r>
      <w:r w:rsidRPr="00FF378E">
        <w:t xml:space="preserve"> to consider trans-Tasman integration in a broader regional </w:t>
      </w:r>
      <w:r>
        <w:t xml:space="preserve">and global </w:t>
      </w:r>
      <w:r w:rsidRPr="00FF378E">
        <w:t>context</w:t>
      </w:r>
      <w:r w:rsidR="00E01854">
        <w:t>.</w:t>
      </w:r>
      <w:r>
        <w:t xml:space="preserve"> This means avoiding doing things that </w:t>
      </w:r>
      <w:r w:rsidR="00C75907">
        <w:t>impede</w:t>
      </w:r>
      <w:r>
        <w:t xml:space="preserve"> integrat</w:t>
      </w:r>
      <w:r w:rsidR="00C75907">
        <w:t>ion</w:t>
      </w:r>
      <w:r>
        <w:t xml:space="preserve"> with other countries. It also means considering how we can extend trans</w:t>
      </w:r>
      <w:r>
        <w:noBreakHyphen/>
        <w:t xml:space="preserve">Tasman initiatives to </w:t>
      </w:r>
      <w:r w:rsidR="00C75907">
        <w:t>reap further gains from</w:t>
      </w:r>
      <w:r w:rsidR="00DE168A">
        <w:t xml:space="preserve"> broader integration </w:t>
      </w:r>
      <w:r w:rsidR="00DE168A" w:rsidRPr="00DE168A">
        <w:rPr>
          <w:rFonts w:eastAsiaTheme="minorHAnsi" w:cs="Arial"/>
          <w:color w:val="auto"/>
          <w:szCs w:val="24"/>
          <w:lang w:eastAsia="en-US"/>
        </w:rPr>
        <w:t xml:space="preserve">in multilateral fora and at a wider regional level, such as within APEC </w:t>
      </w:r>
      <w:r w:rsidR="00F31A4C">
        <w:rPr>
          <w:rFonts w:eastAsiaTheme="minorHAnsi" w:cs="Arial"/>
          <w:color w:val="auto"/>
          <w:szCs w:val="24"/>
          <w:lang w:eastAsia="en-US"/>
        </w:rPr>
        <w:t xml:space="preserve">or the emerging </w:t>
      </w:r>
      <w:r w:rsidR="00DE168A" w:rsidRPr="00DE168A">
        <w:rPr>
          <w:rFonts w:eastAsiaTheme="minorHAnsi" w:cs="Arial"/>
          <w:color w:val="auto"/>
          <w:szCs w:val="24"/>
          <w:lang w:eastAsia="en-US"/>
        </w:rPr>
        <w:t xml:space="preserve">Trans Pacific Partnership. It was observed earlier that </w:t>
      </w:r>
      <w:proofErr w:type="spellStart"/>
      <w:r w:rsidR="00DE168A" w:rsidRPr="00DE168A">
        <w:rPr>
          <w:rFonts w:eastAsiaTheme="minorHAnsi" w:cs="Arial"/>
          <w:color w:val="auto"/>
          <w:szCs w:val="24"/>
          <w:lang w:eastAsia="en-US"/>
        </w:rPr>
        <w:t>CER</w:t>
      </w:r>
      <w:proofErr w:type="spellEnd"/>
      <w:r w:rsidR="00DE168A" w:rsidRPr="00DE168A">
        <w:rPr>
          <w:rFonts w:eastAsiaTheme="minorHAnsi" w:cs="Arial"/>
          <w:color w:val="auto"/>
          <w:szCs w:val="24"/>
          <w:lang w:eastAsia="en-US"/>
        </w:rPr>
        <w:t xml:space="preserve"> has previously involved some trade </w:t>
      </w:r>
      <w:r w:rsidR="00F31A4C">
        <w:rPr>
          <w:rFonts w:eastAsiaTheme="minorHAnsi" w:cs="Arial"/>
          <w:color w:val="auto"/>
          <w:szCs w:val="24"/>
          <w:lang w:eastAsia="en-US"/>
        </w:rPr>
        <w:t xml:space="preserve">diversion </w:t>
      </w:r>
      <w:r w:rsidR="00DE168A" w:rsidRPr="00DE168A">
        <w:rPr>
          <w:rFonts w:eastAsiaTheme="minorHAnsi" w:cs="Arial"/>
          <w:color w:val="auto"/>
          <w:szCs w:val="24"/>
          <w:lang w:eastAsia="en-US"/>
        </w:rPr>
        <w:t xml:space="preserve">from other trading parties. </w:t>
      </w:r>
      <w:r w:rsidR="00F31A4C">
        <w:rPr>
          <w:rFonts w:eastAsiaTheme="minorHAnsi" w:cs="Arial"/>
          <w:color w:val="auto"/>
          <w:szCs w:val="24"/>
          <w:lang w:eastAsia="en-US"/>
        </w:rPr>
        <w:t xml:space="preserve">Fortunately </w:t>
      </w:r>
      <w:r w:rsidR="00F31A4C">
        <w:rPr>
          <w:rFonts w:eastAsiaTheme="minorHAnsi" w:cs="Arial"/>
          <w:color w:val="auto"/>
          <w:szCs w:val="24"/>
          <w:lang w:eastAsia="en-US"/>
        </w:rPr>
        <w:lastRenderedPageBreak/>
        <w:t xml:space="preserve">this was at least partially </w:t>
      </w:r>
      <w:r w:rsidR="00DE168A" w:rsidRPr="00DE168A">
        <w:rPr>
          <w:rFonts w:eastAsiaTheme="minorHAnsi" w:cs="Arial"/>
          <w:color w:val="auto"/>
          <w:szCs w:val="24"/>
          <w:lang w:eastAsia="en-US"/>
        </w:rPr>
        <w:t xml:space="preserve">mitigated by our </w:t>
      </w:r>
      <w:r w:rsidR="00F31A4C">
        <w:rPr>
          <w:rFonts w:eastAsiaTheme="minorHAnsi" w:cs="Arial"/>
          <w:color w:val="auto"/>
          <w:szCs w:val="24"/>
          <w:lang w:eastAsia="en-US"/>
        </w:rPr>
        <w:t xml:space="preserve">extensive unilateral MFN liberalisation. </w:t>
      </w:r>
      <w:r w:rsidR="00005C41">
        <w:rPr>
          <w:rFonts w:eastAsiaTheme="minorHAnsi" w:cs="Arial"/>
          <w:color w:val="auto"/>
          <w:szCs w:val="24"/>
          <w:lang w:eastAsia="en-US"/>
        </w:rPr>
        <w:t xml:space="preserve">Finding ways </w:t>
      </w:r>
      <w:r w:rsidR="00DE168A" w:rsidRPr="00DE168A">
        <w:rPr>
          <w:rFonts w:eastAsiaTheme="minorHAnsi" w:cs="Arial"/>
          <w:color w:val="auto"/>
          <w:szCs w:val="24"/>
          <w:lang w:eastAsia="en-US"/>
        </w:rPr>
        <w:t xml:space="preserve">to ensure that trade and investment creation predominates </w:t>
      </w:r>
      <w:r w:rsidR="002529DF">
        <w:rPr>
          <w:rFonts w:eastAsiaTheme="minorHAnsi" w:cs="Arial"/>
          <w:color w:val="auto"/>
          <w:szCs w:val="24"/>
          <w:lang w:eastAsia="en-US"/>
        </w:rPr>
        <w:t>more generally</w:t>
      </w:r>
      <w:r w:rsidR="00DE168A" w:rsidRPr="00DE168A">
        <w:rPr>
          <w:rFonts w:eastAsiaTheme="minorHAnsi" w:cs="Arial"/>
          <w:color w:val="auto"/>
          <w:szCs w:val="24"/>
          <w:lang w:eastAsia="en-US"/>
        </w:rPr>
        <w:t xml:space="preserve"> should </w:t>
      </w:r>
      <w:r w:rsidR="00005C41">
        <w:rPr>
          <w:rFonts w:eastAsiaTheme="minorHAnsi" w:cs="Arial"/>
          <w:color w:val="auto"/>
          <w:szCs w:val="24"/>
          <w:lang w:eastAsia="en-US"/>
        </w:rPr>
        <w:t xml:space="preserve">continue to </w:t>
      </w:r>
      <w:r w:rsidR="00DE168A" w:rsidRPr="00DE168A">
        <w:rPr>
          <w:rFonts w:eastAsiaTheme="minorHAnsi" w:cs="Arial"/>
          <w:color w:val="auto"/>
          <w:szCs w:val="24"/>
          <w:lang w:eastAsia="en-US"/>
        </w:rPr>
        <w:t xml:space="preserve">be </w:t>
      </w:r>
      <w:r w:rsidR="00005C41">
        <w:rPr>
          <w:rFonts w:eastAsiaTheme="minorHAnsi" w:cs="Arial"/>
          <w:color w:val="auto"/>
          <w:szCs w:val="24"/>
          <w:lang w:eastAsia="en-US"/>
        </w:rPr>
        <w:t xml:space="preserve">an </w:t>
      </w:r>
      <w:r w:rsidR="00DE168A" w:rsidRPr="00DE168A">
        <w:rPr>
          <w:rFonts w:eastAsiaTheme="minorHAnsi" w:cs="Arial"/>
          <w:color w:val="auto"/>
          <w:szCs w:val="24"/>
          <w:lang w:eastAsia="en-US"/>
        </w:rPr>
        <w:t>objective for us moving forward.</w:t>
      </w:r>
    </w:p>
    <w:p w:rsidR="00724DA8" w:rsidRDefault="00DE168A" w:rsidP="00DE168A">
      <w:pPr>
        <w:pStyle w:val="BodyText"/>
      </w:pPr>
      <w:r w:rsidRPr="00DE168A">
        <w:rPr>
          <w:rFonts w:eastAsiaTheme="minorHAnsi" w:cs="Arial"/>
          <w:color w:val="auto"/>
          <w:szCs w:val="24"/>
          <w:lang w:eastAsia="en-US"/>
        </w:rPr>
        <w:t xml:space="preserve">The </w:t>
      </w:r>
      <w:r w:rsidR="00432EB0">
        <w:rPr>
          <w:rFonts w:eastAsiaTheme="minorHAnsi" w:cs="Arial"/>
          <w:color w:val="auto"/>
          <w:szCs w:val="24"/>
          <w:lang w:eastAsia="en-US"/>
        </w:rPr>
        <w:t>rise of Asia</w:t>
      </w:r>
      <w:r w:rsidRPr="00DE168A">
        <w:rPr>
          <w:rFonts w:eastAsiaTheme="minorHAnsi" w:cs="Arial"/>
          <w:color w:val="auto"/>
          <w:szCs w:val="24"/>
          <w:lang w:eastAsia="en-US"/>
        </w:rPr>
        <w:t xml:space="preserve"> presen</w:t>
      </w:r>
      <w:r w:rsidR="00432EB0">
        <w:rPr>
          <w:rFonts w:eastAsiaTheme="minorHAnsi" w:cs="Arial"/>
          <w:color w:val="auto"/>
          <w:szCs w:val="24"/>
          <w:lang w:eastAsia="en-US"/>
        </w:rPr>
        <w:t>t</w:t>
      </w:r>
      <w:r w:rsidRPr="00DE168A">
        <w:rPr>
          <w:rFonts w:eastAsiaTheme="minorHAnsi" w:cs="Arial"/>
          <w:color w:val="auto"/>
          <w:szCs w:val="24"/>
          <w:lang w:eastAsia="en-US"/>
        </w:rPr>
        <w:t xml:space="preserve">s great opportunities for both our countries — with benefits that </w:t>
      </w:r>
      <w:r w:rsidR="002529DF">
        <w:rPr>
          <w:rFonts w:eastAsiaTheme="minorHAnsi" w:cs="Arial"/>
          <w:color w:val="auto"/>
          <w:szCs w:val="24"/>
          <w:lang w:eastAsia="en-US"/>
        </w:rPr>
        <w:t>potentially</w:t>
      </w:r>
      <w:r w:rsidRPr="00DE168A">
        <w:rPr>
          <w:rFonts w:eastAsiaTheme="minorHAnsi" w:cs="Arial"/>
          <w:color w:val="auto"/>
          <w:szCs w:val="24"/>
          <w:lang w:eastAsia="en-US"/>
        </w:rPr>
        <w:t xml:space="preserve"> greatly outweigh those on offer </w:t>
      </w:r>
      <w:r w:rsidR="002529DF">
        <w:rPr>
          <w:rFonts w:eastAsiaTheme="minorHAnsi" w:cs="Arial"/>
          <w:color w:val="auto"/>
          <w:szCs w:val="24"/>
          <w:lang w:eastAsia="en-US"/>
        </w:rPr>
        <w:t>through</w:t>
      </w:r>
      <w:r w:rsidRPr="00DE168A">
        <w:rPr>
          <w:rFonts w:eastAsiaTheme="minorHAnsi" w:cs="Arial"/>
          <w:color w:val="auto"/>
          <w:szCs w:val="24"/>
          <w:lang w:eastAsia="en-US"/>
        </w:rPr>
        <w:t xml:space="preserve"> our own further </w:t>
      </w:r>
      <w:r w:rsidR="00432EB0">
        <w:rPr>
          <w:rFonts w:eastAsiaTheme="minorHAnsi" w:cs="Arial"/>
          <w:color w:val="auto"/>
          <w:szCs w:val="24"/>
          <w:lang w:eastAsia="en-US"/>
        </w:rPr>
        <w:t>integration</w:t>
      </w:r>
      <w:r w:rsidRPr="00DE168A">
        <w:rPr>
          <w:rFonts w:eastAsiaTheme="minorHAnsi" w:cs="Arial"/>
          <w:color w:val="auto"/>
          <w:szCs w:val="24"/>
          <w:lang w:eastAsia="en-US"/>
        </w:rPr>
        <w:t xml:space="preserve">, significant though these may be. The best way of positioning ourselves to </w:t>
      </w:r>
      <w:r w:rsidR="00432EB0">
        <w:rPr>
          <w:rFonts w:eastAsiaTheme="minorHAnsi" w:cs="Arial"/>
          <w:color w:val="auto"/>
          <w:szCs w:val="24"/>
          <w:lang w:eastAsia="en-US"/>
        </w:rPr>
        <w:t>capture</w:t>
      </w:r>
      <w:r w:rsidRPr="00DE168A">
        <w:rPr>
          <w:rFonts w:eastAsiaTheme="minorHAnsi" w:cs="Arial"/>
          <w:color w:val="auto"/>
          <w:szCs w:val="24"/>
          <w:lang w:eastAsia="en-US"/>
        </w:rPr>
        <w:t xml:space="preserve"> the benefits of the ‘Asian </w:t>
      </w:r>
      <w:r w:rsidR="00432EB0">
        <w:rPr>
          <w:rFonts w:eastAsiaTheme="minorHAnsi" w:cs="Arial"/>
          <w:color w:val="auto"/>
          <w:szCs w:val="24"/>
          <w:lang w:eastAsia="en-US"/>
        </w:rPr>
        <w:t>Century’ will be to enhance the</w:t>
      </w:r>
      <w:r w:rsidRPr="00DE168A">
        <w:rPr>
          <w:rFonts w:eastAsiaTheme="minorHAnsi" w:cs="Arial"/>
          <w:color w:val="auto"/>
          <w:szCs w:val="24"/>
          <w:lang w:eastAsia="en-US"/>
        </w:rPr>
        <w:t xml:space="preserve"> productivity and com</w:t>
      </w:r>
      <w:r w:rsidR="00432EB0">
        <w:rPr>
          <w:rFonts w:eastAsiaTheme="minorHAnsi" w:cs="Arial"/>
          <w:color w:val="auto"/>
          <w:szCs w:val="24"/>
          <w:lang w:eastAsia="en-US"/>
        </w:rPr>
        <w:t>petitiveness of our own economie</w:t>
      </w:r>
      <w:r w:rsidRPr="00DE168A">
        <w:rPr>
          <w:rFonts w:eastAsiaTheme="minorHAnsi" w:cs="Arial"/>
          <w:color w:val="auto"/>
          <w:szCs w:val="24"/>
          <w:lang w:eastAsia="en-US"/>
        </w:rPr>
        <w:t>s.</w:t>
      </w:r>
      <w:r w:rsidR="00C75907">
        <w:t xml:space="preserve"> </w:t>
      </w:r>
    </w:p>
    <w:p w:rsidR="005932B7" w:rsidRDefault="005932B7" w:rsidP="005932B7">
      <w:pPr>
        <w:pStyle w:val="Heading4"/>
      </w:pPr>
      <w:r>
        <w:t xml:space="preserve">Domestic reform by one partner is </w:t>
      </w:r>
      <w:r w:rsidR="002236BC">
        <w:t xml:space="preserve">also </w:t>
      </w:r>
      <w:r>
        <w:t>good for the other</w:t>
      </w:r>
    </w:p>
    <w:p w:rsidR="00432EB0" w:rsidRPr="00432EB0" w:rsidRDefault="00432EB0" w:rsidP="00432EB0">
      <w:pPr>
        <w:pStyle w:val="BodyText"/>
      </w:pPr>
    </w:p>
    <w:p w:rsidR="00DE168A" w:rsidRPr="00DE168A" w:rsidRDefault="00DE168A" w:rsidP="00DE168A">
      <w:pPr>
        <w:spacing w:after="120" w:line="276" w:lineRule="auto"/>
        <w:jc w:val="both"/>
        <w:rPr>
          <w:rFonts w:ascii="Arial" w:eastAsiaTheme="minorHAnsi" w:hAnsi="Arial" w:cs="Arial"/>
          <w:sz w:val="24"/>
          <w:lang w:eastAsia="en-US"/>
        </w:rPr>
      </w:pPr>
      <w:r w:rsidRPr="00DE168A">
        <w:rPr>
          <w:rFonts w:ascii="Arial" w:eastAsiaTheme="minorHAnsi" w:hAnsi="Arial" w:cs="Arial"/>
          <w:sz w:val="24"/>
          <w:lang w:eastAsia="en-US"/>
        </w:rPr>
        <w:t xml:space="preserve">The domestic reforms that have occurred since </w:t>
      </w:r>
      <w:proofErr w:type="spellStart"/>
      <w:r w:rsidRPr="00DE168A">
        <w:rPr>
          <w:rFonts w:ascii="Arial" w:eastAsiaTheme="minorHAnsi" w:hAnsi="Arial" w:cs="Arial"/>
          <w:sz w:val="24"/>
          <w:lang w:eastAsia="en-US"/>
        </w:rPr>
        <w:t>CER</w:t>
      </w:r>
      <w:proofErr w:type="spellEnd"/>
      <w:r w:rsidRPr="00DE168A">
        <w:rPr>
          <w:rFonts w:ascii="Arial" w:eastAsiaTheme="minorHAnsi" w:hAnsi="Arial" w:cs="Arial"/>
          <w:sz w:val="24"/>
          <w:lang w:eastAsia="en-US"/>
        </w:rPr>
        <w:t xml:space="preserve"> was introduced have already paid dividends in this respect, as well as bringing purely domestic benefits. But neither country </w:t>
      </w:r>
      <w:r w:rsidR="00432EB0">
        <w:rPr>
          <w:rFonts w:ascii="Arial" w:eastAsiaTheme="minorHAnsi" w:hAnsi="Arial" w:cs="Arial"/>
          <w:sz w:val="24"/>
          <w:lang w:eastAsia="en-US"/>
        </w:rPr>
        <w:t xml:space="preserve">could be said to have come </w:t>
      </w:r>
      <w:r w:rsidRPr="00DE168A">
        <w:rPr>
          <w:rFonts w:ascii="Arial" w:eastAsiaTheme="minorHAnsi" w:hAnsi="Arial" w:cs="Arial"/>
          <w:sz w:val="24"/>
          <w:lang w:eastAsia="en-US"/>
        </w:rPr>
        <w:t>near exhausting the possibilities for enhancing productivity though domestic reforms. There is much more to do, and it is</w:t>
      </w:r>
      <w:r w:rsidR="00432EB0">
        <w:rPr>
          <w:rFonts w:ascii="Arial" w:eastAsiaTheme="minorHAnsi" w:hAnsi="Arial" w:cs="Arial"/>
          <w:sz w:val="24"/>
          <w:lang w:eastAsia="en-US"/>
        </w:rPr>
        <w:t xml:space="preserve"> important to consider how the domestic reform imperative </w:t>
      </w:r>
      <w:r w:rsidRPr="00DE168A">
        <w:rPr>
          <w:rFonts w:ascii="Arial" w:eastAsiaTheme="minorHAnsi" w:hAnsi="Arial" w:cs="Arial"/>
          <w:sz w:val="24"/>
          <w:lang w:eastAsia="en-US"/>
        </w:rPr>
        <w:t>can be advanced th</w:t>
      </w:r>
      <w:r w:rsidR="00432EB0">
        <w:rPr>
          <w:rFonts w:ascii="Arial" w:eastAsiaTheme="minorHAnsi" w:hAnsi="Arial" w:cs="Arial"/>
          <w:sz w:val="24"/>
          <w:lang w:eastAsia="en-US"/>
        </w:rPr>
        <w:t>r</w:t>
      </w:r>
      <w:r w:rsidRPr="00DE168A">
        <w:rPr>
          <w:rFonts w:ascii="Arial" w:eastAsiaTheme="minorHAnsi" w:hAnsi="Arial" w:cs="Arial"/>
          <w:sz w:val="24"/>
          <w:lang w:eastAsia="en-US"/>
        </w:rPr>
        <w:t xml:space="preserve">ough the </w:t>
      </w:r>
      <w:r w:rsidR="00033037" w:rsidRPr="00DE168A">
        <w:rPr>
          <w:rFonts w:ascii="Arial" w:eastAsiaTheme="minorHAnsi" w:hAnsi="Arial" w:cs="Arial"/>
          <w:sz w:val="24"/>
          <w:lang w:eastAsia="en-US"/>
        </w:rPr>
        <w:t>Trans-Tasman</w:t>
      </w:r>
      <w:r w:rsidRPr="00DE168A">
        <w:rPr>
          <w:rFonts w:ascii="Arial" w:eastAsiaTheme="minorHAnsi" w:hAnsi="Arial" w:cs="Arial"/>
          <w:sz w:val="24"/>
          <w:lang w:eastAsia="en-US"/>
        </w:rPr>
        <w:t xml:space="preserve"> relationship. For example, we have each undertaken beneficial reforms from which the other can learn.</w:t>
      </w:r>
    </w:p>
    <w:p w:rsidR="00333B2F" w:rsidRPr="00DE168A" w:rsidRDefault="00DE168A" w:rsidP="00DE168A">
      <w:pPr>
        <w:spacing w:after="120" w:line="276" w:lineRule="auto"/>
        <w:jc w:val="both"/>
        <w:rPr>
          <w:rFonts w:ascii="Arial" w:eastAsiaTheme="minorHAnsi" w:hAnsi="Arial" w:cs="Arial"/>
          <w:sz w:val="24"/>
          <w:lang w:eastAsia="en-US"/>
        </w:rPr>
      </w:pPr>
      <w:r w:rsidRPr="00DE168A">
        <w:rPr>
          <w:rFonts w:ascii="Arial" w:eastAsiaTheme="minorHAnsi" w:hAnsi="Arial" w:cs="Arial"/>
          <w:sz w:val="24"/>
          <w:lang w:eastAsia="en-US"/>
        </w:rPr>
        <w:t>Moreover, to the extent that such reform</w:t>
      </w:r>
      <w:r w:rsidR="00432EB0">
        <w:rPr>
          <w:rFonts w:ascii="Arial" w:eastAsiaTheme="minorHAnsi" w:hAnsi="Arial" w:cs="Arial"/>
          <w:sz w:val="24"/>
          <w:lang w:eastAsia="en-US"/>
        </w:rPr>
        <w:t>s</w:t>
      </w:r>
      <w:r w:rsidRPr="00DE168A">
        <w:rPr>
          <w:rFonts w:ascii="Arial" w:eastAsiaTheme="minorHAnsi" w:hAnsi="Arial" w:cs="Arial"/>
          <w:sz w:val="24"/>
          <w:lang w:eastAsia="en-US"/>
        </w:rPr>
        <w:t xml:space="preserve"> raise income</w:t>
      </w:r>
      <w:r w:rsidR="00432EB0">
        <w:rPr>
          <w:rFonts w:ascii="Arial" w:eastAsiaTheme="minorHAnsi" w:hAnsi="Arial" w:cs="Arial"/>
          <w:sz w:val="24"/>
          <w:lang w:eastAsia="en-US"/>
        </w:rPr>
        <w:t>s</w:t>
      </w:r>
      <w:r w:rsidRPr="00DE168A">
        <w:rPr>
          <w:rFonts w:ascii="Arial" w:eastAsiaTheme="minorHAnsi" w:hAnsi="Arial" w:cs="Arial"/>
          <w:sz w:val="24"/>
          <w:lang w:eastAsia="en-US"/>
        </w:rPr>
        <w:t xml:space="preserve"> in one country, the other country will benefit</w:t>
      </w:r>
      <w:r w:rsidR="00432EB0">
        <w:rPr>
          <w:rFonts w:ascii="Arial" w:eastAsiaTheme="minorHAnsi" w:hAnsi="Arial" w:cs="Arial"/>
          <w:sz w:val="24"/>
          <w:lang w:eastAsia="en-US"/>
        </w:rPr>
        <w:t xml:space="preserve"> anyway. To get a better fix on</w:t>
      </w:r>
      <w:r w:rsidRPr="00DE168A">
        <w:rPr>
          <w:rFonts w:ascii="Arial" w:eastAsiaTheme="minorHAnsi" w:hAnsi="Arial" w:cs="Arial"/>
          <w:sz w:val="24"/>
          <w:lang w:eastAsia="en-US"/>
        </w:rPr>
        <w:t xml:space="preserve"> the magnitude of this ‘prosperity </w:t>
      </w:r>
      <w:r w:rsidR="00033037" w:rsidRPr="00DE168A">
        <w:rPr>
          <w:rFonts w:ascii="Arial" w:eastAsiaTheme="minorHAnsi" w:hAnsi="Arial" w:cs="Arial"/>
          <w:sz w:val="24"/>
          <w:lang w:eastAsia="en-US"/>
        </w:rPr>
        <w:t>spill over</w:t>
      </w:r>
      <w:r w:rsidRPr="00DE168A">
        <w:rPr>
          <w:rFonts w:ascii="Arial" w:eastAsiaTheme="minorHAnsi" w:hAnsi="Arial" w:cs="Arial"/>
          <w:sz w:val="24"/>
          <w:lang w:eastAsia="en-US"/>
        </w:rPr>
        <w:t xml:space="preserve">’, Commission researchers in Australia have been undertaking some economic modelling that </w:t>
      </w:r>
      <w:r w:rsidR="00432EB0">
        <w:rPr>
          <w:rFonts w:ascii="Arial" w:eastAsiaTheme="minorHAnsi" w:hAnsi="Arial" w:cs="Arial"/>
          <w:sz w:val="24"/>
          <w:lang w:eastAsia="en-US"/>
        </w:rPr>
        <w:t xml:space="preserve">can </w:t>
      </w:r>
      <w:r w:rsidRPr="00DE168A">
        <w:rPr>
          <w:rFonts w:ascii="Arial" w:eastAsiaTheme="minorHAnsi" w:hAnsi="Arial" w:cs="Arial"/>
          <w:sz w:val="24"/>
          <w:lang w:eastAsia="en-US"/>
        </w:rPr>
        <w:t>account for both direct and indirect linkages within and across our economies. This</w:t>
      </w:r>
      <w:r>
        <w:rPr>
          <w:rFonts w:ascii="Arial" w:eastAsiaTheme="minorHAnsi" w:hAnsi="Arial" w:cs="Arial"/>
          <w:sz w:val="24"/>
          <w:lang w:eastAsia="en-US"/>
        </w:rPr>
        <w:t xml:space="preserve"> </w:t>
      </w:r>
      <w:r w:rsidR="00D66898" w:rsidRPr="00DE168A">
        <w:rPr>
          <w:rFonts w:ascii="Arial" w:eastAsiaTheme="minorHAnsi" w:hAnsi="Arial" w:cs="Arial"/>
          <w:sz w:val="24"/>
          <w:lang w:eastAsia="en-US"/>
        </w:rPr>
        <w:t xml:space="preserve">indicates that a </w:t>
      </w:r>
      <w:r w:rsidR="00333B2F" w:rsidRPr="00DE168A">
        <w:rPr>
          <w:rFonts w:ascii="Arial" w:eastAsiaTheme="minorHAnsi" w:hAnsi="Arial" w:cs="Arial"/>
          <w:sz w:val="24"/>
          <w:lang w:eastAsia="en-US"/>
        </w:rPr>
        <w:t>1 per cent expansion of the Australian economy lead</w:t>
      </w:r>
      <w:r w:rsidR="00D66898" w:rsidRPr="00DE168A">
        <w:rPr>
          <w:rFonts w:ascii="Arial" w:eastAsiaTheme="minorHAnsi" w:hAnsi="Arial" w:cs="Arial"/>
          <w:sz w:val="24"/>
          <w:lang w:eastAsia="en-US"/>
        </w:rPr>
        <w:t>s</w:t>
      </w:r>
      <w:r w:rsidR="00333B2F" w:rsidRPr="00DE168A">
        <w:rPr>
          <w:rFonts w:ascii="Arial" w:eastAsiaTheme="minorHAnsi" w:hAnsi="Arial" w:cs="Arial"/>
          <w:sz w:val="24"/>
          <w:lang w:eastAsia="en-US"/>
        </w:rPr>
        <w:t xml:space="preserve"> to an expansion of 0.3 per cent in New Zealand. </w:t>
      </w:r>
      <w:r w:rsidR="00D66898" w:rsidRPr="00DE168A">
        <w:rPr>
          <w:rFonts w:ascii="Arial" w:eastAsiaTheme="minorHAnsi" w:hAnsi="Arial" w:cs="Arial"/>
          <w:sz w:val="24"/>
          <w:lang w:eastAsia="en-US"/>
        </w:rPr>
        <w:t xml:space="preserve">In other words, </w:t>
      </w:r>
      <w:r w:rsidR="004A1829">
        <w:rPr>
          <w:rFonts w:ascii="Arial" w:eastAsiaTheme="minorHAnsi" w:hAnsi="Arial" w:cs="Arial"/>
          <w:sz w:val="24"/>
          <w:lang w:eastAsia="en-US"/>
        </w:rPr>
        <w:t xml:space="preserve">the </w:t>
      </w:r>
      <w:r w:rsidR="00D66898" w:rsidRPr="00DE168A">
        <w:rPr>
          <w:rFonts w:ascii="Arial" w:eastAsiaTheme="minorHAnsi" w:hAnsi="Arial" w:cs="Arial"/>
          <w:sz w:val="24"/>
          <w:lang w:eastAsia="en-US"/>
        </w:rPr>
        <w:t xml:space="preserve">New Zealand </w:t>
      </w:r>
      <w:r w:rsidR="004A1829">
        <w:rPr>
          <w:rFonts w:ascii="Arial" w:eastAsiaTheme="minorHAnsi" w:hAnsi="Arial" w:cs="Arial"/>
          <w:sz w:val="24"/>
          <w:lang w:eastAsia="en-US"/>
        </w:rPr>
        <w:t xml:space="preserve">economy is projected to </w:t>
      </w:r>
      <w:r w:rsidR="00432EB0">
        <w:rPr>
          <w:rFonts w:ascii="Arial" w:eastAsiaTheme="minorHAnsi" w:hAnsi="Arial" w:cs="Arial"/>
          <w:sz w:val="24"/>
          <w:lang w:eastAsia="en-US"/>
        </w:rPr>
        <w:t>get</w:t>
      </w:r>
      <w:r w:rsidR="00D66898" w:rsidRPr="00DE168A">
        <w:rPr>
          <w:rFonts w:ascii="Arial" w:eastAsiaTheme="minorHAnsi" w:hAnsi="Arial" w:cs="Arial"/>
          <w:sz w:val="24"/>
          <w:lang w:eastAsia="en-US"/>
        </w:rPr>
        <w:t xml:space="preserve"> a boost </w:t>
      </w:r>
      <w:r w:rsidR="0019189E">
        <w:rPr>
          <w:rFonts w:ascii="Arial" w:eastAsiaTheme="minorHAnsi" w:hAnsi="Arial" w:cs="Arial"/>
          <w:sz w:val="24"/>
          <w:lang w:eastAsia="en-US"/>
        </w:rPr>
        <w:t xml:space="preserve">proportionately </w:t>
      </w:r>
      <w:r w:rsidR="00D66898" w:rsidRPr="00DE168A">
        <w:rPr>
          <w:rFonts w:ascii="Arial" w:eastAsiaTheme="minorHAnsi" w:hAnsi="Arial" w:cs="Arial"/>
          <w:sz w:val="24"/>
          <w:lang w:eastAsia="en-US"/>
        </w:rPr>
        <w:t>equal to</w:t>
      </w:r>
      <w:r w:rsidR="002236BC" w:rsidRPr="00DE168A">
        <w:rPr>
          <w:rFonts w:ascii="Arial" w:eastAsiaTheme="minorHAnsi" w:hAnsi="Arial" w:cs="Arial"/>
          <w:sz w:val="24"/>
          <w:lang w:eastAsia="en-US"/>
        </w:rPr>
        <w:t xml:space="preserve"> </w:t>
      </w:r>
      <w:r w:rsidR="00432EB0">
        <w:rPr>
          <w:rFonts w:ascii="Arial" w:eastAsiaTheme="minorHAnsi" w:hAnsi="Arial" w:cs="Arial"/>
          <w:sz w:val="24"/>
          <w:lang w:eastAsia="en-US"/>
        </w:rPr>
        <w:t>nearly</w:t>
      </w:r>
      <w:r w:rsidR="002236BC" w:rsidRPr="00DE168A">
        <w:rPr>
          <w:rFonts w:ascii="Arial" w:eastAsiaTheme="minorHAnsi" w:hAnsi="Arial" w:cs="Arial"/>
          <w:sz w:val="24"/>
          <w:lang w:eastAsia="en-US"/>
        </w:rPr>
        <w:t xml:space="preserve"> </w:t>
      </w:r>
      <w:r w:rsidR="00D66898" w:rsidRPr="00DE168A">
        <w:rPr>
          <w:rFonts w:ascii="Arial" w:eastAsiaTheme="minorHAnsi" w:hAnsi="Arial" w:cs="Arial"/>
          <w:sz w:val="24"/>
          <w:lang w:eastAsia="en-US"/>
        </w:rPr>
        <w:t>one</w:t>
      </w:r>
      <w:r w:rsidR="00D66898" w:rsidRPr="00DE168A">
        <w:rPr>
          <w:rFonts w:ascii="Arial" w:eastAsiaTheme="minorHAnsi" w:hAnsi="Arial" w:cs="Arial"/>
          <w:sz w:val="24"/>
          <w:lang w:eastAsia="en-US"/>
        </w:rPr>
        <w:noBreakHyphen/>
        <w:t xml:space="preserve">third of what Australia gets from </w:t>
      </w:r>
      <w:r w:rsidR="004A1829">
        <w:rPr>
          <w:rFonts w:ascii="Arial" w:eastAsiaTheme="minorHAnsi" w:hAnsi="Arial" w:cs="Arial"/>
          <w:sz w:val="24"/>
          <w:lang w:eastAsia="en-US"/>
        </w:rPr>
        <w:t>any</w:t>
      </w:r>
      <w:r w:rsidR="002236BC" w:rsidRPr="00DE168A">
        <w:rPr>
          <w:rFonts w:ascii="Arial" w:eastAsiaTheme="minorHAnsi" w:hAnsi="Arial" w:cs="Arial"/>
          <w:sz w:val="24"/>
          <w:lang w:eastAsia="en-US"/>
        </w:rPr>
        <w:t xml:space="preserve"> productivity enhancing </w:t>
      </w:r>
      <w:r w:rsidR="00D66898" w:rsidRPr="00DE168A">
        <w:rPr>
          <w:rFonts w:ascii="Arial" w:eastAsiaTheme="minorHAnsi" w:hAnsi="Arial" w:cs="Arial"/>
          <w:sz w:val="24"/>
          <w:lang w:eastAsia="en-US"/>
        </w:rPr>
        <w:t xml:space="preserve">domestic reforms. </w:t>
      </w:r>
      <w:r w:rsidR="00333B2F" w:rsidRPr="00DE168A">
        <w:rPr>
          <w:rFonts w:ascii="Arial" w:eastAsiaTheme="minorHAnsi" w:hAnsi="Arial" w:cs="Arial"/>
          <w:sz w:val="24"/>
          <w:lang w:eastAsia="en-US"/>
        </w:rPr>
        <w:t xml:space="preserve">The </w:t>
      </w:r>
      <w:r w:rsidR="00733543" w:rsidRPr="00DE168A">
        <w:rPr>
          <w:rFonts w:ascii="Arial" w:eastAsiaTheme="minorHAnsi" w:hAnsi="Arial" w:cs="Arial"/>
          <w:sz w:val="24"/>
          <w:lang w:eastAsia="en-US"/>
        </w:rPr>
        <w:t>key</w:t>
      </w:r>
      <w:r w:rsidR="00333B2F" w:rsidRPr="00DE168A">
        <w:rPr>
          <w:rFonts w:ascii="Arial" w:eastAsiaTheme="minorHAnsi" w:hAnsi="Arial" w:cs="Arial"/>
          <w:sz w:val="24"/>
          <w:lang w:eastAsia="en-US"/>
        </w:rPr>
        <w:t xml:space="preserve"> linkages are through </w:t>
      </w:r>
      <w:r w:rsidR="00733543" w:rsidRPr="00DE168A">
        <w:rPr>
          <w:rFonts w:ascii="Arial" w:eastAsiaTheme="minorHAnsi" w:hAnsi="Arial" w:cs="Arial"/>
          <w:sz w:val="24"/>
          <w:lang w:eastAsia="en-US"/>
        </w:rPr>
        <w:t>trade</w:t>
      </w:r>
      <w:r w:rsidR="00432EB0">
        <w:rPr>
          <w:rFonts w:ascii="Arial" w:eastAsiaTheme="minorHAnsi" w:hAnsi="Arial" w:cs="Arial"/>
          <w:sz w:val="24"/>
          <w:lang w:eastAsia="en-US"/>
        </w:rPr>
        <w:t xml:space="preserve"> and investment: a</w:t>
      </w:r>
      <w:r w:rsidR="00333B2F" w:rsidRPr="00DE168A">
        <w:rPr>
          <w:rFonts w:ascii="Arial" w:eastAsiaTheme="minorHAnsi" w:hAnsi="Arial" w:cs="Arial"/>
          <w:sz w:val="24"/>
          <w:lang w:eastAsia="en-US"/>
        </w:rPr>
        <w:t>s Australian incomes grow</w:t>
      </w:r>
      <w:r w:rsidR="00D66898" w:rsidRPr="00DE168A">
        <w:rPr>
          <w:rFonts w:ascii="Arial" w:eastAsiaTheme="minorHAnsi" w:hAnsi="Arial" w:cs="Arial"/>
          <w:sz w:val="24"/>
          <w:lang w:eastAsia="en-US"/>
        </w:rPr>
        <w:t>,</w:t>
      </w:r>
      <w:r w:rsidR="00333B2F" w:rsidRPr="00DE168A">
        <w:rPr>
          <w:rFonts w:ascii="Arial" w:eastAsiaTheme="minorHAnsi" w:hAnsi="Arial" w:cs="Arial"/>
          <w:sz w:val="24"/>
          <w:lang w:eastAsia="en-US"/>
        </w:rPr>
        <w:t xml:space="preserve"> demand for New Zealand’s exports increase, as do investment flows from Australia to New Zealand. </w:t>
      </w:r>
    </w:p>
    <w:p w:rsidR="00333B2F" w:rsidRDefault="00333B2F" w:rsidP="00333B2F">
      <w:pPr>
        <w:pStyle w:val="BodyText"/>
      </w:pPr>
      <w:r>
        <w:t>Australia</w:t>
      </w:r>
      <w:r w:rsidR="00733543">
        <w:t xml:space="preserve"> obviously receives a</w:t>
      </w:r>
      <w:r>
        <w:t xml:space="preserve"> </w:t>
      </w:r>
      <w:r w:rsidR="00733543">
        <w:t>much smaller stimulus from</w:t>
      </w:r>
      <w:r>
        <w:t xml:space="preserve"> economic growth in New Zealand. </w:t>
      </w:r>
      <w:r w:rsidR="00432EB0">
        <w:t>But</w:t>
      </w:r>
      <w:r>
        <w:t xml:space="preserve"> some sectors of the Australian economy </w:t>
      </w:r>
      <w:r w:rsidR="0019189E">
        <w:t xml:space="preserve">were found to </w:t>
      </w:r>
      <w:r w:rsidR="00F61A49">
        <w:t>b</w:t>
      </w:r>
      <w:r>
        <w:t>enefit</w:t>
      </w:r>
      <w:r w:rsidR="00733543">
        <w:t xml:space="preserve"> significantly</w:t>
      </w:r>
      <w:r>
        <w:t xml:space="preserve">, such as mineral products and other metals and construction services. </w:t>
      </w:r>
    </w:p>
    <w:p w:rsidR="005A42F6" w:rsidRDefault="00F61A49" w:rsidP="00333B2F">
      <w:pPr>
        <w:pStyle w:val="BodyText"/>
      </w:pPr>
      <w:r>
        <w:t xml:space="preserve">By the same token, any </w:t>
      </w:r>
      <w:r w:rsidR="005A42F6">
        <w:t>policies that serve</w:t>
      </w:r>
      <w:r w:rsidR="00733543">
        <w:t>d</w:t>
      </w:r>
      <w:r w:rsidR="005A42F6">
        <w:t xml:space="preserve"> to reduce Australia’s </w:t>
      </w:r>
      <w:r w:rsidR="00733543">
        <w:t xml:space="preserve">productivity performance and income </w:t>
      </w:r>
      <w:r w:rsidR="005A42F6">
        <w:t>growth</w:t>
      </w:r>
      <w:r w:rsidR="00733543">
        <w:t xml:space="preserve"> would</w:t>
      </w:r>
      <w:r w:rsidR="005A42F6">
        <w:t xml:space="preserve"> also impact negatively on New Zealand. Each country, therefore, </w:t>
      </w:r>
      <w:r w:rsidR="00733543">
        <w:t xml:space="preserve">has </w:t>
      </w:r>
      <w:r w:rsidR="005A42F6">
        <w:t>a strong interest in good public policy across the Tasman.</w:t>
      </w:r>
    </w:p>
    <w:p w:rsidR="005932B7" w:rsidRDefault="005932B7" w:rsidP="005932B7">
      <w:pPr>
        <w:pStyle w:val="Heading4"/>
      </w:pPr>
      <w:r>
        <w:lastRenderedPageBreak/>
        <w:t>The way forward: a grand vision or (more) ‘Kiwi–Aussie pragmatism’?</w:t>
      </w:r>
    </w:p>
    <w:p w:rsidR="00DE168A" w:rsidRPr="00DE168A" w:rsidRDefault="002653F1" w:rsidP="00DE168A">
      <w:pPr>
        <w:pStyle w:val="BodyText"/>
        <w:rPr>
          <w:rFonts w:eastAsiaTheme="minorHAnsi" w:cs="Arial"/>
          <w:color w:val="auto"/>
          <w:szCs w:val="24"/>
          <w:lang w:eastAsia="en-US"/>
        </w:rPr>
      </w:pPr>
      <w:r>
        <w:t xml:space="preserve">A message we are hearing from consultations is </w:t>
      </w:r>
      <w:r w:rsidR="00333B2F">
        <w:t xml:space="preserve">that the general predilection of </w:t>
      </w:r>
      <w:r>
        <w:t>Ki</w:t>
      </w:r>
      <w:r w:rsidR="00333B2F">
        <w:t xml:space="preserve">wis and Aussies </w:t>
      </w:r>
      <w:r w:rsidR="00733543">
        <w:t>for getting</w:t>
      </w:r>
      <w:r w:rsidR="00333B2F">
        <w:t xml:space="preserve"> on with the job, while steering clear of grand gestures, fits well with the challenges and opportunities ahead. But it is necessary to have a </w:t>
      </w:r>
      <w:r w:rsidR="00F61A49">
        <w:t>clear idea of what the ‘job’ is. S</w:t>
      </w:r>
      <w:r w:rsidR="00333B2F">
        <w:t xml:space="preserve">o articulating a ‘vision’ for the trans-Tasman relationship </w:t>
      </w:r>
      <w:r>
        <w:t>also makes sense</w:t>
      </w:r>
      <w:r w:rsidR="00333B2F">
        <w:t>.</w:t>
      </w:r>
      <w:r w:rsidR="00DE168A">
        <w:t xml:space="preserve"> </w:t>
      </w:r>
      <w:r w:rsidR="00DE168A" w:rsidRPr="00DE168A">
        <w:rPr>
          <w:rFonts w:eastAsiaTheme="minorHAnsi" w:cs="Arial"/>
          <w:color w:val="auto"/>
          <w:szCs w:val="24"/>
          <w:lang w:eastAsia="en-US"/>
        </w:rPr>
        <w:t>That is not to suggest that there have been none to date. The aspirations in the concepts of a ‘single economic market’, or ‘seamless regulatory environment’ — in which people and business from one country can have a ‘domestic-like’</w:t>
      </w:r>
      <w:r w:rsidR="00F61A49">
        <w:rPr>
          <w:rFonts w:eastAsiaTheme="minorHAnsi" w:cs="Arial"/>
          <w:color w:val="auto"/>
          <w:szCs w:val="24"/>
          <w:lang w:eastAsia="en-US"/>
        </w:rPr>
        <w:t xml:space="preserve"> experience when in </w:t>
      </w:r>
      <w:r w:rsidR="00DE168A" w:rsidRPr="00DE168A">
        <w:rPr>
          <w:rFonts w:eastAsiaTheme="minorHAnsi" w:cs="Arial"/>
          <w:color w:val="auto"/>
          <w:szCs w:val="24"/>
          <w:lang w:eastAsia="en-US"/>
        </w:rPr>
        <w:t>the other — already constitute</w:t>
      </w:r>
      <w:r w:rsidR="00F61A49">
        <w:rPr>
          <w:rFonts w:eastAsiaTheme="minorHAnsi" w:cs="Arial"/>
          <w:color w:val="auto"/>
          <w:szCs w:val="24"/>
          <w:lang w:eastAsia="en-US"/>
        </w:rPr>
        <w:t>s</w:t>
      </w:r>
      <w:r w:rsidR="00DE168A" w:rsidRPr="00DE168A">
        <w:rPr>
          <w:rFonts w:eastAsiaTheme="minorHAnsi" w:cs="Arial"/>
          <w:color w:val="auto"/>
          <w:szCs w:val="24"/>
          <w:lang w:eastAsia="en-US"/>
        </w:rPr>
        <w:t xml:space="preserve"> a vision. It is grounded in the practicalities of our relationship and one that still seems relevant to the future, though </w:t>
      </w:r>
      <w:r w:rsidR="00F61A49">
        <w:rPr>
          <w:rFonts w:eastAsiaTheme="minorHAnsi" w:cs="Arial"/>
          <w:color w:val="auto"/>
          <w:szCs w:val="24"/>
          <w:lang w:eastAsia="en-US"/>
        </w:rPr>
        <w:t>perhaps</w:t>
      </w:r>
      <w:r w:rsidR="00DE168A" w:rsidRPr="00DE168A">
        <w:rPr>
          <w:rFonts w:eastAsiaTheme="minorHAnsi" w:cs="Arial"/>
          <w:color w:val="auto"/>
          <w:szCs w:val="24"/>
          <w:lang w:eastAsia="en-US"/>
        </w:rPr>
        <w:t xml:space="preserve"> augmented </w:t>
      </w:r>
      <w:r w:rsidR="00F61A49">
        <w:rPr>
          <w:rFonts w:eastAsiaTheme="minorHAnsi" w:cs="Arial"/>
          <w:color w:val="auto"/>
          <w:szCs w:val="24"/>
          <w:lang w:eastAsia="en-US"/>
        </w:rPr>
        <w:t xml:space="preserve">with </w:t>
      </w:r>
      <w:r w:rsidR="00DE168A" w:rsidRPr="00DE168A">
        <w:rPr>
          <w:rFonts w:eastAsiaTheme="minorHAnsi" w:cs="Arial"/>
          <w:color w:val="auto"/>
          <w:szCs w:val="24"/>
          <w:lang w:eastAsia="en-US"/>
        </w:rPr>
        <w:t>a more explicit acknowledgement of the wider region</w:t>
      </w:r>
      <w:r w:rsidR="00F61A49">
        <w:rPr>
          <w:rFonts w:eastAsiaTheme="minorHAnsi" w:cs="Arial"/>
          <w:color w:val="auto"/>
          <w:szCs w:val="24"/>
          <w:lang w:eastAsia="en-US"/>
        </w:rPr>
        <w:t>al context.</w:t>
      </w:r>
    </w:p>
    <w:p w:rsidR="00333B2F" w:rsidRDefault="0019189E" w:rsidP="00333B2F">
      <w:pPr>
        <w:pStyle w:val="BodyText"/>
      </w:pPr>
      <w:r>
        <w:rPr>
          <w:rFonts w:eastAsiaTheme="minorHAnsi" w:cs="Arial"/>
          <w:color w:val="auto"/>
          <w:szCs w:val="24"/>
          <w:lang w:eastAsia="en-US"/>
        </w:rPr>
        <w:t>‘</w:t>
      </w:r>
      <w:r w:rsidR="00F61A49">
        <w:rPr>
          <w:rFonts w:eastAsiaTheme="minorHAnsi" w:cs="Arial"/>
          <w:color w:val="auto"/>
          <w:szCs w:val="24"/>
          <w:lang w:eastAsia="en-US"/>
        </w:rPr>
        <w:t>Kiwi-Auss</w:t>
      </w:r>
      <w:r w:rsidR="00DE168A" w:rsidRPr="00DE168A">
        <w:rPr>
          <w:rFonts w:eastAsiaTheme="minorHAnsi" w:cs="Arial"/>
          <w:color w:val="auto"/>
          <w:szCs w:val="24"/>
          <w:lang w:eastAsia="en-US"/>
        </w:rPr>
        <w:t>ie</w:t>
      </w:r>
      <w:r w:rsidR="00F61A49">
        <w:rPr>
          <w:rFonts w:eastAsiaTheme="minorHAnsi" w:cs="Arial"/>
          <w:color w:val="auto"/>
          <w:szCs w:val="24"/>
          <w:lang w:eastAsia="en-US"/>
        </w:rPr>
        <w:t>’</w:t>
      </w:r>
      <w:r w:rsidR="00DE168A" w:rsidRPr="00DE168A">
        <w:rPr>
          <w:rFonts w:eastAsiaTheme="minorHAnsi" w:cs="Arial"/>
          <w:color w:val="auto"/>
          <w:szCs w:val="24"/>
          <w:lang w:eastAsia="en-US"/>
        </w:rPr>
        <w:t xml:space="preserve"> pr</w:t>
      </w:r>
      <w:r w:rsidR="00F61A49">
        <w:rPr>
          <w:rFonts w:eastAsiaTheme="minorHAnsi" w:cs="Arial"/>
          <w:color w:val="auto"/>
          <w:szCs w:val="24"/>
          <w:lang w:eastAsia="en-US"/>
        </w:rPr>
        <w:t>agmatism</w:t>
      </w:r>
      <w:r w:rsidR="00DE168A" w:rsidRPr="00DE168A">
        <w:rPr>
          <w:rFonts w:eastAsiaTheme="minorHAnsi" w:cs="Arial"/>
          <w:color w:val="auto"/>
          <w:szCs w:val="24"/>
          <w:lang w:eastAsia="en-US"/>
        </w:rPr>
        <w:t xml:space="preserve"> </w:t>
      </w:r>
      <w:r>
        <w:rPr>
          <w:rFonts w:eastAsiaTheme="minorHAnsi" w:cs="Arial"/>
          <w:color w:val="auto"/>
          <w:szCs w:val="24"/>
          <w:lang w:eastAsia="en-US"/>
        </w:rPr>
        <w:t xml:space="preserve">(a term used </w:t>
      </w:r>
      <w:r w:rsidR="002529DF">
        <w:rPr>
          <w:rFonts w:eastAsiaTheme="minorHAnsi" w:cs="Arial"/>
          <w:color w:val="auto"/>
          <w:szCs w:val="24"/>
          <w:lang w:eastAsia="en-US"/>
        </w:rPr>
        <w:t xml:space="preserve">by a participant </w:t>
      </w:r>
      <w:r w:rsidR="00DE168A">
        <w:rPr>
          <w:rFonts w:eastAsiaTheme="minorHAnsi" w:cs="Arial"/>
          <w:color w:val="auto"/>
          <w:szCs w:val="24"/>
          <w:lang w:eastAsia="en-US"/>
        </w:rPr>
        <w:t>at one of our roundtable</w:t>
      </w:r>
      <w:r w:rsidR="00873F3D">
        <w:rPr>
          <w:rFonts w:eastAsiaTheme="minorHAnsi" w:cs="Arial"/>
          <w:color w:val="auto"/>
          <w:szCs w:val="24"/>
          <w:lang w:eastAsia="en-US"/>
        </w:rPr>
        <w:t>s</w:t>
      </w:r>
      <w:r>
        <w:rPr>
          <w:rFonts w:eastAsiaTheme="minorHAnsi" w:cs="Arial"/>
          <w:color w:val="auto"/>
          <w:szCs w:val="24"/>
          <w:lang w:eastAsia="en-US"/>
        </w:rPr>
        <w:t>)</w:t>
      </w:r>
      <w:r w:rsidR="00DE168A">
        <w:rPr>
          <w:rFonts w:eastAsiaTheme="minorHAnsi" w:cs="Arial"/>
          <w:color w:val="auto"/>
          <w:szCs w:val="24"/>
          <w:lang w:eastAsia="en-US"/>
        </w:rPr>
        <w:t xml:space="preserve"> </w:t>
      </w:r>
      <w:r w:rsidR="00333B2F">
        <w:t>is likely to serve us well in:</w:t>
      </w:r>
    </w:p>
    <w:p w:rsidR="00333B2F" w:rsidRDefault="00333B2F" w:rsidP="005E568C">
      <w:pPr>
        <w:pStyle w:val="ListBullet"/>
      </w:pPr>
      <w:r>
        <w:t xml:space="preserve">the ambitions and priorities we set for </w:t>
      </w:r>
      <w:r w:rsidR="00733543">
        <w:t xml:space="preserve">further </w:t>
      </w:r>
      <w:r>
        <w:t>trans</w:t>
      </w:r>
      <w:r w:rsidR="005E568C">
        <w:noBreakHyphen/>
      </w:r>
      <w:r>
        <w:t>Tasman integration</w:t>
      </w:r>
    </w:p>
    <w:p w:rsidR="00333B2F" w:rsidRDefault="00733543" w:rsidP="005E568C">
      <w:pPr>
        <w:pStyle w:val="ListBullet"/>
      </w:pPr>
      <w:r>
        <w:t xml:space="preserve">assessing joint net benefits and </w:t>
      </w:r>
      <w:r w:rsidR="00873F3D">
        <w:t xml:space="preserve">dealing with any </w:t>
      </w:r>
      <w:r>
        <w:t>sensitive distributional issues that may arise</w:t>
      </w:r>
    </w:p>
    <w:p w:rsidR="00333B2F" w:rsidRDefault="00333B2F" w:rsidP="005E568C">
      <w:pPr>
        <w:pStyle w:val="ListBullet"/>
      </w:pPr>
      <w:r>
        <w:t xml:space="preserve">working through issues </w:t>
      </w:r>
      <w:r w:rsidR="00733543">
        <w:t>where</w:t>
      </w:r>
      <w:r>
        <w:t xml:space="preserve"> national autonomy </w:t>
      </w:r>
      <w:r w:rsidR="00733543">
        <w:t>considerations come to the fore</w:t>
      </w:r>
    </w:p>
    <w:p w:rsidR="00333B2F" w:rsidRDefault="00333B2F" w:rsidP="005E568C">
      <w:pPr>
        <w:pStyle w:val="ListBullet"/>
      </w:pPr>
      <w:r>
        <w:t xml:space="preserve">learning from </w:t>
      </w:r>
      <w:r w:rsidR="00733543">
        <w:t xml:space="preserve">the </w:t>
      </w:r>
      <w:r>
        <w:t xml:space="preserve">things that the other country does </w:t>
      </w:r>
      <w:r w:rsidR="00733543">
        <w:t>better, and</w:t>
      </w:r>
    </w:p>
    <w:p w:rsidR="00333B2F" w:rsidRDefault="00733543" w:rsidP="005E568C">
      <w:pPr>
        <w:pStyle w:val="ListBullet"/>
      </w:pPr>
      <w:r>
        <w:t>ref</w:t>
      </w:r>
      <w:r w:rsidR="00B471BF">
        <w:t>o</w:t>
      </w:r>
      <w:r>
        <w:t xml:space="preserve">rming or devising new </w:t>
      </w:r>
      <w:r w:rsidR="00333B2F">
        <w:t xml:space="preserve">governance/institutional arrangements to manage the </w:t>
      </w:r>
      <w:r>
        <w:t xml:space="preserve">ongoing </w:t>
      </w:r>
      <w:r w:rsidR="00333B2F">
        <w:t>integration agenda.</w:t>
      </w:r>
    </w:p>
    <w:p w:rsidR="00DE168A" w:rsidRPr="00DE168A" w:rsidRDefault="00333B2F" w:rsidP="00873F3D">
      <w:pPr>
        <w:pStyle w:val="BodyText"/>
        <w:rPr>
          <w:rFonts w:eastAsiaTheme="minorHAnsi" w:cs="Arial"/>
          <w:lang w:eastAsia="en-US"/>
        </w:rPr>
      </w:pPr>
      <w:r>
        <w:t xml:space="preserve">Harmonisation of </w:t>
      </w:r>
      <w:r w:rsidR="004C6977">
        <w:t xml:space="preserve">business </w:t>
      </w:r>
      <w:r>
        <w:t xml:space="preserve">regulations is a case in point. </w:t>
      </w:r>
      <w:r w:rsidR="00DE168A" w:rsidRPr="00DE168A">
        <w:rPr>
          <w:rFonts w:eastAsiaTheme="minorHAnsi" w:cs="Arial"/>
          <w:color w:val="auto"/>
          <w:szCs w:val="24"/>
          <w:lang w:eastAsia="en-US"/>
        </w:rPr>
        <w:t xml:space="preserve">One option </w:t>
      </w:r>
      <w:r w:rsidR="00873F3D">
        <w:rPr>
          <w:rFonts w:eastAsiaTheme="minorHAnsi" w:cs="Arial"/>
          <w:color w:val="auto"/>
          <w:szCs w:val="24"/>
          <w:lang w:eastAsia="en-US"/>
        </w:rPr>
        <w:t xml:space="preserve">that has been </w:t>
      </w:r>
      <w:r w:rsidR="00DE168A" w:rsidRPr="00DE168A">
        <w:rPr>
          <w:rFonts w:eastAsiaTheme="minorHAnsi" w:cs="Arial"/>
          <w:color w:val="auto"/>
          <w:szCs w:val="24"/>
          <w:lang w:eastAsia="en-US"/>
        </w:rPr>
        <w:t>raised would be to follow a decision rule based on a ‘negative list’ — that al</w:t>
      </w:r>
      <w:r w:rsidR="008F3A65">
        <w:rPr>
          <w:rFonts w:eastAsiaTheme="minorHAnsi" w:cs="Arial"/>
          <w:color w:val="auto"/>
          <w:szCs w:val="24"/>
          <w:lang w:eastAsia="en-US"/>
        </w:rPr>
        <w:t>l regulations should be harmonis</w:t>
      </w:r>
      <w:r w:rsidR="00DE168A" w:rsidRPr="00DE168A">
        <w:rPr>
          <w:rFonts w:eastAsiaTheme="minorHAnsi" w:cs="Arial"/>
          <w:color w:val="auto"/>
          <w:szCs w:val="24"/>
          <w:lang w:eastAsia="en-US"/>
        </w:rPr>
        <w:t xml:space="preserve">ed </w:t>
      </w:r>
      <w:r w:rsidR="0019189E">
        <w:rPr>
          <w:rFonts w:eastAsiaTheme="minorHAnsi" w:cs="Arial"/>
          <w:color w:val="auto"/>
          <w:szCs w:val="24"/>
          <w:lang w:eastAsia="en-US"/>
        </w:rPr>
        <w:t>except where</w:t>
      </w:r>
      <w:r w:rsidR="00DE168A" w:rsidRPr="00DE168A">
        <w:rPr>
          <w:rFonts w:eastAsiaTheme="minorHAnsi" w:cs="Arial"/>
          <w:color w:val="auto"/>
          <w:szCs w:val="24"/>
          <w:lang w:eastAsia="en-US"/>
        </w:rPr>
        <w:t xml:space="preserve"> a </w:t>
      </w:r>
      <w:r w:rsidR="00873F3D">
        <w:rPr>
          <w:rFonts w:eastAsiaTheme="minorHAnsi" w:cs="Arial"/>
          <w:color w:val="auto"/>
          <w:szCs w:val="24"/>
          <w:lang w:eastAsia="en-US"/>
        </w:rPr>
        <w:t>good case is</w:t>
      </w:r>
      <w:r w:rsidR="00DE168A" w:rsidRPr="00DE168A">
        <w:rPr>
          <w:rFonts w:eastAsiaTheme="minorHAnsi" w:cs="Arial"/>
          <w:color w:val="auto"/>
          <w:szCs w:val="24"/>
          <w:lang w:eastAsia="en-US"/>
        </w:rPr>
        <w:t xml:space="preserve"> made </w:t>
      </w:r>
      <w:r w:rsidR="00873F3D">
        <w:rPr>
          <w:rFonts w:eastAsiaTheme="minorHAnsi" w:cs="Arial"/>
          <w:color w:val="auto"/>
          <w:szCs w:val="24"/>
          <w:lang w:eastAsia="en-US"/>
        </w:rPr>
        <w:t>against it.</w:t>
      </w:r>
      <w:r w:rsidR="00DE168A" w:rsidRPr="00DE168A">
        <w:rPr>
          <w:rFonts w:eastAsiaTheme="minorHAnsi" w:cs="Arial"/>
          <w:color w:val="auto"/>
          <w:szCs w:val="24"/>
          <w:lang w:eastAsia="en-US"/>
        </w:rPr>
        <w:t xml:space="preserve"> An alternative is to focus harmonisation efforts on those areas of regulation that pass </w:t>
      </w:r>
      <w:r w:rsidR="00873F3D">
        <w:rPr>
          <w:rFonts w:eastAsiaTheme="minorHAnsi" w:cs="Arial"/>
          <w:color w:val="auto"/>
          <w:szCs w:val="24"/>
          <w:lang w:eastAsia="en-US"/>
        </w:rPr>
        <w:t xml:space="preserve">certain </w:t>
      </w:r>
      <w:r w:rsidR="00DE168A" w:rsidRPr="00DE168A">
        <w:rPr>
          <w:rFonts w:eastAsiaTheme="minorHAnsi" w:cs="Arial"/>
          <w:color w:val="auto"/>
          <w:szCs w:val="24"/>
          <w:lang w:eastAsia="en-US"/>
        </w:rPr>
        <w:t xml:space="preserve">threshold tests based on likely net </w:t>
      </w:r>
      <w:r w:rsidR="00873F3D">
        <w:rPr>
          <w:rFonts w:eastAsiaTheme="minorHAnsi" w:cs="Arial"/>
          <w:color w:val="auto"/>
          <w:szCs w:val="24"/>
          <w:lang w:eastAsia="en-US"/>
        </w:rPr>
        <w:t>b</w:t>
      </w:r>
      <w:r w:rsidR="00DE168A" w:rsidRPr="00DE168A">
        <w:rPr>
          <w:rFonts w:eastAsiaTheme="minorHAnsi" w:cs="Arial"/>
          <w:lang w:eastAsia="en-US"/>
        </w:rPr>
        <w:t xml:space="preserve">enefits — such as common agreed regulatory objectives and large transactions costs from current </w:t>
      </w:r>
      <w:r w:rsidR="00873F3D">
        <w:rPr>
          <w:rFonts w:eastAsiaTheme="minorHAnsi" w:cs="Arial"/>
          <w:lang w:eastAsia="en-US"/>
        </w:rPr>
        <w:t xml:space="preserve">regulatory </w:t>
      </w:r>
      <w:r w:rsidR="00DE168A" w:rsidRPr="00DE168A">
        <w:rPr>
          <w:rFonts w:eastAsiaTheme="minorHAnsi" w:cs="Arial"/>
          <w:lang w:eastAsia="en-US"/>
        </w:rPr>
        <w:t>differences</w:t>
      </w:r>
      <w:r w:rsidR="00873F3D">
        <w:rPr>
          <w:rFonts w:eastAsiaTheme="minorHAnsi" w:cs="Arial"/>
          <w:lang w:eastAsia="en-US"/>
        </w:rPr>
        <w:t xml:space="preserve">. </w:t>
      </w:r>
      <w:r w:rsidR="00DE168A" w:rsidRPr="00DE168A">
        <w:rPr>
          <w:rFonts w:eastAsiaTheme="minorHAnsi" w:cs="Arial"/>
          <w:lang w:eastAsia="en-US"/>
        </w:rPr>
        <w:t>A more pragmatic additional ‘filter’ might be whether o</w:t>
      </w:r>
      <w:r w:rsidR="00873F3D">
        <w:rPr>
          <w:rFonts w:eastAsiaTheme="minorHAnsi" w:cs="Arial"/>
          <w:lang w:eastAsia="en-US"/>
        </w:rPr>
        <w:t xml:space="preserve">r not such areas of regulation </w:t>
      </w:r>
      <w:r w:rsidR="00DE168A" w:rsidRPr="00DE168A">
        <w:rPr>
          <w:rFonts w:eastAsiaTheme="minorHAnsi" w:cs="Arial"/>
          <w:lang w:eastAsia="en-US"/>
        </w:rPr>
        <w:t xml:space="preserve">have succeeded in becoming harmonised across Australia’s Federation. Where this is not so, or the relative costs and benefits are uncertain, </w:t>
      </w:r>
      <w:r w:rsidR="008F3A65">
        <w:rPr>
          <w:rFonts w:eastAsiaTheme="minorHAnsi" w:cs="Arial"/>
          <w:lang w:eastAsia="en-US"/>
        </w:rPr>
        <w:t>harmonis</w:t>
      </w:r>
      <w:r w:rsidR="00873F3D">
        <w:rPr>
          <w:rFonts w:eastAsiaTheme="minorHAnsi" w:cs="Arial"/>
          <w:lang w:eastAsia="en-US"/>
        </w:rPr>
        <w:t xml:space="preserve">ation </w:t>
      </w:r>
      <w:r w:rsidR="0019189E">
        <w:rPr>
          <w:rFonts w:eastAsiaTheme="minorHAnsi" w:cs="Arial"/>
          <w:lang w:eastAsia="en-US"/>
        </w:rPr>
        <w:t>will probably not be worth pursuing, at least in the short term.</w:t>
      </w:r>
      <w:r w:rsidR="00873F3D">
        <w:rPr>
          <w:rFonts w:eastAsiaTheme="minorHAnsi" w:cs="Arial"/>
          <w:lang w:eastAsia="en-US"/>
        </w:rPr>
        <w:t xml:space="preserve"> That said, </w:t>
      </w:r>
      <w:r w:rsidR="00DE168A" w:rsidRPr="00DE168A">
        <w:rPr>
          <w:rFonts w:eastAsiaTheme="minorHAnsi" w:cs="Arial"/>
          <w:lang w:eastAsia="en-US"/>
        </w:rPr>
        <w:t>mutual recognition remains an important (and arguably underutilised) alternative and potential precursor</w:t>
      </w:r>
      <w:r w:rsidR="008F3A65">
        <w:rPr>
          <w:rFonts w:eastAsiaTheme="minorHAnsi" w:cs="Arial"/>
          <w:lang w:eastAsia="en-US"/>
        </w:rPr>
        <w:t xml:space="preserve"> to harmonis</w:t>
      </w:r>
      <w:r w:rsidR="004A1829">
        <w:rPr>
          <w:rFonts w:eastAsiaTheme="minorHAnsi" w:cs="Arial"/>
          <w:lang w:eastAsia="en-US"/>
        </w:rPr>
        <w:t>ation</w:t>
      </w:r>
      <w:r w:rsidR="00DE168A" w:rsidRPr="00DE168A">
        <w:rPr>
          <w:rFonts w:eastAsiaTheme="minorHAnsi" w:cs="Arial"/>
          <w:lang w:eastAsia="en-US"/>
        </w:rPr>
        <w:t>.</w:t>
      </w:r>
    </w:p>
    <w:p w:rsidR="00E804A3" w:rsidRDefault="001F6639" w:rsidP="001F6639">
      <w:pPr>
        <w:pStyle w:val="Heading2"/>
      </w:pPr>
      <w:r>
        <w:lastRenderedPageBreak/>
        <w:t>Emerging policy action areas</w:t>
      </w:r>
    </w:p>
    <w:p w:rsidR="007E1011" w:rsidRDefault="00D468ED" w:rsidP="007E1011">
      <w:pPr>
        <w:pStyle w:val="BodyText"/>
      </w:pPr>
      <w:r>
        <w:t>As shown in the Issues P</w:t>
      </w:r>
      <w:r w:rsidR="00733543">
        <w:t>aper, w</w:t>
      </w:r>
      <w:r w:rsidR="00FF7039">
        <w:t xml:space="preserve">e are using a framework </w:t>
      </w:r>
      <w:r w:rsidR="00733543">
        <w:t>based on</w:t>
      </w:r>
      <w:r w:rsidR="00FF7039">
        <w:t xml:space="preserve"> the ‘four freedoms’ — </w:t>
      </w:r>
      <w:r w:rsidR="00733543">
        <w:t>in</w:t>
      </w:r>
      <w:r w:rsidR="00FF7039" w:rsidRPr="00FF7039">
        <w:t xml:space="preserve"> trade in goods and services, and </w:t>
      </w:r>
      <w:r w:rsidR="00733543">
        <w:t xml:space="preserve">in the </w:t>
      </w:r>
      <w:r w:rsidR="00FF7039" w:rsidRPr="00FF7039">
        <w:t>movement of capital and labou</w:t>
      </w:r>
      <w:r w:rsidR="00FF7039">
        <w:t>r</w:t>
      </w:r>
      <w:r w:rsidR="006A61FF">
        <w:t xml:space="preserve"> </w:t>
      </w:r>
      <w:r w:rsidR="00873F3D">
        <w:t>—</w:t>
      </w:r>
      <w:r w:rsidR="00733543">
        <w:t xml:space="preserve"> </w:t>
      </w:r>
      <w:r w:rsidR="004538AD">
        <w:t>to identify potential areas for further integration</w:t>
      </w:r>
      <w:r w:rsidR="006869CE">
        <w:t>.</w:t>
      </w:r>
      <w:r w:rsidR="006A61FF">
        <w:t xml:space="preserve"> </w:t>
      </w:r>
      <w:r w:rsidR="00733543">
        <w:t xml:space="preserve">But our framework </w:t>
      </w:r>
      <w:r w:rsidR="006A61FF">
        <w:t xml:space="preserve">also encompasses freedom of knowledge and integration </w:t>
      </w:r>
      <w:r w:rsidR="00733543">
        <w:t xml:space="preserve">or interaction </w:t>
      </w:r>
      <w:r w:rsidR="006A61FF">
        <w:t xml:space="preserve">of government functions. Government regulation </w:t>
      </w:r>
      <w:r w:rsidR="00733543">
        <w:t xml:space="preserve">and other measures </w:t>
      </w:r>
      <w:r w:rsidR="006A61FF">
        <w:t xml:space="preserve">can impede these freedoms </w:t>
      </w:r>
      <w:r w:rsidR="00D50C48">
        <w:t xml:space="preserve">at various points — </w:t>
      </w:r>
      <w:r w:rsidR="006A61FF">
        <w:t>between the borders, at the border or post</w:t>
      </w:r>
      <w:r w:rsidR="006A61FF">
        <w:noBreakHyphen/>
        <w:t>border.</w:t>
      </w:r>
    </w:p>
    <w:p w:rsidR="004538AD" w:rsidRDefault="00D50C48" w:rsidP="007E1011">
      <w:pPr>
        <w:pStyle w:val="BodyText"/>
      </w:pPr>
      <w:r>
        <w:t xml:space="preserve">There are lots of items to consider. </w:t>
      </w:r>
      <w:r w:rsidR="00941801">
        <w:t xml:space="preserve">Potential reforms </w:t>
      </w:r>
      <w:r w:rsidR="001C0941">
        <w:t>can be screened according to</w:t>
      </w:r>
      <w:r>
        <w:t xml:space="preserve"> their:</w:t>
      </w:r>
    </w:p>
    <w:p w:rsidR="004538AD" w:rsidRDefault="004538AD" w:rsidP="004538AD">
      <w:pPr>
        <w:pStyle w:val="ListBullet"/>
      </w:pPr>
      <w:r>
        <w:t>width of reach (number of entities and/or value of activity affected)</w:t>
      </w:r>
    </w:p>
    <w:p w:rsidR="004538AD" w:rsidRDefault="004538AD" w:rsidP="004538AD">
      <w:pPr>
        <w:pStyle w:val="ListBullet"/>
      </w:pPr>
      <w:r>
        <w:t>depth of reach (degree to which entities are affected and/or compliance and other costs of the current arrangements)</w:t>
      </w:r>
    </w:p>
    <w:p w:rsidR="004538AD" w:rsidRDefault="004538AD" w:rsidP="004538AD">
      <w:pPr>
        <w:pStyle w:val="ListBullet"/>
      </w:pPr>
      <w:r>
        <w:t>implementation costs</w:t>
      </w:r>
    </w:p>
    <w:p w:rsidR="004538AD" w:rsidRDefault="004538AD" w:rsidP="004538AD">
      <w:pPr>
        <w:pStyle w:val="ListBullet"/>
      </w:pPr>
      <w:r>
        <w:t xml:space="preserve">how costs and benefits are shared between </w:t>
      </w:r>
      <w:r w:rsidR="001C0941">
        <w:t xml:space="preserve">the two </w:t>
      </w:r>
      <w:r>
        <w:t xml:space="preserve">countries (with </w:t>
      </w:r>
      <w:r w:rsidR="00E241B8">
        <w:t>higher priority assigned to those that produce clear net benefits for each)</w:t>
      </w:r>
      <w:r w:rsidR="001C0941">
        <w:t xml:space="preserve"> including </w:t>
      </w:r>
      <w:r w:rsidR="00D468ED">
        <w:t>any</w:t>
      </w:r>
      <w:r w:rsidR="001C0941">
        <w:t xml:space="preserve"> impacts on ‘third country’ relationships</w:t>
      </w:r>
      <w:r w:rsidR="00E241B8">
        <w:t>.</w:t>
      </w:r>
    </w:p>
    <w:p w:rsidR="00D50C48" w:rsidRDefault="00D50C48" w:rsidP="007E1011">
      <w:pPr>
        <w:pStyle w:val="BodyText"/>
      </w:pPr>
      <w:r>
        <w:t xml:space="preserve">Evidence </w:t>
      </w:r>
      <w:r w:rsidR="00873F3D">
        <w:t xml:space="preserve">needed </w:t>
      </w:r>
      <w:r>
        <w:t xml:space="preserve">for this is coming </w:t>
      </w:r>
      <w:r w:rsidRPr="00D50C48">
        <w:t>from submissions, consultations</w:t>
      </w:r>
      <w:r>
        <w:t>,</w:t>
      </w:r>
      <w:r w:rsidRPr="00D50C48">
        <w:t xml:space="preserve"> previous </w:t>
      </w:r>
      <w:r w:rsidR="0019189E">
        <w:t xml:space="preserve">studies or </w:t>
      </w:r>
      <w:r w:rsidRPr="00D50C48">
        <w:t xml:space="preserve">reviews </w:t>
      </w:r>
      <w:r>
        <w:t xml:space="preserve">and </w:t>
      </w:r>
      <w:r w:rsidR="0019189E">
        <w:t xml:space="preserve">from </w:t>
      </w:r>
      <w:r>
        <w:t>our own research.</w:t>
      </w:r>
    </w:p>
    <w:p w:rsidR="006869CE" w:rsidRDefault="00F95242" w:rsidP="007E1011">
      <w:pPr>
        <w:pStyle w:val="BodyText"/>
      </w:pPr>
      <w:r>
        <w:t xml:space="preserve">We are also looking out for impediments that, while not imposing </w:t>
      </w:r>
      <w:r w:rsidR="001C0941">
        <w:t>great</w:t>
      </w:r>
      <w:r>
        <w:t xml:space="preserve"> costs, </w:t>
      </w:r>
      <w:r w:rsidR="001C0941">
        <w:t>may be causing</w:t>
      </w:r>
      <w:r>
        <w:t xml:space="preserve"> unnecessary irritation and </w:t>
      </w:r>
      <w:r w:rsidR="001C0941">
        <w:t xml:space="preserve">going </w:t>
      </w:r>
      <w:r>
        <w:t xml:space="preserve">against the spirit of </w:t>
      </w:r>
      <w:r w:rsidR="001C0941">
        <w:t>the</w:t>
      </w:r>
      <w:r w:rsidR="003E4D46">
        <w:t xml:space="preserve"> ‘domestic</w:t>
      </w:r>
      <w:r w:rsidR="003E4D46">
        <w:noBreakHyphen/>
        <w:t>like’ experience.</w:t>
      </w:r>
      <w:r>
        <w:t xml:space="preserve"> </w:t>
      </w:r>
      <w:r w:rsidR="00C72161">
        <w:t xml:space="preserve">It has been suggested to us that </w:t>
      </w:r>
      <w:r w:rsidR="00ED22EA">
        <w:t>current</w:t>
      </w:r>
      <w:r w:rsidR="00C72161">
        <w:t xml:space="preserve"> mobile phone roaming charges</w:t>
      </w:r>
      <w:r w:rsidR="003E4D46">
        <w:t xml:space="preserve">, </w:t>
      </w:r>
      <w:r w:rsidR="00C72161">
        <w:t xml:space="preserve">departure taxes </w:t>
      </w:r>
      <w:r w:rsidR="003E4D46">
        <w:t xml:space="preserve">and bank transfer fees </w:t>
      </w:r>
      <w:r w:rsidR="0019189E">
        <w:t xml:space="preserve">all </w:t>
      </w:r>
      <w:r w:rsidR="00C72161">
        <w:t>fall into this category.</w:t>
      </w:r>
    </w:p>
    <w:p w:rsidR="006869CE" w:rsidRDefault="00C72161" w:rsidP="007E1011">
      <w:pPr>
        <w:pStyle w:val="BodyText"/>
      </w:pPr>
      <w:r>
        <w:t xml:space="preserve">Without pre-empting </w:t>
      </w:r>
      <w:r w:rsidR="001C0941">
        <w:t xml:space="preserve">what we might say in </w:t>
      </w:r>
      <w:r>
        <w:t xml:space="preserve">our </w:t>
      </w:r>
      <w:r w:rsidR="001C0941">
        <w:t xml:space="preserve">draft report </w:t>
      </w:r>
      <w:r w:rsidR="00873F3D">
        <w:t>— still nearly 3 months off —</w:t>
      </w:r>
      <w:r w:rsidR="001C0941">
        <w:t xml:space="preserve"> </w:t>
      </w:r>
      <w:r>
        <w:t xml:space="preserve">we </w:t>
      </w:r>
      <w:r w:rsidR="003E4D46">
        <w:t xml:space="preserve">can </w:t>
      </w:r>
      <w:r w:rsidR="001C0941">
        <w:t>alert you to</w:t>
      </w:r>
      <w:r>
        <w:t xml:space="preserve"> some </w:t>
      </w:r>
      <w:r w:rsidR="00873F3D">
        <w:t xml:space="preserve">other </w:t>
      </w:r>
      <w:r w:rsidR="001C0941">
        <w:t>potential policy initiatives</w:t>
      </w:r>
      <w:r>
        <w:t xml:space="preserve"> </w:t>
      </w:r>
      <w:r w:rsidR="00873F3D">
        <w:t xml:space="preserve">to advance the ‘four freedoms’ </w:t>
      </w:r>
      <w:r>
        <w:t xml:space="preserve">that </w:t>
      </w:r>
      <w:r w:rsidR="001C0941">
        <w:t xml:space="preserve">have been featuring </w:t>
      </w:r>
      <w:r>
        <w:t>in discussions on both sides of the Tasman</w:t>
      </w:r>
      <w:r w:rsidR="003E4D46">
        <w:t>.</w:t>
      </w:r>
    </w:p>
    <w:p w:rsidR="001F6639" w:rsidRDefault="00873F3D" w:rsidP="002A00B4">
      <w:pPr>
        <w:pStyle w:val="Heading4"/>
      </w:pPr>
      <w:r>
        <w:t>First freedom: a</w:t>
      </w:r>
      <w:r w:rsidR="00C37118">
        <w:t xml:space="preserve"> </w:t>
      </w:r>
      <w:r w:rsidR="002529DF">
        <w:t>Customs U</w:t>
      </w:r>
      <w:r w:rsidR="002A00B4">
        <w:t>nion</w:t>
      </w:r>
      <w:r w:rsidR="00C37118">
        <w:t>?</w:t>
      </w:r>
    </w:p>
    <w:p w:rsidR="00A75B1E" w:rsidRPr="00A75B1E" w:rsidRDefault="00A75B1E" w:rsidP="00A75B1E">
      <w:pPr>
        <w:pStyle w:val="BodyText"/>
      </w:pPr>
      <w:r w:rsidRPr="00A75B1E">
        <w:t xml:space="preserve">Under the </w:t>
      </w:r>
      <w:proofErr w:type="spellStart"/>
      <w:r w:rsidRPr="00A75B1E">
        <w:t>CER</w:t>
      </w:r>
      <w:proofErr w:type="spellEnd"/>
      <w:r w:rsidRPr="00A75B1E">
        <w:t>, imports from the partner country enter duty free, although they first have to comply with ‘rules of origin’</w:t>
      </w:r>
      <w:r w:rsidR="001C0941">
        <w:t xml:space="preserve"> that are costly to administer and can lead to distortions in production</w:t>
      </w:r>
      <w:r w:rsidRPr="00A75B1E">
        <w:t xml:space="preserve">. </w:t>
      </w:r>
    </w:p>
    <w:p w:rsidR="00A75B1E" w:rsidRPr="00A75B1E" w:rsidRDefault="00A75B1E" w:rsidP="00A75B1E">
      <w:pPr>
        <w:pStyle w:val="BodyText"/>
      </w:pPr>
      <w:r w:rsidRPr="00A75B1E">
        <w:t xml:space="preserve">While this means that there is already just one regime for goods trade across the Tasman, Australia and New Zealand have different tariff regimes for other </w:t>
      </w:r>
      <w:r w:rsidRPr="00A75B1E">
        <w:lastRenderedPageBreak/>
        <w:t xml:space="preserve">countries. One option we </w:t>
      </w:r>
      <w:r w:rsidR="0019189E">
        <w:t xml:space="preserve">have been prompted to </w:t>
      </w:r>
      <w:r w:rsidRPr="00A75B1E">
        <w:t>explor</w:t>
      </w:r>
      <w:r w:rsidR="0019189E">
        <w:t>e</w:t>
      </w:r>
      <w:r w:rsidRPr="00A75B1E">
        <w:t xml:space="preserve"> is a </w:t>
      </w:r>
      <w:r w:rsidR="00C16266">
        <w:t>‘</w:t>
      </w:r>
      <w:r w:rsidRPr="00A75B1E">
        <w:t>customs union</w:t>
      </w:r>
      <w:r w:rsidR="00C16266">
        <w:t>’</w:t>
      </w:r>
      <w:r w:rsidRPr="00A75B1E">
        <w:t>, under which Austral</w:t>
      </w:r>
      <w:r w:rsidR="00C16266">
        <w:t>ia and New Zealand would set a common external tariff</w:t>
      </w:r>
      <w:r w:rsidRPr="00A75B1E">
        <w:t xml:space="preserve"> on imported items. Depending on the details, this option would allow for the </w:t>
      </w:r>
      <w:proofErr w:type="spellStart"/>
      <w:r w:rsidRPr="00A75B1E">
        <w:t>CER</w:t>
      </w:r>
      <w:proofErr w:type="spellEnd"/>
      <w:r w:rsidRPr="00A75B1E">
        <w:t xml:space="preserve"> </w:t>
      </w:r>
      <w:proofErr w:type="spellStart"/>
      <w:r w:rsidRPr="00A75B1E">
        <w:t>RoO</w:t>
      </w:r>
      <w:proofErr w:type="spellEnd"/>
      <w:r w:rsidRPr="00A75B1E">
        <w:t xml:space="preserve"> to be abolished. It would also join the two partners at the hip for future trade negotiations, which some commentators have suggested would increase our bargaining power and help ensure that New Zealand in particular is not left out of any worthwhile future trade blocs, particularly in Asia.</w:t>
      </w:r>
    </w:p>
    <w:p w:rsidR="00A75B1E" w:rsidRPr="00A75B1E" w:rsidRDefault="00A75B1E" w:rsidP="00A75B1E">
      <w:pPr>
        <w:pStyle w:val="BodyText"/>
      </w:pPr>
      <w:r w:rsidRPr="00A75B1E">
        <w:t xml:space="preserve">However, there are also costs and complexities in forming a customs union, and </w:t>
      </w:r>
      <w:r w:rsidR="001C0941">
        <w:t xml:space="preserve">being </w:t>
      </w:r>
      <w:r w:rsidR="00C16266">
        <w:t>‘</w:t>
      </w:r>
      <w:r w:rsidR="001C0941">
        <w:t>joined at the hip</w:t>
      </w:r>
      <w:r w:rsidR="00C16266">
        <w:t>’</w:t>
      </w:r>
      <w:r w:rsidR="001C0941">
        <w:t xml:space="preserve"> could sometimes </w:t>
      </w:r>
      <w:r w:rsidR="0019189E">
        <w:t>prove</w:t>
      </w:r>
      <w:r w:rsidR="001C0941">
        <w:t xml:space="preserve"> awkward. T</w:t>
      </w:r>
      <w:r w:rsidRPr="00A75B1E">
        <w:t>here may be other options that produce broadly the same benefits but at less cost. For example, unilateral reductions in tariff peaks could also enhance productivity and remove the need for rules of origin, and Australia and New Zealand would still be free to j</w:t>
      </w:r>
      <w:r w:rsidR="0019189E">
        <w:t>ointly pursue Asian initiatives</w:t>
      </w:r>
      <w:r w:rsidRPr="00A75B1E">
        <w:t xml:space="preserve"> where appropriate.</w:t>
      </w:r>
    </w:p>
    <w:p w:rsidR="00B97942" w:rsidRDefault="001C0941" w:rsidP="002A00B4">
      <w:pPr>
        <w:pStyle w:val="Heading4"/>
      </w:pPr>
      <w:r>
        <w:t>Second freedom:</w:t>
      </w:r>
      <w:r w:rsidR="000C453E">
        <w:t xml:space="preserve"> m</w:t>
      </w:r>
      <w:r w:rsidR="00C37118">
        <w:t xml:space="preserve">ore integrated transport </w:t>
      </w:r>
      <w:r w:rsidR="000154AC">
        <w:t>services</w:t>
      </w:r>
      <w:r w:rsidR="00C37118">
        <w:t>?</w:t>
      </w:r>
    </w:p>
    <w:p w:rsidR="007A6735" w:rsidRPr="007A6735" w:rsidRDefault="007A6735" w:rsidP="00905A0D">
      <w:pPr>
        <w:pStyle w:val="BodyText"/>
      </w:pPr>
      <w:r w:rsidRPr="007A6735">
        <w:t xml:space="preserve">The </w:t>
      </w:r>
      <w:proofErr w:type="spellStart"/>
      <w:r w:rsidRPr="007A6735">
        <w:t>CER</w:t>
      </w:r>
      <w:proofErr w:type="spellEnd"/>
      <w:r w:rsidRPr="007A6735">
        <w:t xml:space="preserve"> provides for free trade in services, with the following exclusions:</w:t>
      </w:r>
    </w:p>
    <w:p w:rsidR="007A6735" w:rsidRPr="007A6735" w:rsidRDefault="007A6735" w:rsidP="007A6735">
      <w:pPr>
        <w:pStyle w:val="ListBullet"/>
      </w:pPr>
      <w:r w:rsidRPr="007A6735">
        <w:t>air services, broadcasting, third party insurance, postal services and coastal shipping for Australia</w:t>
      </w:r>
    </w:p>
    <w:p w:rsidR="0095786A" w:rsidRPr="00AC6FDC" w:rsidRDefault="007A6735" w:rsidP="007A6735">
      <w:pPr>
        <w:pStyle w:val="ListBullet"/>
        <w:rPr>
          <w:rFonts w:cs="Arial"/>
          <w:szCs w:val="24"/>
        </w:rPr>
      </w:pPr>
      <w:r w:rsidRPr="00AC6FDC">
        <w:rPr>
          <w:rFonts w:cs="Arial"/>
          <w:color w:val="auto"/>
          <w:szCs w:val="24"/>
        </w:rPr>
        <w:t>air services and coastal shipping in the case of New Zealand.</w:t>
      </w:r>
    </w:p>
    <w:p w:rsidR="0095786A" w:rsidRDefault="007A6735" w:rsidP="007A6735">
      <w:pPr>
        <w:pStyle w:val="BodyText"/>
      </w:pPr>
      <w:r w:rsidRPr="007A6735">
        <w:t xml:space="preserve">Our consultations are raising </w:t>
      </w:r>
      <w:r>
        <w:t xml:space="preserve">questions about </w:t>
      </w:r>
      <w:r w:rsidRPr="007A6735">
        <w:t xml:space="preserve">whether there are valid reasons for maintaining these exclusions. In particular, restrictions on transport across our two countries would seem inimical to the integration of our economies. </w:t>
      </w:r>
      <w:r w:rsidR="00DE168A" w:rsidRPr="00DE168A">
        <w:rPr>
          <w:rFonts w:eastAsiaTheme="minorHAnsi" w:cs="Arial"/>
          <w:color w:val="auto"/>
          <w:szCs w:val="24"/>
          <w:lang w:eastAsia="en-US"/>
        </w:rPr>
        <w:t xml:space="preserve">There has been considerable progress in liberalising </w:t>
      </w:r>
      <w:r w:rsidR="000C453E">
        <w:rPr>
          <w:rFonts w:eastAsiaTheme="minorHAnsi" w:cs="Arial"/>
          <w:color w:val="auto"/>
          <w:szCs w:val="24"/>
          <w:lang w:eastAsia="en-US"/>
        </w:rPr>
        <w:t>air</w:t>
      </w:r>
      <w:r w:rsidR="00DE168A" w:rsidRPr="00DE168A">
        <w:rPr>
          <w:rFonts w:eastAsiaTheme="minorHAnsi" w:cs="Arial"/>
          <w:color w:val="auto"/>
          <w:szCs w:val="24"/>
          <w:lang w:eastAsia="en-US"/>
        </w:rPr>
        <w:t xml:space="preserve"> services </w:t>
      </w:r>
      <w:r w:rsidR="0019189E">
        <w:rPr>
          <w:rFonts w:eastAsiaTheme="minorHAnsi" w:cs="Arial"/>
          <w:color w:val="auto"/>
          <w:szCs w:val="24"/>
          <w:lang w:eastAsia="en-US"/>
        </w:rPr>
        <w:t xml:space="preserve">between our two countries </w:t>
      </w:r>
      <w:r w:rsidR="00DE168A" w:rsidRPr="00DE168A">
        <w:rPr>
          <w:rFonts w:eastAsiaTheme="minorHAnsi" w:cs="Arial"/>
          <w:color w:val="auto"/>
          <w:szCs w:val="24"/>
          <w:lang w:eastAsia="en-US"/>
        </w:rPr>
        <w:t>th</w:t>
      </w:r>
      <w:r w:rsidR="000C453E">
        <w:rPr>
          <w:rFonts w:eastAsiaTheme="minorHAnsi" w:cs="Arial"/>
          <w:color w:val="auto"/>
          <w:szCs w:val="24"/>
          <w:lang w:eastAsia="en-US"/>
        </w:rPr>
        <w:t>r</w:t>
      </w:r>
      <w:r w:rsidR="00DE168A" w:rsidRPr="00DE168A">
        <w:rPr>
          <w:rFonts w:eastAsiaTheme="minorHAnsi" w:cs="Arial"/>
          <w:color w:val="auto"/>
          <w:szCs w:val="24"/>
          <w:lang w:eastAsia="en-US"/>
        </w:rPr>
        <w:t>ough</w:t>
      </w:r>
      <w:r w:rsidR="000C453E">
        <w:rPr>
          <w:rFonts w:eastAsiaTheme="minorHAnsi" w:cs="Arial"/>
          <w:color w:val="auto"/>
          <w:szCs w:val="24"/>
          <w:lang w:eastAsia="en-US"/>
        </w:rPr>
        <w:t xml:space="preserve"> </w:t>
      </w:r>
      <w:r w:rsidR="00DE168A" w:rsidRPr="00DE168A">
        <w:rPr>
          <w:rFonts w:eastAsiaTheme="minorHAnsi" w:cs="Arial"/>
          <w:color w:val="auto"/>
          <w:szCs w:val="24"/>
          <w:lang w:eastAsia="en-US"/>
        </w:rPr>
        <w:t xml:space="preserve">the Single Aviation and </w:t>
      </w:r>
      <w:r w:rsidR="0019189E">
        <w:rPr>
          <w:rFonts w:eastAsiaTheme="minorHAnsi" w:cs="Arial"/>
          <w:color w:val="auto"/>
          <w:szCs w:val="24"/>
          <w:lang w:eastAsia="en-US"/>
        </w:rPr>
        <w:t>O</w:t>
      </w:r>
      <w:r w:rsidR="00DE168A" w:rsidRPr="00DE168A">
        <w:rPr>
          <w:rFonts w:eastAsiaTheme="minorHAnsi" w:cs="Arial"/>
          <w:color w:val="auto"/>
          <w:szCs w:val="24"/>
          <w:lang w:eastAsia="en-US"/>
        </w:rPr>
        <w:t>pen Skies Agreement — and air travel now look</w:t>
      </w:r>
      <w:r w:rsidR="000C453E">
        <w:rPr>
          <w:rFonts w:eastAsiaTheme="minorHAnsi" w:cs="Arial"/>
          <w:color w:val="auto"/>
          <w:szCs w:val="24"/>
          <w:lang w:eastAsia="en-US"/>
        </w:rPr>
        <w:t xml:space="preserve">s pretty </w:t>
      </w:r>
      <w:r w:rsidR="00DE168A" w:rsidRPr="00DE168A">
        <w:rPr>
          <w:rFonts w:eastAsiaTheme="minorHAnsi" w:cs="Arial"/>
          <w:color w:val="auto"/>
          <w:szCs w:val="24"/>
          <w:lang w:eastAsia="en-US"/>
        </w:rPr>
        <w:t xml:space="preserve">competitive — but </w:t>
      </w:r>
      <w:r w:rsidR="00AC6FDC">
        <w:t xml:space="preserve">the Tasman Sea </w:t>
      </w:r>
      <w:r w:rsidR="004021EE">
        <w:t xml:space="preserve">is </w:t>
      </w:r>
      <w:r w:rsidR="001C0941">
        <w:t xml:space="preserve">still </w:t>
      </w:r>
      <w:r w:rsidR="004021EE">
        <w:t>regarded as an ‘expensive stretch of water</w:t>
      </w:r>
      <w:r w:rsidR="00C6349A">
        <w:t>’</w:t>
      </w:r>
      <w:r w:rsidR="004021EE">
        <w:t xml:space="preserve">. </w:t>
      </w:r>
      <w:r w:rsidR="00905A0D">
        <w:t>Reforms that could reduce trans</w:t>
      </w:r>
      <w:r w:rsidR="00905A0D">
        <w:noBreakHyphen/>
        <w:t xml:space="preserve">Tasman </w:t>
      </w:r>
      <w:r w:rsidR="004021EE">
        <w:t xml:space="preserve">shipping costs </w:t>
      </w:r>
      <w:r w:rsidR="00905A0D">
        <w:t>are worth exploring.</w:t>
      </w:r>
    </w:p>
    <w:p w:rsidR="00B97942" w:rsidRDefault="001C0941" w:rsidP="002A00B4">
      <w:pPr>
        <w:pStyle w:val="Heading4"/>
      </w:pPr>
      <w:r>
        <w:t>Third freedom</w:t>
      </w:r>
      <w:r w:rsidR="000C453E">
        <w:t>: h</w:t>
      </w:r>
      <w:r w:rsidR="0064762C">
        <w:t>armonised business tax</w:t>
      </w:r>
      <w:r w:rsidR="00C6349A">
        <w:t>ation?</w:t>
      </w:r>
    </w:p>
    <w:p w:rsidR="00905A0D" w:rsidRDefault="00905A0D" w:rsidP="00905A0D">
      <w:pPr>
        <w:pStyle w:val="BodyText"/>
      </w:pPr>
      <w:r>
        <w:t xml:space="preserve">The Henry Tax Review </w:t>
      </w:r>
      <w:r w:rsidR="003B083F">
        <w:t>suggested</w:t>
      </w:r>
      <w:r w:rsidR="00C6349A">
        <w:t xml:space="preserve"> that</w:t>
      </w:r>
      <w:r>
        <w:t xml:space="preserve">: </w:t>
      </w:r>
    </w:p>
    <w:p w:rsidR="00905A0D" w:rsidRPr="00905A0D" w:rsidRDefault="00905A0D" w:rsidP="00905A0D">
      <w:pPr>
        <w:pStyle w:val="Quote"/>
      </w:pPr>
      <w:r w:rsidRPr="00905A0D">
        <w:t>If increased integration of the Australian and New Zealand economies is desired, a broad examination of the appropriate degree of harmonisation of business income tax arrangements between Australia and New Zealand should be undertaken.</w:t>
      </w:r>
      <w:r w:rsidR="0064762C">
        <w:t xml:space="preserve"> </w:t>
      </w:r>
    </w:p>
    <w:p w:rsidR="003B6C1B" w:rsidRDefault="0064762C" w:rsidP="00905A0D">
      <w:pPr>
        <w:pStyle w:val="BodyText"/>
      </w:pPr>
      <w:r>
        <w:t xml:space="preserve">It </w:t>
      </w:r>
      <w:r w:rsidR="00A508D8">
        <w:t>has become abundantly c</w:t>
      </w:r>
      <w:r>
        <w:t>lear from our consultations that the number one issue for business</w:t>
      </w:r>
      <w:r w:rsidR="003B083F">
        <w:t>es</w:t>
      </w:r>
      <w:r w:rsidR="00A508D8">
        <w:t xml:space="preserve"> operating across the Tasman </w:t>
      </w:r>
      <w:r>
        <w:t xml:space="preserve">is mutual recognition of imputation </w:t>
      </w:r>
      <w:r>
        <w:lastRenderedPageBreak/>
        <w:t xml:space="preserve">credits. </w:t>
      </w:r>
      <w:r w:rsidR="00966CA6">
        <w:t>I</w:t>
      </w:r>
      <w:r w:rsidRPr="0064762C">
        <w:t xml:space="preserve">mputation credits </w:t>
      </w:r>
      <w:r w:rsidR="00966CA6">
        <w:t xml:space="preserve">are used </w:t>
      </w:r>
      <w:r w:rsidRPr="0064762C">
        <w:t xml:space="preserve">in Australia and New Zealand </w:t>
      </w:r>
      <w:r w:rsidR="00966CA6">
        <w:t xml:space="preserve">to prevent </w:t>
      </w:r>
      <w:r w:rsidR="003B083F">
        <w:t xml:space="preserve">the </w:t>
      </w:r>
      <w:r w:rsidR="00966CA6">
        <w:t>double taxing of company profits</w:t>
      </w:r>
      <w:r w:rsidR="00A508D8">
        <w:t xml:space="preserve"> in the hands of shareholders</w:t>
      </w:r>
      <w:r w:rsidR="00E35030">
        <w:t xml:space="preserve">, but they only </w:t>
      </w:r>
      <w:r w:rsidR="00966CA6">
        <w:t>apply  domestic</w:t>
      </w:r>
      <w:r w:rsidR="00A508D8">
        <w:t>ally</w:t>
      </w:r>
      <w:r w:rsidR="00E35030">
        <w:t xml:space="preserve">. This potentially creates a bias against offshore investment, including </w:t>
      </w:r>
      <w:r w:rsidR="003B083F">
        <w:t xml:space="preserve">across the </w:t>
      </w:r>
      <w:r w:rsidR="00E35030">
        <w:t>Tasman.</w:t>
      </w:r>
      <w:r w:rsidR="00AD648E">
        <w:t xml:space="preserve"> </w:t>
      </w:r>
      <w:r w:rsidR="002F70DD">
        <w:t xml:space="preserve">The Australia New Zealand Leadership Forum (sub. 15) </w:t>
      </w:r>
      <w:r w:rsidR="0019189E">
        <w:t>contends</w:t>
      </w:r>
      <w:r w:rsidR="002F70DD">
        <w:t>:</w:t>
      </w:r>
    </w:p>
    <w:p w:rsidR="003B6C1B" w:rsidRDefault="003B6C1B" w:rsidP="002F70DD">
      <w:pPr>
        <w:pStyle w:val="Quote"/>
      </w:pPr>
      <w:r w:rsidRPr="003B6C1B">
        <w:t>The tariff on capital that arises from the lack of mutual recognition of franking and imputation credits has been of longstanding concern to business on both sides of the Tasman. Political leadership is required to resolve this issue</w:t>
      </w:r>
      <w:r>
        <w:t>.</w:t>
      </w:r>
    </w:p>
    <w:p w:rsidR="00DE168A" w:rsidRPr="00DE168A" w:rsidRDefault="00DE168A" w:rsidP="00DE168A">
      <w:pPr>
        <w:pStyle w:val="BodyText"/>
      </w:pPr>
    </w:p>
    <w:p w:rsidR="00AD08C1" w:rsidRPr="00DE168A" w:rsidRDefault="003B083F" w:rsidP="00DE168A">
      <w:pPr>
        <w:spacing w:after="120" w:line="276" w:lineRule="auto"/>
        <w:jc w:val="both"/>
        <w:rPr>
          <w:rFonts w:ascii="Arial" w:eastAsiaTheme="minorHAnsi" w:hAnsi="Arial" w:cs="Arial"/>
          <w:sz w:val="24"/>
          <w:lang w:eastAsia="en-US"/>
        </w:rPr>
      </w:pPr>
      <w:r>
        <w:rPr>
          <w:rFonts w:ascii="Arial" w:eastAsiaTheme="minorHAnsi" w:hAnsi="Arial" w:cs="Arial"/>
          <w:sz w:val="24"/>
          <w:lang w:eastAsia="en-US"/>
        </w:rPr>
        <w:t>That this is of “</w:t>
      </w:r>
      <w:r w:rsidR="00DE168A" w:rsidRPr="00DE168A">
        <w:rPr>
          <w:rFonts w:ascii="Arial" w:eastAsiaTheme="minorHAnsi" w:hAnsi="Arial" w:cs="Arial"/>
          <w:sz w:val="24"/>
          <w:lang w:eastAsia="en-US"/>
        </w:rPr>
        <w:t xml:space="preserve">long standing </w:t>
      </w:r>
      <w:r>
        <w:rPr>
          <w:rFonts w:ascii="Arial" w:eastAsiaTheme="minorHAnsi" w:hAnsi="Arial" w:cs="Arial"/>
          <w:sz w:val="24"/>
          <w:lang w:eastAsia="en-US"/>
        </w:rPr>
        <w:t xml:space="preserve">concern” </w:t>
      </w:r>
      <w:r w:rsidR="00DE168A" w:rsidRPr="00DE168A">
        <w:rPr>
          <w:rFonts w:ascii="Arial" w:eastAsiaTheme="minorHAnsi" w:hAnsi="Arial" w:cs="Arial"/>
          <w:sz w:val="24"/>
          <w:lang w:eastAsia="en-US"/>
        </w:rPr>
        <w:t xml:space="preserve">suggests </w:t>
      </w:r>
      <w:r>
        <w:rPr>
          <w:rFonts w:ascii="Arial" w:eastAsiaTheme="minorHAnsi" w:hAnsi="Arial" w:cs="Arial"/>
          <w:sz w:val="24"/>
          <w:lang w:eastAsia="en-US"/>
        </w:rPr>
        <w:t>that</w:t>
      </w:r>
      <w:r w:rsidR="00DE168A" w:rsidRPr="00DE168A">
        <w:rPr>
          <w:rFonts w:ascii="Arial" w:eastAsiaTheme="minorHAnsi" w:hAnsi="Arial" w:cs="Arial"/>
          <w:sz w:val="24"/>
          <w:lang w:eastAsia="en-US"/>
        </w:rPr>
        <w:t xml:space="preserve"> it is not a straight forward </w:t>
      </w:r>
      <w:r>
        <w:rPr>
          <w:rFonts w:ascii="Arial" w:eastAsiaTheme="minorHAnsi" w:hAnsi="Arial" w:cs="Arial"/>
          <w:sz w:val="24"/>
          <w:lang w:eastAsia="en-US"/>
        </w:rPr>
        <w:t>matter</w:t>
      </w:r>
      <w:r w:rsidR="00DE168A" w:rsidRPr="00DE168A">
        <w:rPr>
          <w:rFonts w:ascii="Arial" w:eastAsiaTheme="minorHAnsi" w:hAnsi="Arial" w:cs="Arial"/>
          <w:sz w:val="24"/>
          <w:lang w:eastAsia="en-US"/>
        </w:rPr>
        <w:t xml:space="preserve"> to address. There are in </w:t>
      </w:r>
      <w:r>
        <w:rPr>
          <w:rFonts w:ascii="Arial" w:eastAsiaTheme="minorHAnsi" w:hAnsi="Arial" w:cs="Arial"/>
          <w:sz w:val="24"/>
          <w:lang w:eastAsia="en-US"/>
        </w:rPr>
        <w:t>f</w:t>
      </w:r>
      <w:r w:rsidR="00DE168A" w:rsidRPr="00DE168A">
        <w:rPr>
          <w:rFonts w:ascii="Arial" w:eastAsiaTheme="minorHAnsi" w:hAnsi="Arial" w:cs="Arial"/>
          <w:sz w:val="24"/>
          <w:lang w:eastAsia="en-US"/>
        </w:rPr>
        <w:t>act a number of dimensions to it, bilaterally and more widely.  In brief,</w:t>
      </w:r>
      <w:r w:rsidR="00DE168A">
        <w:rPr>
          <w:rFonts w:ascii="Arial" w:eastAsiaTheme="minorHAnsi" w:hAnsi="Arial" w:cs="Arial"/>
          <w:sz w:val="24"/>
          <w:lang w:eastAsia="en-US"/>
        </w:rPr>
        <w:t xml:space="preserve"> </w:t>
      </w:r>
      <w:r w:rsidR="00DE168A" w:rsidRPr="00DE168A">
        <w:rPr>
          <w:rFonts w:ascii="Arial" w:eastAsiaTheme="minorHAnsi" w:hAnsi="Arial" w:cs="Arial"/>
          <w:sz w:val="24"/>
          <w:lang w:eastAsia="en-US"/>
        </w:rPr>
        <w:t>t</w:t>
      </w:r>
      <w:r w:rsidR="00AD08C1" w:rsidRPr="00DE168A">
        <w:rPr>
          <w:rFonts w:ascii="Arial" w:eastAsiaTheme="minorHAnsi" w:hAnsi="Arial" w:cs="Arial"/>
          <w:sz w:val="24"/>
          <w:lang w:eastAsia="en-US"/>
        </w:rPr>
        <w:t xml:space="preserve">he merits of mutual recognition of imputation credits </w:t>
      </w:r>
      <w:r>
        <w:rPr>
          <w:rFonts w:ascii="Arial" w:eastAsiaTheme="minorHAnsi" w:hAnsi="Arial" w:cs="Arial"/>
          <w:sz w:val="24"/>
          <w:lang w:eastAsia="en-US"/>
        </w:rPr>
        <w:t>would seem to depend</w:t>
      </w:r>
      <w:r w:rsidR="00AD08C1" w:rsidRPr="00DE168A">
        <w:rPr>
          <w:rFonts w:ascii="Arial" w:eastAsiaTheme="minorHAnsi" w:hAnsi="Arial" w:cs="Arial"/>
          <w:sz w:val="24"/>
          <w:lang w:eastAsia="en-US"/>
        </w:rPr>
        <w:t xml:space="preserve"> on:</w:t>
      </w:r>
    </w:p>
    <w:p w:rsidR="00AD08C1" w:rsidRDefault="005D411A" w:rsidP="006A48B8">
      <w:pPr>
        <w:pStyle w:val="ListBullet"/>
      </w:pPr>
      <w:r>
        <w:t xml:space="preserve">the </w:t>
      </w:r>
      <w:r w:rsidR="00AD08C1">
        <w:t>size of investment distortions under the current arrangements</w:t>
      </w:r>
      <w:r>
        <w:t xml:space="preserve"> </w:t>
      </w:r>
    </w:p>
    <w:p w:rsidR="005D411A" w:rsidRDefault="00A508D8" w:rsidP="006A48B8">
      <w:pPr>
        <w:pStyle w:val="ListBullet"/>
      </w:pPr>
      <w:r>
        <w:t xml:space="preserve">economic </w:t>
      </w:r>
      <w:r w:rsidR="005D411A">
        <w:t>im</w:t>
      </w:r>
      <w:r w:rsidR="005735D0">
        <w:t>plications of the fiscal shortfall from mutual recognition (</w:t>
      </w:r>
      <w:r w:rsidR="00AC6FDC">
        <w:t>including the extent to which this would give rise to new distortions</w:t>
      </w:r>
      <w:r w:rsidR="005735D0">
        <w:t>)</w:t>
      </w:r>
      <w:r w:rsidR="0019189E">
        <w:t>, and</w:t>
      </w:r>
    </w:p>
    <w:p w:rsidR="00AD08C1" w:rsidRDefault="005D411A" w:rsidP="006A48B8">
      <w:pPr>
        <w:pStyle w:val="ListBullet"/>
      </w:pPr>
      <w:r>
        <w:t xml:space="preserve">whether or not either country is likely to move away from a </w:t>
      </w:r>
      <w:r w:rsidR="00A508D8">
        <w:t xml:space="preserve">business tax </w:t>
      </w:r>
      <w:r>
        <w:t xml:space="preserve">system </w:t>
      </w:r>
      <w:r w:rsidR="00A508D8">
        <w:t>involving</w:t>
      </w:r>
      <w:r>
        <w:t xml:space="preserve"> imputation credits</w:t>
      </w:r>
      <w:r w:rsidR="005735D0">
        <w:t xml:space="preserve"> in the medium term.</w:t>
      </w:r>
    </w:p>
    <w:p w:rsidR="00DE168A" w:rsidRPr="00713CCD" w:rsidRDefault="00DE168A" w:rsidP="00DE168A">
      <w:pPr>
        <w:pStyle w:val="ListBullet"/>
        <w:numPr>
          <w:ilvl w:val="0"/>
          <w:numId w:val="0"/>
        </w:numPr>
      </w:pPr>
      <w:r w:rsidRPr="00713CCD">
        <w:t>We understand that th</w:t>
      </w:r>
      <w:r w:rsidR="003B083F">
        <w:t xml:space="preserve">e </w:t>
      </w:r>
      <w:proofErr w:type="spellStart"/>
      <w:r w:rsidR="003B083F">
        <w:t>ANZ</w:t>
      </w:r>
      <w:proofErr w:type="spellEnd"/>
      <w:r w:rsidR="003B083F">
        <w:t xml:space="preserve"> Leadership Forum</w:t>
      </w:r>
      <w:r w:rsidRPr="00713CCD">
        <w:t xml:space="preserve"> has commissioned modelling from the </w:t>
      </w:r>
      <w:proofErr w:type="spellStart"/>
      <w:r w:rsidRPr="00713CCD">
        <w:t>N</w:t>
      </w:r>
      <w:r w:rsidR="005B0D25">
        <w:t>Z</w:t>
      </w:r>
      <w:r w:rsidRPr="00713CCD">
        <w:t>IER</w:t>
      </w:r>
      <w:proofErr w:type="spellEnd"/>
      <w:r w:rsidRPr="00713CCD">
        <w:t xml:space="preserve"> and CIE to help answer the first two questions. This should provide </w:t>
      </w:r>
      <w:r w:rsidR="003B083F">
        <w:t xml:space="preserve">a </w:t>
      </w:r>
      <w:r w:rsidRPr="00713CCD">
        <w:t>useful contribution to our own analysis.</w:t>
      </w:r>
    </w:p>
    <w:p w:rsidR="002A00B4" w:rsidRDefault="003B083F" w:rsidP="002A00B4">
      <w:pPr>
        <w:pStyle w:val="Heading4"/>
      </w:pPr>
      <w:r>
        <w:t>Fourth freedom: e</w:t>
      </w:r>
      <w:r w:rsidR="00CB1FF7">
        <w:t>ven freer l</w:t>
      </w:r>
      <w:r w:rsidR="002A00B4">
        <w:t>abour movements</w:t>
      </w:r>
      <w:r w:rsidR="00CB1FF7">
        <w:t>?</w:t>
      </w:r>
    </w:p>
    <w:p w:rsidR="006A48B8" w:rsidRDefault="00B72129" w:rsidP="003E53C1">
      <w:pPr>
        <w:pStyle w:val="BodyText"/>
      </w:pPr>
      <w:r>
        <w:t>T</w:t>
      </w:r>
      <w:r w:rsidR="003E53C1">
        <w:t xml:space="preserve">he free flow of people </w:t>
      </w:r>
      <w:r>
        <w:t xml:space="preserve">across the Tasman </w:t>
      </w:r>
      <w:r w:rsidR="003E53C1">
        <w:t xml:space="preserve">has effectively been </w:t>
      </w:r>
      <w:r>
        <w:t xml:space="preserve">in place </w:t>
      </w:r>
      <w:r w:rsidR="003E53C1">
        <w:t>since 1923</w:t>
      </w:r>
      <w:r>
        <w:t>,</w:t>
      </w:r>
      <w:r w:rsidR="003E53C1">
        <w:t xml:space="preserve"> and more formally since 1973 under the Trans-Tasman Travel Arrangement</w:t>
      </w:r>
      <w:r>
        <w:t xml:space="preserve">. </w:t>
      </w:r>
      <w:r w:rsidR="003E53C1">
        <w:t xml:space="preserve">New Zealand and Australian citizens </w:t>
      </w:r>
      <w:r>
        <w:t xml:space="preserve">are able </w:t>
      </w:r>
      <w:r w:rsidR="003E53C1">
        <w:t xml:space="preserve">to enter each other's country freely to visit, live and work provided they satisfy health and character requirements. </w:t>
      </w:r>
      <w:r w:rsidR="00A508D8">
        <w:t>As noted, in part due to</w:t>
      </w:r>
      <w:r w:rsidR="00900E5E">
        <w:t xml:space="preserve"> wages</w:t>
      </w:r>
      <w:r w:rsidR="00A508D8">
        <w:t xml:space="preserve"> </w:t>
      </w:r>
      <w:r w:rsidR="00900E5E">
        <w:t xml:space="preserve">generally </w:t>
      </w:r>
      <w:r w:rsidR="00A508D8">
        <w:t xml:space="preserve">being </w:t>
      </w:r>
      <w:r w:rsidR="00900E5E">
        <w:t xml:space="preserve">higher in Australia, many more New Zealanders than Australians travel across the Tasman to take up employment opportunities. </w:t>
      </w:r>
    </w:p>
    <w:p w:rsidR="00DE168A" w:rsidRPr="00DE168A" w:rsidRDefault="006A48B8" w:rsidP="00DE168A">
      <w:pPr>
        <w:pStyle w:val="BodyText"/>
        <w:rPr>
          <w:rFonts w:eastAsiaTheme="minorHAnsi" w:cs="Arial"/>
          <w:color w:val="auto"/>
          <w:szCs w:val="24"/>
          <w:lang w:eastAsia="en-US"/>
        </w:rPr>
      </w:pPr>
      <w:r>
        <w:t xml:space="preserve">This </w:t>
      </w:r>
      <w:r w:rsidR="003E53C1">
        <w:t xml:space="preserve">relative </w:t>
      </w:r>
      <w:r w:rsidR="00B72129">
        <w:t>‘</w:t>
      </w:r>
      <w:proofErr w:type="spellStart"/>
      <w:r w:rsidR="00B72129">
        <w:t>b</w:t>
      </w:r>
      <w:r w:rsidR="003E53C1">
        <w:t>orderless</w:t>
      </w:r>
      <w:r>
        <w:t>ness</w:t>
      </w:r>
      <w:proofErr w:type="spellEnd"/>
      <w:r w:rsidR="003E53C1">
        <w:t xml:space="preserve">' </w:t>
      </w:r>
      <w:r>
        <w:t xml:space="preserve">distinguishes the </w:t>
      </w:r>
      <w:r w:rsidR="003E53C1">
        <w:t xml:space="preserve">trans-Tasman </w:t>
      </w:r>
      <w:r>
        <w:t xml:space="preserve">relationship from most other bilateral </w:t>
      </w:r>
      <w:r w:rsidR="0057209D">
        <w:t xml:space="preserve">arrangements. </w:t>
      </w:r>
      <w:r w:rsidR="00A508D8">
        <w:t>Also while</w:t>
      </w:r>
      <w:r w:rsidR="0057209D">
        <w:t xml:space="preserve"> preferential trade agreements are common, these </w:t>
      </w:r>
      <w:r w:rsidR="00A508D8">
        <w:t xml:space="preserve">have rarely been </w:t>
      </w:r>
      <w:r w:rsidR="00FA0CAC">
        <w:t xml:space="preserve">preceded </w:t>
      </w:r>
      <w:r w:rsidR="0057209D">
        <w:t xml:space="preserve">by such extensive relaxation of </w:t>
      </w:r>
      <w:r w:rsidR="003E53C1">
        <w:t>immigration restrictions</w:t>
      </w:r>
      <w:r w:rsidR="00A508D8">
        <w:t>, again illustrating the ‘family’ connection.</w:t>
      </w:r>
      <w:r w:rsidR="0057209D">
        <w:t xml:space="preserve"> </w:t>
      </w:r>
    </w:p>
    <w:p w:rsidR="0057209D" w:rsidRDefault="0057209D" w:rsidP="00112934">
      <w:pPr>
        <w:pStyle w:val="BodyText"/>
      </w:pPr>
      <w:r w:rsidRPr="0057209D">
        <w:t xml:space="preserve">But </w:t>
      </w:r>
      <w:r w:rsidR="00900E5E">
        <w:t>people may still be deterred from moving for work due to issues concerning</w:t>
      </w:r>
      <w:r w:rsidRPr="0057209D">
        <w:t xml:space="preserve"> superannuation portability, occupational licensing and access to government </w:t>
      </w:r>
      <w:r w:rsidRPr="0057209D">
        <w:lastRenderedPageBreak/>
        <w:t xml:space="preserve">entitlements. </w:t>
      </w:r>
      <w:r w:rsidR="00E85BF7">
        <w:t>P</w:t>
      </w:r>
      <w:r w:rsidR="00900E5E">
        <w:t xml:space="preserve">rogress has </w:t>
      </w:r>
      <w:r w:rsidR="0082766F">
        <w:t>already been made on some of these issues</w:t>
      </w:r>
      <w:r w:rsidR="00A508D8">
        <w:t>, but w</w:t>
      </w:r>
      <w:r w:rsidR="00452DC3">
        <w:t xml:space="preserve">e need to test </w:t>
      </w:r>
      <w:r w:rsidR="00112934">
        <w:t xml:space="preserve">whether the </w:t>
      </w:r>
      <w:r w:rsidR="00FA0CAC">
        <w:t>current arrangements</w:t>
      </w:r>
      <w:r w:rsidR="00112934">
        <w:t xml:space="preserve"> </w:t>
      </w:r>
      <w:r w:rsidR="0082766F">
        <w:t xml:space="preserve">impede </w:t>
      </w:r>
      <w:r w:rsidRPr="0057209D">
        <w:t>efficiency</w:t>
      </w:r>
      <w:r w:rsidR="0082766F">
        <w:noBreakHyphen/>
      </w:r>
      <w:r w:rsidRPr="0057209D">
        <w:t>enhancing movement of people across the Tasman</w:t>
      </w:r>
      <w:r w:rsidR="00AD648E">
        <w:t>.</w:t>
      </w:r>
    </w:p>
    <w:p w:rsidR="003B083F" w:rsidRPr="00DE168A" w:rsidRDefault="00A508D8" w:rsidP="003B083F">
      <w:pPr>
        <w:pStyle w:val="BodyText"/>
        <w:rPr>
          <w:rFonts w:eastAsiaTheme="minorHAnsi" w:cs="Arial"/>
          <w:color w:val="auto"/>
          <w:szCs w:val="24"/>
          <w:lang w:eastAsia="en-US"/>
        </w:rPr>
      </w:pPr>
      <w:r>
        <w:t>Issues of fairness have also been raised.</w:t>
      </w:r>
      <w:r w:rsidR="00AD648E">
        <w:t xml:space="preserve"> For example, </w:t>
      </w:r>
      <w:r w:rsidR="00DE168A">
        <w:t xml:space="preserve">there is concern that </w:t>
      </w:r>
      <w:r w:rsidR="00FF3AB7">
        <w:t xml:space="preserve">some </w:t>
      </w:r>
      <w:r w:rsidR="000D15E6">
        <w:t>New Zealanders who have lived, worked and started families in Australia may be without access to a social safety net</w:t>
      </w:r>
      <w:r w:rsidR="00FF3AB7">
        <w:t xml:space="preserve"> </w:t>
      </w:r>
      <w:r>
        <w:t>under current</w:t>
      </w:r>
      <w:r w:rsidR="00FF3AB7">
        <w:t xml:space="preserve"> eligibility rules</w:t>
      </w:r>
      <w:r w:rsidR="00AD648E">
        <w:t xml:space="preserve">. </w:t>
      </w:r>
      <w:r w:rsidR="003B083F" w:rsidRPr="00DE168A">
        <w:rPr>
          <w:rFonts w:eastAsiaTheme="minorHAnsi" w:cs="Arial"/>
          <w:color w:val="auto"/>
          <w:szCs w:val="24"/>
          <w:lang w:eastAsia="en-US"/>
        </w:rPr>
        <w:t xml:space="preserve">Equally, New Zealanders who </w:t>
      </w:r>
      <w:r w:rsidR="003B083F">
        <w:rPr>
          <w:rFonts w:eastAsiaTheme="minorHAnsi" w:cs="Arial"/>
          <w:color w:val="auto"/>
          <w:szCs w:val="24"/>
          <w:lang w:eastAsia="en-US"/>
        </w:rPr>
        <w:t>are</w:t>
      </w:r>
      <w:r w:rsidR="003B083F" w:rsidRPr="00DE168A">
        <w:rPr>
          <w:rFonts w:eastAsiaTheme="minorHAnsi" w:cs="Arial"/>
          <w:color w:val="auto"/>
          <w:szCs w:val="24"/>
          <w:lang w:eastAsia="en-US"/>
        </w:rPr>
        <w:t xml:space="preserve"> long-time residents in Australia may find that they have little prospect of gaining permanent residency and </w:t>
      </w:r>
      <w:r w:rsidR="002A5648">
        <w:rPr>
          <w:rFonts w:eastAsiaTheme="minorHAnsi" w:cs="Arial"/>
          <w:color w:val="auto"/>
          <w:szCs w:val="24"/>
          <w:lang w:eastAsia="en-US"/>
        </w:rPr>
        <w:t xml:space="preserve">perhaps </w:t>
      </w:r>
      <w:r w:rsidR="003B083F" w:rsidRPr="00DE168A">
        <w:rPr>
          <w:rFonts w:eastAsiaTheme="minorHAnsi" w:cs="Arial"/>
          <w:color w:val="auto"/>
          <w:szCs w:val="24"/>
          <w:lang w:eastAsia="en-US"/>
        </w:rPr>
        <w:t>les</w:t>
      </w:r>
      <w:r w:rsidR="003B083F">
        <w:rPr>
          <w:rFonts w:eastAsiaTheme="minorHAnsi" w:cs="Arial"/>
          <w:color w:val="auto"/>
          <w:szCs w:val="24"/>
          <w:lang w:eastAsia="en-US"/>
        </w:rPr>
        <w:t>s</w:t>
      </w:r>
      <w:r w:rsidR="003B083F" w:rsidRPr="00DE168A">
        <w:rPr>
          <w:rFonts w:eastAsiaTheme="minorHAnsi" w:cs="Arial"/>
          <w:color w:val="auto"/>
          <w:szCs w:val="24"/>
          <w:lang w:eastAsia="en-US"/>
        </w:rPr>
        <w:t xml:space="preserve"> </w:t>
      </w:r>
      <w:r w:rsidR="002A5648">
        <w:rPr>
          <w:rFonts w:eastAsiaTheme="minorHAnsi" w:cs="Arial"/>
          <w:color w:val="auto"/>
          <w:szCs w:val="24"/>
          <w:lang w:eastAsia="en-US"/>
        </w:rPr>
        <w:t xml:space="preserve">prospect </w:t>
      </w:r>
      <w:r w:rsidR="003B083F" w:rsidRPr="00DE168A">
        <w:rPr>
          <w:rFonts w:eastAsiaTheme="minorHAnsi" w:cs="Arial"/>
          <w:color w:val="auto"/>
          <w:szCs w:val="24"/>
          <w:lang w:eastAsia="en-US"/>
        </w:rPr>
        <w:t xml:space="preserve">than temporary 457 visa holders. These present some </w:t>
      </w:r>
      <w:r w:rsidR="003B083F">
        <w:rPr>
          <w:rFonts w:eastAsiaTheme="minorHAnsi" w:cs="Arial"/>
          <w:color w:val="auto"/>
          <w:szCs w:val="24"/>
          <w:lang w:eastAsia="en-US"/>
        </w:rPr>
        <w:t>knotty</w:t>
      </w:r>
      <w:r w:rsidR="003B083F" w:rsidRPr="00DE168A">
        <w:rPr>
          <w:rFonts w:eastAsiaTheme="minorHAnsi" w:cs="Arial"/>
          <w:color w:val="auto"/>
          <w:szCs w:val="24"/>
          <w:lang w:eastAsia="en-US"/>
        </w:rPr>
        <w:t xml:space="preserve"> questions, </w:t>
      </w:r>
      <w:r w:rsidR="003B083F">
        <w:rPr>
          <w:rFonts w:eastAsiaTheme="minorHAnsi" w:cs="Arial"/>
          <w:color w:val="auto"/>
          <w:szCs w:val="24"/>
          <w:lang w:eastAsia="en-US"/>
        </w:rPr>
        <w:t>which have</w:t>
      </w:r>
      <w:r w:rsidR="003B083F" w:rsidRPr="00DE168A">
        <w:rPr>
          <w:rFonts w:eastAsiaTheme="minorHAnsi" w:cs="Arial"/>
          <w:color w:val="auto"/>
          <w:szCs w:val="24"/>
          <w:lang w:eastAsia="en-US"/>
        </w:rPr>
        <w:t xml:space="preserve"> been examined in previous reviews. Given the complete freedom of entry to Australia, and the poten</w:t>
      </w:r>
      <w:r w:rsidR="002A5648">
        <w:rPr>
          <w:rFonts w:eastAsiaTheme="minorHAnsi" w:cs="Arial"/>
          <w:color w:val="auto"/>
          <w:szCs w:val="24"/>
          <w:lang w:eastAsia="en-US"/>
        </w:rPr>
        <w:t>tial benefits this brings, it remains</w:t>
      </w:r>
      <w:r w:rsidR="003B083F" w:rsidRPr="00DE168A">
        <w:rPr>
          <w:rFonts w:eastAsiaTheme="minorHAnsi" w:cs="Arial"/>
          <w:color w:val="auto"/>
          <w:szCs w:val="24"/>
          <w:lang w:eastAsia="en-US"/>
        </w:rPr>
        <w:t xml:space="preserve"> important that people’s decisions are mainly influenced by differences in productivity and its </w:t>
      </w:r>
      <w:r w:rsidR="003B083F">
        <w:rPr>
          <w:rFonts w:eastAsiaTheme="minorHAnsi" w:cs="Arial"/>
          <w:color w:val="auto"/>
          <w:szCs w:val="24"/>
          <w:lang w:eastAsia="en-US"/>
        </w:rPr>
        <w:t>rewards, rather than</w:t>
      </w:r>
      <w:r w:rsidR="003B083F" w:rsidRPr="00DE168A">
        <w:rPr>
          <w:rFonts w:eastAsiaTheme="minorHAnsi" w:cs="Arial"/>
          <w:color w:val="auto"/>
          <w:szCs w:val="24"/>
          <w:lang w:eastAsia="en-US"/>
        </w:rPr>
        <w:t xml:space="preserve"> by differences in social security </w:t>
      </w:r>
      <w:r w:rsidR="003B083F">
        <w:rPr>
          <w:rFonts w:eastAsiaTheme="minorHAnsi" w:cs="Arial"/>
          <w:color w:val="auto"/>
          <w:szCs w:val="24"/>
          <w:lang w:eastAsia="en-US"/>
        </w:rPr>
        <w:t>or</w:t>
      </w:r>
      <w:r w:rsidR="003B083F" w:rsidRPr="00DE168A">
        <w:rPr>
          <w:rFonts w:eastAsiaTheme="minorHAnsi" w:cs="Arial"/>
          <w:color w:val="auto"/>
          <w:szCs w:val="24"/>
          <w:lang w:eastAsia="en-US"/>
        </w:rPr>
        <w:t xml:space="preserve"> other entitlements.</w:t>
      </w:r>
    </w:p>
    <w:p w:rsidR="002A00B4" w:rsidRDefault="00CB1FF7" w:rsidP="002A00B4">
      <w:pPr>
        <w:pStyle w:val="Heading4"/>
      </w:pPr>
      <w:r>
        <w:t>Better g</w:t>
      </w:r>
      <w:r w:rsidR="00A364C9">
        <w:t>overnment services</w:t>
      </w:r>
      <w:r>
        <w:t>?</w:t>
      </w:r>
    </w:p>
    <w:p w:rsidR="00DE168A" w:rsidRPr="00DE168A" w:rsidRDefault="006E3EA4" w:rsidP="00DE168A">
      <w:pPr>
        <w:pStyle w:val="BodyText"/>
        <w:rPr>
          <w:rFonts w:eastAsiaTheme="minorHAnsi" w:cs="Arial"/>
          <w:color w:val="auto"/>
          <w:szCs w:val="24"/>
          <w:lang w:eastAsia="en-US"/>
        </w:rPr>
      </w:pPr>
      <w:r>
        <w:t xml:space="preserve">Where </w:t>
      </w:r>
      <w:r w:rsidR="00CB1FF7">
        <w:t xml:space="preserve">transaction </w:t>
      </w:r>
      <w:r>
        <w:t>costs are lowered</w:t>
      </w:r>
      <w:r w:rsidR="003B083F">
        <w:t>,</w:t>
      </w:r>
      <w:r>
        <w:t xml:space="preserve"> </w:t>
      </w:r>
      <w:r w:rsidRPr="006E3EA4">
        <w:t xml:space="preserve">firms and individuals </w:t>
      </w:r>
      <w:r>
        <w:t>can be expected to exploit the new opportunities for profitable exchange that emerge.</w:t>
      </w:r>
      <w:r w:rsidR="0097291A">
        <w:t xml:space="preserve"> </w:t>
      </w:r>
      <w:r>
        <w:t>But if one country has a better way of producing a government service or addressing a policy problem,</w:t>
      </w:r>
      <w:r w:rsidR="00DE168A">
        <w:t xml:space="preserve"> </w:t>
      </w:r>
      <w:r w:rsidR="003B083F">
        <w:rPr>
          <w:rFonts w:cs="Arial"/>
          <w:szCs w:val="24"/>
        </w:rPr>
        <w:t>there is no</w:t>
      </w:r>
      <w:r w:rsidR="00DE168A" w:rsidRPr="00713CCD">
        <w:rPr>
          <w:rFonts w:cs="Arial"/>
          <w:szCs w:val="24"/>
        </w:rPr>
        <w:t xml:space="preserve"> automatic mechanism for this being spread to the other.</w:t>
      </w:r>
      <w:r>
        <w:t xml:space="preserve"> </w:t>
      </w:r>
      <w:r w:rsidR="00A364C9">
        <w:t xml:space="preserve">So there is a need to think differently about integration </w:t>
      </w:r>
      <w:r w:rsidR="00A508D8">
        <w:t xml:space="preserve">when it comes to </w:t>
      </w:r>
      <w:r w:rsidR="00A364C9">
        <w:t>government functions.</w:t>
      </w:r>
      <w:r w:rsidR="00223EED">
        <w:t xml:space="preserve"> </w:t>
      </w:r>
      <w:r w:rsidR="00D57818">
        <w:t xml:space="preserve">Given that </w:t>
      </w:r>
      <w:r w:rsidR="00A508D8">
        <w:t xml:space="preserve">government </w:t>
      </w:r>
      <w:r w:rsidR="00D57818">
        <w:t xml:space="preserve">expenditure makes up around 35 per cent of GDP in Australia and </w:t>
      </w:r>
      <w:r w:rsidR="00EB294A">
        <w:t>40 per cent in New Zealand</w:t>
      </w:r>
      <w:r w:rsidR="006A31B4">
        <w:t>,</w:t>
      </w:r>
      <w:r w:rsidR="00EB294A">
        <w:t xml:space="preserve"> </w:t>
      </w:r>
      <w:r w:rsidR="00304BC9">
        <w:t xml:space="preserve">this is </w:t>
      </w:r>
      <w:r w:rsidR="006A31B4">
        <w:t>a significant</w:t>
      </w:r>
      <w:r w:rsidR="00304BC9">
        <w:t xml:space="preserve"> issue</w:t>
      </w:r>
      <w:r w:rsidR="003B083F">
        <w:t>. E</w:t>
      </w:r>
      <w:r w:rsidR="00DE168A" w:rsidRPr="00DE168A">
        <w:rPr>
          <w:rFonts w:eastAsiaTheme="minorHAnsi" w:cs="Arial"/>
          <w:color w:val="auto"/>
          <w:szCs w:val="24"/>
          <w:lang w:eastAsia="en-US"/>
        </w:rPr>
        <w:t>ven small improvements in service delivery costs c</w:t>
      </w:r>
      <w:r w:rsidR="003B083F">
        <w:rPr>
          <w:rFonts w:eastAsiaTheme="minorHAnsi" w:cs="Arial"/>
          <w:color w:val="auto"/>
          <w:szCs w:val="24"/>
          <w:lang w:eastAsia="en-US"/>
        </w:rPr>
        <w:t>ould reap</w:t>
      </w:r>
      <w:r w:rsidR="00DE168A" w:rsidRPr="00DE168A">
        <w:rPr>
          <w:rFonts w:eastAsiaTheme="minorHAnsi" w:cs="Arial"/>
          <w:color w:val="auto"/>
          <w:szCs w:val="24"/>
          <w:lang w:eastAsia="en-US"/>
        </w:rPr>
        <w:t xml:space="preserve"> large dividends.</w:t>
      </w:r>
    </w:p>
    <w:p w:rsidR="00DE168A" w:rsidRPr="00DE168A" w:rsidRDefault="00A364C9" w:rsidP="00DE168A">
      <w:pPr>
        <w:pStyle w:val="BodyText"/>
        <w:rPr>
          <w:rFonts w:eastAsiaTheme="minorHAnsi" w:cs="Arial"/>
          <w:color w:val="auto"/>
          <w:szCs w:val="24"/>
          <w:lang w:eastAsia="en-US"/>
        </w:rPr>
      </w:pPr>
      <w:r>
        <w:t>There are various options for</w:t>
      </w:r>
      <w:r w:rsidR="00A508D8">
        <w:t xml:space="preserve"> enhancing </w:t>
      </w:r>
      <w:r>
        <w:t>government functions</w:t>
      </w:r>
      <w:r w:rsidR="00304BC9">
        <w:t xml:space="preserve"> </w:t>
      </w:r>
      <w:r w:rsidR="00A508D8">
        <w:t xml:space="preserve">through the medium of </w:t>
      </w:r>
      <w:r w:rsidR="003B083F">
        <w:t>the bilateral relationship,</w:t>
      </w:r>
      <w:r>
        <w:t xml:space="preserve"> including: undertaking some functions jointly</w:t>
      </w:r>
      <w:r w:rsidR="00FC2FF0">
        <w:t xml:space="preserve"> </w:t>
      </w:r>
      <w:r w:rsidR="004719A5">
        <w:t>(for example, moving to a single trans-Tasman regulator in some areas)</w:t>
      </w:r>
      <w:r>
        <w:t>; emulating successful ap</w:t>
      </w:r>
      <w:r w:rsidR="003B083F">
        <w:t>proaches from across the Tasman,</w:t>
      </w:r>
      <w:r w:rsidR="00A508D8">
        <w:t xml:space="preserve"> </w:t>
      </w:r>
      <w:r w:rsidR="007E46C0">
        <w:t xml:space="preserve">including </w:t>
      </w:r>
      <w:r w:rsidR="003B083F">
        <w:t>use</w:t>
      </w:r>
      <w:r w:rsidR="007E46C0">
        <w:t xml:space="preserve"> of private delivery and contestability</w:t>
      </w:r>
      <w:r w:rsidR="003B083F">
        <w:t>;</w:t>
      </w:r>
      <w:r>
        <w:t xml:space="preserve"> and</w:t>
      </w:r>
      <w:r w:rsidR="00A508D8">
        <w:t>, related to this</w:t>
      </w:r>
      <w:r w:rsidR="00652DF8">
        <w:t>,</w:t>
      </w:r>
      <w:r w:rsidR="00A508D8">
        <w:t xml:space="preserve"> </w:t>
      </w:r>
      <w:r w:rsidR="003B083F">
        <w:t>increased</w:t>
      </w:r>
      <w:r>
        <w:t xml:space="preserve"> benchmarking of government services.</w:t>
      </w:r>
      <w:r w:rsidR="00DE168A">
        <w:t xml:space="preserve"> </w:t>
      </w:r>
      <w:r w:rsidR="00DE168A" w:rsidRPr="00DE168A">
        <w:rPr>
          <w:rFonts w:eastAsiaTheme="minorHAnsi" w:cs="Arial"/>
          <w:color w:val="auto"/>
          <w:szCs w:val="24"/>
          <w:lang w:eastAsia="en-US"/>
        </w:rPr>
        <w:t>The</w:t>
      </w:r>
      <w:r w:rsidR="003B083F">
        <w:rPr>
          <w:rFonts w:eastAsiaTheme="minorHAnsi" w:cs="Arial"/>
          <w:color w:val="auto"/>
          <w:szCs w:val="24"/>
          <w:lang w:eastAsia="en-US"/>
        </w:rPr>
        <w:t>se options</w:t>
      </w:r>
      <w:r w:rsidR="00DE168A" w:rsidRPr="00DE168A">
        <w:rPr>
          <w:rFonts w:eastAsiaTheme="minorHAnsi" w:cs="Arial"/>
          <w:color w:val="auto"/>
          <w:szCs w:val="24"/>
          <w:lang w:eastAsia="en-US"/>
        </w:rPr>
        <w:t xml:space="preserve"> again raise questions of the governance and institutio</w:t>
      </w:r>
      <w:r w:rsidR="006A31B4">
        <w:rPr>
          <w:rFonts w:eastAsiaTheme="minorHAnsi" w:cs="Arial"/>
          <w:color w:val="auto"/>
          <w:szCs w:val="24"/>
          <w:lang w:eastAsia="en-US"/>
        </w:rPr>
        <w:t xml:space="preserve">nal arrangements around the </w:t>
      </w:r>
      <w:proofErr w:type="spellStart"/>
      <w:r w:rsidR="006A31B4">
        <w:rPr>
          <w:rFonts w:eastAsiaTheme="minorHAnsi" w:cs="Arial"/>
          <w:color w:val="auto"/>
          <w:szCs w:val="24"/>
          <w:lang w:eastAsia="en-US"/>
        </w:rPr>
        <w:t>CER</w:t>
      </w:r>
      <w:proofErr w:type="spellEnd"/>
      <w:r w:rsidR="006A31B4">
        <w:rPr>
          <w:rFonts w:eastAsiaTheme="minorHAnsi" w:cs="Arial"/>
          <w:color w:val="auto"/>
          <w:szCs w:val="24"/>
          <w:lang w:eastAsia="en-US"/>
        </w:rPr>
        <w:t>.</w:t>
      </w:r>
    </w:p>
    <w:p w:rsidR="001F6639" w:rsidRDefault="00F535DD" w:rsidP="001F6639">
      <w:pPr>
        <w:pStyle w:val="Heading2"/>
      </w:pPr>
      <w:r>
        <w:t>Concluding remarks</w:t>
      </w:r>
    </w:p>
    <w:p w:rsidR="00F16BA2" w:rsidRDefault="00F16BA2" w:rsidP="00606F6A">
      <w:pPr>
        <w:pStyle w:val="BodyText"/>
      </w:pPr>
      <w:r>
        <w:t xml:space="preserve">We will test </w:t>
      </w:r>
      <w:r w:rsidR="003B083F">
        <w:t xml:space="preserve">these and other </w:t>
      </w:r>
      <w:r>
        <w:t xml:space="preserve">ideas and </w:t>
      </w:r>
      <w:r w:rsidR="00B36060">
        <w:t>lay out various</w:t>
      </w:r>
      <w:r>
        <w:t xml:space="preserve"> options in </w:t>
      </w:r>
      <w:r w:rsidR="007E46C0">
        <w:t>a</w:t>
      </w:r>
      <w:r>
        <w:t xml:space="preserve"> </w:t>
      </w:r>
      <w:r w:rsidR="003B083F">
        <w:t xml:space="preserve">‘discussion </w:t>
      </w:r>
      <w:r>
        <w:t>draft</w:t>
      </w:r>
      <w:r w:rsidR="003B083F">
        <w:t>’</w:t>
      </w:r>
      <w:r w:rsidR="00E14496">
        <w:t xml:space="preserve"> that we plan to release in mid-</w:t>
      </w:r>
      <w:r>
        <w:t>September.</w:t>
      </w:r>
      <w:r w:rsidR="00606F6A">
        <w:t xml:space="preserve"> </w:t>
      </w:r>
      <w:r w:rsidR="00F535DD">
        <w:t xml:space="preserve">Our </w:t>
      </w:r>
      <w:r w:rsidR="007E46C0">
        <w:t xml:space="preserve">draft proposals </w:t>
      </w:r>
      <w:r w:rsidR="00F535DD">
        <w:t xml:space="preserve">will </w:t>
      </w:r>
      <w:r w:rsidR="00E14496">
        <w:t>fall into</w:t>
      </w:r>
      <w:r w:rsidR="00F535DD">
        <w:t xml:space="preserve"> </w:t>
      </w:r>
      <w:r w:rsidR="007E46C0">
        <w:t xml:space="preserve">four </w:t>
      </w:r>
      <w:r w:rsidR="00E14496">
        <w:t>categories</w:t>
      </w:r>
      <w:r>
        <w:t>:</w:t>
      </w:r>
    </w:p>
    <w:p w:rsidR="00F16BA2" w:rsidRDefault="00F535DD" w:rsidP="00606F6A">
      <w:pPr>
        <w:pStyle w:val="ListBullet"/>
      </w:pPr>
      <w:r>
        <w:lastRenderedPageBreak/>
        <w:t>‘</w:t>
      </w:r>
      <w:r w:rsidR="00F16BA2">
        <w:t>Get on with it</w:t>
      </w:r>
      <w:r>
        <w:t>’</w:t>
      </w:r>
      <w:r w:rsidR="00F16BA2">
        <w:t xml:space="preserve"> (for items on the current </w:t>
      </w:r>
      <w:proofErr w:type="spellStart"/>
      <w:r w:rsidR="00F16BA2">
        <w:t>CER</w:t>
      </w:r>
      <w:proofErr w:type="spellEnd"/>
      <w:r w:rsidR="00F16BA2">
        <w:t xml:space="preserve"> work program that </w:t>
      </w:r>
      <w:r w:rsidR="00223EED">
        <w:t>would clearly be beneficial, but need progressing</w:t>
      </w:r>
      <w:r w:rsidR="00F16BA2">
        <w:t>)</w:t>
      </w:r>
    </w:p>
    <w:p w:rsidR="00F16BA2" w:rsidRDefault="00F535DD" w:rsidP="00606F6A">
      <w:pPr>
        <w:pStyle w:val="ListBullet"/>
      </w:pPr>
      <w:r>
        <w:t>‘</w:t>
      </w:r>
      <w:r w:rsidR="00AE4801">
        <w:t>Just do it</w:t>
      </w:r>
      <w:r w:rsidR="00B935E6">
        <w:t>,</w:t>
      </w:r>
      <w:r w:rsidR="007E46C0">
        <w:t xml:space="preserve"> or don’t do it</w:t>
      </w:r>
      <w:r>
        <w:t>’</w:t>
      </w:r>
      <w:r w:rsidR="00AE4801">
        <w:t xml:space="preserve"> (where we have </w:t>
      </w:r>
      <w:r w:rsidR="006A31B4">
        <w:t xml:space="preserve">obtained </w:t>
      </w:r>
      <w:r w:rsidR="00223EED">
        <w:t xml:space="preserve">sufficient evidence to recommend </w:t>
      </w:r>
      <w:r w:rsidR="007E46C0">
        <w:t>such</w:t>
      </w:r>
      <w:r w:rsidR="00223EED">
        <w:t xml:space="preserve"> </w:t>
      </w:r>
      <w:r w:rsidR="00B935E6">
        <w:t>a course</w:t>
      </w:r>
      <w:r w:rsidR="00AE4801">
        <w:t>)</w:t>
      </w:r>
    </w:p>
    <w:p w:rsidR="00AE4801" w:rsidRDefault="00F535DD" w:rsidP="00606F6A">
      <w:pPr>
        <w:pStyle w:val="ListBullet"/>
      </w:pPr>
      <w:r>
        <w:t>‘</w:t>
      </w:r>
      <w:r w:rsidR="00AE4801">
        <w:t>Look further into it</w:t>
      </w:r>
      <w:r>
        <w:t>’</w:t>
      </w:r>
      <w:r w:rsidR="00AE4801">
        <w:t xml:space="preserve"> (</w:t>
      </w:r>
      <w:r w:rsidR="009B22EE">
        <w:t>for</w:t>
      </w:r>
      <w:r>
        <w:t xml:space="preserve"> </w:t>
      </w:r>
      <w:r w:rsidR="00AE4801">
        <w:t xml:space="preserve">areas we identify as </w:t>
      </w:r>
      <w:r w:rsidR="007E46C0">
        <w:t>prospective of net gains,</w:t>
      </w:r>
      <w:r w:rsidR="006A31B4">
        <w:t xml:space="preserve"> but  which </w:t>
      </w:r>
      <w:r w:rsidR="00AE4801">
        <w:t xml:space="preserve">require further work to </w:t>
      </w:r>
      <w:r w:rsidR="00B471BF">
        <w:t>properly ass</w:t>
      </w:r>
      <w:r w:rsidR="007E46C0">
        <w:t>ess</w:t>
      </w:r>
      <w:r w:rsidR="00B935E6">
        <w:t>)</w:t>
      </w:r>
    </w:p>
    <w:p w:rsidR="007E46C0" w:rsidRDefault="00F5224E" w:rsidP="00606F6A">
      <w:pPr>
        <w:pStyle w:val="ListBullet"/>
      </w:pPr>
      <w:r w:rsidRPr="00713CCD">
        <w:rPr>
          <w:rFonts w:cs="Arial"/>
          <w:szCs w:val="24"/>
        </w:rPr>
        <w:t xml:space="preserve">‘Stop doing it’ (for areas </w:t>
      </w:r>
      <w:r w:rsidR="00B935E6">
        <w:rPr>
          <w:rFonts w:cs="Arial"/>
          <w:szCs w:val="24"/>
        </w:rPr>
        <w:t>currently being pursued that do</w:t>
      </w:r>
      <w:r w:rsidRPr="00713CCD">
        <w:rPr>
          <w:rFonts w:cs="Arial"/>
          <w:szCs w:val="24"/>
        </w:rPr>
        <w:t xml:space="preserve"> not look promising or sufficiently worthwhile relative to other options)</w:t>
      </w:r>
    </w:p>
    <w:p w:rsidR="00E804A3" w:rsidRDefault="00AD08C1" w:rsidP="00606F6A">
      <w:pPr>
        <w:pStyle w:val="BodyText"/>
      </w:pPr>
      <w:r>
        <w:t xml:space="preserve">There are </w:t>
      </w:r>
      <w:r w:rsidR="006A31B4">
        <w:t xml:space="preserve">also some </w:t>
      </w:r>
      <w:r>
        <w:t xml:space="preserve">lessons from </w:t>
      </w:r>
      <w:r w:rsidR="007E46C0">
        <w:t xml:space="preserve">the </w:t>
      </w:r>
      <w:r>
        <w:t xml:space="preserve">COAG </w:t>
      </w:r>
      <w:r w:rsidR="007E46C0">
        <w:t xml:space="preserve">reform experience in Australia </w:t>
      </w:r>
      <w:r>
        <w:t>about not attempting to do too much</w:t>
      </w:r>
      <w:r w:rsidR="007E46C0">
        <w:t xml:space="preserve"> at once</w:t>
      </w:r>
      <w:r>
        <w:t xml:space="preserve"> and paying attention to </w:t>
      </w:r>
      <w:r w:rsidR="007E46C0">
        <w:t>priorit</w:t>
      </w:r>
      <w:r w:rsidR="00FE42C4">
        <w:t>is</w:t>
      </w:r>
      <w:r w:rsidR="007E46C0">
        <w:t>ation and sequencing</w:t>
      </w:r>
      <w:r w:rsidR="00B935E6">
        <w:t xml:space="preserve"> </w:t>
      </w:r>
      <w:r w:rsidR="00B935E6" w:rsidRPr="00DE168A">
        <w:rPr>
          <w:rFonts w:eastAsiaTheme="minorHAnsi" w:cs="Arial"/>
          <w:color w:val="auto"/>
          <w:szCs w:val="24"/>
          <w:lang w:eastAsia="en-US"/>
        </w:rPr>
        <w:t>—</w:t>
      </w:r>
      <w:r w:rsidR="00F5224E" w:rsidRPr="00713CCD">
        <w:rPr>
          <w:rFonts w:cs="Arial"/>
          <w:szCs w:val="24"/>
        </w:rPr>
        <w:t xml:space="preserve"> to take advantage of complementarities, to achieve soli</w:t>
      </w:r>
      <w:r w:rsidR="00B935E6">
        <w:rPr>
          <w:rFonts w:cs="Arial"/>
          <w:szCs w:val="24"/>
        </w:rPr>
        <w:t xml:space="preserve">d outcomes from existing reform </w:t>
      </w:r>
      <w:r w:rsidR="00F5224E" w:rsidRPr="00713CCD">
        <w:rPr>
          <w:rFonts w:cs="Arial"/>
          <w:szCs w:val="24"/>
        </w:rPr>
        <w:t xml:space="preserve">efforts before moving on to the next thing, and to lay the groundwork (technical and ‘educational’) for more complex or </w:t>
      </w:r>
      <w:r w:rsidR="00B935E6">
        <w:rPr>
          <w:rFonts w:cs="Arial"/>
          <w:szCs w:val="24"/>
        </w:rPr>
        <w:t>contentious</w:t>
      </w:r>
      <w:r w:rsidR="00F5224E" w:rsidRPr="00713CCD">
        <w:rPr>
          <w:rFonts w:cs="Arial"/>
          <w:szCs w:val="24"/>
        </w:rPr>
        <w:t xml:space="preserve"> reforms</w:t>
      </w:r>
      <w:r w:rsidR="00B935E6">
        <w:t xml:space="preserve">. </w:t>
      </w:r>
      <w:r w:rsidR="001C4186">
        <w:t xml:space="preserve">The institutional arrangements for managing </w:t>
      </w:r>
      <w:r w:rsidR="007E46C0">
        <w:t xml:space="preserve">and monitoring </w:t>
      </w:r>
      <w:r w:rsidR="001C4186">
        <w:t xml:space="preserve">the integration agenda </w:t>
      </w:r>
      <w:r w:rsidR="00223EED">
        <w:t>are</w:t>
      </w:r>
      <w:r w:rsidR="001C4186">
        <w:t xml:space="preserve"> </w:t>
      </w:r>
      <w:r w:rsidR="00B935E6">
        <w:t>again</w:t>
      </w:r>
      <w:r w:rsidR="00223EED">
        <w:t xml:space="preserve"> </w:t>
      </w:r>
      <w:r w:rsidR="001C4186">
        <w:t>important</w:t>
      </w:r>
      <w:r w:rsidR="00223EED">
        <w:t xml:space="preserve"> from this perspective, </w:t>
      </w:r>
      <w:r w:rsidR="007E46C0">
        <w:t>including</w:t>
      </w:r>
      <w:r w:rsidR="00223EED">
        <w:t xml:space="preserve"> </w:t>
      </w:r>
      <w:r w:rsidR="00B935E6">
        <w:t xml:space="preserve">to </w:t>
      </w:r>
      <w:r w:rsidR="00223EED">
        <w:t>ensur</w:t>
      </w:r>
      <w:r w:rsidR="00B935E6">
        <w:t>e</w:t>
      </w:r>
      <w:r w:rsidR="00223EED">
        <w:t xml:space="preserve"> that implementation occurs</w:t>
      </w:r>
      <w:r w:rsidR="00B935E6">
        <w:t xml:space="preserve"> as intended</w:t>
      </w:r>
      <w:r w:rsidR="00223EED">
        <w:t>.</w:t>
      </w:r>
    </w:p>
    <w:p w:rsidR="001F6639" w:rsidRDefault="00223EED" w:rsidP="00606F6A">
      <w:pPr>
        <w:pStyle w:val="BodyText"/>
      </w:pPr>
      <w:r>
        <w:t xml:space="preserve">In sum, much has been achieved over the last 30 years, but the journey is not over. The report by the two Productivity Commissions will </w:t>
      </w:r>
      <w:r w:rsidR="00FC34B6">
        <w:t>outline further steps</w:t>
      </w:r>
      <w:r w:rsidR="007E46C0">
        <w:t xml:space="preserve"> to advance the </w:t>
      </w:r>
      <w:r w:rsidR="00033037">
        <w:t>Trans-Tasman</w:t>
      </w:r>
      <w:r w:rsidR="007E46C0">
        <w:t xml:space="preserve"> relationship in a mutually beneficial way, but</w:t>
      </w:r>
      <w:r w:rsidR="00FC34B6">
        <w:t xml:space="preserve"> without losing sight of the bigger </w:t>
      </w:r>
      <w:r w:rsidR="007E46C0">
        <w:t>international</w:t>
      </w:r>
      <w:r w:rsidR="00FC34B6">
        <w:t xml:space="preserve"> picture and the ongoing importance of domestic reform.</w:t>
      </w:r>
    </w:p>
    <w:p w:rsidR="009B22EE" w:rsidRDefault="009B22EE">
      <w:pPr>
        <w:rPr>
          <w:rFonts w:ascii="Arial" w:hAnsi="Arial"/>
          <w:color w:val="1C1C1C"/>
          <w:sz w:val="24"/>
          <w:szCs w:val="20"/>
        </w:rPr>
      </w:pPr>
      <w:r>
        <w:br w:type="page"/>
      </w:r>
    </w:p>
    <w:p w:rsidR="001C066E" w:rsidRDefault="001C066E" w:rsidP="001C066E">
      <w:pPr>
        <w:pStyle w:val="BodyText"/>
      </w:pPr>
    </w:p>
    <w:p w:rsidR="001C066E" w:rsidRDefault="001C066E" w:rsidP="001C066E">
      <w:pPr>
        <w:pStyle w:val="BodyText"/>
      </w:pPr>
      <w:r>
        <w:t>References</w:t>
      </w:r>
    </w:p>
    <w:p w:rsidR="00512480" w:rsidRPr="009C16E1" w:rsidRDefault="00512480" w:rsidP="00512480">
      <w:pPr>
        <w:pStyle w:val="OZNZReference"/>
      </w:pPr>
      <w:r w:rsidRPr="009C16E1">
        <w:t xml:space="preserve">Adams, R., Dee, P., </w:t>
      </w:r>
      <w:proofErr w:type="spellStart"/>
      <w:r w:rsidRPr="009C16E1">
        <w:t>Gali</w:t>
      </w:r>
      <w:proofErr w:type="spellEnd"/>
      <w:r w:rsidRPr="009C16E1">
        <w:t xml:space="preserve">, J. and G. McGuire 2003, </w:t>
      </w:r>
      <w:r w:rsidRPr="009C16E1">
        <w:rPr>
          <w:i/>
          <w:iCs/>
        </w:rPr>
        <w:t>The Trade and Investment Effects of Preferential Trading Arrangements — Old and New Evidence</w:t>
      </w:r>
      <w:r w:rsidRPr="009C16E1">
        <w:t>, Productivity Commission Staff Working Paper, Canberra, May.</w:t>
      </w:r>
    </w:p>
    <w:p w:rsidR="00512480" w:rsidRPr="006166AF" w:rsidRDefault="00512480" w:rsidP="00512480">
      <w:pPr>
        <w:pStyle w:val="OZNZReference"/>
      </w:pPr>
      <w:proofErr w:type="spellStart"/>
      <w:r w:rsidRPr="006166AF">
        <w:t>BIE</w:t>
      </w:r>
      <w:proofErr w:type="spellEnd"/>
      <w:r w:rsidRPr="006166AF">
        <w:t xml:space="preserve"> (Bureau of Industry Economics) 1989 </w:t>
      </w:r>
      <w:r w:rsidRPr="006166AF">
        <w:rPr>
          <w:i/>
          <w:iCs/>
        </w:rPr>
        <w:t>Trade Liberalisation and Australian Manufacturing Industry: The Impact of the Australia–New Zealand Closer Economic Relations Trade Agreement</w:t>
      </w:r>
      <w:r w:rsidRPr="006166AF">
        <w:t xml:space="preserve">, Australian Government Publishing Services, Canberra. </w:t>
      </w:r>
    </w:p>
    <w:p w:rsidR="00512480" w:rsidRDefault="00512480" w:rsidP="00512480">
      <w:pPr>
        <w:pStyle w:val="OZNZReference"/>
      </w:pPr>
      <w:r w:rsidRPr="006166AF">
        <w:t xml:space="preserve">____ 1995, </w:t>
      </w:r>
      <w:r w:rsidRPr="006166AF">
        <w:rPr>
          <w:i/>
          <w:iCs/>
        </w:rPr>
        <w:t xml:space="preserve">Impact of the </w:t>
      </w:r>
      <w:proofErr w:type="spellStart"/>
      <w:r w:rsidRPr="006166AF">
        <w:rPr>
          <w:i/>
          <w:iCs/>
        </w:rPr>
        <w:t>CER</w:t>
      </w:r>
      <w:proofErr w:type="spellEnd"/>
      <w:r w:rsidRPr="006166AF">
        <w:rPr>
          <w:i/>
          <w:iCs/>
        </w:rPr>
        <w:t xml:space="preserve"> Trade Agreement: Lessons for Regional Economic Integration, </w:t>
      </w:r>
      <w:r w:rsidRPr="006166AF">
        <w:t>Australian Government Publishing Services, Canberra, Canberra.</w:t>
      </w:r>
    </w:p>
    <w:p w:rsidR="00AC6FDC" w:rsidRPr="006166AF" w:rsidRDefault="00AC6FDC" w:rsidP="00512480">
      <w:pPr>
        <w:pStyle w:val="OZNZReference"/>
      </w:pPr>
      <w:r w:rsidRPr="00AC6FDC">
        <w:t xml:space="preserve">Commonwealth of Australia 2009, Australia’s Future Tax System (The Henry Review), (Henry, </w:t>
      </w:r>
      <w:proofErr w:type="spellStart"/>
      <w:r w:rsidRPr="00AC6FDC">
        <w:t>K.,Harmer</w:t>
      </w:r>
      <w:proofErr w:type="spellEnd"/>
      <w:r w:rsidRPr="00AC6FDC">
        <w:t xml:space="preserve">, J., Piggott, J., </w:t>
      </w:r>
      <w:proofErr w:type="spellStart"/>
      <w:r w:rsidRPr="00AC6FDC">
        <w:t>Ridout</w:t>
      </w:r>
      <w:proofErr w:type="spellEnd"/>
      <w:r w:rsidRPr="00AC6FDC">
        <w:t>, H. and Smith, G.), Report to the Treasurer, Canberra, December.</w:t>
      </w:r>
    </w:p>
    <w:p w:rsidR="00512480" w:rsidRDefault="00512480" w:rsidP="00512480">
      <w:pPr>
        <w:pStyle w:val="OZNZReference"/>
      </w:pPr>
      <w:proofErr w:type="spellStart"/>
      <w:r>
        <w:t>DeRosa</w:t>
      </w:r>
      <w:proofErr w:type="spellEnd"/>
      <w:r>
        <w:t>, D. 2007, ‘The Trade Effects of Preferential Trading Arrangements: New Evidence from the Australian Productivity Commission’, Peter G. Peterson, Institute for International Economics, Working Paper Series, WP 07-1, Washington.</w:t>
      </w:r>
    </w:p>
    <w:p w:rsidR="001C066E" w:rsidRDefault="001C066E" w:rsidP="001C066E">
      <w:pPr>
        <w:pStyle w:val="Reference"/>
      </w:pPr>
      <w:r w:rsidRPr="001C066E">
        <w:t>PC (Productivity Commission) 20</w:t>
      </w:r>
      <w:r>
        <w:t>10</w:t>
      </w:r>
      <w:r w:rsidRPr="001C066E">
        <w:t xml:space="preserve">, </w:t>
      </w:r>
      <w:r w:rsidRPr="001C066E">
        <w:rPr>
          <w:i/>
        </w:rPr>
        <w:t>Bilateral and Regional Trade Agreements</w:t>
      </w:r>
      <w:r w:rsidRPr="001C066E">
        <w:t>, Research Report, Canberra</w:t>
      </w:r>
      <w:r w:rsidR="004F0970">
        <w:t>.</w:t>
      </w:r>
    </w:p>
    <w:p w:rsidR="00707205" w:rsidRPr="00707205" w:rsidRDefault="00707205" w:rsidP="001C066E">
      <w:pPr>
        <w:pStyle w:val="Reference"/>
      </w:pPr>
      <w:r>
        <w:t xml:space="preserve">PC (Productivity Commission) 2012, </w:t>
      </w:r>
      <w:r>
        <w:rPr>
          <w:i/>
        </w:rPr>
        <w:t>Strengthening economic relations between Australia and New Zealand – A Joint Study,</w:t>
      </w:r>
      <w:r>
        <w:t xml:space="preserve"> Issues Paper, Canberra, April 2012</w:t>
      </w:r>
      <w:r w:rsidR="004F0970">
        <w:t>.</w:t>
      </w:r>
    </w:p>
    <w:p w:rsidR="00813ABD" w:rsidRPr="00813ABD" w:rsidRDefault="00813ABD" w:rsidP="00813ABD">
      <w:pPr>
        <w:pStyle w:val="Reference"/>
      </w:pPr>
      <w:r w:rsidRPr="00813ABD">
        <w:t>P</w:t>
      </w:r>
      <w:r>
        <w:t>C (P</w:t>
      </w:r>
      <w:r w:rsidRPr="00813ABD">
        <w:t>roductivity Commission</w:t>
      </w:r>
      <w:r>
        <w:t>)</w:t>
      </w:r>
      <w:r w:rsidRPr="00813ABD">
        <w:t xml:space="preserve"> 2012, </w:t>
      </w:r>
      <w:r w:rsidRPr="00813ABD">
        <w:rPr>
          <w:i/>
          <w:iCs/>
        </w:rPr>
        <w:t>Trade &amp; Assistance Review 2010-11</w:t>
      </w:r>
      <w:r w:rsidRPr="00813ABD">
        <w:t>, Annual Report</w:t>
      </w:r>
      <w:r>
        <w:t xml:space="preserve"> </w:t>
      </w:r>
      <w:r w:rsidRPr="00813ABD">
        <w:t>Series, Productivity Commission, Canberra, May.</w:t>
      </w:r>
    </w:p>
    <w:p w:rsidR="00AC4208" w:rsidRPr="00AC4208" w:rsidRDefault="00AC4208" w:rsidP="00AC4208">
      <w:pPr>
        <w:spacing w:before="120" w:line="320" w:lineRule="atLeast"/>
        <w:ind w:left="340" w:hanging="340"/>
        <w:jc w:val="both"/>
        <w:rPr>
          <w:rFonts w:ascii="Arial" w:hAnsi="Arial" w:cs="Arial"/>
          <w:sz w:val="24"/>
        </w:rPr>
      </w:pPr>
      <w:proofErr w:type="spellStart"/>
      <w:r w:rsidRPr="00AC4208">
        <w:rPr>
          <w:rFonts w:ascii="Arial" w:hAnsi="Arial" w:cs="Arial"/>
          <w:sz w:val="24"/>
        </w:rPr>
        <w:t>Rodrigue</w:t>
      </w:r>
      <w:proofErr w:type="spellEnd"/>
      <w:r w:rsidRPr="00AC4208">
        <w:rPr>
          <w:rFonts w:ascii="Arial" w:hAnsi="Arial" w:cs="Arial"/>
          <w:sz w:val="24"/>
        </w:rPr>
        <w:t xml:space="preserve">, J.P. 2012, </w:t>
      </w:r>
      <w:r w:rsidRPr="00AC4208">
        <w:rPr>
          <w:rFonts w:ascii="Arial" w:hAnsi="Arial" w:cs="Arial"/>
          <w:i/>
          <w:sz w:val="24"/>
        </w:rPr>
        <w:t>Levels of Economic Integration</w:t>
      </w:r>
      <w:r w:rsidRPr="00AC4208">
        <w:rPr>
          <w:rFonts w:ascii="Arial" w:hAnsi="Arial" w:cs="Arial"/>
          <w:sz w:val="24"/>
        </w:rPr>
        <w:t xml:space="preserve">. </w:t>
      </w:r>
      <w:proofErr w:type="spellStart"/>
      <w:r w:rsidRPr="00AC4208">
        <w:rPr>
          <w:rFonts w:ascii="Arial" w:hAnsi="Arial" w:cs="Arial"/>
          <w:sz w:val="24"/>
        </w:rPr>
        <w:t>Hofstra</w:t>
      </w:r>
      <w:proofErr w:type="spellEnd"/>
      <w:r w:rsidRPr="00AC4208">
        <w:rPr>
          <w:rFonts w:ascii="Arial" w:hAnsi="Arial" w:cs="Arial"/>
          <w:sz w:val="24"/>
        </w:rPr>
        <w:t xml:space="preserve"> University, New York  http://people.hofstra.edu/geotrans/eng/ch5en/conc5en/economicintegration.html (accessed 27 February 2012).</w:t>
      </w:r>
    </w:p>
    <w:p w:rsidR="00D04853" w:rsidRDefault="00D04853" w:rsidP="00D04853">
      <w:pPr>
        <w:pStyle w:val="OZNZReference"/>
      </w:pPr>
      <w:proofErr w:type="spellStart"/>
      <w:r w:rsidRPr="006166AF">
        <w:t>Scollay</w:t>
      </w:r>
      <w:proofErr w:type="spellEnd"/>
      <w:r w:rsidRPr="006166AF">
        <w:t xml:space="preserve">, R., Findlay, C. and U. Kaufmann 2011, </w:t>
      </w:r>
      <w:r w:rsidRPr="006166AF">
        <w:rPr>
          <w:i/>
        </w:rPr>
        <w:t>Australia New Zealand Closer Economic Relations Trade Agreement (</w:t>
      </w:r>
      <w:proofErr w:type="spellStart"/>
      <w:r w:rsidRPr="006166AF">
        <w:rPr>
          <w:i/>
        </w:rPr>
        <w:t>ANZCERTA</w:t>
      </w:r>
      <w:proofErr w:type="spellEnd"/>
      <w:r w:rsidRPr="006166AF">
        <w:rPr>
          <w:i/>
        </w:rPr>
        <w:t>) and Regional Integration</w:t>
      </w:r>
      <w:r w:rsidRPr="006166AF">
        <w:t>, Institute of Southeast Asian Studies, Singapore.</w:t>
      </w:r>
    </w:p>
    <w:p w:rsidR="00741A7F" w:rsidRDefault="00741A7F" w:rsidP="00D04853">
      <w:pPr>
        <w:pStyle w:val="OZNZReference"/>
      </w:pPr>
      <w:r>
        <w:t xml:space="preserve">Snape, </w:t>
      </w:r>
      <w:proofErr w:type="spellStart"/>
      <w:r>
        <w:t>R.H</w:t>
      </w:r>
      <w:proofErr w:type="spellEnd"/>
      <w:r>
        <w:t xml:space="preserve">., Gropp, L. and Luttrell, T. 1998, </w:t>
      </w:r>
      <w:r w:rsidRPr="00741A7F">
        <w:rPr>
          <w:i/>
        </w:rPr>
        <w:t>Australian Trade Policy 1965–1997: A documentary history</w:t>
      </w:r>
      <w:r>
        <w:t>, Allen &amp; Unwin, St Leonards.</w:t>
      </w:r>
    </w:p>
    <w:sectPr w:rsidR="00741A7F" w:rsidSect="00E94C31">
      <w:headerReference w:type="even" r:id="rId9"/>
      <w:headerReference w:type="default" r:id="rId10"/>
      <w:footerReference w:type="even" r:id="rId11"/>
      <w:footerReference w:type="default" r:id="rId12"/>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9E" w:rsidRDefault="0019189E">
      <w:r>
        <w:separator/>
      </w:r>
    </w:p>
  </w:endnote>
  <w:endnote w:type="continuationSeparator" w:id="0">
    <w:p w:rsidR="0019189E" w:rsidRDefault="0019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19189E" w:rsidRPr="00135D87" w:rsidTr="00E971AD">
      <w:trPr>
        <w:trHeight w:hRule="exact" w:val="740"/>
      </w:trPr>
      <w:tc>
        <w:tcPr>
          <w:tcW w:w="510" w:type="dxa"/>
        </w:tcPr>
        <w:p w:rsidR="0019189E" w:rsidRPr="00135D87" w:rsidRDefault="0019189E" w:rsidP="00147DE6">
          <w:pPr>
            <w:pStyle w:val="Footer"/>
            <w:tabs>
              <w:tab w:val="left" w:pos="0"/>
            </w:tabs>
            <w:ind w:right="0"/>
            <w:rPr>
              <w:rStyle w:val="PageNumbe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CB11BD">
            <w:rPr>
              <w:rStyle w:val="PageNumber"/>
              <w:rFonts w:cs="Arial"/>
              <w:noProof/>
            </w:rPr>
            <w:t>14</w:t>
          </w:r>
          <w:r w:rsidRPr="00135D87">
            <w:rPr>
              <w:rStyle w:val="PageNumber"/>
              <w:rFonts w:cs="Arial"/>
            </w:rPr>
            <w:fldChar w:fldCharType="end"/>
          </w:r>
        </w:p>
      </w:tc>
      <w:tc>
        <w:tcPr>
          <w:tcW w:w="8278" w:type="dxa"/>
        </w:tcPr>
        <w:p w:rsidR="0019189E" w:rsidRPr="00135D87" w:rsidRDefault="00BF6C8A" w:rsidP="00147DE6">
          <w:pPr>
            <w:pStyle w:val="Footer"/>
            <w:rPr>
              <w:rFonts w:cs="Arial"/>
            </w:rPr>
          </w:pPr>
          <w:r>
            <w:rPr>
              <w:rFonts w:cs="Arial"/>
            </w:rPr>
            <w:t>EMERGING THEMES</w:t>
          </w:r>
        </w:p>
      </w:tc>
    </w:tr>
  </w:tbl>
  <w:p w:rsidR="0019189E" w:rsidRDefault="0019189E"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19189E" w:rsidRPr="00135D87" w:rsidTr="00E971AD">
      <w:trPr>
        <w:trHeight w:hRule="exact" w:val="740"/>
      </w:trPr>
      <w:tc>
        <w:tcPr>
          <w:tcW w:w="8278" w:type="dxa"/>
        </w:tcPr>
        <w:p w:rsidR="0019189E" w:rsidRDefault="00BF6C8A" w:rsidP="00147DE6">
          <w:pPr>
            <w:pStyle w:val="Footer"/>
            <w:jc w:val="right"/>
            <w:rPr>
              <w:rFonts w:cs="Arial"/>
            </w:rPr>
          </w:pPr>
          <w:r>
            <w:rPr>
              <w:rFonts w:cs="Arial"/>
            </w:rPr>
            <w:t>TRANS-TASMAN REVIEW</w:t>
          </w:r>
        </w:p>
        <w:p w:rsidR="00BF6C8A" w:rsidRPr="00135D87" w:rsidRDefault="00BF6C8A" w:rsidP="00147DE6">
          <w:pPr>
            <w:pStyle w:val="Footer"/>
            <w:jc w:val="right"/>
            <w:rPr>
              <w:rFonts w:cs="Arial"/>
            </w:rPr>
          </w:pPr>
        </w:p>
      </w:tc>
      <w:tc>
        <w:tcPr>
          <w:tcW w:w="510" w:type="dxa"/>
        </w:tcPr>
        <w:p w:rsidR="0019189E" w:rsidRPr="00135D87" w:rsidRDefault="0019189E"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CB11BD">
            <w:rPr>
              <w:rStyle w:val="PageNumber"/>
              <w:rFonts w:cs="Arial"/>
              <w:noProof/>
            </w:rPr>
            <w:t>1</w:t>
          </w:r>
          <w:r w:rsidRPr="00135D87">
            <w:rPr>
              <w:rStyle w:val="PageNumber"/>
              <w:rFonts w:cs="Arial"/>
            </w:rPr>
            <w:fldChar w:fldCharType="end"/>
          </w:r>
        </w:p>
      </w:tc>
    </w:tr>
  </w:tbl>
  <w:p w:rsidR="0019189E" w:rsidRPr="009A6431" w:rsidRDefault="0019189E" w:rsidP="001B53C3">
    <w:pPr>
      <w:pStyle w:val="FooterEnd"/>
    </w:pPr>
  </w:p>
  <w:p w:rsidR="0019189E" w:rsidRDefault="0019189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9E" w:rsidRDefault="0019189E">
      <w:r>
        <w:separator/>
      </w:r>
    </w:p>
  </w:footnote>
  <w:footnote w:type="continuationSeparator" w:id="0">
    <w:p w:rsidR="0019189E" w:rsidRDefault="00191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19189E" w:rsidTr="00582C63">
      <w:tc>
        <w:tcPr>
          <w:tcW w:w="2155" w:type="dxa"/>
          <w:tcBorders>
            <w:top w:val="single" w:sz="24" w:space="0" w:color="86A20B"/>
          </w:tcBorders>
        </w:tcPr>
        <w:p w:rsidR="0019189E" w:rsidRDefault="0019189E" w:rsidP="007A1ADB">
          <w:pPr>
            <w:pStyle w:val="HeaderEven"/>
          </w:pPr>
        </w:p>
      </w:tc>
      <w:tc>
        <w:tcPr>
          <w:tcW w:w="6634" w:type="dxa"/>
          <w:tcBorders>
            <w:top w:val="dotted" w:sz="18" w:space="0" w:color="B2B2B2"/>
          </w:tcBorders>
        </w:tcPr>
        <w:p w:rsidR="0019189E" w:rsidRDefault="0019189E" w:rsidP="007A1ADB">
          <w:pPr>
            <w:pStyle w:val="HeaderEven"/>
          </w:pPr>
        </w:p>
      </w:tc>
    </w:tr>
  </w:tbl>
  <w:p w:rsidR="0019189E" w:rsidRDefault="0019189E"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9189E" w:rsidTr="00582C63">
      <w:tc>
        <w:tcPr>
          <w:tcW w:w="6634" w:type="dxa"/>
          <w:tcBorders>
            <w:top w:val="dotted" w:sz="18" w:space="0" w:color="B2B2B2"/>
          </w:tcBorders>
        </w:tcPr>
        <w:p w:rsidR="0019189E" w:rsidRDefault="0019189E" w:rsidP="007A1ADB">
          <w:pPr>
            <w:pStyle w:val="HeaderOdd"/>
          </w:pPr>
        </w:p>
      </w:tc>
      <w:tc>
        <w:tcPr>
          <w:tcW w:w="2155" w:type="dxa"/>
          <w:tcBorders>
            <w:top w:val="single" w:sz="24" w:space="0" w:color="86A20B"/>
          </w:tcBorders>
        </w:tcPr>
        <w:p w:rsidR="0019189E" w:rsidRDefault="0019189E" w:rsidP="007A1ADB">
          <w:pPr>
            <w:pStyle w:val="HeaderOdd"/>
          </w:pPr>
        </w:p>
      </w:tc>
    </w:tr>
  </w:tbl>
  <w:p w:rsidR="0019189E" w:rsidRDefault="0019189E"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00372CD"/>
    <w:multiLevelType w:val="hybridMultilevel"/>
    <w:tmpl w:val="39803B82"/>
    <w:lvl w:ilvl="0" w:tplc="5A10B0B2">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nsid w:val="51F74561"/>
    <w:multiLevelType w:val="singleLevel"/>
    <w:tmpl w:val="ED98921A"/>
    <w:lvl w:ilvl="0">
      <w:start w:val="1"/>
      <w:numFmt w:val="decimal"/>
      <w:lvlText w:val="%1."/>
      <w:legacy w:legacy="1" w:legacySpace="0" w:legacyIndent="340"/>
      <w:lvlJc w:val="left"/>
      <w:pPr>
        <w:ind w:left="340" w:hanging="340"/>
      </w:pPr>
    </w:lvl>
  </w:abstractNum>
  <w:abstractNum w:abstractNumId="2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6">
    <w:nsid w:val="547C59B2"/>
    <w:multiLevelType w:val="hybridMultilevel"/>
    <w:tmpl w:val="71704044"/>
    <w:lvl w:ilvl="0" w:tplc="D0AE37A8">
      <w:start w:val="103"/>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A096576"/>
    <w:multiLevelType w:val="singleLevel"/>
    <w:tmpl w:val="ED98921A"/>
    <w:lvl w:ilvl="0">
      <w:start w:val="1"/>
      <w:numFmt w:val="decimal"/>
      <w:lvlText w:val="%1."/>
      <w:legacy w:legacy="1" w:legacySpace="0" w:legacyIndent="340"/>
      <w:lvlJc w:val="left"/>
      <w:pPr>
        <w:ind w:left="340" w:hanging="340"/>
      </w:pPr>
    </w:lvl>
  </w:abstractNum>
  <w:abstractNum w:abstractNumId="31">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0055F7F"/>
    <w:multiLevelType w:val="singleLevel"/>
    <w:tmpl w:val="ED98921A"/>
    <w:lvl w:ilvl="0">
      <w:start w:val="1"/>
      <w:numFmt w:val="decimal"/>
      <w:lvlText w:val="%1."/>
      <w:legacy w:legacy="1" w:legacySpace="0" w:legacyIndent="340"/>
      <w:lvlJc w:val="left"/>
      <w:pPr>
        <w:ind w:left="340" w:hanging="340"/>
      </w:pPr>
    </w:lvl>
  </w:abstractNum>
  <w:abstractNum w:abstractNumId="33">
    <w:nsid w:val="608E741E"/>
    <w:multiLevelType w:val="singleLevel"/>
    <w:tmpl w:val="ED98921A"/>
    <w:lvl w:ilvl="0">
      <w:start w:val="1"/>
      <w:numFmt w:val="decimal"/>
      <w:lvlText w:val="%1."/>
      <w:legacy w:legacy="1" w:legacySpace="0" w:legacyIndent="340"/>
      <w:lvlJc w:val="left"/>
      <w:pPr>
        <w:ind w:left="340" w:hanging="340"/>
      </w:pPr>
    </w:lvl>
  </w:abstractNum>
  <w:abstractNum w:abstractNumId="34">
    <w:nsid w:val="61320C1E"/>
    <w:multiLevelType w:val="singleLevel"/>
    <w:tmpl w:val="C444122C"/>
    <w:lvl w:ilvl="0">
      <w:start w:val="1"/>
      <w:numFmt w:val="decimal"/>
      <w:lvlText w:val="%1."/>
      <w:legacy w:legacy="1" w:legacySpace="0" w:legacyIndent="284"/>
      <w:lvlJc w:val="left"/>
      <w:pPr>
        <w:ind w:left="284" w:hanging="284"/>
      </w:pPr>
    </w:lvl>
  </w:abstractNum>
  <w:abstractNum w:abstractNumId="35">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7">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8">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39">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3">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1"/>
  </w:num>
  <w:num w:numId="4">
    <w:abstractNumId w:val="7"/>
  </w:num>
  <w:num w:numId="5">
    <w:abstractNumId w:val="5"/>
  </w:num>
  <w:num w:numId="6">
    <w:abstractNumId w:val="24"/>
  </w:num>
  <w:num w:numId="7">
    <w:abstractNumId w:val="3"/>
  </w:num>
  <w:num w:numId="8">
    <w:abstractNumId w:val="9"/>
  </w:num>
  <w:num w:numId="9">
    <w:abstractNumId w:val="2"/>
  </w:num>
  <w:num w:numId="10">
    <w:abstractNumId w:val="36"/>
  </w:num>
  <w:num w:numId="11">
    <w:abstractNumId w:val="4"/>
  </w:num>
  <w:num w:numId="12">
    <w:abstractNumId w:val="1"/>
  </w:num>
  <w:num w:numId="13">
    <w:abstractNumId w:val="0"/>
  </w:num>
  <w:num w:numId="14">
    <w:abstractNumId w:val="28"/>
  </w:num>
  <w:num w:numId="15">
    <w:abstractNumId w:val="42"/>
  </w:num>
  <w:num w:numId="16">
    <w:abstractNumId w:val="18"/>
  </w:num>
  <w:num w:numId="17">
    <w:abstractNumId w:val="17"/>
  </w:num>
  <w:num w:numId="18">
    <w:abstractNumId w:val="25"/>
  </w:num>
  <w:num w:numId="19">
    <w:abstractNumId w:val="12"/>
  </w:num>
  <w:num w:numId="20">
    <w:abstractNumId w:val="33"/>
  </w:num>
  <w:num w:numId="21">
    <w:abstractNumId w:val="35"/>
  </w:num>
  <w:num w:numId="22">
    <w:abstractNumId w:val="23"/>
  </w:num>
  <w:num w:numId="23">
    <w:abstractNumId w:val="27"/>
  </w:num>
  <w:num w:numId="24">
    <w:abstractNumId w:val="29"/>
  </w:num>
  <w:num w:numId="25">
    <w:abstractNumId w:val="40"/>
  </w:num>
  <w:num w:numId="26">
    <w:abstractNumId w:val="32"/>
  </w:num>
  <w:num w:numId="27">
    <w:abstractNumId w:val="37"/>
  </w:num>
  <w:num w:numId="28">
    <w:abstractNumId w:val="38"/>
  </w:num>
  <w:num w:numId="29">
    <w:abstractNumId w:val="30"/>
  </w:num>
  <w:num w:numId="30">
    <w:abstractNumId w:val="21"/>
  </w:num>
  <w:num w:numId="31">
    <w:abstractNumId w:val="43"/>
  </w:num>
  <w:num w:numId="32">
    <w:abstractNumId w:val="15"/>
  </w:num>
  <w:num w:numId="33">
    <w:abstractNumId w:val="8"/>
  </w:num>
  <w:num w:numId="34">
    <w:abstractNumId w:val="19"/>
  </w:num>
  <w:num w:numId="35">
    <w:abstractNumId w:val="39"/>
  </w:num>
  <w:num w:numId="36">
    <w:abstractNumId w:val="31"/>
  </w:num>
  <w:num w:numId="37">
    <w:abstractNumId w:val="13"/>
  </w:num>
  <w:num w:numId="38">
    <w:abstractNumId w:val="34"/>
  </w:num>
  <w:num w:numId="39">
    <w:abstractNumId w:val="14"/>
  </w:num>
  <w:num w:numId="40">
    <w:abstractNumId w:val="18"/>
  </w:num>
  <w:num w:numId="41">
    <w:abstractNumId w:val="9"/>
  </w:num>
  <w:num w:numId="42">
    <w:abstractNumId w:val="22"/>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886263"/>
    <w:rsid w:val="00004AA6"/>
    <w:rsid w:val="00005C41"/>
    <w:rsid w:val="000154AC"/>
    <w:rsid w:val="000173E0"/>
    <w:rsid w:val="00020B4A"/>
    <w:rsid w:val="00021888"/>
    <w:rsid w:val="0002281A"/>
    <w:rsid w:val="000245AA"/>
    <w:rsid w:val="000258BB"/>
    <w:rsid w:val="00033037"/>
    <w:rsid w:val="0003664B"/>
    <w:rsid w:val="0004111F"/>
    <w:rsid w:val="00041329"/>
    <w:rsid w:val="00041D03"/>
    <w:rsid w:val="0005152B"/>
    <w:rsid w:val="000565B3"/>
    <w:rsid w:val="000578AC"/>
    <w:rsid w:val="0006677F"/>
    <w:rsid w:val="0007150B"/>
    <w:rsid w:val="00071678"/>
    <w:rsid w:val="0007380A"/>
    <w:rsid w:val="000938F5"/>
    <w:rsid w:val="00093E8C"/>
    <w:rsid w:val="00095769"/>
    <w:rsid w:val="000A0721"/>
    <w:rsid w:val="000A2F63"/>
    <w:rsid w:val="000A3EBE"/>
    <w:rsid w:val="000B601B"/>
    <w:rsid w:val="000C0042"/>
    <w:rsid w:val="000C207E"/>
    <w:rsid w:val="000C453E"/>
    <w:rsid w:val="000D0913"/>
    <w:rsid w:val="000D0A14"/>
    <w:rsid w:val="000D15E6"/>
    <w:rsid w:val="000E2231"/>
    <w:rsid w:val="000E4F45"/>
    <w:rsid w:val="000E6BDC"/>
    <w:rsid w:val="000F54DF"/>
    <w:rsid w:val="00104E08"/>
    <w:rsid w:val="00110116"/>
    <w:rsid w:val="0011127A"/>
    <w:rsid w:val="00112934"/>
    <w:rsid w:val="001217C5"/>
    <w:rsid w:val="001244A5"/>
    <w:rsid w:val="00126919"/>
    <w:rsid w:val="00126EB8"/>
    <w:rsid w:val="001274D4"/>
    <w:rsid w:val="00134368"/>
    <w:rsid w:val="001363AA"/>
    <w:rsid w:val="00143EBA"/>
    <w:rsid w:val="00147DE6"/>
    <w:rsid w:val="00150487"/>
    <w:rsid w:val="001529F5"/>
    <w:rsid w:val="00174CBF"/>
    <w:rsid w:val="00176BE7"/>
    <w:rsid w:val="00183E82"/>
    <w:rsid w:val="00184982"/>
    <w:rsid w:val="0019189E"/>
    <w:rsid w:val="00191AE0"/>
    <w:rsid w:val="00191C57"/>
    <w:rsid w:val="00192303"/>
    <w:rsid w:val="0019293B"/>
    <w:rsid w:val="001A28B7"/>
    <w:rsid w:val="001A3E1C"/>
    <w:rsid w:val="001A7C41"/>
    <w:rsid w:val="001B4922"/>
    <w:rsid w:val="001B53C3"/>
    <w:rsid w:val="001C00F3"/>
    <w:rsid w:val="001C066E"/>
    <w:rsid w:val="001C0865"/>
    <w:rsid w:val="001C0941"/>
    <w:rsid w:val="001C3ABA"/>
    <w:rsid w:val="001C4186"/>
    <w:rsid w:val="001C75A3"/>
    <w:rsid w:val="001E7BE8"/>
    <w:rsid w:val="001F0248"/>
    <w:rsid w:val="001F3EB3"/>
    <w:rsid w:val="001F6639"/>
    <w:rsid w:val="001F6BE0"/>
    <w:rsid w:val="00202C2C"/>
    <w:rsid w:val="0021676F"/>
    <w:rsid w:val="0021686E"/>
    <w:rsid w:val="00217141"/>
    <w:rsid w:val="002236BC"/>
    <w:rsid w:val="00223EED"/>
    <w:rsid w:val="0023060F"/>
    <w:rsid w:val="00242279"/>
    <w:rsid w:val="00245C82"/>
    <w:rsid w:val="00251270"/>
    <w:rsid w:val="002529DF"/>
    <w:rsid w:val="00261106"/>
    <w:rsid w:val="002623C1"/>
    <w:rsid w:val="00264222"/>
    <w:rsid w:val="002653F1"/>
    <w:rsid w:val="00275B8A"/>
    <w:rsid w:val="0027708C"/>
    <w:rsid w:val="002840B8"/>
    <w:rsid w:val="00291B40"/>
    <w:rsid w:val="00291CB8"/>
    <w:rsid w:val="00295277"/>
    <w:rsid w:val="002A00B4"/>
    <w:rsid w:val="002A5648"/>
    <w:rsid w:val="002B4008"/>
    <w:rsid w:val="002B527A"/>
    <w:rsid w:val="002B6178"/>
    <w:rsid w:val="002B7B65"/>
    <w:rsid w:val="002C1737"/>
    <w:rsid w:val="002C650F"/>
    <w:rsid w:val="002D0E8E"/>
    <w:rsid w:val="002E5848"/>
    <w:rsid w:val="002F70DD"/>
    <w:rsid w:val="00301189"/>
    <w:rsid w:val="003039CA"/>
    <w:rsid w:val="00303BBE"/>
    <w:rsid w:val="00304BC9"/>
    <w:rsid w:val="00306DA4"/>
    <w:rsid w:val="00312819"/>
    <w:rsid w:val="003178C5"/>
    <w:rsid w:val="00323C43"/>
    <w:rsid w:val="00323E09"/>
    <w:rsid w:val="00333932"/>
    <w:rsid w:val="00333B2F"/>
    <w:rsid w:val="00335BF2"/>
    <w:rsid w:val="003502E3"/>
    <w:rsid w:val="003518AA"/>
    <w:rsid w:val="00352165"/>
    <w:rsid w:val="00353182"/>
    <w:rsid w:val="003565D9"/>
    <w:rsid w:val="003602E1"/>
    <w:rsid w:val="0037026F"/>
    <w:rsid w:val="00370809"/>
    <w:rsid w:val="00371240"/>
    <w:rsid w:val="00374731"/>
    <w:rsid w:val="00390E46"/>
    <w:rsid w:val="003919F9"/>
    <w:rsid w:val="00394829"/>
    <w:rsid w:val="00395548"/>
    <w:rsid w:val="003A2AD8"/>
    <w:rsid w:val="003A7C1B"/>
    <w:rsid w:val="003B083F"/>
    <w:rsid w:val="003B6C1B"/>
    <w:rsid w:val="003C26BC"/>
    <w:rsid w:val="003C38B5"/>
    <w:rsid w:val="003C5D99"/>
    <w:rsid w:val="003D25BB"/>
    <w:rsid w:val="003D392D"/>
    <w:rsid w:val="003E2F59"/>
    <w:rsid w:val="003E4D46"/>
    <w:rsid w:val="003E53C1"/>
    <w:rsid w:val="003F0789"/>
    <w:rsid w:val="004003AE"/>
    <w:rsid w:val="00401882"/>
    <w:rsid w:val="004021EE"/>
    <w:rsid w:val="004032D5"/>
    <w:rsid w:val="00404F01"/>
    <w:rsid w:val="004051E9"/>
    <w:rsid w:val="004100C8"/>
    <w:rsid w:val="00411DBD"/>
    <w:rsid w:val="00412ACE"/>
    <w:rsid w:val="00431249"/>
    <w:rsid w:val="00432EB0"/>
    <w:rsid w:val="00434C19"/>
    <w:rsid w:val="0043776E"/>
    <w:rsid w:val="00442928"/>
    <w:rsid w:val="00450810"/>
    <w:rsid w:val="00452955"/>
    <w:rsid w:val="00452DC3"/>
    <w:rsid w:val="004532BB"/>
    <w:rsid w:val="004538AD"/>
    <w:rsid w:val="00455C5C"/>
    <w:rsid w:val="00464738"/>
    <w:rsid w:val="004719A5"/>
    <w:rsid w:val="00477144"/>
    <w:rsid w:val="00481234"/>
    <w:rsid w:val="0049459F"/>
    <w:rsid w:val="004A1829"/>
    <w:rsid w:val="004A38DD"/>
    <w:rsid w:val="004A7493"/>
    <w:rsid w:val="004B43AE"/>
    <w:rsid w:val="004C30ED"/>
    <w:rsid w:val="004C6977"/>
    <w:rsid w:val="004D5675"/>
    <w:rsid w:val="004E001E"/>
    <w:rsid w:val="004E7B9E"/>
    <w:rsid w:val="004F0970"/>
    <w:rsid w:val="00510663"/>
    <w:rsid w:val="00512480"/>
    <w:rsid w:val="005168DA"/>
    <w:rsid w:val="00523639"/>
    <w:rsid w:val="0052468D"/>
    <w:rsid w:val="00533855"/>
    <w:rsid w:val="0055279F"/>
    <w:rsid w:val="0055534B"/>
    <w:rsid w:val="00570155"/>
    <w:rsid w:val="00571120"/>
    <w:rsid w:val="0057209D"/>
    <w:rsid w:val="005735D0"/>
    <w:rsid w:val="00582C63"/>
    <w:rsid w:val="00583C39"/>
    <w:rsid w:val="005909CF"/>
    <w:rsid w:val="00591E71"/>
    <w:rsid w:val="005926B0"/>
    <w:rsid w:val="005932B7"/>
    <w:rsid w:val="00593CAA"/>
    <w:rsid w:val="00595492"/>
    <w:rsid w:val="00595ED2"/>
    <w:rsid w:val="005A0B39"/>
    <w:rsid w:val="005A0D41"/>
    <w:rsid w:val="005A42F6"/>
    <w:rsid w:val="005A7FE9"/>
    <w:rsid w:val="005B0D25"/>
    <w:rsid w:val="005B0E33"/>
    <w:rsid w:val="005B0F78"/>
    <w:rsid w:val="005B3D92"/>
    <w:rsid w:val="005C1370"/>
    <w:rsid w:val="005C16D6"/>
    <w:rsid w:val="005C2C21"/>
    <w:rsid w:val="005C782E"/>
    <w:rsid w:val="005D2608"/>
    <w:rsid w:val="005D30C5"/>
    <w:rsid w:val="005D411A"/>
    <w:rsid w:val="005D5623"/>
    <w:rsid w:val="005D71F3"/>
    <w:rsid w:val="005E2A9C"/>
    <w:rsid w:val="005E568C"/>
    <w:rsid w:val="005F2357"/>
    <w:rsid w:val="005F7ED8"/>
    <w:rsid w:val="00606F6A"/>
    <w:rsid w:val="00607BF1"/>
    <w:rsid w:val="00611C25"/>
    <w:rsid w:val="006156D4"/>
    <w:rsid w:val="00623AB2"/>
    <w:rsid w:val="00624D89"/>
    <w:rsid w:val="00630D4D"/>
    <w:rsid w:val="00632A74"/>
    <w:rsid w:val="00646E54"/>
    <w:rsid w:val="0064762C"/>
    <w:rsid w:val="00652DF8"/>
    <w:rsid w:val="00664D91"/>
    <w:rsid w:val="006737A4"/>
    <w:rsid w:val="00677B83"/>
    <w:rsid w:val="0068053A"/>
    <w:rsid w:val="00681835"/>
    <w:rsid w:val="006869CE"/>
    <w:rsid w:val="006A31B4"/>
    <w:rsid w:val="006A42B0"/>
    <w:rsid w:val="006A4655"/>
    <w:rsid w:val="006A48B8"/>
    <w:rsid w:val="006A5D3C"/>
    <w:rsid w:val="006A61FF"/>
    <w:rsid w:val="006B208F"/>
    <w:rsid w:val="006B2B3C"/>
    <w:rsid w:val="006B3E9D"/>
    <w:rsid w:val="006B5816"/>
    <w:rsid w:val="006C1D81"/>
    <w:rsid w:val="006C2BA6"/>
    <w:rsid w:val="006C7038"/>
    <w:rsid w:val="006D1422"/>
    <w:rsid w:val="006D62B4"/>
    <w:rsid w:val="006E074D"/>
    <w:rsid w:val="006E3EA4"/>
    <w:rsid w:val="006E73EF"/>
    <w:rsid w:val="006F39A7"/>
    <w:rsid w:val="00704949"/>
    <w:rsid w:val="00707205"/>
    <w:rsid w:val="00714D4D"/>
    <w:rsid w:val="00724DA8"/>
    <w:rsid w:val="007268BC"/>
    <w:rsid w:val="0073262E"/>
    <w:rsid w:val="00733543"/>
    <w:rsid w:val="00741A7F"/>
    <w:rsid w:val="007450AA"/>
    <w:rsid w:val="007529B4"/>
    <w:rsid w:val="00757213"/>
    <w:rsid w:val="007604BB"/>
    <w:rsid w:val="00760CA2"/>
    <w:rsid w:val="007618CC"/>
    <w:rsid w:val="007800A2"/>
    <w:rsid w:val="0078286B"/>
    <w:rsid w:val="00785232"/>
    <w:rsid w:val="007A1ADB"/>
    <w:rsid w:val="007A21EB"/>
    <w:rsid w:val="007A6735"/>
    <w:rsid w:val="007B7A13"/>
    <w:rsid w:val="007C36C9"/>
    <w:rsid w:val="007C6313"/>
    <w:rsid w:val="007D6401"/>
    <w:rsid w:val="007E01E4"/>
    <w:rsid w:val="007E1011"/>
    <w:rsid w:val="007E20AC"/>
    <w:rsid w:val="007E2D76"/>
    <w:rsid w:val="007E46C0"/>
    <w:rsid w:val="007F090D"/>
    <w:rsid w:val="007F7107"/>
    <w:rsid w:val="00802483"/>
    <w:rsid w:val="0081030F"/>
    <w:rsid w:val="008117B1"/>
    <w:rsid w:val="00813ABD"/>
    <w:rsid w:val="00815F1B"/>
    <w:rsid w:val="00817865"/>
    <w:rsid w:val="0082087D"/>
    <w:rsid w:val="008214BB"/>
    <w:rsid w:val="0082766F"/>
    <w:rsid w:val="0083771B"/>
    <w:rsid w:val="008377A1"/>
    <w:rsid w:val="0084163E"/>
    <w:rsid w:val="00842933"/>
    <w:rsid w:val="0084395F"/>
    <w:rsid w:val="00856460"/>
    <w:rsid w:val="0086082C"/>
    <w:rsid w:val="00864ADC"/>
    <w:rsid w:val="00867FA7"/>
    <w:rsid w:val="0087283D"/>
    <w:rsid w:val="00873F3D"/>
    <w:rsid w:val="00880153"/>
    <w:rsid w:val="00880F97"/>
    <w:rsid w:val="0088133A"/>
    <w:rsid w:val="008854EB"/>
    <w:rsid w:val="00886263"/>
    <w:rsid w:val="00892543"/>
    <w:rsid w:val="0089285E"/>
    <w:rsid w:val="0089436C"/>
    <w:rsid w:val="008A2AD2"/>
    <w:rsid w:val="008B22B8"/>
    <w:rsid w:val="008B242E"/>
    <w:rsid w:val="008B6A79"/>
    <w:rsid w:val="008B6CD9"/>
    <w:rsid w:val="008C4CDF"/>
    <w:rsid w:val="008C6C9E"/>
    <w:rsid w:val="008D365C"/>
    <w:rsid w:val="008D3C33"/>
    <w:rsid w:val="008D4748"/>
    <w:rsid w:val="008D5487"/>
    <w:rsid w:val="008E0229"/>
    <w:rsid w:val="008E3C45"/>
    <w:rsid w:val="008E6B7D"/>
    <w:rsid w:val="008F3A65"/>
    <w:rsid w:val="008F760E"/>
    <w:rsid w:val="00900E5E"/>
    <w:rsid w:val="009030BF"/>
    <w:rsid w:val="009041F1"/>
    <w:rsid w:val="00905A0D"/>
    <w:rsid w:val="00914368"/>
    <w:rsid w:val="00926EB8"/>
    <w:rsid w:val="00930D92"/>
    <w:rsid w:val="00931002"/>
    <w:rsid w:val="00931076"/>
    <w:rsid w:val="00931640"/>
    <w:rsid w:val="009337F6"/>
    <w:rsid w:val="009345D9"/>
    <w:rsid w:val="00934B15"/>
    <w:rsid w:val="00941801"/>
    <w:rsid w:val="00942B62"/>
    <w:rsid w:val="00953AEC"/>
    <w:rsid w:val="00956A0C"/>
    <w:rsid w:val="00956BD9"/>
    <w:rsid w:val="0095786A"/>
    <w:rsid w:val="00957BC1"/>
    <w:rsid w:val="00962489"/>
    <w:rsid w:val="00966CA6"/>
    <w:rsid w:val="0097291A"/>
    <w:rsid w:val="00982BE1"/>
    <w:rsid w:val="0098405C"/>
    <w:rsid w:val="00990C2C"/>
    <w:rsid w:val="009B1B2A"/>
    <w:rsid w:val="009B22EE"/>
    <w:rsid w:val="009B2AC0"/>
    <w:rsid w:val="009D55E0"/>
    <w:rsid w:val="009D5AC4"/>
    <w:rsid w:val="009E1026"/>
    <w:rsid w:val="009F164B"/>
    <w:rsid w:val="009F5BBD"/>
    <w:rsid w:val="009F696D"/>
    <w:rsid w:val="009F6BC6"/>
    <w:rsid w:val="00A03729"/>
    <w:rsid w:val="00A072CC"/>
    <w:rsid w:val="00A14E64"/>
    <w:rsid w:val="00A1522A"/>
    <w:rsid w:val="00A17328"/>
    <w:rsid w:val="00A23A20"/>
    <w:rsid w:val="00A26619"/>
    <w:rsid w:val="00A268B9"/>
    <w:rsid w:val="00A2703A"/>
    <w:rsid w:val="00A30098"/>
    <w:rsid w:val="00A3076E"/>
    <w:rsid w:val="00A335C5"/>
    <w:rsid w:val="00A33DFF"/>
    <w:rsid w:val="00A35115"/>
    <w:rsid w:val="00A364C9"/>
    <w:rsid w:val="00A366E0"/>
    <w:rsid w:val="00A508D8"/>
    <w:rsid w:val="00A554AB"/>
    <w:rsid w:val="00A61CA2"/>
    <w:rsid w:val="00A65525"/>
    <w:rsid w:val="00A670E8"/>
    <w:rsid w:val="00A67127"/>
    <w:rsid w:val="00A73478"/>
    <w:rsid w:val="00A75B1E"/>
    <w:rsid w:val="00A81181"/>
    <w:rsid w:val="00A82A3C"/>
    <w:rsid w:val="00A83C13"/>
    <w:rsid w:val="00A87615"/>
    <w:rsid w:val="00A9078E"/>
    <w:rsid w:val="00A92B53"/>
    <w:rsid w:val="00A94FA6"/>
    <w:rsid w:val="00AA1B74"/>
    <w:rsid w:val="00AA49A0"/>
    <w:rsid w:val="00AA6710"/>
    <w:rsid w:val="00AB0681"/>
    <w:rsid w:val="00AC4208"/>
    <w:rsid w:val="00AC6FDC"/>
    <w:rsid w:val="00AD08C1"/>
    <w:rsid w:val="00AD520B"/>
    <w:rsid w:val="00AD648E"/>
    <w:rsid w:val="00AD6B67"/>
    <w:rsid w:val="00AE4801"/>
    <w:rsid w:val="00AE4A02"/>
    <w:rsid w:val="00AF0984"/>
    <w:rsid w:val="00AF4E73"/>
    <w:rsid w:val="00AF7671"/>
    <w:rsid w:val="00AF7965"/>
    <w:rsid w:val="00B04BB2"/>
    <w:rsid w:val="00B2213F"/>
    <w:rsid w:val="00B23513"/>
    <w:rsid w:val="00B2798F"/>
    <w:rsid w:val="00B36060"/>
    <w:rsid w:val="00B440AD"/>
    <w:rsid w:val="00B454F0"/>
    <w:rsid w:val="00B471BF"/>
    <w:rsid w:val="00B53E7E"/>
    <w:rsid w:val="00B5590D"/>
    <w:rsid w:val="00B57AEB"/>
    <w:rsid w:val="00B61C5F"/>
    <w:rsid w:val="00B6342E"/>
    <w:rsid w:val="00B64F34"/>
    <w:rsid w:val="00B7113F"/>
    <w:rsid w:val="00B713EB"/>
    <w:rsid w:val="00B72129"/>
    <w:rsid w:val="00B935E6"/>
    <w:rsid w:val="00B95BA4"/>
    <w:rsid w:val="00B97942"/>
    <w:rsid w:val="00BA5B0F"/>
    <w:rsid w:val="00BA5CC8"/>
    <w:rsid w:val="00BA73B6"/>
    <w:rsid w:val="00BB2603"/>
    <w:rsid w:val="00BB4FCD"/>
    <w:rsid w:val="00BB59BB"/>
    <w:rsid w:val="00BB72FF"/>
    <w:rsid w:val="00BC2D84"/>
    <w:rsid w:val="00BC6787"/>
    <w:rsid w:val="00BD13EA"/>
    <w:rsid w:val="00BD2D2D"/>
    <w:rsid w:val="00BD3FF8"/>
    <w:rsid w:val="00BE1077"/>
    <w:rsid w:val="00BE3808"/>
    <w:rsid w:val="00BE797D"/>
    <w:rsid w:val="00BF11D5"/>
    <w:rsid w:val="00BF6C8A"/>
    <w:rsid w:val="00C03E93"/>
    <w:rsid w:val="00C062E9"/>
    <w:rsid w:val="00C07B64"/>
    <w:rsid w:val="00C13721"/>
    <w:rsid w:val="00C16266"/>
    <w:rsid w:val="00C3066D"/>
    <w:rsid w:val="00C35205"/>
    <w:rsid w:val="00C37118"/>
    <w:rsid w:val="00C54204"/>
    <w:rsid w:val="00C543F4"/>
    <w:rsid w:val="00C57128"/>
    <w:rsid w:val="00C6291C"/>
    <w:rsid w:val="00C633CB"/>
    <w:rsid w:val="00C6349A"/>
    <w:rsid w:val="00C72161"/>
    <w:rsid w:val="00C7310D"/>
    <w:rsid w:val="00C73832"/>
    <w:rsid w:val="00C73E20"/>
    <w:rsid w:val="00C75907"/>
    <w:rsid w:val="00C7629B"/>
    <w:rsid w:val="00C8044A"/>
    <w:rsid w:val="00C8762C"/>
    <w:rsid w:val="00C94B4A"/>
    <w:rsid w:val="00CA00F9"/>
    <w:rsid w:val="00CA2961"/>
    <w:rsid w:val="00CB11BD"/>
    <w:rsid w:val="00CB1FF7"/>
    <w:rsid w:val="00CB50D7"/>
    <w:rsid w:val="00CB7177"/>
    <w:rsid w:val="00CC1998"/>
    <w:rsid w:val="00CC4946"/>
    <w:rsid w:val="00CE7320"/>
    <w:rsid w:val="00CF6F99"/>
    <w:rsid w:val="00D04853"/>
    <w:rsid w:val="00D070EA"/>
    <w:rsid w:val="00D22D10"/>
    <w:rsid w:val="00D270A4"/>
    <w:rsid w:val="00D315DD"/>
    <w:rsid w:val="00D31FE9"/>
    <w:rsid w:val="00D34E1B"/>
    <w:rsid w:val="00D36A76"/>
    <w:rsid w:val="00D376BA"/>
    <w:rsid w:val="00D468ED"/>
    <w:rsid w:val="00D50C48"/>
    <w:rsid w:val="00D5203C"/>
    <w:rsid w:val="00D53E82"/>
    <w:rsid w:val="00D53E9C"/>
    <w:rsid w:val="00D5568A"/>
    <w:rsid w:val="00D57818"/>
    <w:rsid w:val="00D63D73"/>
    <w:rsid w:val="00D66898"/>
    <w:rsid w:val="00D66E1E"/>
    <w:rsid w:val="00D73923"/>
    <w:rsid w:val="00D75722"/>
    <w:rsid w:val="00D76C9E"/>
    <w:rsid w:val="00DA5BBA"/>
    <w:rsid w:val="00DB4D88"/>
    <w:rsid w:val="00DB67C9"/>
    <w:rsid w:val="00DC0C95"/>
    <w:rsid w:val="00DC2D8F"/>
    <w:rsid w:val="00DC5767"/>
    <w:rsid w:val="00DD6580"/>
    <w:rsid w:val="00DE168A"/>
    <w:rsid w:val="00E01854"/>
    <w:rsid w:val="00E0577D"/>
    <w:rsid w:val="00E14496"/>
    <w:rsid w:val="00E16C7A"/>
    <w:rsid w:val="00E17C72"/>
    <w:rsid w:val="00E202C6"/>
    <w:rsid w:val="00E21FC6"/>
    <w:rsid w:val="00E241B8"/>
    <w:rsid w:val="00E253D7"/>
    <w:rsid w:val="00E27169"/>
    <w:rsid w:val="00E35030"/>
    <w:rsid w:val="00E431A9"/>
    <w:rsid w:val="00E44958"/>
    <w:rsid w:val="00E47C1C"/>
    <w:rsid w:val="00E519B5"/>
    <w:rsid w:val="00E576A3"/>
    <w:rsid w:val="00E62208"/>
    <w:rsid w:val="00E64601"/>
    <w:rsid w:val="00E669E2"/>
    <w:rsid w:val="00E70A6E"/>
    <w:rsid w:val="00E76135"/>
    <w:rsid w:val="00E804A3"/>
    <w:rsid w:val="00E85BF7"/>
    <w:rsid w:val="00E93D5E"/>
    <w:rsid w:val="00E94C31"/>
    <w:rsid w:val="00E971AD"/>
    <w:rsid w:val="00EB294A"/>
    <w:rsid w:val="00EB5AE7"/>
    <w:rsid w:val="00EB663A"/>
    <w:rsid w:val="00EC2844"/>
    <w:rsid w:val="00ED22EA"/>
    <w:rsid w:val="00ED50A0"/>
    <w:rsid w:val="00EE7B49"/>
    <w:rsid w:val="00EF4AE2"/>
    <w:rsid w:val="00EF6C6C"/>
    <w:rsid w:val="00EF7047"/>
    <w:rsid w:val="00F01CAC"/>
    <w:rsid w:val="00F056FC"/>
    <w:rsid w:val="00F10476"/>
    <w:rsid w:val="00F11278"/>
    <w:rsid w:val="00F135D8"/>
    <w:rsid w:val="00F16BA2"/>
    <w:rsid w:val="00F24868"/>
    <w:rsid w:val="00F25A64"/>
    <w:rsid w:val="00F276C5"/>
    <w:rsid w:val="00F31299"/>
    <w:rsid w:val="00F31A4C"/>
    <w:rsid w:val="00F325C4"/>
    <w:rsid w:val="00F3534A"/>
    <w:rsid w:val="00F46337"/>
    <w:rsid w:val="00F4663A"/>
    <w:rsid w:val="00F5224E"/>
    <w:rsid w:val="00F535DD"/>
    <w:rsid w:val="00F5626C"/>
    <w:rsid w:val="00F61A49"/>
    <w:rsid w:val="00F62CEA"/>
    <w:rsid w:val="00F66623"/>
    <w:rsid w:val="00F73D04"/>
    <w:rsid w:val="00F748B8"/>
    <w:rsid w:val="00F85325"/>
    <w:rsid w:val="00F92B01"/>
    <w:rsid w:val="00F95242"/>
    <w:rsid w:val="00FA0CAC"/>
    <w:rsid w:val="00FB27DD"/>
    <w:rsid w:val="00FB5647"/>
    <w:rsid w:val="00FC2FF0"/>
    <w:rsid w:val="00FC34B6"/>
    <w:rsid w:val="00FC4FDA"/>
    <w:rsid w:val="00FC5E95"/>
    <w:rsid w:val="00FD22B1"/>
    <w:rsid w:val="00FD2926"/>
    <w:rsid w:val="00FD4151"/>
    <w:rsid w:val="00FE12E2"/>
    <w:rsid w:val="00FE42C4"/>
    <w:rsid w:val="00FE6988"/>
    <w:rsid w:val="00FE7543"/>
    <w:rsid w:val="00FF378E"/>
    <w:rsid w:val="00FF3AB7"/>
    <w:rsid w:val="00FF70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uiPriority="99" w:qFormat="1"/>
    <w:lsdException w:name="Sub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A6735"/>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39"/>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paragraph" w:customStyle="1" w:styleId="OZNZReference">
    <w:name w:val="OZNZ Reference"/>
    <w:basedOn w:val="Reference"/>
    <w:uiPriority w:val="99"/>
    <w:qFormat/>
    <w:rsid w:val="00512480"/>
    <w:rPr>
      <w:rFonts w:cs="Arial"/>
      <w:color w:val="auto"/>
      <w:szCs w:val="24"/>
    </w:rPr>
  </w:style>
  <w:style w:type="character" w:customStyle="1" w:styleId="BodyTextChar">
    <w:name w:val="Body Text Char"/>
    <w:basedOn w:val="DefaultParagraphFont"/>
    <w:link w:val="BodyText"/>
    <w:uiPriority w:val="99"/>
    <w:rsid w:val="00B57AEB"/>
    <w:rPr>
      <w:rFonts w:ascii="Arial" w:hAnsi="Arial"/>
      <w:color w:val="1C1C1C"/>
      <w:sz w:val="24"/>
    </w:rPr>
  </w:style>
  <w:style w:type="paragraph" w:styleId="NormalWeb">
    <w:name w:val="Normal (Web)"/>
    <w:basedOn w:val="Normal"/>
    <w:uiPriority w:val="99"/>
    <w:unhideWhenUsed/>
    <w:rsid w:val="00C73832"/>
    <w:pPr>
      <w:spacing w:before="100" w:beforeAutospacing="1" w:after="240"/>
    </w:pPr>
    <w:rPr>
      <w:sz w:val="24"/>
    </w:rPr>
  </w:style>
  <w:style w:type="character" w:styleId="Hyperlink">
    <w:name w:val="Hyperlink"/>
    <w:basedOn w:val="DefaultParagraphFont"/>
    <w:rsid w:val="00B713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uiPriority="99" w:qFormat="1"/>
    <w:lsdException w:name="Subtitle"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A6735"/>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39"/>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paragraph" w:customStyle="1" w:styleId="OZNZReference">
    <w:name w:val="OZNZ Reference"/>
    <w:basedOn w:val="Reference"/>
    <w:uiPriority w:val="99"/>
    <w:qFormat/>
    <w:rsid w:val="00512480"/>
    <w:rPr>
      <w:rFonts w:cs="Arial"/>
      <w:color w:val="auto"/>
      <w:szCs w:val="24"/>
    </w:rPr>
  </w:style>
  <w:style w:type="character" w:customStyle="1" w:styleId="BodyTextChar">
    <w:name w:val="Body Text Char"/>
    <w:basedOn w:val="DefaultParagraphFont"/>
    <w:link w:val="BodyText"/>
    <w:uiPriority w:val="99"/>
    <w:rsid w:val="00B57AEB"/>
    <w:rPr>
      <w:rFonts w:ascii="Arial" w:hAnsi="Arial"/>
      <w:color w:val="1C1C1C"/>
      <w:sz w:val="24"/>
    </w:rPr>
  </w:style>
  <w:style w:type="paragraph" w:styleId="NormalWeb">
    <w:name w:val="Normal (Web)"/>
    <w:basedOn w:val="Normal"/>
    <w:uiPriority w:val="99"/>
    <w:unhideWhenUsed/>
    <w:rsid w:val="00C73832"/>
    <w:pPr>
      <w:spacing w:before="100" w:beforeAutospacing="1" w:after="240"/>
    </w:pPr>
    <w:rPr>
      <w:sz w:val="24"/>
    </w:rPr>
  </w:style>
  <w:style w:type="character" w:styleId="Hyperlink">
    <w:name w:val="Hyperlink"/>
    <w:basedOn w:val="DefaultParagraphFont"/>
    <w:rsid w:val="00B71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81491">
      <w:bodyDiv w:val="1"/>
      <w:marLeft w:val="0"/>
      <w:marRight w:val="0"/>
      <w:marTop w:val="0"/>
      <w:marBottom w:val="0"/>
      <w:divBdr>
        <w:top w:val="none" w:sz="0" w:space="0" w:color="auto"/>
        <w:left w:val="none" w:sz="0" w:space="0" w:color="auto"/>
        <w:bottom w:val="none" w:sz="0" w:space="0" w:color="auto"/>
        <w:right w:val="none" w:sz="0" w:space="0" w:color="auto"/>
      </w:divBdr>
    </w:div>
    <w:div w:id="613513886">
      <w:bodyDiv w:val="1"/>
      <w:marLeft w:val="0"/>
      <w:marRight w:val="0"/>
      <w:marTop w:val="0"/>
      <w:marBottom w:val="0"/>
      <w:divBdr>
        <w:top w:val="none" w:sz="0" w:space="0" w:color="auto"/>
        <w:left w:val="none" w:sz="0" w:space="0" w:color="auto"/>
        <w:bottom w:val="none" w:sz="0" w:space="0" w:color="auto"/>
        <w:right w:val="none" w:sz="0" w:space="0" w:color="auto"/>
      </w:divBdr>
      <w:divsChild>
        <w:div w:id="1261260099">
          <w:marLeft w:val="0"/>
          <w:marRight w:val="0"/>
          <w:marTop w:val="0"/>
          <w:marBottom w:val="0"/>
          <w:divBdr>
            <w:top w:val="none" w:sz="0" w:space="0" w:color="auto"/>
            <w:left w:val="none" w:sz="0" w:space="0" w:color="auto"/>
            <w:bottom w:val="none" w:sz="0" w:space="0" w:color="auto"/>
            <w:right w:val="none" w:sz="0" w:space="0" w:color="auto"/>
          </w:divBdr>
          <w:divsChild>
            <w:div w:id="1205170162">
              <w:marLeft w:val="0"/>
              <w:marRight w:val="0"/>
              <w:marTop w:val="0"/>
              <w:marBottom w:val="0"/>
              <w:divBdr>
                <w:top w:val="none" w:sz="0" w:space="0" w:color="auto"/>
                <w:left w:val="none" w:sz="0" w:space="0" w:color="auto"/>
                <w:bottom w:val="none" w:sz="0" w:space="0" w:color="auto"/>
                <w:right w:val="none" w:sz="0" w:space="0" w:color="auto"/>
              </w:divBdr>
              <w:divsChild>
                <w:div w:id="57825254">
                  <w:marLeft w:val="300"/>
                  <w:marRight w:val="0"/>
                  <w:marTop w:val="0"/>
                  <w:marBottom w:val="0"/>
                  <w:divBdr>
                    <w:top w:val="none" w:sz="0" w:space="0" w:color="auto"/>
                    <w:left w:val="none" w:sz="0" w:space="0" w:color="auto"/>
                    <w:bottom w:val="none" w:sz="0" w:space="0" w:color="auto"/>
                    <w:right w:val="none" w:sz="0" w:space="0" w:color="auto"/>
                  </w:divBdr>
                  <w:divsChild>
                    <w:div w:id="1925601863">
                      <w:marLeft w:val="0"/>
                      <w:marRight w:val="0"/>
                      <w:marTop w:val="0"/>
                      <w:marBottom w:val="0"/>
                      <w:divBdr>
                        <w:top w:val="none" w:sz="0" w:space="0" w:color="auto"/>
                        <w:left w:val="none" w:sz="0" w:space="0" w:color="auto"/>
                        <w:bottom w:val="none" w:sz="0" w:space="0" w:color="auto"/>
                        <w:right w:val="none" w:sz="0" w:space="0" w:color="auto"/>
                      </w:divBdr>
                      <w:divsChild>
                        <w:div w:id="1959407749">
                          <w:marLeft w:val="0"/>
                          <w:marRight w:val="0"/>
                          <w:marTop w:val="0"/>
                          <w:marBottom w:val="0"/>
                          <w:divBdr>
                            <w:top w:val="none" w:sz="0" w:space="0" w:color="auto"/>
                            <w:left w:val="none" w:sz="0" w:space="0" w:color="auto"/>
                            <w:bottom w:val="none" w:sz="0" w:space="0" w:color="auto"/>
                            <w:right w:val="none" w:sz="0" w:space="0" w:color="auto"/>
                          </w:divBdr>
                          <w:divsChild>
                            <w:div w:id="13936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572820">
      <w:bodyDiv w:val="1"/>
      <w:marLeft w:val="0"/>
      <w:marRight w:val="0"/>
      <w:marTop w:val="0"/>
      <w:marBottom w:val="0"/>
      <w:divBdr>
        <w:top w:val="none" w:sz="0" w:space="0" w:color="auto"/>
        <w:left w:val="none" w:sz="0" w:space="0" w:color="auto"/>
        <w:bottom w:val="none" w:sz="0" w:space="0" w:color="auto"/>
        <w:right w:val="none" w:sz="0" w:space="0" w:color="auto"/>
      </w:divBdr>
    </w:div>
    <w:div w:id="632098779">
      <w:bodyDiv w:val="1"/>
      <w:marLeft w:val="0"/>
      <w:marRight w:val="0"/>
      <w:marTop w:val="0"/>
      <w:marBottom w:val="0"/>
      <w:divBdr>
        <w:top w:val="none" w:sz="0" w:space="0" w:color="auto"/>
        <w:left w:val="none" w:sz="0" w:space="0" w:color="auto"/>
        <w:bottom w:val="none" w:sz="0" w:space="0" w:color="auto"/>
        <w:right w:val="none" w:sz="0" w:space="0" w:color="auto"/>
      </w:divBdr>
    </w:div>
    <w:div w:id="793256339">
      <w:bodyDiv w:val="1"/>
      <w:marLeft w:val="0"/>
      <w:marRight w:val="0"/>
      <w:marTop w:val="0"/>
      <w:marBottom w:val="0"/>
      <w:divBdr>
        <w:top w:val="none" w:sz="0" w:space="0" w:color="auto"/>
        <w:left w:val="none" w:sz="0" w:space="0" w:color="auto"/>
        <w:bottom w:val="none" w:sz="0" w:space="0" w:color="auto"/>
        <w:right w:val="none" w:sz="0" w:space="0" w:color="auto"/>
      </w:divBdr>
    </w:div>
    <w:div w:id="1495032479">
      <w:bodyDiv w:val="1"/>
      <w:marLeft w:val="0"/>
      <w:marRight w:val="0"/>
      <w:marTop w:val="0"/>
      <w:marBottom w:val="0"/>
      <w:divBdr>
        <w:top w:val="none" w:sz="0" w:space="0" w:color="auto"/>
        <w:left w:val="none" w:sz="0" w:space="0" w:color="auto"/>
        <w:bottom w:val="none" w:sz="0" w:space="0" w:color="auto"/>
        <w:right w:val="none" w:sz="0" w:space="0" w:color="auto"/>
      </w:divBdr>
    </w:div>
    <w:div w:id="1664048071">
      <w:bodyDiv w:val="1"/>
      <w:marLeft w:val="0"/>
      <w:marRight w:val="0"/>
      <w:marTop w:val="0"/>
      <w:marBottom w:val="0"/>
      <w:divBdr>
        <w:top w:val="none" w:sz="0" w:space="0" w:color="auto"/>
        <w:left w:val="none" w:sz="0" w:space="0" w:color="auto"/>
        <w:bottom w:val="none" w:sz="0" w:space="0" w:color="auto"/>
        <w:right w:val="none" w:sz="0" w:space="0" w:color="auto"/>
      </w:divBdr>
      <w:divsChild>
        <w:div w:id="704718490">
          <w:marLeft w:val="0"/>
          <w:marRight w:val="0"/>
          <w:marTop w:val="0"/>
          <w:marBottom w:val="0"/>
          <w:divBdr>
            <w:top w:val="none" w:sz="0" w:space="0" w:color="auto"/>
            <w:left w:val="none" w:sz="0" w:space="0" w:color="auto"/>
            <w:bottom w:val="none" w:sz="0" w:space="0" w:color="auto"/>
            <w:right w:val="none" w:sz="0" w:space="0" w:color="auto"/>
          </w:divBdr>
          <w:divsChild>
            <w:div w:id="2070036272">
              <w:marLeft w:val="0"/>
              <w:marRight w:val="0"/>
              <w:marTop w:val="0"/>
              <w:marBottom w:val="0"/>
              <w:divBdr>
                <w:top w:val="none" w:sz="0" w:space="0" w:color="auto"/>
                <w:left w:val="none" w:sz="0" w:space="0" w:color="auto"/>
                <w:bottom w:val="none" w:sz="0" w:space="0" w:color="auto"/>
                <w:right w:val="none" w:sz="0" w:space="0" w:color="auto"/>
              </w:divBdr>
              <w:divsChild>
                <w:div w:id="900210687">
                  <w:marLeft w:val="0"/>
                  <w:marRight w:val="0"/>
                  <w:marTop w:val="0"/>
                  <w:marBottom w:val="0"/>
                  <w:divBdr>
                    <w:top w:val="none" w:sz="0" w:space="0" w:color="auto"/>
                    <w:left w:val="none" w:sz="0" w:space="0" w:color="auto"/>
                    <w:bottom w:val="none" w:sz="0" w:space="0" w:color="auto"/>
                    <w:right w:val="none" w:sz="0" w:space="0" w:color="auto"/>
                  </w:divBdr>
                  <w:divsChild>
                    <w:div w:id="413476164">
                      <w:marLeft w:val="0"/>
                      <w:marRight w:val="0"/>
                      <w:marTop w:val="0"/>
                      <w:marBottom w:val="0"/>
                      <w:divBdr>
                        <w:top w:val="none" w:sz="0" w:space="0" w:color="auto"/>
                        <w:left w:val="none" w:sz="0" w:space="0" w:color="auto"/>
                        <w:bottom w:val="none" w:sz="0" w:space="0" w:color="auto"/>
                        <w:right w:val="none" w:sz="0" w:space="0" w:color="auto"/>
                      </w:divBdr>
                      <w:divsChild>
                        <w:div w:id="11198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885B-1111-4310-8A6D-1BA540BF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39</TotalTime>
  <Pages>15</Pages>
  <Words>5309</Words>
  <Characters>29036</Characters>
  <Application>Microsoft Office Word</Application>
  <DocSecurity>0</DocSecurity>
  <Lines>501</Lines>
  <Paragraphs>125</Paragraphs>
  <ScaleCrop>false</ScaleCrop>
  <HeadingPairs>
    <vt:vector size="2" baseType="variant">
      <vt:variant>
        <vt:lpstr>Title</vt:lpstr>
      </vt:variant>
      <vt:variant>
        <vt:i4>1</vt:i4>
      </vt:variant>
    </vt:vector>
  </HeadingPairs>
  <TitlesOfParts>
    <vt:vector size="1" baseType="lpstr">
      <vt:lpstr>Whither trans-Tasman economic relations? Some emerging themes</vt:lpstr>
    </vt:vector>
  </TitlesOfParts>
  <Company>Productivity Commission</Company>
  <LinksUpToDate>false</LinksUpToDate>
  <CharactersWithSpaces>34308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Whither trans-Tasman economic relations? Some emerging themes</dc:title>
  <dc:subject/>
  <dc:creator>Productivity Commission</dc:creator>
  <dc:description>1.</dc:description>
  <cp:lastModifiedBy>Productivity Commission</cp:lastModifiedBy>
  <cp:revision>11</cp:revision>
  <cp:lastPrinted>2012-06-19T01:12:00Z</cp:lastPrinted>
  <dcterms:created xsi:type="dcterms:W3CDTF">2012-06-18T07:17:00Z</dcterms:created>
  <dcterms:modified xsi:type="dcterms:W3CDTF">2014-05-29T03:04:00Z</dcterms:modified>
</cp:coreProperties>
</file>